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CC" w:rsidRPr="002C3EC8" w:rsidRDefault="00373CCC" w:rsidP="00373CC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F7E69">
        <w:rPr>
          <w:rFonts w:ascii="Palatino Linotype" w:eastAsia="Times New Roman" w:hAnsi="Palatino Linotype" w:cs="Arial"/>
          <w:color w:val="000000"/>
          <w:sz w:val="24"/>
          <w:szCs w:val="24"/>
          <w:lang w:eastAsia="es-MX"/>
        </w:rPr>
        <w:t>diecinuev</w:t>
      </w:r>
      <w:bookmarkStart w:id="0" w:name="_GoBack"/>
      <w:bookmarkEnd w:id="0"/>
      <w:r w:rsidR="003F7E69">
        <w:rPr>
          <w:rFonts w:ascii="Palatino Linotype" w:eastAsia="Times New Roman" w:hAnsi="Palatino Linotype" w:cs="Arial"/>
          <w:color w:val="000000"/>
          <w:sz w:val="24"/>
          <w:szCs w:val="24"/>
          <w:lang w:eastAsia="es-MX"/>
        </w:rPr>
        <w:t>e</w:t>
      </w:r>
      <w:r w:rsidR="000C1B0F">
        <w:rPr>
          <w:rFonts w:ascii="Palatino Linotype" w:eastAsia="Times New Roman" w:hAnsi="Palatino Linotype" w:cs="Arial"/>
          <w:color w:val="000000"/>
          <w:sz w:val="24"/>
          <w:szCs w:val="24"/>
          <w:lang w:eastAsia="es-MX"/>
        </w:rPr>
        <w:t xml:space="preserve"> de septiembre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373CCC" w:rsidRPr="002C3EC8" w:rsidRDefault="00373CCC" w:rsidP="00373CC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w:t>
      </w:r>
      <w:r w:rsidR="000C1B0F">
        <w:rPr>
          <w:rFonts w:ascii="Palatino Linotype" w:hAnsi="Palatino Linotype" w:cs="Arial"/>
          <w:b/>
          <w:bCs/>
          <w:sz w:val="24"/>
          <w:lang w:eastAsia="es-MX"/>
        </w:rPr>
        <w:t>4615</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AA7C43">
        <w:rPr>
          <w:rFonts w:ascii="Palatino Linotype" w:hAnsi="Palatino Linotype"/>
          <w:sz w:val="24"/>
        </w:rPr>
        <w:t>XXXXXXXXXX</w:t>
      </w:r>
      <w:r w:rsidRPr="002C3EC8">
        <w:rPr>
          <w:rFonts w:ascii="Palatino Linotype" w:hAnsi="Palatino Linotype"/>
          <w:sz w:val="24"/>
        </w:rPr>
        <w:t>,</w:t>
      </w:r>
      <w:r>
        <w:rPr>
          <w:rFonts w:ascii="Palatino Linotype" w:hAnsi="Palatino Linotype"/>
          <w:sz w:val="24"/>
        </w:rPr>
        <w:t xml:space="preserve"> en lo sucesivo la parte</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0C1B0F" w:rsidRPr="000C1B0F">
        <w:rPr>
          <w:rFonts w:ascii="Palatino Linotype" w:hAnsi="Palatino Linotype"/>
          <w:b/>
          <w:sz w:val="24"/>
        </w:rPr>
        <w:t>Ayuntamiento de Tlalnepantla de Baz</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373CCC" w:rsidRPr="002C3EC8" w:rsidRDefault="00373CCC" w:rsidP="00373CCC">
      <w:pPr>
        <w:tabs>
          <w:tab w:val="left" w:pos="1701"/>
        </w:tabs>
        <w:spacing w:before="240" w:line="360" w:lineRule="auto"/>
        <w:jc w:val="both"/>
        <w:rPr>
          <w:rFonts w:ascii="Palatino Linotype" w:hAnsi="Palatino Linotype" w:cs="Arial"/>
          <w:b/>
          <w:sz w:val="24"/>
        </w:rPr>
      </w:pPr>
    </w:p>
    <w:p w:rsidR="00373CCC" w:rsidRPr="002C3EC8" w:rsidRDefault="00373CCC" w:rsidP="00373CCC">
      <w:pPr>
        <w:pStyle w:val="infoemcitas"/>
        <w:jc w:val="center"/>
        <w:rPr>
          <w:b/>
          <w:bCs/>
          <w:i w:val="0"/>
          <w:iCs/>
          <w:sz w:val="28"/>
          <w:szCs w:val="28"/>
        </w:rPr>
      </w:pPr>
      <w:r w:rsidRPr="002C3EC8">
        <w:rPr>
          <w:b/>
          <w:bCs/>
          <w:i w:val="0"/>
          <w:iCs/>
          <w:sz w:val="28"/>
          <w:szCs w:val="28"/>
        </w:rPr>
        <w:t>A N T E C E D E N T E S   D E L   A S U N T O</w:t>
      </w:r>
    </w:p>
    <w:p w:rsidR="00373CCC" w:rsidRPr="002C3EC8" w:rsidRDefault="00373CCC" w:rsidP="00373CC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373CCC" w:rsidRPr="00D705FF" w:rsidRDefault="00373CCC" w:rsidP="00373CC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0C1B0F">
        <w:rPr>
          <w:rFonts w:ascii="Palatino Linotype" w:hAnsi="Palatino Linotype" w:cs="Arial"/>
          <w:b/>
          <w:sz w:val="24"/>
        </w:rPr>
        <w:t>veinte de junio</w:t>
      </w:r>
      <w:r>
        <w:rPr>
          <w:rFonts w:ascii="Palatino Linotype" w:hAnsi="Palatino Linotype" w:cs="Arial"/>
          <w:b/>
          <w:sz w:val="24"/>
        </w:rPr>
        <w:t xml:space="preserve"> de dos mil veinticuatro</w:t>
      </w:r>
      <w:r>
        <w:rPr>
          <w:rFonts w:ascii="Palatino Linotype" w:hAnsi="Palatino Linotype" w:cs="Arial"/>
          <w:sz w:val="24"/>
        </w:rPr>
        <w:t xml:space="preserve">, </w:t>
      </w:r>
      <w:r w:rsidRPr="00D705FF">
        <w:rPr>
          <w:rFonts w:ascii="Palatino Linotype" w:hAnsi="Palatino Linotype" w:cs="Arial"/>
          <w:sz w:val="24"/>
        </w:rPr>
        <w:t>l</w:t>
      </w:r>
      <w:r>
        <w:rPr>
          <w:rFonts w:ascii="Palatino Linotype" w:hAnsi="Palatino Linotype" w:cs="Arial"/>
          <w:sz w:val="24"/>
        </w:rPr>
        <w:t>a parte</w:t>
      </w:r>
      <w:r w:rsidRPr="00D705FF">
        <w:rPr>
          <w:rFonts w:ascii="Palatino Linotype" w:hAnsi="Palatino Linotype" w:cs="Arial"/>
          <w:b/>
          <w:sz w:val="24"/>
        </w:rPr>
        <w:t xml:space="preserve"> Recurrente </w:t>
      </w:r>
      <w:r w:rsidRPr="00D705FF">
        <w:rPr>
          <w:rFonts w:ascii="Palatino Linotype" w:hAnsi="Palatino Linotype" w:cs="Arial"/>
          <w:sz w:val="24"/>
        </w:rPr>
        <w:t>presentó a través del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w:t>
      </w:r>
      <w:proofErr w:type="gramStart"/>
      <w:r w:rsidRPr="00D705FF">
        <w:rPr>
          <w:rFonts w:ascii="Palatino Linotype" w:hAnsi="Palatino Linotype" w:cs="Arial"/>
          <w:sz w:val="24"/>
        </w:rPr>
        <w:t>expediente</w:t>
      </w:r>
      <w:proofErr w:type="gramEnd"/>
      <w:r w:rsidRPr="00D705FF">
        <w:rPr>
          <w:rFonts w:ascii="Palatino Linotype" w:hAnsi="Palatino Linotype" w:cs="Arial"/>
          <w:sz w:val="24"/>
        </w:rPr>
        <w:t xml:space="preserve"> </w:t>
      </w:r>
      <w:r w:rsidR="000C1B0F">
        <w:rPr>
          <w:rFonts w:ascii="Palatino Linotype" w:hAnsi="Palatino Linotype" w:cs="Arial"/>
          <w:b/>
          <w:sz w:val="24"/>
        </w:rPr>
        <w:t>00690/TLALNEPA/IP/2024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373CCC" w:rsidRPr="001C7F6F" w:rsidRDefault="00373CCC" w:rsidP="00373CCC">
      <w:pPr>
        <w:pStyle w:val="INFOEM"/>
        <w:rPr>
          <w:lang w:val="es-ES_tradnl" w:eastAsia="es-ES"/>
        </w:rPr>
      </w:pPr>
      <w:r w:rsidRPr="00D705FF">
        <w:rPr>
          <w:lang w:val="es-ES_tradnl" w:eastAsia="es-ES"/>
        </w:rPr>
        <w:t>“</w:t>
      </w:r>
      <w:r w:rsidR="000C1B0F" w:rsidRPr="000C1B0F">
        <w:rPr>
          <w:lang w:val="es-ES_tradnl" w:eastAsia="es-ES"/>
        </w:rPr>
        <w:t xml:space="preserve">Solicito en copia simple o formato del "documento de seguridad" </w:t>
      </w:r>
      <w:proofErr w:type="spellStart"/>
      <w:r w:rsidR="000C1B0F" w:rsidRPr="000C1B0F">
        <w:rPr>
          <w:lang w:val="es-ES_tradnl" w:eastAsia="es-ES"/>
        </w:rPr>
        <w:t>aprovado</w:t>
      </w:r>
      <w:proofErr w:type="spellEnd"/>
      <w:r w:rsidR="000C1B0F" w:rsidRPr="000C1B0F">
        <w:rPr>
          <w:lang w:val="es-ES_tradnl" w:eastAsia="es-ES"/>
        </w:rPr>
        <w:t xml:space="preserve"> por el </w:t>
      </w:r>
      <w:proofErr w:type="spellStart"/>
      <w:r w:rsidR="000C1B0F" w:rsidRPr="000C1B0F">
        <w:rPr>
          <w:lang w:val="es-ES_tradnl" w:eastAsia="es-ES"/>
        </w:rPr>
        <w:t>Comite</w:t>
      </w:r>
      <w:proofErr w:type="spellEnd"/>
      <w:r w:rsidR="000C1B0F" w:rsidRPr="000C1B0F">
        <w:rPr>
          <w:lang w:val="es-ES_tradnl" w:eastAsia="es-ES"/>
        </w:rPr>
        <w:t xml:space="preserve"> de Transparencia o por el Sujeto Obligado el cual contiene las medidas de seguridad aplicables a las bases y sistemas de datos personales que refiere el </w:t>
      </w:r>
      <w:proofErr w:type="spellStart"/>
      <w:r w:rsidR="000C1B0F" w:rsidRPr="000C1B0F">
        <w:rPr>
          <w:lang w:val="es-ES_tradnl" w:eastAsia="es-ES"/>
        </w:rPr>
        <w:t>articulo</w:t>
      </w:r>
      <w:proofErr w:type="spellEnd"/>
      <w:r w:rsidR="000C1B0F" w:rsidRPr="000C1B0F">
        <w:rPr>
          <w:lang w:val="es-ES_tradnl" w:eastAsia="es-ES"/>
        </w:rPr>
        <w:t xml:space="preserve"> 48 de la Ley de </w:t>
      </w:r>
      <w:proofErr w:type="spellStart"/>
      <w:r w:rsidR="000C1B0F" w:rsidRPr="000C1B0F">
        <w:rPr>
          <w:lang w:val="es-ES_tradnl" w:eastAsia="es-ES"/>
        </w:rPr>
        <w:t>Proteccion</w:t>
      </w:r>
      <w:proofErr w:type="spellEnd"/>
      <w:r w:rsidR="000C1B0F" w:rsidRPr="000C1B0F">
        <w:rPr>
          <w:lang w:val="es-ES_tradnl" w:eastAsia="es-ES"/>
        </w:rPr>
        <w:t xml:space="preserve"> de Datos Personales en </w:t>
      </w:r>
      <w:proofErr w:type="spellStart"/>
      <w:r w:rsidR="000C1B0F" w:rsidRPr="000C1B0F">
        <w:rPr>
          <w:lang w:val="es-ES_tradnl" w:eastAsia="es-ES"/>
        </w:rPr>
        <w:t>Posesion</w:t>
      </w:r>
      <w:proofErr w:type="spellEnd"/>
      <w:r w:rsidR="000C1B0F" w:rsidRPr="000C1B0F">
        <w:rPr>
          <w:lang w:val="es-ES_tradnl" w:eastAsia="es-ES"/>
        </w:rPr>
        <w:t xml:space="preserve"> de Sujetos Obligados del Estado de México y Municipios.</w:t>
      </w:r>
      <w:r w:rsidRPr="00D705FF">
        <w:rPr>
          <w:lang w:val="es-ES_tradnl" w:eastAsia="es-ES"/>
        </w:rPr>
        <w:t>” (</w:t>
      </w:r>
      <w:proofErr w:type="gramStart"/>
      <w:r w:rsidRPr="00D705FF">
        <w:rPr>
          <w:lang w:val="es-ES_tradnl" w:eastAsia="es-ES"/>
        </w:rPr>
        <w:t>sic</w:t>
      </w:r>
      <w:proofErr w:type="gramEnd"/>
      <w:r w:rsidRPr="00D705FF">
        <w:rPr>
          <w:lang w:val="es-ES_tradnl" w:eastAsia="es-ES"/>
        </w:rPr>
        <w:t>)</w:t>
      </w:r>
    </w:p>
    <w:p w:rsidR="00373CCC" w:rsidRPr="002C3EC8" w:rsidRDefault="00373CCC" w:rsidP="00373CC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sidRPr="002C3EC8">
        <w:rPr>
          <w:rFonts w:ascii="Palatino Linotype" w:eastAsia="Times New Roman" w:hAnsi="Palatino Linotype" w:cs="Times New Roman"/>
          <w:sz w:val="24"/>
          <w:szCs w:val="24"/>
          <w:lang w:val="es-ES_tradnl" w:eastAsia="es-ES"/>
        </w:rPr>
        <w:t xml:space="preserve"> A través del SAIMEX.</w:t>
      </w:r>
    </w:p>
    <w:p w:rsidR="00373CCC" w:rsidRDefault="00373CCC" w:rsidP="00373CCC">
      <w:pPr>
        <w:spacing w:before="240" w:line="360" w:lineRule="auto"/>
        <w:jc w:val="both"/>
        <w:rPr>
          <w:rFonts w:ascii="Palatino Linotype" w:hAnsi="Palatino Linotype" w:cs="Arial"/>
          <w:b/>
          <w:sz w:val="28"/>
        </w:rPr>
      </w:pPr>
    </w:p>
    <w:p w:rsidR="00373CCC" w:rsidRDefault="00373CCC" w:rsidP="00373CCC">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w:t>
      </w:r>
      <w:r w:rsidRPr="00165D6E">
        <w:rPr>
          <w:rFonts w:ascii="Palatino Linotype" w:hAnsi="Palatino Linotype" w:cs="Arial"/>
          <w:b/>
          <w:sz w:val="28"/>
          <w:szCs w:val="20"/>
        </w:rPr>
        <w:t>.</w:t>
      </w:r>
    </w:p>
    <w:p w:rsidR="00373CCC" w:rsidRDefault="00373CCC" w:rsidP="00373CC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0C1B0F">
        <w:rPr>
          <w:rFonts w:ascii="Palatino Linotype" w:hAnsi="Palatino Linotype" w:cs="Arial"/>
          <w:b/>
        </w:rPr>
        <w:t>once de julio</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dio respuesta a la solicitud de información en los siguientes términos:</w:t>
      </w:r>
    </w:p>
    <w:p w:rsidR="00373CCC" w:rsidRPr="00E818A5" w:rsidRDefault="00373CCC" w:rsidP="000C1B0F">
      <w:pPr>
        <w:pStyle w:val="INFOEM"/>
        <w:rPr>
          <w:rFonts w:cs="Arial"/>
          <w:sz w:val="24"/>
        </w:rPr>
      </w:pPr>
      <w:r>
        <w:t>“</w:t>
      </w:r>
      <w:r w:rsidR="000C1B0F" w:rsidRPr="000C1B0F">
        <w:t>ENVIO RESPUESTA A LA SOLICITUD DE INFORMACION</w:t>
      </w:r>
      <w:r>
        <w:t>” (Sic)</w:t>
      </w:r>
    </w:p>
    <w:p w:rsidR="000C1B0F" w:rsidRDefault="000C1B0F" w:rsidP="000C1B0F">
      <w:pPr>
        <w:spacing w:after="0" w:line="360" w:lineRule="auto"/>
        <w:jc w:val="both"/>
        <w:rPr>
          <w:rFonts w:ascii="Palatino Linotype" w:hAnsi="Palatino Linotype" w:cs="Arial"/>
          <w:sz w:val="24"/>
        </w:rPr>
      </w:pPr>
    </w:p>
    <w:p w:rsidR="00373CCC" w:rsidRDefault="000C1B0F" w:rsidP="000C1B0F">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el archivo electrónico denominado “</w:t>
      </w:r>
      <w:r w:rsidRPr="000C1B0F">
        <w:rPr>
          <w:rFonts w:ascii="Palatino Linotype" w:hAnsi="Palatino Linotype" w:cs="Arial"/>
          <w:sz w:val="24"/>
        </w:rPr>
        <w:t>RESP_SAIMEX 690.pdf</w:t>
      </w:r>
      <w:r>
        <w:rPr>
          <w:rFonts w:ascii="Palatino Linotype" w:hAnsi="Palatino Linotype" w:cs="Arial"/>
          <w:sz w:val="24"/>
        </w:rPr>
        <w:t xml:space="preserve">”, mismo que no se reproduce por ser del conocimiento de las partes, sin embargo, será materia de estudio en el </w:t>
      </w:r>
      <w:r w:rsidRPr="000C1B0F">
        <w:rPr>
          <w:rFonts w:ascii="Palatino Linotype" w:hAnsi="Palatino Linotype" w:cs="Arial"/>
          <w:b/>
          <w:sz w:val="24"/>
        </w:rPr>
        <w:t>Considerando</w:t>
      </w:r>
      <w:r>
        <w:rPr>
          <w:rFonts w:ascii="Palatino Linotype" w:hAnsi="Palatino Linotype" w:cs="Arial"/>
          <w:sz w:val="24"/>
        </w:rPr>
        <w:t xml:space="preserve"> respectivo. </w:t>
      </w:r>
    </w:p>
    <w:p w:rsidR="00373CCC" w:rsidRDefault="00373CCC" w:rsidP="00373CCC">
      <w:pPr>
        <w:spacing w:before="240" w:line="360" w:lineRule="auto"/>
        <w:jc w:val="both"/>
        <w:rPr>
          <w:rFonts w:ascii="Palatino Linotype" w:hAnsi="Palatino Linotype" w:cs="Arial"/>
          <w:b/>
          <w:sz w:val="28"/>
        </w:rPr>
      </w:pPr>
    </w:p>
    <w:p w:rsidR="00373CCC" w:rsidRPr="002C3EC8" w:rsidRDefault="00373CCC" w:rsidP="00373CCC">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373CCC" w:rsidRDefault="00373CCC" w:rsidP="00373CC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E2259D">
        <w:rPr>
          <w:rFonts w:ascii="Palatino Linotype" w:hAnsi="Palatino Linotype" w:cs="Arial"/>
          <w:b/>
          <w:sz w:val="24"/>
          <w:szCs w:val="24"/>
        </w:rPr>
        <w:t>cinco de agosto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w:t>
      </w:r>
      <w:r w:rsidR="000C1B0F">
        <w:rPr>
          <w:rFonts w:ascii="Palatino Linotype" w:hAnsi="Palatino Linotype" w:cs="Arial"/>
          <w:b/>
          <w:sz w:val="24"/>
          <w:szCs w:val="24"/>
        </w:rPr>
        <w:t>4615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373CCC" w:rsidRDefault="00373CCC" w:rsidP="00373CC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373CCC" w:rsidRPr="007E4713" w:rsidRDefault="00373CCC" w:rsidP="00373CCC">
      <w:pPr>
        <w:pStyle w:val="Prrafodelista"/>
        <w:spacing w:before="240" w:line="360" w:lineRule="auto"/>
        <w:ind w:left="720"/>
        <w:jc w:val="both"/>
        <w:rPr>
          <w:rFonts w:ascii="Palatino Linotype" w:hAnsi="Palatino Linotype" w:cs="Arial"/>
          <w:i/>
        </w:rPr>
      </w:pPr>
      <w:r w:rsidRPr="007E4713">
        <w:rPr>
          <w:rFonts w:ascii="Palatino Linotype" w:hAnsi="Palatino Linotype" w:cs="Arial"/>
          <w:i/>
        </w:rPr>
        <w:lastRenderedPageBreak/>
        <w:t>“</w:t>
      </w:r>
      <w:r w:rsidR="00E2259D" w:rsidRPr="00E2259D">
        <w:rPr>
          <w:rFonts w:ascii="Palatino Linotype" w:hAnsi="Palatino Linotype" w:cs="Arial"/>
          <w:i/>
          <w:lang w:val="es-MX"/>
        </w:rPr>
        <w:t xml:space="preserve">me inconformo toda vez que el sujeto obligado se muestra opaco al no entregar la </w:t>
      </w:r>
      <w:proofErr w:type="spellStart"/>
      <w:r w:rsidR="00E2259D" w:rsidRPr="00E2259D">
        <w:rPr>
          <w:rFonts w:ascii="Palatino Linotype" w:hAnsi="Palatino Linotype" w:cs="Arial"/>
          <w:i/>
          <w:lang w:val="es-MX"/>
        </w:rPr>
        <w:t>informacion</w:t>
      </w:r>
      <w:proofErr w:type="spellEnd"/>
      <w:r w:rsidR="00E2259D" w:rsidRPr="00E2259D">
        <w:rPr>
          <w:rFonts w:ascii="Palatino Linotype" w:hAnsi="Palatino Linotype" w:cs="Arial"/>
          <w:i/>
          <w:lang w:val="es-MX"/>
        </w:rPr>
        <w:t xml:space="preserve"> solicitada, puede entregar la </w:t>
      </w:r>
      <w:proofErr w:type="spellStart"/>
      <w:r w:rsidR="00E2259D" w:rsidRPr="00E2259D">
        <w:rPr>
          <w:rFonts w:ascii="Palatino Linotype" w:hAnsi="Palatino Linotype" w:cs="Arial"/>
          <w:i/>
          <w:lang w:val="es-MX"/>
        </w:rPr>
        <w:t>ultima</w:t>
      </w:r>
      <w:proofErr w:type="spellEnd"/>
      <w:r w:rsidR="00E2259D" w:rsidRPr="00E2259D">
        <w:rPr>
          <w:rFonts w:ascii="Palatino Linotype" w:hAnsi="Palatino Linotype" w:cs="Arial"/>
          <w:i/>
          <w:lang w:val="es-MX"/>
        </w:rPr>
        <w:t xml:space="preserve"> </w:t>
      </w:r>
      <w:proofErr w:type="spellStart"/>
      <w:r w:rsidR="00E2259D" w:rsidRPr="00E2259D">
        <w:rPr>
          <w:rFonts w:ascii="Palatino Linotype" w:hAnsi="Palatino Linotype" w:cs="Arial"/>
          <w:i/>
          <w:lang w:val="es-MX"/>
        </w:rPr>
        <w:t>version</w:t>
      </w:r>
      <w:proofErr w:type="spellEnd"/>
      <w:r w:rsidR="00E2259D" w:rsidRPr="00E2259D">
        <w:rPr>
          <w:rFonts w:ascii="Palatino Linotype" w:hAnsi="Palatino Linotype" w:cs="Arial"/>
          <w:i/>
          <w:lang w:val="es-MX"/>
        </w:rPr>
        <w:t xml:space="preserve"> del documento, sin embargo pone de pretexto su </w:t>
      </w:r>
      <w:proofErr w:type="spellStart"/>
      <w:r w:rsidR="00E2259D" w:rsidRPr="00E2259D">
        <w:rPr>
          <w:rFonts w:ascii="Palatino Linotype" w:hAnsi="Palatino Linotype" w:cs="Arial"/>
          <w:i/>
          <w:lang w:val="es-MX"/>
        </w:rPr>
        <w:t>elaboracion</w:t>
      </w:r>
      <w:proofErr w:type="spellEnd"/>
      <w:r>
        <w:rPr>
          <w:rFonts w:ascii="Palatino Linotype" w:hAnsi="Palatino Linotype" w:cs="Arial"/>
          <w:i/>
        </w:rPr>
        <w:t>” (sic)</w:t>
      </w:r>
    </w:p>
    <w:p w:rsidR="00373CCC" w:rsidRPr="0033050B" w:rsidRDefault="00373CCC" w:rsidP="00373CC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373CCC" w:rsidRPr="009068C9" w:rsidRDefault="00373CCC" w:rsidP="00373CCC">
      <w:pPr>
        <w:spacing w:before="240" w:line="360" w:lineRule="auto"/>
        <w:ind w:left="851"/>
        <w:jc w:val="both"/>
        <w:rPr>
          <w:rFonts w:ascii="Palatino Linotype" w:hAnsi="Palatino Linotype" w:cs="Arial"/>
          <w:i/>
          <w:sz w:val="24"/>
          <w:szCs w:val="24"/>
        </w:rPr>
      </w:pPr>
      <w:r>
        <w:rPr>
          <w:rFonts w:ascii="Palatino Linotype" w:hAnsi="Palatino Linotype" w:cs="Arial"/>
          <w:i/>
          <w:sz w:val="24"/>
          <w:szCs w:val="24"/>
        </w:rPr>
        <w:t>“</w:t>
      </w:r>
      <w:r w:rsidR="00E2259D" w:rsidRPr="00E2259D">
        <w:rPr>
          <w:rFonts w:ascii="Palatino Linotype" w:hAnsi="Palatino Linotype" w:cs="Arial"/>
          <w:i/>
          <w:sz w:val="24"/>
          <w:szCs w:val="24"/>
        </w:rPr>
        <w:t xml:space="preserve">debe de contar con registros del año anterior </w:t>
      </w:r>
      <w:proofErr w:type="spellStart"/>
      <w:r w:rsidR="00E2259D" w:rsidRPr="00E2259D">
        <w:rPr>
          <w:rFonts w:ascii="Palatino Linotype" w:hAnsi="Palatino Linotype" w:cs="Arial"/>
          <w:i/>
          <w:sz w:val="24"/>
          <w:szCs w:val="24"/>
        </w:rPr>
        <w:t>almenos</w:t>
      </w:r>
      <w:proofErr w:type="spellEnd"/>
      <w:r w:rsidR="00E2259D" w:rsidRPr="00E2259D">
        <w:rPr>
          <w:rFonts w:ascii="Palatino Linotype" w:hAnsi="Palatino Linotype" w:cs="Arial"/>
          <w:i/>
          <w:sz w:val="24"/>
          <w:szCs w:val="24"/>
        </w:rPr>
        <w:t xml:space="preserve">, pido que entregue la </w:t>
      </w:r>
      <w:proofErr w:type="spellStart"/>
      <w:r w:rsidR="00E2259D" w:rsidRPr="00E2259D">
        <w:rPr>
          <w:rFonts w:ascii="Palatino Linotype" w:hAnsi="Palatino Linotype" w:cs="Arial"/>
          <w:i/>
          <w:sz w:val="24"/>
          <w:szCs w:val="24"/>
        </w:rPr>
        <w:t>informacion</w:t>
      </w:r>
      <w:proofErr w:type="spellEnd"/>
      <w:r w:rsidR="00E2259D" w:rsidRPr="00E2259D">
        <w:rPr>
          <w:rFonts w:ascii="Palatino Linotype" w:hAnsi="Palatino Linotype" w:cs="Arial"/>
          <w:i/>
          <w:sz w:val="24"/>
          <w:szCs w:val="24"/>
        </w:rPr>
        <w:t xml:space="preserve"> publica solicitada</w:t>
      </w:r>
      <w:r>
        <w:rPr>
          <w:rFonts w:ascii="Palatino Linotype" w:hAnsi="Palatino Linotype" w:cs="Arial"/>
          <w:i/>
          <w:sz w:val="24"/>
          <w:szCs w:val="24"/>
        </w:rPr>
        <w:t>” (sic)</w:t>
      </w:r>
    </w:p>
    <w:p w:rsidR="00373CCC" w:rsidRDefault="00373CCC" w:rsidP="00373CCC">
      <w:pPr>
        <w:spacing w:after="0" w:line="360" w:lineRule="auto"/>
        <w:jc w:val="both"/>
        <w:rPr>
          <w:rFonts w:ascii="Palatino Linotype" w:hAnsi="Palatino Linotype" w:cs="Arial"/>
          <w:sz w:val="24"/>
          <w:szCs w:val="24"/>
        </w:rPr>
      </w:pPr>
    </w:p>
    <w:p w:rsidR="00373CCC" w:rsidRPr="002C3EC8" w:rsidRDefault="00373CCC" w:rsidP="00373CCC">
      <w:pPr>
        <w:spacing w:before="240" w:line="360" w:lineRule="auto"/>
        <w:jc w:val="both"/>
        <w:rPr>
          <w:rFonts w:ascii="Palatino Linotype" w:hAnsi="Palatino Linotype" w:cs="Arial"/>
          <w:b/>
          <w:sz w:val="24"/>
          <w:szCs w:val="24"/>
        </w:rPr>
      </w:pPr>
      <w:r>
        <w:rPr>
          <w:rFonts w:ascii="Palatino Linotype" w:hAnsi="Palatino Linotype" w:cs="Arial"/>
          <w:b/>
          <w:sz w:val="28"/>
        </w:rPr>
        <w:t xml:space="preserve">CUARTO.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373CCC" w:rsidRPr="002C3EC8" w:rsidRDefault="00373CCC" w:rsidP="00373CCC">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E2259D">
        <w:rPr>
          <w:rFonts w:ascii="Palatino Linotype" w:hAnsi="Palatino Linotype"/>
          <w:b/>
          <w:sz w:val="24"/>
        </w:rPr>
        <w:t>nueve de agosto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373CCC" w:rsidRPr="002C3EC8" w:rsidRDefault="00373CCC" w:rsidP="00373CCC">
      <w:pPr>
        <w:spacing w:before="240" w:line="360" w:lineRule="auto"/>
        <w:jc w:val="both"/>
        <w:rPr>
          <w:rFonts w:ascii="Palatino Linotype" w:hAnsi="Palatino Linotype" w:cs="Arial"/>
          <w:sz w:val="24"/>
          <w:szCs w:val="24"/>
        </w:rPr>
      </w:pPr>
    </w:p>
    <w:p w:rsidR="00373CCC" w:rsidRPr="00E52C83" w:rsidRDefault="00373CCC" w:rsidP="00373CC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E2259D" w:rsidRPr="00E2259D" w:rsidRDefault="00E2259D" w:rsidP="00E2259D">
      <w:pPr>
        <w:spacing w:line="360" w:lineRule="auto"/>
        <w:jc w:val="both"/>
        <w:rPr>
          <w:rFonts w:ascii="Palatino Linotype" w:hAnsi="Palatino Linotype"/>
          <w:sz w:val="24"/>
        </w:rPr>
      </w:pPr>
      <w:r w:rsidRPr="00E2259D">
        <w:rPr>
          <w:rFonts w:ascii="Palatino Linotype" w:hAnsi="Palatino Linotype" w:cs="Arial"/>
          <w:sz w:val="24"/>
        </w:rPr>
        <w:t xml:space="preserve">De las constancias que obran en el expediente electrónico del SAIMEX, se advierte que el </w:t>
      </w:r>
      <w:r w:rsidRPr="00E2259D">
        <w:rPr>
          <w:rFonts w:ascii="Palatino Linotype" w:hAnsi="Palatino Linotype" w:cs="Arial"/>
          <w:b/>
          <w:sz w:val="24"/>
        </w:rPr>
        <w:t>Sujeto Obligado</w:t>
      </w:r>
      <w:r w:rsidRPr="00E2259D">
        <w:rPr>
          <w:rFonts w:ascii="Palatino Linotype" w:hAnsi="Palatino Linotype" w:cs="Arial"/>
          <w:sz w:val="24"/>
        </w:rPr>
        <w:t xml:space="preserve"> rindió su informe justificado en fecha </w:t>
      </w:r>
      <w:r>
        <w:rPr>
          <w:rFonts w:ascii="Palatino Linotype" w:hAnsi="Palatino Linotype" w:cs="Arial"/>
          <w:sz w:val="24"/>
        </w:rPr>
        <w:t>trece y dieciséis de agosto</w:t>
      </w:r>
      <w:r w:rsidRPr="00E2259D">
        <w:rPr>
          <w:rFonts w:ascii="Palatino Linotype" w:hAnsi="Palatino Linotype" w:cs="Arial"/>
          <w:sz w:val="24"/>
        </w:rPr>
        <w:t xml:space="preserve"> de dos mil veinticuatro, por medio del archivo electrónico “</w:t>
      </w:r>
      <w:r w:rsidRPr="00E2259D">
        <w:rPr>
          <w:rFonts w:ascii="Palatino Linotype" w:hAnsi="Palatino Linotype" w:cs="Arial"/>
          <w:b/>
          <w:i/>
          <w:sz w:val="24"/>
        </w:rPr>
        <w:t>RESP_SAIMEX 690.zip”</w:t>
      </w:r>
      <w:r>
        <w:rPr>
          <w:rFonts w:ascii="Palatino Linotype" w:hAnsi="Palatino Linotype" w:cs="Arial"/>
          <w:b/>
          <w:i/>
          <w:sz w:val="24"/>
        </w:rPr>
        <w:t xml:space="preserve"> y </w:t>
      </w:r>
      <w:r>
        <w:rPr>
          <w:rFonts w:ascii="Palatino Linotype" w:hAnsi="Palatino Linotype" w:cs="Arial"/>
          <w:b/>
          <w:i/>
          <w:sz w:val="24"/>
        </w:rPr>
        <w:lastRenderedPageBreak/>
        <w:t>“</w:t>
      </w:r>
      <w:r w:rsidRPr="00E2259D">
        <w:rPr>
          <w:rFonts w:ascii="Palatino Linotype" w:hAnsi="Palatino Linotype" w:cs="Arial"/>
          <w:b/>
          <w:i/>
          <w:sz w:val="24"/>
        </w:rPr>
        <w:t>DOC DE VERIFICACION.pdf</w:t>
      </w:r>
      <w:r>
        <w:rPr>
          <w:rFonts w:ascii="Palatino Linotype" w:hAnsi="Palatino Linotype" w:cs="Arial"/>
          <w:b/>
          <w:i/>
          <w:sz w:val="24"/>
        </w:rPr>
        <w:t>”</w:t>
      </w:r>
      <w:r w:rsidRPr="00E2259D">
        <w:rPr>
          <w:rFonts w:ascii="Palatino Linotype" w:hAnsi="Palatino Linotype" w:cs="Arial"/>
          <w:sz w:val="24"/>
        </w:rPr>
        <w:t xml:space="preserve">, el cual fue puesto a la vista en fecha </w:t>
      </w:r>
      <w:r>
        <w:rPr>
          <w:rFonts w:ascii="Palatino Linotype" w:hAnsi="Palatino Linotype" w:cs="Arial"/>
          <w:sz w:val="24"/>
        </w:rPr>
        <w:t>diez de septiembre</w:t>
      </w:r>
      <w:r w:rsidRPr="00E2259D">
        <w:rPr>
          <w:rFonts w:ascii="Palatino Linotype" w:hAnsi="Palatino Linotype" w:cs="Arial"/>
          <w:sz w:val="24"/>
        </w:rPr>
        <w:t xml:space="preserve"> del mismo año</w:t>
      </w:r>
      <w:r w:rsidRPr="00E2259D">
        <w:rPr>
          <w:rFonts w:ascii="Palatino Linotype" w:hAnsi="Palatino Linotype" w:cs="Arial"/>
          <w:b/>
          <w:i/>
          <w:sz w:val="24"/>
        </w:rPr>
        <w:t>.</w:t>
      </w:r>
    </w:p>
    <w:p w:rsidR="00E2259D" w:rsidRPr="00E2259D" w:rsidRDefault="00E2259D" w:rsidP="00E2259D">
      <w:pPr>
        <w:spacing w:line="360" w:lineRule="auto"/>
        <w:jc w:val="both"/>
        <w:rPr>
          <w:rFonts w:ascii="Palatino Linotype" w:hAnsi="Palatino Linotype"/>
          <w:sz w:val="24"/>
        </w:rPr>
      </w:pPr>
    </w:p>
    <w:p w:rsidR="00E2259D" w:rsidRPr="00E2259D" w:rsidRDefault="00E2259D" w:rsidP="00E2259D">
      <w:pPr>
        <w:spacing w:line="360" w:lineRule="auto"/>
        <w:jc w:val="both"/>
        <w:rPr>
          <w:rFonts w:ascii="Palatino Linotype" w:hAnsi="Palatino Linotype" w:cs="Arial"/>
          <w:sz w:val="24"/>
        </w:rPr>
      </w:pPr>
      <w:r w:rsidRPr="00E2259D">
        <w:rPr>
          <w:rFonts w:ascii="Palatino Linotype" w:hAnsi="Palatino Linotype" w:cs="Arial"/>
          <w:sz w:val="24"/>
        </w:rPr>
        <w:t xml:space="preserve">Así mismo, se aprecia que no se llevaron a cabo audiencias durante la sustanciación del recurso de revisión, ni se ofrecieron pruebas por parte del </w:t>
      </w:r>
      <w:r w:rsidRPr="00E2259D">
        <w:rPr>
          <w:rFonts w:ascii="Palatino Linotype" w:hAnsi="Palatino Linotype" w:cs="Arial"/>
          <w:b/>
          <w:sz w:val="24"/>
        </w:rPr>
        <w:t>Recurrente</w:t>
      </w:r>
      <w:r w:rsidRPr="00E2259D">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373CCC" w:rsidRDefault="00373CCC" w:rsidP="00373CCC">
      <w:pPr>
        <w:spacing w:after="0" w:line="360" w:lineRule="auto"/>
        <w:jc w:val="both"/>
        <w:rPr>
          <w:rFonts w:ascii="Palatino Linotype" w:hAnsi="Palatino Linotype" w:cs="Arial"/>
          <w:b/>
          <w:sz w:val="28"/>
          <w:szCs w:val="28"/>
        </w:rPr>
      </w:pPr>
    </w:p>
    <w:p w:rsidR="00373CCC" w:rsidRPr="002C3EC8" w:rsidRDefault="00373CCC" w:rsidP="00373CCC">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373CCC" w:rsidRDefault="00373CCC" w:rsidP="00373CC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dieci</w:t>
      </w:r>
      <w:r w:rsidR="008711FE">
        <w:rPr>
          <w:rFonts w:ascii="Palatino Linotype" w:hAnsi="Palatino Linotype" w:cs="Arial"/>
          <w:b/>
          <w:sz w:val="24"/>
          <w:szCs w:val="24"/>
        </w:rPr>
        <w:t>siete</w:t>
      </w:r>
      <w:r>
        <w:rPr>
          <w:rFonts w:ascii="Palatino Linotype" w:hAnsi="Palatino Linotype" w:cs="Arial"/>
          <w:b/>
          <w:sz w:val="24"/>
          <w:szCs w:val="24"/>
        </w:rPr>
        <w:t xml:space="preserve"> de </w:t>
      </w:r>
      <w:r w:rsidR="00E2259D">
        <w:rPr>
          <w:rFonts w:ascii="Palatino Linotype" w:hAnsi="Palatino Linotype" w:cs="Arial"/>
          <w:b/>
          <w:sz w:val="24"/>
          <w:szCs w:val="24"/>
        </w:rPr>
        <w:t>septiembre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373CCC" w:rsidRDefault="00373CCC" w:rsidP="00373CCC">
      <w:pPr>
        <w:spacing w:after="0" w:line="360" w:lineRule="auto"/>
        <w:jc w:val="both"/>
        <w:rPr>
          <w:rFonts w:ascii="Palatino Linotype" w:hAnsi="Palatino Linotype" w:cs="Arial"/>
          <w:sz w:val="24"/>
          <w:szCs w:val="24"/>
        </w:rPr>
      </w:pPr>
    </w:p>
    <w:p w:rsidR="00373CCC" w:rsidRPr="004449B1" w:rsidRDefault="00373CCC" w:rsidP="00373CCC">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SÉPTIMO</w:t>
      </w:r>
      <w:r w:rsidRPr="004449B1">
        <w:rPr>
          <w:rFonts w:ascii="Palatino Linotype" w:eastAsia="Calibri" w:hAnsi="Palatino Linotype" w:cs="Arial"/>
          <w:b/>
          <w:sz w:val="28"/>
          <w:lang w:val="es-ES_tradnl"/>
        </w:rPr>
        <w:t>. De la ampliación del término para resolver.</w:t>
      </w:r>
    </w:p>
    <w:p w:rsidR="00373CCC" w:rsidRPr="001C7FB0" w:rsidRDefault="00373CCC" w:rsidP="00373CCC">
      <w:pPr>
        <w:spacing w:after="0" w:line="360" w:lineRule="auto"/>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de revisión, por lo que en fecha </w:t>
      </w:r>
      <w:r w:rsidR="00E2259D">
        <w:rPr>
          <w:rFonts w:ascii="Palatino Linotype" w:eastAsia="Calibri" w:hAnsi="Palatino Linotype" w:cs="Arial"/>
          <w:b/>
          <w:sz w:val="24"/>
          <w:lang w:val="es-ES_tradnl"/>
        </w:rPr>
        <w:t>dieci</w:t>
      </w:r>
      <w:r w:rsidR="00BA6B24">
        <w:rPr>
          <w:rFonts w:ascii="Palatino Linotype" w:eastAsia="Calibri" w:hAnsi="Palatino Linotype" w:cs="Arial"/>
          <w:b/>
          <w:sz w:val="24"/>
          <w:lang w:val="es-ES_tradnl"/>
        </w:rPr>
        <w:t>ocho</w:t>
      </w:r>
      <w:r w:rsidR="00E2259D">
        <w:rPr>
          <w:rFonts w:ascii="Palatino Linotype" w:eastAsia="Calibri" w:hAnsi="Palatino Linotype" w:cs="Arial"/>
          <w:b/>
          <w:sz w:val="24"/>
          <w:lang w:val="es-ES_tradnl"/>
        </w:rPr>
        <w:t xml:space="preserve"> de septiembre</w:t>
      </w:r>
      <w:r>
        <w:rPr>
          <w:rFonts w:ascii="Palatino Linotype" w:eastAsia="Calibri" w:hAnsi="Palatino Linotype" w:cs="Arial"/>
          <w:b/>
          <w:sz w:val="24"/>
          <w:lang w:val="es-ES_tradnl"/>
        </w:rPr>
        <w:t xml:space="preserve"> de dos mil veinticuatro</w:t>
      </w:r>
      <w:r w:rsidRPr="001C7FB0">
        <w:rPr>
          <w:rFonts w:ascii="Palatino Linotype" w:eastAsia="Times New Roman" w:hAnsi="Palatino Linotype" w:cs="Arial"/>
          <w:sz w:val="24"/>
          <w:szCs w:val="24"/>
          <w:lang w:val="es-ES" w:eastAsia="es-ES"/>
        </w:rPr>
        <w:t xml:space="preserve">, se notificó a las partes el acuerdo por el que se ordena ampliar el plazo </w:t>
      </w:r>
      <w:r w:rsidRPr="001C7FB0">
        <w:rPr>
          <w:rFonts w:ascii="Palatino Linotype" w:eastAsia="Times New Roman" w:hAnsi="Palatino Linotype" w:cs="Arial"/>
          <w:sz w:val="24"/>
          <w:szCs w:val="24"/>
          <w:lang w:val="es-ES" w:eastAsia="es-ES"/>
        </w:rPr>
        <w:lastRenderedPageBreak/>
        <w:t>para la emisión de la resolución, en términos del artículo 181 párrafo tercero de la Ley de Transparencia y Acceso a la Información Pública del Estado de México y Municipios, ordenándose turnar los expedientes a la resolución que en derecho proceda.</w:t>
      </w:r>
    </w:p>
    <w:p w:rsidR="00373CCC" w:rsidRPr="001C7FB0" w:rsidRDefault="00373CCC" w:rsidP="00373CCC">
      <w:pPr>
        <w:spacing w:after="0" w:line="360" w:lineRule="auto"/>
        <w:jc w:val="both"/>
        <w:rPr>
          <w:rFonts w:ascii="Palatino Linotype" w:eastAsia="Times New Roman" w:hAnsi="Palatino Linotype" w:cs="Arial"/>
          <w:sz w:val="24"/>
          <w:szCs w:val="24"/>
          <w:lang w:val="es-ES" w:eastAsia="es-ES"/>
        </w:rPr>
      </w:pPr>
    </w:p>
    <w:p w:rsidR="00373CCC" w:rsidRPr="002C3EC8" w:rsidRDefault="00373CCC" w:rsidP="00373CC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373CCC" w:rsidRPr="002C3EC8" w:rsidRDefault="00373CCC" w:rsidP="00373CC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373CCC" w:rsidRPr="00165D42" w:rsidRDefault="00373CCC" w:rsidP="00373CCC">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373CCC" w:rsidRPr="002C3EC8" w:rsidRDefault="00373CCC" w:rsidP="00373CCC">
      <w:pPr>
        <w:spacing w:before="240" w:line="360" w:lineRule="auto"/>
        <w:jc w:val="both"/>
        <w:rPr>
          <w:rFonts w:ascii="Palatino Linotype" w:eastAsia="Calibri" w:hAnsi="Palatino Linotype"/>
          <w:b/>
          <w:color w:val="000000" w:themeColor="text1"/>
          <w:sz w:val="24"/>
          <w:szCs w:val="24"/>
        </w:rPr>
      </w:pPr>
    </w:p>
    <w:p w:rsidR="00373CCC" w:rsidRPr="002C3EC8" w:rsidRDefault="00373CCC" w:rsidP="00373CC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373CCC" w:rsidRPr="002C3EC8" w:rsidRDefault="00373CCC" w:rsidP="00373CC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73CCC" w:rsidRDefault="00373CCC" w:rsidP="00373CCC">
      <w:pPr>
        <w:pStyle w:val="Prrafodelista"/>
        <w:autoSpaceDE w:val="0"/>
        <w:autoSpaceDN w:val="0"/>
        <w:adjustRightInd w:val="0"/>
        <w:spacing w:before="240" w:after="160" w:line="360" w:lineRule="auto"/>
        <w:ind w:left="0"/>
        <w:jc w:val="both"/>
        <w:rPr>
          <w:rFonts w:ascii="Palatino Linotype" w:hAnsi="Palatino Linotype" w:cs="Arial"/>
          <w:b/>
          <w:sz w:val="28"/>
        </w:rPr>
      </w:pPr>
    </w:p>
    <w:p w:rsidR="00373CCC" w:rsidRPr="002C3EC8" w:rsidRDefault="00373CCC" w:rsidP="00373CC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373CCC" w:rsidRPr="002C3EC8" w:rsidRDefault="00373CCC" w:rsidP="00373CC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73CCC" w:rsidRPr="002C3EC8" w:rsidRDefault="00373CCC" w:rsidP="00373CCC">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w:t>
      </w:r>
      <w:r w:rsidRPr="002C3EC8">
        <w:rPr>
          <w:rFonts w:ascii="Palatino Linotype" w:hAnsi="Palatino Linotype" w:cs="Arial"/>
        </w:rPr>
        <w:lastRenderedPageBreak/>
        <w:t>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373CCC" w:rsidRDefault="00373CCC" w:rsidP="00373CCC">
      <w:pPr>
        <w:tabs>
          <w:tab w:val="left" w:pos="709"/>
        </w:tabs>
        <w:spacing w:before="240" w:line="360" w:lineRule="auto"/>
        <w:ind w:right="51"/>
        <w:jc w:val="both"/>
        <w:rPr>
          <w:rFonts w:ascii="Palatino Linotype" w:hAnsi="Palatino Linotype"/>
          <w:b/>
          <w:sz w:val="28"/>
          <w:szCs w:val="28"/>
        </w:rPr>
      </w:pPr>
    </w:p>
    <w:p w:rsidR="00373CCC" w:rsidRPr="002C3EC8" w:rsidRDefault="00373CCC" w:rsidP="00373CC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373CCC" w:rsidRPr="007379EE" w:rsidRDefault="00373CCC" w:rsidP="00373CC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7379EE">
        <w:rPr>
          <w:rFonts w:ascii="Palatino Linotype" w:eastAsia="Palatino Linotype" w:hAnsi="Palatino Linotype" w:cs="Palatino Linotype"/>
          <w:color w:val="000000"/>
          <w:sz w:val="24"/>
          <w:szCs w:val="24"/>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rsidR="00373CCC" w:rsidRDefault="00373CCC" w:rsidP="00373CCC">
      <w:pPr>
        <w:autoSpaceDE w:val="0"/>
        <w:autoSpaceDN w:val="0"/>
        <w:adjustRightInd w:val="0"/>
        <w:ind w:right="567"/>
        <w:rPr>
          <w:rFonts w:ascii="Palatino Linotype" w:eastAsia="Calibri" w:hAnsi="Palatino Linotype" w:cs="Arial"/>
        </w:rPr>
      </w:pPr>
    </w:p>
    <w:p w:rsidR="00373CCC" w:rsidRPr="00A779C7" w:rsidRDefault="00373CCC" w:rsidP="00373CCC">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373CCC" w:rsidRPr="00A82A0A" w:rsidRDefault="003C1596" w:rsidP="00E2259D">
      <w:pPr>
        <w:pStyle w:val="Prrafodelista"/>
        <w:numPr>
          <w:ilvl w:val="0"/>
          <w:numId w:val="3"/>
        </w:numPr>
        <w:tabs>
          <w:tab w:val="left" w:pos="1828"/>
        </w:tabs>
        <w:spacing w:before="240" w:line="360" w:lineRule="auto"/>
        <w:jc w:val="both"/>
        <w:rPr>
          <w:rFonts w:ascii="Palatino Linotype" w:hAnsi="Palatino Linotype" w:cs="Tahoma"/>
          <w:bCs/>
        </w:rPr>
      </w:pPr>
      <w:r>
        <w:rPr>
          <w:rFonts w:ascii="Palatino Linotype" w:hAnsi="Palatino Linotype" w:cs="Tahoma"/>
          <w:bCs/>
          <w:lang w:val="es-MX"/>
        </w:rPr>
        <w:t>Documento de seguridad</w:t>
      </w:r>
      <w:r w:rsidR="00E2259D" w:rsidRPr="00E2259D">
        <w:rPr>
          <w:rFonts w:ascii="Palatino Linotype" w:hAnsi="Palatino Linotype" w:cs="Tahoma"/>
          <w:bCs/>
          <w:lang w:val="es-MX"/>
        </w:rPr>
        <w:t xml:space="preserve"> </w:t>
      </w:r>
      <w:r w:rsidRPr="00E2259D">
        <w:rPr>
          <w:rFonts w:ascii="Palatino Linotype" w:hAnsi="Palatino Linotype" w:cs="Tahoma"/>
          <w:bCs/>
          <w:lang w:val="es-MX"/>
        </w:rPr>
        <w:t>aprobado</w:t>
      </w:r>
      <w:r w:rsidR="00E2259D" w:rsidRPr="00E2259D">
        <w:rPr>
          <w:rFonts w:ascii="Palatino Linotype" w:hAnsi="Palatino Linotype" w:cs="Tahoma"/>
          <w:bCs/>
          <w:lang w:val="es-MX"/>
        </w:rPr>
        <w:t xml:space="preserve"> por el </w:t>
      </w:r>
      <w:r w:rsidRPr="00E2259D">
        <w:rPr>
          <w:rFonts w:ascii="Palatino Linotype" w:hAnsi="Palatino Linotype" w:cs="Tahoma"/>
          <w:bCs/>
          <w:lang w:val="es-MX"/>
        </w:rPr>
        <w:t>Comité</w:t>
      </w:r>
      <w:r w:rsidR="00E2259D" w:rsidRPr="00E2259D">
        <w:rPr>
          <w:rFonts w:ascii="Palatino Linotype" w:hAnsi="Palatino Linotype" w:cs="Tahoma"/>
          <w:bCs/>
          <w:lang w:val="es-MX"/>
        </w:rPr>
        <w:t xml:space="preserve"> de Transparencia o por el Sujeto Obligado el cual contiene las medidas de seguridad aplicables a las bases y sistemas de datos personales que refiere el </w:t>
      </w:r>
      <w:r w:rsidRPr="00E2259D">
        <w:rPr>
          <w:rFonts w:ascii="Palatino Linotype" w:hAnsi="Palatino Linotype" w:cs="Tahoma"/>
          <w:bCs/>
          <w:lang w:val="es-MX"/>
        </w:rPr>
        <w:t>artículo</w:t>
      </w:r>
      <w:r w:rsidR="00E2259D" w:rsidRPr="00E2259D">
        <w:rPr>
          <w:rFonts w:ascii="Palatino Linotype" w:hAnsi="Palatino Linotype" w:cs="Tahoma"/>
          <w:bCs/>
          <w:lang w:val="es-MX"/>
        </w:rPr>
        <w:t xml:space="preserve"> 48 de la Ley de </w:t>
      </w:r>
      <w:r w:rsidRPr="00E2259D">
        <w:rPr>
          <w:rFonts w:ascii="Palatino Linotype" w:hAnsi="Palatino Linotype" w:cs="Tahoma"/>
          <w:bCs/>
          <w:lang w:val="es-MX"/>
        </w:rPr>
        <w:t>Protección</w:t>
      </w:r>
      <w:r w:rsidR="00E2259D" w:rsidRPr="00E2259D">
        <w:rPr>
          <w:rFonts w:ascii="Palatino Linotype" w:hAnsi="Palatino Linotype" w:cs="Tahoma"/>
          <w:bCs/>
          <w:lang w:val="es-MX"/>
        </w:rPr>
        <w:t xml:space="preserve"> de Datos Personales en </w:t>
      </w:r>
      <w:r w:rsidRPr="00E2259D">
        <w:rPr>
          <w:rFonts w:ascii="Palatino Linotype" w:hAnsi="Palatino Linotype" w:cs="Tahoma"/>
          <w:bCs/>
          <w:lang w:val="es-MX"/>
        </w:rPr>
        <w:t>Posesión</w:t>
      </w:r>
      <w:r w:rsidR="00E2259D" w:rsidRPr="00E2259D">
        <w:rPr>
          <w:rFonts w:ascii="Palatino Linotype" w:hAnsi="Palatino Linotype" w:cs="Tahoma"/>
          <w:bCs/>
          <w:lang w:val="es-MX"/>
        </w:rPr>
        <w:t xml:space="preserve"> de Sujetos Obligados del Estado de México y </w:t>
      </w:r>
      <w:r w:rsidRPr="00E2259D">
        <w:rPr>
          <w:rFonts w:ascii="Palatino Linotype" w:hAnsi="Palatino Linotype" w:cs="Tahoma"/>
          <w:bCs/>
          <w:lang w:val="es-MX"/>
        </w:rPr>
        <w:t>Municipios.</w:t>
      </w:r>
    </w:p>
    <w:p w:rsidR="00373CCC" w:rsidRDefault="00373CCC" w:rsidP="00373CCC">
      <w:pPr>
        <w:tabs>
          <w:tab w:val="left" w:pos="1828"/>
        </w:tabs>
        <w:spacing w:before="240" w:line="360" w:lineRule="auto"/>
        <w:jc w:val="both"/>
        <w:rPr>
          <w:rFonts w:ascii="Palatino Linotype" w:hAnsi="Palatino Linotype" w:cs="Arial"/>
          <w:sz w:val="24"/>
        </w:rPr>
      </w:pPr>
    </w:p>
    <w:p w:rsidR="00373CCC" w:rsidRDefault="00373CCC" w:rsidP="00373CCC">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0C1B0F">
        <w:rPr>
          <w:rFonts w:ascii="Palatino Linotype" w:hAnsi="Palatino Linotype" w:cs="Arial"/>
          <w:b/>
          <w:sz w:val="24"/>
        </w:rPr>
        <w:t>00690/TLALNEPA/IP/2024</w:t>
      </w:r>
      <w:r w:rsidR="003C1596">
        <w:rPr>
          <w:rFonts w:ascii="Palatino Linotype" w:hAnsi="Palatino Linotype" w:cs="Arial"/>
          <w:b/>
          <w:sz w:val="24"/>
        </w:rPr>
        <w:t xml:space="preserve">, </w:t>
      </w:r>
      <w:r w:rsidR="003C1596">
        <w:rPr>
          <w:rFonts w:ascii="Palatino Linotype" w:hAnsi="Palatino Linotype" w:cs="Arial"/>
          <w:sz w:val="24"/>
        </w:rPr>
        <w:t>por medio del archivo electrónico</w:t>
      </w:r>
      <w:r>
        <w:rPr>
          <w:rFonts w:ascii="Palatino Linotype" w:hAnsi="Palatino Linotype" w:cs="Arial"/>
          <w:sz w:val="24"/>
        </w:rPr>
        <w:t xml:space="preserve"> siguiente</w:t>
      </w:r>
      <w:r>
        <w:rPr>
          <w:rFonts w:ascii="Palatino Linotype" w:eastAsia="Palatino Linotype" w:hAnsi="Palatino Linotype" w:cs="Palatino Linotype"/>
          <w:color w:val="000000"/>
          <w:sz w:val="24"/>
        </w:rPr>
        <w:t>:</w:t>
      </w:r>
    </w:p>
    <w:p w:rsidR="003C1596" w:rsidRPr="003C1596" w:rsidRDefault="003C1596" w:rsidP="003C1596">
      <w:pPr>
        <w:pStyle w:val="Prrafodelista"/>
        <w:numPr>
          <w:ilvl w:val="0"/>
          <w:numId w:val="14"/>
        </w:numPr>
        <w:tabs>
          <w:tab w:val="left" w:pos="1828"/>
        </w:tabs>
        <w:spacing w:before="240" w:line="360" w:lineRule="auto"/>
        <w:jc w:val="both"/>
        <w:rPr>
          <w:rFonts w:ascii="Palatino Linotype" w:eastAsia="Palatino Linotype" w:hAnsi="Palatino Linotype" w:cs="Palatino Linotype"/>
          <w:color w:val="000000"/>
        </w:rPr>
      </w:pPr>
      <w:r w:rsidRPr="003C1596">
        <w:rPr>
          <w:rFonts w:ascii="Palatino Linotype" w:eastAsia="Palatino Linotype" w:hAnsi="Palatino Linotype" w:cs="Palatino Linotype"/>
          <w:b/>
          <w:color w:val="000000"/>
        </w:rPr>
        <w:t>RESP_SAIMEX 690.pdf</w:t>
      </w:r>
      <w:r>
        <w:rPr>
          <w:rFonts w:ascii="Palatino Linotype" w:eastAsia="Palatino Linotype" w:hAnsi="Palatino Linotype" w:cs="Palatino Linotype"/>
          <w:color w:val="000000"/>
        </w:rPr>
        <w:t xml:space="preserve">: constante de na foja,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contiene el oficio número UTAIM/02017/2024, de fecha once de julio de dos mil veinticuatro, firmado por el Titular de la Unidad de Transparencia y Acceso a la Información Pública, en el que refiere lo siguiente: </w:t>
      </w:r>
    </w:p>
    <w:p w:rsidR="00373CCC" w:rsidRDefault="00373CCC" w:rsidP="00373CCC">
      <w:pPr>
        <w:pStyle w:val="INFOEM"/>
      </w:pPr>
      <w:r>
        <w:t xml:space="preserve"> “(…)</w:t>
      </w:r>
    </w:p>
    <w:p w:rsidR="00373CCC" w:rsidRDefault="003C1596" w:rsidP="00373CCC">
      <w:pPr>
        <w:pStyle w:val="INFOEM"/>
      </w:pPr>
      <w:r>
        <w:lastRenderedPageBreak/>
        <w:t xml:space="preserve">Por lo anterior, </w:t>
      </w:r>
      <w:r w:rsidRPr="003C1596">
        <w:rPr>
          <w:b/>
        </w:rPr>
        <w:t>me permito informarle que dicha información se encuentra en proceso de actualización referente al primer semestre del ejercicio 2024</w:t>
      </w:r>
      <w:r>
        <w:t xml:space="preserve">, esto con fundamento en el artículo 49 y 50 de la Ley de Protección de Datos Personales en Posesión de Sujetos Obligados del Estado de México y Municipios. </w:t>
      </w:r>
    </w:p>
    <w:p w:rsidR="00373CCC" w:rsidRPr="00CA46EF" w:rsidRDefault="00373CCC" w:rsidP="00373CCC">
      <w:pPr>
        <w:pStyle w:val="INFOEM"/>
      </w:pPr>
      <w:r>
        <w:t>(…)” (Sic)</w:t>
      </w:r>
    </w:p>
    <w:p w:rsidR="00373CCC" w:rsidRDefault="00373CCC" w:rsidP="00373CCC">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color w:val="000000"/>
        </w:rPr>
      </w:pPr>
    </w:p>
    <w:p w:rsidR="00373CCC" w:rsidRDefault="00373CCC" w:rsidP="00373CCC">
      <w:pPr>
        <w:pBdr>
          <w:top w:val="nil"/>
          <w:left w:val="nil"/>
          <w:bottom w:val="nil"/>
          <w:right w:val="nil"/>
          <w:between w:val="nil"/>
        </w:pBdr>
        <w:spacing w:line="360" w:lineRule="auto"/>
        <w:contextualSpacing/>
        <w:jc w:val="both"/>
        <w:rPr>
          <w:rFonts w:ascii="Palatino Linotype" w:hAnsi="Palatino Linotype"/>
          <w:sz w:val="24"/>
          <w:szCs w:val="14"/>
        </w:rPr>
      </w:pPr>
    </w:p>
    <w:p w:rsidR="00373CCC" w:rsidRDefault="00373CCC" w:rsidP="00373C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sz w:val="24"/>
        </w:rPr>
        <w:t>“</w:t>
      </w:r>
      <w:proofErr w:type="spellStart"/>
      <w:r w:rsidR="003C1596" w:rsidRPr="003C1596">
        <w:rPr>
          <w:rFonts w:ascii="Palatino Linotype" w:hAnsi="Palatino Linotype"/>
          <w:i/>
          <w:sz w:val="24"/>
        </w:rPr>
        <w:t>ebe</w:t>
      </w:r>
      <w:proofErr w:type="spellEnd"/>
      <w:r w:rsidR="003C1596" w:rsidRPr="003C1596">
        <w:rPr>
          <w:rFonts w:ascii="Palatino Linotype" w:hAnsi="Palatino Linotype"/>
          <w:i/>
          <w:sz w:val="24"/>
        </w:rPr>
        <w:t xml:space="preserve"> de contar con registros del año anterior </w:t>
      </w:r>
      <w:proofErr w:type="spellStart"/>
      <w:r w:rsidR="003C1596" w:rsidRPr="003C1596">
        <w:rPr>
          <w:rFonts w:ascii="Palatino Linotype" w:hAnsi="Palatino Linotype"/>
          <w:i/>
          <w:sz w:val="24"/>
        </w:rPr>
        <w:t>almenos</w:t>
      </w:r>
      <w:proofErr w:type="spellEnd"/>
      <w:r w:rsidR="003C1596" w:rsidRPr="003C1596">
        <w:rPr>
          <w:rFonts w:ascii="Palatino Linotype" w:hAnsi="Palatino Linotype"/>
          <w:i/>
          <w:sz w:val="24"/>
        </w:rPr>
        <w:t xml:space="preserve">, pido que entregue la </w:t>
      </w:r>
      <w:proofErr w:type="spellStart"/>
      <w:r w:rsidR="003C1596" w:rsidRPr="003C1596">
        <w:rPr>
          <w:rFonts w:ascii="Palatino Linotype" w:hAnsi="Palatino Linotype"/>
          <w:i/>
          <w:sz w:val="24"/>
        </w:rPr>
        <w:t>informacion</w:t>
      </w:r>
      <w:proofErr w:type="spellEnd"/>
      <w:r w:rsidR="003C1596" w:rsidRPr="003C1596">
        <w:rPr>
          <w:rFonts w:ascii="Palatino Linotype" w:hAnsi="Palatino Linotype"/>
          <w:i/>
          <w:sz w:val="24"/>
        </w:rPr>
        <w:t xml:space="preserve"> publica solicitada</w:t>
      </w:r>
      <w:r w:rsidRPr="00DC7304">
        <w:rPr>
          <w:rFonts w:ascii="Palatino Linotype" w:hAnsi="Palatino Linotype"/>
          <w:i/>
          <w:sz w:val="24"/>
        </w:rPr>
        <w:t>”</w:t>
      </w:r>
      <w:r w:rsidRPr="00142AE4">
        <w:rPr>
          <w:rFonts w:ascii="Palatino Linotype" w:hAnsi="Palatino Linotype"/>
          <w:i/>
          <w:sz w:val="24"/>
        </w:rPr>
        <w:t xml:space="preserve"> (Sic)</w:t>
      </w:r>
      <w:r w:rsidRPr="00142AE4">
        <w:rPr>
          <w:rFonts w:ascii="Palatino Linotype" w:hAnsi="Palatino Linotype" w:cs="Arial"/>
          <w:bCs/>
          <w:sz w:val="24"/>
        </w:rPr>
        <w:t xml:space="preserve">. </w:t>
      </w:r>
    </w:p>
    <w:p w:rsidR="00373CCC" w:rsidRDefault="00373CCC" w:rsidP="00373C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373CCC" w:rsidRDefault="00373CCC" w:rsidP="00373CCC">
      <w:pPr>
        <w:tabs>
          <w:tab w:val="left" w:pos="8789"/>
        </w:tabs>
        <w:spacing w:line="360" w:lineRule="auto"/>
        <w:ind w:right="49"/>
        <w:jc w:val="both"/>
        <w:rPr>
          <w:rFonts w:ascii="Palatino Linotype" w:eastAsia="Calibri" w:hAnsi="Palatino Linotype" w:cs="Calibri"/>
          <w:sz w:val="24"/>
          <w:lang w:val="es-ES_tradnl" w:eastAsia="es-MX"/>
        </w:rPr>
      </w:pPr>
    </w:p>
    <w:p w:rsidR="00FE2930" w:rsidRDefault="00FE2930" w:rsidP="00FE2930">
      <w:pPr>
        <w:spacing w:line="360" w:lineRule="auto"/>
        <w:jc w:val="both"/>
        <w:rPr>
          <w:rFonts w:ascii="Palatino Linotype" w:hAnsi="Palatino Linotype"/>
          <w:sz w:val="24"/>
        </w:rPr>
      </w:pPr>
      <w:r w:rsidRPr="00FE2930">
        <w:rPr>
          <w:rFonts w:ascii="Palatino Linotype" w:hAnsi="Palatino Linotype"/>
          <w:sz w:val="24"/>
          <w:lang w:val="es-ES_tradnl"/>
        </w:rPr>
        <w:t xml:space="preserve">Asimismo, en la etapa de manifestaciones </w:t>
      </w:r>
      <w:r w:rsidRPr="00FE2930">
        <w:rPr>
          <w:rFonts w:ascii="Palatino Linotype" w:hAnsi="Palatino Linotype"/>
          <w:sz w:val="24"/>
        </w:rPr>
        <w:t xml:space="preserve">se advierte que el </w:t>
      </w:r>
      <w:r w:rsidRPr="00FE2930">
        <w:rPr>
          <w:rFonts w:ascii="Palatino Linotype" w:hAnsi="Palatino Linotype"/>
          <w:b/>
          <w:sz w:val="24"/>
        </w:rPr>
        <w:t>Sujeto Obligado</w:t>
      </w:r>
      <w:r w:rsidRPr="00FE2930">
        <w:rPr>
          <w:rFonts w:ascii="Palatino Linotype" w:hAnsi="Palatino Linotype"/>
          <w:sz w:val="24"/>
        </w:rPr>
        <w:t xml:space="preserve"> rindió su informe justificado mediante el archivo electrónico denominado “</w:t>
      </w:r>
      <w:r w:rsidRPr="00FE2930">
        <w:rPr>
          <w:rFonts w:ascii="Palatino Linotype" w:hAnsi="Palatino Linotype"/>
          <w:b/>
          <w:i/>
          <w:sz w:val="24"/>
        </w:rPr>
        <w:t>RESP_SAIMEX 690.zip”</w:t>
      </w:r>
      <w:r>
        <w:rPr>
          <w:rFonts w:ascii="Palatino Linotype" w:hAnsi="Palatino Linotype"/>
          <w:b/>
          <w:i/>
          <w:sz w:val="24"/>
        </w:rPr>
        <w:t xml:space="preserve"> y “</w:t>
      </w:r>
      <w:r w:rsidRPr="00FE2930">
        <w:rPr>
          <w:rFonts w:ascii="Palatino Linotype" w:hAnsi="Palatino Linotype"/>
          <w:b/>
          <w:i/>
          <w:sz w:val="24"/>
        </w:rPr>
        <w:t>DOC DE VERIFICACION.pdf</w:t>
      </w:r>
      <w:r>
        <w:rPr>
          <w:rFonts w:ascii="Palatino Linotype" w:hAnsi="Palatino Linotype"/>
          <w:b/>
          <w:i/>
          <w:sz w:val="24"/>
        </w:rPr>
        <w:t>”</w:t>
      </w:r>
      <w:r w:rsidRPr="00FE2930">
        <w:rPr>
          <w:rFonts w:ascii="Palatino Linotype" w:hAnsi="Palatino Linotype"/>
          <w:sz w:val="24"/>
        </w:rPr>
        <w:t xml:space="preserve">, en el </w:t>
      </w:r>
      <w:r>
        <w:rPr>
          <w:rFonts w:ascii="Palatino Linotype" w:hAnsi="Palatino Linotype"/>
          <w:sz w:val="24"/>
        </w:rPr>
        <w:t>primer archivo r</w:t>
      </w:r>
      <w:r w:rsidRPr="00FE2930">
        <w:rPr>
          <w:rFonts w:ascii="Palatino Linotype" w:hAnsi="Palatino Linotype"/>
          <w:sz w:val="24"/>
        </w:rPr>
        <w:t>atifica su respuesta</w:t>
      </w:r>
      <w:r>
        <w:rPr>
          <w:rFonts w:ascii="Palatino Linotype" w:hAnsi="Palatino Linotype"/>
          <w:sz w:val="24"/>
        </w:rPr>
        <w:t xml:space="preserve">, mientras que el segundo archivo contiene el oficio número INFOEM/DGPDP/728/2024, de fecha cinco de agosto de dos mil veinticuatro, mismo que contiene una Orden de Verificación. </w:t>
      </w:r>
    </w:p>
    <w:p w:rsidR="006A72BB" w:rsidRDefault="006A72BB" w:rsidP="00FE2930">
      <w:pPr>
        <w:spacing w:line="360" w:lineRule="auto"/>
        <w:jc w:val="both"/>
        <w:rPr>
          <w:rFonts w:ascii="Palatino Linotype" w:hAnsi="Palatino Linotype"/>
          <w:sz w:val="24"/>
        </w:rPr>
      </w:pPr>
    </w:p>
    <w:p w:rsidR="006A72BB" w:rsidRDefault="006A72BB" w:rsidP="00FE2930">
      <w:pPr>
        <w:spacing w:line="360" w:lineRule="auto"/>
        <w:jc w:val="both"/>
        <w:rPr>
          <w:rFonts w:ascii="Palatino Linotype" w:hAnsi="Palatino Linotype"/>
          <w:sz w:val="24"/>
        </w:rPr>
      </w:pPr>
      <w:r>
        <w:rPr>
          <w:rFonts w:ascii="Palatino Linotype" w:hAnsi="Palatino Linotype"/>
          <w:sz w:val="24"/>
        </w:rPr>
        <w:t>D</w:t>
      </w:r>
      <w:r w:rsidRPr="006A72BB">
        <w:rPr>
          <w:rFonts w:ascii="Palatino Linotype" w:hAnsi="Palatino Linotype"/>
          <w:sz w:val="24"/>
        </w:rPr>
        <w:t xml:space="preserve">e acuerdo con lo establecido en la Ley General de Protección de Datos Personales en Posesión de Sujetos Obligados, la cual, tiene por objeto establecer las bases, principios </w:t>
      </w:r>
      <w:r w:rsidRPr="006A72BB">
        <w:rPr>
          <w:rFonts w:ascii="Palatino Linotype" w:hAnsi="Palatino Linotype"/>
          <w:sz w:val="24"/>
        </w:rPr>
        <w:lastRenderedPageBreak/>
        <w:t>y procedimientos para garantizar el derecho que tiene toda persona a</w:t>
      </w:r>
      <w:r>
        <w:rPr>
          <w:rFonts w:ascii="Palatino Linotype" w:hAnsi="Palatino Linotype"/>
          <w:sz w:val="24"/>
        </w:rPr>
        <w:t xml:space="preserve"> </w:t>
      </w:r>
      <w:r w:rsidRPr="006A72BB">
        <w:rPr>
          <w:rFonts w:ascii="Palatino Linotype" w:hAnsi="Palatino Linotype"/>
          <w:sz w:val="24"/>
        </w:rPr>
        <w:t>la protección de sus datos personales, en posesión de sujetos obligados; además, uno de sus objetivos es 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la finalidad de regular su debido tratamiento, en términos de los artículos 1 párrafo cuarto, y 2 fracción V de dicha Ley.</w:t>
      </w:r>
    </w:p>
    <w:p w:rsidR="008A7085" w:rsidRDefault="008A7085" w:rsidP="00FE2930">
      <w:pPr>
        <w:spacing w:line="360" w:lineRule="auto"/>
        <w:jc w:val="both"/>
        <w:rPr>
          <w:rFonts w:ascii="Palatino Linotype" w:hAnsi="Palatino Linotype"/>
          <w:sz w:val="24"/>
        </w:rPr>
      </w:pPr>
    </w:p>
    <w:p w:rsidR="006A72BB" w:rsidRDefault="006A72BB" w:rsidP="00FE2930">
      <w:pPr>
        <w:spacing w:line="360" w:lineRule="auto"/>
        <w:jc w:val="both"/>
        <w:rPr>
          <w:rFonts w:ascii="Palatino Linotype" w:hAnsi="Palatino Linotype"/>
          <w:sz w:val="24"/>
        </w:rPr>
      </w:pPr>
      <w:r w:rsidRPr="006A72BB">
        <w:rPr>
          <w:rFonts w:ascii="Palatino Linotype" w:hAnsi="Palatino Linotype"/>
          <w:sz w:val="24"/>
        </w:rPr>
        <w:t xml:space="preserve">En ese sentido, el marco normativo en estudio, instaura para los responsables del tratamiento de datos personales, el deber de establecer y </w:t>
      </w:r>
      <w:r w:rsidRPr="008A7085">
        <w:rPr>
          <w:rFonts w:ascii="Palatino Linotype" w:hAnsi="Palatino Linotype"/>
          <w:b/>
          <w:sz w:val="24"/>
        </w:rPr>
        <w:t>mantener medidas de seguridad</w:t>
      </w:r>
      <w:r w:rsidRPr="006A72BB">
        <w:rPr>
          <w:rFonts w:ascii="Palatino Linotype" w:hAnsi="Palatino Linotype"/>
          <w:sz w:val="24"/>
        </w:rPr>
        <w:t xml:space="preserve"> de carácter administrativo, físico y técnico para la protección de datos personales, con el objetivo de garantizar la confidencialidad, integridad y disponibilidad de los mismos; lo anterior, con la finalidad de evitar que se pueda causar algún daño, pérdida, alteración, destrucción, uso, acceso o tratamiento no autorizado de conformidad con el artículo 31 de la Ley antes citada. </w:t>
      </w:r>
    </w:p>
    <w:p w:rsidR="008A7085" w:rsidRDefault="008A7085" w:rsidP="00FE2930">
      <w:pPr>
        <w:spacing w:line="360" w:lineRule="auto"/>
        <w:jc w:val="both"/>
        <w:rPr>
          <w:rFonts w:ascii="Palatino Linotype" w:hAnsi="Palatino Linotype"/>
          <w:sz w:val="24"/>
        </w:rPr>
      </w:pPr>
    </w:p>
    <w:p w:rsidR="006A72BB" w:rsidRDefault="006A72BB" w:rsidP="00FE2930">
      <w:pPr>
        <w:spacing w:line="360" w:lineRule="auto"/>
        <w:jc w:val="both"/>
        <w:rPr>
          <w:rFonts w:ascii="Palatino Linotype" w:hAnsi="Palatino Linotype"/>
          <w:sz w:val="24"/>
        </w:rPr>
      </w:pPr>
      <w:r w:rsidRPr="006A72BB">
        <w:rPr>
          <w:rFonts w:ascii="Palatino Linotype" w:hAnsi="Palatino Linotype"/>
          <w:sz w:val="24"/>
        </w:rPr>
        <w:t xml:space="preserve">Cabe mencionar, que las medidas de seguridad que el responsable ha de establecer y mantener para el tratamiento de datos personales, deberán ser documentadas y contenidas en el denominado </w:t>
      </w:r>
      <w:r w:rsidRPr="008A7085">
        <w:rPr>
          <w:rFonts w:ascii="Palatino Linotype" w:hAnsi="Palatino Linotype"/>
          <w:b/>
          <w:sz w:val="24"/>
        </w:rPr>
        <w:t>documento de seguridad</w:t>
      </w:r>
      <w:r w:rsidRPr="006A72BB">
        <w:rPr>
          <w:rFonts w:ascii="Palatino Linotype" w:hAnsi="Palatino Linotype"/>
          <w:sz w:val="24"/>
        </w:rPr>
        <w:t xml:space="preserve">, entendiendo a esté como el instrumento que describe y da cuenta de manera general sobre las medidas de seguridad técnicas, físicas y administrativas adoptadas por el responsable para garantizar la confidencialidad, integridad y disponibilidad de los datos, que se encuentren en su posesión, destacando que se incluye en las políticas y procedimientos </w:t>
      </w:r>
      <w:r w:rsidRPr="006A72BB">
        <w:rPr>
          <w:rFonts w:ascii="Palatino Linotype" w:hAnsi="Palatino Linotype"/>
          <w:sz w:val="24"/>
        </w:rPr>
        <w:lastRenderedPageBreak/>
        <w:t>para la gestión, soporte y revisión de la seguridad de la información a nivel organizacional, establecidas como medidas de seguridad administrativas; para lo cual,</w:t>
      </w:r>
      <w:r>
        <w:rPr>
          <w:rFonts w:ascii="Palatino Linotype" w:hAnsi="Palatino Linotype"/>
          <w:sz w:val="24"/>
        </w:rPr>
        <w:t xml:space="preserve"> </w:t>
      </w:r>
      <w:r w:rsidRPr="006A72BB">
        <w:rPr>
          <w:rFonts w:ascii="Palatino Linotype" w:hAnsi="Palatino Linotype"/>
          <w:sz w:val="24"/>
        </w:rPr>
        <w:t>el Responsable tiene el deber de establecer controles o mecanismos, cuya finalidad sea que toda persona que intervenga en el tratamiento de los datos personales, guarde la correspondiente confidencialidad legal en términos de los artículos 3 fracción XXI y 42 de la Ley General del Protección de Datos Personales.</w:t>
      </w:r>
    </w:p>
    <w:p w:rsidR="008A7085" w:rsidRDefault="008A7085" w:rsidP="00FE2930">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En tal tesitura, resulta oportuno remitirnos a la Ley de Protección de Datos Personales en Posesión de Sujetos Obligados del Estado de México y Municipios, dicho marco normativo es de orden público, interés social y observancia obligatoria en el Estado de México y sus Municipios, destacando que incorpora en sus finalidades, promover la adopción de medidas de seguridad que garanticen la integridad, disponibilidad y confidencialidad de los datos personales que se encuentre en posesión de los sujetos obligados; por lo que, se incorpora la obligación de establecer mecanismos que garanticen la implementación de las medidas de seguridad que correspondan. </w:t>
      </w:r>
    </w:p>
    <w:p w:rsidR="006A72BB" w:rsidRDefault="006A72BB" w:rsidP="006A72BB">
      <w:pPr>
        <w:spacing w:line="360" w:lineRule="auto"/>
        <w:jc w:val="both"/>
        <w:rPr>
          <w:rFonts w:ascii="Palatino Linotype" w:hAnsi="Palatino Linotype"/>
          <w:sz w:val="24"/>
        </w:rPr>
      </w:pPr>
    </w:p>
    <w:p w:rsidR="008A7085" w:rsidRPr="008E157A" w:rsidRDefault="008A7085" w:rsidP="008A7085">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En tal virtud, se establece la obligatoriedad por parte de los responsables de proteger a las personas y su dignidad, mediante un adecuado tratamiento de sus datos personales; lo cual, será posible mediante la adopción de las medidas de seguridad contempladas en la Ley de Protección de Datos Personales en Posesión de Sujetos Obligados del Estado de México y Municipios. Sin embargo, no se omite señalar que las medidas de seguridad establecidas en la Ley constituyen los mínimos exigibles; por tanto, el responsable que lleve a cabo el tratamiento de datos personales deberá </w:t>
      </w:r>
      <w:r w:rsidRPr="008E157A">
        <w:rPr>
          <w:rFonts w:ascii="Palatino Linotype" w:hAnsi="Palatino Linotype" w:cs="Arial"/>
          <w:sz w:val="24"/>
          <w:szCs w:val="24"/>
        </w:rPr>
        <w:lastRenderedPageBreak/>
        <w:t xml:space="preserve">adoptar las medidas de seguridad adicionales que estime necesarias, con el propósito de brindar a los Sistemas y/o Bases de Datos Personales, una mayor garantía en su resguardo, tal y como lo enuncian los artículos 6 segundo párrafo y 43 de la citada Ley, como se advierte enseguida: </w:t>
      </w:r>
    </w:p>
    <w:p w:rsidR="006A72BB" w:rsidRPr="006A72BB" w:rsidRDefault="006A72BB" w:rsidP="006A72BB">
      <w:pPr>
        <w:pStyle w:val="Citas"/>
        <w:rPr>
          <w:b/>
        </w:rPr>
      </w:pPr>
      <w:r w:rsidRPr="006A72BB">
        <w:rPr>
          <w:b/>
        </w:rPr>
        <w:t xml:space="preserve">Derecho a la privacidad y limitaciones a la protección de datos personales </w:t>
      </w:r>
    </w:p>
    <w:p w:rsidR="006A72BB" w:rsidRDefault="006A72BB" w:rsidP="006A72BB">
      <w:pPr>
        <w:pStyle w:val="Citas"/>
      </w:pPr>
      <w:r w:rsidRPr="006A72BB">
        <w:rPr>
          <w:b/>
        </w:rPr>
        <w:t>Artículo 6.</w:t>
      </w:r>
      <w:r w:rsidRPr="006A72BB">
        <w:t xml:space="preserve"> El Estado garantizará la privacidad de los individuos y velará porque no se incurra en conductas que puedan afectarla arbitrariamente. Los responsables aplicarán las medidas establecidas en esta Ley para la protección de las personas y su dignidad, respecto al tratamiento de sus datos personales. El derecho a la protección de los datos personales solamente se limitará por razones de seguridad pública en términos de la Ley en la materia, disposiciones de orden público, salud pública o para proteger los derechos de terceros. </w:t>
      </w:r>
    </w:p>
    <w:p w:rsidR="006A72BB" w:rsidRPr="006A72BB" w:rsidRDefault="006A72BB" w:rsidP="006A72BB">
      <w:pPr>
        <w:pStyle w:val="Citas"/>
        <w:spacing w:line="240" w:lineRule="auto"/>
        <w:jc w:val="center"/>
        <w:rPr>
          <w:b/>
        </w:rPr>
      </w:pPr>
      <w:r w:rsidRPr="006A72BB">
        <w:rPr>
          <w:b/>
        </w:rPr>
        <w:t>CAPÍTULO SEGUNDO</w:t>
      </w:r>
    </w:p>
    <w:p w:rsidR="006A72BB" w:rsidRPr="006A72BB" w:rsidRDefault="006A72BB" w:rsidP="006A72BB">
      <w:pPr>
        <w:pStyle w:val="Citas"/>
        <w:spacing w:line="240" w:lineRule="auto"/>
        <w:jc w:val="center"/>
        <w:rPr>
          <w:b/>
        </w:rPr>
      </w:pPr>
      <w:r w:rsidRPr="006A72BB">
        <w:rPr>
          <w:b/>
        </w:rPr>
        <w:t>DE LAS MEDIDAS DE SEGURIDAD</w:t>
      </w:r>
    </w:p>
    <w:p w:rsidR="006A72BB" w:rsidRPr="006A72BB" w:rsidRDefault="006A72BB" w:rsidP="006A72BB">
      <w:pPr>
        <w:pStyle w:val="Citas"/>
        <w:rPr>
          <w:b/>
        </w:rPr>
      </w:pPr>
      <w:r w:rsidRPr="006A72BB">
        <w:rPr>
          <w:b/>
        </w:rPr>
        <w:t xml:space="preserve">Naturaleza de las medidas de seguridad y registro del nivel de seguridad </w:t>
      </w:r>
    </w:p>
    <w:p w:rsidR="006A72BB" w:rsidRDefault="006A72BB" w:rsidP="006A72BB">
      <w:pPr>
        <w:pStyle w:val="Citas"/>
      </w:pPr>
      <w:r w:rsidRPr="006A72BB">
        <w:t xml:space="preserve">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w:t>
      </w:r>
    </w:p>
    <w:p w:rsidR="006A72BB" w:rsidRDefault="006A72BB" w:rsidP="006A72BB">
      <w:pPr>
        <w:pStyle w:val="Citas"/>
      </w:pPr>
      <w:r w:rsidRPr="006A72BB">
        <w:rPr>
          <w:b/>
          <w:u w:val="single"/>
        </w:rPr>
        <w:t>Por la naturaleza de la información, las medidas de seguridad que se adopten serán consideradas confidenciale</w:t>
      </w:r>
      <w:r w:rsidRPr="006A72BB">
        <w:t xml:space="preserve">s y únicamente se comunicará al Instituto, para su registro, el nivel de seguridad aplicable. </w:t>
      </w:r>
    </w:p>
    <w:p w:rsidR="006A72BB" w:rsidRDefault="006A72BB" w:rsidP="006A72BB">
      <w:pPr>
        <w:pStyle w:val="Citas"/>
      </w:pPr>
      <w:r w:rsidRPr="006A72BB">
        <w:lastRenderedPageBreak/>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rsidR="006A72BB" w:rsidRDefault="006A72BB" w:rsidP="006A72BB">
      <w:pPr>
        <w:pStyle w:val="Citas"/>
      </w:pPr>
      <w:r w:rsidRPr="006A72BB">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rsidR="006A72BB" w:rsidRDefault="006A72BB" w:rsidP="006A72BB">
      <w:pPr>
        <w:pStyle w:val="Citas"/>
      </w:pPr>
      <w:r w:rsidRPr="006A72BB">
        <w:t xml:space="preserve">En el supuesto de actualización de estos datos, la modificación respectiva se notificará al Instituto en sus oficinas o en el portal que para tal efecto se cree, dentro de los treinta días hábiles siguientes a la fecha en que se efectuó. </w:t>
      </w:r>
    </w:p>
    <w:p w:rsidR="006A72BB" w:rsidRDefault="006A72BB" w:rsidP="006A72BB">
      <w:pPr>
        <w:pStyle w:val="Citas"/>
      </w:pPr>
      <w:r w:rsidRPr="006A72BB">
        <w:t>El responsable o el encargado, designarán a una o un administrador, quien tendrá bajo su responsabilidad directa la base y sistema de datos personales.</w:t>
      </w:r>
    </w:p>
    <w:p w:rsidR="006A72BB" w:rsidRPr="006A72BB" w:rsidRDefault="006A72BB" w:rsidP="006A72BB">
      <w:pPr>
        <w:pStyle w:val="Citas"/>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Así mismo, es preciso destacar que, en el marco normativo en materia de protección de datos personales, determina el deber de seguridad en sus artículos 38 y 39, cuya observancia obligatoria es para los responsables del tratamiento de la información, ya que deben adoptar, establecer, mantener y document</w:t>
      </w:r>
      <w:r>
        <w:rPr>
          <w:rFonts w:ascii="Palatino Linotype" w:hAnsi="Palatino Linotype"/>
          <w:sz w:val="24"/>
        </w:rPr>
        <w:t xml:space="preserve">ar las medidas de seguridad de </w:t>
      </w:r>
      <w:r w:rsidRPr="006A72BB">
        <w:rPr>
          <w:rFonts w:ascii="Palatino Linotype" w:hAnsi="Palatino Linotype"/>
          <w:sz w:val="24"/>
        </w:rPr>
        <w:t xml:space="preserve">carácter administrativo, físico y técnico, con la finalidad de garantizar la integridad, confidencialidad y disponibilidad de la información personal, mediante acciones y controles que eviten algún tipo de daño, alteración, pérdida, destrucción, uso, transferencia, acceso o cualquier otro tratamiento no autorizado o ilícito; para ello, las medidas de seguridad, han de ser apropiadas al tratamiento de los datos personales </w:t>
      </w:r>
      <w:r w:rsidRPr="006A72BB">
        <w:rPr>
          <w:rFonts w:ascii="Palatino Linotype" w:hAnsi="Palatino Linotype"/>
          <w:sz w:val="24"/>
        </w:rPr>
        <w:lastRenderedPageBreak/>
        <w:t xml:space="preserve">que se lleve a cabo y debe considerar su naturaleza, deberes y riesgos a los que serán sometidos, para lograr tener un nivel adecuado de seguridad. </w:t>
      </w:r>
    </w:p>
    <w:p w:rsidR="008A7085" w:rsidRDefault="008A7085"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En este orden de ideas, nuestra legislación define que las medidas de seguridad son aquellas acciones, actividades, controles o mecanismos administrativos, técnicos y físicos que permiten proteger los datos personales, las cuales se encuentran documentadas y contenidas en un instrumento denominado </w:t>
      </w:r>
      <w:r w:rsidRPr="008A7085">
        <w:rPr>
          <w:rFonts w:ascii="Palatino Linotype" w:hAnsi="Palatino Linotype"/>
          <w:b/>
          <w:sz w:val="24"/>
        </w:rPr>
        <w:t>Documento de Seguridad</w:t>
      </w:r>
      <w:r w:rsidRPr="006A72BB">
        <w:rPr>
          <w:rFonts w:ascii="Palatino Linotype" w:hAnsi="Palatino Linotype"/>
          <w:sz w:val="24"/>
        </w:rPr>
        <w:t>, dicho instrumento describe de manera general las medidas de seguridad adoptadas para garantizar la confidencialidad, integridad y disponibilidad de la información contenida en los sistemas y/o bases de datos, destacando que es de observancia obligatoria para los responsables, encargados y demás personas que lleven a cabo algún tratamiento de datos personales; por lo que, su elaboración y aprobación debe atender a lo que establecen los artículos 4 fracción XVIII, 48 y 49 de la Ley.</w:t>
      </w:r>
    </w:p>
    <w:p w:rsidR="008A7085" w:rsidRPr="008E157A" w:rsidRDefault="008A7085" w:rsidP="008A7085">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Ahora bien, </w:t>
      </w:r>
      <w:r w:rsidRPr="008E157A">
        <w:rPr>
          <w:rFonts w:ascii="Palatino Linotype" w:hAnsi="Palatino Linotype" w:cs="Arial"/>
          <w:b/>
          <w:bCs/>
          <w:sz w:val="24"/>
          <w:szCs w:val="24"/>
        </w:rPr>
        <w:t>el Documento de Seguridad</w:t>
      </w:r>
      <w:r w:rsidRPr="008E157A">
        <w:rPr>
          <w:rFonts w:ascii="Palatino Linotype" w:hAnsi="Palatino Linotype" w:cs="Arial"/>
          <w:sz w:val="24"/>
          <w:szCs w:val="24"/>
        </w:rPr>
        <w:t xml:space="preserve"> al ser una política para la gestión, soporte y</w:t>
      </w:r>
      <w:r>
        <w:rPr>
          <w:rFonts w:ascii="Palatino Linotype" w:hAnsi="Palatino Linotype" w:cs="Arial"/>
          <w:sz w:val="24"/>
          <w:szCs w:val="24"/>
        </w:rPr>
        <w:t xml:space="preserve"> </w:t>
      </w:r>
      <w:r w:rsidRPr="008E157A">
        <w:rPr>
          <w:rFonts w:ascii="Palatino Linotype" w:hAnsi="Palatino Linotype" w:cs="Arial"/>
          <w:sz w:val="24"/>
          <w:szCs w:val="24"/>
        </w:rPr>
        <w:t>revisión de la seguridad de la información en la organización de los Responsables, es</w:t>
      </w:r>
    </w:p>
    <w:p w:rsidR="008A7085" w:rsidRPr="008E157A" w:rsidRDefault="008A7085" w:rsidP="008A7085">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considerada una medida de seguridad de carácter administrativa; por lo cual, </w:t>
      </w:r>
      <w:r w:rsidRPr="008E157A">
        <w:rPr>
          <w:rFonts w:ascii="Palatino Linotype" w:hAnsi="Palatino Linotype" w:cs="Arial"/>
          <w:b/>
          <w:bCs/>
          <w:sz w:val="24"/>
          <w:szCs w:val="24"/>
        </w:rPr>
        <w:t>esté debe considerarse como información de carácter confidencial, solo en cuanto hace a dichas medidas de seguridad</w:t>
      </w:r>
      <w:r w:rsidRPr="008E157A">
        <w:rPr>
          <w:rFonts w:ascii="Palatino Linotype" w:hAnsi="Palatino Linotype" w:cs="Arial"/>
          <w:sz w:val="24"/>
          <w:szCs w:val="24"/>
        </w:rPr>
        <w:t xml:space="preserve">, como lo determina el segundo párrafo del artículo 43 antes referido, reiterando que tal y como lo establece dicho precepto legal, este documento contiene información confidencial, debido a la naturaleza de la información que contiene, ya que al conjuntar las medidas de seguridad aplicables a los tratamientos que llevan a cabo los Sujetos Obligados, estas no pueden ser </w:t>
      </w:r>
      <w:r w:rsidRPr="008E157A">
        <w:rPr>
          <w:rFonts w:ascii="Palatino Linotype" w:hAnsi="Palatino Linotype" w:cs="Arial"/>
          <w:sz w:val="24"/>
          <w:szCs w:val="24"/>
        </w:rPr>
        <w:lastRenderedPageBreak/>
        <w:t>información de carácter público; además, se ha de considerar que al constituir una medida de seguridad de carácter general, su aplicación es obligatoria a todos los sistemas y/o bases de datos personales que se encuentren en posesión de los Responsables por cada tratamiento que realiza para llevar a cabo sus actividades.</w:t>
      </w:r>
    </w:p>
    <w:p w:rsidR="008A7085" w:rsidRDefault="008A7085"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En este sentido, la Ley señala puntualmente que el documento de seguridad es una medida de seguridad administrativa de carácter general, ya que este debe incluir todos los sistemas y/o bases de datos personales que poseen los Sujetos Obligados. </w:t>
      </w:r>
    </w:p>
    <w:p w:rsidR="008A7085" w:rsidRDefault="008A7085"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De igual manera, es preciso mencionar que el </w:t>
      </w:r>
      <w:r w:rsidRPr="001968E0">
        <w:rPr>
          <w:rFonts w:ascii="Palatino Linotype" w:hAnsi="Palatino Linotype"/>
          <w:b/>
          <w:sz w:val="24"/>
        </w:rPr>
        <w:t>Documento de Seguridad</w:t>
      </w:r>
      <w:r w:rsidR="001968E0">
        <w:rPr>
          <w:rFonts w:ascii="Palatino Linotype" w:hAnsi="Palatino Linotype"/>
          <w:b/>
          <w:sz w:val="24"/>
        </w:rPr>
        <w:t xml:space="preserve"> </w:t>
      </w:r>
      <w:r w:rsidRPr="006A72BB">
        <w:rPr>
          <w:rFonts w:ascii="Palatino Linotype" w:hAnsi="Palatino Linotype"/>
          <w:sz w:val="24"/>
        </w:rPr>
        <w:t>es un instrumento dinámico de aplicación para todos aquellos que intervengan en el tratamiento de datos personales, debido a la información que contiene; además, su divulgación integra, puede traer consigo el daño, alteración, pérdida, destrucción, uso, transferencia, acceso o tratamiento no autorizado y en su caso ilícito, poniendo en riesgo</w:t>
      </w:r>
      <w:r>
        <w:rPr>
          <w:rFonts w:ascii="Palatino Linotype" w:hAnsi="Palatino Linotype"/>
          <w:sz w:val="24"/>
        </w:rPr>
        <w:t xml:space="preserve"> </w:t>
      </w:r>
      <w:r w:rsidRPr="006A72BB">
        <w:rPr>
          <w:rFonts w:ascii="Palatino Linotype" w:hAnsi="Palatino Linotype"/>
          <w:sz w:val="24"/>
        </w:rPr>
        <w:t xml:space="preserve">la integridad, disponibilidad y confidencialidad de los datos personales, e incluso poner en riesgo a las personas y su dignidad, por algún tipo de divulgación. </w:t>
      </w:r>
    </w:p>
    <w:p w:rsidR="001968E0" w:rsidRDefault="001968E0"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Debido a lo anterior, es obligación del responsable, encargado, administrador, usuarios, guardar el secreto y sigilo correspondiente, </w:t>
      </w:r>
      <w:r>
        <w:rPr>
          <w:rFonts w:ascii="Palatino Linotype" w:hAnsi="Palatino Linotype"/>
          <w:sz w:val="24"/>
        </w:rPr>
        <w:t>conservando en todo momento la</w:t>
      </w:r>
      <w:r w:rsidRPr="006A72BB">
        <w:rPr>
          <w:rFonts w:ascii="Palatino Linotype" w:hAnsi="Palatino Linotype"/>
          <w:sz w:val="24"/>
        </w:rPr>
        <w:t xml:space="preserve"> confidencialidad de los procesos, aun después de cumplida la finalidad del tratamiento.</w:t>
      </w:r>
    </w:p>
    <w:p w:rsidR="001968E0" w:rsidRDefault="001968E0"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Pr>
          <w:rFonts w:ascii="Palatino Linotype" w:hAnsi="Palatino Linotype"/>
          <w:sz w:val="24"/>
        </w:rPr>
        <w:lastRenderedPageBreak/>
        <w:t>A</w:t>
      </w:r>
      <w:r w:rsidRPr="006A72BB">
        <w:rPr>
          <w:rFonts w:ascii="Palatino Linotype" w:hAnsi="Palatino Linotype"/>
          <w:sz w:val="24"/>
        </w:rPr>
        <w:t xml:space="preserve">unado a lo anterior, se establecen mecanismos o controles para que aquellas personas que intervengan en el tratamiento de los datos personales guarden la debida confidencialidad de estos, aun finalizadas sus relaciones con los sujetos obligados, tal como lo enuncia el artículo 40 de la Ley. </w:t>
      </w:r>
    </w:p>
    <w:p w:rsidR="001968E0" w:rsidRDefault="001968E0"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 xml:space="preserve">En este orden de ideas, se concluye que la Ley de Protección de Datos Personales en Posesión de Sujetos Obligados del Estado de México y Municipios, </w:t>
      </w:r>
      <w:r w:rsidRPr="001968E0">
        <w:rPr>
          <w:rFonts w:ascii="Palatino Linotype" w:hAnsi="Palatino Linotype"/>
          <w:b/>
          <w:sz w:val="24"/>
        </w:rPr>
        <w:t>determina que</w:t>
      </w:r>
      <w:r w:rsidRPr="006A72BB">
        <w:rPr>
          <w:rFonts w:ascii="Palatino Linotype" w:hAnsi="Palatino Linotype"/>
          <w:sz w:val="24"/>
        </w:rPr>
        <w:t xml:space="preserve"> </w:t>
      </w:r>
      <w:r w:rsidRPr="006A72BB">
        <w:rPr>
          <w:rFonts w:ascii="Palatino Linotype" w:hAnsi="Palatino Linotype"/>
          <w:b/>
          <w:sz w:val="24"/>
          <w:u w:val="single"/>
        </w:rPr>
        <w:t>el Documento de Seguridad no puede ser entregado de forma íntegra al público en general</w:t>
      </w:r>
      <w:r w:rsidRPr="006A72BB">
        <w:rPr>
          <w:rFonts w:ascii="Palatino Linotype" w:hAnsi="Palatino Linotype"/>
          <w:sz w:val="24"/>
        </w:rPr>
        <w:t>, ya que contiene datos que no constituyen información de interés público en términos del artículo 3 fracción XXII de la Ley de Transparencia y Acceso a la Información Pública del Estado de México y Municipios, debido a que dicha información no resulta relevante o beneficiosa para la sociedad, ni tampoco su divulgación resulta útil para que el público comprenda las actividades que lleve a cabo el responsable del tratamiento.</w:t>
      </w:r>
    </w:p>
    <w:p w:rsidR="001968E0" w:rsidRPr="006A72BB" w:rsidRDefault="001968E0" w:rsidP="006A72BB">
      <w:pPr>
        <w:spacing w:line="360" w:lineRule="auto"/>
        <w:jc w:val="both"/>
        <w:rPr>
          <w:rFonts w:ascii="Palatino Linotype" w:hAnsi="Palatino Linotype"/>
          <w:sz w:val="24"/>
        </w:rPr>
      </w:pPr>
    </w:p>
    <w:p w:rsidR="006A72BB" w:rsidRDefault="006A72BB" w:rsidP="006A72BB">
      <w:pPr>
        <w:spacing w:line="360" w:lineRule="auto"/>
        <w:jc w:val="both"/>
        <w:rPr>
          <w:rFonts w:ascii="Palatino Linotype" w:hAnsi="Palatino Linotype"/>
          <w:sz w:val="24"/>
        </w:rPr>
      </w:pPr>
      <w:r w:rsidRPr="006A72BB">
        <w:rPr>
          <w:rFonts w:ascii="Palatino Linotype" w:hAnsi="Palatino Linotype"/>
          <w:sz w:val="24"/>
        </w:rPr>
        <w:t>Abonando a lo anterior, se precisa que en términos del artículo 4 fracciones XXXI, XXXII y XXXIII de la Ley de Protección de Datos Personales en Posesión de Sujetos Obligados</w:t>
      </w:r>
      <w:r>
        <w:rPr>
          <w:rFonts w:ascii="Palatino Linotype" w:hAnsi="Palatino Linotype"/>
          <w:sz w:val="24"/>
        </w:rPr>
        <w:t xml:space="preserve"> </w:t>
      </w:r>
      <w:r w:rsidRPr="006A72BB">
        <w:rPr>
          <w:rFonts w:ascii="Palatino Linotype" w:hAnsi="Palatino Linotype"/>
          <w:sz w:val="24"/>
        </w:rPr>
        <w:t>del Estado de México y Municipios, las medidas que contiene el Documento de Seguridad son las siguientes:</w:t>
      </w:r>
    </w:p>
    <w:p w:rsidR="006A72BB" w:rsidRDefault="006A72BB" w:rsidP="006A72BB">
      <w:pPr>
        <w:pStyle w:val="Citas"/>
      </w:pPr>
      <w:r w:rsidRPr="006A72BB">
        <w:t xml:space="preserve">"Artículo 4. Para los efectos de esta Ley se entenderá por: … </w:t>
      </w:r>
    </w:p>
    <w:p w:rsidR="006A72BB" w:rsidRDefault="006A72BB" w:rsidP="006A72BB">
      <w:pPr>
        <w:pStyle w:val="Citas"/>
      </w:pPr>
      <w:r w:rsidRPr="006A72BB">
        <w:rPr>
          <w:b/>
        </w:rPr>
        <w:t>XXXI. Medidas de seguridad administrativas:</w:t>
      </w:r>
      <w:r w:rsidRPr="006A72BB">
        <w:t xml:space="preserve"> a las políticas y procedimientos para la gestión, soporte y revisión de la seguridad de la información a nivel </w:t>
      </w:r>
      <w:r w:rsidRPr="006A72BB">
        <w:lastRenderedPageBreak/>
        <w:t xml:space="preserve">organizacional, la identificación, clasificación y borrado seguro de la información, así como la sensibilización, y capacitación del personal, en materia de protección de datos personales. </w:t>
      </w:r>
    </w:p>
    <w:p w:rsidR="006A72BB" w:rsidRDefault="006A72BB" w:rsidP="006A72BB">
      <w:pPr>
        <w:pStyle w:val="Citas"/>
      </w:pPr>
      <w:r w:rsidRPr="006A72BB">
        <w:rPr>
          <w:b/>
        </w:rPr>
        <w:t xml:space="preserve">XXXII. Medidas de seguridad físicas: </w:t>
      </w:r>
      <w:r w:rsidRPr="006A72BB">
        <w:t xml:space="preserve">a las acciones y mecanismos para proteger el entorno físico de los datos personales y de los recursos involucrados en su tratamiento. De manera enunciativa más no limitativa, se considerarán las actividades siguientes: </w:t>
      </w:r>
    </w:p>
    <w:p w:rsidR="006A72BB" w:rsidRDefault="006A72BB" w:rsidP="006A72BB">
      <w:pPr>
        <w:pStyle w:val="Citas"/>
      </w:pPr>
      <w:r w:rsidRPr="006A72BB">
        <w:t xml:space="preserve">a) Prevenir el acceso no autorizado al perímetro de la organización, sus instalaciones físicas, áreas críticas, recursos e información. </w:t>
      </w:r>
    </w:p>
    <w:p w:rsidR="006A72BB" w:rsidRDefault="006A72BB" w:rsidP="006A72BB">
      <w:pPr>
        <w:pStyle w:val="Citas"/>
      </w:pPr>
      <w:r w:rsidRPr="006A72BB">
        <w:t xml:space="preserve">b) Prevenir el daño o interferencia a las instalaciones físicas, áreas críticas de la organización, recursos e información. </w:t>
      </w:r>
    </w:p>
    <w:p w:rsidR="006A72BB" w:rsidRDefault="006A72BB" w:rsidP="006A72BB">
      <w:pPr>
        <w:pStyle w:val="Citas"/>
      </w:pPr>
      <w:r w:rsidRPr="006A72BB">
        <w:t xml:space="preserve">c) Proteger los recursos móviles, portátiles y cualquier soporte físico o electrónico que pueda salir de la organización. </w:t>
      </w:r>
    </w:p>
    <w:p w:rsidR="006A72BB" w:rsidRDefault="006A72BB" w:rsidP="006A72BB">
      <w:pPr>
        <w:pStyle w:val="Citas"/>
      </w:pPr>
      <w:r w:rsidRPr="006A72BB">
        <w:t xml:space="preserve">d) Proveer a los equipos que contienen o almacenan datos personales de un mantenimiento eficaz que asegure su disponibilidad e integridad. </w:t>
      </w:r>
    </w:p>
    <w:p w:rsidR="006A72BB" w:rsidRDefault="006A72BB" w:rsidP="006A72BB">
      <w:pPr>
        <w:pStyle w:val="Citas"/>
      </w:pPr>
      <w:r w:rsidRPr="006A72BB">
        <w:rPr>
          <w:b/>
        </w:rPr>
        <w:t>XXXIII, Medidas de seguridad técnicas</w:t>
      </w:r>
      <w:r w:rsidRPr="006A72BB">
        <w:t xml:space="preserve">: a las acciones y mecanismos que se valen de la tecnología relacionada con hardware y software para proteger el entorno digital de los datos personales y los recursos involucrados en su tratamiento. De manera enunciativa más no limitativa, se considerarán las actividades siguientes: </w:t>
      </w:r>
    </w:p>
    <w:p w:rsidR="006A72BB" w:rsidRDefault="006A72BB" w:rsidP="006A72BB">
      <w:pPr>
        <w:pStyle w:val="Citas"/>
      </w:pPr>
      <w:r w:rsidRPr="006A72BB">
        <w:t xml:space="preserve">a) Prevenir que el acceso a los sistemas y bases de datos o a la información, así como a los recursos, sea por usuarios identificados y autorizados. </w:t>
      </w:r>
    </w:p>
    <w:p w:rsidR="006A72BB" w:rsidRDefault="006A72BB" w:rsidP="006A72BB">
      <w:pPr>
        <w:pStyle w:val="Citas"/>
      </w:pPr>
      <w:r w:rsidRPr="006A72BB">
        <w:lastRenderedPageBreak/>
        <w:t xml:space="preserve">b) Generar un esquema de privilegios para que el usuario lleve a cabo las actividades que requiere con motivo de sus funciones. </w:t>
      </w:r>
    </w:p>
    <w:p w:rsidR="006A72BB" w:rsidRDefault="006A72BB" w:rsidP="006A72BB">
      <w:pPr>
        <w:pStyle w:val="Citas"/>
      </w:pPr>
      <w:r w:rsidRPr="006A72BB">
        <w:t xml:space="preserve">c) Revisar la configuración de seguridad en la adquisición, operación, desarrollo y mantenimiento del software y hardware. </w:t>
      </w:r>
    </w:p>
    <w:p w:rsidR="006A72BB" w:rsidRDefault="006A72BB" w:rsidP="006A72BB">
      <w:pPr>
        <w:pStyle w:val="Citas"/>
      </w:pPr>
      <w:r w:rsidRPr="006A72BB">
        <w:t>d) Gestionar las comunicaciones, operaciones y medios de almacenamiento de los recursos informáticos en el tratamiento de datos personales. …”</w:t>
      </w:r>
    </w:p>
    <w:p w:rsidR="006A72BB" w:rsidRPr="006A72BB" w:rsidRDefault="006A72BB" w:rsidP="006A72BB">
      <w:pPr>
        <w:spacing w:line="360" w:lineRule="auto"/>
        <w:jc w:val="both"/>
        <w:rPr>
          <w:rFonts w:ascii="Palatino Linotype" w:hAnsi="Palatino Linotype"/>
          <w:sz w:val="24"/>
        </w:rPr>
      </w:pPr>
      <w:r w:rsidRPr="006A72BB">
        <w:rPr>
          <w:rFonts w:ascii="Palatino Linotype" w:hAnsi="Palatino Linotype"/>
          <w:sz w:val="24"/>
        </w:rPr>
        <w:t>Por todo lo antes expuesto, resulta oportuno describir los elementos mínimos contenidos en el documento de seguridad, establecidos en el artículo 49 de la Ley, que se mencionan a continuación:</w:t>
      </w:r>
    </w:p>
    <w:p w:rsidR="00E671E1" w:rsidRPr="00E671E1" w:rsidRDefault="006A72BB" w:rsidP="00E671E1">
      <w:pPr>
        <w:pStyle w:val="Citas"/>
        <w:spacing w:before="0" w:line="240" w:lineRule="auto"/>
        <w:ind w:left="993"/>
        <w:rPr>
          <w:b/>
        </w:rPr>
      </w:pPr>
      <w:r w:rsidRPr="00E671E1">
        <w:rPr>
          <w:b/>
        </w:rPr>
        <w:t xml:space="preserve">“Artículo 49. El documento de seguridad deberá contener como mínimo lo siguiente: </w:t>
      </w:r>
    </w:p>
    <w:p w:rsidR="00E671E1" w:rsidRDefault="006A72BB" w:rsidP="00E671E1">
      <w:pPr>
        <w:pStyle w:val="Citas"/>
        <w:numPr>
          <w:ilvl w:val="0"/>
          <w:numId w:val="15"/>
        </w:numPr>
        <w:spacing w:before="0" w:line="240" w:lineRule="auto"/>
        <w:ind w:left="993"/>
      </w:pPr>
      <w:r w:rsidRPr="006A72BB">
        <w:t>Respecto de los sistemas de datos personales:</w:t>
      </w:r>
    </w:p>
    <w:p w:rsidR="00E671E1" w:rsidRDefault="006A72BB" w:rsidP="00E671E1">
      <w:pPr>
        <w:pStyle w:val="Citas"/>
        <w:spacing w:before="0" w:line="240" w:lineRule="auto"/>
        <w:ind w:left="993"/>
      </w:pPr>
      <w:r w:rsidRPr="006A72BB">
        <w:t>a) El nombre.</w:t>
      </w:r>
    </w:p>
    <w:p w:rsidR="00E671E1" w:rsidRDefault="006A72BB" w:rsidP="00E671E1">
      <w:pPr>
        <w:pStyle w:val="Citas"/>
        <w:spacing w:before="0" w:line="240" w:lineRule="auto"/>
        <w:ind w:left="993"/>
      </w:pPr>
      <w:r w:rsidRPr="006A72BB">
        <w:t xml:space="preserve">b) El nombre, cargo y adscripción del administrador de cada sistema y base de datos. </w:t>
      </w:r>
    </w:p>
    <w:p w:rsidR="00E671E1" w:rsidRDefault="006A72BB" w:rsidP="00E671E1">
      <w:pPr>
        <w:pStyle w:val="Citas"/>
        <w:spacing w:before="0" w:line="240" w:lineRule="auto"/>
        <w:ind w:left="993"/>
      </w:pPr>
      <w:r w:rsidRPr="006A72BB">
        <w:t xml:space="preserve">c) Las funciones y obligaciones del responsable, encargado o encargados y todas las personas que traten datos personales. </w:t>
      </w:r>
    </w:p>
    <w:p w:rsidR="00E671E1" w:rsidRDefault="006A72BB" w:rsidP="00E671E1">
      <w:pPr>
        <w:pStyle w:val="Citas"/>
        <w:spacing w:before="0" w:line="240" w:lineRule="auto"/>
        <w:ind w:left="993"/>
      </w:pPr>
      <w:r w:rsidRPr="006A72BB">
        <w:t xml:space="preserve">d) El folio del registro del sistema y base de datos. </w:t>
      </w:r>
    </w:p>
    <w:p w:rsidR="00E671E1" w:rsidRDefault="006A72BB" w:rsidP="00E671E1">
      <w:pPr>
        <w:pStyle w:val="Citas"/>
        <w:spacing w:before="0" w:line="240" w:lineRule="auto"/>
        <w:ind w:left="993"/>
      </w:pPr>
      <w:r w:rsidRPr="006A72BB">
        <w:t xml:space="preserve">e) El inventario o la especificación detallada del tipo de datos personales </w:t>
      </w:r>
      <w:r w:rsidR="00E671E1">
        <w:t>contenidos.</w:t>
      </w:r>
    </w:p>
    <w:p w:rsidR="00E671E1" w:rsidRDefault="006A72BB" w:rsidP="00E671E1">
      <w:pPr>
        <w:pStyle w:val="Citas"/>
        <w:spacing w:before="0" w:line="240" w:lineRule="auto"/>
        <w:ind w:left="993"/>
      </w:pPr>
      <w:r w:rsidRPr="006A72BB">
        <w:t xml:space="preserve">f) La estructura y descripción de los sistemas y bases de datos personales, lo cual consiste en precisar y describir el tipo de soporte, así como las características del lugar donde se resguardan. </w:t>
      </w:r>
    </w:p>
    <w:p w:rsidR="00E671E1" w:rsidRPr="00E671E1" w:rsidRDefault="006A72BB" w:rsidP="00E671E1">
      <w:pPr>
        <w:pStyle w:val="Citas"/>
        <w:numPr>
          <w:ilvl w:val="0"/>
          <w:numId w:val="15"/>
        </w:numPr>
        <w:spacing w:before="0" w:line="240" w:lineRule="auto"/>
        <w:ind w:left="993"/>
        <w:rPr>
          <w:b/>
        </w:rPr>
      </w:pPr>
      <w:r w:rsidRPr="00E671E1">
        <w:rPr>
          <w:b/>
        </w:rPr>
        <w:t xml:space="preserve">Respecto de las medidas de seguridad implementadas deberá incluir lo siguiente: </w:t>
      </w:r>
    </w:p>
    <w:p w:rsidR="00E671E1" w:rsidRDefault="006A72BB" w:rsidP="00E671E1">
      <w:pPr>
        <w:pStyle w:val="Citas"/>
        <w:spacing w:before="0" w:line="240" w:lineRule="auto"/>
        <w:ind w:left="993"/>
      </w:pPr>
      <w:r w:rsidRPr="006A72BB">
        <w:t xml:space="preserve">a) Transferencia y remisiones. </w:t>
      </w:r>
    </w:p>
    <w:p w:rsidR="00E671E1" w:rsidRDefault="006A72BB" w:rsidP="00E671E1">
      <w:pPr>
        <w:pStyle w:val="Citas"/>
        <w:spacing w:before="0" w:line="240" w:lineRule="auto"/>
        <w:ind w:left="993"/>
      </w:pPr>
      <w:r w:rsidRPr="006A72BB">
        <w:t xml:space="preserve">b) Resguardo de soportes físicos y electrónicos. </w:t>
      </w:r>
    </w:p>
    <w:p w:rsidR="00E671E1" w:rsidRDefault="006A72BB" w:rsidP="00E671E1">
      <w:pPr>
        <w:pStyle w:val="Citas"/>
        <w:spacing w:before="0" w:line="240" w:lineRule="auto"/>
        <w:ind w:left="993"/>
      </w:pPr>
      <w:r w:rsidRPr="006A72BB">
        <w:lastRenderedPageBreak/>
        <w:t xml:space="preserve">c) Bitácoras para accesos, operación cotidiana y violaciones a la seguridad de los datos personales. </w:t>
      </w:r>
    </w:p>
    <w:p w:rsidR="00E671E1" w:rsidRDefault="006A72BB" w:rsidP="00E671E1">
      <w:pPr>
        <w:pStyle w:val="Citas"/>
        <w:spacing w:before="0" w:line="240" w:lineRule="auto"/>
        <w:ind w:left="993"/>
      </w:pPr>
      <w:r w:rsidRPr="006A72BB">
        <w:t xml:space="preserve">d) El análisis de riesgos. </w:t>
      </w:r>
    </w:p>
    <w:p w:rsidR="00E671E1" w:rsidRDefault="006A72BB" w:rsidP="00E671E1">
      <w:pPr>
        <w:pStyle w:val="Citas"/>
        <w:spacing w:before="0" w:line="240" w:lineRule="auto"/>
        <w:ind w:left="993"/>
      </w:pPr>
      <w:r w:rsidRPr="006A72BB">
        <w:t xml:space="preserve">e) El análisis de brecha. </w:t>
      </w:r>
    </w:p>
    <w:p w:rsidR="00E671E1" w:rsidRDefault="006A72BB" w:rsidP="00E671E1">
      <w:pPr>
        <w:pStyle w:val="Citas"/>
        <w:spacing w:before="0" w:line="240" w:lineRule="auto"/>
        <w:ind w:left="993"/>
      </w:pPr>
      <w:r w:rsidRPr="006A72BB">
        <w:t xml:space="preserve">f) Gestión de incidentes. </w:t>
      </w:r>
    </w:p>
    <w:p w:rsidR="00E671E1" w:rsidRDefault="006A72BB" w:rsidP="00E671E1">
      <w:pPr>
        <w:pStyle w:val="Citas"/>
        <w:spacing w:before="0" w:line="240" w:lineRule="auto"/>
        <w:ind w:left="993"/>
      </w:pPr>
      <w:r w:rsidRPr="006A72BB">
        <w:t xml:space="preserve">g) Acceso a las instalaciones. </w:t>
      </w:r>
    </w:p>
    <w:p w:rsidR="00E671E1" w:rsidRDefault="006A72BB" w:rsidP="00E671E1">
      <w:pPr>
        <w:pStyle w:val="Citas"/>
        <w:spacing w:before="0" w:line="240" w:lineRule="auto"/>
        <w:ind w:left="993"/>
      </w:pPr>
      <w:r w:rsidRPr="006A72BB">
        <w:t xml:space="preserve">h) Identificación y autenticación. </w:t>
      </w:r>
    </w:p>
    <w:p w:rsidR="00E671E1" w:rsidRDefault="006A72BB" w:rsidP="00E671E1">
      <w:pPr>
        <w:pStyle w:val="Citas"/>
        <w:spacing w:before="0" w:line="240" w:lineRule="auto"/>
        <w:ind w:left="993"/>
      </w:pPr>
      <w:r w:rsidRPr="006A72BB">
        <w:t xml:space="preserve">i) Procedimientos de respaldo y recuperación de datos. </w:t>
      </w:r>
    </w:p>
    <w:p w:rsidR="00E671E1" w:rsidRDefault="006A72BB" w:rsidP="00E671E1">
      <w:pPr>
        <w:pStyle w:val="Citas"/>
        <w:spacing w:before="0" w:line="240" w:lineRule="auto"/>
        <w:ind w:left="993"/>
      </w:pPr>
      <w:r w:rsidRPr="006A72BB">
        <w:t xml:space="preserve">j) Plan de contingencia. </w:t>
      </w:r>
    </w:p>
    <w:p w:rsidR="00E671E1" w:rsidRDefault="006A72BB" w:rsidP="00E671E1">
      <w:pPr>
        <w:pStyle w:val="Citas"/>
        <w:spacing w:before="0" w:line="240" w:lineRule="auto"/>
        <w:ind w:left="993"/>
      </w:pPr>
      <w:r w:rsidRPr="006A72BB">
        <w:t xml:space="preserve">k) Auditorías. </w:t>
      </w:r>
    </w:p>
    <w:p w:rsidR="00E671E1" w:rsidRDefault="006A72BB" w:rsidP="00E671E1">
      <w:pPr>
        <w:pStyle w:val="Citas"/>
        <w:spacing w:before="0" w:line="240" w:lineRule="auto"/>
        <w:ind w:left="993"/>
      </w:pPr>
      <w:r w:rsidRPr="006A72BB">
        <w:t xml:space="preserve">l) Supresión y borrado seguro de datos. </w:t>
      </w:r>
    </w:p>
    <w:p w:rsidR="00E671E1" w:rsidRDefault="006A72BB" w:rsidP="00E671E1">
      <w:pPr>
        <w:pStyle w:val="Citas"/>
        <w:spacing w:before="0" w:line="240" w:lineRule="auto"/>
        <w:ind w:left="993"/>
      </w:pPr>
      <w:r w:rsidRPr="006A72BB">
        <w:t xml:space="preserve">m) El plan de trabajo. </w:t>
      </w:r>
    </w:p>
    <w:p w:rsidR="00E671E1" w:rsidRDefault="006A72BB" w:rsidP="00E671E1">
      <w:pPr>
        <w:pStyle w:val="Citas"/>
        <w:spacing w:before="0" w:line="240" w:lineRule="auto"/>
        <w:ind w:left="993"/>
      </w:pPr>
      <w:r w:rsidRPr="006A72BB">
        <w:t xml:space="preserve">n) Los mecanismos de monitoreo y revisión de las medidas de seguridad. </w:t>
      </w:r>
    </w:p>
    <w:p w:rsidR="006A72BB" w:rsidRDefault="006A72BB" w:rsidP="00E671E1">
      <w:pPr>
        <w:pStyle w:val="Citas"/>
        <w:spacing w:before="0" w:line="240" w:lineRule="auto"/>
        <w:ind w:left="993"/>
      </w:pPr>
      <w:r w:rsidRPr="006A72BB">
        <w:t>o) El programa general de capacitación."</w:t>
      </w:r>
    </w:p>
    <w:p w:rsidR="001968E0" w:rsidRDefault="001968E0" w:rsidP="006A72BB">
      <w:pPr>
        <w:spacing w:line="360" w:lineRule="auto"/>
        <w:jc w:val="both"/>
        <w:rPr>
          <w:rFonts w:ascii="Palatino Linotype" w:hAnsi="Palatino Linotype"/>
          <w:sz w:val="24"/>
        </w:rPr>
      </w:pPr>
    </w:p>
    <w:p w:rsidR="006A72BB" w:rsidRPr="006A72BB" w:rsidRDefault="00E671E1" w:rsidP="006A72BB">
      <w:pPr>
        <w:spacing w:line="360" w:lineRule="auto"/>
        <w:jc w:val="both"/>
        <w:rPr>
          <w:rFonts w:ascii="Palatino Linotype" w:hAnsi="Palatino Linotype"/>
          <w:sz w:val="24"/>
        </w:rPr>
      </w:pPr>
      <w:r w:rsidRPr="00E671E1">
        <w:rPr>
          <w:rFonts w:ascii="Palatino Linotype" w:hAnsi="Palatino Linotype"/>
          <w:sz w:val="24"/>
        </w:rPr>
        <w:t xml:space="preserve">En consecuencia, si bien es cierto que, el marco normativo señala que </w:t>
      </w:r>
      <w:r w:rsidRPr="001968E0">
        <w:rPr>
          <w:rFonts w:ascii="Palatino Linotype" w:hAnsi="Palatino Linotype"/>
          <w:b/>
          <w:sz w:val="24"/>
        </w:rPr>
        <w:t>el documento de seguridad contiene información con la cual su divulgación puede traer consigo el daño, alteración, pérdida, destrucción, uso, transferencia, acceso o tratamiento no autorizado y en su caso ilícito, poniendo en riesgo la integridad, disponibilidad y confidencialidad de los datos personales, también lo es que contiene datos que son susceptibles de ser entregados, previa elaboración de la versión pública, los cuales de manera enunciativa mas no limitativa</w:t>
      </w:r>
      <w:r w:rsidRPr="00E671E1">
        <w:rPr>
          <w:rFonts w:ascii="Palatino Linotype" w:hAnsi="Palatino Linotype"/>
          <w:sz w:val="24"/>
        </w:rPr>
        <w:t xml:space="preserve"> </w:t>
      </w:r>
      <w:r w:rsidRPr="001968E0">
        <w:rPr>
          <w:rFonts w:ascii="Palatino Linotype" w:hAnsi="Palatino Linotype"/>
          <w:b/>
          <w:sz w:val="24"/>
        </w:rPr>
        <w:t>son</w:t>
      </w:r>
      <w:r w:rsidRPr="00E671E1">
        <w:rPr>
          <w:rFonts w:ascii="Palatino Linotype" w:hAnsi="Palatino Linotype"/>
          <w:sz w:val="24"/>
        </w:rPr>
        <w:t xml:space="preserve"> el nombre, cargo y adscripción del administrador de cada sistema y base de datos, las funciones y obligaciones del responsable, encargado o encargados y todas las personas que traten datos personales, </w:t>
      </w:r>
      <w:r w:rsidRPr="00E671E1">
        <w:rPr>
          <w:rFonts w:ascii="Palatino Linotype" w:hAnsi="Palatino Linotype"/>
          <w:sz w:val="24"/>
        </w:rPr>
        <w:lastRenderedPageBreak/>
        <w:t xml:space="preserve">así como el folio del registro del sistema y </w:t>
      </w:r>
      <w:r w:rsidRPr="001968E0">
        <w:rPr>
          <w:rFonts w:ascii="Palatino Linotype" w:hAnsi="Palatino Linotype"/>
          <w:b/>
          <w:sz w:val="24"/>
          <w:u w:val="single"/>
        </w:rPr>
        <w:t>la estructura y descripción de los sistemas y bases de datos personales.</w:t>
      </w:r>
    </w:p>
    <w:p w:rsidR="00373CCC" w:rsidRDefault="00373CCC" w:rsidP="00373CCC">
      <w:pPr>
        <w:spacing w:after="0" w:line="360" w:lineRule="auto"/>
        <w:contextualSpacing/>
        <w:jc w:val="both"/>
        <w:rPr>
          <w:rFonts w:ascii="Palatino Linotype" w:eastAsia="Palatino Linotype" w:hAnsi="Palatino Linotype" w:cs="Palatino Linotype"/>
          <w:sz w:val="24"/>
          <w:szCs w:val="24"/>
        </w:rPr>
      </w:pPr>
    </w:p>
    <w:p w:rsidR="00373CCC" w:rsidRPr="00E671E1" w:rsidRDefault="00373CCC" w:rsidP="00373CCC">
      <w:pPr>
        <w:spacing w:after="0" w:line="360" w:lineRule="auto"/>
        <w:contextualSpacing/>
        <w:jc w:val="both"/>
        <w:rPr>
          <w:rFonts w:ascii="Palatino Linotype" w:eastAsia="Palatino Linotype" w:hAnsi="Palatino Linotype" w:cs="Palatino Linotype"/>
          <w:sz w:val="24"/>
          <w:szCs w:val="24"/>
        </w:rPr>
      </w:pPr>
      <w:r w:rsidRPr="00E671E1">
        <w:rPr>
          <w:rFonts w:ascii="Palatino Linotype" w:eastAsia="Palatino Linotype" w:hAnsi="Palatino Linotype" w:cs="Palatino Linotype"/>
          <w:sz w:val="24"/>
          <w:szCs w:val="24"/>
        </w:rPr>
        <w:t xml:space="preserve">Por lo señalado anteriormente y en virtud de que las pretensiones del Recurrente </w:t>
      </w:r>
      <w:r w:rsidR="00E671E1">
        <w:rPr>
          <w:rFonts w:ascii="Palatino Linotype" w:eastAsia="Palatino Linotype" w:hAnsi="Palatino Linotype" w:cs="Palatino Linotype"/>
          <w:sz w:val="24"/>
          <w:szCs w:val="24"/>
        </w:rPr>
        <w:t xml:space="preserve">no </w:t>
      </w:r>
      <w:r w:rsidRPr="00E671E1">
        <w:rPr>
          <w:rFonts w:ascii="Palatino Linotype" w:eastAsia="Palatino Linotype" w:hAnsi="Palatino Linotype" w:cs="Palatino Linotype"/>
          <w:sz w:val="24"/>
          <w:szCs w:val="24"/>
        </w:rPr>
        <w:t>fueron colmadas, este Órgano Garante estima que las razones o motivos de inconformidad planteados en el recurso de revisión devienen fundados, ordenar la entrega en versión pública, de lo siguiente:</w:t>
      </w:r>
    </w:p>
    <w:p w:rsidR="00373CCC" w:rsidRPr="00E671E1" w:rsidRDefault="00E671E1" w:rsidP="00373CCC">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Documento de seguridad vigente al veinte de junio de dos mil veinticuatro</w:t>
      </w:r>
      <w:r w:rsidR="00373CCC" w:rsidRPr="00E671E1">
        <w:rPr>
          <w:rFonts w:ascii="Palatino Linotype" w:eastAsia="Palatino Linotype" w:hAnsi="Palatino Linotype" w:cs="Palatino Linotype"/>
          <w:color w:val="000000"/>
        </w:rPr>
        <w:t>.</w:t>
      </w:r>
    </w:p>
    <w:p w:rsidR="00373CCC" w:rsidRDefault="00373CCC" w:rsidP="00373CCC">
      <w:pPr>
        <w:autoSpaceDE w:val="0"/>
        <w:autoSpaceDN w:val="0"/>
        <w:adjustRightInd w:val="0"/>
        <w:spacing w:line="360" w:lineRule="auto"/>
        <w:ind w:left="360"/>
        <w:contextualSpacing/>
        <w:jc w:val="both"/>
        <w:rPr>
          <w:rFonts w:ascii="Palatino Linotype" w:hAnsi="Palatino Linotype" w:cs="Arial"/>
          <w:b/>
          <w:i/>
          <w:sz w:val="28"/>
        </w:rPr>
      </w:pPr>
    </w:p>
    <w:p w:rsidR="001968E0" w:rsidRPr="00207C17" w:rsidRDefault="001968E0" w:rsidP="001968E0">
      <w:pPr>
        <w:numPr>
          <w:ilvl w:val="0"/>
          <w:numId w:val="16"/>
        </w:numPr>
        <w:spacing w:after="0" w:line="360" w:lineRule="auto"/>
        <w:ind w:left="709" w:right="49"/>
        <w:contextualSpacing/>
        <w:jc w:val="both"/>
        <w:rPr>
          <w:rFonts w:ascii="Palatino Linotype" w:eastAsia="Times New Roman" w:hAnsi="Palatino Linotype" w:cs="Times New Roman"/>
          <w:b/>
          <w:color w:val="000000" w:themeColor="text1"/>
          <w:sz w:val="24"/>
          <w:szCs w:val="24"/>
          <w:u w:val="single"/>
          <w:lang w:val="es-ES" w:eastAsia="es-ES"/>
        </w:rPr>
      </w:pPr>
      <w:r w:rsidRPr="00207C17">
        <w:rPr>
          <w:rFonts w:ascii="Palatino Linotype" w:eastAsia="Times New Roman" w:hAnsi="Palatino Linotype" w:cs="Times New Roman"/>
          <w:b/>
          <w:i/>
          <w:sz w:val="24"/>
          <w:szCs w:val="24"/>
          <w:lang w:val="es-ES" w:eastAsia="es-ES"/>
        </w:rPr>
        <w:t>DEL ACUERDO DE CLASIFICACIÓN.</w:t>
      </w:r>
      <w:bookmarkStart w:id="1" w:name="_Toc485631704"/>
      <w:bookmarkStart w:id="2" w:name="_Toc496643629"/>
      <w:bookmarkStart w:id="3" w:name="_Toc514868040"/>
      <w:r w:rsidRPr="00207C17">
        <w:rPr>
          <w:rFonts w:ascii="Palatino Linotype" w:eastAsia="Times New Roman" w:hAnsi="Palatino Linotype" w:cs="Times New Roman"/>
          <w:b/>
          <w:i/>
          <w:sz w:val="24"/>
          <w:szCs w:val="24"/>
          <w:lang w:val="es-ES" w:eastAsia="es-ES"/>
        </w:rPr>
        <w:t xml:space="preserve"> FORMALIDADES PARA EMITIR EL ACUERDO DE CLASIFICACIÓN.</w:t>
      </w:r>
      <w:bookmarkEnd w:id="1"/>
      <w:bookmarkEnd w:id="2"/>
      <w:bookmarkEnd w:id="3"/>
    </w:p>
    <w:p w:rsidR="001968E0" w:rsidRPr="00207C17" w:rsidRDefault="001968E0" w:rsidP="001968E0">
      <w:pPr>
        <w:tabs>
          <w:tab w:val="left" w:pos="7770"/>
        </w:tabs>
        <w:spacing w:after="0" w:line="360" w:lineRule="auto"/>
        <w:jc w:val="both"/>
        <w:rPr>
          <w:rFonts w:ascii="Palatino Linotype" w:eastAsia="Times New Roman" w:hAnsi="Palatino Linotype" w:cs="Arial"/>
          <w:color w:val="000000" w:themeColor="text1"/>
          <w:sz w:val="2"/>
          <w:szCs w:val="24"/>
          <w:lang w:val="es-ES" w:eastAsia="es-ES"/>
        </w:rPr>
      </w:pPr>
    </w:p>
    <w:p w:rsidR="001968E0" w:rsidRPr="00207C17" w:rsidRDefault="001968E0" w:rsidP="001968E0">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 xml:space="preserve">Los </w:t>
      </w:r>
      <w:r w:rsidRPr="00207C17">
        <w:rPr>
          <w:rFonts w:ascii="Palatino Linotype" w:hAnsi="Palatino Linotype"/>
          <w:color w:val="000000" w:themeColor="text1"/>
          <w:sz w:val="24"/>
        </w:rPr>
        <w:t>artículos</w:t>
      </w:r>
      <w:r w:rsidRPr="00207C17">
        <w:rPr>
          <w:rFonts w:ascii="Palatino Linotype" w:hAnsi="Palatino Linotype" w:cs="Arial"/>
          <w:color w:val="000000" w:themeColor="text1"/>
          <w:sz w:val="24"/>
        </w:rPr>
        <w:t xml:space="preserve"> 122 y 100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xml:space="preserve"> y de la </w:t>
      </w:r>
      <w:r w:rsidRPr="00207C17">
        <w:rPr>
          <w:rFonts w:ascii="Palatino Linotype" w:hAnsi="Palatino Linotype"/>
          <w:b/>
          <w:color w:val="000000" w:themeColor="text1"/>
          <w:sz w:val="24"/>
        </w:rPr>
        <w:t>Ley General de Transparencia y Acceso a la Información Pública</w:t>
      </w:r>
      <w:r w:rsidRPr="00207C17">
        <w:rPr>
          <w:rFonts w:ascii="Palatino Linotype" w:hAnsi="Palatino Linotype" w:cs="Arial"/>
          <w:color w:val="000000" w:themeColor="text1"/>
          <w:sz w:val="24"/>
        </w:rPr>
        <w:t>,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señalando el supuesto de clasificación (confidencialidad o reserva).</w:t>
      </w:r>
    </w:p>
    <w:p w:rsidR="001968E0" w:rsidRPr="00207C17" w:rsidRDefault="001968E0" w:rsidP="001968E0">
      <w:pPr>
        <w:spacing w:after="0" w:line="360" w:lineRule="auto"/>
        <w:contextualSpacing/>
        <w:jc w:val="both"/>
        <w:rPr>
          <w:rFonts w:ascii="Palatino Linotype" w:eastAsia="Times New Roman" w:hAnsi="Palatino Linotype" w:cs="Arial"/>
          <w:color w:val="000000" w:themeColor="text1"/>
          <w:sz w:val="24"/>
          <w:szCs w:val="24"/>
          <w:lang w:val="es-ES" w:eastAsia="es-ES"/>
        </w:rPr>
      </w:pPr>
    </w:p>
    <w:p w:rsidR="001968E0" w:rsidRPr="00207C17" w:rsidRDefault="001968E0" w:rsidP="001968E0">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 xml:space="preserve">Además, se debe señalar el procedimiento, de los tres que establecen los artículos 132 y 106 de la Ley Estatal y General, respectivamente, por el que se realiza dicha </w:t>
      </w:r>
      <w:r w:rsidRPr="00207C17">
        <w:rPr>
          <w:rFonts w:ascii="Palatino Linotype" w:hAnsi="Palatino Linotype" w:cs="Arial"/>
          <w:color w:val="000000" w:themeColor="text1"/>
          <w:sz w:val="24"/>
        </w:rPr>
        <w:lastRenderedPageBreak/>
        <w:t>clasificación, a saber, cuando se atiende una solicitud de acceso a la información, porque lo determina una autoridad competente o porque se va a generar una versión pública para cumplir con sus obligaciones.</w:t>
      </w:r>
    </w:p>
    <w:p w:rsidR="001968E0" w:rsidRPr="00207C17" w:rsidRDefault="001968E0" w:rsidP="001968E0">
      <w:pPr>
        <w:spacing w:after="0" w:line="360" w:lineRule="auto"/>
        <w:contextualSpacing/>
        <w:jc w:val="both"/>
        <w:rPr>
          <w:rFonts w:ascii="Palatino Linotype" w:hAnsi="Palatino Linotype" w:cs="Arial"/>
          <w:color w:val="000000" w:themeColor="text1"/>
          <w:sz w:val="24"/>
        </w:rPr>
      </w:pPr>
    </w:p>
    <w:p w:rsidR="001968E0" w:rsidRPr="00207C17" w:rsidRDefault="001968E0" w:rsidP="001968E0">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rsidR="001968E0" w:rsidRDefault="001968E0" w:rsidP="001968E0">
      <w:pPr>
        <w:spacing w:after="0" w:line="360" w:lineRule="auto"/>
        <w:contextualSpacing/>
        <w:jc w:val="both"/>
        <w:rPr>
          <w:rFonts w:ascii="Palatino Linotype" w:hAnsi="Palatino Linotype" w:cs="Arial"/>
          <w:color w:val="000000" w:themeColor="text1"/>
          <w:sz w:val="24"/>
        </w:rPr>
      </w:pPr>
    </w:p>
    <w:p w:rsidR="001968E0" w:rsidRPr="00207C17" w:rsidRDefault="001968E0" w:rsidP="001968E0">
      <w:pPr>
        <w:spacing w:after="0" w:line="360" w:lineRule="auto"/>
        <w:contextualSpacing/>
        <w:jc w:val="both"/>
        <w:rPr>
          <w:rFonts w:ascii="Palatino Linotype" w:hAnsi="Palatino Linotype" w:cs="Arial"/>
          <w:color w:val="000000" w:themeColor="text1"/>
          <w:sz w:val="28"/>
        </w:rPr>
      </w:pPr>
      <w:r w:rsidRPr="00207C17">
        <w:rPr>
          <w:rFonts w:ascii="Palatino Linotype" w:hAnsi="Palatino Linotype" w:cs="Arial"/>
          <w:color w:val="000000" w:themeColor="text1"/>
          <w:sz w:val="24"/>
        </w:rPr>
        <w:t xml:space="preserve">Por lo tanto el Comité de Transparencia, según lo dispuesto en los artículos 128 y 103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xml:space="preserve"> y de la </w:t>
      </w:r>
      <w:r w:rsidRPr="00207C17">
        <w:rPr>
          <w:rFonts w:ascii="Palatino Linotype" w:hAnsi="Palatino Linotype"/>
          <w:b/>
          <w:color w:val="000000" w:themeColor="text1"/>
          <w:sz w:val="24"/>
        </w:rPr>
        <w:t>Ley General de Transparencia y Acceso a la Información Pública</w:t>
      </w:r>
      <w:r w:rsidRPr="00207C17">
        <w:rPr>
          <w:rFonts w:ascii="Palatino Linotype" w:hAnsi="Palatino Linotype"/>
          <w:color w:val="000000" w:themeColor="text1"/>
          <w:sz w:val="24"/>
        </w:rPr>
        <w:t>,</w:t>
      </w:r>
      <w:r w:rsidRPr="00207C17">
        <w:rPr>
          <w:rFonts w:ascii="Palatino Linotype" w:hAnsi="Palatino Linotype" w:cs="Arial"/>
          <w:color w:val="000000" w:themeColor="text1"/>
          <w:sz w:val="24"/>
        </w:rPr>
        <w:t xml:space="preserve"> respectivamente, y </w:t>
      </w:r>
      <w:r w:rsidRPr="00207C17">
        <w:rPr>
          <w:rFonts w:ascii="Palatino Linotype" w:hAnsi="Palatino Linotype"/>
          <w:color w:val="000000" w:themeColor="text1"/>
          <w:sz w:val="24"/>
        </w:rPr>
        <w:t xml:space="preserve">la fracción III del numeral Segundo de los </w:t>
      </w:r>
      <w:r w:rsidRPr="00207C17">
        <w:rPr>
          <w:rFonts w:ascii="Palatino Linotype" w:hAnsi="Palatino Linotype" w:cs="Arial"/>
          <w:b/>
          <w:color w:val="000000" w:themeColor="text1"/>
          <w:sz w:val="24"/>
        </w:rPr>
        <w:t>Lineamientos generales en materia de clasificación y desclasificación de la información, así como para la elaboración de versiones públicas</w:t>
      </w:r>
      <w:r w:rsidRPr="00207C17">
        <w:rPr>
          <w:rFonts w:ascii="Palatino Linotype" w:hAnsi="Palatino Linotype" w:cs="Arial"/>
          <w:color w:val="000000" w:themeColor="text1"/>
          <w:sz w:val="24"/>
        </w:rPr>
        <w:t>, en adelante los Lineamientos Generales,</w:t>
      </w:r>
      <w:r w:rsidRPr="00207C17">
        <w:rPr>
          <w:rFonts w:ascii="Palatino Linotype" w:hAnsi="Palatino Linotype"/>
          <w:color w:val="000000" w:themeColor="text1"/>
          <w:sz w:val="24"/>
        </w:rPr>
        <w:t xml:space="preserve"> </w:t>
      </w:r>
      <w:r w:rsidRPr="00207C17">
        <w:rPr>
          <w:rFonts w:ascii="Palatino Linotype" w:hAnsi="Palatino Linotype" w:cs="Arial"/>
          <w:color w:val="000000" w:themeColor="text1"/>
          <w:sz w:val="24"/>
        </w:rPr>
        <w:t>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rsidR="001968E0" w:rsidRPr="00207C17" w:rsidRDefault="001968E0" w:rsidP="001968E0">
      <w:pPr>
        <w:spacing w:after="0" w:line="240" w:lineRule="auto"/>
        <w:rPr>
          <w:rFonts w:ascii="Times New Roman" w:eastAsia="Times New Roman" w:hAnsi="Times New Roman" w:cs="Times New Roman"/>
          <w:sz w:val="24"/>
          <w:szCs w:val="24"/>
          <w:lang w:eastAsia="es-ES"/>
        </w:rPr>
      </w:pPr>
    </w:p>
    <w:p w:rsidR="001968E0" w:rsidRPr="00207C17" w:rsidRDefault="001968E0" w:rsidP="001968E0">
      <w:pPr>
        <w:spacing w:after="0" w:line="360" w:lineRule="auto"/>
        <w:contextualSpacing/>
        <w:jc w:val="both"/>
        <w:rPr>
          <w:rFonts w:ascii="Palatino Linotype" w:hAnsi="Palatino Linotype" w:cs="Arial"/>
          <w:color w:val="000000" w:themeColor="text1"/>
          <w:sz w:val="32"/>
        </w:rPr>
      </w:pPr>
      <w:r w:rsidRPr="00207C17">
        <w:rPr>
          <w:rFonts w:ascii="Palatino Linotype" w:hAnsi="Palatino Linotype" w:cs="Arial"/>
          <w:color w:val="000000" w:themeColor="text1"/>
          <w:sz w:val="24"/>
        </w:rPr>
        <w:t xml:space="preserve">Evidentemente, esta decisión implica una restricción a un derecho humano, por lo tanto, puede generar un agravio al particular y, en consecuencia, es necesario que el </w:t>
      </w:r>
      <w:r w:rsidRPr="00207C17">
        <w:rPr>
          <w:rFonts w:ascii="Palatino Linotype" w:hAnsi="Palatino Linotype" w:cs="Arial"/>
          <w:color w:val="000000" w:themeColor="text1"/>
          <w:sz w:val="24"/>
        </w:rPr>
        <w:lastRenderedPageBreak/>
        <w:t xml:space="preserve">acto reúna con los requisitos elementales, entre ellos, que la autoridad que va a emitir el acto de autoridad sea la legalmente facultada para ello, por lo que no está por demás señalar que los artículos 45 y 46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claramente señalan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1968E0" w:rsidRPr="00207C17" w:rsidRDefault="001968E0" w:rsidP="001968E0">
      <w:pPr>
        <w:spacing w:after="0" w:line="360" w:lineRule="auto"/>
        <w:contextualSpacing/>
        <w:jc w:val="both"/>
        <w:rPr>
          <w:rFonts w:ascii="Palatino Linotype" w:hAnsi="Palatino Linotype" w:cs="Arial"/>
          <w:color w:val="000000" w:themeColor="text1"/>
          <w:sz w:val="20"/>
        </w:rPr>
      </w:pPr>
    </w:p>
    <w:p w:rsidR="001968E0" w:rsidRPr="00207C17" w:rsidRDefault="001968E0" w:rsidP="001968E0">
      <w:pPr>
        <w:spacing w:after="0" w:line="360" w:lineRule="auto"/>
        <w:contextualSpacing/>
        <w:jc w:val="both"/>
        <w:rPr>
          <w:rFonts w:ascii="Palatino Linotype" w:hAnsi="Palatino Linotype"/>
          <w:color w:val="000000" w:themeColor="text1"/>
          <w:sz w:val="24"/>
        </w:rPr>
      </w:pPr>
      <w:r w:rsidRPr="00207C17">
        <w:rPr>
          <w:rFonts w:ascii="Palatino Linotype" w:hAnsi="Palatino Linotype"/>
          <w:color w:val="000000" w:themeColor="text1"/>
          <w:sz w:val="24"/>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 </w:t>
      </w:r>
      <w:bookmarkStart w:id="4" w:name="_Toc485631705"/>
      <w:bookmarkStart w:id="5" w:name="_Toc496643630"/>
      <w:bookmarkStart w:id="6" w:name="_Toc514868041"/>
      <w:bookmarkStart w:id="7" w:name="_Toc516161530"/>
    </w:p>
    <w:p w:rsidR="001968E0" w:rsidRPr="00207C17" w:rsidRDefault="001968E0" w:rsidP="001968E0">
      <w:pPr>
        <w:spacing w:after="0" w:line="360" w:lineRule="auto"/>
        <w:contextualSpacing/>
        <w:jc w:val="both"/>
        <w:rPr>
          <w:rFonts w:ascii="Palatino Linotype" w:hAnsi="Palatino Linotype"/>
          <w:color w:val="000000" w:themeColor="text1"/>
          <w:sz w:val="20"/>
        </w:rPr>
      </w:pPr>
    </w:p>
    <w:p w:rsidR="001968E0" w:rsidRPr="00207C17" w:rsidRDefault="001968E0" w:rsidP="001968E0">
      <w:pPr>
        <w:numPr>
          <w:ilvl w:val="0"/>
          <w:numId w:val="17"/>
        </w:numPr>
        <w:spacing w:after="0" w:line="360" w:lineRule="auto"/>
        <w:contextualSpacing/>
        <w:jc w:val="both"/>
        <w:rPr>
          <w:rFonts w:ascii="Palatino Linotype" w:eastAsia="Times New Roman" w:hAnsi="Palatino Linotype" w:cs="Arial"/>
          <w:b/>
          <w:i/>
          <w:color w:val="000000" w:themeColor="text1"/>
          <w:sz w:val="36"/>
          <w:szCs w:val="24"/>
          <w:lang w:val="es-ES" w:eastAsia="es-ES"/>
        </w:rPr>
      </w:pPr>
      <w:r w:rsidRPr="00207C17">
        <w:rPr>
          <w:rFonts w:ascii="Palatino Linotype" w:eastAsia="Times New Roman" w:hAnsi="Palatino Linotype" w:cs="Times New Roman"/>
          <w:b/>
          <w:i/>
          <w:sz w:val="24"/>
          <w:szCs w:val="24"/>
          <w:lang w:val="es-ES" w:eastAsia="es-ES"/>
        </w:rPr>
        <w:t>Requisitos de fondo del acuerdo de clasificación.</w:t>
      </w:r>
      <w:bookmarkEnd w:id="4"/>
      <w:bookmarkEnd w:id="5"/>
      <w:bookmarkEnd w:id="6"/>
      <w:bookmarkEnd w:id="7"/>
    </w:p>
    <w:p w:rsidR="001968E0" w:rsidRDefault="001968E0" w:rsidP="001968E0">
      <w:pPr>
        <w:spacing w:after="0" w:line="360" w:lineRule="auto"/>
        <w:contextualSpacing/>
        <w:jc w:val="both"/>
        <w:rPr>
          <w:rFonts w:ascii="Palatino Linotype" w:hAnsi="Palatino Linotype" w:cs="Arial"/>
          <w:color w:val="000000" w:themeColor="text1"/>
          <w:sz w:val="24"/>
        </w:rPr>
      </w:pPr>
    </w:p>
    <w:p w:rsidR="001968E0" w:rsidRPr="00207C17" w:rsidRDefault="001968E0" w:rsidP="001968E0">
      <w:pPr>
        <w:spacing w:after="0" w:line="360" w:lineRule="auto"/>
        <w:contextualSpacing/>
        <w:jc w:val="both"/>
        <w:rPr>
          <w:rFonts w:ascii="Palatino Linotype" w:hAnsi="Palatino Linotype" w:cs="Arial"/>
          <w:color w:val="000000" w:themeColor="text1"/>
          <w:sz w:val="18"/>
        </w:rPr>
      </w:pPr>
      <w:r w:rsidRPr="00207C17">
        <w:rPr>
          <w:rFonts w:ascii="Palatino Linotype" w:hAnsi="Palatino Linotype" w:cs="Arial"/>
          <w:color w:val="000000" w:themeColor="text1"/>
          <w:sz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w:t>
      </w:r>
      <w:r w:rsidRPr="00207C17">
        <w:rPr>
          <w:rFonts w:ascii="Palatino Linotype" w:hAnsi="Palatino Linotype" w:cs="Arial"/>
          <w:color w:val="000000" w:themeColor="text1"/>
          <w:sz w:val="24"/>
        </w:rPr>
        <w:lastRenderedPageBreak/>
        <w:t>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1968E0" w:rsidRDefault="001968E0" w:rsidP="001968E0">
      <w:pPr>
        <w:spacing w:after="0" w:line="360" w:lineRule="auto"/>
        <w:contextualSpacing/>
        <w:jc w:val="both"/>
        <w:rPr>
          <w:rFonts w:ascii="Palatino Linotype" w:hAnsi="Palatino Linotype"/>
          <w:color w:val="000000" w:themeColor="text1"/>
          <w:sz w:val="24"/>
        </w:rPr>
      </w:pPr>
    </w:p>
    <w:p w:rsidR="001968E0" w:rsidRPr="00207C17" w:rsidRDefault="001968E0" w:rsidP="001968E0">
      <w:pPr>
        <w:spacing w:after="0" w:line="360" w:lineRule="auto"/>
        <w:contextualSpacing/>
        <w:jc w:val="both"/>
        <w:rPr>
          <w:rFonts w:ascii="Palatino Linotype" w:hAnsi="Palatino Linotype" w:cs="Arial"/>
          <w:color w:val="000000" w:themeColor="text1"/>
          <w:sz w:val="44"/>
        </w:rPr>
      </w:pPr>
      <w:r w:rsidRPr="00207C17">
        <w:rPr>
          <w:rFonts w:ascii="Palatino Linotype" w:hAnsi="Palatino Linotype"/>
          <w:color w:val="000000" w:themeColor="text1"/>
          <w:sz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968E0" w:rsidRPr="00AB1D92" w:rsidRDefault="001968E0" w:rsidP="001968E0">
      <w:pPr>
        <w:spacing w:after="0" w:line="360" w:lineRule="auto"/>
        <w:contextualSpacing/>
        <w:jc w:val="both"/>
        <w:rPr>
          <w:rFonts w:ascii="Palatino Linotype" w:hAnsi="Palatino Linotype" w:cs="Arial"/>
          <w:color w:val="000000" w:themeColor="text1"/>
          <w:sz w:val="24"/>
        </w:rPr>
      </w:pPr>
    </w:p>
    <w:p w:rsidR="001968E0" w:rsidRDefault="001968E0" w:rsidP="001968E0">
      <w:pPr>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cs="Arial"/>
          <w:color w:val="000000" w:themeColor="text1"/>
          <w:sz w:val="24"/>
          <w:lang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w:t>
      </w:r>
    </w:p>
    <w:p w:rsidR="001968E0" w:rsidRDefault="001968E0" w:rsidP="001968E0">
      <w:pPr>
        <w:spacing w:after="0" w:line="360" w:lineRule="auto"/>
        <w:contextualSpacing/>
        <w:jc w:val="both"/>
        <w:rPr>
          <w:rFonts w:ascii="Palatino Linotype" w:hAnsi="Palatino Linotype" w:cs="Arial"/>
          <w:color w:val="000000" w:themeColor="text1"/>
          <w:sz w:val="24"/>
          <w:lang w:eastAsia="es-MX"/>
        </w:rPr>
      </w:pPr>
    </w:p>
    <w:p w:rsidR="001968E0" w:rsidRPr="00207C17" w:rsidRDefault="001968E0" w:rsidP="001968E0">
      <w:pPr>
        <w:spacing w:after="0" w:line="360" w:lineRule="auto"/>
        <w:contextualSpacing/>
        <w:jc w:val="both"/>
        <w:rPr>
          <w:rFonts w:ascii="Palatino Linotype" w:hAnsi="Palatino Linotype" w:cs="Arial"/>
          <w:color w:val="000000" w:themeColor="text1"/>
          <w:sz w:val="44"/>
        </w:rPr>
      </w:pPr>
      <w:r w:rsidRPr="00207C17">
        <w:rPr>
          <w:rFonts w:ascii="Palatino Linotype" w:hAnsi="Palatino Linotype" w:cs="Arial"/>
          <w:color w:val="000000" w:themeColor="text1"/>
          <w:sz w:val="24"/>
          <w:lang w:eastAsia="es-MX"/>
        </w:rPr>
        <w:t xml:space="preserve">Pero de igual manera, la garantía de motivación exige que las autoridades expongan los razonamientos con base en los cuales llegaron a la conclusión de que esos hechos </w:t>
      </w:r>
      <w:r w:rsidRPr="00207C17">
        <w:rPr>
          <w:rFonts w:ascii="Palatino Linotype" w:hAnsi="Palatino Linotype" w:cs="Arial"/>
          <w:color w:val="000000" w:themeColor="text1"/>
          <w:sz w:val="24"/>
          <w:lang w:eastAsia="es-MX"/>
        </w:rPr>
        <w:lastRenderedPageBreak/>
        <w:t>son ciertos, normalmente a partir del análisis de las pruebas, lo cual se debe exteriorizar en una argumentación o juicio de hecho</w:t>
      </w:r>
      <w:proofErr w:type="gramStart"/>
      <w:r w:rsidRPr="00207C17">
        <w:rPr>
          <w:rFonts w:ascii="Palatino Linotype" w:hAnsi="Palatino Linotype" w:cs="Arial"/>
          <w:color w:val="000000" w:themeColor="text1"/>
          <w:sz w:val="24"/>
          <w:lang w:eastAsia="es-MX"/>
        </w:rPr>
        <w:t>....”</w:t>
      </w:r>
      <w:proofErr w:type="gramEnd"/>
      <w:r w:rsidRPr="00207C17">
        <w:rPr>
          <w:rFonts w:ascii="Palatino Linotype" w:hAnsi="Palatino Linotype" w:cs="Arial"/>
          <w:color w:val="000000" w:themeColor="text1"/>
          <w:sz w:val="24"/>
          <w:lang w:eastAsia="es-MX"/>
        </w:rPr>
        <w:t>.</w:t>
      </w:r>
      <w:r w:rsidRPr="00207C17">
        <w:rPr>
          <w:rFonts w:ascii="Palatino Linotype" w:hAnsi="Palatino Linotype" w:cs="Arial"/>
          <w:color w:val="000000" w:themeColor="text1"/>
          <w:vertAlign w:val="superscript"/>
          <w:lang w:eastAsia="es-MX"/>
        </w:rPr>
        <w:footnoteReference w:id="2"/>
      </w:r>
    </w:p>
    <w:p w:rsidR="001968E0" w:rsidRDefault="001968E0" w:rsidP="001968E0">
      <w:pPr>
        <w:spacing w:after="0" w:line="360" w:lineRule="auto"/>
        <w:contextualSpacing/>
        <w:jc w:val="both"/>
        <w:rPr>
          <w:rFonts w:ascii="Palatino Linotype" w:hAnsi="Palatino Linotype" w:cs="Arial"/>
          <w:color w:val="000000" w:themeColor="text1"/>
          <w:sz w:val="24"/>
          <w:lang w:eastAsia="es-MX"/>
        </w:rPr>
      </w:pPr>
    </w:p>
    <w:p w:rsidR="001968E0" w:rsidRPr="00207C17" w:rsidRDefault="001968E0" w:rsidP="001968E0">
      <w:pPr>
        <w:spacing w:after="0" w:line="360" w:lineRule="auto"/>
        <w:contextualSpacing/>
        <w:jc w:val="both"/>
        <w:rPr>
          <w:rFonts w:ascii="Palatino Linotype" w:hAnsi="Palatino Linotype" w:cs="Arial"/>
          <w:color w:val="000000" w:themeColor="text1"/>
          <w:sz w:val="48"/>
        </w:rPr>
      </w:pPr>
      <w:r w:rsidRPr="00207C17">
        <w:rPr>
          <w:rFonts w:ascii="Palatino Linotype" w:hAnsi="Palatino Linotype" w:cs="Arial"/>
          <w:color w:val="000000" w:themeColor="text1"/>
          <w:sz w:val="24"/>
          <w:lang w:eastAsia="es-MX"/>
        </w:rPr>
        <w:t>Por su parte, el intérprete judicial del país ha establecido una jurisprudencia respecto a qué debe entenderse por fundamentación y motivación, en los siguientes términos:</w:t>
      </w:r>
    </w:p>
    <w:p w:rsidR="001968E0" w:rsidRPr="00207C17" w:rsidRDefault="001968E0" w:rsidP="001968E0">
      <w:pPr>
        <w:spacing w:after="0" w:line="360" w:lineRule="auto"/>
        <w:ind w:right="618"/>
        <w:contextualSpacing/>
        <w:jc w:val="both"/>
        <w:rPr>
          <w:rFonts w:ascii="Palatino Linotype" w:hAnsi="Palatino Linotype" w:cs="Arial"/>
          <w:color w:val="000000" w:themeColor="text1"/>
          <w:sz w:val="18"/>
        </w:rPr>
      </w:pP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rPr>
      </w:pPr>
      <w:r w:rsidRPr="00207C17">
        <w:rPr>
          <w:rFonts w:ascii="Palatino Linotype" w:hAnsi="Palatino Linotype" w:cs="Arial"/>
          <w:b/>
          <w:i/>
          <w:color w:val="000000" w:themeColor="text1"/>
        </w:rPr>
        <w:t>FUNDAMENTACIÓN Y MOTIVACIÓN.</w:t>
      </w:r>
      <w:r w:rsidRPr="00207C17">
        <w:rPr>
          <w:rFonts w:ascii="Palatino Linotype" w:hAnsi="Palatino Linotype" w:cs="Arial"/>
          <w:i/>
          <w:color w:val="000000" w:themeColor="text1"/>
        </w:rPr>
        <w:t xml:space="preserve"> La </w:t>
      </w:r>
      <w:r w:rsidRPr="00207C17">
        <w:rPr>
          <w:rFonts w:ascii="Palatino Linotype" w:hAnsi="Palatino Linotype" w:cs="Arial"/>
          <w:i/>
          <w:color w:val="000000" w:themeColor="text1"/>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07C17">
        <w:rPr>
          <w:rFonts w:ascii="Palatino Linotype" w:hAnsi="Palatino Linotype" w:cs="Arial"/>
          <w:i/>
          <w:color w:val="000000" w:themeColor="text1"/>
        </w:rPr>
        <w:t>.</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rPr>
      </w:pP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SEGUNDO TRIBUNAL COLEGIADO DEL SEXTO CIRCUITO.</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Amparo directo 194/88. Bufete Industrial Construcciones, S.A. de C.V. 28 de junio de 1988. Unanimidad de votos. Ponente: Gustavo Calvillo Rangel. Secretario: Jorge Alberto González Álvarez.</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Revisión fiscal 103/88. Instituto Mexicano del Seguro Social. 18 de octubre de 1988. Unanimidad de votos. Ponente: Arnoldo Nájera Virgen. Secretario: Alejandro </w:t>
      </w:r>
      <w:proofErr w:type="spellStart"/>
      <w:r w:rsidRPr="00207C17">
        <w:rPr>
          <w:rFonts w:ascii="Palatino Linotype" w:hAnsi="Palatino Linotype" w:cs="Arial"/>
          <w:i/>
          <w:color w:val="000000" w:themeColor="text1"/>
          <w:sz w:val="20"/>
        </w:rPr>
        <w:t>Esponda</w:t>
      </w:r>
      <w:proofErr w:type="spellEnd"/>
      <w:r w:rsidRPr="00207C17">
        <w:rPr>
          <w:rFonts w:ascii="Palatino Linotype" w:hAnsi="Palatino Linotype" w:cs="Arial"/>
          <w:i/>
          <w:color w:val="000000" w:themeColor="text1"/>
          <w:sz w:val="20"/>
        </w:rPr>
        <w:t xml:space="preserve"> Rincón.</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Amparo en revisión 333/88. </w:t>
      </w:r>
      <w:proofErr w:type="spellStart"/>
      <w:r w:rsidRPr="00207C17">
        <w:rPr>
          <w:rFonts w:ascii="Palatino Linotype" w:hAnsi="Palatino Linotype" w:cs="Arial"/>
          <w:i/>
          <w:color w:val="000000" w:themeColor="text1"/>
          <w:sz w:val="20"/>
        </w:rPr>
        <w:t>Adilia</w:t>
      </w:r>
      <w:proofErr w:type="spellEnd"/>
      <w:r w:rsidRPr="00207C17">
        <w:rPr>
          <w:rFonts w:ascii="Palatino Linotype" w:hAnsi="Palatino Linotype" w:cs="Arial"/>
          <w:i/>
          <w:color w:val="000000" w:themeColor="text1"/>
          <w:sz w:val="20"/>
        </w:rPr>
        <w:t xml:space="preserve"> Romero. 26 de octubre de 1988. Unanimidad de votos. Ponente: Arnoldo Nájera Virgen. Secretario: Enrique Crispín Campos Ramírez.</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Amparo en revisión 597/95. Emilio Maurer Bretón. 15 de noviembre de 1995. Unanimidad de votos. Ponente: Clementina Ramírez Moguel </w:t>
      </w:r>
      <w:proofErr w:type="spellStart"/>
      <w:r w:rsidRPr="00207C17">
        <w:rPr>
          <w:rFonts w:ascii="Palatino Linotype" w:hAnsi="Palatino Linotype" w:cs="Arial"/>
          <w:i/>
          <w:color w:val="000000" w:themeColor="text1"/>
          <w:sz w:val="20"/>
        </w:rPr>
        <w:t>Goyzueta</w:t>
      </w:r>
      <w:proofErr w:type="spellEnd"/>
      <w:r w:rsidRPr="00207C17">
        <w:rPr>
          <w:rFonts w:ascii="Palatino Linotype" w:hAnsi="Palatino Linotype" w:cs="Arial"/>
          <w:i/>
          <w:color w:val="000000" w:themeColor="text1"/>
          <w:sz w:val="20"/>
        </w:rPr>
        <w:t>. Secretario: Gonzalo Carrera Molina.</w:t>
      </w:r>
    </w:p>
    <w:p w:rsidR="001968E0" w:rsidRPr="00207C17" w:rsidRDefault="001968E0" w:rsidP="001968E0">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Amparo directo 7/96. Pedro Vicente López Miro. 21 de febrero de 1996. Unanimidad de votos. Ponente: María Eugenia Estela Martínez Cardiel. Secretario: Enrique </w:t>
      </w:r>
      <w:proofErr w:type="spellStart"/>
      <w:r w:rsidRPr="00207C17">
        <w:rPr>
          <w:rFonts w:ascii="Palatino Linotype" w:hAnsi="Palatino Linotype" w:cs="Arial"/>
          <w:i/>
          <w:color w:val="000000" w:themeColor="text1"/>
          <w:sz w:val="20"/>
        </w:rPr>
        <w:t>Baigts</w:t>
      </w:r>
      <w:proofErr w:type="spellEnd"/>
      <w:r w:rsidRPr="00207C17">
        <w:rPr>
          <w:rFonts w:ascii="Palatino Linotype" w:hAnsi="Palatino Linotype" w:cs="Arial"/>
          <w:i/>
          <w:color w:val="000000" w:themeColor="text1"/>
          <w:sz w:val="20"/>
        </w:rPr>
        <w:t xml:space="preserve"> Muñoz.</w:t>
      </w:r>
      <w:r w:rsidRPr="00207C17">
        <w:rPr>
          <w:rFonts w:ascii="Palatino Linotype" w:hAnsi="Palatino Linotype" w:cs="Arial"/>
          <w:i/>
          <w:color w:val="000000" w:themeColor="text1"/>
          <w:sz w:val="20"/>
          <w:vertAlign w:val="superscript"/>
        </w:rPr>
        <w:footnoteReference w:id="3"/>
      </w:r>
    </w:p>
    <w:p w:rsidR="001968E0" w:rsidRPr="00442901" w:rsidRDefault="001968E0" w:rsidP="001968E0">
      <w:pPr>
        <w:spacing w:after="0" w:line="360" w:lineRule="auto"/>
        <w:ind w:left="567"/>
        <w:contextualSpacing/>
        <w:jc w:val="both"/>
        <w:rPr>
          <w:rFonts w:ascii="Palatino Linotype" w:hAnsi="Palatino Linotype" w:cs="Arial"/>
          <w:i/>
          <w:color w:val="000000" w:themeColor="text1"/>
          <w:sz w:val="24"/>
          <w:lang w:val="es-ES"/>
        </w:rPr>
      </w:pPr>
    </w:p>
    <w:p w:rsidR="001968E0"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1968E0"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1968E0" w:rsidRPr="00207C17"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r w:rsidRPr="00207C17">
        <w:rPr>
          <w:rFonts w:ascii="Palatino Linotype" w:hAnsi="Palatino Linotype" w:cs="Arial"/>
          <w:color w:val="000000" w:themeColor="text1"/>
          <w:sz w:val="24"/>
          <w:szCs w:val="24"/>
          <w:lang w:eastAsia="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1968E0" w:rsidRPr="00442901"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1968E0" w:rsidRPr="00207C17" w:rsidRDefault="001968E0" w:rsidP="001968E0">
      <w:pPr>
        <w:shd w:val="clear" w:color="auto" w:fill="FFFFFF"/>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cs="Arial"/>
          <w:color w:val="000000" w:themeColor="text1"/>
          <w:sz w:val="24"/>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1968E0" w:rsidRPr="00442901"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1968E0" w:rsidRPr="00207C17" w:rsidRDefault="001968E0" w:rsidP="001968E0">
      <w:pPr>
        <w:shd w:val="clear" w:color="auto" w:fill="FFFFFF"/>
        <w:spacing w:after="0" w:line="360" w:lineRule="auto"/>
        <w:contextualSpacing/>
        <w:jc w:val="both"/>
        <w:rPr>
          <w:rFonts w:ascii="Palatino Linotype" w:hAnsi="Palatino Linotype"/>
          <w:color w:val="000000" w:themeColor="text1"/>
          <w:sz w:val="24"/>
        </w:rPr>
      </w:pPr>
      <w:r w:rsidRPr="00207C17">
        <w:rPr>
          <w:rFonts w:ascii="Palatino Linotype" w:hAnsi="Palatino Linotype" w:cs="Arial"/>
          <w:color w:val="000000" w:themeColor="text1"/>
          <w:sz w:val="24"/>
          <w:lang w:eastAsia="es-MX"/>
        </w:rPr>
        <w:t xml:space="preserve">En otras palabras, </w:t>
      </w:r>
      <w:r w:rsidRPr="00207C17">
        <w:rPr>
          <w:rFonts w:ascii="Palatino Linotype" w:hAnsi="Palatino Linotype"/>
          <w:color w:val="000000" w:themeColor="text1"/>
          <w:sz w:val="24"/>
        </w:rPr>
        <w:t xml:space="preserve">la clasificación de la información, en cualquiera de sus modalidades, deberá de justificarse en un Acuerdo de Clasificación de Información emitido por el Comité del Transparencia del </w:t>
      </w:r>
      <w:r w:rsidRPr="00207C17">
        <w:rPr>
          <w:rFonts w:ascii="Palatino Linotype" w:hAnsi="Palatino Linotype"/>
          <w:b/>
          <w:color w:val="000000" w:themeColor="text1"/>
          <w:sz w:val="24"/>
        </w:rPr>
        <w:t>Sujeto Obligado</w:t>
      </w:r>
      <w:r w:rsidRPr="00207C17">
        <w:rPr>
          <w:rFonts w:ascii="Palatino Linotype" w:hAnsi="Palatino Linotype"/>
          <w:color w:val="000000" w:themeColor="text1"/>
          <w:sz w:val="24"/>
        </w:rPr>
        <w:t xml:space="preserve">. Dicho acuerdo deberá de contener los </w:t>
      </w:r>
      <w:r w:rsidRPr="00207C17">
        <w:rPr>
          <w:rFonts w:ascii="Palatino Linotype" w:hAnsi="Palatino Linotype"/>
          <w:b/>
          <w:color w:val="000000" w:themeColor="text1"/>
          <w:sz w:val="24"/>
        </w:rPr>
        <w:t>razonamientos lógicos</w:t>
      </w:r>
      <w:r w:rsidRPr="00207C17">
        <w:rPr>
          <w:rFonts w:ascii="Palatino Linotype" w:hAnsi="Palatino Linotype"/>
          <w:color w:val="000000" w:themeColor="text1"/>
          <w:sz w:val="24"/>
        </w:rPr>
        <w:t xml:space="preserve"> mediante los cuales se </w:t>
      </w:r>
      <w:r w:rsidRPr="00207C17">
        <w:rPr>
          <w:rFonts w:ascii="Palatino Linotype" w:hAnsi="Palatino Linotype"/>
          <w:b/>
          <w:color w:val="000000" w:themeColor="text1"/>
          <w:sz w:val="24"/>
        </w:rPr>
        <w:t xml:space="preserve">demuestre </w:t>
      </w:r>
      <w:r w:rsidRPr="00207C17">
        <w:rPr>
          <w:rFonts w:ascii="Palatino Linotype" w:hAnsi="Palatino Linotype"/>
          <w:color w:val="000000" w:themeColor="text1"/>
          <w:sz w:val="24"/>
        </w:rPr>
        <w:t>que la información corresponde a algunas de las hipótesis jurídicas previstas en los artículos 122 y 143 de la ley, o en el caso concreto</w:t>
      </w:r>
      <w:r w:rsidRPr="00207C17">
        <w:t xml:space="preserve"> del </w:t>
      </w:r>
      <w:r w:rsidRPr="00207C17">
        <w:rPr>
          <w:rFonts w:ascii="Palatino Linotype" w:hAnsi="Palatino Linotype"/>
          <w:color w:val="000000" w:themeColor="text1"/>
          <w:sz w:val="24"/>
        </w:rPr>
        <w:t>artículo 4 fracciones XXX, XXXI, XXXII y XXXIII, 43 y 49 de la Ley de Protección de Datos Personales en Posesión de Sujetos Obligados del Estado de México y Municipios explicando claramente las causas excepcionales que justifican la restricción al derecho.</w:t>
      </w:r>
    </w:p>
    <w:p w:rsidR="001968E0" w:rsidRPr="00442901" w:rsidRDefault="001968E0" w:rsidP="001968E0">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1968E0" w:rsidRPr="00207C17" w:rsidRDefault="001968E0" w:rsidP="001968E0">
      <w:pPr>
        <w:shd w:val="clear" w:color="auto" w:fill="FFFFFF"/>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sz w:val="24"/>
        </w:rPr>
        <w:t xml:space="preserve">Por lo que si la información, con la que se pueda responder a una solicitud de información, contiene datos personales se deberá de realizar su clasificación como información confidencial, atendiendo las formalidades establecidas por la Ley de la </w:t>
      </w:r>
      <w:r w:rsidRPr="00207C17">
        <w:rPr>
          <w:rFonts w:ascii="Palatino Linotype" w:hAnsi="Palatino Linotype"/>
          <w:sz w:val="24"/>
        </w:rPr>
        <w:lastRenderedPageBreak/>
        <w:t>materia y los lineamientos generales en materia de clasificación y desclasificación de la información, así como para la elaboración de versiones públicas, de manera previa a su entrega al solicitante, de lo contrario los servidores públicos involucrados incurrirán en responsabilidad.</w:t>
      </w:r>
    </w:p>
    <w:p w:rsidR="001968E0" w:rsidRDefault="001968E0" w:rsidP="001968E0">
      <w:pPr>
        <w:autoSpaceDE w:val="0"/>
        <w:autoSpaceDN w:val="0"/>
        <w:adjustRightInd w:val="0"/>
        <w:spacing w:line="360" w:lineRule="auto"/>
        <w:contextualSpacing/>
        <w:jc w:val="both"/>
        <w:rPr>
          <w:rFonts w:ascii="Palatino Linotype" w:hAnsi="Palatino Linotype" w:cs="Arial"/>
          <w:b/>
          <w:i/>
          <w:sz w:val="28"/>
        </w:rPr>
      </w:pPr>
    </w:p>
    <w:p w:rsidR="00373CCC" w:rsidRPr="00CD0D60" w:rsidRDefault="00373CCC" w:rsidP="00373CCC">
      <w:pPr>
        <w:autoSpaceDE w:val="0"/>
        <w:autoSpaceDN w:val="0"/>
        <w:adjustRightInd w:val="0"/>
        <w:spacing w:line="360" w:lineRule="auto"/>
        <w:ind w:left="360"/>
        <w:contextualSpacing/>
        <w:jc w:val="both"/>
        <w:rPr>
          <w:rFonts w:ascii="Palatino Linotype" w:hAnsi="Palatino Linotype" w:cs="Arial"/>
          <w:b/>
          <w:i/>
          <w:sz w:val="28"/>
        </w:rPr>
      </w:pPr>
      <w:r w:rsidRPr="00CD0D60">
        <w:rPr>
          <w:rFonts w:ascii="Palatino Linotype" w:hAnsi="Palatino Linotype" w:cs="Arial"/>
          <w:b/>
          <w:i/>
          <w:sz w:val="28"/>
        </w:rPr>
        <w:t>De la versión pública</w:t>
      </w:r>
    </w:p>
    <w:p w:rsidR="008A7085" w:rsidRPr="003E55F1" w:rsidRDefault="008A7085" w:rsidP="008A7085">
      <w:pPr>
        <w:autoSpaceDE w:val="0"/>
        <w:autoSpaceDN w:val="0"/>
        <w:adjustRightInd w:val="0"/>
        <w:spacing w:after="0" w:line="360" w:lineRule="auto"/>
        <w:jc w:val="both"/>
        <w:rPr>
          <w:rFonts w:ascii="Palatino Linotype" w:hAnsi="Palatino Linotype" w:cs="Arial"/>
          <w:sz w:val="24"/>
          <w:szCs w:val="24"/>
        </w:rPr>
      </w:pPr>
      <w:r w:rsidRPr="003E55F1">
        <w:rPr>
          <w:rFonts w:ascii="Palatino Linotype" w:hAnsi="Palatino Linotype" w:cs="Arial"/>
          <w:sz w:val="24"/>
          <w:szCs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rsidR="008A7085" w:rsidRPr="003E55F1" w:rsidRDefault="008A7085" w:rsidP="008A7085">
      <w:pPr>
        <w:autoSpaceDE w:val="0"/>
        <w:autoSpaceDN w:val="0"/>
        <w:adjustRightInd w:val="0"/>
        <w:spacing w:after="0" w:line="360" w:lineRule="auto"/>
        <w:jc w:val="both"/>
        <w:rPr>
          <w:rFonts w:ascii="Palatino Linotype" w:hAnsi="Palatino Linotype" w:cs="Arial"/>
        </w:rPr>
      </w:pPr>
    </w:p>
    <w:p w:rsidR="008A7085" w:rsidRPr="003E55F1" w:rsidRDefault="008A7085" w:rsidP="008A7085">
      <w:pPr>
        <w:spacing w:after="0" w:line="360" w:lineRule="auto"/>
        <w:jc w:val="both"/>
        <w:rPr>
          <w:rFonts w:ascii="Palatino Linotype" w:hAnsi="Palatino Linotype" w:cs="Arial"/>
          <w:sz w:val="24"/>
          <w:szCs w:val="24"/>
        </w:rPr>
      </w:pPr>
      <w:r w:rsidRPr="003E55F1">
        <w:rPr>
          <w:rFonts w:ascii="Palatino Linotype" w:hAnsi="Palatino Linotype" w:cs="Arial"/>
          <w:sz w:val="24"/>
          <w:szCs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rsidR="008A7085" w:rsidRPr="003E55F1" w:rsidRDefault="008A7085" w:rsidP="008A7085">
      <w:pPr>
        <w:pStyle w:val="Sinespaciado"/>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3.</w:t>
      </w:r>
      <w:r w:rsidRPr="003E55F1">
        <w:rPr>
          <w:rFonts w:ascii="Palatino Linotype" w:hAnsi="Palatino Linotype" w:cs="Arial"/>
          <w:i/>
        </w:rPr>
        <w:t xml:space="preserve"> Para los efectos de la presente Ley se entenderá por:</w:t>
      </w: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IX. Datos personales:</w:t>
      </w:r>
      <w:r w:rsidRPr="003E55F1">
        <w:rPr>
          <w:rFonts w:ascii="Palatino Linotype" w:hAnsi="Palatino Linotype" w:cs="Arial"/>
          <w:i/>
        </w:rPr>
        <w:t xml:space="preserve"> La información concerniente a una persona, identificada o identificable según lo dispuesto por la Ley de Protección de Datos Personales del Estado de México; </w:t>
      </w: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XX. Información clasificada:</w:t>
      </w:r>
      <w:r w:rsidRPr="003E55F1">
        <w:rPr>
          <w:rFonts w:ascii="Palatino Linotype" w:hAnsi="Palatino Linotype" w:cs="Arial"/>
          <w:i/>
        </w:rPr>
        <w:t xml:space="preserve"> Aquella considerada por la presente Ley como reservada o confidencial;</w:t>
      </w:r>
    </w:p>
    <w:p w:rsidR="008A7085" w:rsidRPr="003E55F1" w:rsidRDefault="008A7085" w:rsidP="008A7085">
      <w:pPr>
        <w:tabs>
          <w:tab w:val="left" w:pos="8222"/>
        </w:tabs>
        <w:spacing w:after="0"/>
        <w:ind w:left="567" w:right="567"/>
        <w:jc w:val="both"/>
        <w:rPr>
          <w:rFonts w:ascii="Palatino Linotype" w:hAnsi="Palatino Linotype" w:cs="Arial"/>
          <w:b/>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XXI. Información confidencial:</w:t>
      </w:r>
      <w:r w:rsidRPr="003E55F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8A7085" w:rsidRPr="003E55F1" w:rsidRDefault="008A7085" w:rsidP="008A7085">
      <w:pPr>
        <w:tabs>
          <w:tab w:val="left" w:pos="8222"/>
        </w:tabs>
        <w:spacing w:after="0"/>
        <w:ind w:left="567" w:right="567"/>
        <w:jc w:val="both"/>
        <w:rPr>
          <w:rFonts w:ascii="Palatino Linotype" w:hAnsi="Palatino Linotype" w:cs="Arial"/>
          <w:b/>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lastRenderedPageBreak/>
        <w:t>XLV. Versión pública:</w:t>
      </w:r>
      <w:r w:rsidRPr="003E55F1">
        <w:rPr>
          <w:rFonts w:ascii="Palatino Linotype" w:hAnsi="Palatino Linotype" w:cs="Arial"/>
          <w:i/>
        </w:rPr>
        <w:t xml:space="preserve"> Documento en el que se elimine, suprime o borra la información clasificada como reservada o confidencial para permitir su acceso.</w:t>
      </w: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b/>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91.</w:t>
      </w:r>
      <w:r w:rsidRPr="003E55F1">
        <w:rPr>
          <w:rFonts w:ascii="Palatino Linotype" w:hAnsi="Palatino Linotype" w:cs="Arial"/>
          <w:i/>
        </w:rPr>
        <w:t xml:space="preserve"> El acceso a la información pública será restringido excepcionalmente, cuando ésta sea clasificada como reservada o confidencial.</w:t>
      </w:r>
    </w:p>
    <w:p w:rsidR="008A7085" w:rsidRPr="003E55F1" w:rsidRDefault="008A7085" w:rsidP="008A7085">
      <w:pPr>
        <w:tabs>
          <w:tab w:val="left" w:pos="8222"/>
        </w:tabs>
        <w:spacing w:after="0"/>
        <w:ind w:left="567" w:right="567"/>
        <w:jc w:val="both"/>
        <w:rPr>
          <w:rFonts w:ascii="Palatino Linotype" w:hAnsi="Palatino Linotype" w:cs="Arial"/>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132.</w:t>
      </w:r>
      <w:r w:rsidRPr="003E55F1">
        <w:rPr>
          <w:rFonts w:ascii="Palatino Linotype" w:hAnsi="Palatino Linotype" w:cs="Arial"/>
          <w:i/>
        </w:rPr>
        <w:t xml:space="preserve"> </w:t>
      </w:r>
      <w:r w:rsidRPr="003E55F1">
        <w:rPr>
          <w:rFonts w:ascii="Palatino Linotype" w:hAnsi="Palatino Linotype" w:cs="Arial"/>
          <w:i/>
          <w:u w:val="single"/>
        </w:rPr>
        <w:t>La clasificación de la información se llevará a cabo en el momento en que</w:t>
      </w: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b/>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Se reciba una solicitud de acceso a la información;</w:t>
      </w:r>
    </w:p>
    <w:p w:rsidR="008A7085" w:rsidRPr="003E55F1" w:rsidRDefault="008A7085" w:rsidP="008A7085">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Se determine mediante resolución de autoridad competente; o</w:t>
      </w:r>
    </w:p>
    <w:p w:rsidR="008A7085" w:rsidRPr="003E55F1" w:rsidRDefault="008A7085" w:rsidP="008A7085">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III.</w:t>
      </w:r>
      <w:r w:rsidRPr="003E55F1">
        <w:rPr>
          <w:rFonts w:ascii="Palatino Linotype" w:hAnsi="Palatino Linotype" w:cs="Arial"/>
          <w:i/>
        </w:rPr>
        <w:t xml:space="preserve"> </w:t>
      </w:r>
      <w:r w:rsidRPr="003E55F1">
        <w:rPr>
          <w:rFonts w:ascii="Palatino Linotype" w:hAnsi="Palatino Linotype" w:cs="Arial"/>
          <w:i/>
          <w:u w:val="single"/>
        </w:rPr>
        <w:t>Se generen versiones públicas para dar cumplimiento a las obligaciones de transparencia previstas en esta Ley.</w:t>
      </w: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143.</w:t>
      </w:r>
      <w:r w:rsidRPr="003E55F1">
        <w:rPr>
          <w:rFonts w:ascii="Palatino Linotype" w:hAnsi="Palatino Linotype" w:cs="Arial"/>
          <w:i/>
        </w:rPr>
        <w:t xml:space="preserve"> </w:t>
      </w:r>
      <w:r w:rsidRPr="003E55F1">
        <w:rPr>
          <w:rFonts w:ascii="Palatino Linotype" w:hAnsi="Palatino Linotype" w:cs="Arial"/>
          <w:i/>
          <w:u w:val="single"/>
        </w:rPr>
        <w:t>Para los efectos de esta Ley se considera información confidencial, la clasificada como tal, de manera permanente, por su naturaleza, cuando</w:t>
      </w: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b/>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w:t>
      </w:r>
      <w:r w:rsidRPr="003E55F1">
        <w:rPr>
          <w:rFonts w:ascii="Palatino Linotype" w:hAnsi="Palatino Linotype" w:cs="Arial"/>
          <w:i/>
          <w:u w:val="single"/>
        </w:rPr>
        <w:t xml:space="preserve">Se refiera a la información privada y los datos personales concernientes a una persona física o </w:t>
      </w:r>
      <w:proofErr w:type="gramStart"/>
      <w:r w:rsidRPr="003E55F1">
        <w:rPr>
          <w:rFonts w:ascii="Palatino Linotype" w:hAnsi="Palatino Linotype" w:cs="Arial"/>
          <w:i/>
          <w:u w:val="single"/>
        </w:rPr>
        <w:t>jurídico</w:t>
      </w:r>
      <w:proofErr w:type="gramEnd"/>
      <w:r w:rsidRPr="003E55F1">
        <w:rPr>
          <w:rFonts w:ascii="Palatino Linotype" w:hAnsi="Palatino Linotype" w:cs="Arial"/>
          <w:i/>
          <w:u w:val="single"/>
        </w:rPr>
        <w:t xml:space="preserve"> colectiva identificada o identificable</w:t>
      </w:r>
      <w:r w:rsidRPr="003E55F1">
        <w:rPr>
          <w:rFonts w:ascii="Palatino Linotype" w:hAnsi="Palatino Linotype" w:cs="Arial"/>
          <w:i/>
        </w:rPr>
        <w:t>;</w:t>
      </w:r>
    </w:p>
    <w:p w:rsidR="008A7085" w:rsidRPr="003E55F1" w:rsidRDefault="008A7085" w:rsidP="008A7085">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III.</w:t>
      </w:r>
      <w:r w:rsidRPr="003E55F1">
        <w:rPr>
          <w:rFonts w:ascii="Palatino Linotype" w:hAnsi="Palatino Linotype" w:cs="Arial"/>
          <w:i/>
        </w:rPr>
        <w:t xml:space="preserve"> La que presenten los particulares a los sujetos obligados, de conformidad con lo dispuesto por las leyes o los tratados internacionales.</w:t>
      </w:r>
    </w:p>
    <w:p w:rsidR="008A7085" w:rsidRPr="003E55F1" w:rsidRDefault="008A7085" w:rsidP="008A7085">
      <w:pPr>
        <w:tabs>
          <w:tab w:val="left" w:pos="8222"/>
        </w:tabs>
        <w:spacing w:after="0"/>
        <w:ind w:left="567" w:right="567"/>
        <w:jc w:val="both"/>
        <w:rPr>
          <w:rFonts w:ascii="Palatino Linotype" w:hAnsi="Palatino Linotype" w:cs="Arial"/>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rsidR="008A7085" w:rsidRPr="003E55F1" w:rsidRDefault="008A7085" w:rsidP="008A7085">
      <w:pPr>
        <w:tabs>
          <w:tab w:val="left" w:pos="8222"/>
        </w:tabs>
        <w:spacing w:after="0"/>
        <w:ind w:left="567" w:right="567"/>
        <w:jc w:val="both"/>
        <w:rPr>
          <w:rFonts w:ascii="Palatino Linotype" w:hAnsi="Palatino Linotype" w:cs="Arial"/>
          <w:i/>
        </w:rPr>
      </w:pPr>
    </w:p>
    <w:p w:rsidR="008A7085" w:rsidRPr="003E55F1" w:rsidRDefault="008A7085" w:rsidP="008A7085">
      <w:pPr>
        <w:tabs>
          <w:tab w:val="left" w:pos="8222"/>
        </w:tabs>
        <w:spacing w:after="0"/>
        <w:ind w:left="567" w:right="567"/>
        <w:jc w:val="both"/>
        <w:rPr>
          <w:rFonts w:ascii="Palatino Linotype" w:hAnsi="Palatino Linotype" w:cs="Arial"/>
          <w:i/>
        </w:rPr>
      </w:pPr>
      <w:r w:rsidRPr="003E55F1">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rsidR="008A7085" w:rsidRPr="003E55F1" w:rsidRDefault="008A7085" w:rsidP="008A7085">
      <w:pPr>
        <w:tabs>
          <w:tab w:val="left" w:pos="8222"/>
        </w:tabs>
        <w:spacing w:after="0" w:line="360" w:lineRule="auto"/>
        <w:ind w:left="567" w:right="567"/>
        <w:jc w:val="both"/>
        <w:rPr>
          <w:rFonts w:ascii="Palatino Linotype" w:hAnsi="Palatino Linotype"/>
        </w:rPr>
      </w:pPr>
    </w:p>
    <w:p w:rsidR="008A7085" w:rsidRPr="003E55F1" w:rsidRDefault="008A7085" w:rsidP="008A7085">
      <w:pPr>
        <w:spacing w:after="0" w:line="360" w:lineRule="auto"/>
        <w:jc w:val="both"/>
        <w:rPr>
          <w:rFonts w:ascii="Palatino Linotype" w:hAnsi="Palatino Linotype"/>
          <w:sz w:val="24"/>
          <w:szCs w:val="24"/>
        </w:rPr>
      </w:pPr>
      <w:r w:rsidRPr="003E55F1">
        <w:rPr>
          <w:rFonts w:ascii="Palatino Linotype" w:hAnsi="Palatino Linotype"/>
          <w:sz w:val="24"/>
          <w:szCs w:val="24"/>
        </w:rPr>
        <w:lastRenderedPageBreak/>
        <w:t xml:space="preserve">Igualmente, los </w:t>
      </w:r>
      <w:r w:rsidRPr="008A7085">
        <w:rPr>
          <w:rFonts w:ascii="Palatino Linotype" w:hAnsi="Palatino Linotype"/>
          <w:b/>
          <w:i/>
          <w:sz w:val="24"/>
          <w:szCs w:val="24"/>
        </w:rPr>
        <w:t>Lineamientos Generales en Materia de Clasificación y Desclasificación de la Información, así como para la elaboración de Versiones Públicas</w:t>
      </w:r>
      <w:r w:rsidRPr="003E55F1">
        <w:rPr>
          <w:rFonts w:ascii="Palatino Linotype" w:hAnsi="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8A7085" w:rsidRPr="003E55F1" w:rsidRDefault="008A7085" w:rsidP="008A7085">
      <w:pPr>
        <w:spacing w:after="0" w:line="360" w:lineRule="auto"/>
        <w:jc w:val="both"/>
        <w:rPr>
          <w:rFonts w:ascii="Palatino Linotype" w:hAnsi="Palatino Linotype" w:cs="Arial"/>
          <w:sz w:val="24"/>
          <w:szCs w:val="24"/>
          <w:lang w:eastAsia="es-CO"/>
        </w:rPr>
      </w:pPr>
    </w:p>
    <w:p w:rsidR="008A7085" w:rsidRPr="003E55F1" w:rsidRDefault="008A7085" w:rsidP="008A7085">
      <w:pPr>
        <w:spacing w:after="0" w:line="360" w:lineRule="auto"/>
        <w:jc w:val="both"/>
        <w:rPr>
          <w:rFonts w:ascii="Palatino Linotype" w:hAnsi="Palatino Linotype" w:cs="Arial"/>
          <w:sz w:val="24"/>
          <w:szCs w:val="24"/>
          <w:lang w:eastAsia="es-CO"/>
        </w:rPr>
      </w:pPr>
      <w:r w:rsidRPr="003E55F1">
        <w:rPr>
          <w:rFonts w:ascii="Palatino Linotype" w:hAnsi="Palatino Linotype" w:cs="Arial"/>
          <w:sz w:val="24"/>
          <w:szCs w:val="24"/>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E671E1" w:rsidRPr="00CD0D60" w:rsidRDefault="00E671E1" w:rsidP="00373CCC">
      <w:pPr>
        <w:spacing w:after="0" w:line="360" w:lineRule="auto"/>
        <w:jc w:val="both"/>
        <w:rPr>
          <w:rFonts w:ascii="Palatino Linotype" w:eastAsia="Palatino Linotype" w:hAnsi="Palatino Linotype" w:cs="Palatino Linotype"/>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sz w:val="24"/>
          <w:szCs w:val="24"/>
          <w:lang w:val="es-ES_tradnl" w:eastAsia="es-MX"/>
        </w:rPr>
        <w:t xml:space="preserve">con fundamento en la </w:t>
      </w:r>
      <w:r w:rsidR="002B486B">
        <w:rPr>
          <w:rFonts w:ascii="Palatino Linotype" w:eastAsia="Palatino Linotype" w:hAnsi="Palatino Linotype" w:cs="Palatino Linotype"/>
          <w:b/>
          <w:color w:val="000000"/>
          <w:sz w:val="24"/>
          <w:szCs w:val="24"/>
          <w:lang w:val="es-ES_tradnl" w:eastAsia="es-MX"/>
        </w:rPr>
        <w:t>segunda</w:t>
      </w:r>
      <w:r w:rsidRPr="00CD0D60">
        <w:rPr>
          <w:rFonts w:ascii="Palatino Linotype" w:eastAsia="Palatino Linotype" w:hAnsi="Palatino Linotype" w:cs="Palatino Linotype"/>
          <w:b/>
          <w:color w:val="000000"/>
          <w:sz w:val="24"/>
          <w:szCs w:val="24"/>
          <w:lang w:val="es-ES_tradnl" w:eastAsia="es-MX"/>
        </w:rPr>
        <w:t xml:space="preserve"> </w:t>
      </w:r>
      <w:r w:rsidRPr="00CD0D60">
        <w:rPr>
          <w:rFonts w:ascii="Palatino Linotype" w:eastAsia="Palatino Linotype" w:hAnsi="Palatino Linotype" w:cs="Palatino Linotype"/>
          <w:b/>
          <w:color w:val="000000"/>
          <w:sz w:val="24"/>
          <w:szCs w:val="24"/>
          <w:lang w:val="es-ES_tradnl" w:eastAsia="es-MX"/>
        </w:rPr>
        <w:lastRenderedPageBreak/>
        <w:t xml:space="preserve">hipótesis de la fracción III del artículo 186 </w:t>
      </w:r>
      <w:r w:rsidRPr="00CD0D60">
        <w:rPr>
          <w:rFonts w:ascii="Palatino Linotype" w:eastAsia="Palatino Linotype" w:hAnsi="Palatino Linotype" w:cs="Palatino Linotype"/>
          <w:color w:val="000000"/>
          <w:sz w:val="24"/>
          <w:szCs w:val="24"/>
          <w:lang w:val="es-ES_tradnl" w:eastAsia="es-MX"/>
        </w:rPr>
        <w:t xml:space="preserve">de la Ley de Transparencia y Acceso a la Información Pública del Estado de México y Municipios, se </w:t>
      </w:r>
      <w:r w:rsidR="002B486B">
        <w:rPr>
          <w:rFonts w:ascii="Palatino Linotype" w:eastAsia="Palatino Linotype" w:hAnsi="Palatino Linotype" w:cs="Palatino Linotype"/>
          <w:b/>
          <w:color w:val="000000"/>
          <w:sz w:val="24"/>
          <w:szCs w:val="24"/>
          <w:lang w:val="es-ES_tradnl" w:eastAsia="es-MX"/>
        </w:rPr>
        <w:t>MODIFI</w:t>
      </w:r>
      <w:r w:rsidRPr="00CD0D60">
        <w:rPr>
          <w:rFonts w:ascii="Palatino Linotype" w:eastAsia="Palatino Linotype" w:hAnsi="Palatino Linotype" w:cs="Palatino Linotype"/>
          <w:b/>
          <w:color w:val="000000"/>
          <w:sz w:val="24"/>
          <w:szCs w:val="24"/>
          <w:lang w:val="es-ES_tradnl" w:eastAsia="es-MX"/>
        </w:rPr>
        <w:t xml:space="preserve">CA </w:t>
      </w:r>
      <w:r w:rsidRPr="00CD0D60">
        <w:rPr>
          <w:rFonts w:ascii="Palatino Linotype" w:eastAsia="Palatino Linotype" w:hAnsi="Palatino Linotype" w:cs="Palatino Linotype"/>
          <w:color w:val="000000"/>
          <w:sz w:val="24"/>
          <w:szCs w:val="24"/>
          <w:lang w:val="es-ES_tradnl" w:eastAsia="es-MX"/>
        </w:rPr>
        <w:t>la respuesta a la solicitud de información número</w:t>
      </w:r>
      <w:r w:rsidRPr="00CD0D60">
        <w:rPr>
          <w:rFonts w:ascii="Palatino Linotype" w:eastAsia="Palatino Linotype" w:hAnsi="Palatino Linotype" w:cs="Palatino Linotype"/>
          <w:b/>
          <w:color w:val="000000"/>
          <w:sz w:val="24"/>
          <w:szCs w:val="24"/>
          <w:lang w:val="es-ES_tradnl" w:eastAsia="es-MX"/>
        </w:rPr>
        <w:t xml:space="preserve"> </w:t>
      </w:r>
      <w:r w:rsidR="000C1B0F">
        <w:rPr>
          <w:rFonts w:ascii="Palatino Linotype" w:eastAsia="Palatino Linotype" w:hAnsi="Palatino Linotype" w:cs="Palatino Linotype"/>
          <w:b/>
          <w:bCs/>
          <w:color w:val="000000"/>
          <w:sz w:val="24"/>
          <w:szCs w:val="24"/>
          <w:lang w:val="es-ES_tradnl" w:eastAsia="es-MX"/>
        </w:rPr>
        <w:t>00690/TLALNEPA/IP/2024</w:t>
      </w:r>
      <w:r w:rsidRPr="00CD0D60">
        <w:rPr>
          <w:rFonts w:ascii="Palatino Linotype" w:eastAsia="Palatino Linotype" w:hAnsi="Palatino Linotype" w:cs="Palatino Linotype"/>
          <w:color w:val="000000"/>
          <w:sz w:val="24"/>
          <w:szCs w:val="24"/>
          <w:lang w:val="es-ES_tradnl" w:eastAsia="es-MX"/>
        </w:rPr>
        <w:t>, que ha sido materia del presente estudio.</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Por lo antes expuesto y fundado es de resolverse y,</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eastAsia="es-MX"/>
        </w:rPr>
      </w:pPr>
      <w:r w:rsidRPr="00CD0D60">
        <w:rPr>
          <w:rFonts w:ascii="Palatino Linotype" w:eastAsia="Palatino Linotype" w:hAnsi="Palatino Linotype" w:cs="Palatino Linotype"/>
          <w:b/>
          <w:color w:val="000000"/>
          <w:sz w:val="28"/>
          <w:szCs w:val="28"/>
          <w:lang w:val="es-ES_tradnl" w:eastAsia="es-MX"/>
        </w:rPr>
        <w:t>S E    R E S U E L V E</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8C27E8" w:rsidRDefault="00373CCC" w:rsidP="00373CCC">
      <w:pPr>
        <w:spacing w:line="360" w:lineRule="auto"/>
        <w:jc w:val="both"/>
        <w:rPr>
          <w:rFonts w:ascii="Palatino Linotype" w:hAnsi="Palatino Linotype" w:cs="Arial"/>
          <w:sz w:val="24"/>
        </w:rPr>
      </w:pPr>
      <w:r w:rsidRPr="00B40D75">
        <w:rPr>
          <w:rFonts w:ascii="Palatino Linotype" w:eastAsia="Palatino Linotype" w:hAnsi="Palatino Linotype" w:cs="Palatino Linotype"/>
          <w:b/>
          <w:color w:val="000000"/>
          <w:sz w:val="28"/>
          <w:szCs w:val="24"/>
          <w:lang w:val="es-ES_tradnl" w:eastAsia="es-MX"/>
        </w:rPr>
        <w:t>PRIMERO.</w:t>
      </w:r>
      <w:r w:rsidRPr="00CD0D60">
        <w:rPr>
          <w:rFonts w:ascii="Palatino Linotype" w:eastAsia="Palatino Linotype" w:hAnsi="Palatino Linotype" w:cs="Palatino Linotype"/>
          <w:color w:val="000000"/>
          <w:sz w:val="24"/>
          <w:szCs w:val="24"/>
          <w:lang w:val="es-ES_tradnl" w:eastAsia="es-MX"/>
        </w:rPr>
        <w:t xml:space="preserve"> </w:t>
      </w:r>
      <w:r w:rsidRPr="008C27E8">
        <w:rPr>
          <w:rFonts w:ascii="Palatino Linotype" w:hAnsi="Palatino Linotype" w:cs="Arial"/>
          <w:sz w:val="24"/>
        </w:rPr>
        <w:t>Resultan</w:t>
      </w:r>
      <w:r>
        <w:rPr>
          <w:rFonts w:ascii="Palatino Linotype" w:hAnsi="Palatino Linotype" w:cs="Arial"/>
          <w:sz w:val="24"/>
        </w:rPr>
        <w:t xml:space="preserve"> </w:t>
      </w:r>
      <w:r w:rsidRPr="008C27E8">
        <w:rPr>
          <w:rFonts w:ascii="Palatino Linotype" w:hAnsi="Palatino Linotype" w:cs="Arial"/>
          <w:b/>
          <w:sz w:val="24"/>
        </w:rPr>
        <w:t>fundadas</w:t>
      </w:r>
      <w:r w:rsidRPr="008C27E8">
        <w:rPr>
          <w:rFonts w:ascii="Palatino Linotype" w:hAnsi="Palatino Linotype" w:cs="Arial"/>
          <w:sz w:val="24"/>
        </w:rPr>
        <w:t xml:space="preserve"> las razones o motivos de inconformidad planteadas por </w:t>
      </w:r>
      <w:r>
        <w:rPr>
          <w:rFonts w:ascii="Palatino Linotype" w:hAnsi="Palatino Linotype"/>
          <w:b/>
          <w:sz w:val="24"/>
          <w:szCs w:val="17"/>
          <w:lang w:eastAsia="es-ES_tradnl"/>
        </w:rPr>
        <w:t>LA PARTE</w:t>
      </w:r>
      <w:r w:rsidRPr="008C27E8">
        <w:rPr>
          <w:rFonts w:ascii="Palatino Linotype" w:hAnsi="Palatino Linotype" w:cs="Arial"/>
          <w:b/>
          <w:sz w:val="24"/>
        </w:rPr>
        <w:t xml:space="preserve"> RECURRENTE</w:t>
      </w:r>
      <w:r w:rsidRPr="008C27E8">
        <w:rPr>
          <w:rFonts w:ascii="Palatino Linotype" w:hAnsi="Palatino Linotype" w:cs="Arial"/>
          <w:sz w:val="24"/>
        </w:rPr>
        <w:t xml:space="preserve">, en términos del Considerando </w:t>
      </w:r>
      <w:r>
        <w:rPr>
          <w:rFonts w:ascii="Palatino Linotype" w:hAnsi="Palatino Linotype" w:cs="Arial"/>
          <w:b/>
          <w:sz w:val="24"/>
        </w:rPr>
        <w:t>Cuarto</w:t>
      </w:r>
      <w:r w:rsidRPr="008C27E8">
        <w:rPr>
          <w:rFonts w:ascii="Palatino Linotype" w:hAnsi="Palatino Linotype" w:cs="Arial"/>
          <w:sz w:val="24"/>
        </w:rPr>
        <w:t xml:space="preserve"> de la presente resolución.</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SEGUNDO.</w:t>
      </w:r>
      <w:r w:rsidRPr="00CD0D60">
        <w:rPr>
          <w:rFonts w:ascii="Palatino Linotype" w:eastAsia="Palatino Linotype" w:hAnsi="Palatino Linotype" w:cs="Palatino Linotype"/>
          <w:color w:val="000000"/>
          <w:sz w:val="24"/>
          <w:szCs w:val="24"/>
          <w:lang w:val="es-ES_tradnl" w:eastAsia="es-MX"/>
        </w:rPr>
        <w:t xml:space="preserve"> </w:t>
      </w:r>
      <w:r w:rsidRPr="008C27E8">
        <w:rPr>
          <w:rFonts w:ascii="Palatino Linotype" w:eastAsia="Calibri" w:hAnsi="Palatino Linotype" w:cs="Arial"/>
          <w:sz w:val="24"/>
          <w:szCs w:val="24"/>
        </w:rPr>
        <w:t xml:space="preserve">Se </w:t>
      </w:r>
      <w:r w:rsidR="002B486B">
        <w:rPr>
          <w:rFonts w:ascii="Palatino Linotype" w:eastAsia="Calibri" w:hAnsi="Palatino Linotype" w:cs="Arial"/>
          <w:b/>
          <w:sz w:val="24"/>
          <w:szCs w:val="24"/>
        </w:rPr>
        <w:t>MODIFI</w:t>
      </w:r>
      <w:r w:rsidR="003C1596">
        <w:rPr>
          <w:rFonts w:ascii="Palatino Linotype" w:eastAsia="Calibri" w:hAnsi="Palatino Linotype" w:cs="Arial"/>
          <w:b/>
          <w:sz w:val="24"/>
          <w:szCs w:val="24"/>
        </w:rPr>
        <w:t>C</w:t>
      </w:r>
      <w:r>
        <w:rPr>
          <w:rFonts w:ascii="Palatino Linotype" w:eastAsia="Calibri" w:hAnsi="Palatino Linotype" w:cs="Arial"/>
          <w:b/>
          <w:sz w:val="24"/>
          <w:szCs w:val="24"/>
        </w:rPr>
        <w:t>A</w:t>
      </w:r>
      <w:r w:rsidRPr="008C27E8">
        <w:rPr>
          <w:rFonts w:ascii="Palatino Linotype" w:eastAsia="Calibri" w:hAnsi="Palatino Linotype" w:cs="Arial"/>
          <w:b/>
          <w:sz w:val="24"/>
          <w:szCs w:val="24"/>
        </w:rPr>
        <w:t xml:space="preserve"> </w:t>
      </w:r>
      <w:r w:rsidRPr="008C27E8">
        <w:rPr>
          <w:rFonts w:ascii="Palatino Linotype" w:eastAsia="Calibri" w:hAnsi="Palatino Linotype" w:cs="Arial"/>
          <w:sz w:val="24"/>
          <w:szCs w:val="24"/>
        </w:rPr>
        <w:t xml:space="preserve">la respuesta proporcionada por </w:t>
      </w:r>
      <w:r w:rsidRPr="008C27E8">
        <w:rPr>
          <w:rFonts w:ascii="Palatino Linotype" w:eastAsia="Calibri" w:hAnsi="Palatino Linotype" w:cs="Arial"/>
          <w:b/>
          <w:sz w:val="24"/>
          <w:szCs w:val="24"/>
        </w:rPr>
        <w:t xml:space="preserve">EL SUJETO OBLIGADO </w:t>
      </w:r>
      <w:r>
        <w:rPr>
          <w:rFonts w:ascii="Palatino Linotype" w:hAnsi="Palatino Linotype" w:cs="Arial"/>
          <w:sz w:val="24"/>
          <w:szCs w:val="24"/>
        </w:rPr>
        <w:t>en la solicitud de información número</w:t>
      </w:r>
      <w:r w:rsidRPr="002C3EC8">
        <w:rPr>
          <w:rFonts w:ascii="Palatino Linotype" w:hAnsi="Palatino Linotype" w:cs="Arial"/>
          <w:sz w:val="24"/>
          <w:szCs w:val="24"/>
        </w:rPr>
        <w:t xml:space="preserve"> </w:t>
      </w:r>
      <w:r w:rsidR="000C1B0F">
        <w:rPr>
          <w:rFonts w:ascii="Palatino Linotype" w:eastAsia="Palatino Linotype" w:hAnsi="Palatino Linotype" w:cs="Palatino Linotype"/>
          <w:b/>
          <w:bCs/>
          <w:color w:val="000000"/>
          <w:sz w:val="24"/>
          <w:szCs w:val="24"/>
          <w:lang w:val="es-ES_tradnl" w:eastAsia="es-MX"/>
        </w:rPr>
        <w:t>00690/TLALNEPA/IP/2024</w:t>
      </w:r>
      <w:r>
        <w:rPr>
          <w:rFonts w:ascii="Palatino Linotype" w:hAnsi="Palatino Linotype" w:cs="Arial"/>
          <w:b/>
          <w:sz w:val="24"/>
        </w:rPr>
        <w:t xml:space="preserve"> </w:t>
      </w:r>
      <w:r w:rsidRPr="007204BB">
        <w:rPr>
          <w:rFonts w:ascii="Palatino Linotype" w:hAnsi="Palatino Linotype" w:cs="Arial"/>
          <w:sz w:val="24"/>
        </w:rPr>
        <w:t>y s</w:t>
      </w:r>
      <w:proofErr w:type="spellStart"/>
      <w:r w:rsidRPr="00CD0D60">
        <w:rPr>
          <w:rFonts w:ascii="Palatino Linotype" w:eastAsia="Palatino Linotype" w:hAnsi="Palatino Linotype" w:cs="Palatino Linotype"/>
          <w:color w:val="000000"/>
          <w:sz w:val="24"/>
          <w:szCs w:val="24"/>
          <w:lang w:val="es-ES_tradnl" w:eastAsia="es-MX"/>
        </w:rPr>
        <w:t>e</w:t>
      </w:r>
      <w:proofErr w:type="spellEnd"/>
      <w:r w:rsidRPr="00CD0D60">
        <w:rPr>
          <w:rFonts w:ascii="Palatino Linotype" w:eastAsia="Palatino Linotype" w:hAnsi="Palatino Linotype" w:cs="Palatino Linotype"/>
          <w:color w:val="000000"/>
          <w:sz w:val="24"/>
          <w:szCs w:val="24"/>
          <w:lang w:val="es-ES_tradnl" w:eastAsia="es-MX"/>
        </w:rPr>
        <w:t xml:space="preserve"> </w:t>
      </w:r>
      <w:r w:rsidRPr="00CD0D60">
        <w:rPr>
          <w:rFonts w:ascii="Palatino Linotype" w:eastAsia="Palatino Linotype" w:hAnsi="Palatino Linotype" w:cs="Palatino Linotype"/>
          <w:b/>
          <w:color w:val="000000"/>
          <w:sz w:val="24"/>
          <w:szCs w:val="24"/>
          <w:lang w:val="es-ES_tradnl" w:eastAsia="es-MX"/>
        </w:rPr>
        <w:t>ORDENA</w:t>
      </w:r>
      <w:r w:rsidRPr="00CD0D60">
        <w:rPr>
          <w:rFonts w:ascii="Palatino Linotype" w:eastAsia="Palatino Linotype" w:hAnsi="Palatino Linotype" w:cs="Palatino Linotype"/>
          <w:color w:val="000000"/>
          <w:sz w:val="24"/>
          <w:szCs w:val="24"/>
          <w:lang w:val="es-ES_tradnl" w:eastAsia="es-MX"/>
        </w:rPr>
        <w:t xml:space="preserve"> al Sujeto Obligado que haga entrega </w:t>
      </w:r>
      <w:r>
        <w:rPr>
          <w:rFonts w:ascii="Palatino Linotype" w:eastAsia="Palatino Linotype" w:hAnsi="Palatino Linotype" w:cs="Palatino Linotype"/>
          <w:color w:val="000000"/>
          <w:sz w:val="24"/>
          <w:szCs w:val="24"/>
          <w:lang w:val="es-ES_tradnl" w:eastAsia="es-MX"/>
        </w:rPr>
        <w:t>a</w:t>
      </w:r>
      <w:r w:rsidRPr="00CD0D60">
        <w:rPr>
          <w:rFonts w:ascii="Palatino Linotype" w:eastAsia="Palatino Linotype" w:hAnsi="Palatino Linotype" w:cs="Palatino Linotype"/>
          <w:color w:val="000000"/>
          <w:sz w:val="24"/>
          <w:szCs w:val="24"/>
          <w:lang w:val="es-ES_tradnl" w:eastAsia="es-MX"/>
        </w:rPr>
        <w:t xml:space="preserve">l Recurrente mediante el Sistema de Acceso a la Información Mexiquense (SAIMEX), en versión pública y en términos del </w:t>
      </w:r>
      <w:r w:rsidRPr="00CD0D60">
        <w:rPr>
          <w:rFonts w:ascii="Palatino Linotype" w:eastAsia="Palatino Linotype" w:hAnsi="Palatino Linotype" w:cs="Palatino Linotype"/>
          <w:b/>
          <w:color w:val="000000"/>
          <w:sz w:val="24"/>
          <w:szCs w:val="24"/>
          <w:lang w:val="es-ES_tradnl" w:eastAsia="es-MX"/>
        </w:rPr>
        <w:t>Considerando CUARTO</w:t>
      </w:r>
      <w:r w:rsidRPr="00CD0D60">
        <w:rPr>
          <w:rFonts w:ascii="Palatino Linotype" w:eastAsia="Palatino Linotype" w:hAnsi="Palatino Linotype" w:cs="Palatino Linotype"/>
          <w:color w:val="000000"/>
          <w:sz w:val="24"/>
          <w:szCs w:val="24"/>
          <w:lang w:val="es-ES_tradnl" w:eastAsia="es-MX"/>
        </w:rPr>
        <w:t xml:space="preserve">, de lo siguiente: </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A94C33" w:rsidRDefault="00373CCC" w:rsidP="00373CCC">
      <w:pPr>
        <w:pStyle w:val="Prrafodelista"/>
        <w:numPr>
          <w:ilvl w:val="0"/>
          <w:numId w:val="13"/>
        </w:numPr>
        <w:spacing w:line="360" w:lineRule="auto"/>
        <w:ind w:left="567"/>
        <w:contextualSpacing/>
        <w:jc w:val="both"/>
        <w:rPr>
          <w:rFonts w:ascii="Palatino Linotype" w:eastAsia="Palatino Linotype" w:hAnsi="Palatino Linotype" w:cs="Palatino Linotype"/>
        </w:rPr>
      </w:pPr>
      <w:r w:rsidRPr="00A94C33">
        <w:rPr>
          <w:rFonts w:ascii="Palatino Linotype" w:eastAsia="Palatino Linotype" w:hAnsi="Palatino Linotype" w:cs="Palatino Linotype"/>
        </w:rPr>
        <w:t>D</w:t>
      </w:r>
      <w:r w:rsidR="00A94C33">
        <w:rPr>
          <w:rFonts w:ascii="Palatino Linotype" w:eastAsia="Palatino Linotype" w:hAnsi="Palatino Linotype" w:cs="Palatino Linotype"/>
        </w:rPr>
        <w:t>ocumento</w:t>
      </w:r>
      <w:r w:rsidR="001968E0">
        <w:rPr>
          <w:rFonts w:ascii="Palatino Linotype" w:eastAsia="Palatino Linotype" w:hAnsi="Palatino Linotype" w:cs="Palatino Linotype"/>
        </w:rPr>
        <w:t xml:space="preserve"> o documentos</w:t>
      </w:r>
      <w:r w:rsidR="00A94C33">
        <w:rPr>
          <w:rFonts w:ascii="Palatino Linotype" w:eastAsia="Palatino Linotype" w:hAnsi="Palatino Linotype" w:cs="Palatino Linotype"/>
        </w:rPr>
        <w:t xml:space="preserve"> de seguridad</w:t>
      </w:r>
      <w:r w:rsidR="001968E0">
        <w:rPr>
          <w:rFonts w:ascii="Palatino Linotype" w:eastAsia="Palatino Linotype" w:hAnsi="Palatino Linotype" w:cs="Palatino Linotype"/>
        </w:rPr>
        <w:t>,</w:t>
      </w:r>
      <w:r w:rsidR="00A94C33">
        <w:rPr>
          <w:rFonts w:ascii="Palatino Linotype" w:eastAsia="Palatino Linotype" w:hAnsi="Palatino Linotype" w:cs="Palatino Linotype"/>
        </w:rPr>
        <w:t xml:space="preserve"> vigente al veinte de junio de dos mil veinticuatro.</w:t>
      </w:r>
      <w:r w:rsidRPr="00A94C33">
        <w:rPr>
          <w:rFonts w:ascii="Palatino Linotype" w:eastAsia="Palatino Linotype" w:hAnsi="Palatino Linotype" w:cs="Palatino Linotype"/>
        </w:rPr>
        <w:t xml:space="preserve"> </w:t>
      </w:r>
    </w:p>
    <w:p w:rsidR="00373CCC" w:rsidRPr="00CD0D60" w:rsidRDefault="00373CCC" w:rsidP="00A94C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1968E0" w:rsidRDefault="001968E0" w:rsidP="001968E0">
      <w:pPr>
        <w:pStyle w:val="Prrafodelista"/>
        <w:autoSpaceDE w:val="0"/>
        <w:autoSpaceDN w:val="0"/>
        <w:adjustRightInd w:val="0"/>
        <w:spacing w:line="360" w:lineRule="auto"/>
        <w:ind w:left="720" w:right="49"/>
        <w:jc w:val="both"/>
        <w:rPr>
          <w:rFonts w:ascii="Palatino Linotype" w:eastAsia="Arial Unicode MS" w:hAnsi="Palatino Linotype" w:cs="Arial"/>
          <w:i/>
          <w:sz w:val="22"/>
          <w:szCs w:val="22"/>
          <w:lang w:val="es-MX"/>
        </w:rPr>
      </w:pPr>
      <w:r w:rsidRPr="00AD0F69">
        <w:rPr>
          <w:rFonts w:ascii="Palatino Linotype" w:eastAsia="Arial Unicode MS" w:hAnsi="Palatino Linotype" w:cs="Arial"/>
          <w:i/>
          <w:sz w:val="22"/>
          <w:szCs w:val="22"/>
          <w:lang w:val="es-MX"/>
        </w:rPr>
        <w:lastRenderedPageBreak/>
        <w:t>Debiendo notificar a</w:t>
      </w:r>
      <w:r>
        <w:rPr>
          <w:rFonts w:ascii="Palatino Linotype" w:eastAsia="Arial Unicode MS" w:hAnsi="Palatino Linotype" w:cs="Arial"/>
          <w:i/>
          <w:sz w:val="22"/>
          <w:szCs w:val="22"/>
          <w:lang w:val="es-MX"/>
        </w:rPr>
        <w:t xml:space="preserve"> </w:t>
      </w:r>
      <w:r w:rsidRPr="00AD0F69">
        <w:rPr>
          <w:rFonts w:ascii="Palatino Linotype" w:eastAsia="Arial Unicode MS" w:hAnsi="Palatino Linotype" w:cs="Arial"/>
          <w:i/>
          <w:sz w:val="22"/>
          <w:szCs w:val="22"/>
          <w:lang w:val="es-MX"/>
        </w:rPr>
        <w:t>l</w:t>
      </w:r>
      <w:r>
        <w:rPr>
          <w:rFonts w:ascii="Palatino Linotype" w:eastAsia="Arial Unicode MS" w:hAnsi="Palatino Linotype" w:cs="Arial"/>
          <w:i/>
          <w:sz w:val="22"/>
          <w:szCs w:val="22"/>
          <w:lang w:val="es-MX"/>
        </w:rPr>
        <w:t>a parte</w:t>
      </w:r>
      <w:r w:rsidRPr="00AD0F69">
        <w:rPr>
          <w:rFonts w:ascii="Palatino Linotype" w:eastAsia="Arial Unicode MS" w:hAnsi="Palatino Linotype" w:cs="Arial"/>
          <w:i/>
          <w:sz w:val="22"/>
          <w:szCs w:val="22"/>
          <w:lang w:val="es-MX"/>
        </w:rPr>
        <w:t xml:space="preserve"> </w:t>
      </w:r>
      <w:r w:rsidRPr="00AD0F69">
        <w:rPr>
          <w:rFonts w:ascii="Palatino Linotype" w:eastAsia="Arial Unicode MS" w:hAnsi="Palatino Linotype" w:cs="Arial"/>
          <w:b/>
          <w:i/>
          <w:sz w:val="22"/>
          <w:szCs w:val="22"/>
          <w:lang w:val="es-MX"/>
        </w:rPr>
        <w:t>Recurrente</w:t>
      </w:r>
      <w:r w:rsidRPr="00AD0F69">
        <w:rPr>
          <w:rFonts w:ascii="Palatino Linotype" w:eastAsia="Arial Unicode MS" w:hAnsi="Palatino Linotype" w:cs="Arial"/>
          <w:i/>
          <w:sz w:val="22"/>
          <w:szCs w:val="22"/>
          <w:lang w:val="es-MX"/>
        </w:rPr>
        <w:t xml:space="preserve"> el Acuerdo de Clasificación de la información que apruebe su Comité de Transparencia con motivo de la versión pública; </w:t>
      </w:r>
      <w:r w:rsidRPr="00AD0F69">
        <w:rPr>
          <w:rFonts w:ascii="Palatino Linotype" w:eastAsia="Arial Unicode MS" w:hAnsi="Palatino Linotype" w:cs="Arial"/>
          <w:b/>
          <w:bCs/>
          <w:i/>
          <w:sz w:val="22"/>
          <w:szCs w:val="22"/>
          <w:lang w:val="es-MX"/>
        </w:rPr>
        <w:t>clasificando como información confidencial las medidas de seguridad</w:t>
      </w:r>
      <w:r w:rsidRPr="00AD0F69">
        <w:rPr>
          <w:rFonts w:ascii="Palatino Linotype" w:eastAsia="Arial Unicode MS" w:hAnsi="Palatino Linotype" w:cs="Arial"/>
          <w:i/>
          <w:sz w:val="22"/>
          <w:szCs w:val="22"/>
          <w:lang w:val="es-MX"/>
        </w:rPr>
        <w:t>, en términos de los artículos 122 y 143 de la Ley de Transparencia y Acceso a la Información Pública del Estado de México y Municipios, así como 43 de la Ley de Protección de Datos Personales del</w:t>
      </w:r>
      <w:r>
        <w:rPr>
          <w:rFonts w:ascii="Palatino Linotype" w:eastAsia="Arial Unicode MS" w:hAnsi="Palatino Linotype" w:cs="Arial"/>
          <w:i/>
          <w:sz w:val="22"/>
          <w:szCs w:val="22"/>
          <w:lang w:val="es-MX"/>
        </w:rPr>
        <w:t xml:space="preserve"> Estado de México y Municipios.</w:t>
      </w:r>
    </w:p>
    <w:p w:rsidR="00373CCC" w:rsidRDefault="00373CCC" w:rsidP="00373CCC">
      <w:pPr>
        <w:pStyle w:val="Prrafodelista"/>
        <w:spacing w:before="240" w:line="360" w:lineRule="auto"/>
        <w:ind w:left="782"/>
        <w:jc w:val="both"/>
        <w:rPr>
          <w:rFonts w:ascii="Palatino Linotype" w:hAnsi="Palatino Linotype" w:cs="Arial"/>
          <w:i/>
        </w:rPr>
      </w:pPr>
    </w:p>
    <w:p w:rsidR="00373CCC" w:rsidRPr="00CD0D60" w:rsidRDefault="00373CCC" w:rsidP="00373CCC">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eastAsia="es-MX"/>
        </w:rPr>
      </w:pPr>
    </w:p>
    <w:p w:rsidR="00373CCC" w:rsidRPr="0055568C"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TERCERO.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la presente resolución al Titular de la Unidad de Transparencia del Sujeto Obligado</w:t>
      </w:r>
      <w:r>
        <w:rPr>
          <w:rFonts w:ascii="Palatino Linotype" w:eastAsia="Palatino Linotype" w:hAnsi="Palatino Linotype" w:cs="Palatino Linotype"/>
          <w:color w:val="000000"/>
          <w:sz w:val="24"/>
          <w:szCs w:val="24"/>
          <w:lang w:val="es-ES_tradnl" w:eastAsia="es-MX"/>
        </w:rPr>
        <w:t xml:space="preserve"> </w:t>
      </w:r>
      <w:r w:rsidRPr="00507EB2">
        <w:rPr>
          <w:rFonts w:ascii="Palatino Linotype" w:hAnsi="Palatino Linotype" w:cs="Arial"/>
          <w:sz w:val="24"/>
          <w:szCs w:val="24"/>
          <w:lang w:val="es-ES" w:eastAsia="es-ES"/>
        </w:rPr>
        <w:t xml:space="preserve">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CD0D60">
        <w:rPr>
          <w:rFonts w:ascii="Palatino Linotype" w:eastAsia="Palatino Linotype" w:hAnsi="Palatino Linotype" w:cs="Palatino Linotype"/>
          <w:color w:val="000000"/>
          <w:sz w:val="24"/>
          <w:szCs w:val="24"/>
          <w:lang w:val="es-ES_tradnl" w:eastAsia="es-MX"/>
        </w:rPr>
        <w:t xml:space="preserve">, para que conforme al artículo 186 último párrafo, 189 segundo párrafo y 194 de la Ley de Transparencia y Acceso a la Información Pública del Estado de México y Municipios; dé cumplimiento a lo ordenado dentro del plazo de </w:t>
      </w:r>
      <w:r w:rsidRPr="0076094F">
        <w:rPr>
          <w:rFonts w:ascii="Palatino Linotype" w:eastAsia="Palatino Linotype" w:hAnsi="Palatino Linotype" w:cs="Palatino Linotype"/>
          <w:b/>
          <w:color w:val="000000"/>
          <w:sz w:val="24"/>
          <w:szCs w:val="24"/>
          <w:lang w:val="es-ES_tradnl" w:eastAsia="es-MX"/>
        </w:rPr>
        <w:t>diez días hábiles</w:t>
      </w:r>
      <w:r w:rsidRPr="00CD0D60">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CD0D60">
        <w:rPr>
          <w:rFonts w:ascii="Palatino Linotype" w:eastAsia="Palatino Linotype" w:hAnsi="Palatino Linotype" w:cs="Palatino Linotype"/>
          <w:b/>
          <w:color w:val="000000"/>
          <w:sz w:val="24"/>
          <w:szCs w:val="24"/>
          <w:lang w:val="es-ES_tradnl" w:eastAsia="es-MX"/>
        </w:rPr>
        <w:t xml:space="preserve">, </w:t>
      </w:r>
      <w:r w:rsidRPr="00E24C8E">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 xml:space="preserve">CUARTO. </w:t>
      </w:r>
      <w:r w:rsidRPr="00CD0D60">
        <w:rPr>
          <w:rFonts w:ascii="Palatino Linotype" w:eastAsia="Palatino Linotype" w:hAnsi="Palatino Linotype" w:cs="Palatino Linotype"/>
          <w:color w:val="000000"/>
          <w:sz w:val="24"/>
          <w:szCs w:val="24"/>
          <w:lang w:val="es-ES_tradnl" w:eastAsia="es-MX"/>
        </w:rPr>
        <w:t xml:space="preserve">De conformidad con el artículo 198 de la Ley de Transparencia y Acceso a la Información Pública del Estado de México y Municipios, de considerarlo </w:t>
      </w:r>
      <w:r w:rsidRPr="00CD0D60">
        <w:rPr>
          <w:rFonts w:ascii="Palatino Linotype" w:eastAsia="Palatino Linotype" w:hAnsi="Palatino Linotype" w:cs="Palatino Linotype"/>
          <w:color w:val="000000"/>
          <w:sz w:val="24"/>
          <w:szCs w:val="24"/>
          <w:lang w:val="es-ES_tradnl" w:eastAsia="es-MX"/>
        </w:rPr>
        <w:lastRenderedPageBreak/>
        <w:t>procedente, el Sujeto Obligado, de manera fundada y motivada, podrá solicitar una ampliación de plazo para el cumplimiento de la presente resolución.</w:t>
      </w:r>
    </w:p>
    <w:p w:rsidR="00373CCC" w:rsidRPr="00CD0D60"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rsidR="00373CCC"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QUINTO.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 xml:space="preserve">la presente resolución al Recurrente mediante el </w:t>
      </w:r>
      <w:r w:rsidRPr="000C43DE">
        <w:rPr>
          <w:rFonts w:ascii="Palatino Linotype" w:eastAsia="Palatino Linotype" w:hAnsi="Palatino Linotype" w:cs="Palatino Linotype"/>
          <w:b/>
          <w:color w:val="000000"/>
          <w:sz w:val="24"/>
          <w:szCs w:val="24"/>
          <w:lang w:val="es-ES_tradnl" w:eastAsia="es-MX"/>
        </w:rPr>
        <w:t>Sistema de Acceso a la Información Mexiquense (SAIMEX)</w:t>
      </w:r>
      <w:r w:rsidRPr="00CD0D60">
        <w:rPr>
          <w:rFonts w:ascii="Palatino Linotype" w:eastAsia="Palatino Linotype" w:hAnsi="Palatino Linotype" w:cs="Palatino Linotype"/>
          <w:color w:val="000000"/>
          <w:sz w:val="24"/>
          <w:szCs w:val="24"/>
          <w:lang w:val="es-ES_tradnl" w:eastAsia="es-MX"/>
        </w:rPr>
        <w:t xml:space="preserve">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rsidR="00373CCC" w:rsidRDefault="00373CCC" w:rsidP="00373CC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373CCC" w:rsidRPr="00B40D75" w:rsidRDefault="00373CCC" w:rsidP="00A659F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 Y GUADALUPE RAMÍREZ PEÑA</w:t>
      </w:r>
      <w:r w:rsidR="001616F4">
        <w:rPr>
          <w:rFonts w:ascii="Palatino Linotype" w:hAnsi="Palatino Linotype" w:cs="Arial"/>
          <w:sz w:val="24"/>
        </w:rPr>
        <w:t xml:space="preserve"> </w:t>
      </w:r>
      <w:r w:rsidR="001616F4" w:rsidRPr="00A659FB">
        <w:rPr>
          <w:rFonts w:ascii="Palatino Linotype" w:hAnsi="Palatino Linotype" w:cs="Arial"/>
          <w:sz w:val="24"/>
        </w:rPr>
        <w:t>(AUSENCIA JUSTIFICADA)</w:t>
      </w:r>
      <w:r w:rsidRPr="00B574E5">
        <w:rPr>
          <w:rFonts w:ascii="Palatino Linotype" w:hAnsi="Palatino Linotype" w:cs="Arial"/>
          <w:sz w:val="24"/>
        </w:rPr>
        <w:t xml:space="preserve">; EN LA </w:t>
      </w:r>
      <w:r w:rsidR="00A94C33">
        <w:rPr>
          <w:rFonts w:ascii="Palatino Linotype" w:hAnsi="Palatino Linotype" w:cs="Arial"/>
          <w:sz w:val="24"/>
        </w:rPr>
        <w:t>TR</w:t>
      </w:r>
      <w:r>
        <w:rPr>
          <w:rFonts w:ascii="Palatino Linotype" w:hAnsi="Palatino Linotype" w:cs="Arial"/>
          <w:sz w:val="24"/>
        </w:rPr>
        <w:t>IGÉ</w:t>
      </w:r>
      <w:r w:rsidRPr="00B574E5">
        <w:rPr>
          <w:rFonts w:ascii="Palatino Linotype" w:hAnsi="Palatino Linotype" w:cs="Arial"/>
          <w:sz w:val="24"/>
        </w:rPr>
        <w:t>SIMA</w:t>
      </w:r>
      <w:r>
        <w:rPr>
          <w:rFonts w:ascii="Palatino Linotype" w:hAnsi="Palatino Linotype" w:cs="Arial"/>
          <w:sz w:val="24"/>
        </w:rPr>
        <w:t xml:space="preserve"> </w:t>
      </w:r>
      <w:r w:rsidR="00A94C33">
        <w:rPr>
          <w:rFonts w:ascii="Palatino Linotype" w:hAnsi="Palatino Linotype" w:cs="Arial"/>
          <w:sz w:val="24"/>
        </w:rPr>
        <w:t>TERCERA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A94C33">
        <w:rPr>
          <w:rFonts w:ascii="Palatino Linotype" w:hAnsi="Palatino Linotype" w:cs="Arial"/>
          <w:sz w:val="24"/>
        </w:rPr>
        <w:t>DIECI</w:t>
      </w:r>
      <w:r w:rsidR="003F7E69">
        <w:rPr>
          <w:rFonts w:ascii="Palatino Linotype" w:hAnsi="Palatino Linotype" w:cs="Arial"/>
          <w:sz w:val="24"/>
        </w:rPr>
        <w:t>NUEVE</w:t>
      </w:r>
      <w:r w:rsidR="00A94C33">
        <w:rPr>
          <w:rFonts w:ascii="Palatino Linotype" w:hAnsi="Palatino Linotype" w:cs="Arial"/>
          <w:sz w:val="24"/>
        </w:rPr>
        <w:t xml:space="preserve"> DE SEPTIEMBRE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p>
    <w:p w:rsidR="00373CCC" w:rsidRDefault="00373CCC" w:rsidP="00A659F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73CCC" w:rsidRDefault="00373CCC" w:rsidP="00A659F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73CCC" w:rsidRDefault="00373CCC" w:rsidP="00A659F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73CCC" w:rsidRDefault="00373CCC" w:rsidP="00A659F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373CCC" w:rsidRPr="00AB0A3C" w:rsidRDefault="001616F4" w:rsidP="00A659FB">
      <w:pPr>
        <w:spacing w:after="0" w:line="360" w:lineRule="auto"/>
        <w:jc w:val="both"/>
        <w:rPr>
          <w:sz w:val="20"/>
        </w:rPr>
      </w:pPr>
      <w:r>
        <w:rPr>
          <w:rFonts w:ascii="Palatino Linotype" w:hAnsi="Palatino Linotype"/>
          <w:bCs/>
          <w:sz w:val="16"/>
          <w:szCs w:val="18"/>
        </w:rPr>
        <w:t>JMV/</w:t>
      </w:r>
      <w:r w:rsidR="00373CCC">
        <w:rPr>
          <w:rFonts w:ascii="Palatino Linotype" w:hAnsi="Palatino Linotype"/>
          <w:bCs/>
          <w:sz w:val="16"/>
          <w:szCs w:val="18"/>
        </w:rPr>
        <w:t>CCR/</w:t>
      </w:r>
      <w:r>
        <w:rPr>
          <w:rFonts w:ascii="Palatino Linotype" w:hAnsi="Palatino Linotype"/>
          <w:bCs/>
          <w:sz w:val="16"/>
          <w:szCs w:val="18"/>
        </w:rPr>
        <w:t>LMST</w:t>
      </w:r>
    </w:p>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373CCC" w:rsidRDefault="00373CCC" w:rsidP="00373CCC"/>
    <w:p w:rsidR="00E577EC" w:rsidRDefault="00E577EC"/>
    <w:sectPr w:rsidR="00E577EC" w:rsidSect="00E2259D">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9D" w:rsidRDefault="00E2259D" w:rsidP="00373CCC">
      <w:pPr>
        <w:spacing w:after="0" w:line="240" w:lineRule="auto"/>
      </w:pPr>
      <w:r>
        <w:separator/>
      </w:r>
    </w:p>
  </w:endnote>
  <w:endnote w:type="continuationSeparator" w:id="0">
    <w:p w:rsidR="00E2259D" w:rsidRDefault="00E2259D" w:rsidP="0037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D" w:rsidRPr="000B69FA" w:rsidRDefault="00E2259D" w:rsidP="00E2259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7C4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7C43">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D" w:rsidRPr="000B69FA" w:rsidRDefault="00E2259D" w:rsidP="00E2259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7C4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7C43">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9D" w:rsidRDefault="00E2259D" w:rsidP="00373CCC">
      <w:pPr>
        <w:spacing w:after="0" w:line="240" w:lineRule="auto"/>
      </w:pPr>
      <w:r>
        <w:separator/>
      </w:r>
    </w:p>
  </w:footnote>
  <w:footnote w:type="continuationSeparator" w:id="0">
    <w:p w:rsidR="00E2259D" w:rsidRDefault="00E2259D" w:rsidP="00373CCC">
      <w:pPr>
        <w:spacing w:after="0" w:line="240" w:lineRule="auto"/>
      </w:pPr>
      <w:r>
        <w:continuationSeparator/>
      </w:r>
    </w:p>
  </w:footnote>
  <w:footnote w:id="1">
    <w:p w:rsidR="00E2259D" w:rsidRPr="005552A8" w:rsidRDefault="00E2259D" w:rsidP="00373CCC">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E2259D" w:rsidRPr="005552A8" w:rsidRDefault="00E2259D" w:rsidP="00373CCC">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1968E0" w:rsidRPr="007F43A5" w:rsidRDefault="001968E0" w:rsidP="001968E0">
      <w:pPr>
        <w:pStyle w:val="Textonotapie"/>
        <w:rPr>
          <w:color w:val="000000" w:themeColor="text1"/>
        </w:rPr>
      </w:pPr>
      <w:r>
        <w:rPr>
          <w:rStyle w:val="Refdenotaalpie"/>
        </w:rPr>
        <w:footnoteRef/>
      </w:r>
      <w:r>
        <w:t xml:space="preserve"> </w:t>
      </w:r>
      <w:r w:rsidRPr="007F43A5">
        <w:rPr>
          <w:bCs/>
          <w:color w:val="000000" w:themeColor="text1"/>
          <w:bdr w:val="none" w:sz="0" w:space="0" w:color="auto" w:frame="1"/>
          <w:shd w:val="clear" w:color="auto" w:fill="FFFFFF"/>
        </w:rPr>
        <w:t>OVALLE FAVELA, José,</w:t>
      </w:r>
      <w:r w:rsidRPr="007F43A5">
        <w:rPr>
          <w:rStyle w:val="apple-converted-space"/>
          <w:bCs/>
          <w:color w:val="000000" w:themeColor="text1"/>
          <w:bdr w:val="none" w:sz="0" w:space="0" w:color="auto" w:frame="1"/>
          <w:shd w:val="clear" w:color="auto" w:fill="FFFFFF"/>
        </w:rPr>
        <w:t xml:space="preserve"> “</w:t>
      </w:r>
      <w:r w:rsidRPr="007F43A5">
        <w:rPr>
          <w:bCs/>
          <w:i/>
          <w:iCs/>
          <w:color w:val="000000" w:themeColor="text1"/>
          <w:bdr w:val="none" w:sz="0" w:space="0" w:color="auto" w:frame="1"/>
          <w:shd w:val="clear" w:color="auto" w:fill="FFFFFF"/>
        </w:rPr>
        <w:t>Garantías constitucionales del proceso”</w:t>
      </w:r>
      <w:r w:rsidRPr="007F43A5">
        <w:rPr>
          <w:bCs/>
          <w:color w:val="000000" w:themeColor="text1"/>
          <w:bdr w:val="none" w:sz="0" w:space="0" w:color="auto" w:frame="1"/>
          <w:shd w:val="clear" w:color="auto" w:fill="FFFFFF"/>
        </w:rPr>
        <w:t xml:space="preserve">, 2a. ed., México, Oxford </w:t>
      </w:r>
      <w:proofErr w:type="spellStart"/>
      <w:r w:rsidRPr="007F43A5">
        <w:rPr>
          <w:bCs/>
          <w:color w:val="000000" w:themeColor="text1"/>
          <w:bdr w:val="none" w:sz="0" w:space="0" w:color="auto" w:frame="1"/>
          <w:shd w:val="clear" w:color="auto" w:fill="FFFFFF"/>
        </w:rPr>
        <w:t>University</w:t>
      </w:r>
      <w:proofErr w:type="spellEnd"/>
      <w:r w:rsidRPr="007F43A5">
        <w:rPr>
          <w:bCs/>
          <w:color w:val="000000" w:themeColor="text1"/>
          <w:bdr w:val="none" w:sz="0" w:space="0" w:color="auto" w:frame="1"/>
          <w:shd w:val="clear" w:color="auto" w:fill="FFFFFF"/>
        </w:rPr>
        <w:t xml:space="preserve"> </w:t>
      </w:r>
      <w:proofErr w:type="spellStart"/>
      <w:r w:rsidRPr="007F43A5">
        <w:rPr>
          <w:bCs/>
          <w:color w:val="000000" w:themeColor="text1"/>
          <w:bdr w:val="none" w:sz="0" w:space="0" w:color="auto" w:frame="1"/>
          <w:shd w:val="clear" w:color="auto" w:fill="FFFFFF"/>
        </w:rPr>
        <w:t>Press</w:t>
      </w:r>
      <w:proofErr w:type="spellEnd"/>
      <w:r w:rsidRPr="007F43A5">
        <w:rPr>
          <w:bCs/>
          <w:color w:val="000000" w:themeColor="text1"/>
          <w:bdr w:val="none" w:sz="0" w:space="0" w:color="auto" w:frame="1"/>
          <w:shd w:val="clear" w:color="auto" w:fill="FFFFFF"/>
        </w:rPr>
        <w:t>, 2002, 474 pp.</w:t>
      </w:r>
    </w:p>
  </w:footnote>
  <w:footnote w:id="3">
    <w:p w:rsidR="001968E0" w:rsidRPr="0085625E" w:rsidRDefault="001968E0" w:rsidP="001968E0">
      <w:pPr>
        <w:pStyle w:val="Textonotapie"/>
        <w:rPr>
          <w:rFonts w:asciiTheme="majorHAnsi" w:hAnsiTheme="majorHAnsi"/>
          <w:lang w:val="es-ES"/>
        </w:rPr>
      </w:pPr>
      <w:r>
        <w:rPr>
          <w:rStyle w:val="Refdenotaalpie"/>
        </w:rPr>
        <w:footnoteRef/>
      </w:r>
      <w:r>
        <w:t xml:space="preserve"> </w:t>
      </w:r>
      <w:r w:rsidRPr="0085625E">
        <w:rPr>
          <w:rFonts w:asciiTheme="majorHAnsi" w:hAnsiTheme="majorHAnsi"/>
          <w:lang w:val="es-ES"/>
        </w:rPr>
        <w:t xml:space="preserve">Tribunales Colegiados de Circuito. Novena </w:t>
      </w:r>
      <w:proofErr w:type="spellStart"/>
      <w:r w:rsidRPr="0085625E">
        <w:rPr>
          <w:rFonts w:asciiTheme="majorHAnsi" w:hAnsiTheme="majorHAnsi"/>
          <w:lang w:val="es-ES"/>
        </w:rPr>
        <w:t>Epoca</w:t>
      </w:r>
      <w:proofErr w:type="spellEnd"/>
      <w:r w:rsidRPr="0085625E">
        <w:rPr>
          <w:rFonts w:asciiTheme="majorHAnsi" w:hAnsiTheme="majorHAnsi"/>
          <w:lang w:val="es-ES"/>
        </w:rPr>
        <w:t xml:space="preserve">. Semanario Judicial de la Federación y su Gaceta. Tomo III, marzo de 1996. </w:t>
      </w:r>
      <w:proofErr w:type="spellStart"/>
      <w:r w:rsidRPr="0085625E">
        <w:rPr>
          <w:rFonts w:asciiTheme="majorHAnsi" w:hAnsiTheme="majorHAnsi"/>
          <w:lang w:val="es-ES"/>
        </w:rPr>
        <w:t>Pág</w:t>
      </w:r>
      <w:proofErr w:type="spellEnd"/>
      <w:r w:rsidRPr="0085625E">
        <w:rPr>
          <w:rFonts w:asciiTheme="majorHAnsi" w:hAnsiTheme="majorHAnsi"/>
          <w:lang w:val="es-ES"/>
        </w:rPr>
        <w:t xml:space="preserve"> 769. Consultado en http://sjf.scjn.gob.mx/sjfsist/Documentos/Tesis/203/</w:t>
      </w:r>
      <w:proofErr w:type="gramStart"/>
      <w:r w:rsidRPr="0085625E">
        <w:rPr>
          <w:rFonts w:asciiTheme="majorHAnsi" w:hAnsiTheme="majorHAnsi"/>
          <w:lang w:val="es-ES"/>
        </w:rPr>
        <w:t>203143.pdf  el</w:t>
      </w:r>
      <w:proofErr w:type="gramEnd"/>
      <w:r w:rsidRPr="0085625E">
        <w:rPr>
          <w:rFonts w:asciiTheme="majorHAnsi" w:hAnsiTheme="majorHAnsi"/>
          <w:lang w:val="es-ES"/>
        </w:rPr>
        <w:t xml:space="preserve"> viernes 16 de junio de 2017.</w:t>
      </w:r>
    </w:p>
    <w:p w:rsidR="001968E0" w:rsidRPr="0085625E" w:rsidRDefault="001968E0" w:rsidP="001968E0">
      <w:pPr>
        <w:pStyle w:val="Textonotapie"/>
        <w:rPr>
          <w:rFonts w:asciiTheme="majorHAnsi" w:hAnsiTheme="maj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D" w:rsidRDefault="00E2259D">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7B4E4DF" wp14:editId="21BD38FF">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2259D" w:rsidTr="00E2259D">
      <w:trPr>
        <w:trHeight w:val="227"/>
      </w:trPr>
      <w:tc>
        <w:tcPr>
          <w:tcW w:w="5529" w:type="dxa"/>
          <w:hideMark/>
        </w:tcPr>
        <w:p w:rsidR="00E2259D" w:rsidRDefault="00E2259D" w:rsidP="00E2259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2259D" w:rsidRPr="00B4142F" w:rsidRDefault="00E2259D" w:rsidP="000C1B0F">
          <w:pPr>
            <w:spacing w:after="120" w:line="256" w:lineRule="auto"/>
            <w:ind w:left="349" w:right="79"/>
            <w:jc w:val="both"/>
            <w:rPr>
              <w:rFonts w:ascii="Palatino Linotype" w:hAnsi="Palatino Linotype" w:cs="Arial"/>
              <w:szCs w:val="20"/>
            </w:rPr>
          </w:pPr>
          <w:r>
            <w:rPr>
              <w:rFonts w:ascii="Palatino Linotype" w:hAnsi="Palatino Linotype" w:cs="Arial"/>
              <w:bCs/>
              <w:sz w:val="24"/>
              <w:lang w:eastAsia="es-MX"/>
            </w:rPr>
            <w:t>04615/INFOEM/IP/RR/2024</w:t>
          </w:r>
        </w:p>
      </w:tc>
    </w:tr>
    <w:tr w:rsidR="00E2259D" w:rsidTr="00E2259D">
      <w:trPr>
        <w:trHeight w:val="242"/>
      </w:trPr>
      <w:tc>
        <w:tcPr>
          <w:tcW w:w="5529" w:type="dxa"/>
          <w:hideMark/>
        </w:tcPr>
        <w:p w:rsidR="00E2259D" w:rsidRDefault="00E2259D" w:rsidP="00E2259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2259D" w:rsidRPr="00F06FED" w:rsidRDefault="00E2259D" w:rsidP="000C1B0F">
          <w:pPr>
            <w:spacing w:after="120" w:line="256" w:lineRule="auto"/>
            <w:ind w:left="349" w:right="79"/>
            <w:jc w:val="both"/>
            <w:rPr>
              <w:rFonts w:ascii="Palatino Linotype" w:hAnsi="Palatino Linotype" w:cs="Arial"/>
            </w:rPr>
          </w:pPr>
          <w:r w:rsidRPr="000C1B0F">
            <w:rPr>
              <w:rFonts w:ascii="Palatino Linotype" w:hAnsi="Palatino Linotype" w:cs="Arial"/>
              <w:szCs w:val="20"/>
            </w:rPr>
            <w:t>Ayuntamiento de Tlalnepantla de Baz</w:t>
          </w:r>
        </w:p>
      </w:tc>
    </w:tr>
    <w:tr w:rsidR="00E2259D" w:rsidTr="00E2259D">
      <w:trPr>
        <w:trHeight w:val="342"/>
      </w:trPr>
      <w:tc>
        <w:tcPr>
          <w:tcW w:w="5529" w:type="dxa"/>
          <w:hideMark/>
        </w:tcPr>
        <w:p w:rsidR="00E2259D" w:rsidRDefault="00E2259D" w:rsidP="00E2259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2259D" w:rsidRDefault="00E2259D" w:rsidP="000C1B0F">
          <w:pPr>
            <w:spacing w:after="120" w:line="256" w:lineRule="auto"/>
            <w:ind w:left="349" w:right="79"/>
            <w:jc w:val="both"/>
            <w:rPr>
              <w:rFonts w:ascii="Palatino Linotype" w:hAnsi="Palatino Linotype" w:cs="Arial"/>
              <w:szCs w:val="20"/>
            </w:rPr>
          </w:pPr>
          <w:r>
            <w:rPr>
              <w:rFonts w:ascii="Palatino Linotype" w:hAnsi="Palatino Linotype" w:cs="Arial"/>
              <w:szCs w:val="20"/>
            </w:rPr>
            <w:t>José Martínez Vilchis</w:t>
          </w:r>
        </w:p>
      </w:tc>
    </w:tr>
  </w:tbl>
  <w:p w:rsidR="00E2259D" w:rsidRDefault="00E225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2259D" w:rsidTr="00E2259D">
      <w:trPr>
        <w:trHeight w:val="227"/>
      </w:trPr>
      <w:tc>
        <w:tcPr>
          <w:tcW w:w="5529" w:type="dxa"/>
          <w:hideMark/>
        </w:tcPr>
        <w:p w:rsidR="00E2259D" w:rsidRDefault="00E2259D" w:rsidP="00E2259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2259D" w:rsidRPr="00B4142F" w:rsidRDefault="00E2259D" w:rsidP="000C1B0F">
          <w:pPr>
            <w:spacing w:after="120" w:line="256" w:lineRule="auto"/>
            <w:ind w:left="491" w:right="214"/>
            <w:jc w:val="both"/>
            <w:rPr>
              <w:rFonts w:ascii="Palatino Linotype" w:hAnsi="Palatino Linotype" w:cs="Arial"/>
              <w:szCs w:val="20"/>
            </w:rPr>
          </w:pPr>
          <w:r>
            <w:rPr>
              <w:rFonts w:ascii="Palatino Linotype" w:hAnsi="Palatino Linotype" w:cs="Arial"/>
              <w:bCs/>
              <w:sz w:val="24"/>
              <w:lang w:eastAsia="es-MX"/>
            </w:rPr>
            <w:t>04615/INFOEM/IP/RR/2024</w:t>
          </w:r>
        </w:p>
      </w:tc>
    </w:tr>
    <w:tr w:rsidR="00E2259D" w:rsidTr="00E2259D">
      <w:trPr>
        <w:trHeight w:val="196"/>
      </w:trPr>
      <w:tc>
        <w:tcPr>
          <w:tcW w:w="5529" w:type="dxa"/>
          <w:hideMark/>
        </w:tcPr>
        <w:p w:rsidR="00E2259D" w:rsidRDefault="00E2259D" w:rsidP="00E2259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E2259D" w:rsidRPr="00F06FED" w:rsidRDefault="00AA7C43" w:rsidP="000C1B0F">
          <w:pPr>
            <w:spacing w:after="120" w:line="256" w:lineRule="auto"/>
            <w:ind w:left="491" w:right="214"/>
            <w:jc w:val="both"/>
            <w:rPr>
              <w:rFonts w:ascii="Palatino Linotype" w:hAnsi="Palatino Linotype" w:cs="Arial"/>
            </w:rPr>
          </w:pPr>
          <w:r>
            <w:rPr>
              <w:rFonts w:ascii="Palatino Linotype" w:hAnsi="Palatino Linotype" w:cs="Arial"/>
            </w:rPr>
            <w:t>XXXXXXXXXXXX</w:t>
          </w:r>
        </w:p>
      </w:tc>
    </w:tr>
    <w:tr w:rsidR="00E2259D" w:rsidTr="00E2259D">
      <w:trPr>
        <w:trHeight w:val="242"/>
      </w:trPr>
      <w:tc>
        <w:tcPr>
          <w:tcW w:w="5529" w:type="dxa"/>
          <w:hideMark/>
        </w:tcPr>
        <w:p w:rsidR="00E2259D" w:rsidRDefault="00E2259D" w:rsidP="00E2259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2259D" w:rsidRDefault="00E2259D" w:rsidP="000C1B0F">
          <w:pPr>
            <w:spacing w:after="120" w:line="256" w:lineRule="auto"/>
            <w:ind w:left="491" w:right="214"/>
            <w:jc w:val="both"/>
            <w:rPr>
              <w:rFonts w:ascii="Palatino Linotype" w:hAnsi="Palatino Linotype" w:cs="Arial"/>
              <w:szCs w:val="20"/>
            </w:rPr>
          </w:pPr>
          <w:r w:rsidRPr="000C1B0F">
            <w:rPr>
              <w:rFonts w:ascii="Palatino Linotype" w:hAnsi="Palatino Linotype" w:cs="Arial"/>
              <w:szCs w:val="20"/>
            </w:rPr>
            <w:t>Ayuntamiento de Tlalnepantla de Baz</w:t>
          </w:r>
        </w:p>
      </w:tc>
    </w:tr>
    <w:tr w:rsidR="00E2259D" w:rsidTr="00E2259D">
      <w:trPr>
        <w:trHeight w:val="342"/>
      </w:trPr>
      <w:tc>
        <w:tcPr>
          <w:tcW w:w="5529" w:type="dxa"/>
          <w:hideMark/>
        </w:tcPr>
        <w:p w:rsidR="00E2259D" w:rsidRDefault="00E2259D" w:rsidP="00E2259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2259D" w:rsidRDefault="00E2259D" w:rsidP="000C1B0F">
          <w:pPr>
            <w:spacing w:after="120" w:line="256" w:lineRule="auto"/>
            <w:ind w:left="491"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E2259D" w:rsidRDefault="00E2259D">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3405D62" wp14:editId="074B7523">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D57703"/>
    <w:multiLevelType w:val="hybridMultilevel"/>
    <w:tmpl w:val="30209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C69DB"/>
    <w:multiLevelType w:val="hybridMultilevel"/>
    <w:tmpl w:val="2F926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B365C"/>
    <w:multiLevelType w:val="hybridMultilevel"/>
    <w:tmpl w:val="6916D17A"/>
    <w:lvl w:ilvl="0" w:tplc="767E55B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927ED1"/>
    <w:multiLevelType w:val="hybridMultilevel"/>
    <w:tmpl w:val="FFDC514C"/>
    <w:lvl w:ilvl="0" w:tplc="4290E21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9A020D"/>
    <w:multiLevelType w:val="hybridMultilevel"/>
    <w:tmpl w:val="9248412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B0E3E4E"/>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D107DA"/>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CB3C8C"/>
    <w:multiLevelType w:val="hybridMultilevel"/>
    <w:tmpl w:val="2200A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137222"/>
    <w:multiLevelType w:val="hybridMultilevel"/>
    <w:tmpl w:val="F6D260C4"/>
    <w:lvl w:ilvl="0" w:tplc="1F1E4C1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6C210745"/>
    <w:multiLevelType w:val="hybridMultilevel"/>
    <w:tmpl w:val="2F926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1F4DC4"/>
    <w:multiLevelType w:val="hybridMultilevel"/>
    <w:tmpl w:val="E2C41852"/>
    <w:lvl w:ilvl="0" w:tplc="08EA79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5"/>
  </w:num>
  <w:num w:numId="3">
    <w:abstractNumId w:val="2"/>
  </w:num>
  <w:num w:numId="4">
    <w:abstractNumId w:val="13"/>
  </w:num>
  <w:num w:numId="5">
    <w:abstractNumId w:val="3"/>
  </w:num>
  <w:num w:numId="6">
    <w:abstractNumId w:val="14"/>
  </w:num>
  <w:num w:numId="7">
    <w:abstractNumId w:val="10"/>
  </w:num>
  <w:num w:numId="8">
    <w:abstractNumId w:val="6"/>
  </w:num>
  <w:num w:numId="9">
    <w:abstractNumId w:val="8"/>
  </w:num>
  <w:num w:numId="10">
    <w:abstractNumId w:val="16"/>
  </w:num>
  <w:num w:numId="11">
    <w:abstractNumId w:val="7"/>
  </w:num>
  <w:num w:numId="12">
    <w:abstractNumId w:val="11"/>
  </w:num>
  <w:num w:numId="13">
    <w:abstractNumId w:val="9"/>
  </w:num>
  <w:num w:numId="14">
    <w:abstractNumId w:val="12"/>
  </w:num>
  <w:num w:numId="15">
    <w:abstractNumId w:val="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CC"/>
    <w:rsid w:val="000C1B0F"/>
    <w:rsid w:val="001616F4"/>
    <w:rsid w:val="001968E0"/>
    <w:rsid w:val="002B486B"/>
    <w:rsid w:val="00373CCC"/>
    <w:rsid w:val="003C1596"/>
    <w:rsid w:val="003F7E69"/>
    <w:rsid w:val="006A72BB"/>
    <w:rsid w:val="008711FE"/>
    <w:rsid w:val="008A7085"/>
    <w:rsid w:val="00A659FB"/>
    <w:rsid w:val="00A94C33"/>
    <w:rsid w:val="00AA7C43"/>
    <w:rsid w:val="00BA6B24"/>
    <w:rsid w:val="00E2259D"/>
    <w:rsid w:val="00E577EC"/>
    <w:rsid w:val="00E671E1"/>
    <w:rsid w:val="00FE2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88C3A40-607F-4091-9961-D9F53F5B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CC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73CC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73CC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73CC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373CC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373CC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73CC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73CC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373CCC"/>
    <w:rPr>
      <w:color w:val="0563C1" w:themeColor="hyperlink"/>
      <w:u w:val="single"/>
    </w:rPr>
  </w:style>
  <w:style w:type="paragraph" w:styleId="Sinespaciado">
    <w:name w:val="No Spacing"/>
    <w:aliases w:val="Francesa,INAI"/>
    <w:link w:val="SinespaciadoCar"/>
    <w:uiPriority w:val="1"/>
    <w:qFormat/>
    <w:rsid w:val="00373CC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73CCC"/>
    <w:rPr>
      <w:rFonts w:ascii="Times New Roman" w:eastAsia="Times New Roman" w:hAnsi="Times New Roman" w:cs="Times New Roman"/>
      <w:sz w:val="24"/>
      <w:szCs w:val="24"/>
      <w:lang w:eastAsia="es-ES"/>
    </w:rPr>
  </w:style>
  <w:style w:type="paragraph" w:customStyle="1" w:styleId="infoemcitas">
    <w:name w:val="infoem citas"/>
    <w:basedOn w:val="Normal"/>
    <w:qFormat/>
    <w:rsid w:val="00373CCC"/>
    <w:pPr>
      <w:spacing w:before="240" w:line="360" w:lineRule="auto"/>
      <w:ind w:left="851" w:right="851"/>
      <w:jc w:val="both"/>
    </w:pPr>
    <w:rPr>
      <w:rFonts w:ascii="Palatino Linotype" w:hAnsi="Palatino Linotype"/>
      <w:i/>
    </w:rPr>
  </w:style>
  <w:style w:type="paragraph" w:customStyle="1" w:styleId="INFOEM">
    <w:name w:val="INFOEM"/>
    <w:basedOn w:val="Normal"/>
    <w:qFormat/>
    <w:rsid w:val="00373CCC"/>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73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373CCC"/>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73C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73CCC"/>
    <w:rPr>
      <w:sz w:val="20"/>
      <w:szCs w:val="20"/>
    </w:rPr>
  </w:style>
  <w:style w:type="character" w:styleId="Textoennegrita">
    <w:name w:val="Strong"/>
    <w:uiPriority w:val="22"/>
    <w:qFormat/>
    <w:rsid w:val="00373CCC"/>
    <w:rPr>
      <w:b/>
      <w:bCs/>
    </w:rPr>
  </w:style>
  <w:style w:type="table" w:styleId="Tablaconcuadrcula">
    <w:name w:val="Table Grid"/>
    <w:basedOn w:val="Tablanormal"/>
    <w:uiPriority w:val="39"/>
    <w:rsid w:val="00373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CCC"/>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rsid w:val="00373CCC"/>
  </w:style>
  <w:style w:type="paragraph" w:styleId="Textosinformato">
    <w:name w:val="Plain Text"/>
    <w:basedOn w:val="Normal"/>
    <w:link w:val="TextosinformatoCar"/>
    <w:rsid w:val="00373CC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73CCC"/>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semiHidden/>
    <w:unhideWhenUsed/>
    <w:rsid w:val="00373CCC"/>
    <w:rPr>
      <w:color w:val="954F72" w:themeColor="followedHyperlink"/>
      <w:u w:val="single"/>
    </w:rPr>
  </w:style>
  <w:style w:type="character" w:styleId="Refdecomentario">
    <w:name w:val="annotation reference"/>
    <w:basedOn w:val="Fuentedeprrafopredeter"/>
    <w:uiPriority w:val="99"/>
    <w:semiHidden/>
    <w:unhideWhenUsed/>
    <w:rsid w:val="00373CCC"/>
    <w:rPr>
      <w:sz w:val="16"/>
      <w:szCs w:val="16"/>
    </w:rPr>
  </w:style>
  <w:style w:type="paragraph" w:styleId="Textocomentario">
    <w:name w:val="annotation text"/>
    <w:basedOn w:val="Normal"/>
    <w:link w:val="TextocomentarioCar"/>
    <w:uiPriority w:val="99"/>
    <w:semiHidden/>
    <w:unhideWhenUsed/>
    <w:rsid w:val="00373C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3CCC"/>
    <w:rPr>
      <w:sz w:val="20"/>
      <w:szCs w:val="20"/>
    </w:rPr>
  </w:style>
  <w:style w:type="paragraph" w:styleId="Asuntodelcomentario">
    <w:name w:val="annotation subject"/>
    <w:basedOn w:val="Textocomentario"/>
    <w:next w:val="Textocomentario"/>
    <w:link w:val="AsuntodelcomentarioCar"/>
    <w:uiPriority w:val="99"/>
    <w:semiHidden/>
    <w:unhideWhenUsed/>
    <w:rsid w:val="00373CCC"/>
    <w:rPr>
      <w:b/>
      <w:bCs/>
    </w:rPr>
  </w:style>
  <w:style w:type="character" w:customStyle="1" w:styleId="AsuntodelcomentarioCar">
    <w:name w:val="Asunto del comentario Car"/>
    <w:basedOn w:val="TextocomentarioCar"/>
    <w:link w:val="Asuntodelcomentario"/>
    <w:uiPriority w:val="99"/>
    <w:semiHidden/>
    <w:rsid w:val="00373CCC"/>
    <w:rPr>
      <w:b/>
      <w:bCs/>
      <w:sz w:val="20"/>
      <w:szCs w:val="20"/>
    </w:rPr>
  </w:style>
  <w:style w:type="paragraph" w:styleId="Textodeglobo">
    <w:name w:val="Balloon Text"/>
    <w:basedOn w:val="Normal"/>
    <w:link w:val="TextodegloboCar"/>
    <w:uiPriority w:val="99"/>
    <w:semiHidden/>
    <w:unhideWhenUsed/>
    <w:rsid w:val="00373C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3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32</Pages>
  <Words>7018</Words>
  <Characters>38602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11</cp:revision>
  <dcterms:created xsi:type="dcterms:W3CDTF">2024-09-10T00:00:00Z</dcterms:created>
  <dcterms:modified xsi:type="dcterms:W3CDTF">2024-10-03T17:11:00Z</dcterms:modified>
</cp:coreProperties>
</file>