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DC4A0" w14:textId="77777777" w:rsidR="003D2761" w:rsidRDefault="003D2761">
      <w:pPr>
        <w:widowControl w:val="0"/>
        <w:pBdr>
          <w:top w:val="nil"/>
          <w:left w:val="nil"/>
          <w:bottom w:val="nil"/>
          <w:right w:val="nil"/>
          <w:between w:val="nil"/>
        </w:pBdr>
        <w:spacing w:line="276" w:lineRule="auto"/>
      </w:pPr>
      <w:bookmarkStart w:id="0" w:name="_GoBack"/>
      <w:bookmarkEnd w:id="0"/>
    </w:p>
    <w:p w14:paraId="002DC4A1" w14:textId="77777777" w:rsidR="003D2761" w:rsidRDefault="003D2761">
      <w:pPr>
        <w:widowControl w:val="0"/>
        <w:pBdr>
          <w:top w:val="nil"/>
          <w:left w:val="nil"/>
          <w:bottom w:val="nil"/>
          <w:right w:val="nil"/>
          <w:between w:val="nil"/>
        </w:pBdr>
        <w:spacing w:line="276" w:lineRule="auto"/>
      </w:pPr>
    </w:p>
    <w:p w14:paraId="002DC4A2" w14:textId="77777777" w:rsidR="003D2761" w:rsidRDefault="009349B2">
      <w:pPr>
        <w:tabs>
          <w:tab w:val="left" w:pos="3465"/>
        </w:tabs>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once (11) de septiembre de dos mil veinticuatro.</w:t>
      </w:r>
    </w:p>
    <w:p w14:paraId="002DC4A3" w14:textId="77777777" w:rsidR="003D2761" w:rsidRDefault="003D2761">
      <w:pPr>
        <w:tabs>
          <w:tab w:val="left" w:pos="3465"/>
        </w:tabs>
        <w:spacing w:line="360" w:lineRule="auto"/>
        <w:ind w:right="-787"/>
        <w:jc w:val="both"/>
        <w:rPr>
          <w:rFonts w:ascii="Palatino Linotype" w:eastAsia="Palatino Linotype" w:hAnsi="Palatino Linotype" w:cs="Palatino Linotype"/>
        </w:rPr>
      </w:pPr>
    </w:p>
    <w:p w14:paraId="002DC4A5" w14:textId="64A84F81" w:rsidR="003D2761" w:rsidRPr="00B84DFE" w:rsidRDefault="009349B2">
      <w:pPr>
        <w:spacing w:line="360" w:lineRule="auto"/>
        <w:ind w:right="-787"/>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05638/INFOEM/IP/RR/2023, </w:t>
      </w:r>
      <w:r>
        <w:rPr>
          <w:rFonts w:ascii="Palatino Linotype" w:eastAsia="Palatino Linotype" w:hAnsi="Palatino Linotype" w:cs="Palatino Linotype"/>
        </w:rPr>
        <w:t xml:space="preserve">promovido </w:t>
      </w:r>
      <w:r>
        <w:rPr>
          <w:rFonts w:ascii="Palatino Linotype" w:eastAsia="Palatino Linotype" w:hAnsi="Palatino Linotype" w:cs="Palatino Linotype"/>
          <w:b/>
        </w:rPr>
        <w:t>por una persona que no proporcionada datos de identificación.</w:t>
      </w:r>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002DC4A6" w14:textId="77777777" w:rsidR="003D2761" w:rsidRDefault="003D2761">
      <w:pPr>
        <w:spacing w:line="360" w:lineRule="auto"/>
        <w:ind w:right="-787"/>
        <w:jc w:val="both"/>
        <w:rPr>
          <w:rFonts w:ascii="Palatino Linotype" w:eastAsia="Palatino Linotype" w:hAnsi="Palatino Linotype" w:cs="Palatino Linotype"/>
          <w:b/>
        </w:rPr>
      </w:pPr>
    </w:p>
    <w:p w14:paraId="002DC4A7" w14:textId="77777777" w:rsidR="003D2761" w:rsidRDefault="009349B2">
      <w:pPr>
        <w:pStyle w:val="Ttulo1"/>
        <w:spacing w:before="0" w:line="360" w:lineRule="auto"/>
        <w:ind w:right="-787"/>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A N T E C E D E N T E S</w:t>
      </w:r>
    </w:p>
    <w:p w14:paraId="002DC4A8" w14:textId="77777777" w:rsidR="003D2761" w:rsidRDefault="003D2761">
      <w:pPr>
        <w:ind w:right="-787"/>
      </w:pPr>
    </w:p>
    <w:p w14:paraId="002DC4A9" w14:textId="77777777" w:rsidR="003D2761" w:rsidRDefault="009349B2">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día </w:t>
      </w:r>
      <w:r>
        <w:rPr>
          <w:rFonts w:ascii="Palatino Linotype" w:eastAsia="Palatino Linotype" w:hAnsi="Palatino Linotype" w:cs="Palatino Linotype"/>
          <w:b/>
          <w:color w:val="000000"/>
        </w:rPr>
        <w:t>dieciséis de agosto de dos mil veintitrés</w:t>
      </w:r>
      <w:r>
        <w:rPr>
          <w:rFonts w:ascii="Palatino Linotype" w:eastAsia="Palatino Linotype" w:hAnsi="Palatino Linotype" w:cs="Palatino Linotype"/>
          <w:color w:val="000000"/>
        </w:rPr>
        <w:t xml:space="preserve">, 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Sistema de Acceso a la Información la solicitud de información registrada con el número </w:t>
      </w:r>
      <w:r>
        <w:rPr>
          <w:rFonts w:ascii="Palatino Linotype" w:eastAsia="Palatino Linotype" w:hAnsi="Palatino Linotype" w:cs="Palatino Linotype"/>
          <w:b/>
          <w:color w:val="000000"/>
        </w:rPr>
        <w:t>01271/ZINACANT/IP/2023</w:t>
      </w:r>
      <w:r>
        <w:rPr>
          <w:rFonts w:ascii="Palatino Linotype" w:eastAsia="Palatino Linotype" w:hAnsi="Palatino Linotype" w:cs="Palatino Linotype"/>
          <w:color w:val="000000"/>
        </w:rPr>
        <w:t>; mediante la cual se solicitó la siguiente información:</w:t>
      </w:r>
    </w:p>
    <w:p w14:paraId="002DC4AA" w14:textId="77777777" w:rsidR="003D2761" w:rsidRDefault="003D2761">
      <w:pPr>
        <w:pBdr>
          <w:top w:val="nil"/>
          <w:left w:val="nil"/>
          <w:bottom w:val="nil"/>
          <w:right w:val="nil"/>
          <w:between w:val="nil"/>
        </w:pBdr>
        <w:tabs>
          <w:tab w:val="left" w:pos="0"/>
        </w:tabs>
        <w:spacing w:line="360" w:lineRule="auto"/>
        <w:ind w:left="786" w:right="-787"/>
        <w:jc w:val="both"/>
        <w:rPr>
          <w:rFonts w:ascii="Palatino Linotype" w:eastAsia="Palatino Linotype" w:hAnsi="Palatino Linotype" w:cs="Palatino Linotype"/>
        </w:rPr>
      </w:pPr>
    </w:p>
    <w:p w14:paraId="002DC4AB" w14:textId="77777777" w:rsidR="003D2761" w:rsidRDefault="009349B2">
      <w:pPr>
        <w:pBdr>
          <w:top w:val="nil"/>
          <w:left w:val="nil"/>
          <w:bottom w:val="nil"/>
          <w:right w:val="nil"/>
          <w:between w:val="nil"/>
        </w:pBdr>
        <w:ind w:left="708" w:right="204"/>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“Solicito todos los acuerdos de incumplimiento generados durante 2022 y 2023.”</w:t>
      </w:r>
    </w:p>
    <w:p w14:paraId="002DC4AC" w14:textId="77777777" w:rsidR="003D2761" w:rsidRDefault="003D2761">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14:paraId="002DC4AD" w14:textId="77777777" w:rsidR="003D2761" w:rsidRDefault="009349B2">
      <w:pPr>
        <w:numPr>
          <w:ilvl w:val="0"/>
          <w:numId w:val="1"/>
        </w:num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002DC4AE" w14:textId="77777777" w:rsidR="003D2761" w:rsidRDefault="003D2761">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14:paraId="002DC4AF" w14:textId="77777777" w:rsidR="003D2761" w:rsidRDefault="009349B2">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 xml:space="preserve">cuatro de septiembre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giró</w:t>
      </w:r>
      <w:r>
        <w:rPr>
          <w:rFonts w:ascii="Palatino Linotype" w:eastAsia="Palatino Linotype" w:hAnsi="Palatino Linotype" w:cs="Palatino Linotype"/>
          <w:color w:val="000000"/>
        </w:rPr>
        <w:t xml:space="preserve"> el requerimiento de solicitud de a la Unidad de Transparencia del Ayuntamiento de Zinacantepec. </w:t>
      </w:r>
      <w:r>
        <w:rPr>
          <w:rFonts w:ascii="Palatino Linotype" w:eastAsia="Palatino Linotype" w:hAnsi="Palatino Linotype" w:cs="Palatino Linotype"/>
          <w:b/>
          <w:color w:val="000000"/>
        </w:rPr>
        <w:t xml:space="preserve"> </w:t>
      </w:r>
    </w:p>
    <w:p w14:paraId="002DC4B0" w14:textId="77777777" w:rsidR="003D2761" w:rsidRDefault="003D2761">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002DC4B1" w14:textId="77777777" w:rsidR="003D2761" w:rsidRDefault="009349B2">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cinco de septiembre de dos mil veintitrés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emitió el acuerdo de acuerdo de prórroga para atender la solicitud de información </w:t>
      </w:r>
      <w:r>
        <w:rPr>
          <w:rFonts w:ascii="Palatino Linotype" w:eastAsia="Palatino Linotype" w:hAnsi="Palatino Linotype" w:cs="Palatino Linotype"/>
          <w:b/>
          <w:color w:val="000000"/>
        </w:rPr>
        <w:t>01271/ZINACANT/IP/2023</w:t>
      </w:r>
      <w:r>
        <w:rPr>
          <w:rFonts w:ascii="Palatino Linotype" w:eastAsia="Palatino Linotype" w:hAnsi="Palatino Linotype" w:cs="Palatino Linotype"/>
          <w:color w:val="000000"/>
        </w:rPr>
        <w:t xml:space="preserve">. </w:t>
      </w:r>
    </w:p>
    <w:p w14:paraId="002DC4B2"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4B3" w14:textId="77777777" w:rsidR="003D2761" w:rsidRDefault="009349B2">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color w:val="000000"/>
        </w:rPr>
        <w:t>siete de septiembre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mediante un archivo electrónico en formato PDF, cuyo contenido a grosso modo es el siguiente: </w:t>
      </w:r>
    </w:p>
    <w:p w14:paraId="002DC4B4" w14:textId="77777777" w:rsidR="003D2761" w:rsidRDefault="009349B2">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1271.pdf:</w:t>
      </w:r>
      <w:r>
        <w:rPr>
          <w:rFonts w:ascii="Palatino Linotype" w:eastAsia="Palatino Linotype" w:hAnsi="Palatino Linotype" w:cs="Palatino Linotype"/>
          <w:i/>
          <w:color w:val="000000"/>
          <w:sz w:val="22"/>
          <w:szCs w:val="22"/>
        </w:rPr>
        <w:t xml:space="preserve"> oficio de la Titular de la Unidad de Transparencia mediante el cual informa que la entrega de la información implica procesamiento y que sobrepasa las capacidades técnicas, administrativas y humanas, situación por la cual no se entrega la información solicitada pero se pone a disposición por medio de consulta directa, situación de la cual la Titular de la Unidad de Transparencia informa la ubicación de las oficinas y el horario de atención. </w:t>
      </w:r>
    </w:p>
    <w:p w14:paraId="002DC4B5" w14:textId="77777777" w:rsidR="003D2761" w:rsidRDefault="003D2761">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p>
    <w:p w14:paraId="002DC4B6" w14:textId="77777777" w:rsidR="003D2761" w:rsidRDefault="009349B2">
      <w:pPr>
        <w:numPr>
          <w:ilvl w:val="0"/>
          <w:numId w:val="6"/>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siete de septiembre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SOLICITANTE </w:t>
      </w:r>
      <w:r>
        <w:rPr>
          <w:rFonts w:ascii="Palatino Linotype" w:eastAsia="Palatino Linotype" w:hAnsi="Palatino Linotype" w:cs="Palatino Linotype"/>
          <w:color w:val="000000"/>
        </w:rPr>
        <w:t>interpuso el recurso de revisión en contra de la respuesta, manifestando las siguientes razones o motivos de inconformidad:</w:t>
      </w:r>
    </w:p>
    <w:p w14:paraId="002DC4B7" w14:textId="77777777" w:rsidR="003D2761" w:rsidRDefault="009349B2">
      <w:pPr>
        <w:numPr>
          <w:ilvl w:val="0"/>
          <w:numId w:val="1"/>
        </w:numPr>
        <w:pBdr>
          <w:top w:val="nil"/>
          <w:left w:val="nil"/>
          <w:bottom w:val="nil"/>
          <w:right w:val="nil"/>
          <w:between w:val="nil"/>
        </w:pBdr>
        <w:ind w:left="566" w:right="-220" w:firstLine="0"/>
        <w:jc w:val="both"/>
        <w:rPr>
          <w:rFonts w:ascii="Palatino Linotype" w:eastAsia="Palatino Linotype" w:hAnsi="Palatino Linotype" w:cs="Palatino Linotype"/>
          <w:i/>
          <w:color w:val="000000"/>
          <w:sz w:val="22"/>
          <w:szCs w:val="22"/>
        </w:rPr>
      </w:pPr>
      <w:bookmarkStart w:id="1" w:name="_heading=h.1fob9te"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“NO ENTREGA INFORMACIÓN”</w:t>
      </w:r>
    </w:p>
    <w:p w14:paraId="002DC4B8" w14:textId="77777777" w:rsidR="003D2761" w:rsidRDefault="003D2761">
      <w:pPr>
        <w:pBdr>
          <w:top w:val="nil"/>
          <w:left w:val="nil"/>
          <w:bottom w:val="nil"/>
          <w:right w:val="nil"/>
          <w:between w:val="nil"/>
        </w:pBdr>
        <w:ind w:left="566" w:right="-220"/>
        <w:jc w:val="both"/>
        <w:rPr>
          <w:rFonts w:ascii="Palatino Linotype" w:eastAsia="Palatino Linotype" w:hAnsi="Palatino Linotype" w:cs="Palatino Linotype"/>
          <w:i/>
          <w:color w:val="000000"/>
          <w:sz w:val="22"/>
          <w:szCs w:val="22"/>
        </w:rPr>
      </w:pPr>
    </w:p>
    <w:p w14:paraId="002DC4B9" w14:textId="77777777" w:rsidR="003D2761" w:rsidRDefault="009349B2">
      <w:pPr>
        <w:numPr>
          <w:ilvl w:val="0"/>
          <w:numId w:val="1"/>
        </w:numPr>
        <w:pBdr>
          <w:top w:val="nil"/>
          <w:left w:val="nil"/>
          <w:bottom w:val="nil"/>
          <w:right w:val="nil"/>
          <w:between w:val="nil"/>
        </w:pBdr>
        <w:ind w:left="566" w:right="-220" w:firstLine="0"/>
        <w:jc w:val="both"/>
        <w:rPr>
          <w:rFonts w:ascii="Palatino Linotype" w:eastAsia="Palatino Linotype" w:hAnsi="Palatino Linotype" w:cs="Palatino Linotype"/>
          <w:i/>
          <w:color w:val="000000"/>
          <w:sz w:val="22"/>
          <w:szCs w:val="22"/>
        </w:rPr>
      </w:pPr>
      <w:bookmarkStart w:id="2" w:name="_heading=h.3znysh7" w:colFirst="0" w:colLast="0"/>
      <w:bookmarkEnd w:id="2"/>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“NO ENTREGA INFORMACIÓN.”</w:t>
      </w:r>
    </w:p>
    <w:p w14:paraId="002DC4BA"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002DC4BB"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Ponente con fundamento en lo dispuesto por el artículo 185 fracción II de la ley de la materia, a través del acuerdo de admisión de fecha</w:t>
      </w:r>
      <w:r>
        <w:rPr>
          <w:rFonts w:ascii="Palatino Linotype" w:eastAsia="Palatino Linotype" w:hAnsi="Palatino Linotype" w:cs="Palatino Linotype"/>
          <w:b/>
          <w:color w:val="000000"/>
        </w:rPr>
        <w:t xml:space="preserve"> once se septiembre de dos mil veintitrés</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w:t>
      </w:r>
      <w:r>
        <w:rPr>
          <w:rFonts w:ascii="Palatino Linotype" w:eastAsia="Palatino Linotype" w:hAnsi="Palatino Linotype" w:cs="Palatino Linotype"/>
          <w:color w:val="000000"/>
        </w:rPr>
        <w:lastRenderedPageBreak/>
        <w:t xml:space="preserve">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002DC4BC"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02DC4BD"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el </w:t>
      </w:r>
      <w:r>
        <w:rPr>
          <w:rFonts w:ascii="Palatino Linotype" w:eastAsia="Palatino Linotype" w:hAnsi="Palatino Linotype" w:cs="Palatino Linotype"/>
          <w:b/>
          <w:color w:val="000000"/>
        </w:rPr>
        <w:t xml:space="preserve">SUJETO OBLIGADO y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rPr>
        <w:t xml:space="preserve">dejaron </w:t>
      </w:r>
      <w:r>
        <w:rPr>
          <w:rFonts w:ascii="Palatino Linotype" w:eastAsia="Palatino Linotype" w:hAnsi="Palatino Linotype" w:cs="Palatino Linotype"/>
          <w:color w:val="000000"/>
        </w:rPr>
        <w:t xml:space="preserve">de realizar manifestaciones que a su derecho conviniera y asistiera, respectivamente, tal y como se muestra en la siguiente captura de pantalla. </w:t>
      </w:r>
    </w:p>
    <w:p w14:paraId="002DC4BE"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4BF" w14:textId="77777777" w:rsidR="003D2761" w:rsidRDefault="009349B2">
      <w:pPr>
        <w:pBdr>
          <w:top w:val="nil"/>
          <w:left w:val="nil"/>
          <w:bottom w:val="nil"/>
          <w:right w:val="nil"/>
          <w:between w:val="nil"/>
        </w:pBdr>
        <w:spacing w:line="360" w:lineRule="auto"/>
        <w:ind w:right="-78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02DC5C5" wp14:editId="002DC5C6">
            <wp:extent cx="4789817" cy="102755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89817" cy="1027551"/>
                    </a:xfrm>
                    <a:prstGeom prst="rect">
                      <a:avLst/>
                    </a:prstGeom>
                    <a:ln/>
                  </pic:spPr>
                </pic:pic>
              </a:graphicData>
            </a:graphic>
          </wp:inline>
        </w:drawing>
      </w:r>
    </w:p>
    <w:p w14:paraId="002DC4C0"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En fecha</w:t>
      </w:r>
      <w:r>
        <w:rPr>
          <w:rFonts w:ascii="Palatino Linotype" w:eastAsia="Palatino Linotype" w:hAnsi="Palatino Linotype" w:cs="Palatino Linotype"/>
          <w:b/>
          <w:color w:val="000000"/>
        </w:rPr>
        <w:t xml:space="preserve"> catorce de marzo de dos mil veinticuatro</w:t>
      </w:r>
      <w:r>
        <w:rPr>
          <w:rFonts w:ascii="Palatino Linotype" w:eastAsia="Palatino Linotype" w:hAnsi="Palatino Linotype" w:cs="Palatino Linotype"/>
          <w:color w:val="000000"/>
        </w:rPr>
        <w:t>, se amplió el término para resolver; al respecto es menester realizar las siguientes precisiones.</w:t>
      </w:r>
    </w:p>
    <w:p w14:paraId="002DC4C1"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002DC4C2"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02DC4C3"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02DC4C4"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w:t>
      </w:r>
      <w:r>
        <w:rPr>
          <w:rFonts w:ascii="Palatino Linotype" w:eastAsia="Palatino Linotype" w:hAnsi="Palatino Linotype" w:cs="Palatino Linotype"/>
          <w:color w:val="000000"/>
        </w:rPr>
        <w:lastRenderedPageBreak/>
        <w:t>por diversos órganos jurisdiccionales federales, aplicables también en procedimientos análogos, como el que nos ocupa.</w:t>
      </w:r>
    </w:p>
    <w:p w14:paraId="002DC4C5" w14:textId="77777777" w:rsidR="003D2761" w:rsidRDefault="003D276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02DC4C6"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2DC4C7" w14:textId="77777777" w:rsidR="003D2761" w:rsidRDefault="003D276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02DC4C8"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2DC4C9" w14:textId="77777777" w:rsidR="003D2761" w:rsidRDefault="003D276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02DC4CA"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002DC4CB" w14:textId="77777777" w:rsidR="003D2761" w:rsidRDefault="009349B2">
      <w:pPr>
        <w:numPr>
          <w:ilvl w:val="0"/>
          <w:numId w:val="4"/>
        </w:numPr>
        <w:pBdr>
          <w:top w:val="nil"/>
          <w:left w:val="nil"/>
          <w:bottom w:val="nil"/>
          <w:right w:val="nil"/>
          <w:between w:val="nil"/>
        </w:pBdr>
        <w:spacing w:line="360" w:lineRule="auto"/>
        <w:ind w:left="566"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002DC4CC" w14:textId="77777777" w:rsidR="003D2761" w:rsidRDefault="009349B2">
      <w:pPr>
        <w:numPr>
          <w:ilvl w:val="0"/>
          <w:numId w:val="4"/>
        </w:numPr>
        <w:pBdr>
          <w:top w:val="nil"/>
          <w:left w:val="nil"/>
          <w:bottom w:val="nil"/>
          <w:right w:val="nil"/>
          <w:between w:val="nil"/>
        </w:pBdr>
        <w:spacing w:line="360" w:lineRule="auto"/>
        <w:ind w:left="566"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002DC4CD" w14:textId="77777777" w:rsidR="003D2761" w:rsidRDefault="009349B2">
      <w:pPr>
        <w:numPr>
          <w:ilvl w:val="0"/>
          <w:numId w:val="4"/>
        </w:numPr>
        <w:pBdr>
          <w:top w:val="nil"/>
          <w:left w:val="nil"/>
          <w:bottom w:val="nil"/>
          <w:right w:val="nil"/>
          <w:between w:val="nil"/>
        </w:pBdr>
        <w:spacing w:line="360" w:lineRule="auto"/>
        <w:ind w:left="566" w:right="-22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002DC4CE" w14:textId="77777777" w:rsidR="003D2761" w:rsidRDefault="009349B2">
      <w:pPr>
        <w:spacing w:line="360" w:lineRule="auto"/>
        <w:ind w:left="566" w:right="-220" w:hanging="36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02DC4CF" w14:textId="77777777" w:rsidR="003D2761" w:rsidRDefault="003D2761">
      <w:pPr>
        <w:spacing w:line="360" w:lineRule="auto"/>
        <w:ind w:left="851" w:right="-787" w:hanging="284"/>
        <w:jc w:val="both"/>
        <w:rPr>
          <w:rFonts w:ascii="Palatino Linotype" w:eastAsia="Palatino Linotype" w:hAnsi="Palatino Linotype" w:cs="Palatino Linotype"/>
        </w:rPr>
      </w:pPr>
    </w:p>
    <w:p w14:paraId="002DC4D0"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2DC4D1"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02DC4D2"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002DC4D3" w14:textId="77777777" w:rsidR="003D2761" w:rsidRDefault="003D2761">
      <w:pPr>
        <w:spacing w:line="360" w:lineRule="auto"/>
        <w:ind w:right="-787"/>
        <w:jc w:val="both"/>
        <w:rPr>
          <w:rFonts w:ascii="Palatino Linotype" w:eastAsia="Palatino Linotype" w:hAnsi="Palatino Linotype" w:cs="Palatino Linotype"/>
        </w:rPr>
      </w:pPr>
    </w:p>
    <w:p w14:paraId="002DC4D4"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2DC4D5" w14:textId="77777777" w:rsidR="003D2761" w:rsidRDefault="003D276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02DC4D6"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ello, este organismo garante comprometido con la tutela de los derechos humanos confiados, señala que este exceso del plazo legal para resolver el presente asunto, resulta de carácter excepcional.</w:t>
      </w:r>
    </w:p>
    <w:p w14:paraId="002DC4D7" w14:textId="77777777" w:rsidR="003D2761" w:rsidRDefault="003D2761">
      <w:pPr>
        <w:spacing w:line="360" w:lineRule="auto"/>
        <w:ind w:right="-787"/>
        <w:jc w:val="both"/>
        <w:rPr>
          <w:rFonts w:ascii="Palatino Linotype" w:eastAsia="Palatino Linotype" w:hAnsi="Palatino Linotype" w:cs="Palatino Linotype"/>
        </w:rPr>
      </w:pPr>
    </w:p>
    <w:p w14:paraId="002DC4D8"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002DC4D9" w14:textId="77777777" w:rsidR="003D2761" w:rsidRDefault="009349B2">
      <w:pPr>
        <w:spacing w:line="360" w:lineRule="auto"/>
        <w:ind w:left="425" w:right="-220"/>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002DC4DA" w14:textId="77777777" w:rsidR="003D2761" w:rsidRDefault="003D2761">
      <w:pPr>
        <w:spacing w:line="360" w:lineRule="auto"/>
        <w:ind w:left="425" w:right="-220"/>
        <w:jc w:val="both"/>
        <w:rPr>
          <w:rFonts w:ascii="Palatino Linotype" w:eastAsia="Palatino Linotype" w:hAnsi="Palatino Linotype" w:cs="Palatino Linotype"/>
          <w:b/>
        </w:rPr>
      </w:pPr>
    </w:p>
    <w:p w14:paraId="002DC4DB" w14:textId="77777777" w:rsidR="003D2761" w:rsidRDefault="009349B2">
      <w:pPr>
        <w:spacing w:line="360" w:lineRule="auto"/>
        <w:ind w:left="425" w:right="-220"/>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002DC4DC" w14:textId="77777777" w:rsidR="003D2761" w:rsidRDefault="003D2761">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002DC4DD"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3" w:name="_heading=h.2et92p0" w:colFirst="0" w:colLast="0"/>
      <w:bookmarkEnd w:id="3"/>
      <w:r>
        <w:rPr>
          <w:rFonts w:ascii="Palatino Linotype" w:eastAsia="Palatino Linotype" w:hAnsi="Palatino Linotype" w:cs="Palatino Linotype"/>
          <w:color w:val="000000"/>
        </w:rPr>
        <w:t>Seguidamente, mediante acuerdo de fecha cuatro de septiembre de dos mil veinticuatro se decretó el cierre de instrucción, por lo que no habiendo más que hacer constar, y----</w:t>
      </w:r>
      <w:r>
        <w:rPr>
          <w:rFonts w:ascii="Palatino Linotype" w:eastAsia="Palatino Linotype" w:hAnsi="Palatino Linotype" w:cs="Palatino Linotype"/>
        </w:rPr>
        <w:t>-------------------------------------------------------------------------------------------------------</w:t>
      </w:r>
    </w:p>
    <w:p w14:paraId="002DC4DE" w14:textId="77777777" w:rsidR="003D2761" w:rsidRDefault="003D2761">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002DC4DF" w14:textId="77777777" w:rsidR="003D2761" w:rsidRDefault="009349B2">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002DC4E0" w14:textId="77777777" w:rsidR="003D2761" w:rsidRDefault="003D2761">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002DC4E1" w14:textId="77777777" w:rsidR="003D2761" w:rsidRDefault="009349B2">
      <w:pPr>
        <w:pStyle w:val="Ttulo2"/>
        <w:spacing w:before="0" w:line="360" w:lineRule="auto"/>
        <w:ind w:right="-787"/>
        <w:rPr>
          <w:rFonts w:ascii="Palatino Linotype" w:eastAsia="Palatino Linotype" w:hAnsi="Palatino Linotype" w:cs="Palatino Linotype"/>
          <w:b/>
          <w:color w:val="000000"/>
          <w:sz w:val="24"/>
          <w:szCs w:val="24"/>
        </w:rPr>
      </w:pPr>
      <w:bookmarkStart w:id="4" w:name="_heading=h.tyjcwt" w:colFirst="0" w:colLast="0"/>
      <w:bookmarkEnd w:id="4"/>
      <w:r>
        <w:rPr>
          <w:rFonts w:ascii="Palatino Linotype" w:eastAsia="Palatino Linotype" w:hAnsi="Palatino Linotype" w:cs="Palatino Linotype"/>
          <w:b/>
          <w:color w:val="000000"/>
          <w:sz w:val="24"/>
          <w:szCs w:val="24"/>
        </w:rPr>
        <w:lastRenderedPageBreak/>
        <w:t>PRIMERO. De la competencia</w:t>
      </w:r>
    </w:p>
    <w:p w14:paraId="002DC4E2"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02DC4E3"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002DC4E4" w14:textId="77777777" w:rsidR="003D2761" w:rsidRDefault="009349B2">
      <w:pPr>
        <w:pStyle w:val="Ttulo2"/>
        <w:spacing w:before="0" w:line="360" w:lineRule="auto"/>
        <w:ind w:right="-787"/>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t>SEGUNDO. De la oportunidad y procedencia.</w:t>
      </w:r>
    </w:p>
    <w:p w14:paraId="002DC4E5"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medio de impugnación fue presentado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su respuesta el </w:t>
      </w:r>
      <w:r>
        <w:rPr>
          <w:rFonts w:ascii="Palatino Linotype" w:eastAsia="Palatino Linotype" w:hAnsi="Palatino Linotype" w:cs="Palatino Linotype"/>
          <w:b/>
          <w:color w:val="000000"/>
        </w:rPr>
        <w:t>siete de septiembre de dos mil veintitrés</w:t>
      </w:r>
      <w:r>
        <w:rPr>
          <w:rFonts w:ascii="Palatino Linotype" w:eastAsia="Palatino Linotype" w:hAnsi="Palatino Linotype" w:cs="Palatino Linotype"/>
          <w:color w:val="000000"/>
        </w:rPr>
        <w:t xml:space="preserve">, de tal forma que el plazo para interponer el recurso de revisión transcurrió del día </w:t>
      </w:r>
      <w:r>
        <w:rPr>
          <w:rFonts w:ascii="Palatino Linotype" w:eastAsia="Palatino Linotype" w:hAnsi="Palatino Linotype" w:cs="Palatino Linotype"/>
          <w:b/>
          <w:color w:val="000000"/>
        </w:rPr>
        <w:t>ocho al veintiocho de septiembre de mil veintitrés</w:t>
      </w:r>
      <w:r>
        <w:rPr>
          <w:rFonts w:ascii="Palatino Linotype" w:eastAsia="Palatino Linotype" w:hAnsi="Palatino Linotype" w:cs="Palatino Linotype"/>
          <w:color w:val="000000"/>
        </w:rPr>
        <w:t xml:space="preserve">; en consecuencia, el ahora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presentó su inconformidad el día </w:t>
      </w:r>
      <w:r>
        <w:rPr>
          <w:rFonts w:ascii="Palatino Linotype" w:eastAsia="Palatino Linotype" w:hAnsi="Palatino Linotype" w:cs="Palatino Linotype"/>
          <w:b/>
          <w:color w:val="000000"/>
        </w:rPr>
        <w:t>siete de septiembre de dos mil veintitrés</w:t>
      </w:r>
      <w:r>
        <w:rPr>
          <w:rFonts w:ascii="Palatino Linotype" w:eastAsia="Palatino Linotype" w:hAnsi="Palatino Linotype" w:cs="Palatino Linotype"/>
          <w:color w:val="000000"/>
        </w:rPr>
        <w:t>; por lo que se estima que la inconformidad se presentó dentro del lapso legalmente establecido para tal efecto.</w:t>
      </w:r>
    </w:p>
    <w:p w14:paraId="002DC4E6" w14:textId="77777777" w:rsidR="003D2761" w:rsidRDefault="003D2761">
      <w:pPr>
        <w:ind w:right="-787"/>
        <w:rPr>
          <w:rFonts w:ascii="Palatino Linotype" w:eastAsia="Palatino Linotype" w:hAnsi="Palatino Linotype" w:cs="Palatino Linotype"/>
          <w:i/>
        </w:rPr>
      </w:pPr>
    </w:p>
    <w:p w14:paraId="002DC4E7"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555555"/>
        </w:rPr>
      </w:pPr>
      <w:r>
        <w:rPr>
          <w:rFonts w:ascii="Palatino Linotype" w:eastAsia="Palatino Linotype" w:hAnsi="Palatino Linotype" w:cs="Palatino Linotype"/>
        </w:rPr>
        <w:t xml:space="preserve">Al respecto </w:t>
      </w:r>
      <w:r>
        <w:rPr>
          <w:rFonts w:ascii="Palatino Linotype" w:eastAsia="Palatino Linotype" w:hAnsi="Palatino Linotype" w:cs="Palatino Linotype"/>
          <w:color w:val="000000"/>
        </w:rPr>
        <w:t xml:space="preserve">resulta necesario precisar que cuando el medio de impugnación, se haya interpuesto antes que inicie el término para tal efecto, resulta insuficiente para tener por extemporáneo el recurso de revisión de mérito, toda vez que el precepto legal citado, sólo </w:t>
      </w:r>
      <w:r>
        <w:rPr>
          <w:rFonts w:ascii="Palatino Linotype" w:eastAsia="Palatino Linotype" w:hAnsi="Palatino Linotype" w:cs="Palatino Linotype"/>
          <w:color w:val="000000"/>
        </w:rPr>
        <w:lastRenderedPageBreak/>
        <w:t>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002DC4E8" w14:textId="77777777" w:rsidR="003D2761" w:rsidRDefault="003D2761">
      <w:pPr>
        <w:spacing w:line="360" w:lineRule="auto"/>
        <w:ind w:left="360" w:right="-787" w:hanging="360"/>
        <w:rPr>
          <w:rFonts w:ascii="Palatino Linotype" w:eastAsia="Palatino Linotype" w:hAnsi="Palatino Linotype" w:cs="Palatino Linotype"/>
        </w:rPr>
      </w:pPr>
    </w:p>
    <w:p w14:paraId="002DC4E9"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555555"/>
        </w:rPr>
      </w:pPr>
      <w:r>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02DC4EA"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555555"/>
        </w:rPr>
      </w:pPr>
    </w:p>
    <w:p w14:paraId="002DC4EB"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“RECURSO DE RECLAMACIÓN. SU INTERPOSICIÓN NO ES EXTEMPORÁNEA SI SE REALIZA ANTES DE QUE INICIE EL PLAZO PARA HACERLO</w:t>
      </w:r>
      <w:r>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02DC4EC" w14:textId="77777777" w:rsidR="003D2761" w:rsidRDefault="003D2761">
      <w:pPr>
        <w:spacing w:line="360" w:lineRule="auto"/>
        <w:ind w:left="426" w:right="-787"/>
        <w:jc w:val="both"/>
        <w:rPr>
          <w:rFonts w:ascii="Palatino Linotype" w:eastAsia="Palatino Linotype" w:hAnsi="Palatino Linotype" w:cs="Palatino Linotype"/>
          <w:i/>
        </w:rPr>
      </w:pPr>
    </w:p>
    <w:p w14:paraId="002DC4ED"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así porque en primer lugar es necesario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Pr>
          <w:rFonts w:ascii="Palatino Linotype" w:eastAsia="Palatino Linotype" w:hAnsi="Palatino Linotype" w:cs="Palatino Linotype"/>
          <w:b/>
        </w:rPr>
        <w:t>notificada EL RECURRENTE</w:t>
      </w:r>
      <w:r>
        <w:rPr>
          <w:rFonts w:ascii="Palatino Linotype" w:eastAsia="Palatino Linotype" w:hAnsi="Palatino Linotype" w:cs="Palatino Linotype"/>
        </w:rPr>
        <w:t xml:space="preserve"> actúe, ya que al contrario lo que demuestra </w:t>
      </w:r>
      <w:r>
        <w:rPr>
          <w:rFonts w:ascii="Palatino Linotype" w:eastAsia="Palatino Linotype" w:hAnsi="Palatino Linotype" w:cs="Palatino Linotype"/>
        </w:rPr>
        <w:lastRenderedPageBreak/>
        <w:t>es el interés del mismo para ejercer su derecho bajo el principio constitucional de justicia expedita.</w:t>
      </w:r>
    </w:p>
    <w:p w14:paraId="002DC4EE" w14:textId="77777777" w:rsidR="003D2761" w:rsidRDefault="003D2761">
      <w:pPr>
        <w:tabs>
          <w:tab w:val="left" w:pos="0"/>
        </w:tabs>
        <w:spacing w:line="360" w:lineRule="auto"/>
        <w:ind w:left="360" w:right="-787" w:hanging="360"/>
        <w:jc w:val="both"/>
        <w:rPr>
          <w:rFonts w:ascii="Palatino Linotype" w:eastAsia="Palatino Linotype" w:hAnsi="Palatino Linotype" w:cs="Palatino Linotype"/>
          <w:i/>
        </w:rPr>
      </w:pPr>
    </w:p>
    <w:p w14:paraId="002DC4EF"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02DC4F0" w14:textId="77777777" w:rsidR="003D2761" w:rsidRDefault="003D2761">
      <w:pPr>
        <w:spacing w:line="360" w:lineRule="auto"/>
        <w:ind w:left="360" w:right="-787" w:hanging="360"/>
        <w:rPr>
          <w:rFonts w:ascii="Palatino Linotype" w:eastAsia="Palatino Linotype" w:hAnsi="Palatino Linotype" w:cs="Palatino Linotype"/>
        </w:rPr>
      </w:pPr>
    </w:p>
    <w:p w14:paraId="002DC4F1"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Pr>
          <w:rFonts w:ascii="Palatino Linotype" w:eastAsia="Palatino Linotype" w:hAnsi="Palatino Linotype" w:cs="Palatino Linotype"/>
          <w:b/>
        </w:rPr>
        <w:t>SUJETO OBLIGADO.</w:t>
      </w:r>
    </w:p>
    <w:p w14:paraId="002DC4F2" w14:textId="77777777" w:rsidR="003D2761" w:rsidRDefault="003D2761">
      <w:pPr>
        <w:pBdr>
          <w:top w:val="nil"/>
          <w:left w:val="nil"/>
          <w:bottom w:val="nil"/>
          <w:right w:val="nil"/>
          <w:between w:val="nil"/>
        </w:pBdr>
        <w:ind w:left="720" w:right="-787"/>
        <w:rPr>
          <w:rFonts w:ascii="Palatino Linotype" w:eastAsia="Palatino Linotype" w:hAnsi="Palatino Linotype" w:cs="Palatino Linotype"/>
          <w:color w:val="000000"/>
        </w:rPr>
      </w:pPr>
    </w:p>
    <w:p w14:paraId="002DC4F3"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02DC4F4"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02DC4F5" w14:textId="77777777" w:rsidR="003D2761" w:rsidRDefault="009349B2">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14:paraId="002DC4F6" w14:textId="77777777" w:rsidR="003D2761" w:rsidRDefault="003D2761">
      <w:pPr>
        <w:ind w:right="-787"/>
        <w:jc w:val="both"/>
        <w:rPr>
          <w:rFonts w:ascii="Palatino Linotype" w:eastAsia="Palatino Linotype" w:hAnsi="Palatino Linotype" w:cs="Palatino Linotype"/>
        </w:rPr>
      </w:pPr>
    </w:p>
    <w:p w14:paraId="002DC4F7"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002DC4F8" w14:textId="77777777" w:rsidR="003D2761" w:rsidRDefault="009349B2">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02DC4F9" w14:textId="77777777" w:rsidR="003D2761" w:rsidRDefault="009349B2">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Para efectos de lo dispuesto en el presente artículo se observará lo siguiente:</w:t>
      </w:r>
    </w:p>
    <w:p w14:paraId="002DC4FA" w14:textId="77777777" w:rsidR="003D2761" w:rsidRDefault="003D2761">
      <w:pPr>
        <w:ind w:left="1134" w:right="900"/>
        <w:jc w:val="both"/>
        <w:rPr>
          <w:rFonts w:ascii="Palatino Linotype" w:eastAsia="Palatino Linotype" w:hAnsi="Palatino Linotype" w:cs="Palatino Linotype"/>
          <w:i/>
        </w:rPr>
      </w:pPr>
    </w:p>
    <w:p w14:paraId="002DC4FB" w14:textId="77777777" w:rsidR="003D2761" w:rsidRDefault="009349B2">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002DC4FC" w14:textId="77777777" w:rsidR="003D2761" w:rsidRDefault="003D2761">
      <w:pPr>
        <w:ind w:left="1134" w:right="900"/>
        <w:jc w:val="both"/>
        <w:rPr>
          <w:rFonts w:ascii="Palatino Linotype" w:eastAsia="Palatino Linotype" w:hAnsi="Palatino Linotype" w:cs="Palatino Linotype"/>
          <w:i/>
        </w:rPr>
      </w:pPr>
    </w:p>
    <w:p w14:paraId="002DC4FD" w14:textId="77777777" w:rsidR="003D2761" w:rsidRDefault="009349B2">
      <w:pPr>
        <w:ind w:left="1134"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rPr>
        <w:t>(Sic)</w:t>
      </w:r>
    </w:p>
    <w:p w14:paraId="002DC4FE" w14:textId="77777777" w:rsidR="003D2761" w:rsidRDefault="003D2761">
      <w:pPr>
        <w:spacing w:line="360" w:lineRule="auto"/>
        <w:ind w:left="567" w:right="-787"/>
        <w:jc w:val="both"/>
        <w:rPr>
          <w:rFonts w:ascii="Palatino Linotype" w:eastAsia="Palatino Linotype" w:hAnsi="Palatino Linotype" w:cs="Palatino Linotype"/>
          <w:i/>
        </w:rPr>
      </w:pPr>
    </w:p>
    <w:p w14:paraId="002DC4FF"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002DC500"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002DC501"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2DC502"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002DC503"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2DC504"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002DC505"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02DC506"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002DC507"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2DC508"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002DC509" w14:textId="77777777" w:rsidR="003D2761" w:rsidRDefault="003D2761">
      <w:pPr>
        <w:spacing w:line="360" w:lineRule="auto"/>
        <w:ind w:left="426" w:right="-787"/>
        <w:jc w:val="both"/>
        <w:rPr>
          <w:rFonts w:ascii="Palatino Linotype" w:eastAsia="Palatino Linotype" w:hAnsi="Palatino Linotype" w:cs="Palatino Linotype"/>
          <w:i/>
        </w:rPr>
      </w:pPr>
    </w:p>
    <w:p w14:paraId="002DC50A"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002DC50B" w14:textId="77777777" w:rsidR="003D2761" w:rsidRDefault="003D2761">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002DC50C"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02DC50D"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002DC50E"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002DC50F" w14:textId="77777777" w:rsidR="003D2761" w:rsidRDefault="003D2761">
      <w:pPr>
        <w:ind w:left="1134" w:right="900"/>
        <w:jc w:val="both"/>
        <w:rPr>
          <w:rFonts w:ascii="Palatino Linotype" w:eastAsia="Palatino Linotype" w:hAnsi="Palatino Linotype" w:cs="Palatino Linotype"/>
          <w:i/>
        </w:rPr>
      </w:pPr>
    </w:p>
    <w:p w14:paraId="002DC510"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02DC511" w14:textId="77777777" w:rsidR="003D2761" w:rsidRDefault="003D2761">
      <w:pPr>
        <w:spacing w:line="360" w:lineRule="auto"/>
        <w:ind w:right="-787"/>
        <w:jc w:val="both"/>
        <w:rPr>
          <w:rFonts w:ascii="Palatino Linotype" w:eastAsia="Palatino Linotype" w:hAnsi="Palatino Linotype" w:cs="Palatino Linotype"/>
        </w:rPr>
      </w:pPr>
    </w:p>
    <w:p w14:paraId="002DC512"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002DC513" w14:textId="77777777" w:rsidR="003D2761" w:rsidRDefault="003D2761">
      <w:pPr>
        <w:ind w:right="-787"/>
        <w:rPr>
          <w:rFonts w:ascii="Palatino Linotype" w:eastAsia="Palatino Linotype" w:hAnsi="Palatino Linotype" w:cs="Palatino Linotype"/>
        </w:rPr>
      </w:pPr>
    </w:p>
    <w:p w14:paraId="002DC514"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02DC515" w14:textId="77777777" w:rsidR="003D2761" w:rsidRDefault="003D2761">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14:paraId="002DC516" w14:textId="77777777" w:rsidR="003D2761" w:rsidRDefault="009349B2">
      <w:pPr>
        <w:pStyle w:val="Ttulo1"/>
        <w:spacing w:before="0" w:line="360" w:lineRule="auto"/>
        <w:ind w:right="-787"/>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 xml:space="preserve">TERCERO. Del planteamiento de la </w:t>
      </w:r>
      <w:r>
        <w:rPr>
          <w:rFonts w:ascii="Palatino Linotype" w:eastAsia="Palatino Linotype" w:hAnsi="Palatino Linotype" w:cs="Palatino Linotype"/>
          <w:b/>
          <w:i/>
          <w:color w:val="000000"/>
          <w:sz w:val="24"/>
          <w:szCs w:val="24"/>
        </w:rPr>
        <w:t>Litis</w:t>
      </w:r>
      <w:r>
        <w:rPr>
          <w:rFonts w:ascii="Palatino Linotype" w:eastAsia="Palatino Linotype" w:hAnsi="Palatino Linotype" w:cs="Palatino Linotype"/>
          <w:b/>
          <w:color w:val="000000"/>
          <w:sz w:val="24"/>
          <w:szCs w:val="24"/>
        </w:rPr>
        <w:t>.</w:t>
      </w:r>
    </w:p>
    <w:p w14:paraId="002DC517" w14:textId="77777777" w:rsidR="003D2761" w:rsidRDefault="009349B2">
      <w:pPr>
        <w:numPr>
          <w:ilvl w:val="0"/>
          <w:numId w:val="6"/>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desagrega:</w:t>
      </w:r>
    </w:p>
    <w:p w14:paraId="002DC518" w14:textId="77777777" w:rsidR="003D2761" w:rsidRDefault="009349B2">
      <w:pPr>
        <w:numPr>
          <w:ilvl w:val="0"/>
          <w:numId w:val="2"/>
        </w:numPr>
        <w:pBdr>
          <w:top w:val="nil"/>
          <w:left w:val="nil"/>
          <w:bottom w:val="nil"/>
          <w:right w:val="nil"/>
          <w:between w:val="nil"/>
        </w:pBdr>
        <w:ind w:right="-78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Acuerdos de Incumplimientos generados durante el ejercicio fiscal dos mil veintidós y del uno de enero al dieciséis de agosto de dos mil veintitrés. </w:t>
      </w:r>
    </w:p>
    <w:p w14:paraId="002DC519" w14:textId="77777777" w:rsidR="003D2761" w:rsidRDefault="003D2761">
      <w:pPr>
        <w:pBdr>
          <w:top w:val="nil"/>
          <w:left w:val="nil"/>
          <w:bottom w:val="nil"/>
          <w:right w:val="nil"/>
          <w:between w:val="nil"/>
        </w:pBdr>
        <w:spacing w:line="360" w:lineRule="auto"/>
        <w:ind w:left="778" w:right="-787"/>
        <w:jc w:val="both"/>
        <w:rPr>
          <w:rFonts w:ascii="Palatino Linotype" w:eastAsia="Palatino Linotype" w:hAnsi="Palatino Linotype" w:cs="Palatino Linotype"/>
          <w:b/>
          <w:color w:val="000000"/>
        </w:rPr>
      </w:pPr>
    </w:p>
    <w:p w14:paraId="002DC51A"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un archivo en formato pdf cuyo contenido toral es el siguiente:</w:t>
      </w:r>
    </w:p>
    <w:p w14:paraId="002DC51B" w14:textId="77777777" w:rsidR="003D2761" w:rsidRDefault="009349B2">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1271.pdf:</w:t>
      </w:r>
      <w:r>
        <w:rPr>
          <w:rFonts w:ascii="Palatino Linotype" w:eastAsia="Palatino Linotype" w:hAnsi="Palatino Linotype" w:cs="Palatino Linotype"/>
          <w:i/>
          <w:color w:val="000000"/>
          <w:sz w:val="22"/>
          <w:szCs w:val="22"/>
        </w:rPr>
        <w:t xml:space="preserve"> oficio de la Titular de la Unidad de Transparencia mediante el cual informa que la entrega de la información implica procesamiento y que sobrepasa las capacidades técnicas, administrativas y humanas, situación por la cual no se entrega la información solicitada pero se pone a disposición por medio de consulta directa, situación de la cual la Titular de la Unidad de Transparencia informa la ubicación de las oficinas y el horario de atención. </w:t>
      </w:r>
    </w:p>
    <w:p w14:paraId="002DC51C" w14:textId="77777777" w:rsidR="003D2761" w:rsidRDefault="003D2761">
      <w:pPr>
        <w:tabs>
          <w:tab w:val="left" w:pos="933"/>
        </w:tabs>
        <w:spacing w:line="360" w:lineRule="auto"/>
        <w:ind w:right="-787"/>
        <w:jc w:val="both"/>
        <w:rPr>
          <w:rFonts w:ascii="Palatino Linotype" w:eastAsia="Palatino Linotype" w:hAnsi="Palatino Linotype" w:cs="Palatino Linotype"/>
        </w:rPr>
      </w:pPr>
    </w:p>
    <w:p w14:paraId="002DC51D"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a resolver en este recurso se circunscribe a determinar si se actualiza la causal de procedencia prevista en el artículo 179, </w:t>
      </w:r>
      <w:r>
        <w:rPr>
          <w:rFonts w:ascii="Palatino Linotype" w:eastAsia="Palatino Linotype" w:hAnsi="Palatino Linotype" w:cs="Palatino Linotype"/>
          <w:b/>
        </w:rPr>
        <w:t xml:space="preserve">fracción I </w:t>
      </w:r>
      <w:r>
        <w:rPr>
          <w:rFonts w:ascii="Palatino Linotype" w:eastAsia="Palatino Linotype" w:hAnsi="Palatino Linotype" w:cs="Palatino Linotype"/>
        </w:rPr>
        <w:t xml:space="preserve">de la </w:t>
      </w:r>
      <w:r>
        <w:rPr>
          <w:rFonts w:ascii="Palatino Linotype" w:eastAsia="Palatino Linotype" w:hAnsi="Palatino Linotype" w:cs="Palatino Linotype"/>
          <w:b/>
        </w:rPr>
        <w:t xml:space="preserve">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y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jurídica relativa a la negativa a la información solicitada; </w:t>
      </w:r>
      <w:r>
        <w:rPr>
          <w:rFonts w:ascii="Palatino Linotype" w:eastAsia="Palatino Linotype" w:hAnsi="Palatino Linotype" w:cs="Palatino Linotype"/>
        </w:rPr>
        <w:t xml:space="preserve">contexto del cual se dolió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al momento de interponer su inconformidad.</w:t>
      </w:r>
      <w:r>
        <w:rPr>
          <w:rFonts w:ascii="Palatino Linotype" w:eastAsia="Palatino Linotype" w:hAnsi="Palatino Linotype" w:cs="Palatino Linotype"/>
          <w:color w:val="000000"/>
        </w:rPr>
        <w:t xml:space="preserve"> De modo tal que el presente recurso de revisión se abocara en determinar si el </w:t>
      </w:r>
      <w:r>
        <w:rPr>
          <w:rFonts w:ascii="Palatino Linotype" w:eastAsia="Palatino Linotype" w:hAnsi="Palatino Linotype" w:cs="Palatino Linotype"/>
          <w:b/>
          <w:color w:val="000000"/>
        </w:rPr>
        <w:t>SUJETO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OBLIGADO</w:t>
      </w:r>
      <w:r>
        <w:rPr>
          <w:rFonts w:ascii="Palatino Linotype" w:eastAsia="Palatino Linotype" w:hAnsi="Palatino Linotype" w:cs="Palatino Linotype"/>
          <w:color w:val="000000"/>
        </w:rPr>
        <w:t xml:space="preserve">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antes señalada. </w:t>
      </w:r>
    </w:p>
    <w:p w14:paraId="002DC51E" w14:textId="77777777" w:rsidR="003D2761" w:rsidRDefault="003D2761">
      <w:pPr>
        <w:spacing w:line="360" w:lineRule="auto"/>
        <w:ind w:right="-787"/>
        <w:rPr>
          <w:rFonts w:ascii="Palatino Linotype" w:eastAsia="Palatino Linotype" w:hAnsi="Palatino Linotype" w:cs="Palatino Linotype"/>
        </w:rPr>
      </w:pPr>
    </w:p>
    <w:p w14:paraId="002DC51F" w14:textId="77777777" w:rsidR="003D2761" w:rsidRDefault="009349B2">
      <w:pPr>
        <w:pStyle w:val="Ttulo2"/>
        <w:spacing w:before="0" w:line="360" w:lineRule="auto"/>
        <w:ind w:right="-787"/>
        <w:rPr>
          <w:rFonts w:ascii="Palatino Linotype" w:eastAsia="Palatino Linotype" w:hAnsi="Palatino Linotype" w:cs="Palatino Linotype"/>
          <w:b/>
          <w:color w:val="000000"/>
          <w:sz w:val="24"/>
          <w:szCs w:val="24"/>
        </w:rPr>
      </w:pPr>
      <w:bookmarkStart w:id="7" w:name="_heading=h.4d34og8" w:colFirst="0" w:colLast="0"/>
      <w:bookmarkEnd w:id="7"/>
      <w:r>
        <w:rPr>
          <w:rFonts w:ascii="Palatino Linotype" w:eastAsia="Palatino Linotype" w:hAnsi="Palatino Linotype" w:cs="Palatino Linotype"/>
          <w:b/>
          <w:color w:val="000000"/>
          <w:sz w:val="24"/>
          <w:szCs w:val="24"/>
        </w:rPr>
        <w:lastRenderedPageBreak/>
        <w:t>CUARTO. Del estudio y resolución del asunto.</w:t>
      </w:r>
    </w:p>
    <w:p w14:paraId="002DC520" w14:textId="77777777" w:rsidR="003D2761" w:rsidRDefault="009349B2">
      <w:pPr>
        <w:pStyle w:val="Ttulo1"/>
        <w:numPr>
          <w:ilvl w:val="0"/>
          <w:numId w:val="5"/>
        </w:numPr>
        <w:spacing w:before="0" w:after="240" w:line="360" w:lineRule="auto"/>
        <w:ind w:left="786" w:right="-787" w:hanging="360"/>
        <w:rPr>
          <w:rFonts w:ascii="Palatino Linotype" w:eastAsia="Palatino Linotype" w:hAnsi="Palatino Linotype" w:cs="Palatino Linotype"/>
          <w:b/>
          <w:color w:val="000000"/>
          <w:sz w:val="24"/>
          <w:szCs w:val="24"/>
        </w:rPr>
      </w:pPr>
      <w:bookmarkStart w:id="8" w:name="_heading=h.2s8eyo1" w:colFirst="0" w:colLast="0"/>
      <w:bookmarkEnd w:id="8"/>
      <w:r>
        <w:rPr>
          <w:rFonts w:ascii="Palatino Linotype" w:eastAsia="Palatino Linotype" w:hAnsi="Palatino Linotype" w:cs="Palatino Linotype"/>
          <w:b/>
          <w:color w:val="000000"/>
          <w:sz w:val="24"/>
          <w:szCs w:val="24"/>
        </w:rPr>
        <w:t>Del derecho de acceso a la información.</w:t>
      </w:r>
    </w:p>
    <w:p w14:paraId="002DC521" w14:textId="77777777" w:rsidR="003D2761" w:rsidRDefault="009349B2">
      <w:pPr>
        <w:numPr>
          <w:ilvl w:val="0"/>
          <w:numId w:val="6"/>
        </w:numPr>
        <w:pBdr>
          <w:top w:val="nil"/>
          <w:left w:val="nil"/>
          <w:bottom w:val="nil"/>
          <w:right w:val="nil"/>
          <w:between w:val="nil"/>
        </w:pBdr>
        <w:spacing w:before="240"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02DC522" w14:textId="77777777" w:rsidR="003D2761" w:rsidRDefault="003D2761">
      <w:pPr>
        <w:pBdr>
          <w:top w:val="nil"/>
          <w:left w:val="nil"/>
          <w:bottom w:val="nil"/>
          <w:right w:val="nil"/>
          <w:between w:val="nil"/>
        </w:pBdr>
        <w:spacing w:after="240" w:line="360" w:lineRule="auto"/>
        <w:ind w:right="-787"/>
        <w:jc w:val="both"/>
        <w:rPr>
          <w:rFonts w:ascii="Palatino Linotype" w:eastAsia="Palatino Linotype" w:hAnsi="Palatino Linotype" w:cs="Palatino Linotype"/>
          <w:color w:val="000000"/>
        </w:rPr>
      </w:pPr>
    </w:p>
    <w:p w14:paraId="002DC523" w14:textId="77777777" w:rsidR="003D2761" w:rsidRDefault="009349B2">
      <w:pPr>
        <w:numPr>
          <w:ilvl w:val="0"/>
          <w:numId w:val="6"/>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02DC524" w14:textId="77777777" w:rsidR="003D2761" w:rsidRDefault="003D2761">
      <w:pPr>
        <w:spacing w:line="360" w:lineRule="auto"/>
        <w:ind w:right="-787"/>
        <w:jc w:val="both"/>
        <w:rPr>
          <w:rFonts w:ascii="Palatino Linotype" w:eastAsia="Palatino Linotype" w:hAnsi="Palatino Linotype" w:cs="Palatino Linotype"/>
        </w:rPr>
      </w:pPr>
    </w:p>
    <w:p w14:paraId="002DC525"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002DC526" w14:textId="77777777" w:rsidR="003D2761" w:rsidRDefault="009349B2">
      <w:pPr>
        <w:ind w:left="566" w:right="-7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w:t>
      </w:r>
    </w:p>
    <w:p w14:paraId="002DC527" w14:textId="77777777" w:rsidR="003D2761" w:rsidRDefault="009349B2">
      <w:pPr>
        <w:ind w:left="566" w:right="-7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02DC528" w14:textId="77777777" w:rsidR="003D2761" w:rsidRDefault="009349B2">
      <w:pPr>
        <w:ind w:left="566" w:right="-79"/>
        <w:jc w:val="both"/>
        <w:rPr>
          <w:rFonts w:ascii="Palatino Linotype" w:eastAsia="Palatino Linotype" w:hAnsi="Palatino Linotype" w:cs="Palatino Linotype"/>
          <w:i/>
        </w:rPr>
      </w:pPr>
      <w:r>
        <w:rPr>
          <w:rFonts w:ascii="Palatino Linotype" w:eastAsia="Palatino Linotype" w:hAnsi="Palatino Linotype" w:cs="Palatino Linotype"/>
          <w:i/>
        </w:rPr>
        <w:t>Todas las</w:t>
      </w:r>
      <w:r>
        <w:rPr>
          <w:rFonts w:ascii="Palatino Linotype" w:eastAsia="Palatino Linotype" w:hAnsi="Palatino Linotype" w:cs="Palatino Linotype"/>
        </w:rPr>
        <w:t xml:space="preserve"> </w:t>
      </w:r>
      <w:r>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02DC529" w14:textId="77777777" w:rsidR="003D2761" w:rsidRDefault="009349B2">
      <w:pPr>
        <w:ind w:left="566" w:right="-79"/>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rPr>
        <w:t>”.</w:t>
      </w:r>
    </w:p>
    <w:p w14:paraId="002DC52A" w14:textId="77777777" w:rsidR="003D2761" w:rsidRDefault="003D2761">
      <w:pPr>
        <w:ind w:right="-787"/>
        <w:jc w:val="both"/>
        <w:rPr>
          <w:rFonts w:ascii="Palatino Linotype" w:eastAsia="Palatino Linotype" w:hAnsi="Palatino Linotype" w:cs="Palatino Linotype"/>
          <w:b/>
        </w:rPr>
      </w:pPr>
    </w:p>
    <w:p w14:paraId="002DC52B"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002DC52C" w14:textId="77777777" w:rsidR="003D2761" w:rsidRDefault="003D2761">
      <w:pPr>
        <w:spacing w:line="360" w:lineRule="auto"/>
        <w:ind w:right="-787"/>
        <w:jc w:val="both"/>
        <w:rPr>
          <w:rFonts w:ascii="Palatino Linotype" w:eastAsia="Palatino Linotype" w:hAnsi="Palatino Linotype" w:cs="Palatino Linotype"/>
        </w:rPr>
      </w:pPr>
    </w:p>
    <w:p w14:paraId="002DC52D"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002DC52E" w14:textId="77777777" w:rsidR="003D2761" w:rsidRDefault="009349B2">
      <w:pPr>
        <w:spacing w:after="240"/>
        <w:ind w:left="566"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002DC52F" w14:textId="77777777" w:rsidR="003D2761" w:rsidRDefault="009349B2">
      <w:pPr>
        <w:spacing w:before="240" w:after="240"/>
        <w:ind w:left="566"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002DC530"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2DC531"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002DC532" w14:textId="77777777" w:rsidR="003D2761" w:rsidRDefault="009349B2">
      <w:pPr>
        <w:spacing w:before="240" w:after="240"/>
        <w:ind w:left="566"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002DC533"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002DC534" w14:textId="77777777" w:rsidR="003D2761" w:rsidRDefault="003D2761">
      <w:pPr>
        <w:pBdr>
          <w:top w:val="nil"/>
          <w:left w:val="nil"/>
          <w:bottom w:val="nil"/>
          <w:right w:val="nil"/>
          <w:between w:val="nil"/>
        </w:pBdr>
        <w:tabs>
          <w:tab w:val="left" w:pos="567"/>
        </w:tabs>
        <w:spacing w:before="240" w:after="240"/>
        <w:ind w:left="566" w:right="-220"/>
        <w:jc w:val="both"/>
        <w:rPr>
          <w:rFonts w:ascii="Palatino Linotype" w:eastAsia="Palatino Linotype" w:hAnsi="Palatino Linotype" w:cs="Palatino Linotype"/>
          <w:b/>
          <w:i/>
          <w:color w:val="000000"/>
          <w:sz w:val="22"/>
          <w:szCs w:val="22"/>
        </w:rPr>
      </w:pPr>
    </w:p>
    <w:p w14:paraId="002DC535" w14:textId="77777777" w:rsidR="003D2761" w:rsidRDefault="009349B2">
      <w:pPr>
        <w:spacing w:before="240" w:after="240"/>
        <w:ind w:left="566" w:right="-22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002DC536"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002DC537"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02DC538"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002DC539"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02DC53A"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002DC53B" w14:textId="77777777" w:rsidR="003D2761" w:rsidRDefault="009349B2">
      <w:pPr>
        <w:spacing w:before="240" w:after="240"/>
        <w:ind w:left="566" w:right="-22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 xml:space="preserve">En la </w:t>
      </w:r>
      <w:r>
        <w:rPr>
          <w:rFonts w:ascii="Palatino Linotype" w:eastAsia="Palatino Linotype" w:hAnsi="Palatino Linotype" w:cs="Palatino Linotype"/>
          <w:b/>
          <w:i/>
          <w:sz w:val="22"/>
          <w:szCs w:val="22"/>
        </w:rPr>
        <w:lastRenderedPageBreak/>
        <w:t>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002DC53C" w14:textId="77777777" w:rsidR="003D2761" w:rsidRDefault="003D2761">
      <w:pPr>
        <w:tabs>
          <w:tab w:val="left" w:pos="567"/>
        </w:tabs>
        <w:spacing w:before="240" w:after="240"/>
        <w:ind w:right="-787"/>
        <w:jc w:val="both"/>
        <w:rPr>
          <w:rFonts w:ascii="Palatino Linotype" w:eastAsia="Palatino Linotype" w:hAnsi="Palatino Linotype" w:cs="Palatino Linotype"/>
          <w:b/>
          <w:i/>
        </w:rPr>
      </w:pPr>
    </w:p>
    <w:p w14:paraId="002DC53D" w14:textId="77777777" w:rsidR="003D2761" w:rsidRDefault="009349B2">
      <w:pPr>
        <w:numPr>
          <w:ilvl w:val="0"/>
          <w:numId w:val="6"/>
        </w:numPr>
        <w:spacing w:before="240"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002DC53E" w14:textId="77777777" w:rsidR="003D2761" w:rsidRDefault="003D2761">
      <w:pPr>
        <w:spacing w:line="360" w:lineRule="auto"/>
        <w:ind w:right="-787"/>
        <w:jc w:val="both"/>
        <w:rPr>
          <w:rFonts w:ascii="Palatino Linotype" w:eastAsia="Palatino Linotype" w:hAnsi="Palatino Linotype" w:cs="Palatino Linotype"/>
        </w:rPr>
      </w:pPr>
    </w:p>
    <w:p w14:paraId="002DC53F"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002DC540" w14:textId="77777777" w:rsidR="003D2761" w:rsidRDefault="003D2761">
      <w:pPr>
        <w:spacing w:line="360" w:lineRule="auto"/>
        <w:ind w:right="-787"/>
        <w:jc w:val="both"/>
        <w:rPr>
          <w:rFonts w:ascii="Palatino Linotype" w:eastAsia="Palatino Linotype" w:hAnsi="Palatino Linotype" w:cs="Palatino Linotype"/>
        </w:rPr>
      </w:pPr>
    </w:p>
    <w:p w14:paraId="002DC541"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bookmarkStart w:id="9" w:name="_heading=h.17dp8vu" w:colFirst="0" w:colLast="0"/>
      <w:bookmarkEnd w:id="9"/>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02DC542" w14:textId="77777777" w:rsidR="003D2761" w:rsidRDefault="003D2761">
      <w:pPr>
        <w:spacing w:line="360" w:lineRule="auto"/>
        <w:ind w:right="-787"/>
        <w:jc w:val="both"/>
        <w:rPr>
          <w:rFonts w:ascii="Palatino Linotype" w:eastAsia="Palatino Linotype" w:hAnsi="Palatino Linotype" w:cs="Palatino Linotype"/>
        </w:rPr>
      </w:pPr>
    </w:p>
    <w:p w14:paraId="002DC543" w14:textId="77777777" w:rsidR="003D2761" w:rsidRDefault="009349B2">
      <w:pPr>
        <w:pStyle w:val="Ttulo1"/>
        <w:spacing w:before="0" w:after="240" w:line="360" w:lineRule="auto"/>
        <w:ind w:right="-787"/>
        <w:rPr>
          <w:rFonts w:ascii="Palatino Linotype" w:eastAsia="Palatino Linotype" w:hAnsi="Palatino Linotype" w:cs="Palatino Linotype"/>
          <w:b/>
          <w:color w:val="000000"/>
          <w:sz w:val="24"/>
          <w:szCs w:val="24"/>
        </w:rPr>
      </w:pPr>
      <w:bookmarkStart w:id="10" w:name="_heading=h.3rdcrjn" w:colFirst="0" w:colLast="0"/>
      <w:bookmarkEnd w:id="10"/>
      <w:r>
        <w:rPr>
          <w:rFonts w:ascii="Palatino Linotype" w:eastAsia="Palatino Linotype" w:hAnsi="Palatino Linotype" w:cs="Palatino Linotype"/>
          <w:b/>
          <w:color w:val="000000"/>
          <w:sz w:val="24"/>
          <w:szCs w:val="24"/>
        </w:rPr>
        <w:t>II. De la información solicitada y la respuesta del SUJETO OBLIGADO</w:t>
      </w:r>
    </w:p>
    <w:p w14:paraId="002DC544"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entrega la información solicitada, situación por la cual se hace el siguiente estudio y análisis. </w:t>
      </w:r>
    </w:p>
    <w:p w14:paraId="002DC545"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es importante recordar la información que fue solicitada por el </w:t>
      </w:r>
      <w:r>
        <w:rPr>
          <w:rFonts w:ascii="Palatino Linotype" w:eastAsia="Palatino Linotype" w:hAnsi="Palatino Linotype" w:cs="Palatino Linotype"/>
          <w:b/>
        </w:rPr>
        <w:t xml:space="preserve">RECURRENTE. </w:t>
      </w:r>
    </w:p>
    <w:p w14:paraId="002DC546" w14:textId="77777777" w:rsidR="003D2761" w:rsidRDefault="009349B2">
      <w:pPr>
        <w:pBdr>
          <w:top w:val="nil"/>
          <w:left w:val="nil"/>
          <w:bottom w:val="nil"/>
          <w:right w:val="nil"/>
          <w:between w:val="nil"/>
        </w:pBdr>
        <w:ind w:left="720" w:right="-22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todos los acuerdos de incumplimiento generados durante 2022 y 2023…”</w:t>
      </w:r>
    </w:p>
    <w:p w14:paraId="002DC547" w14:textId="77777777" w:rsidR="003D2761" w:rsidRDefault="003D2761">
      <w:pPr>
        <w:pBdr>
          <w:top w:val="nil"/>
          <w:left w:val="nil"/>
          <w:bottom w:val="nil"/>
          <w:right w:val="nil"/>
          <w:between w:val="nil"/>
        </w:pBdr>
        <w:ind w:left="720" w:right="-787"/>
        <w:jc w:val="both"/>
        <w:rPr>
          <w:rFonts w:ascii="Palatino Linotype" w:eastAsia="Palatino Linotype" w:hAnsi="Palatino Linotype" w:cs="Palatino Linotype"/>
          <w:i/>
          <w:color w:val="000000"/>
        </w:rPr>
      </w:pPr>
    </w:p>
    <w:p w14:paraId="002DC548"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en la respuesta de la solicitud de información un archivo en formato PDF, cuyo contenido grosso modo es el siguiente: </w:t>
      </w:r>
    </w:p>
    <w:p w14:paraId="002DC549" w14:textId="77777777" w:rsidR="003D2761" w:rsidRDefault="003D2761">
      <w:pPr>
        <w:spacing w:line="360" w:lineRule="auto"/>
        <w:ind w:right="-787"/>
        <w:jc w:val="both"/>
        <w:rPr>
          <w:rFonts w:ascii="Palatino Linotype" w:eastAsia="Palatino Linotype" w:hAnsi="Palatino Linotype" w:cs="Palatino Linotype"/>
        </w:rPr>
      </w:pPr>
    </w:p>
    <w:p w14:paraId="002DC54A" w14:textId="77777777" w:rsidR="003D2761" w:rsidRDefault="009349B2">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1271.pdf:</w:t>
      </w:r>
      <w:r>
        <w:rPr>
          <w:rFonts w:ascii="Palatino Linotype" w:eastAsia="Palatino Linotype" w:hAnsi="Palatino Linotype" w:cs="Palatino Linotype"/>
          <w:i/>
          <w:color w:val="000000"/>
          <w:sz w:val="22"/>
          <w:szCs w:val="22"/>
        </w:rPr>
        <w:t xml:space="preserve"> oficio de la Titular de la Unidad de Transparencia mediante el cual informa que la entrega de la información implica procesamiento y que sobrepasa las capacidades técnicas, administrativas y humanas, situación por la cual no se entrega la información solicitada pero se pone a disposición por medio de consulta directa, situación de la cual la Titular de la Unidad de Transparencia informa la ubicación de las oficinas y el horario de atención. </w:t>
      </w:r>
    </w:p>
    <w:p w14:paraId="002DC54B" w14:textId="77777777" w:rsidR="003D2761" w:rsidRDefault="003D2761">
      <w:pPr>
        <w:spacing w:line="360" w:lineRule="auto"/>
        <w:ind w:right="-787"/>
        <w:jc w:val="both"/>
        <w:rPr>
          <w:rFonts w:ascii="Palatino Linotype" w:eastAsia="Palatino Linotype" w:hAnsi="Palatino Linotype" w:cs="Palatino Linotype"/>
        </w:rPr>
      </w:pPr>
    </w:p>
    <w:p w14:paraId="002DC54C"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De respuesta brindada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el entonces particular interpuso el recurso de revisión manifestando que no se entregó la información solicitada.  </w:t>
      </w:r>
    </w:p>
    <w:p w14:paraId="002DC54D" w14:textId="77777777" w:rsidR="003D2761" w:rsidRDefault="003D2761">
      <w:pPr>
        <w:pBdr>
          <w:top w:val="nil"/>
          <w:left w:val="nil"/>
          <w:bottom w:val="nil"/>
          <w:right w:val="nil"/>
          <w:between w:val="nil"/>
        </w:pBdr>
        <w:ind w:right="-787"/>
        <w:rPr>
          <w:rFonts w:ascii="Palatino Linotype" w:eastAsia="Palatino Linotype" w:hAnsi="Palatino Linotype" w:cs="Palatino Linotype"/>
          <w:color w:val="000000"/>
        </w:rPr>
      </w:pPr>
    </w:p>
    <w:p w14:paraId="002DC54E"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debe de referir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respuesta inicial informa que hace el cambio de modalidad toda vez que sobre pasa las capacidades técnicas, administrativas y humanas, por lo que se ofrece que la consulta de información se haga por medio de la consulta directa. </w:t>
      </w:r>
    </w:p>
    <w:p w14:paraId="002DC54F"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50"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respuesta inicial,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hace entrega la incidencia técnica por parte de la Dirección de Informática de este Órgano Garante, así como tampoco refiere las razones y motivos por las cuales la información no puede ser entregada por la modalidad elegida que es Vía Sistema de Acceso a la Información.  </w:t>
      </w:r>
    </w:p>
    <w:p w14:paraId="002DC551"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52"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w:t>
      </w:r>
      <w:r>
        <w:rPr>
          <w:rFonts w:ascii="Palatino Linotype" w:eastAsia="Palatino Linotype" w:hAnsi="Palatino Linotype" w:cs="Palatino Linotype"/>
          <w:b/>
        </w:rPr>
        <w:t xml:space="preserve">veintiséis de agosto de dos mil veintitrés </w:t>
      </w:r>
      <w:r>
        <w:rPr>
          <w:rFonts w:ascii="Palatino Linotype" w:eastAsia="Palatino Linotype" w:hAnsi="Palatino Linotype" w:cs="Palatino Linotype"/>
        </w:rPr>
        <w:t xml:space="preserve">se giró requerimiento de alcance de información solicitada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 el fin de que proporcionara datos precios sobre el peso de la información, el número de fojas, agregara la incidencia técnica de la Dirección de Informática de este Insitituto, así como motivara las razones por las cuales la información solicitada no podía ser entregada vía Sistema de Acceso a la Información. </w:t>
      </w:r>
    </w:p>
    <w:p w14:paraId="002DC553" w14:textId="77777777" w:rsidR="003D2761" w:rsidRDefault="009349B2">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002DC5C7" wp14:editId="002DC5C8">
            <wp:extent cx="2635939" cy="516483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35939" cy="5164833"/>
                    </a:xfrm>
                    <a:prstGeom prst="rect">
                      <a:avLst/>
                    </a:prstGeom>
                    <a:ln/>
                  </pic:spPr>
                </pic:pic>
              </a:graphicData>
            </a:graphic>
          </wp:inline>
        </w:drawing>
      </w:r>
    </w:p>
    <w:p w14:paraId="002DC554"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fue omiso en atender el requerimiento de información adicional, situación por la cual se tiene como atendido. </w:t>
      </w:r>
    </w:p>
    <w:p w14:paraId="002DC555" w14:textId="77777777" w:rsidR="003D2761" w:rsidRDefault="003D2761">
      <w:pPr>
        <w:spacing w:line="360" w:lineRule="auto"/>
        <w:ind w:right="-787"/>
        <w:jc w:val="both"/>
        <w:rPr>
          <w:rFonts w:ascii="Palatino Linotype" w:eastAsia="Palatino Linotype" w:hAnsi="Palatino Linotype" w:cs="Palatino Linotype"/>
        </w:rPr>
      </w:pPr>
    </w:p>
    <w:p w14:paraId="002DC556"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con la finalidad de precisar el cumulo de información que debe de ser entregada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 que se procedió a girar correo electrónico a la Dirección de Cumplimientos y la Dirección de Informática de este Órgano Garante. </w:t>
      </w:r>
    </w:p>
    <w:p w14:paraId="002DC557"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58"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 lo anterior, el correo dirigido a la Dirección de Cumplimientos consistió en conocer cuántos acuerdo de incumplimiento le fueron notificados al Ayuntamiento de Zinacantepec durante el ejercicio fiscal dos mil veintidós y del uno de enero al dieciséis de agosto de dos mil veintitrés, situación de la cual se informó lo siguiente.</w:t>
      </w:r>
      <w:r>
        <w:rPr>
          <w:noProof/>
          <w:lang w:val="es-MX" w:eastAsia="es-MX"/>
        </w:rPr>
        <w:drawing>
          <wp:anchor distT="0" distB="0" distL="114300" distR="114300" simplePos="0" relativeHeight="251658240" behindDoc="0" locked="0" layoutInCell="1" hidden="0" allowOverlap="1" wp14:anchorId="002DC5C9" wp14:editId="002DC5CA">
            <wp:simplePos x="0" y="0"/>
            <wp:positionH relativeFrom="column">
              <wp:posOffset>-323019</wp:posOffset>
            </wp:positionH>
            <wp:positionV relativeFrom="paragraph">
              <wp:posOffset>1466069</wp:posOffset>
            </wp:positionV>
            <wp:extent cx="6462912" cy="750277"/>
            <wp:effectExtent l="0" t="0" r="0" b="0"/>
            <wp:wrapSquare wrapText="bothSides" distT="0" distB="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462912" cy="750277"/>
                    </a:xfrm>
                    <a:prstGeom prst="rect">
                      <a:avLst/>
                    </a:prstGeom>
                    <a:ln/>
                  </pic:spPr>
                </pic:pic>
              </a:graphicData>
            </a:graphic>
          </wp:anchor>
        </w:drawing>
      </w:r>
    </w:p>
    <w:p w14:paraId="002DC559"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Seguidamente, la solicitud que se realizó a la Dirección de Informática, verso en saber si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había remitido información que diera al registro de incidencia técnica, en ese sentido se respondido lo siguiente. </w:t>
      </w:r>
      <w:r>
        <w:rPr>
          <w:noProof/>
          <w:lang w:val="es-MX" w:eastAsia="es-MX"/>
        </w:rPr>
        <w:drawing>
          <wp:anchor distT="0" distB="0" distL="114300" distR="114300" simplePos="0" relativeHeight="251659264" behindDoc="0" locked="0" layoutInCell="1" hidden="0" allowOverlap="1" wp14:anchorId="002DC5CB" wp14:editId="002DC5CC">
            <wp:simplePos x="0" y="0"/>
            <wp:positionH relativeFrom="column">
              <wp:posOffset>-317939</wp:posOffset>
            </wp:positionH>
            <wp:positionV relativeFrom="paragraph">
              <wp:posOffset>2381885</wp:posOffset>
            </wp:positionV>
            <wp:extent cx="6708614" cy="675567"/>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708614" cy="675567"/>
                    </a:xfrm>
                    <a:prstGeom prst="rect">
                      <a:avLst/>
                    </a:prstGeom>
                    <a:ln/>
                  </pic:spPr>
                </pic:pic>
              </a:graphicData>
            </a:graphic>
          </wp:anchor>
        </w:drawing>
      </w:r>
    </w:p>
    <w:p w14:paraId="002DC55A" w14:textId="77777777" w:rsidR="003D2761" w:rsidRDefault="003D2761">
      <w:pPr>
        <w:spacing w:line="360" w:lineRule="auto"/>
        <w:ind w:right="-787"/>
        <w:jc w:val="both"/>
        <w:rPr>
          <w:rFonts w:ascii="Palatino Linotype" w:eastAsia="Palatino Linotype" w:hAnsi="Palatino Linotype" w:cs="Palatino Linotype"/>
        </w:rPr>
      </w:pPr>
    </w:p>
    <w:p w14:paraId="002DC55B"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observa que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al componerse los acuerdos de incumplimiento de dos a tres fojas del ejercicio fiscal dos mil veintidós  la información en fojas aproximadamente sería de un total de 267 (doscientas sesenta y siete) y del uno de enero al dieciséis de agosto de dos mil veintitrés da un total de fojas aproximadas de 987 (novecientas ochenta y siete hojas), que en la suma de los periodos </w:t>
      </w:r>
      <w:r>
        <w:rPr>
          <w:rFonts w:ascii="Palatino Linotype" w:eastAsia="Palatino Linotype" w:hAnsi="Palatino Linotype" w:cs="Palatino Linotype"/>
        </w:rPr>
        <w:lastRenderedPageBreak/>
        <w:t xml:space="preserve">solicitados da un total de 1,254 (mil doscientas cincuenta y cuatro hojas), información que no sobre pasa las ocho mil hojas que refiere la Dirección de Informática que soporta el Sistema de Acceso a la Información. </w:t>
      </w:r>
    </w:p>
    <w:p w14:paraId="002DC55C"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5D"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comprueba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acredita las razones y motivos por los cuales no se adjunto la información solicitado en el medio de consulta solicitado siendo el Sistema de Acceso a la Información. </w:t>
      </w:r>
    </w:p>
    <w:p w14:paraId="002DC55E"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5F"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con los correos enviados a las Direcciones de este Órgano Garante se comprueba que la información solicitada no sobre pasas las capacidades Técnicas del Sistema de Acceso a la Información, situación por la cual para colmar el derecho de acceso a la información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entregar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la información de los incumplimientos del ejercicio fiscal dos mil veintidós y del uno de enero al dieciséis de agosto de dos mil veintitrés. </w:t>
      </w:r>
    </w:p>
    <w:p w14:paraId="002DC560"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61"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conformidad con el organigrama del Ayuntamiento de Zinacantepec, se observa que se integra por la Unidad de Transparencia. </w:t>
      </w:r>
    </w:p>
    <w:p w14:paraId="002DC562" w14:textId="77777777" w:rsidR="003D2761" w:rsidRDefault="003D2761">
      <w:pPr>
        <w:pBdr>
          <w:top w:val="nil"/>
          <w:left w:val="nil"/>
          <w:bottom w:val="nil"/>
          <w:right w:val="nil"/>
          <w:between w:val="nil"/>
        </w:pBdr>
        <w:ind w:left="720"/>
        <w:rPr>
          <w:rFonts w:ascii="Palatino Linotype" w:eastAsia="Palatino Linotype" w:hAnsi="Palatino Linotype" w:cs="Palatino Linotype"/>
          <w:color w:val="000000"/>
        </w:rPr>
      </w:pPr>
    </w:p>
    <w:p w14:paraId="002DC563" w14:textId="77777777" w:rsidR="003D2761" w:rsidRDefault="009349B2">
      <w:pPr>
        <w:spacing w:line="360" w:lineRule="auto"/>
        <w:ind w:right="-787"/>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002DC5CD" wp14:editId="002DC5CE">
            <wp:extent cx="4897439" cy="274462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897439" cy="2744628"/>
                    </a:xfrm>
                    <a:prstGeom prst="rect">
                      <a:avLst/>
                    </a:prstGeom>
                    <a:ln/>
                  </pic:spPr>
                </pic:pic>
              </a:graphicData>
            </a:graphic>
          </wp:inline>
        </w:drawing>
      </w:r>
    </w:p>
    <w:p w14:paraId="002DC564"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ese sentido, de acuerdo con el Manual General de Organización del Ayuntamiento de Zinacantepec, la Unidad de Transparencia tiene las siguientes funciones.</w:t>
      </w:r>
    </w:p>
    <w:p w14:paraId="002DC565" w14:textId="77777777" w:rsidR="003D2761" w:rsidRDefault="009349B2">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Objetivo: </w:t>
      </w:r>
    </w:p>
    <w:p w14:paraId="002DC566"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Garantizar la aplicación del marco legal en materia de transparencia, atender en tiempo y forma las solicitudes de acceso a la información pública y validar la publicación oportuna de las obligaciones de transparencia común y especifica del Gobierno Municipal. </w:t>
      </w:r>
    </w:p>
    <w:p w14:paraId="002DC567" w14:textId="77777777" w:rsidR="003D2761" w:rsidRDefault="009349B2">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Funciones: </w:t>
      </w:r>
    </w:p>
    <w:p w14:paraId="002DC568"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Recibir, tramitar y dar respuesta a las solicitudes de acceso a la información; </w:t>
      </w:r>
      <w:r>
        <w:rPr>
          <w:rFonts w:ascii="Symbol" w:eastAsia="Symbol" w:hAnsi="Symbol" w:cs="Symbol"/>
          <w:i/>
          <w:sz w:val="22"/>
          <w:szCs w:val="22"/>
        </w:rPr>
        <w:t>∙</w:t>
      </w:r>
      <w:r>
        <w:rPr>
          <w:rFonts w:ascii="Palatino Linotype" w:eastAsia="Palatino Linotype" w:hAnsi="Palatino Linotype" w:cs="Palatino Linotype"/>
          <w:i/>
          <w:sz w:val="22"/>
          <w:szCs w:val="22"/>
        </w:rPr>
        <w:t xml:space="preserve"> Auxiliar a los particulares en la elaboración de solicitudes de acceso a la información y en su caso, orientarlos sobre los sujetos obligados competentes conforme a la normatividad aplicable; </w:t>
      </w:r>
    </w:p>
    <w:p w14:paraId="002DC569"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Solicitar a las dependencias de la administración pública municipal, la información requerida por los particulares, para dar respuesta a las solicitudes de acceso a la información; </w:t>
      </w:r>
    </w:p>
    <w:p w14:paraId="002DC56A" w14:textId="77777777" w:rsidR="003D2761" w:rsidRDefault="009349B2">
      <w:pPr>
        <w:ind w:left="1134" w:right="900"/>
        <w:jc w:val="both"/>
        <w:rPr>
          <w:rFonts w:ascii="Palatino Linotype" w:eastAsia="Palatino Linotype" w:hAnsi="Palatino Linotype" w:cs="Palatino Linotype"/>
          <w:b/>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Llevar un registro de las solicitudes de acceso a la información, sus respuestas, resultados, costos de reproducción y envió, resolución a los recursos de revisión que se hayan emitido en contra de sus respuestas y del cumplimiento de las mismas; </w:t>
      </w:r>
    </w:p>
    <w:p w14:paraId="002DC56B"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Recabar, difundir y actualizar la información relativa a las obligaciones de transparencia común y específica, así como promover ante las áreas la actualización periódica conforme a la normatividad aplicable; </w:t>
      </w:r>
    </w:p>
    <w:p w14:paraId="002DC56C"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lastRenderedPageBreak/>
        <w:t>∙</w:t>
      </w:r>
      <w:r>
        <w:rPr>
          <w:rFonts w:ascii="Palatino Linotype" w:eastAsia="Palatino Linotype" w:hAnsi="Palatino Linotype" w:cs="Palatino Linotype"/>
          <w:i/>
          <w:sz w:val="22"/>
          <w:szCs w:val="22"/>
        </w:rPr>
        <w:t xml:space="preserve"> Solicitar a los servidores públicos habilitados actualicen las fracciones en el Sistema de Información Pública de Oficio Mexiquense (IPOMEX); </w:t>
      </w:r>
    </w:p>
    <w:p w14:paraId="002DC56D"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Garantizar la aplicación del marco legal en materia de Transparencia, verificando que se publique oportunamente la información de oficio en el sistema IPOMEX a fin de transparentar el ejercicio del servicio público y la rendición de cuentas en el Municipio; </w:t>
      </w:r>
    </w:p>
    <w:p w14:paraId="002DC56E"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Atender las solicitudes ciudadanas que se ingresan a través del portal del Sistema de Acceso a la Información Mexiquense(SAIMEX) y canalizarlas a las distintas Unidades Administrativas para dar respuesta en tiempo y forma; </w:t>
      </w:r>
      <w:r>
        <w:rPr>
          <w:rFonts w:ascii="Symbol" w:eastAsia="Symbol" w:hAnsi="Symbol" w:cs="Symbol"/>
          <w:i/>
          <w:sz w:val="22"/>
          <w:szCs w:val="22"/>
        </w:rPr>
        <w:t>∙</w:t>
      </w:r>
      <w:r>
        <w:rPr>
          <w:rFonts w:ascii="Palatino Linotype" w:eastAsia="Palatino Linotype" w:hAnsi="Palatino Linotype" w:cs="Palatino Linotype"/>
          <w:i/>
          <w:sz w:val="22"/>
          <w:szCs w:val="22"/>
        </w:rPr>
        <w:t xml:space="preserve"> Vigilar y dar seguimiento a las Tarjetas de Asuntos Turnados y Solicitudes de Atención Ciudadana a fin de establecer mecanismos que garanticen su atención y cumplimiento; y</w:t>
      </w:r>
    </w:p>
    <w:p w14:paraId="002DC56F" w14:textId="77777777" w:rsidR="003D2761" w:rsidRDefault="009349B2">
      <w:pPr>
        <w:ind w:left="1134" w:right="900"/>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Desarrollar las demás funciones inherentes al área de su competencia, y las que le encomiende directamente el Presidente Municipal.</w:t>
      </w:r>
    </w:p>
    <w:p w14:paraId="002DC570" w14:textId="77777777" w:rsidR="003D2761" w:rsidRDefault="003D2761">
      <w:pPr>
        <w:ind w:left="566" w:right="-220"/>
        <w:jc w:val="both"/>
        <w:rPr>
          <w:rFonts w:ascii="Palatino Linotype" w:eastAsia="Palatino Linotype" w:hAnsi="Palatino Linotype" w:cs="Palatino Linotype"/>
          <w:i/>
        </w:rPr>
      </w:pPr>
    </w:p>
    <w:p w14:paraId="002DC571"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estudio, la Ley de Transparencia y Acceso a la Información Pública del Estado de México y Municipios, regula lo siguiente en cuanto a la Unidades de Transparencia de cada </w:t>
      </w:r>
      <w:r>
        <w:rPr>
          <w:rFonts w:ascii="Palatino Linotype" w:eastAsia="Palatino Linotype" w:hAnsi="Palatino Linotype" w:cs="Palatino Linotype"/>
          <w:b/>
        </w:rPr>
        <w:t xml:space="preserve">SUJETO OBLIGADO. </w:t>
      </w:r>
    </w:p>
    <w:p w14:paraId="002DC572" w14:textId="77777777" w:rsidR="003D2761" w:rsidRDefault="009349B2">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w:t>
      </w:r>
      <w:r>
        <w:rPr>
          <w:rFonts w:ascii="Palatino Linotype" w:eastAsia="Palatino Linotype" w:hAnsi="Palatino Linotype" w:cs="Palatino Linotype"/>
          <w:b/>
          <w:i/>
          <w:sz w:val="22"/>
          <w:szCs w:val="22"/>
        </w:rPr>
        <w:t xml:space="preserve">denominará Unidad de Transparencia. </w:t>
      </w:r>
    </w:p>
    <w:p w14:paraId="002DC573" w14:textId="77777777" w:rsidR="003D2761" w:rsidRDefault="009349B2">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14:paraId="002DC574" w14:textId="77777777" w:rsidR="003D2761" w:rsidRDefault="009349B2">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Las solicitudes de acceso a la información y las respuestas que se les dé, incluyendo, en su caso, </w:t>
      </w:r>
      <w:r>
        <w:rPr>
          <w:rFonts w:ascii="Palatino Linotype" w:eastAsia="Palatino Linotype" w:hAnsi="Palatino Linotype" w:cs="Palatino Linotype"/>
          <w:b/>
          <w:i/>
          <w:sz w:val="22"/>
          <w:szCs w:val="22"/>
        </w:rPr>
        <w:t>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02DC575" w14:textId="77777777" w:rsidR="003D2761" w:rsidRDefault="003D2761">
      <w:pPr>
        <w:ind w:left="1134" w:right="900"/>
        <w:jc w:val="both"/>
        <w:rPr>
          <w:rFonts w:ascii="Palatino Linotype" w:eastAsia="Palatino Linotype" w:hAnsi="Palatino Linotype" w:cs="Palatino Linotype"/>
          <w:b/>
          <w:i/>
          <w:sz w:val="22"/>
          <w:szCs w:val="22"/>
        </w:rPr>
      </w:pPr>
    </w:p>
    <w:p w14:paraId="002DC576"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Seguidamente el artículo 53 de la Ley de Transparencia y Acceso a la Información Pública del Estado de México y Municipios, le otorga las siguientes funciones a las Unidades de Transparencia.</w:t>
      </w:r>
    </w:p>
    <w:p w14:paraId="002DC577" w14:textId="77777777" w:rsidR="003D2761" w:rsidRDefault="009349B2">
      <w:pPr>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53. Las Unidades de Transparencia tendrán las siguientes funciones: </w:t>
      </w:r>
    </w:p>
    <w:p w14:paraId="002DC578" w14:textId="77777777" w:rsidR="003D2761" w:rsidRDefault="009349B2">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002DC579"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II. Recibir, tramitar y dar respuesta a las solicitudes de acceso a la información;</w:t>
      </w:r>
      <w:r>
        <w:rPr>
          <w:rFonts w:eastAsia="Calibri"/>
          <w:b/>
          <w:i/>
          <w:color w:val="000000"/>
          <w:sz w:val="22"/>
          <w:szCs w:val="22"/>
        </w:rPr>
        <w:t xml:space="preserve"> </w:t>
      </w:r>
    </w:p>
    <w:p w14:paraId="002DC57A"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Auxiliar a los particulares en la elaboración de solicitudes de acceso a la información y, en su caso, orientarlos sobre los sujetos obligados competentes conforme a la normatividad aplicable; </w:t>
      </w:r>
    </w:p>
    <w:p w14:paraId="002DC57B"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IV. Realizar, con efectividad, los trámites internos necesarios para la atención de las solicitudes de acceso a la información; </w:t>
      </w:r>
    </w:p>
    <w:p w14:paraId="002DC57C"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V. Entregar, en su caso, a los particulares la información solicitada; </w:t>
      </w:r>
    </w:p>
    <w:p w14:paraId="002DC57D"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Efectuar las notificaciones a los solicitantes; </w:t>
      </w:r>
    </w:p>
    <w:p w14:paraId="002DC57E"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 Proponer al Comité de Transparencia, los procedimientos internos que aseguren la mayor eficiencia en la gestión de las solicitudes de acceso a la información, conforme a la normatividad aplicable; </w:t>
      </w:r>
    </w:p>
    <w:p w14:paraId="002DC57F"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Proponer a quien preside el Comité de Transparencia, personal habilitado que sea necesario para recibir y dar trámite a las solicitudes de acceso a la información; </w:t>
      </w:r>
    </w:p>
    <w:p w14:paraId="002DC580"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002DC581"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Presentar ante el Comité, el proyecto de clasificación de información; </w:t>
      </w:r>
    </w:p>
    <w:p w14:paraId="002DC582"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Promover e implementar políticas de transparencia proactiva procurando su accesibilidad; </w:t>
      </w:r>
    </w:p>
    <w:p w14:paraId="002DC583"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Fomentar la transparencia y accesibilidad al interior del sujeto obligado; </w:t>
      </w:r>
    </w:p>
    <w:p w14:paraId="002DC584"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bookmarkStart w:id="11" w:name="_heading=h.gjdgxs" w:colFirst="0" w:colLast="0"/>
      <w:bookmarkEnd w:id="11"/>
      <w:r>
        <w:rPr>
          <w:rFonts w:ascii="Palatino Linotype" w:eastAsia="Palatino Linotype" w:hAnsi="Palatino Linotype" w:cs="Palatino Linotype"/>
          <w:b/>
          <w:i/>
          <w:color w:val="000000"/>
          <w:sz w:val="22"/>
          <w:szCs w:val="22"/>
        </w:rPr>
        <w:t xml:space="preserve">XIII. Hacer del conocimiento de la instancia competente la probable responsabilidad por el incumplimiento de las obligaciones previstas en la presente Ley; y </w:t>
      </w:r>
    </w:p>
    <w:p w14:paraId="002DC585" w14:textId="77777777" w:rsidR="003D2761" w:rsidRDefault="009349B2">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XIV. Las demás que resulten necesarias para facilitar el acceso a la información y aquellas que se desprenden de la presente Ley y demás disposiciones jurídicas aplicables.</w:t>
      </w:r>
    </w:p>
    <w:p w14:paraId="002DC586" w14:textId="77777777" w:rsidR="003D2761" w:rsidRDefault="003D2761">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02DC587"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colige que la Unidad de Transparencia es el área habilitada para conocer y atender la solicitud de información y que de esta manera entrega la información consiste en los acuerdos de incumplimientos que notifico la Dirección de Cumplimientos del Instituto de Transparencia, Acceso a la Información Pública y Protección de Datos Personales del Estado de México, al Ayuntamiento de Zinacantepec, durante el ejercicio fiscal dos mil veintidós y de uno de enero al dieciséis de agosto de dos mil veintitrés. </w:t>
      </w:r>
    </w:p>
    <w:p w14:paraId="002DC588" w14:textId="77777777" w:rsidR="003D2761" w:rsidRDefault="003D2761">
      <w:pPr>
        <w:spacing w:line="360" w:lineRule="auto"/>
        <w:ind w:right="-787"/>
        <w:jc w:val="both"/>
        <w:rPr>
          <w:rFonts w:ascii="Palatino Linotype" w:eastAsia="Palatino Linotype" w:hAnsi="Palatino Linotype" w:cs="Palatino Linotype"/>
          <w:color w:val="000000"/>
        </w:rPr>
      </w:pPr>
    </w:p>
    <w:p w14:paraId="002DC589" w14:textId="77777777" w:rsidR="003D2761" w:rsidRDefault="009349B2">
      <w:pPr>
        <w:numPr>
          <w:ilvl w:val="0"/>
          <w:numId w:val="6"/>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smallCaps/>
        </w:rPr>
        <w:t>REVOCAR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002DC58A" w14:textId="77777777" w:rsidR="003D2761" w:rsidRDefault="003D2761">
      <w:pPr>
        <w:pBdr>
          <w:top w:val="nil"/>
          <w:left w:val="nil"/>
          <w:bottom w:val="nil"/>
          <w:right w:val="nil"/>
          <w:between w:val="nil"/>
        </w:pBdr>
        <w:ind w:left="720" w:right="-787"/>
        <w:rPr>
          <w:rFonts w:ascii="Palatino Linotype" w:eastAsia="Palatino Linotype" w:hAnsi="Palatino Linotype" w:cs="Palatino Linotype"/>
          <w:color w:val="000000"/>
        </w:rPr>
      </w:pPr>
    </w:p>
    <w:p w14:paraId="002DC58B" w14:textId="77777777" w:rsidR="003D2761" w:rsidRDefault="009349B2">
      <w:pPr>
        <w:pStyle w:val="Ttulo1"/>
        <w:spacing w:before="0" w:line="360" w:lineRule="auto"/>
        <w:ind w:right="-787"/>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002DC58C" w14:textId="77777777" w:rsidR="003D2761" w:rsidRDefault="003D2761">
      <w:pPr>
        <w:spacing w:line="360" w:lineRule="auto"/>
        <w:ind w:right="-787"/>
        <w:rPr>
          <w:rFonts w:ascii="Palatino Linotype" w:eastAsia="Palatino Linotype" w:hAnsi="Palatino Linotype" w:cs="Palatino Linotype"/>
        </w:rPr>
      </w:pPr>
    </w:p>
    <w:p w14:paraId="002DC58D" w14:textId="77777777" w:rsidR="003D2761" w:rsidRDefault="009349B2">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fundadas las razones o motivos de inconformidad hechos valer en el Recurso de Revisión </w:t>
      </w:r>
      <w:r>
        <w:rPr>
          <w:rFonts w:ascii="Palatino Linotype" w:eastAsia="Palatino Linotype" w:hAnsi="Palatino Linotype" w:cs="Palatino Linotype"/>
          <w:b/>
        </w:rPr>
        <w:t xml:space="preserve">05638/INFOEM/IP/RR/2023,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002DC58E" w14:textId="77777777" w:rsidR="003D2761" w:rsidRDefault="003D2761">
      <w:pPr>
        <w:spacing w:line="360" w:lineRule="auto"/>
        <w:ind w:right="-787"/>
        <w:jc w:val="both"/>
        <w:rPr>
          <w:rFonts w:ascii="Palatino Linotype" w:eastAsia="Palatino Linotype" w:hAnsi="Palatino Linotype" w:cs="Palatino Linotype"/>
        </w:rPr>
      </w:pPr>
    </w:p>
    <w:p w14:paraId="002DC58F" w14:textId="77777777" w:rsidR="003D2761" w:rsidRDefault="009349B2">
      <w:pPr>
        <w:spacing w:line="360" w:lineRule="auto"/>
        <w:ind w:right="-787"/>
        <w:jc w:val="both"/>
        <w:rPr>
          <w:rFonts w:ascii="Palatino Linotype" w:eastAsia="Palatino Linotype" w:hAnsi="Palatino Linotype" w:cs="Palatino Linotype"/>
          <w:color w:val="000000"/>
        </w:rPr>
      </w:pPr>
      <w:bookmarkStart w:id="12" w:name="_heading=h.z337ya" w:colFirst="0" w:colLast="0"/>
      <w:bookmarkEnd w:id="12"/>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 xml:space="preserve">REVOCA </w:t>
      </w:r>
      <w:r>
        <w:rPr>
          <w:rFonts w:ascii="Palatino Linotype" w:eastAsia="Palatino Linotype" w:hAnsi="Palatino Linotype" w:cs="Palatino Linotype"/>
          <w:color w:val="000000"/>
        </w:rPr>
        <w:t xml:space="preserve">la respuesta emitida por el </w:t>
      </w:r>
      <w:r>
        <w:rPr>
          <w:rFonts w:ascii="Palatino Linotype" w:eastAsia="Palatino Linotype" w:hAnsi="Palatino Linotype" w:cs="Palatino Linotype"/>
          <w:b/>
          <w:color w:val="000000"/>
        </w:rPr>
        <w:t xml:space="preserve">Ayuntamiento de Zinacantepec </w:t>
      </w:r>
      <w:r>
        <w:rPr>
          <w:rFonts w:ascii="Palatino Linotype" w:eastAsia="Palatino Linotype" w:hAnsi="Palatino Linotype" w:cs="Palatino Linotype"/>
          <w:color w:val="000000"/>
        </w:rPr>
        <w:t xml:space="preserve">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p>
    <w:p w14:paraId="002DC590" w14:textId="77777777" w:rsidR="003D2761" w:rsidRDefault="003D2761">
      <w:pPr>
        <w:spacing w:line="360" w:lineRule="auto"/>
        <w:ind w:right="-787"/>
        <w:jc w:val="both"/>
        <w:rPr>
          <w:rFonts w:ascii="Palatino Linotype" w:eastAsia="Palatino Linotype" w:hAnsi="Palatino Linotype" w:cs="Palatino Linotype"/>
          <w:b/>
        </w:rPr>
      </w:pPr>
    </w:p>
    <w:p w14:paraId="002DC591" w14:textId="77777777" w:rsidR="003D2761" w:rsidRDefault="009349B2">
      <w:pPr>
        <w:numPr>
          <w:ilvl w:val="0"/>
          <w:numId w:val="2"/>
        </w:numPr>
        <w:spacing w:line="360" w:lineRule="auto"/>
        <w:ind w:right="-787"/>
        <w:jc w:val="both"/>
        <w:rPr>
          <w:rFonts w:ascii="Palatino Linotype" w:eastAsia="Palatino Linotype" w:hAnsi="Palatino Linotype" w:cs="Palatino Linotype"/>
          <w:b/>
        </w:rPr>
      </w:pPr>
      <w:bookmarkStart w:id="13" w:name="_heading=h.3j2qqm3" w:colFirst="0" w:colLast="0"/>
      <w:bookmarkEnd w:id="13"/>
      <w:r>
        <w:rPr>
          <w:rFonts w:ascii="Palatino Linotype" w:eastAsia="Palatino Linotype" w:hAnsi="Palatino Linotype" w:cs="Palatino Linotype"/>
          <w:b/>
        </w:rPr>
        <w:t>Acuerdos de Incumplimiento del Ayuntamiento de Zinacantepec notificados por el Instituto de Transparencia, Acceso a la Información Pública y Protección de Datos Personales del Estado de México, del ejercicio fiscal dos mil veintidós y del uno de enero al dieciséis de agosto de dos mil veintitrés.</w:t>
      </w:r>
    </w:p>
    <w:p w14:paraId="002DC592" w14:textId="77777777" w:rsidR="003D2761" w:rsidRDefault="003D2761">
      <w:pPr>
        <w:ind w:left="778" w:right="-787"/>
        <w:jc w:val="both"/>
        <w:rPr>
          <w:rFonts w:ascii="Palatino Linotype" w:eastAsia="Palatino Linotype" w:hAnsi="Palatino Linotype" w:cs="Palatino Linotype"/>
          <w:b/>
        </w:rPr>
      </w:pPr>
    </w:p>
    <w:p w14:paraId="002DC593" w14:textId="77777777" w:rsidR="003D2761" w:rsidRDefault="009349B2">
      <w:pPr>
        <w:tabs>
          <w:tab w:val="left" w:pos="8080"/>
        </w:tabs>
        <w:spacing w:line="360" w:lineRule="auto"/>
        <w:ind w:right="-787"/>
        <w:jc w:val="both"/>
        <w:rPr>
          <w:rFonts w:ascii="Palatino Linotype" w:eastAsia="Palatino Linotype" w:hAnsi="Palatino Linotype" w:cs="Palatino Linotype"/>
          <w:color w:val="222222"/>
          <w:highlight w:val="white"/>
        </w:rPr>
      </w:pPr>
      <w:bookmarkStart w:id="14" w:name="_heading=h.30j0zll" w:colFirst="0" w:colLast="0"/>
      <w:bookmarkEnd w:id="14"/>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highlight w:val="white"/>
        </w:rPr>
        <w:t xml:space="preserve">NOTIFÍQUESE </w:t>
      </w:r>
      <w:r>
        <w:rPr>
          <w:rFonts w:ascii="Palatino Linotype" w:eastAsia="Palatino Linotype" w:hAnsi="Palatino Linotype" w:cs="Palatino Linotype"/>
          <w:color w:val="222222"/>
          <w:highlight w:val="whit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highlight w:val="white"/>
        </w:rPr>
        <w:t>dé cumplimiento a lo ordenado dentro del plazo de diez días hábiles,</w:t>
      </w:r>
      <w:r>
        <w:rPr>
          <w:rFonts w:ascii="Palatino Linotype" w:eastAsia="Palatino Linotype" w:hAnsi="Palatino Linotype" w:cs="Palatino Linotype"/>
          <w:color w:val="222222"/>
          <w:highlight w:val="whit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02DC594" w14:textId="77777777" w:rsidR="003D2761" w:rsidRDefault="003D2761">
      <w:pPr>
        <w:tabs>
          <w:tab w:val="left" w:pos="8080"/>
        </w:tabs>
        <w:spacing w:line="360" w:lineRule="auto"/>
        <w:ind w:right="-787"/>
        <w:jc w:val="both"/>
        <w:rPr>
          <w:rFonts w:ascii="Palatino Linotype" w:eastAsia="Palatino Linotype" w:hAnsi="Palatino Linotype" w:cs="Palatino Linotype"/>
          <w:highlight w:val="white"/>
        </w:rPr>
      </w:pPr>
    </w:p>
    <w:p w14:paraId="002DC595" w14:textId="77777777" w:rsidR="003D2761" w:rsidRDefault="009349B2">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002DC596" w14:textId="77777777" w:rsidR="003D2761" w:rsidRDefault="003D2761">
      <w:pPr>
        <w:spacing w:line="360" w:lineRule="auto"/>
        <w:ind w:right="-787"/>
        <w:jc w:val="both"/>
        <w:rPr>
          <w:rFonts w:ascii="Palatino Linotype" w:eastAsia="Palatino Linotype" w:hAnsi="Palatino Linotype" w:cs="Palatino Linotype"/>
        </w:rPr>
      </w:pPr>
    </w:p>
    <w:p w14:paraId="002DC597" w14:textId="77777777" w:rsidR="003D2761" w:rsidRDefault="009349B2">
      <w:pPr>
        <w:tabs>
          <w:tab w:val="left" w:pos="8080"/>
        </w:tabs>
        <w:spacing w:line="360" w:lineRule="auto"/>
        <w:ind w:right="-787"/>
        <w:jc w:val="both"/>
        <w:rPr>
          <w:rFonts w:ascii="Palatino Linotype" w:eastAsia="Palatino Linotype" w:hAnsi="Palatino Linotype" w:cs="Palatino Linotype"/>
        </w:rPr>
      </w:pPr>
      <w:bookmarkStart w:id="15" w:name="_heading=h.1y810tw" w:colFirst="0" w:colLast="0"/>
      <w:bookmarkEnd w:id="15"/>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002DC598" w14:textId="77777777" w:rsidR="003D2761" w:rsidRDefault="003D2761">
      <w:pPr>
        <w:tabs>
          <w:tab w:val="left" w:pos="8080"/>
        </w:tabs>
        <w:spacing w:line="360" w:lineRule="auto"/>
        <w:ind w:right="-787"/>
        <w:jc w:val="both"/>
        <w:rPr>
          <w:rFonts w:ascii="Palatino Linotype" w:eastAsia="Palatino Linotype" w:hAnsi="Palatino Linotype" w:cs="Palatino Linotype"/>
        </w:rPr>
      </w:pPr>
    </w:p>
    <w:p w14:paraId="002DC599" w14:textId="77777777" w:rsidR="003D2761" w:rsidRDefault="009349B2">
      <w:pPr>
        <w:shd w:val="clear" w:color="auto" w:fill="FFFFFF"/>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002DC59A" w14:textId="77777777" w:rsidR="003D2761" w:rsidRDefault="003D2761">
      <w:pPr>
        <w:shd w:val="clear" w:color="auto" w:fill="FFFFFF"/>
        <w:spacing w:line="360" w:lineRule="auto"/>
        <w:ind w:right="-787"/>
        <w:jc w:val="both"/>
        <w:rPr>
          <w:rFonts w:ascii="Palatino Linotype" w:eastAsia="Palatino Linotype" w:hAnsi="Palatino Linotype" w:cs="Palatino Linotype"/>
        </w:rPr>
      </w:pPr>
    </w:p>
    <w:p w14:paraId="4F44F107" w14:textId="77777777" w:rsidR="009349B2" w:rsidRPr="003C7186" w:rsidRDefault="009349B2" w:rsidP="00A14D41">
      <w:pPr>
        <w:spacing w:line="360" w:lineRule="auto"/>
        <w:ind w:right="-801"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SEGUNDA </w:t>
      </w:r>
      <w:r w:rsidRPr="003C7186">
        <w:rPr>
          <w:rFonts w:ascii="Palatino Linotype" w:hAnsi="Palatino Linotype"/>
        </w:rPr>
        <w:t xml:space="preserve">SESIÓN ORDINARIA CELEBRADA EL </w:t>
      </w:r>
      <w:r>
        <w:rPr>
          <w:rFonts w:ascii="Palatino Linotype" w:hAnsi="Palatino Linotype"/>
        </w:rPr>
        <w:t>ONCE</w:t>
      </w:r>
      <w:r w:rsidRPr="003C7186">
        <w:rPr>
          <w:rFonts w:ascii="Palatino Linotype" w:hAnsi="Palatino Linotype"/>
        </w:rPr>
        <w:t xml:space="preserve"> </w:t>
      </w:r>
      <w:r>
        <w:rPr>
          <w:rFonts w:ascii="Palatino Linotype" w:hAnsi="Palatino Linotype"/>
        </w:rPr>
        <w:t>(11) DE SEPTIEMBRE</w:t>
      </w:r>
      <w:r w:rsidRPr="003C7186">
        <w:rPr>
          <w:rFonts w:ascii="Palatino Linotype" w:hAnsi="Palatino Linotype"/>
        </w:rPr>
        <w:t xml:space="preserve"> DE DOS MIL VEINTICUATRO, ANTE EL SECRETARIO TÉCNICO DEL PLENO ALEXIS TAPIA RAMÍREZ. </w:t>
      </w:r>
    </w:p>
    <w:p w14:paraId="002DC59C" w14:textId="77777777" w:rsidR="003D2761" w:rsidRDefault="003D2761">
      <w:pPr>
        <w:spacing w:line="360" w:lineRule="auto"/>
        <w:ind w:right="-787"/>
        <w:jc w:val="both"/>
        <w:rPr>
          <w:rFonts w:ascii="Palatino Linotype" w:eastAsia="Palatino Linotype" w:hAnsi="Palatino Linotype" w:cs="Palatino Linotype"/>
        </w:rPr>
      </w:pPr>
    </w:p>
    <w:p w14:paraId="002DC59D" w14:textId="77777777" w:rsidR="003D2761" w:rsidRDefault="003D2761">
      <w:pPr>
        <w:spacing w:line="360" w:lineRule="auto"/>
        <w:ind w:right="-787"/>
        <w:jc w:val="both"/>
        <w:rPr>
          <w:rFonts w:ascii="Palatino Linotype" w:eastAsia="Palatino Linotype" w:hAnsi="Palatino Linotype" w:cs="Palatino Linotype"/>
        </w:rPr>
      </w:pPr>
    </w:p>
    <w:p w14:paraId="002DC59E" w14:textId="77777777" w:rsidR="003D2761" w:rsidRDefault="003D2761">
      <w:pPr>
        <w:spacing w:line="360" w:lineRule="auto"/>
        <w:ind w:right="-787"/>
        <w:jc w:val="both"/>
        <w:rPr>
          <w:rFonts w:ascii="Palatino Linotype" w:eastAsia="Palatino Linotype" w:hAnsi="Palatino Linotype" w:cs="Palatino Linotype"/>
        </w:rPr>
      </w:pPr>
    </w:p>
    <w:p w14:paraId="002DC59F" w14:textId="77777777" w:rsidR="003D2761" w:rsidRDefault="003D2761">
      <w:pPr>
        <w:spacing w:line="360" w:lineRule="auto"/>
        <w:ind w:right="-787"/>
        <w:jc w:val="both"/>
        <w:rPr>
          <w:rFonts w:ascii="Palatino Linotype" w:eastAsia="Palatino Linotype" w:hAnsi="Palatino Linotype" w:cs="Palatino Linotype"/>
        </w:rPr>
      </w:pPr>
    </w:p>
    <w:p w14:paraId="002DC5A0" w14:textId="77777777" w:rsidR="003D2761" w:rsidRDefault="003D2761">
      <w:pPr>
        <w:spacing w:line="360" w:lineRule="auto"/>
        <w:ind w:right="-787"/>
        <w:jc w:val="both"/>
        <w:rPr>
          <w:rFonts w:ascii="Palatino Linotype" w:eastAsia="Palatino Linotype" w:hAnsi="Palatino Linotype" w:cs="Palatino Linotype"/>
        </w:rPr>
      </w:pPr>
    </w:p>
    <w:p w14:paraId="002DC5A1" w14:textId="77777777" w:rsidR="003D2761" w:rsidRDefault="003D2761">
      <w:pPr>
        <w:spacing w:line="360" w:lineRule="auto"/>
        <w:ind w:right="-787"/>
        <w:jc w:val="both"/>
        <w:rPr>
          <w:rFonts w:ascii="Palatino Linotype" w:eastAsia="Palatino Linotype" w:hAnsi="Palatino Linotype" w:cs="Palatino Linotype"/>
        </w:rPr>
      </w:pPr>
    </w:p>
    <w:p w14:paraId="002DC5A2" w14:textId="77777777" w:rsidR="003D2761" w:rsidRDefault="003D2761">
      <w:pPr>
        <w:spacing w:line="360" w:lineRule="auto"/>
        <w:ind w:right="-787"/>
        <w:jc w:val="both"/>
        <w:rPr>
          <w:rFonts w:ascii="Palatino Linotype" w:eastAsia="Palatino Linotype" w:hAnsi="Palatino Linotype" w:cs="Palatino Linotype"/>
        </w:rPr>
      </w:pPr>
    </w:p>
    <w:p w14:paraId="002DC5A3" w14:textId="77777777" w:rsidR="003D2761" w:rsidRDefault="003D2761">
      <w:pPr>
        <w:spacing w:line="360" w:lineRule="auto"/>
        <w:ind w:right="-787"/>
        <w:jc w:val="both"/>
        <w:rPr>
          <w:rFonts w:ascii="Palatino Linotype" w:eastAsia="Palatino Linotype" w:hAnsi="Palatino Linotype" w:cs="Palatino Linotype"/>
        </w:rPr>
      </w:pPr>
    </w:p>
    <w:p w14:paraId="002DC5A4" w14:textId="77777777" w:rsidR="003D2761" w:rsidRDefault="003D2761">
      <w:pPr>
        <w:spacing w:line="360" w:lineRule="auto"/>
        <w:ind w:right="-787"/>
        <w:jc w:val="both"/>
        <w:rPr>
          <w:rFonts w:ascii="Palatino Linotype" w:eastAsia="Palatino Linotype" w:hAnsi="Palatino Linotype" w:cs="Palatino Linotype"/>
        </w:rPr>
      </w:pPr>
    </w:p>
    <w:p w14:paraId="002DC5A5" w14:textId="77777777" w:rsidR="003D2761" w:rsidRDefault="003D2761">
      <w:pPr>
        <w:spacing w:line="360" w:lineRule="auto"/>
        <w:ind w:right="-787"/>
        <w:jc w:val="both"/>
        <w:rPr>
          <w:rFonts w:ascii="Palatino Linotype" w:eastAsia="Palatino Linotype" w:hAnsi="Palatino Linotype" w:cs="Palatino Linotype"/>
        </w:rPr>
      </w:pPr>
    </w:p>
    <w:p w14:paraId="002DC5A6" w14:textId="77777777" w:rsidR="003D2761" w:rsidRDefault="003D2761">
      <w:pPr>
        <w:spacing w:line="360" w:lineRule="auto"/>
        <w:ind w:right="-787"/>
        <w:rPr>
          <w:rFonts w:ascii="Palatino Linotype" w:eastAsia="Palatino Linotype" w:hAnsi="Palatino Linotype" w:cs="Palatino Linotype"/>
        </w:rPr>
      </w:pPr>
    </w:p>
    <w:p w14:paraId="002DC5A7" w14:textId="77777777" w:rsidR="003D2761" w:rsidRDefault="003D2761">
      <w:pPr>
        <w:spacing w:line="360" w:lineRule="auto"/>
        <w:ind w:right="-787"/>
        <w:rPr>
          <w:rFonts w:ascii="Palatino Linotype" w:eastAsia="Palatino Linotype" w:hAnsi="Palatino Linotype" w:cs="Palatino Linotype"/>
        </w:rPr>
      </w:pPr>
    </w:p>
    <w:p w14:paraId="002DC5A8" w14:textId="77777777" w:rsidR="003D2761" w:rsidRDefault="003D2761">
      <w:pPr>
        <w:spacing w:line="360" w:lineRule="auto"/>
        <w:ind w:right="-787"/>
        <w:rPr>
          <w:rFonts w:ascii="Palatino Linotype" w:eastAsia="Palatino Linotype" w:hAnsi="Palatino Linotype" w:cs="Palatino Linotype"/>
        </w:rPr>
      </w:pPr>
    </w:p>
    <w:p w14:paraId="002DC5A9" w14:textId="77777777" w:rsidR="003D2761" w:rsidRDefault="003D2761">
      <w:pPr>
        <w:spacing w:line="360" w:lineRule="auto"/>
        <w:ind w:right="-787"/>
        <w:rPr>
          <w:rFonts w:ascii="Palatino Linotype" w:eastAsia="Palatino Linotype" w:hAnsi="Palatino Linotype" w:cs="Palatino Linotype"/>
        </w:rPr>
      </w:pPr>
    </w:p>
    <w:p w14:paraId="002DC5AA" w14:textId="77777777" w:rsidR="003D2761" w:rsidRDefault="003D2761">
      <w:pPr>
        <w:spacing w:line="360" w:lineRule="auto"/>
        <w:ind w:right="-787"/>
        <w:rPr>
          <w:rFonts w:ascii="Palatino Linotype" w:eastAsia="Palatino Linotype" w:hAnsi="Palatino Linotype" w:cs="Palatino Linotype"/>
        </w:rPr>
      </w:pPr>
    </w:p>
    <w:p w14:paraId="002DC5AB" w14:textId="77777777" w:rsidR="003D2761" w:rsidRDefault="003D2761">
      <w:pPr>
        <w:spacing w:line="360" w:lineRule="auto"/>
        <w:ind w:right="-787"/>
        <w:rPr>
          <w:rFonts w:ascii="Palatino Linotype" w:eastAsia="Palatino Linotype" w:hAnsi="Palatino Linotype" w:cs="Palatino Linotype"/>
        </w:rPr>
      </w:pPr>
    </w:p>
    <w:p w14:paraId="002DC5AC" w14:textId="77777777" w:rsidR="003D2761" w:rsidRDefault="003D2761">
      <w:pPr>
        <w:spacing w:line="360" w:lineRule="auto"/>
        <w:ind w:right="-787"/>
        <w:rPr>
          <w:rFonts w:ascii="Palatino Linotype" w:eastAsia="Palatino Linotype" w:hAnsi="Palatino Linotype" w:cs="Palatino Linotype"/>
        </w:rPr>
      </w:pPr>
    </w:p>
    <w:p w14:paraId="002DC5AD" w14:textId="77777777" w:rsidR="003D2761" w:rsidRDefault="009349B2">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p w14:paraId="002DC5AE"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AF"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0"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1"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2"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3"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4"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5"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6"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7"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8"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9"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BA" w14:textId="77777777" w:rsidR="003D2761" w:rsidRDefault="003D2761">
      <w:pPr>
        <w:tabs>
          <w:tab w:val="left" w:pos="3374"/>
        </w:tabs>
        <w:spacing w:line="360" w:lineRule="auto"/>
        <w:ind w:right="-787"/>
        <w:rPr>
          <w:rFonts w:ascii="Palatino Linotype" w:eastAsia="Palatino Linotype" w:hAnsi="Palatino Linotype" w:cs="Palatino Linotype"/>
        </w:rPr>
      </w:pPr>
    </w:p>
    <w:p w14:paraId="002DC5C2" w14:textId="77777777" w:rsidR="003D2761" w:rsidRDefault="003D2761">
      <w:pPr>
        <w:ind w:right="-787"/>
      </w:pPr>
    </w:p>
    <w:p w14:paraId="002DC5C3" w14:textId="77777777" w:rsidR="003D2761" w:rsidRDefault="003D2761">
      <w:pPr>
        <w:ind w:right="-787"/>
      </w:pPr>
    </w:p>
    <w:p w14:paraId="002DC5C4" w14:textId="77777777" w:rsidR="003D2761" w:rsidRDefault="003D2761"/>
    <w:sectPr w:rsidR="003D2761">
      <w:headerReference w:type="even" r:id="rId13"/>
      <w:headerReference w:type="default" r:id="rId14"/>
      <w:footerReference w:type="default" r:id="rId15"/>
      <w:headerReference w:type="first" r:id="rId16"/>
      <w:footerReference w:type="first" r:id="rId17"/>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30C46" w14:textId="77777777" w:rsidR="005D77D8" w:rsidRDefault="005D77D8">
      <w:r>
        <w:separator/>
      </w:r>
    </w:p>
  </w:endnote>
  <w:endnote w:type="continuationSeparator" w:id="0">
    <w:p w14:paraId="1469201C" w14:textId="77777777" w:rsidR="005D77D8" w:rsidRDefault="005D7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19DDAAA9-CFD7-43C3-AA9F-F4EB16DB0296}"/>
    <w:embedBold r:id="rId2" w:fontKey="{D82FFC9F-0AC6-4A39-846A-F4BDBFF4412A}"/>
    <w:embedItalic r:id="rId3" w:fontKey="{E5F2E6C0-BBBD-403F-A11D-4936C832BA86}"/>
    <w:embedBoldItalic r:id="rId4" w:fontKey="{D8363C2E-590E-4670-9DE1-97EA2D180B60}"/>
  </w:font>
  <w:font w:name="Noto Sans Symbols">
    <w:altName w:val="Times New Roman"/>
    <w:charset w:val="00"/>
    <w:family w:val="auto"/>
    <w:pitch w:val="default"/>
    <w:embedRegular r:id="rId5" w:fontKey="{23CD805B-BCA8-4AE1-870C-0B60A4B4C3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98E2549-25E7-4260-B66E-13D2961837C0}"/>
    <w:embedBold r:id="rId7" w:fontKey="{885C6F69-44D2-428A-84DE-53624E01F154}"/>
    <w:embedBoldItalic r:id="rId8" w:fontKey="{07FFE0FF-BEB6-444E-9BA3-4AFA430B9EE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C99B5344-D7B9-47E0-941C-EF71D4B58B40}"/>
  </w:font>
  <w:font w:name="Georgia">
    <w:panose1 w:val="02040502050405020303"/>
    <w:charset w:val="00"/>
    <w:family w:val="roman"/>
    <w:pitch w:val="variable"/>
    <w:sig w:usb0="00000287" w:usb1="00000000" w:usb2="00000000" w:usb3="00000000" w:csb0="0000009F" w:csb1="00000000"/>
    <w:embedRegular r:id="rId10" w:fontKey="{F202F272-7430-496F-8A07-1B387DB35BCA}"/>
    <w:embedItalic r:id="rId11" w:fontKey="{3FB8C50D-5376-4FC9-A9DB-67107A2B467C}"/>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C5DB" w14:textId="1DAF06F7" w:rsidR="003D2761" w:rsidRDefault="009349B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5651">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5651">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p w14:paraId="002DC5DC" w14:textId="77777777" w:rsidR="003D2761" w:rsidRDefault="003D276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C5EB" w14:textId="3727640D" w:rsidR="003D2761" w:rsidRDefault="009349B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5651">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5651">
      <w:rPr>
        <w:rFonts w:ascii="Palatino Linotype" w:eastAsia="Palatino Linotype" w:hAnsi="Palatino Linotype" w:cs="Palatino Linotype"/>
        <w:noProof/>
        <w:color w:val="000000"/>
        <w:sz w:val="20"/>
        <w:szCs w:val="20"/>
      </w:rPr>
      <w:t>28</w:t>
    </w:r>
    <w:r>
      <w:rPr>
        <w:rFonts w:ascii="Palatino Linotype" w:eastAsia="Palatino Linotype" w:hAnsi="Palatino Linotype" w:cs="Palatino Linotype"/>
        <w:color w:val="000000"/>
        <w:sz w:val="20"/>
        <w:szCs w:val="20"/>
      </w:rPr>
      <w:fldChar w:fldCharType="end"/>
    </w:r>
  </w:p>
  <w:p w14:paraId="002DC5EC" w14:textId="77777777" w:rsidR="003D2761" w:rsidRDefault="003D276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99444" w14:textId="77777777" w:rsidR="005D77D8" w:rsidRDefault="005D77D8">
      <w:r>
        <w:separator/>
      </w:r>
    </w:p>
  </w:footnote>
  <w:footnote w:type="continuationSeparator" w:id="0">
    <w:p w14:paraId="2D7E3B10" w14:textId="77777777" w:rsidR="005D77D8" w:rsidRDefault="005D77D8">
      <w:r>
        <w:continuationSeparator/>
      </w:r>
    </w:p>
  </w:footnote>
  <w:footnote w:id="1">
    <w:p w14:paraId="002DC5F0" w14:textId="77777777" w:rsidR="003D2761" w:rsidRDefault="009349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002DC5F1" w14:textId="77777777" w:rsidR="003D2761" w:rsidRDefault="009349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002DC5F2" w14:textId="77777777" w:rsidR="003D2761" w:rsidRDefault="009349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002DC5F3" w14:textId="77777777" w:rsidR="003D2761" w:rsidRDefault="009349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C5CF" w14:textId="77777777" w:rsidR="003D2761" w:rsidRDefault="005D77D8">
    <w:pPr>
      <w:pBdr>
        <w:top w:val="nil"/>
        <w:left w:val="nil"/>
        <w:bottom w:val="nil"/>
        <w:right w:val="nil"/>
        <w:between w:val="nil"/>
      </w:pBdr>
      <w:tabs>
        <w:tab w:val="center" w:pos="4419"/>
        <w:tab w:val="right" w:pos="8838"/>
      </w:tabs>
      <w:rPr>
        <w:color w:val="000000"/>
      </w:rPr>
    </w:pPr>
    <w:r>
      <w:rPr>
        <w:color w:val="000000"/>
      </w:rPr>
      <w:pict w14:anchorId="002DC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C5D0" w14:textId="77777777" w:rsidR="003D2761" w:rsidRDefault="003D2761">
    <w:pPr>
      <w:widowControl w:val="0"/>
      <w:pBdr>
        <w:top w:val="nil"/>
        <w:left w:val="nil"/>
        <w:bottom w:val="nil"/>
        <w:right w:val="nil"/>
        <w:between w:val="nil"/>
      </w:pBdr>
      <w:spacing w:line="276" w:lineRule="auto"/>
      <w:rPr>
        <w:color w:val="000000"/>
      </w:rPr>
    </w:pPr>
  </w:p>
  <w:tbl>
    <w:tblPr>
      <w:tblStyle w:val="a"/>
      <w:tblW w:w="7125" w:type="dxa"/>
      <w:tblInd w:w="2694" w:type="dxa"/>
      <w:tblLayout w:type="fixed"/>
      <w:tblLook w:val="0400" w:firstRow="0" w:lastRow="0" w:firstColumn="0" w:lastColumn="0" w:noHBand="0" w:noVBand="1"/>
    </w:tblPr>
    <w:tblGrid>
      <w:gridCol w:w="2970"/>
      <w:gridCol w:w="4155"/>
    </w:tblGrid>
    <w:tr w:rsidR="003D2761" w14:paraId="002DC5D3" w14:textId="77777777">
      <w:trPr>
        <w:trHeight w:val="227"/>
      </w:trPr>
      <w:tc>
        <w:tcPr>
          <w:tcW w:w="2970" w:type="dxa"/>
          <w:vAlign w:val="center"/>
        </w:tcPr>
        <w:p w14:paraId="002DC5D1" w14:textId="77777777" w:rsidR="003D2761" w:rsidRDefault="009349B2">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55" w:type="dxa"/>
          <w:vAlign w:val="center"/>
        </w:tcPr>
        <w:p w14:paraId="002DC5D2" w14:textId="77777777" w:rsidR="003D2761" w:rsidRDefault="009349B2">
          <w:pPr>
            <w:pBdr>
              <w:top w:val="nil"/>
              <w:left w:val="nil"/>
              <w:bottom w:val="nil"/>
              <w:right w:val="nil"/>
              <w:between w:val="nil"/>
            </w:pBdr>
            <w:tabs>
              <w:tab w:val="center" w:pos="4419"/>
              <w:tab w:val="right" w:pos="8838"/>
            </w:tabs>
            <w:ind w:right="-668"/>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05638/INFOEM/IP/RR/2023</w:t>
          </w:r>
        </w:p>
      </w:tc>
    </w:tr>
    <w:tr w:rsidR="003D2761" w14:paraId="002DC5D6" w14:textId="77777777">
      <w:trPr>
        <w:trHeight w:val="242"/>
      </w:trPr>
      <w:tc>
        <w:tcPr>
          <w:tcW w:w="2970" w:type="dxa"/>
          <w:vAlign w:val="center"/>
        </w:tcPr>
        <w:p w14:paraId="002DC5D4" w14:textId="77777777" w:rsidR="003D2761" w:rsidRDefault="009349B2">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55" w:type="dxa"/>
          <w:vAlign w:val="center"/>
        </w:tcPr>
        <w:p w14:paraId="002DC5D5" w14:textId="77777777" w:rsidR="003D2761" w:rsidRDefault="009349B2">
          <w:pPr>
            <w:pBdr>
              <w:top w:val="nil"/>
              <w:left w:val="nil"/>
              <w:bottom w:val="nil"/>
              <w:right w:val="nil"/>
              <w:between w:val="nil"/>
            </w:pBdr>
            <w:tabs>
              <w:tab w:val="center" w:pos="4419"/>
              <w:tab w:val="right" w:pos="8838"/>
            </w:tabs>
            <w:ind w:right="-668"/>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Zinacantepec</w:t>
          </w:r>
        </w:p>
      </w:tc>
    </w:tr>
    <w:tr w:rsidR="003D2761" w14:paraId="002DC5D9" w14:textId="77777777">
      <w:trPr>
        <w:trHeight w:val="342"/>
      </w:trPr>
      <w:tc>
        <w:tcPr>
          <w:tcW w:w="2970" w:type="dxa"/>
          <w:vAlign w:val="center"/>
        </w:tcPr>
        <w:p w14:paraId="002DC5D7" w14:textId="77777777" w:rsidR="003D2761" w:rsidRDefault="009349B2">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55" w:type="dxa"/>
          <w:vAlign w:val="center"/>
        </w:tcPr>
        <w:p w14:paraId="002DC5D8" w14:textId="77777777" w:rsidR="003D2761" w:rsidRDefault="009349B2">
          <w:pPr>
            <w:pBdr>
              <w:top w:val="nil"/>
              <w:left w:val="nil"/>
              <w:bottom w:val="nil"/>
              <w:right w:val="nil"/>
              <w:between w:val="nil"/>
            </w:pBdr>
            <w:tabs>
              <w:tab w:val="center" w:pos="4419"/>
              <w:tab w:val="right" w:pos="8838"/>
            </w:tabs>
            <w:ind w:right="-668"/>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002DC5DA" w14:textId="77777777" w:rsidR="003D2761" w:rsidRDefault="005D77D8">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002DC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DC5DD" w14:textId="77777777" w:rsidR="003D2761" w:rsidRDefault="003D2761">
    <w:pPr>
      <w:widowControl w:val="0"/>
      <w:pBdr>
        <w:top w:val="nil"/>
        <w:left w:val="nil"/>
        <w:bottom w:val="nil"/>
        <w:right w:val="nil"/>
        <w:between w:val="nil"/>
      </w:pBdr>
      <w:spacing w:line="276" w:lineRule="auto"/>
      <w:rPr>
        <w:color w:val="000000"/>
        <w:sz w:val="14"/>
        <w:szCs w:val="14"/>
      </w:rPr>
    </w:pPr>
  </w:p>
  <w:tbl>
    <w:tblPr>
      <w:tblStyle w:val="a0"/>
      <w:tblW w:w="7335" w:type="dxa"/>
      <w:tblInd w:w="2552" w:type="dxa"/>
      <w:tblLayout w:type="fixed"/>
      <w:tblLook w:val="0400" w:firstRow="0" w:lastRow="0" w:firstColumn="0" w:lastColumn="0" w:noHBand="0" w:noVBand="1"/>
    </w:tblPr>
    <w:tblGrid>
      <w:gridCol w:w="2970"/>
      <w:gridCol w:w="4365"/>
    </w:tblGrid>
    <w:tr w:rsidR="003D2761" w14:paraId="002DC5E0" w14:textId="77777777">
      <w:trPr>
        <w:trHeight w:val="227"/>
      </w:trPr>
      <w:tc>
        <w:tcPr>
          <w:tcW w:w="2970" w:type="dxa"/>
          <w:vAlign w:val="center"/>
        </w:tcPr>
        <w:p w14:paraId="002DC5DE" w14:textId="77777777" w:rsidR="003D2761" w:rsidRDefault="009349B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65" w:type="dxa"/>
          <w:vAlign w:val="center"/>
        </w:tcPr>
        <w:p w14:paraId="002DC5DF" w14:textId="77777777" w:rsidR="003D2761" w:rsidRDefault="009349B2">
          <w:pPr>
            <w:pBdr>
              <w:top w:val="nil"/>
              <w:left w:val="nil"/>
              <w:bottom w:val="nil"/>
              <w:right w:val="nil"/>
              <w:between w:val="nil"/>
            </w:pBdr>
            <w:tabs>
              <w:tab w:val="center" w:pos="4419"/>
              <w:tab w:val="right" w:pos="8838"/>
            </w:tabs>
            <w:ind w:right="-801"/>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05638/INFOEM/IP/RR/2023</w:t>
          </w:r>
        </w:p>
      </w:tc>
    </w:tr>
    <w:tr w:rsidR="003D2761" w14:paraId="002DC5E3" w14:textId="77777777">
      <w:trPr>
        <w:trHeight w:val="242"/>
      </w:trPr>
      <w:tc>
        <w:tcPr>
          <w:tcW w:w="2970" w:type="dxa"/>
          <w:vAlign w:val="center"/>
        </w:tcPr>
        <w:p w14:paraId="002DC5E1" w14:textId="77777777" w:rsidR="003D2761" w:rsidRDefault="009349B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65" w:type="dxa"/>
        </w:tcPr>
        <w:p w14:paraId="002DC5E2" w14:textId="00FAFC00" w:rsidR="003D2761" w:rsidRDefault="003D2761">
          <w:pPr>
            <w:pBdr>
              <w:top w:val="nil"/>
              <w:left w:val="nil"/>
              <w:bottom w:val="nil"/>
              <w:right w:val="nil"/>
              <w:between w:val="nil"/>
            </w:pBdr>
            <w:tabs>
              <w:tab w:val="center" w:pos="4419"/>
              <w:tab w:val="right" w:pos="8838"/>
              <w:tab w:val="left" w:pos="521"/>
            </w:tabs>
            <w:ind w:right="-801"/>
            <w:rPr>
              <w:rFonts w:ascii="Palatino Linotype" w:eastAsia="Palatino Linotype" w:hAnsi="Palatino Linotype" w:cs="Palatino Linotype"/>
              <w:sz w:val="22"/>
              <w:szCs w:val="22"/>
              <w:highlight w:val="green"/>
            </w:rPr>
          </w:pPr>
        </w:p>
      </w:tc>
    </w:tr>
    <w:tr w:rsidR="003D2761" w14:paraId="002DC5E6" w14:textId="77777777">
      <w:trPr>
        <w:trHeight w:val="342"/>
      </w:trPr>
      <w:tc>
        <w:tcPr>
          <w:tcW w:w="2970" w:type="dxa"/>
          <w:vAlign w:val="center"/>
        </w:tcPr>
        <w:p w14:paraId="002DC5E4" w14:textId="77777777" w:rsidR="003D2761" w:rsidRDefault="009349B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65" w:type="dxa"/>
          <w:vAlign w:val="center"/>
        </w:tcPr>
        <w:p w14:paraId="002DC5E5" w14:textId="77777777" w:rsidR="003D2761" w:rsidRDefault="009349B2">
          <w:pPr>
            <w:pBdr>
              <w:top w:val="nil"/>
              <w:left w:val="nil"/>
              <w:bottom w:val="nil"/>
              <w:right w:val="nil"/>
              <w:between w:val="nil"/>
            </w:pBdr>
            <w:tabs>
              <w:tab w:val="center" w:pos="4419"/>
              <w:tab w:val="right" w:pos="8838"/>
            </w:tabs>
            <w:ind w:right="-801"/>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Ayuntamiento de Zinacantepec</w:t>
          </w:r>
        </w:p>
      </w:tc>
    </w:tr>
    <w:tr w:rsidR="003D2761" w14:paraId="002DC5E9" w14:textId="77777777">
      <w:trPr>
        <w:trHeight w:val="342"/>
      </w:trPr>
      <w:tc>
        <w:tcPr>
          <w:tcW w:w="2970" w:type="dxa"/>
          <w:vAlign w:val="center"/>
        </w:tcPr>
        <w:p w14:paraId="002DC5E7" w14:textId="77777777" w:rsidR="003D2761" w:rsidRDefault="009349B2">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65" w:type="dxa"/>
          <w:vAlign w:val="center"/>
        </w:tcPr>
        <w:p w14:paraId="002DC5E8" w14:textId="77777777" w:rsidR="003D2761" w:rsidRDefault="009349B2">
          <w:pPr>
            <w:pBdr>
              <w:top w:val="nil"/>
              <w:left w:val="nil"/>
              <w:bottom w:val="nil"/>
              <w:right w:val="nil"/>
              <w:between w:val="nil"/>
            </w:pBdr>
            <w:tabs>
              <w:tab w:val="center" w:pos="4419"/>
              <w:tab w:val="right" w:pos="8838"/>
            </w:tabs>
            <w:ind w:right="-801"/>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002DC5EA" w14:textId="77777777" w:rsidR="003D2761" w:rsidRDefault="005D77D8">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002DC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4443C"/>
    <w:multiLevelType w:val="multilevel"/>
    <w:tmpl w:val="EC6ED6B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21D80516"/>
    <w:multiLevelType w:val="multilevel"/>
    <w:tmpl w:val="A148C1E2"/>
    <w:lvl w:ilvl="0">
      <w:start w:val="1"/>
      <w:numFmt w:val="decimal"/>
      <w:lvlText w:val="%1."/>
      <w:lvlJc w:val="left"/>
      <w:pPr>
        <w:ind w:left="786"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86B6A0C"/>
    <w:multiLevelType w:val="multilevel"/>
    <w:tmpl w:val="204A09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6DB11B6"/>
    <w:multiLevelType w:val="multilevel"/>
    <w:tmpl w:val="4728570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nsid w:val="771832D7"/>
    <w:multiLevelType w:val="multilevel"/>
    <w:tmpl w:val="1FD6A3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7E4274F3"/>
    <w:multiLevelType w:val="multilevel"/>
    <w:tmpl w:val="C406AA9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761"/>
    <w:rsid w:val="002A2D33"/>
    <w:rsid w:val="003D2761"/>
    <w:rsid w:val="005D77D8"/>
    <w:rsid w:val="00615651"/>
    <w:rsid w:val="008109C1"/>
    <w:rsid w:val="0090670B"/>
    <w:rsid w:val="009349B2"/>
    <w:rsid w:val="00A14D41"/>
    <w:rsid w:val="00B84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2DC4A0"/>
  <w15:docId w15:val="{3FF1743A-A00E-4AC3-9608-91C47F38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76F"/>
    <w:rPr>
      <w:rFonts w:eastAsiaTheme="minorEastAsia"/>
      <w:lang w:eastAsia="es-ES"/>
    </w:rPr>
  </w:style>
  <w:style w:type="paragraph" w:styleId="Ttulo1">
    <w:name w:val="heading 1"/>
    <w:basedOn w:val="Normal"/>
    <w:next w:val="Normal"/>
    <w:link w:val="Ttulo1Car"/>
    <w:uiPriority w:val="9"/>
    <w:qFormat/>
    <w:rsid w:val="008907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9076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89076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89076F"/>
    <w:rPr>
      <w:rFonts w:asciiTheme="majorHAnsi" w:eastAsiaTheme="majorEastAsia" w:hAnsiTheme="majorHAnsi" w:cstheme="majorBidi"/>
      <w:color w:val="2E74B5" w:themeColor="accent1" w:themeShade="BF"/>
      <w:sz w:val="26"/>
      <w:szCs w:val="26"/>
      <w:lang w:val="es-ES_tradnl" w:eastAsia="es-ES"/>
    </w:rPr>
  </w:style>
  <w:style w:type="paragraph" w:styleId="Piedepgina">
    <w:name w:val="footer"/>
    <w:basedOn w:val="Normal"/>
    <w:link w:val="PiedepginaCar"/>
    <w:uiPriority w:val="99"/>
    <w:unhideWhenUsed/>
    <w:rsid w:val="0089076F"/>
    <w:pPr>
      <w:tabs>
        <w:tab w:val="center" w:pos="4419"/>
        <w:tab w:val="right" w:pos="8838"/>
      </w:tabs>
    </w:pPr>
  </w:style>
  <w:style w:type="character" w:customStyle="1" w:styleId="PiedepginaCar">
    <w:name w:val="Pie de página Car"/>
    <w:basedOn w:val="Fuentedeprrafopredeter"/>
    <w:link w:val="Piedepgina"/>
    <w:uiPriority w:val="99"/>
    <w:rsid w:val="0089076F"/>
    <w:rPr>
      <w:rFonts w:ascii="Calibri" w:eastAsiaTheme="minorEastAsia" w:hAnsi="Calibri" w:cs="Calibri"/>
      <w:sz w:val="24"/>
      <w:szCs w:val="24"/>
      <w:lang w:val="es-ES_tradnl" w:eastAsia="es-ES"/>
    </w:rPr>
  </w:style>
  <w:style w:type="paragraph" w:styleId="Prrafodelista">
    <w:name w:val="List Paragraph"/>
    <w:basedOn w:val="Normal"/>
    <w:uiPriority w:val="34"/>
    <w:qFormat/>
    <w:rsid w:val="009E6357"/>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NTmULQtpJiVDZhPX7skvAVKUQ==">CgMxLjAyCWguMzBqMHpsbDIJaC4xZm9iOXRlMgloLjN6bnlzaDcyCWguMmV0OTJwMDIIaC50eWpjd3QyCWguM2R5NnZrbTIJaC4xdDNoNXNmMgloLjRkMzRvZzgyCWguMnM4ZXlvMTIJaC4xN2RwOHZ1MgloLjNyZGNyam4yCGguZ2pkZ3hzMghoLnozMzd5YTIJaC4zajJxcW0zMgloLjMwajB6bGwyCWguMXk4MTB0dzgAciExdGJxM3l6cjdmUExSYy1IbnU5R3ZvRTA5R3AweVQ4a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6534</Words>
  <Characters>35941</Characters>
  <Application>Microsoft Office Word</Application>
  <DocSecurity>0</DocSecurity>
  <Lines>299</Lines>
  <Paragraphs>84</Paragraphs>
  <ScaleCrop>false</ScaleCrop>
  <Company/>
  <LinksUpToDate>false</LinksUpToDate>
  <CharactersWithSpaces>42391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USUARIO</cp:lastModifiedBy>
  <cp:revision>6</cp:revision>
  <cp:lastPrinted>2024-09-13T15:29:00Z</cp:lastPrinted>
  <dcterms:created xsi:type="dcterms:W3CDTF">2024-09-04T20:43:00Z</dcterms:created>
  <dcterms:modified xsi:type="dcterms:W3CDTF">2024-09-13T15:29:00Z</dcterms:modified>
</cp:coreProperties>
</file>