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12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a diecisiete de enero de dos mil veinticuatro.</w:t>
      </w:r>
    </w:p>
    <w:p w:rsidR="00000000" w:rsidDel="00000000" w:rsidP="00000000" w:rsidRDefault="00000000" w:rsidRPr="00000000" w14:paraId="00000002">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3">
      <w:pPr>
        <w:spacing w:after="0" w:before="120" w:line="360" w:lineRule="auto"/>
        <w:jc w:val="both"/>
        <w:rPr>
          <w:rFonts w:ascii="Palatino Linotype" w:cs="Palatino Linotype" w:eastAsia="Palatino Linotype" w:hAnsi="Palatino Linotype"/>
          <w:sz w:val="24"/>
          <w:szCs w:val="24"/>
        </w:rPr>
      </w:pPr>
      <w:bookmarkStart w:colFirst="0" w:colLast="0" w:name="_heading=h.3znysh7" w:id="0"/>
      <w:bookmarkEnd w:id="0"/>
      <w:r w:rsidDel="00000000" w:rsidR="00000000" w:rsidRPr="00000000">
        <w:rPr>
          <w:rFonts w:ascii="Palatino Linotype" w:cs="Palatino Linotype" w:eastAsia="Palatino Linotype" w:hAnsi="Palatino Linotype"/>
          <w:b w:val="1"/>
          <w:sz w:val="24"/>
          <w:szCs w:val="24"/>
          <w:rtl w:val="0"/>
        </w:rPr>
        <w:t xml:space="preserve">Visto </w:t>
      </w:r>
      <w:r w:rsidDel="00000000" w:rsidR="00000000" w:rsidRPr="00000000">
        <w:rPr>
          <w:rFonts w:ascii="Palatino Linotype" w:cs="Palatino Linotype" w:eastAsia="Palatino Linotype" w:hAnsi="Palatino Linotype"/>
          <w:sz w:val="24"/>
          <w:szCs w:val="24"/>
          <w:rtl w:val="0"/>
        </w:rPr>
        <w:t xml:space="preserve">el expediente relativo al recurso de revisión </w:t>
      </w:r>
      <w:r w:rsidDel="00000000" w:rsidR="00000000" w:rsidRPr="00000000">
        <w:rPr>
          <w:rFonts w:ascii="Palatino Linotype" w:cs="Palatino Linotype" w:eastAsia="Palatino Linotype" w:hAnsi="Palatino Linotype"/>
          <w:b w:val="1"/>
          <w:sz w:val="24"/>
          <w:szCs w:val="24"/>
          <w:rtl w:val="0"/>
        </w:rPr>
        <w:t xml:space="preserve">05089/INFOEM/IP/RR/2023</w:t>
      </w:r>
      <w:r w:rsidDel="00000000" w:rsidR="00000000" w:rsidRPr="00000000">
        <w:rPr>
          <w:rFonts w:ascii="Palatino Linotype" w:cs="Palatino Linotype" w:eastAsia="Palatino Linotype" w:hAnsi="Palatino Linotype"/>
          <w:sz w:val="24"/>
          <w:szCs w:val="24"/>
          <w:rtl w:val="0"/>
        </w:rPr>
        <w:t xml:space="preserve">, interpuesto por</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un XXXXXXX XXXXX XXXX XXXXX, en lo sucesivo se le denominara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en contra de la respuesta a la solicitud de información con número de folio </w:t>
      </w:r>
      <w:r w:rsidDel="00000000" w:rsidR="00000000" w:rsidRPr="00000000">
        <w:rPr>
          <w:rFonts w:ascii="Palatino Linotype" w:cs="Palatino Linotype" w:eastAsia="Palatino Linotype" w:hAnsi="Palatino Linotype"/>
          <w:b w:val="1"/>
          <w:sz w:val="24"/>
          <w:szCs w:val="24"/>
          <w:rtl w:val="0"/>
        </w:rPr>
        <w:t xml:space="preserve">00297/ZUMPANGO/IP/2023,</w:t>
      </w:r>
      <w:r w:rsidDel="00000000" w:rsidR="00000000" w:rsidRPr="00000000">
        <w:rPr>
          <w:rFonts w:ascii="Palatino Linotype" w:cs="Palatino Linotype" w:eastAsia="Palatino Linotype" w:hAnsi="Palatino Linotype"/>
          <w:sz w:val="24"/>
          <w:szCs w:val="24"/>
          <w:rtl w:val="0"/>
        </w:rPr>
        <w:t xml:space="preserve"> por parte del</w:t>
      </w:r>
      <w:r w:rsidDel="00000000" w:rsidR="00000000" w:rsidRPr="00000000">
        <w:rPr>
          <w:rFonts w:ascii="Palatino Linotype" w:cs="Palatino Linotype" w:eastAsia="Palatino Linotype" w:hAnsi="Palatino Linotype"/>
          <w:b w:val="1"/>
          <w:sz w:val="24"/>
          <w:szCs w:val="24"/>
          <w:rtl w:val="0"/>
        </w:rPr>
        <w:t xml:space="preserve"> Ayuntamiento de Zumpango</w:t>
      </w:r>
      <w:r w:rsidDel="00000000" w:rsidR="00000000" w:rsidRPr="00000000">
        <w:rPr>
          <w:rFonts w:ascii="Palatino Linotype" w:cs="Palatino Linotype" w:eastAsia="Palatino Linotype" w:hAnsi="Palatino Linotype"/>
          <w:sz w:val="24"/>
          <w:szCs w:val="24"/>
          <w:rtl w:val="0"/>
        </w:rPr>
        <w:t xml:space="preserve">, en lo sucesivo</w:t>
      </w:r>
      <w:r w:rsidDel="00000000" w:rsidR="00000000" w:rsidRPr="00000000">
        <w:rPr>
          <w:rFonts w:ascii="Palatino Linotype" w:cs="Palatino Linotype" w:eastAsia="Palatino Linotype" w:hAnsi="Palatino Linotype"/>
          <w:b w:val="1"/>
          <w:sz w:val="24"/>
          <w:szCs w:val="24"/>
          <w:rtl w:val="0"/>
        </w:rPr>
        <w:t xml:space="preserve"> EL SUJETO OBLIGADO; </w:t>
      </w:r>
      <w:r w:rsidDel="00000000" w:rsidR="00000000" w:rsidRPr="00000000">
        <w:rPr>
          <w:rFonts w:ascii="Palatino Linotype" w:cs="Palatino Linotype" w:eastAsia="Palatino Linotype" w:hAnsi="Palatino Linotype"/>
          <w:sz w:val="24"/>
          <w:szCs w:val="24"/>
          <w:rtl w:val="0"/>
        </w:rPr>
        <w:t xml:space="preserve">se procede a dictar la presente resolución, con base en lo siguiente.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 N T E C E D E N T E S</w:t>
      </w:r>
      <w:r w:rsidDel="00000000" w:rsidR="00000000" w:rsidRPr="00000000">
        <w:rPr>
          <w:rtl w:val="0"/>
        </w:rPr>
      </w:r>
    </w:p>
    <w:p w:rsidR="00000000" w:rsidDel="00000000" w:rsidP="00000000" w:rsidRDefault="00000000" w:rsidRPr="00000000" w14:paraId="00000006">
      <w:pPr>
        <w:tabs>
          <w:tab w:val="left" w:leader="none" w:pos="3600"/>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ab/>
      </w:r>
    </w:p>
    <w:p w:rsidR="00000000" w:rsidDel="00000000" w:rsidP="00000000" w:rsidRDefault="00000000" w:rsidRPr="00000000" w14:paraId="0000000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1.</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SOLICITUD DE INFORMACIÓN. </w:t>
      </w:r>
      <w:r w:rsidDel="00000000" w:rsidR="00000000" w:rsidRPr="00000000">
        <w:rPr>
          <w:rFonts w:ascii="Palatino Linotype" w:cs="Palatino Linotype" w:eastAsia="Palatino Linotype" w:hAnsi="Palatino Linotype"/>
          <w:sz w:val="24"/>
          <w:szCs w:val="24"/>
          <w:rtl w:val="0"/>
        </w:rPr>
        <w:t xml:space="preserve">Con fecha diez de agosto de dos mil veintitrés,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presentó a través del Sistema de Acceso a la Información Mexiquense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ante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solicitud de acceso a la información pública, registrada bajo el número de expediente</w:t>
      </w:r>
      <w:r w:rsidDel="00000000" w:rsidR="00000000" w:rsidRPr="00000000">
        <w:rPr>
          <w:rFonts w:ascii="Verdana" w:cs="Verdana" w:eastAsia="Verdana" w:hAnsi="Verdana"/>
          <w:b w:val="1"/>
          <w:rtl w:val="0"/>
        </w:rPr>
        <w:t xml:space="preserve"> </w:t>
      </w:r>
      <w:r w:rsidDel="00000000" w:rsidR="00000000" w:rsidRPr="00000000">
        <w:rPr>
          <w:rFonts w:ascii="Palatino Linotype" w:cs="Palatino Linotype" w:eastAsia="Palatino Linotype" w:hAnsi="Palatino Linotype"/>
          <w:b w:val="1"/>
          <w:sz w:val="24"/>
          <w:szCs w:val="24"/>
          <w:rtl w:val="0"/>
        </w:rPr>
        <w:t xml:space="preserve">00297/ZUMPANGO/IP/2023</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mediante la cual solicitó la siguiente información:</w:t>
      </w:r>
    </w:p>
    <w:p w:rsidR="00000000" w:rsidDel="00000000" w:rsidP="00000000" w:rsidRDefault="00000000" w:rsidRPr="00000000" w14:paraId="00000008">
      <w:pPr>
        <w:spacing w:after="0" w:line="276" w:lineRule="auto"/>
        <w:ind w:left="709" w:right="758"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9">
      <w:pPr>
        <w:spacing w:after="0" w:line="276" w:lineRule="auto"/>
        <w:ind w:left="709"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DOMICILIO EN QUE SE ENCUENTRAN UBICADAS LAS INSTALACIONES DE LA OFICIALÍA CALIFICADORA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ASÍ COMO EL ACTA DE CABILDO EN QUE FUE APROBADO EL TITULAR DE DICHA DEPENDENCIA</w:t>
      </w:r>
      <w:r w:rsidDel="00000000" w:rsidR="00000000" w:rsidRPr="00000000">
        <w:rPr>
          <w:rFonts w:ascii="Palatino Linotype" w:cs="Palatino Linotype" w:eastAsia="Palatino Linotype" w:hAnsi="Palatino Linotype"/>
          <w:i w:val="1"/>
          <w:rtl w:val="0"/>
        </w:rPr>
        <w:t xml:space="preserve"> DE CONFORMIDAD CON EL ARTÍCULO 32 DE LA LEY ORGÁNICA MUNICIPAL DEL ESTADO DE MÉXICO, QUE REZA: 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 POR LO QUE DE CONFORMIDAD CON EL ARTÍCULO 32 Y 48 FRACCIÓN VI, DEBIERON PASAR POR CABILDO LOS NOMBRAMIENTOS DE TODOS LOS TITULARES DE LAS DEPENDENCIAS DE LA ADMINISTRACIÓN PÚBLICA, Y </w:t>
      </w:r>
      <w:r w:rsidDel="00000000" w:rsidR="00000000" w:rsidRPr="00000000">
        <w:rPr>
          <w:rFonts w:ascii="Palatino Linotype" w:cs="Palatino Linotype" w:eastAsia="Palatino Linotype" w:hAnsi="Palatino Linotype"/>
          <w:b w:val="1"/>
          <w:i w:val="1"/>
          <w:rtl w:val="0"/>
        </w:rPr>
        <w:t xml:space="preserve">EN GENERAL LAS ACTAS DE CABILDO EN QUE HAN SIDO APROBADOS TODOS LOS TITULARES A LOS QUE SE HACEN REFERENCIA EN EL AR´TICULO 32 Y 48 FRACCIÓN VI DE LA LEY ORGÁNICA MUNICIPAL DEL ESTADO DE MÉXICO</w:t>
      </w:r>
      <w:r w:rsidDel="00000000" w:rsidR="00000000" w:rsidRPr="00000000">
        <w:rPr>
          <w:rFonts w:ascii="Palatino Linotype" w:cs="Palatino Linotype" w:eastAsia="Palatino Linotype" w:hAnsi="Palatino Linotype"/>
          <w:i w:val="1"/>
          <w:rtl w:val="0"/>
        </w:rPr>
        <w:t xml:space="preserve">. SOLICITO SEA REMITIDO AL TITULAR DE LA ADMINISTRACIÓN PÚBLICA PARA QUE LA INFORMACIÓN SEA EXPEDITA.” (Sic).</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Modalidad de entrega: A través del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0C">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D">
      <w:pPr>
        <w:spacing w:after="0" w:line="360" w:lineRule="auto"/>
        <w:jc w:val="both"/>
        <w:rPr/>
      </w:pPr>
      <w:r w:rsidDel="00000000" w:rsidR="00000000" w:rsidRPr="00000000">
        <w:rPr>
          <w:rFonts w:ascii="Palatino Linotype" w:cs="Palatino Linotype" w:eastAsia="Palatino Linotype" w:hAnsi="Palatino Linotype"/>
          <w:b w:val="1"/>
          <w:sz w:val="24"/>
          <w:szCs w:val="24"/>
          <w:rtl w:val="0"/>
        </w:rPr>
        <w:t xml:space="preserve">2. RESPUESTA.  </w:t>
      </w:r>
      <w:r w:rsidDel="00000000" w:rsidR="00000000" w:rsidRPr="00000000">
        <w:rPr>
          <w:rFonts w:ascii="Palatino Linotype" w:cs="Palatino Linotype" w:eastAsia="Palatino Linotype" w:hAnsi="Palatino Linotype"/>
          <w:sz w:val="24"/>
          <w:szCs w:val="24"/>
          <w:rtl w:val="0"/>
        </w:rPr>
        <w:t xml:space="preserve">Con fecha treinta de agosto del dos mil veintitrés,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otorgó, a través del SAIMEX, respuesta a la solicitud de acceso a la información </w:t>
      </w:r>
      <w:r w:rsidDel="00000000" w:rsidR="00000000" w:rsidRPr="00000000">
        <w:rPr>
          <w:rtl w:val="0"/>
        </w:rPr>
      </w:r>
    </w:p>
    <w:p w:rsidR="00000000" w:rsidDel="00000000" w:rsidP="00000000" w:rsidRDefault="00000000" w:rsidRPr="00000000" w14:paraId="0000000E">
      <w:pPr>
        <w:spacing w:after="0" w:line="360" w:lineRule="auto"/>
        <w:jc w:val="both"/>
        <w:rPr/>
      </w:pPr>
      <w:r w:rsidDel="00000000" w:rsidR="00000000" w:rsidRPr="00000000">
        <w:rPr>
          <w:rtl w:val="0"/>
        </w:rPr>
      </w:r>
    </w:p>
    <w:p w:rsidR="00000000" w:rsidDel="00000000" w:rsidP="00000000" w:rsidRDefault="00000000" w:rsidRPr="00000000" w14:paraId="0000000F">
      <w:pPr>
        <w:spacing w:after="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0">
      <w:pPr>
        <w:spacing w:after="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base a la solicitud de información con número de folio 00297/ZUMPANGO/IP/2023/TSP/0001 le informo que el domicilio donde se encuentran las instalaciones de la Oficialía Mediadora – Conciliadora y Calificadora es en el Bulevard Luis Donaldo Colosio s/n, Barrio San Juan, Zumpango, México, el Acta de Sesión de Cabildo donde fueron aprobados los nombramientos como titulares de Oficial Calificador está disponible en la plataforma de IPOMEX en el siguiente link: https://www.ipomex.org.mx/ipo3/lgt/indice/ZUMPANGO/art_94_ii_b2.web?token=03AFY_a8V7dzAUwbrCMfDyH1-6JYnmqrXhJXQtnqKWIEBL58z850gM8xhgdNOMQFSYH-zgSNyM8I6S3VnMNzpJaoACuyCuhZDgSUnatCADR1cvAYdV8O10F5Y4evLcFFGB2yIv6b7kDceuOg5i4WPjCBKyPvbNU48UEBiTFapiE-0trwUkfIgumVP8BU0jE1I8jfv58EPe9p81w-r6iUD1ZGAaGrpVoVaAj62QYqgH8qErAzpeAM6PsYg7rdriCjXXlSXXtWlMisSXMJsLHWxTdbDgihqLcCIY4ZCbGXgja7aBUxzLU67VZHRXVXvQgx88T6BZ7w5VVnWuzs8GZrNvggXK9b9XnxxEaWZL3TmAfKpcQqD_VewxkWPmRp8U4JiI9IrDYjOSlaMv-CI88lz_h_acDDCUlDz0OHfvHChIwGU2zWM7vlQHB2ufyYXSPt2VQs2L4YIcfcfMiWg1O0XtEsEJoeFkALAL39z9N18o1V5csz_LVcbmD6hTzIRuEakSyq8kwFqcrZBN0PKVVBPqb53B27fmsNh_U8B8Udl-sbTq7sokIJviId9_PQhRqhYKi09yQhZHMXjo de igual manera se encuentran las Actas de Sesiones de Cabildo donde fueron nombrados los titulares de las dependencias de la Administración Publica 2022 – 2024, en el mismo link, en el que usted puede corroborar la información que usted requiera.</w:t>
      </w:r>
    </w:p>
    <w:p w:rsidR="00000000" w:rsidDel="00000000" w:rsidP="00000000" w:rsidRDefault="00000000" w:rsidRPr="00000000" w14:paraId="00000011">
      <w:pPr>
        <w:spacing w:after="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12">
      <w:pPr>
        <w:spacing w:after="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LIC. YOSELIN MOCTEZUMA HERNÁNDEZ”</w:t>
      </w:r>
    </w:p>
    <w:p w:rsidR="00000000" w:rsidDel="00000000" w:rsidP="00000000" w:rsidRDefault="00000000" w:rsidRPr="00000000" w14:paraId="00000013">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14">
      <w:pPr>
        <w:spacing w:after="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3. DEL RECURSO DE REVISIÓN. </w:t>
      </w:r>
      <w:r w:rsidDel="00000000" w:rsidR="00000000" w:rsidRPr="00000000">
        <w:rPr>
          <w:rFonts w:ascii="Palatino Linotype" w:cs="Palatino Linotype" w:eastAsia="Palatino Linotype" w:hAnsi="Palatino Linotype"/>
          <w:sz w:val="24"/>
          <w:szCs w:val="24"/>
          <w:rtl w:val="0"/>
        </w:rPr>
        <w:t xml:space="preserve">Inconforme con la respuesta del</w:t>
      </w:r>
      <w:r w:rsidDel="00000000" w:rsidR="00000000" w:rsidRPr="00000000">
        <w:rPr>
          <w:rFonts w:ascii="Palatino Linotype" w:cs="Palatino Linotype" w:eastAsia="Palatino Linotype" w:hAnsi="Palatino Linotype"/>
          <w:b w:val="1"/>
          <w:sz w:val="24"/>
          <w:szCs w:val="24"/>
          <w:rtl w:val="0"/>
        </w:rPr>
        <w:t xml:space="preserve"> SUJETO OBLIGADO, </w:t>
      </w:r>
      <w:r w:rsidDel="00000000" w:rsidR="00000000" w:rsidRPr="00000000">
        <w:rPr>
          <w:rFonts w:ascii="Palatino Linotype" w:cs="Palatino Linotype" w:eastAsia="Palatino Linotype" w:hAnsi="Palatino Linotype"/>
          <w:sz w:val="24"/>
          <w:szCs w:val="24"/>
          <w:rtl w:val="0"/>
        </w:rPr>
        <w:t xml:space="preserve">en fecha treinta de agosto de dos mil veintitrés,</w:t>
      </w:r>
      <w:r w:rsidDel="00000000" w:rsidR="00000000" w:rsidRPr="00000000">
        <w:rPr>
          <w:rFonts w:ascii="Palatino Linotype" w:cs="Palatino Linotype" w:eastAsia="Palatino Linotype" w:hAnsi="Palatino Linotype"/>
          <w:b w:val="1"/>
          <w:sz w:val="24"/>
          <w:szCs w:val="24"/>
          <w:rtl w:val="0"/>
        </w:rPr>
        <w:t xml:space="preserve"> LA PARTE RECURRENTE </w:t>
      </w:r>
      <w:r w:rsidDel="00000000" w:rsidR="00000000" w:rsidRPr="00000000">
        <w:rPr>
          <w:rFonts w:ascii="Palatino Linotype" w:cs="Palatino Linotype" w:eastAsia="Palatino Linotype" w:hAnsi="Palatino Linotype"/>
          <w:sz w:val="24"/>
          <w:szCs w:val="24"/>
          <w:rtl w:val="0"/>
        </w:rPr>
        <w:t xml:space="preserve">interpuso el recurso de revisión, el cual fue registrado</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en el sistema electrónico con el expediente número </w:t>
      </w:r>
      <w:r w:rsidDel="00000000" w:rsidR="00000000" w:rsidRPr="00000000">
        <w:rPr>
          <w:rFonts w:ascii="Palatino Linotype" w:cs="Palatino Linotype" w:eastAsia="Palatino Linotype" w:hAnsi="Palatino Linotype"/>
          <w:b w:val="1"/>
          <w:sz w:val="24"/>
          <w:szCs w:val="24"/>
          <w:rtl w:val="0"/>
        </w:rPr>
        <w:t xml:space="preserve">05089/INFOEM/IP/RR/2023</w:t>
      </w:r>
      <w:r w:rsidDel="00000000" w:rsidR="00000000" w:rsidRPr="00000000">
        <w:rPr>
          <w:rFonts w:ascii="Palatino Linotype" w:cs="Palatino Linotype" w:eastAsia="Palatino Linotype" w:hAnsi="Palatino Linotype"/>
          <w:sz w:val="24"/>
          <w:szCs w:val="24"/>
          <w:rtl w:val="0"/>
        </w:rPr>
        <w:t xml:space="preserve">, en el cual manifiesta, lo siguiente:</w:t>
      </w:r>
    </w:p>
    <w:p w:rsidR="00000000" w:rsidDel="00000000" w:rsidP="00000000" w:rsidRDefault="00000000" w:rsidRPr="00000000" w14:paraId="00000015">
      <w:pPr>
        <w:spacing w:after="0" w:line="360" w:lineRule="auto"/>
        <w:ind w:right="-234"/>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tl w:val="0"/>
        </w:rPr>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spacing w:after="240" w:line="360" w:lineRule="auto"/>
        <w:ind w:left="720" w:hanging="360"/>
        <w:jc w:val="both"/>
        <w:rPr>
          <w:rFonts w:ascii="Palatino Linotype" w:cs="Palatino Linotype" w:eastAsia="Palatino Linotype" w:hAnsi="Palatino Linotype"/>
          <w:b w:val="1"/>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Acto Impugnado:</w:t>
      </w:r>
    </w:p>
    <w:p w:rsidR="00000000" w:rsidDel="00000000" w:rsidP="00000000" w:rsidRDefault="00000000" w:rsidRPr="00000000" w14:paraId="00000017">
      <w:pPr>
        <w:tabs>
          <w:tab w:val="left" w:leader="none" w:pos="8222"/>
        </w:tabs>
        <w:spacing w:after="240" w:before="240"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respuesta y la forma en que fue entregada.” [sic]</w:t>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spacing w:after="240" w:before="240" w:line="360" w:lineRule="auto"/>
        <w:ind w:left="720" w:hanging="360"/>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Razones o Motivos de Inconformidad</w:t>
      </w:r>
      <w:r w:rsidDel="00000000" w:rsidR="00000000" w:rsidRPr="00000000">
        <w:rPr>
          <w:rFonts w:ascii="Palatino Linotype" w:cs="Palatino Linotype" w:eastAsia="Palatino Linotype" w:hAnsi="Palatino Linotype"/>
          <w:i w:val="1"/>
          <w:sz w:val="24"/>
          <w:szCs w:val="24"/>
          <w:rtl w:val="0"/>
        </w:rPr>
        <w:t xml:space="preserve">:</w:t>
      </w:r>
    </w:p>
    <w:p w:rsidR="00000000" w:rsidDel="00000000" w:rsidP="00000000" w:rsidRDefault="00000000" w:rsidRPr="00000000" w14:paraId="00000019">
      <w:pPr>
        <w:spacing w:after="0" w:before="240"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4"/>
          <w:szCs w:val="24"/>
          <w:rtl w:val="0"/>
        </w:rPr>
        <w:t xml:space="preserve">“</w:t>
      </w:r>
      <w:r w:rsidDel="00000000" w:rsidR="00000000" w:rsidRPr="00000000">
        <w:rPr>
          <w:rFonts w:ascii="Palatino Linotype" w:cs="Palatino Linotype" w:eastAsia="Palatino Linotype" w:hAnsi="Palatino Linotype"/>
          <w:i w:val="1"/>
          <w:rtl w:val="0"/>
        </w:rPr>
        <w:t xml:space="preserve">Se solicitó información precisa como son las actas de cabildo, no una liga que marca error. Aunado a que yo solicite las actas, y en su caso debió entregsr el link de cada una de dichas actas.” [sic]</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4. TURNO. </w:t>
      </w:r>
      <w:r w:rsidDel="00000000" w:rsidR="00000000" w:rsidRPr="00000000">
        <w:rPr>
          <w:rFonts w:ascii="Palatino Linotype" w:cs="Palatino Linotype" w:eastAsia="Palatino Linotype" w:hAnsi="Palatino Linotype"/>
          <w:sz w:val="24"/>
          <w:szCs w:val="24"/>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4"/>
          <w:szCs w:val="24"/>
          <w:rtl w:val="0"/>
        </w:rPr>
        <w:t xml:space="preserve">Guadalupe Ramírez Peña, </w:t>
      </w:r>
      <w:r w:rsidDel="00000000" w:rsidR="00000000" w:rsidRPr="00000000">
        <w:rPr>
          <w:rFonts w:ascii="Palatino Linotype" w:cs="Palatino Linotype" w:eastAsia="Palatino Linotype" w:hAnsi="Palatino Linotype"/>
          <w:sz w:val="24"/>
          <w:szCs w:val="24"/>
          <w:rtl w:val="0"/>
        </w:rPr>
        <w:t xml:space="preserve">a efecto de que analizara sobre su admisión o su desechamiento.</w:t>
      </w:r>
    </w:p>
    <w:p w:rsidR="00000000" w:rsidDel="00000000" w:rsidP="00000000" w:rsidRDefault="00000000" w:rsidRPr="00000000" w14:paraId="0000001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5. ADMISIÓN DEL RECURSO DE REVISIÓN.</w:t>
      </w:r>
      <w:r w:rsidDel="00000000" w:rsidR="00000000" w:rsidRPr="00000000">
        <w:rPr>
          <w:rFonts w:ascii="Palatino Linotype" w:cs="Palatino Linotype" w:eastAsia="Palatino Linotype" w:hAnsi="Palatino Linotype"/>
          <w:sz w:val="24"/>
          <w:szCs w:val="24"/>
          <w:rtl w:val="0"/>
        </w:rPr>
        <w:t xml:space="preserve"> Con fecha</w:t>
      </w:r>
      <w:r w:rsidDel="00000000" w:rsidR="00000000" w:rsidRPr="00000000">
        <w:rPr>
          <w:rFonts w:ascii="Palatino Linotype" w:cs="Palatino Linotype" w:eastAsia="Palatino Linotype" w:hAnsi="Palatino Linotype"/>
          <w:b w:val="1"/>
          <w:sz w:val="24"/>
          <w:szCs w:val="24"/>
          <w:rtl w:val="0"/>
        </w:rPr>
        <w:t xml:space="preserve"> cuatro de septiembre de dos mil veintitrés</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presentará su informe justificado.</w:t>
      </w:r>
    </w:p>
    <w:p w:rsidR="00000000" w:rsidDel="00000000" w:rsidP="00000000" w:rsidRDefault="00000000" w:rsidRPr="00000000" w14:paraId="0000001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6. MANIFESTACIONES</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fue omiso en rendir informe justificado, asimismo, debe señalarse que el particular omitió emitir manifestaciones, alegatos o cualquier argumento que a su derecho conviniera, por lo que se tiene por precluido su derecho para tal efecto.</w:t>
      </w:r>
    </w:p>
    <w:p w:rsidR="00000000" w:rsidDel="00000000" w:rsidP="00000000" w:rsidRDefault="00000000" w:rsidRPr="00000000" w14:paraId="0000002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5612130" cy="1447800"/>
            <wp:effectExtent b="0" l="0" r="0" t="0"/>
            <wp:docPr descr="Tabla&#10;&#10;Descripción generada automáticamente" id="7" name="image1.png"/>
            <a:graphic>
              <a:graphicData uri="http://schemas.openxmlformats.org/drawingml/2006/picture">
                <pic:pic>
                  <pic:nvPicPr>
                    <pic:cNvPr descr="Tabla&#10;&#10;Descripción generada automáticamente" id="0" name="image1.png"/>
                    <pic:cNvPicPr preferRelativeResize="0"/>
                  </pic:nvPicPr>
                  <pic:blipFill>
                    <a:blip r:embed="rId8"/>
                    <a:srcRect b="0" l="0" r="0" t="0"/>
                    <a:stretch>
                      <a:fillRect/>
                    </a:stretch>
                  </pic:blipFill>
                  <pic:spPr>
                    <a:xfrm>
                      <a:off x="0" y="0"/>
                      <a:ext cx="561213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2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7. AMPLIACIÓN DEL TÉRMINO PARA RESOLVER</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sz w:val="24"/>
          <w:szCs w:val="24"/>
          <w:rtl w:val="0"/>
        </w:rPr>
        <w:t xml:space="preserve">El veinte de diciembre de dos mil veintitrés, se amplió el término para resolver el recurso de revisión en términos del artículo 181 párrafo tercero de la Ley de Transparencia y Acceso a la Información Pública del Estado de México y Municipios. </w:t>
      </w:r>
    </w:p>
    <w:p w:rsidR="00000000" w:rsidDel="00000000" w:rsidP="00000000" w:rsidRDefault="00000000" w:rsidRPr="00000000" w14:paraId="0000002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2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E">
      <w:pPr>
        <w:numPr>
          <w:ilvl w:val="0"/>
          <w:numId w:val="4"/>
        </w:numPr>
        <w:spacing w:after="0" w:line="360" w:lineRule="auto"/>
        <w:ind w:left="927"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2F">
      <w:pPr>
        <w:numPr>
          <w:ilvl w:val="0"/>
          <w:numId w:val="4"/>
        </w:numPr>
        <w:spacing w:after="0" w:line="360" w:lineRule="auto"/>
        <w:ind w:left="927"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Actividad Procesal del interesado. Acciones u omisiones del interesado.</w:t>
      </w:r>
    </w:p>
    <w:p w:rsidR="00000000" w:rsidDel="00000000" w:rsidP="00000000" w:rsidRDefault="00000000" w:rsidRPr="00000000" w14:paraId="0000003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1">
      <w:pPr>
        <w:numPr>
          <w:ilvl w:val="0"/>
          <w:numId w:val="4"/>
        </w:numPr>
        <w:spacing w:after="0" w:line="360" w:lineRule="auto"/>
        <w:ind w:left="927"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32">
      <w:pPr>
        <w:numPr>
          <w:ilvl w:val="0"/>
          <w:numId w:val="4"/>
        </w:numPr>
        <w:pBdr>
          <w:top w:space="0" w:sz="0" w:val="nil"/>
          <w:left w:space="0" w:sz="0" w:val="nil"/>
          <w:bottom w:space="0" w:sz="0" w:val="nil"/>
          <w:right w:space="0" w:sz="0" w:val="nil"/>
          <w:between w:space="0" w:sz="0" w:val="nil"/>
        </w:pBdr>
        <w:spacing w:after="0" w:line="360" w:lineRule="auto"/>
        <w:ind w:left="927"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 afectación generada en la situación jurídica de la persona involucrada en el proceso: Violación a sus derechos humanos.</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360" w:lineRule="auto"/>
        <w:ind w:left="927"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sz w:val="24"/>
          <w:szCs w:val="24"/>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4"/>
          <w:szCs w:val="24"/>
          <w:rtl w:val="0"/>
        </w:rPr>
        <w:t xml:space="preserve">, visible en la Gaceta del Seminario Judicial de la Federación con el registro digital 205635.</w:t>
      </w:r>
    </w:p>
    <w:p w:rsidR="00000000" w:rsidDel="00000000" w:rsidP="00000000" w:rsidRDefault="00000000" w:rsidRPr="00000000" w14:paraId="00000037">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3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sz w:val="24"/>
          <w:szCs w:val="24"/>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sz w:val="24"/>
          <w:szCs w:val="24"/>
          <w:rtl w:val="0"/>
        </w:rPr>
        <w:t xml:space="preserve"> consultable en el Seminario Judicial de la Federación y su gaceta, con el registro digital 2002351.</w:t>
      </w:r>
    </w:p>
    <w:p w:rsidR="00000000" w:rsidDel="00000000" w:rsidP="00000000" w:rsidRDefault="00000000" w:rsidRPr="00000000" w14:paraId="0000003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sz w:val="24"/>
          <w:szCs w:val="24"/>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4"/>
          <w:szCs w:val="24"/>
          <w:rtl w:val="0"/>
        </w:rPr>
        <w:t xml:space="preserve">, visible en el Seminario Judicial de la Federación y su gaceta, con el registro digital 2002350.</w:t>
      </w:r>
    </w:p>
    <w:p w:rsidR="00000000" w:rsidDel="00000000" w:rsidP="00000000" w:rsidRDefault="00000000" w:rsidRPr="00000000" w14:paraId="0000003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8. CIERRE DE INSTRUCCIÓN. </w:t>
      </w:r>
      <w:r w:rsidDel="00000000" w:rsidR="00000000" w:rsidRPr="00000000">
        <w:rPr>
          <w:rFonts w:ascii="Palatino Linotype" w:cs="Palatino Linotype" w:eastAsia="Palatino Linotype" w:hAnsi="Palatino Linotype"/>
          <w:sz w:val="24"/>
          <w:szCs w:val="24"/>
          <w:rtl w:val="0"/>
        </w:rPr>
        <w:t xml:space="preserve">El veinte de diciembre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000000" w:rsidDel="00000000" w:rsidP="00000000" w:rsidRDefault="00000000" w:rsidRPr="00000000" w14:paraId="0000004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razón de que fue debidamente sustanciado el expediente electrónico y no existe diligencia pendiente de desahogo, se emite la Resolución que conforme a Derecho proceda, de acuerdo con los siguientes:</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widowControl w:val="0"/>
        <w:spacing w:after="0" w:line="36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 O N S I D E R A N D O S</w:t>
      </w:r>
    </w:p>
    <w:p w:rsidR="00000000" w:rsidDel="00000000" w:rsidP="00000000" w:rsidRDefault="00000000" w:rsidRPr="00000000" w14:paraId="00000047">
      <w:pPr>
        <w:widowControl w:val="0"/>
        <w:spacing w:after="0" w:line="36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COMPETENCIA.</w:t>
      </w:r>
      <w:r w:rsidDel="00000000" w:rsidR="00000000" w:rsidRPr="00000000">
        <w:rPr>
          <w:rFonts w:ascii="Palatino Linotype" w:cs="Palatino Linotype" w:eastAsia="Palatino Linotype" w:hAnsi="Palatino Linotype"/>
          <w:sz w:val="24"/>
          <w:szCs w:val="24"/>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OPORTUNIDAD Y PROCEDIBILIDAD DEL RECURSO DE REVISIÓN.  </w:t>
      </w:r>
      <w:r w:rsidDel="00000000" w:rsidR="00000000" w:rsidRPr="00000000">
        <w:rPr>
          <w:rFonts w:ascii="Palatino Linotype" w:cs="Palatino Linotype" w:eastAsia="Palatino Linotype" w:hAnsi="Palatino Linotype"/>
          <w:sz w:val="24"/>
          <w:szCs w:val="24"/>
          <w:rtl w:val="0"/>
        </w:rPr>
        <w:t xml:space="preserve">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rsidR="00000000" w:rsidDel="00000000" w:rsidP="00000000" w:rsidRDefault="00000000" w:rsidRPr="00000000" w14:paraId="0000004B">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recurso de revisión fue interpuesto dentro del plazo de quince días hábiles previsto en el artículo 178 de la Ley de Transparencia y Acceso a la Información Pública del Estado de México y Municipios, contados a partir de la fecha en que</w:t>
      </w:r>
      <w:r w:rsidDel="00000000" w:rsidR="00000000" w:rsidRPr="00000000">
        <w:rPr>
          <w:rFonts w:ascii="Palatino Linotype" w:cs="Palatino Linotype" w:eastAsia="Palatino Linotype" w:hAnsi="Palatino Linotype"/>
          <w:b w:val="1"/>
          <w:sz w:val="24"/>
          <w:szCs w:val="24"/>
          <w:rtl w:val="0"/>
        </w:rPr>
        <w:t xml:space="preserve"> EL SUJETO OBLIGADO </w:t>
      </w:r>
      <w:r w:rsidDel="00000000" w:rsidR="00000000" w:rsidRPr="00000000">
        <w:rPr>
          <w:rFonts w:ascii="Palatino Linotype" w:cs="Palatino Linotype" w:eastAsia="Palatino Linotype" w:hAnsi="Palatino Linotype"/>
          <w:sz w:val="24"/>
          <w:szCs w:val="24"/>
          <w:rtl w:val="0"/>
        </w:rPr>
        <w:t xml:space="preserve">emitió la respuesta, toda vez que esta fue pronunciada el día treinta de agosto de dos mil veintitrés, mientras que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interpuso el recurso de revisión en la misma fecha que se pronunció la respuesta, circunstancia que no es determinante para declararlo extemporáneo, toda vez que el tiempo concedido es para delimitar el término en que puede impugnarse la respuesta, lo cual no impide que se presente antes de iniciado el plazo previsto, una vez conocida la respuesta.</w:t>
      </w:r>
    </w:p>
    <w:p w:rsidR="00000000" w:rsidDel="00000000" w:rsidP="00000000" w:rsidRDefault="00000000" w:rsidRPr="00000000" w14:paraId="0000004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E">
      <w:pPr>
        <w:spacing w:after="0" w:line="360" w:lineRule="auto"/>
        <w:ind w:right="-234"/>
        <w:jc w:val="both"/>
        <w:rPr>
          <w:sz w:val="24"/>
          <w:szCs w:val="24"/>
        </w:rPr>
      </w:pPr>
      <w:r w:rsidDel="00000000" w:rsidR="00000000" w:rsidRPr="00000000">
        <w:rPr>
          <w:rFonts w:ascii="Palatino Linotype" w:cs="Palatino Linotype" w:eastAsia="Palatino Linotype" w:hAnsi="Palatino Linotype"/>
          <w:sz w:val="24"/>
          <w:szCs w:val="24"/>
          <w:rtl w:val="0"/>
        </w:rPr>
        <w:t xml:space="preserve">Resulta aplicable el siguiente criterio de este Organismo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r w:rsidDel="00000000" w:rsidR="00000000" w:rsidRPr="00000000">
        <w:rPr>
          <w:i w:val="1"/>
          <w:sz w:val="24"/>
          <w:szCs w:val="24"/>
          <w:rtl w:val="0"/>
        </w:rPr>
        <w:t xml:space="preserve"> </w:t>
      </w:r>
      <w:r w:rsidDel="00000000" w:rsidR="00000000" w:rsidRPr="00000000">
        <w:rPr>
          <w:rtl w:val="0"/>
        </w:rPr>
      </w:r>
    </w:p>
    <w:p w:rsidR="00000000" w:rsidDel="00000000" w:rsidP="00000000" w:rsidRDefault="00000000" w:rsidRPr="00000000" w14:paraId="0000004F">
      <w:pPr>
        <w:shd w:fill="ffffff" w:val="clear"/>
        <w:spacing w:after="0" w:line="360" w:lineRule="auto"/>
        <w:ind w:left="567" w:right="7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0">
      <w:pPr>
        <w:shd w:fill="ffffff" w:val="clear"/>
        <w:spacing w:after="0" w:line="360" w:lineRule="auto"/>
        <w:ind w:left="567" w:right="760" w:firstLine="0"/>
        <w:jc w:val="both"/>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rtl w:val="0"/>
        </w:rPr>
        <w:t xml:space="preserve">RECURSO DE RECLAMACIÓN. SU INTERPOSICIÓN NO ES EXTEMPORÁNEA SI SE REALIZA ANTES DE QUE INICIE EL PLAZO PARA HACERLO.</w:t>
      </w:r>
      <w:r w:rsidDel="00000000" w:rsidR="00000000" w:rsidRPr="00000000">
        <w:rPr>
          <w:rtl w:val="0"/>
        </w:rPr>
      </w:r>
    </w:p>
    <w:p w:rsidR="00000000" w:rsidDel="00000000" w:rsidP="00000000" w:rsidRDefault="00000000" w:rsidRPr="00000000" w14:paraId="00000051">
      <w:pPr>
        <w:shd w:fill="ffffff" w:val="clear"/>
        <w:spacing w:after="240" w:line="276" w:lineRule="auto"/>
        <w:ind w:left="567" w:right="760" w:firstLine="0"/>
        <w:jc w:val="both"/>
        <w:rPr/>
      </w:pPr>
      <w:r w:rsidDel="00000000" w:rsidR="00000000" w:rsidRPr="00000000">
        <w:rPr>
          <w:rFonts w:ascii="Palatino Linotype" w:cs="Palatino Linotype" w:eastAsia="Palatino Linotype" w:hAnsi="Palatino Linotype"/>
          <w:i w:val="1"/>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r w:rsidDel="00000000" w:rsidR="00000000" w:rsidRPr="00000000">
        <w:rPr>
          <w:rtl w:val="0"/>
        </w:rPr>
      </w:r>
    </w:p>
    <w:p w:rsidR="00000000" w:rsidDel="00000000" w:rsidP="00000000" w:rsidRDefault="00000000" w:rsidRPr="00000000" w14:paraId="00000052">
      <w:pPr>
        <w:shd w:fill="ffffff" w:val="clear"/>
        <w:spacing w:after="0" w:before="240" w:line="360" w:lineRule="auto"/>
        <w:ind w:left="567" w:right="760" w:firstLine="0"/>
        <w:jc w:val="both"/>
        <w:rPr/>
      </w:pPr>
      <w:r w:rsidDel="00000000" w:rsidR="00000000" w:rsidRPr="00000000">
        <w:rPr>
          <w:rFonts w:ascii="Palatino Linotype" w:cs="Palatino Linotype" w:eastAsia="Palatino Linotype" w:hAnsi="Palatino Linotype"/>
          <w:i w:val="1"/>
          <w:rtl w:val="0"/>
        </w:rPr>
        <w:t xml:space="preserve">De ahí que si dicho recurso se interpone antes de que inicie el plazo para hacerlo, su presentación no es extemporánea…</w:t>
      </w:r>
      <w:r w:rsidDel="00000000" w:rsidR="00000000" w:rsidRPr="00000000">
        <w:rPr>
          <w:rFonts w:ascii="Palatino Linotype" w:cs="Palatino Linotype" w:eastAsia="Palatino Linotype" w:hAnsi="Palatino Linotype"/>
          <w:rtl w:val="0"/>
        </w:rPr>
        <w:t xml:space="preserve">"(Sic)</w:t>
      </w:r>
      <w:r w:rsidDel="00000000" w:rsidR="00000000" w:rsidRPr="00000000">
        <w:rPr>
          <w:rtl w:val="0"/>
        </w:rPr>
      </w:r>
    </w:p>
    <w:p w:rsidR="00000000" w:rsidDel="00000000" w:rsidP="00000000" w:rsidRDefault="00000000" w:rsidRPr="00000000" w14:paraId="0000005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al considerar la fecha en que se formuló la solicitud y la fecha en la que respondió a esta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así como, en la que se interpuso el recurso de revisión, este se encuentra dentro de los márgenes temporales previstos en el citado precepto legal.</w:t>
      </w:r>
    </w:p>
    <w:p w:rsidR="00000000" w:rsidDel="00000000" w:rsidP="00000000" w:rsidRDefault="00000000" w:rsidRPr="00000000" w14:paraId="00000055">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6">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Del="00000000" w:rsidR="00000000" w:rsidRPr="00000000">
        <w:rPr>
          <w:rFonts w:ascii="Palatino Linotype" w:cs="Palatino Linotype" w:eastAsia="Palatino Linotype" w:hAnsi="Palatino Linotype"/>
          <w:b w:val="1"/>
          <w:sz w:val="24"/>
          <w:szCs w:val="24"/>
          <w:rtl w:val="0"/>
        </w:rPr>
        <w:t xml:space="preserve">EL SAIMEX.  </w:t>
      </w:r>
    </w:p>
    <w:p w:rsidR="00000000" w:rsidDel="00000000" w:rsidP="00000000" w:rsidRDefault="00000000" w:rsidRPr="00000000" w14:paraId="00000057">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360" w:lineRule="auto"/>
        <w:ind w:right="-147"/>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resulta procedente la interposición del recurso, según lo aducido por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en sus razones o motivos de inconformidad, de acuerdo al artículo 179, fracción I, V y IX</w:t>
      </w:r>
      <w:r w:rsidDel="00000000" w:rsidR="00000000" w:rsidRPr="00000000">
        <w:rPr>
          <w:rFonts w:ascii="Palatino Linotype" w:cs="Palatino Linotype" w:eastAsia="Palatino Linotype" w:hAnsi="Palatino Linotype"/>
          <w:sz w:val="32"/>
          <w:szCs w:val="32"/>
          <w:rtl w:val="0"/>
        </w:rPr>
        <w:t xml:space="preserve"> </w:t>
      </w:r>
      <w:r w:rsidDel="00000000" w:rsidR="00000000" w:rsidRPr="00000000">
        <w:rPr>
          <w:rFonts w:ascii="Palatino Linotype" w:cs="Palatino Linotype" w:eastAsia="Palatino Linotype" w:hAnsi="Palatino Linotype"/>
          <w:sz w:val="24"/>
          <w:szCs w:val="24"/>
          <w:rtl w:val="0"/>
        </w:rPr>
        <w:t xml:space="preserve">de la Ley de Transparencia y Acceso a la Información Pública del Estado de México y Municipios; que a la letra dice:</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360" w:lineRule="auto"/>
        <w:ind w:right="-147"/>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El recurso de revisión</w:t>
      </w:r>
      <w:r w:rsidDel="00000000" w:rsidR="00000000" w:rsidRPr="00000000">
        <w:rPr>
          <w:rFonts w:ascii="Palatino Linotype" w:cs="Palatino Linotype" w:eastAsia="Palatino Linotype" w:hAnsi="Palatino Linotype"/>
          <w:i w:val="1"/>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rtl w:val="0"/>
        </w:rPr>
        <w:t xml:space="preserve">, y procederá en contra de las siguientes causas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negativa a la información solicitada</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entrega de información incompleta;</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La entrega o puesta a disposición de información en un formato incomprensible y/o no accesible para el solicitante;”</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Rule="auto"/>
        <w:ind w:right="1043"/>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1">
      <w:pPr>
        <w:spacing w:after="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 MATERIA DE LA REVISIÓN. </w:t>
      </w:r>
      <w:r w:rsidDel="00000000" w:rsidR="00000000" w:rsidRPr="00000000">
        <w:rPr>
          <w:rFonts w:ascii="Palatino Linotype" w:cs="Palatino Linotype" w:eastAsia="Palatino Linotype" w:hAnsi="Palatino Linotype"/>
          <w:sz w:val="24"/>
          <w:szCs w:val="24"/>
          <w:rtl w:val="0"/>
        </w:rPr>
        <w:t xml:space="preserve">De la revisión a las constancias y documentos que obran en el expediente electrónico se advierte, que el tema sobre el que este Organismo Garante de Transparencia y Acceso a la Información se pronunciará será: verificar si la respuesta otorgada por</w:t>
      </w:r>
      <w:r w:rsidDel="00000000" w:rsidR="00000000" w:rsidRPr="00000000">
        <w:rPr>
          <w:rFonts w:ascii="Palatino Linotype" w:cs="Palatino Linotype" w:eastAsia="Palatino Linotype" w:hAnsi="Palatino Linotype"/>
          <w:b w:val="1"/>
          <w:sz w:val="24"/>
          <w:szCs w:val="24"/>
          <w:rtl w:val="0"/>
        </w:rPr>
        <w:t xml:space="preserve"> 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es adecuada y suficiente para satisfacer el derecho de acceso a la información pública de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o en su defecto, en caso de ser procedente, ordenar la entrega de información.</w:t>
      </w:r>
    </w:p>
    <w:p w:rsidR="00000000" w:rsidDel="00000000" w:rsidP="00000000" w:rsidRDefault="00000000" w:rsidRPr="00000000" w14:paraId="0000006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 ESTUDIO Y RESOLUCIÓN DEL ASUNTO.  </w:t>
      </w:r>
      <w:r w:rsidDel="00000000" w:rsidR="00000000" w:rsidRPr="00000000">
        <w:rPr>
          <w:rFonts w:ascii="Palatino Linotype" w:cs="Palatino Linotype" w:eastAsia="Palatino Linotype" w:hAnsi="Palatino Linotype"/>
          <w:sz w:val="24"/>
          <w:szCs w:val="24"/>
          <w:rtl w:val="0"/>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6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5">
      <w:pPr>
        <w:tabs>
          <w:tab w:val="left" w:leader="none" w:pos="709"/>
        </w:tabs>
        <w:spacing w:line="276"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66">
      <w:pPr>
        <w:tabs>
          <w:tab w:val="left" w:leader="none" w:pos="709"/>
        </w:tabs>
        <w:spacing w:line="276" w:lineRule="auto"/>
        <w:ind w:left="851" w:right="85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67">
      <w:pPr>
        <w:tabs>
          <w:tab w:val="left" w:leader="none" w:pos="709"/>
        </w:tabs>
        <w:spacing w:line="276"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68">
      <w:pPr>
        <w:tabs>
          <w:tab w:val="left" w:leader="none" w:pos="709"/>
        </w:tabs>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9">
      <w:pPr>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6o.</w:t>
      </w:r>
      <w:r w:rsidDel="00000000" w:rsidR="00000000" w:rsidRPr="00000000">
        <w:rPr>
          <w:rtl w:val="0"/>
        </w:rPr>
      </w:r>
    </w:p>
    <w:p w:rsidR="00000000" w:rsidDel="00000000" w:rsidP="00000000" w:rsidRDefault="00000000" w:rsidRPr="00000000" w14:paraId="0000006A">
      <w:pPr>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B">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u w:val="single"/>
          <w:rtl w:val="0"/>
        </w:rPr>
        <w:t xml:space="preserve">las entidades federativas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en el ámbito de sus respectivas competencias, se regirán por los siguientes principios y bases:</w:t>
      </w:r>
    </w:p>
    <w:p w:rsidR="00000000" w:rsidDel="00000000" w:rsidP="00000000" w:rsidRDefault="00000000" w:rsidRPr="00000000" w14:paraId="0000006C">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6D">
      <w:pPr>
        <w:spacing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 </w:t>
      </w:r>
      <w:r w:rsidDel="00000000" w:rsidR="00000000" w:rsidRPr="00000000">
        <w:rPr>
          <w:rFonts w:ascii="Palatino Linotype" w:cs="Palatino Linotype" w:eastAsia="Palatino Linotype" w:hAnsi="Palatino Linotype"/>
          <w:b w:val="1"/>
          <w:i w:val="1"/>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rtl w:val="0"/>
        </w:rPr>
        <w:t xml:space="preserve"> Ejecutivo, Legislativo </w:t>
      </w:r>
      <w:r w:rsidDel="00000000" w:rsidR="00000000" w:rsidRPr="00000000">
        <w:rPr>
          <w:rFonts w:ascii="Palatino Linotype" w:cs="Palatino Linotype" w:eastAsia="Palatino Linotype" w:hAnsi="Palatino Linotype"/>
          <w:b w:val="1"/>
          <w:i w:val="1"/>
          <w:u w:val="single"/>
          <w:rtl w:val="0"/>
        </w:rPr>
        <w:t xml:space="preserve">y Judicial</w:t>
      </w:r>
      <w:r w:rsidDel="00000000" w:rsidR="00000000" w:rsidRPr="00000000">
        <w:rPr>
          <w:rFonts w:ascii="Palatino Linotype" w:cs="Palatino Linotype" w:eastAsia="Palatino Linotype" w:hAnsi="Palatino Linotype"/>
          <w:i w:val="1"/>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6E">
      <w:pPr>
        <w:spacing w:line="276" w:lineRule="auto"/>
        <w:ind w:left="851" w:right="85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6F">
      <w:pPr>
        <w:spacing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 </w:t>
      </w:r>
      <w:r w:rsidDel="00000000" w:rsidR="00000000" w:rsidRPr="00000000">
        <w:rPr>
          <w:rFonts w:ascii="Palatino Linotype" w:cs="Palatino Linotype" w:eastAsia="Palatino Linotype" w:hAnsi="Palatino Linotype"/>
          <w:b w:val="1"/>
          <w:i w:val="1"/>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rtl w:val="0"/>
        </w:rPr>
        <w:t xml:space="preserve"> a sus datos personales o a la rectificación de éstos.</w:t>
      </w:r>
    </w:p>
    <w:p w:rsidR="00000000" w:rsidDel="00000000" w:rsidP="00000000" w:rsidRDefault="00000000" w:rsidRPr="00000000" w14:paraId="00000070">
      <w:pPr>
        <w:spacing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71">
      <w:pPr>
        <w:spacing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IV. </w:t>
      </w:r>
      <w:r w:rsidDel="00000000" w:rsidR="00000000" w:rsidRPr="00000000">
        <w:rPr>
          <w:rFonts w:ascii="Palatino Linotype" w:cs="Palatino Linotype" w:eastAsia="Palatino Linotype" w:hAnsi="Palatino Linotype"/>
          <w:i w:val="1"/>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72">
      <w:pPr>
        <w:spacing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 </w:t>
      </w:r>
      <w:r w:rsidDel="00000000" w:rsidR="00000000" w:rsidRPr="00000000">
        <w:rPr>
          <w:rFonts w:ascii="Palatino Linotype" w:cs="Palatino Linotype" w:eastAsia="Palatino Linotype" w:hAnsi="Palatino Linotype"/>
          <w:i w:val="1"/>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73">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VI. </w:t>
      </w:r>
      <w:r w:rsidDel="00000000" w:rsidR="00000000" w:rsidRPr="00000000">
        <w:rPr>
          <w:rFonts w:ascii="Palatino Linotype" w:cs="Palatino Linotype" w:eastAsia="Palatino Linotype" w:hAnsi="Palatino Linotype"/>
          <w:i w:val="1"/>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74">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 </w:t>
      </w:r>
      <w:r w:rsidDel="00000000" w:rsidR="00000000" w:rsidRPr="00000000">
        <w:rPr>
          <w:rFonts w:ascii="Palatino Linotype" w:cs="Palatino Linotype" w:eastAsia="Palatino Linotype" w:hAnsi="Palatino Linotype"/>
          <w:i w:val="1"/>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75">
      <w:pPr>
        <w:ind w:right="851"/>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6">
      <w:pPr>
        <w:tabs>
          <w:tab w:val="left" w:leader="none" w:pos="709"/>
        </w:tabs>
        <w:spacing w:after="0" w:before="16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000000" w:rsidDel="00000000" w:rsidP="00000000" w:rsidRDefault="00000000" w:rsidRPr="00000000" w14:paraId="0000007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primer lugar, es conveniente analizar si la respuesta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7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A">
      <w:pPr>
        <w:spacing w:after="0" w:line="276" w:lineRule="auto"/>
        <w:ind w:left="709"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7B">
      <w:pPr>
        <w:spacing w:after="0" w:line="276" w:lineRule="auto"/>
        <w:ind w:left="709" w:right="7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C">
      <w:pPr>
        <w:spacing w:line="276" w:lineRule="auto"/>
        <w:ind w:left="709"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7D">
      <w:pPr>
        <w:spacing w:after="0" w:line="276" w:lineRule="auto"/>
        <w:ind w:left="709"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rtl w:val="0"/>
        </w:rPr>
        <w:t xml:space="preserve">.”(Sic)</w:t>
      </w:r>
    </w:p>
    <w:p w:rsidR="00000000" w:rsidDel="00000000" w:rsidP="00000000" w:rsidRDefault="00000000" w:rsidRPr="00000000" w14:paraId="0000007E">
      <w:pPr>
        <w:spacing w:after="0" w:line="360" w:lineRule="auto"/>
        <w:ind w:left="709" w:right="76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000000" w:rsidDel="00000000" w:rsidP="00000000" w:rsidRDefault="00000000" w:rsidRPr="00000000" w14:paraId="0000008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1">
      <w:pPr>
        <w:spacing w:line="276" w:lineRule="auto"/>
        <w:ind w:left="567"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82">
      <w:pPr>
        <w:spacing w:after="0" w:line="276" w:lineRule="auto"/>
        <w:ind w:left="567" w:right="758"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obligación de proporcionar información no comprende el procesamiento de la misma, ni el presentarla conforme al interés del solicitante; no estarán obligados a generarla, resumirla, efectuar cálculos o practicar investigaciones.” (Sic)</w:t>
      </w:r>
    </w:p>
    <w:p w:rsidR="00000000" w:rsidDel="00000000" w:rsidP="00000000" w:rsidRDefault="00000000" w:rsidRPr="00000000" w14:paraId="00000083">
      <w:pPr>
        <w:spacing w:after="0" w:line="360" w:lineRule="auto"/>
        <w:ind w:left="567" w:right="758"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000000" w:rsidDel="00000000" w:rsidP="00000000" w:rsidRDefault="00000000" w:rsidRPr="00000000" w14:paraId="0000008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6">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8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otra parte, conviene mencionar que la Ley de Transparencia vigente en el Estado de México refiere: </w:t>
      </w:r>
    </w:p>
    <w:p w:rsidR="00000000" w:rsidDel="00000000" w:rsidP="00000000" w:rsidRDefault="00000000" w:rsidRPr="00000000" w14:paraId="0000008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A">
      <w:pPr>
        <w:spacing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18.</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Los sujetos obligados deberán documentar todo acto que derive del ejercicio de sus facultades, competencias o funciones, considerando desde su origen la eventual publicidad</w:t>
      </w:r>
      <w:r w:rsidDel="00000000" w:rsidR="00000000" w:rsidRPr="00000000">
        <w:rPr>
          <w:rFonts w:ascii="Palatino Linotype" w:cs="Palatino Linotype" w:eastAsia="Palatino Linotype" w:hAnsi="Palatino Linotype"/>
          <w:i w:val="1"/>
          <w:rtl w:val="0"/>
        </w:rPr>
        <w:t xml:space="preserve"> y reutilización de la información que generen.</w:t>
      </w:r>
    </w:p>
    <w:p w:rsidR="00000000" w:rsidDel="00000000" w:rsidP="00000000" w:rsidRDefault="00000000" w:rsidRPr="00000000" w14:paraId="0000008B">
      <w:pPr>
        <w:spacing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19. </w:t>
      </w:r>
      <w:r w:rsidDel="00000000" w:rsidR="00000000" w:rsidRPr="00000000">
        <w:rPr>
          <w:rFonts w:ascii="Palatino Linotype" w:cs="Palatino Linotype" w:eastAsia="Palatino Linotype" w:hAnsi="Palatino Linotype"/>
          <w:b w:val="1"/>
          <w:i w:val="1"/>
          <w:u w:val="single"/>
          <w:rtl w:val="0"/>
        </w:rPr>
        <w:t xml:space="preserve">Se presume que la información debe existir si se refiere a las facultades, competencias y funciones que los ordenamientos jurídicos aplicables otorgan a los sujetos obligados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C">
      <w:pPr>
        <w:spacing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ciertas facultades, competencias o funciones no se hayan ejercido, se debe motivar la respuesta en función de las causas que motiven tal circunstancia. </w:t>
      </w:r>
    </w:p>
    <w:p w:rsidR="00000000" w:rsidDel="00000000" w:rsidP="00000000" w:rsidRDefault="00000000" w:rsidRPr="00000000" w14:paraId="0000008D">
      <w:pPr>
        <w:spacing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000000" w:rsidDel="00000000" w:rsidP="00000000" w:rsidRDefault="00000000" w:rsidRPr="00000000" w14:paraId="0000008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000000" w:rsidDel="00000000" w:rsidP="00000000" w:rsidRDefault="00000000" w:rsidRPr="00000000" w14:paraId="0000009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9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3">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 </w:t>
      </w:r>
      <w:r w:rsidDel="00000000" w:rsidR="00000000" w:rsidRPr="00000000">
        <w:rPr>
          <w:rFonts w:ascii="Palatino Linotype" w:cs="Palatino Linotype" w:eastAsia="Palatino Linotype" w:hAnsi="Palatino Linotype"/>
          <w:i w:val="1"/>
          <w:rtl w:val="0"/>
        </w:rPr>
        <w:t xml:space="preserve">Para los efectos de la presente Ley se entenderá por:</w:t>
      </w:r>
    </w:p>
    <w:p w:rsidR="00000000" w:rsidDel="00000000" w:rsidP="00000000" w:rsidRDefault="00000000" w:rsidRPr="00000000" w14:paraId="00000094">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95">
      <w:pPr>
        <w:spacing w:after="0"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96">
      <w:pPr>
        <w:spacing w:after="0" w:line="360" w:lineRule="auto"/>
        <w:ind w:left="851" w:right="899"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9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9">
      <w:pPr>
        <w:spacing w:after="0" w:line="276" w:lineRule="auto"/>
        <w:ind w:left="851" w:right="899"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b w:val="1"/>
          <w:i w:val="1"/>
          <w:rtl w:val="0"/>
        </w:rPr>
        <w:t xml:space="preserve">CRITERIO 0002-11</w:t>
      </w:r>
    </w:p>
    <w:p w:rsidR="00000000" w:rsidDel="00000000" w:rsidP="00000000" w:rsidRDefault="00000000" w:rsidRPr="00000000" w14:paraId="0000009A">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9B">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9C">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9D">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9E">
      <w:pPr>
        <w:spacing w:after="0"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9F">
      <w:pPr>
        <w:spacing w:after="0" w:line="360" w:lineRule="auto"/>
        <w:ind w:left="851" w:right="899"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ahí que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sz w:val="24"/>
          <w:szCs w:val="24"/>
          <w:vertAlign w:val="superscript"/>
        </w:rPr>
        <w:footnoteReference w:customMarkFollows="0" w:id="0"/>
      </w:r>
      <w:r w:rsidDel="00000000" w:rsidR="00000000" w:rsidRPr="00000000">
        <w:rPr>
          <w:rFonts w:ascii="Palatino Linotype" w:cs="Palatino Linotype" w:eastAsia="Palatino Linotype" w:hAnsi="Palatino Linotype"/>
          <w:sz w:val="24"/>
          <w:szCs w:val="24"/>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sz w:val="24"/>
          <w:szCs w:val="24"/>
          <w:vertAlign w:val="superscript"/>
        </w:rPr>
        <w:footnoteReference w:customMarkFollows="0" w:id="1"/>
      </w:r>
      <w:r w:rsidDel="00000000" w:rsidR="00000000" w:rsidRPr="00000000">
        <w:rPr>
          <w:rFonts w:ascii="Palatino Linotype" w:cs="Palatino Linotype" w:eastAsia="Palatino Linotype" w:hAnsi="Palatino Linotype"/>
          <w:sz w:val="24"/>
          <w:szCs w:val="24"/>
          <w:rtl w:val="0"/>
        </w:rPr>
        <w:t xml:space="preserve">, como pudiera tratarse de aquella relacionada con las obligaciones de transparencia señaladas en los artículos 92 y 100 de la Ley de la Materia.</w:t>
      </w:r>
    </w:p>
    <w:p w:rsidR="00000000" w:rsidDel="00000000" w:rsidP="00000000" w:rsidRDefault="00000000" w:rsidRPr="00000000" w14:paraId="000000A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este sentido, cabe reiterar que la persona solicitante requirió al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lo siguiente:</w:t>
      </w:r>
    </w:p>
    <w:p w:rsidR="00000000" w:rsidDel="00000000" w:rsidP="00000000" w:rsidRDefault="00000000" w:rsidRPr="00000000" w14:paraId="000000A3">
      <w:pPr>
        <w:spacing w:line="360" w:lineRule="auto"/>
        <w:jc w:val="both"/>
        <w:rPr/>
      </w:pPr>
      <w:r w:rsidDel="00000000" w:rsidR="00000000" w:rsidRPr="00000000">
        <w:rPr>
          <w:rtl w:val="0"/>
        </w:rPr>
      </w:r>
    </w:p>
    <w:p w:rsidR="00000000" w:rsidDel="00000000" w:rsidP="00000000" w:rsidRDefault="00000000" w:rsidRPr="00000000" w14:paraId="000000A4">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Domicilio en que se encuentran ubicadas las instalaciones de la oficialía calificadora y el acta de cabildo en que fue aprobado el titular de dicha dependencia. </w:t>
      </w:r>
    </w:p>
    <w:p w:rsidR="00000000" w:rsidDel="00000000" w:rsidP="00000000" w:rsidRDefault="00000000" w:rsidRPr="00000000" w14:paraId="000000A5">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Actas de cabildo en que han sido aprobados los nombramientos de todos los titulares a los que se hacen referencia en el artículo 32 y 48 fracción VI de la Ley Orgánica Municipal del Estado de México. </w:t>
      </w:r>
    </w:p>
    <w:p w:rsidR="00000000" w:rsidDel="00000000" w:rsidP="00000000" w:rsidRDefault="00000000" w:rsidRPr="00000000" w14:paraId="000000A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respuesta,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informó que el domicilio donde se encuentran las instalaciones de la Oficialía Mediadora – Conciliadora y Calificadora es en el Boulevard Luis Donaldo Colosio s/n, Barrio San Juan, Zumpango, México, y que el Acta de Sesión de Cabildo donde fueron aprobados los nombramientos como titulares de Oficial Calificador está disponible en la plataforma de IPOMEX, adjuntando para tal efecto una liga electrónica, de igual manera señala que se encuentran las Actas de Sesiones de Cabildo donde fueron nombrados los titulares de las dependencias de la Administración Pública 2022 – 2024, en el mismo link.</w:t>
      </w:r>
    </w:p>
    <w:p w:rsidR="00000000" w:rsidDel="00000000" w:rsidP="00000000" w:rsidRDefault="00000000" w:rsidRPr="00000000" w14:paraId="000000A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9">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Conocida la respuesta por la particular, al no estar conforme con los términos de la misma, presentó el recurso de revisión que nos ocupa, mediante el cual señaló como motivo de inconformidad en lo medular que</w:t>
      </w:r>
      <w:r w:rsidDel="00000000" w:rsidR="00000000" w:rsidRPr="00000000">
        <w:rPr>
          <w:rtl w:val="0"/>
        </w:rPr>
        <w:t xml:space="preserve"> </w:t>
      </w:r>
      <w:r w:rsidDel="00000000" w:rsidR="00000000" w:rsidRPr="00000000">
        <w:rPr>
          <w:rFonts w:ascii="Palatino Linotype" w:cs="Palatino Linotype" w:eastAsia="Palatino Linotype" w:hAnsi="Palatino Linotype"/>
          <w:sz w:val="24"/>
          <w:szCs w:val="24"/>
          <w:rtl w:val="0"/>
        </w:rPr>
        <w:t xml:space="preserve">solicitó información precisa, como son las actas de cabildo, no una liga que marca error, aunado a que solicitó las actas y en su caso debió entregar el link de cada acta.</w:t>
      </w:r>
    </w:p>
    <w:p w:rsidR="00000000" w:rsidDel="00000000" w:rsidP="00000000" w:rsidRDefault="00000000" w:rsidRPr="00000000" w14:paraId="000000AA">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Admitido el presente recurso de revisión, en términos del artículo 185 fracción II</w:t>
      </w:r>
      <w:r w:rsidDel="00000000" w:rsidR="00000000" w:rsidRPr="00000000">
        <w:rPr>
          <w:rFonts w:ascii="Palatino Linotype" w:cs="Palatino Linotype" w:eastAsia="Palatino Linotype" w:hAnsi="Palatino Linotype"/>
          <w:sz w:val="24"/>
          <w:szCs w:val="24"/>
          <w:vertAlign w:val="superscript"/>
        </w:rPr>
        <w:footnoteReference w:customMarkFollows="0" w:id="2"/>
      </w:r>
      <w:r w:rsidDel="00000000" w:rsidR="00000000" w:rsidRPr="00000000">
        <w:rPr>
          <w:rFonts w:ascii="Palatino Linotype" w:cs="Palatino Linotype" w:eastAsia="Palatino Linotype" w:hAnsi="Palatino Linotype"/>
          <w:sz w:val="24"/>
          <w:szCs w:val="24"/>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000000" w:rsidDel="00000000" w:rsidP="00000000" w:rsidRDefault="00000000" w:rsidRPr="00000000" w14:paraId="000000A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Cabe resaltar que durante la etapa de manifestaciones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fue omisa de rendir alegatos, por lo que respecta al</w:t>
      </w:r>
      <w:r w:rsidDel="00000000" w:rsidR="00000000" w:rsidRPr="00000000">
        <w:rPr>
          <w:rFonts w:ascii="Palatino Linotype" w:cs="Palatino Linotype" w:eastAsia="Palatino Linotype" w:hAnsi="Palatino Linotype"/>
          <w:b w:val="1"/>
          <w:sz w:val="24"/>
          <w:szCs w:val="24"/>
          <w:rtl w:val="0"/>
        </w:rPr>
        <w:t xml:space="preserve"> SUJETO OBLIGADO</w:t>
      </w:r>
      <w:r w:rsidDel="00000000" w:rsidR="00000000" w:rsidRPr="00000000">
        <w:rPr>
          <w:rFonts w:ascii="Palatino Linotype" w:cs="Palatino Linotype" w:eastAsia="Palatino Linotype" w:hAnsi="Palatino Linotype"/>
          <w:sz w:val="24"/>
          <w:szCs w:val="24"/>
          <w:rtl w:val="0"/>
        </w:rPr>
        <w:t xml:space="preserve"> también resultó omiso de remitir su informe justificado conforme a derecho les corresponde. </w:t>
      </w:r>
    </w:p>
    <w:p w:rsidR="00000000" w:rsidDel="00000000" w:rsidP="00000000" w:rsidRDefault="00000000" w:rsidRPr="00000000" w14:paraId="000000AE">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respecta a los motivos de inconformidad, se advierte que,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sólo se inconforma, porque no se</w:t>
      </w:r>
      <w:r w:rsidDel="00000000" w:rsidR="00000000" w:rsidRPr="00000000">
        <w:rPr>
          <w:rtl w:val="0"/>
        </w:rPr>
        <w:t xml:space="preserve"> </w:t>
      </w:r>
      <w:r w:rsidDel="00000000" w:rsidR="00000000" w:rsidRPr="00000000">
        <w:rPr>
          <w:rFonts w:ascii="Palatino Linotype" w:cs="Palatino Linotype" w:eastAsia="Palatino Linotype" w:hAnsi="Palatino Linotype"/>
          <w:sz w:val="24"/>
          <w:szCs w:val="24"/>
          <w:rtl w:val="0"/>
        </w:rPr>
        <w:t xml:space="preserve">le proporcionan las actas de cabildo, por lo que la parte de la respuesta que no fue impugnada es decir, la dirección de la oficialía calificadora, debe declararse consentida por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razón de que no se realizaron manifestaciones de inconformidad en dicho punto de la respuesta por lo que no pueden producirse efectos jurídicos tendentes a revocar, confirmar o modificar el acto reclamado ya que se infiere un consentimiento de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ante la falta de impugnación eficaz. </w:t>
      </w:r>
    </w:p>
    <w:p w:rsidR="00000000" w:rsidDel="00000000" w:rsidP="00000000" w:rsidRDefault="00000000" w:rsidRPr="00000000" w14:paraId="000000B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Sirve de sustento a lo anterior,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B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2">
      <w:pPr>
        <w:shd w:fill="ffffff" w:val="clea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ACTOS CONSENTIDOS. SON LOS QUE NO SE IMPUGNAN MEDIANTE EL RECURSO IDÓNEO</w:t>
      </w:r>
      <w:r w:rsidDel="00000000" w:rsidR="00000000" w:rsidRPr="00000000">
        <w:rPr>
          <w:rFonts w:ascii="Palatino Linotype" w:cs="Palatino Linotype" w:eastAsia="Palatino Linotype" w:hAnsi="Palatino Linotype"/>
          <w:i w:val="1"/>
          <w:rtl w:val="0"/>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00000" w:rsidDel="00000000" w:rsidP="00000000" w:rsidRDefault="00000000" w:rsidRPr="00000000" w14:paraId="000000B3">
      <w:pPr>
        <w:shd w:fill="ffffff" w:val="clear"/>
        <w:spacing w:after="0" w:line="360" w:lineRule="auto"/>
        <w:ind w:left="851" w:right="902"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4">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es así, debido a que, cuando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 </w:t>
      </w:r>
      <w:r w:rsidDel="00000000" w:rsidR="00000000" w:rsidRPr="00000000">
        <w:rPr>
          <w:rFonts w:ascii="Palatino Linotype" w:cs="Palatino Linotype" w:eastAsia="Palatino Linotype" w:hAnsi="Palatino Linotype"/>
          <w:sz w:val="24"/>
          <w:szCs w:val="24"/>
          <w:rtl w:val="0"/>
        </w:rPr>
        <w:t xml:space="preserve">impugnó la respuesta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no expresó razón o motivo de inconformidad en contra de todos los rubros solicitados; por lo que, debe declararse atendido pues se entiende que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está conforme con la información al no contravenir la misma.</w:t>
      </w:r>
    </w:p>
    <w:p w:rsidR="00000000" w:rsidDel="00000000" w:rsidP="00000000" w:rsidRDefault="00000000" w:rsidRPr="00000000" w14:paraId="000000B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6">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Sirve como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B7">
      <w:pPr>
        <w:spacing w:after="0" w:line="360" w:lineRule="auto"/>
        <w:ind w:right="49"/>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B8">
      <w:pPr>
        <w:spacing w:after="0" w:line="240" w:lineRule="auto"/>
        <w:ind w:left="1080" w:right="918"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i w:val="1"/>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rtl w:val="0"/>
        </w:rPr>
        <w:t xml:space="preserve">Cuando algún resolutivo de la sentencia impugnada afecta a la </w:t>
      </w:r>
      <w:r w:rsidDel="00000000" w:rsidR="00000000" w:rsidRPr="00000000">
        <w:rPr>
          <w:rFonts w:ascii="Palatino Linotype" w:cs="Palatino Linotype" w:eastAsia="Palatino Linotype" w:hAnsi="Palatino Linotype"/>
          <w:b w:val="1"/>
          <w:i w:val="1"/>
          <w:rtl w:val="0"/>
        </w:rPr>
        <w:t xml:space="preserve">RECURRENTE</w:t>
      </w:r>
      <w:r w:rsidDel="00000000" w:rsidR="00000000" w:rsidRPr="00000000">
        <w:rPr>
          <w:rFonts w:ascii="Palatino Linotype" w:cs="Palatino Linotype" w:eastAsia="Palatino Linotype" w:hAnsi="Palatino Linotype"/>
          <w:i w:val="1"/>
          <w:rtl w:val="0"/>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Del="00000000" w:rsidR="00000000" w:rsidRPr="00000000">
        <w:rPr>
          <w:rFonts w:ascii="Palatino Linotype" w:cs="Palatino Linotype" w:eastAsia="Palatino Linotype" w:hAnsi="Palatino Linotype"/>
          <w:b w:val="1"/>
          <w:i w:val="1"/>
          <w:rtl w:val="0"/>
        </w:rPr>
        <w:t xml:space="preserve">RECURRENTE</w:t>
      </w:r>
      <w:r w:rsidDel="00000000" w:rsidR="00000000" w:rsidRPr="00000000">
        <w:rPr>
          <w:rFonts w:ascii="Palatino Linotype" w:cs="Palatino Linotype" w:eastAsia="Palatino Linotype" w:hAnsi="Palatino Linotype"/>
          <w:i w:val="1"/>
          <w:rtl w:val="0"/>
        </w:rPr>
        <w:t xml:space="preserve">, deben declararse firmes aquéllos en contra de los cuales no se formuló agravio y dicha declaración de firmeza debe reflejarse en la parte considerativa y en los resolutivos debe confirmarse la sentencia recurrida en la parte correspondiente.”</w:t>
      </w:r>
      <w:r w:rsidDel="00000000" w:rsidR="00000000" w:rsidRPr="00000000">
        <w:rPr>
          <w:rtl w:val="0"/>
        </w:rPr>
      </w:r>
    </w:p>
    <w:p w:rsidR="00000000" w:rsidDel="00000000" w:rsidP="00000000" w:rsidRDefault="00000000" w:rsidRPr="00000000" w14:paraId="000000B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Aclarado lo anterior, de esta manera, se procede al análisis de la respuesta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 efecto de determinar si es suficiente para tener por colmado el derecho de acceso a la información de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o en su defecto ordenar la entrega del o los documentos que lo satisfagan.</w:t>
      </w:r>
    </w:p>
    <w:p w:rsidR="00000000" w:rsidDel="00000000" w:rsidP="00000000" w:rsidRDefault="00000000" w:rsidRPr="00000000" w14:paraId="000000BB">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C">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primera instancia es de señalar que en el apartado de requerimientos la solicitud fue turnada y respondida por Cesar Rodrigo Hernández Martínez, que de acuerdo a la información que obra en el IPOMEX, se ostenta como Secretario del Ayuntamiento, como se muestra a continuación:</w:t>
      </w:r>
    </w:p>
    <w:p w:rsidR="00000000" w:rsidDel="00000000" w:rsidP="00000000" w:rsidRDefault="00000000" w:rsidRPr="00000000" w14:paraId="000000BD">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E">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5553850" cy="1571844"/>
            <wp:effectExtent b="0" l="0" r="0" t="0"/>
            <wp:docPr descr="Interfaz de usuario gráfica, Texto, Aplicación, Chat o mensaje de texto&#10;&#10;Descripción generada automáticamente" id="10" name="image4.png"/>
            <a:graphic>
              <a:graphicData uri="http://schemas.openxmlformats.org/drawingml/2006/picture">
                <pic:pic>
                  <pic:nvPicPr>
                    <pic:cNvPr descr="Interfaz de usuario gráfica, Texto, Aplicación, Chat o mensaje de texto&#10;&#10;Descripción generada automáticamente" id="0" name="image4.png"/>
                    <pic:cNvPicPr preferRelativeResize="0"/>
                  </pic:nvPicPr>
                  <pic:blipFill>
                    <a:blip r:embed="rId9"/>
                    <a:srcRect b="0" l="0" r="0" t="0"/>
                    <a:stretch>
                      <a:fillRect/>
                    </a:stretch>
                  </pic:blipFill>
                  <pic:spPr>
                    <a:xfrm>
                      <a:off x="0" y="0"/>
                      <a:ext cx="5553850" cy="1571844"/>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cual es necesario precisar que cuenta con las siguientes atribuciones:</w:t>
      </w:r>
    </w:p>
    <w:p w:rsidR="00000000" w:rsidDel="00000000" w:rsidP="00000000" w:rsidRDefault="00000000" w:rsidRPr="00000000" w14:paraId="000000C0">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1">
      <w:pPr>
        <w:spacing w:after="0" w:line="240" w:lineRule="auto"/>
        <w:ind w:left="1080" w:right="918"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i w:val="1"/>
          <w:rtl w:val="0"/>
        </w:rPr>
        <w:t xml:space="preserve">“LEY ORGÁNICA MUNICIPAL DEL ESTADO DE MÉXICO</w:t>
      </w: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C2">
      <w:pPr>
        <w:spacing w:after="0" w:line="240" w:lineRule="auto"/>
        <w:ind w:left="1080" w:right="918"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i w:val="1"/>
          <w:rtl w:val="0"/>
        </w:rPr>
        <w:t xml:space="preserve">Artículo 91.-</w:t>
      </w:r>
      <w:r w:rsidDel="00000000" w:rsidR="00000000" w:rsidRPr="00000000">
        <w:rPr>
          <w:rFonts w:ascii="Palatino Linotype" w:cs="Palatino Linotype" w:eastAsia="Palatino Linotype" w:hAnsi="Palatino Linotype"/>
          <w:i w:val="1"/>
          <w:rtl w:val="0"/>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r w:rsidDel="00000000" w:rsidR="00000000" w:rsidRPr="00000000">
        <w:rPr>
          <w:rtl w:val="0"/>
        </w:rPr>
      </w:r>
    </w:p>
    <w:p w:rsidR="00000000" w:rsidDel="00000000" w:rsidP="00000000" w:rsidRDefault="00000000" w:rsidRPr="00000000" w14:paraId="000000C3">
      <w:pPr>
        <w:spacing w:after="0" w:line="240" w:lineRule="auto"/>
        <w:ind w:left="1080" w:right="918"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rtl w:val="0"/>
        </w:rPr>
        <w:t xml:space="preserve">I. Asistir a las sesiones del ayuntamiento y levantar las actas correspondientes;</w:t>
      </w:r>
      <w:r w:rsidDel="00000000" w:rsidR="00000000" w:rsidRPr="00000000">
        <w:rPr>
          <w:rtl w:val="0"/>
        </w:rPr>
      </w:r>
    </w:p>
    <w:p w:rsidR="00000000" w:rsidDel="00000000" w:rsidP="00000000" w:rsidRDefault="00000000" w:rsidRPr="00000000" w14:paraId="000000C4">
      <w:pPr>
        <w:spacing w:after="0" w:line="240" w:lineRule="auto"/>
        <w:ind w:left="1080" w:right="918"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sz w:val="24"/>
          <w:szCs w:val="24"/>
          <w:rtl w:val="0"/>
        </w:rPr>
        <w:t xml:space="preserve">(…)</w:t>
      </w:r>
      <w:r w:rsidDel="00000000" w:rsidR="00000000" w:rsidRPr="00000000">
        <w:rPr>
          <w:rtl w:val="0"/>
        </w:rPr>
      </w:r>
    </w:p>
    <w:p w:rsidR="00000000" w:rsidDel="00000000" w:rsidP="00000000" w:rsidRDefault="00000000" w:rsidRPr="00000000" w14:paraId="000000C5">
      <w:pPr>
        <w:spacing w:after="0" w:line="240" w:lineRule="auto"/>
        <w:ind w:left="1080" w:right="918"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rtl w:val="0"/>
        </w:rPr>
        <w:t xml:space="preserve">IV. Llevar y conservar los libros de actas de cabildo, obteniendo las firmas de los asistentes a las sesiones;</w:t>
      </w:r>
      <w:r w:rsidDel="00000000" w:rsidR="00000000" w:rsidRPr="00000000">
        <w:rPr>
          <w:rtl w:val="0"/>
        </w:rPr>
      </w:r>
    </w:p>
    <w:p w:rsidR="00000000" w:rsidDel="00000000" w:rsidP="00000000" w:rsidRDefault="00000000" w:rsidRPr="00000000" w14:paraId="000000C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Conforme a ello, se señala que la Secretaría del Ayuntamiento asiste a las sesiones del Ayuntamiento y levanta las actas correspondientes, llevando y conservando los libros de actas de cabildo obteniendo las firmas de los asistentes a las sesiones.</w:t>
      </w:r>
    </w:p>
    <w:p w:rsidR="00000000" w:rsidDel="00000000" w:rsidP="00000000" w:rsidRDefault="00000000" w:rsidRPr="00000000" w14:paraId="000000C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9">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igual forma, no pasa desapercibido mencionar que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en su solicitud de información refirió el artículo 32 y 48 fracción VI de la Ley Orgánica Municipal del Estado de México, los cuales versan en el siguiente sentido:</w:t>
      </w:r>
    </w:p>
    <w:p w:rsidR="00000000" w:rsidDel="00000000" w:rsidP="00000000" w:rsidRDefault="00000000" w:rsidRPr="00000000" w14:paraId="000000CA">
      <w:pPr>
        <w:spacing w:after="0" w:line="240" w:lineRule="auto"/>
        <w:ind w:left="1080" w:right="918"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CB">
      <w:pPr>
        <w:spacing w:after="0" w:line="240" w:lineRule="auto"/>
        <w:ind w:left="1080" w:right="918"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i w:val="1"/>
          <w:rtl w:val="0"/>
        </w:rPr>
        <w:t xml:space="preserve">“Artículo 32</w:t>
      </w:r>
      <w:r w:rsidDel="00000000" w:rsidR="00000000" w:rsidRPr="00000000">
        <w:rPr>
          <w:rFonts w:ascii="Palatino Linotype" w:cs="Palatino Linotype" w:eastAsia="Palatino Linotype" w:hAnsi="Palatino Linotype"/>
          <w:i w:val="1"/>
          <w:rtl w:val="0"/>
        </w:rPr>
        <w:t xml:space="preserve">.- Para ocupar los cargos de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los siguientes requisitos:</w:t>
      </w:r>
      <w:r w:rsidDel="00000000" w:rsidR="00000000" w:rsidRPr="00000000">
        <w:rPr>
          <w:rtl w:val="0"/>
        </w:rPr>
      </w:r>
    </w:p>
    <w:p w:rsidR="00000000" w:rsidDel="00000000" w:rsidP="00000000" w:rsidRDefault="00000000" w:rsidRPr="00000000" w14:paraId="000000CC">
      <w:pPr>
        <w:spacing w:after="0" w:line="240" w:lineRule="auto"/>
        <w:ind w:left="1080" w:right="91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D">
      <w:pPr>
        <w:spacing w:after="0" w:line="240" w:lineRule="auto"/>
        <w:ind w:left="1080" w:right="918"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CE">
      <w:pPr>
        <w:spacing w:after="0" w:line="240" w:lineRule="auto"/>
        <w:ind w:left="1080" w:right="918"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i w:val="1"/>
          <w:rtl w:val="0"/>
        </w:rPr>
        <w:t xml:space="preserve">Artículo 48.-</w:t>
      </w:r>
      <w:r w:rsidDel="00000000" w:rsidR="00000000" w:rsidRPr="00000000">
        <w:rPr>
          <w:rFonts w:ascii="Palatino Linotype" w:cs="Palatino Linotype" w:eastAsia="Palatino Linotype" w:hAnsi="Palatino Linotype"/>
          <w:i w:val="1"/>
          <w:rtl w:val="0"/>
        </w:rPr>
        <w:t xml:space="preserve"> La persona titular de la presidencia municipal tiene las siguientes atribuciones:</w:t>
      </w:r>
      <w:r w:rsidDel="00000000" w:rsidR="00000000" w:rsidRPr="00000000">
        <w:rPr>
          <w:rtl w:val="0"/>
        </w:rPr>
      </w:r>
    </w:p>
    <w:p w:rsidR="00000000" w:rsidDel="00000000" w:rsidP="00000000" w:rsidRDefault="00000000" w:rsidRPr="00000000" w14:paraId="000000CF">
      <w:pPr>
        <w:spacing w:after="0" w:line="240" w:lineRule="auto"/>
        <w:ind w:left="1080" w:right="918"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D0">
      <w:pPr>
        <w:spacing w:after="0" w:line="240" w:lineRule="auto"/>
        <w:ind w:left="1080" w:right="91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Proponer al ayuntamiento los nombramientos de las personas titulares de la secretaría, tesorería y de las dependencias y organismos auxiliares de la administración pública municipal, observando en todo tiempo que en su integración se respeten los principios de igualdad, equidad y garantizando la paridad de género;”</w:t>
      </w:r>
    </w:p>
    <w:p w:rsidR="00000000" w:rsidDel="00000000" w:rsidP="00000000" w:rsidRDefault="00000000" w:rsidRPr="00000000" w14:paraId="000000D1">
      <w:pPr>
        <w:spacing w:after="0" w:line="240" w:lineRule="auto"/>
        <w:ind w:left="1080" w:right="918"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2">
      <w:pPr>
        <w:spacing w:after="0" w:line="360" w:lineRule="auto"/>
        <w:jc w:val="both"/>
        <w:rPr>
          <w:rFonts w:ascii="Palatino Linotype" w:cs="Palatino Linotype" w:eastAsia="Palatino Linotype" w:hAnsi="Palatino Linotype"/>
          <w:sz w:val="24"/>
          <w:szCs w:val="24"/>
        </w:rPr>
      </w:pPr>
      <w:bookmarkStart w:colFirst="0" w:colLast="0" w:name="_heading=h.gjdgxs" w:id="1"/>
      <w:bookmarkEnd w:id="1"/>
      <w:r w:rsidDel="00000000" w:rsidR="00000000" w:rsidRPr="00000000">
        <w:rPr>
          <w:rFonts w:ascii="Palatino Linotype" w:cs="Palatino Linotype" w:eastAsia="Palatino Linotype" w:hAnsi="Palatino Linotype"/>
          <w:sz w:val="24"/>
          <w:szCs w:val="24"/>
          <w:rtl w:val="0"/>
        </w:rPr>
        <w:t xml:space="preserve">Por lo cual se observa que requiere las actas de cabildo en las que se aprobaron los nombramientos del Secretario del Ayuntamiento,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además del oficialía calificadora que refirió en la solicitud de información. </w:t>
      </w:r>
    </w:p>
    <w:p w:rsidR="00000000" w:rsidDel="00000000" w:rsidP="00000000" w:rsidRDefault="00000000" w:rsidRPr="00000000" w14:paraId="000000D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4">
      <w:pPr>
        <w:spacing w:after="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es de recordar que en atención a la solicitud el servidor público habilitado dirigió a la persona solicitante al portal IPOMEX localizado en la dirección electrónica:</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4"/>
          <w:szCs w:val="24"/>
        </w:rPr>
      </w:pPr>
      <w:hyperlink r:id="rId10">
        <w:r w:rsidDel="00000000" w:rsidR="00000000" w:rsidRPr="00000000">
          <w:rPr>
            <w:rFonts w:ascii="Palatino Linotype" w:cs="Palatino Linotype" w:eastAsia="Palatino Linotype" w:hAnsi="Palatino Linotype"/>
            <w:sz w:val="24"/>
            <w:szCs w:val="24"/>
            <w:u w:val="single"/>
            <w:rtl w:val="0"/>
          </w:rPr>
          <w:t xml:space="preserve">https://www.ipomex.org.mx/ipo3/lgt/indice/ZUMPANGO/art_94_ii_b2.web?token=03AFY_a8V7dzAUwbrCMfDyH1-6JYnmqrXhJXQtnqKWIEBL58z850gM8xhgdNOMQFSYH-zgSNyM8I6S3VnMNzpJaoACuyCuhZDgSUnatCADR1cvAYdV8O10F5Y4evLcFFGB2yIv6b7kDceuOg5i4WPjCBKyPvbNU48UEBiTFapiE-0trwUkfIgumVP8BU0jE1I8jfv58EPe9p81w-r6iUD1ZGAaGrpVoVaAj62QYqgH8qErAzpeAM6PsYg7rdriCjXXlSXXtWlMisSXMJsLHWxTdbDgihqLcCIY4ZCbGXgja7aBUxzLU67VZHRXVXvQgx88T6BZ7w5VVnWuzs8GZrNvggXK9b9XnxxEaWZL3TmAfKpcQqD_VewxkWPmRp8U4JiI9IrDYjOSlaMv-CI88lz_h_acDDCUlDz0OHfvHChIwGU2zWM7vlQHB2ufyYXSPt2VQs2L4YIcfcfMiWg1O0XtEsEJoeFkALAL39z9N18o1V5csz_LVcbmD6hTzIRuEakSyq8kwFqcrZBN0PKVVBPqb53B27fmsNh_U8B8Udl-sbTq7sokIJviId9_PQhRqhYKi09yQhZHMXjo</w:t>
        </w:r>
      </w:hyperlink>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 efecto de que realizara la consulta de la información que es de su interés, al relacionarse la misma con la obligación de transparencia común prevista en el artículo 94, fracción II de la Ley de Transparencia Local, que es del tenor literal siguiente:</w:t>
      </w:r>
    </w:p>
    <w:p w:rsidR="00000000" w:rsidDel="00000000" w:rsidP="00000000" w:rsidRDefault="00000000" w:rsidRPr="00000000" w14:paraId="000000D7">
      <w:pPr>
        <w:spacing w:after="0" w:before="120" w:line="360"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94. Además de las obligaciones de transparencia común a que se refiere el Capítulo II de este Título, los sujetos obligados del Poder Ejecutivo Local y municipales, deberán poner a disposición del público y actualizar la siguiente información:</w:t>
        <w:br w:type="textWrapping"/>
        <w:t xml:space="preserve">(…)</w:t>
      </w:r>
    </w:p>
    <w:p w:rsidR="00000000" w:rsidDel="00000000" w:rsidP="00000000" w:rsidRDefault="00000000" w:rsidRPr="00000000" w14:paraId="000000D8">
      <w:pPr>
        <w:spacing w:after="0" w:line="360"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Adicionalmente en el caso de los municipios:</w:t>
      </w:r>
    </w:p>
    <w:p w:rsidR="00000000" w:rsidDel="00000000" w:rsidP="00000000" w:rsidRDefault="00000000" w:rsidRPr="00000000" w14:paraId="000000D9">
      <w:pPr>
        <w:spacing w:after="0" w:line="360"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A">
      <w:pPr>
        <w:spacing w:after="0" w:line="360"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b) Las actas de sesiones de cabildo, los controles de asistencia de los integrantes del Ayuntamiento a las sesiones de cabildo y el sentido de votación de los miembros del cabildo sobre las iniciativas o acuerdos;</w:t>
      </w:r>
    </w:p>
    <w:p w:rsidR="00000000" w:rsidDel="00000000" w:rsidP="00000000" w:rsidRDefault="00000000" w:rsidRPr="00000000" w14:paraId="000000D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C">
      <w:pPr>
        <w:spacing w:after="0" w:line="360" w:lineRule="auto"/>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4"/>
          <w:szCs w:val="24"/>
          <w:rtl w:val="0"/>
        </w:rPr>
        <w:t xml:space="preserve">En tal contexto, en primer lugar, debemos traer a colación el artículo 161</w:t>
      </w:r>
      <w:r w:rsidDel="00000000" w:rsidR="00000000" w:rsidRPr="00000000">
        <w:rPr>
          <w:rFonts w:ascii="Palatino Linotype" w:cs="Palatino Linotype" w:eastAsia="Palatino Linotype" w:hAnsi="Palatino Linotype"/>
          <w:sz w:val="24"/>
          <w:szCs w:val="24"/>
          <w:vertAlign w:val="superscript"/>
        </w:rPr>
        <w:footnoteReference w:customMarkFollows="0" w:id="3"/>
      </w:r>
      <w:r w:rsidDel="00000000" w:rsidR="00000000" w:rsidRPr="00000000">
        <w:rPr>
          <w:rFonts w:ascii="Palatino Linotype" w:cs="Palatino Linotype" w:eastAsia="Palatino Linotype" w:hAnsi="Palatino Linotype"/>
          <w:sz w:val="24"/>
          <w:szCs w:val="24"/>
          <w:rtl w:val="0"/>
        </w:rPr>
        <w:t xml:space="preserve"> de la Ley de Transparencia y Acceso a la Información Pública del Estado de México y Municipios</w:t>
      </w:r>
      <w:r w:rsidDel="00000000" w:rsidR="00000000" w:rsidRPr="00000000">
        <w:rPr>
          <w:rFonts w:ascii="Palatino Linotype" w:cs="Palatino Linotype" w:eastAsia="Palatino Linotype" w:hAnsi="Palatino Linotype"/>
          <w:i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r w:rsidDel="00000000" w:rsidR="00000000" w:rsidRPr="00000000">
        <w:rPr>
          <w:rtl w:val="0"/>
        </w:rPr>
      </w:r>
    </w:p>
    <w:p w:rsidR="00000000" w:rsidDel="00000000" w:rsidP="00000000" w:rsidRDefault="00000000" w:rsidRPr="00000000" w14:paraId="000000DD">
      <w:pPr>
        <w:spacing w:after="240" w:line="276" w:lineRule="auto"/>
        <w:ind w:left="284" w:right="49"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E">
      <w:pPr>
        <w:spacing w:after="240" w:before="240" w:line="276" w:lineRule="auto"/>
        <w:ind w:left="284"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 La fuente</w:t>
      </w:r>
    </w:p>
    <w:p w:rsidR="00000000" w:rsidDel="00000000" w:rsidP="00000000" w:rsidRDefault="00000000" w:rsidRPr="00000000" w14:paraId="000000DF">
      <w:pPr>
        <w:spacing w:after="240" w:before="240" w:line="276" w:lineRule="auto"/>
        <w:ind w:left="284"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 El lugar y</w:t>
      </w:r>
    </w:p>
    <w:p w:rsidR="00000000" w:rsidDel="00000000" w:rsidP="00000000" w:rsidRDefault="00000000" w:rsidRPr="00000000" w14:paraId="000000E0">
      <w:pPr>
        <w:spacing w:after="240" w:before="240" w:line="276" w:lineRule="auto"/>
        <w:ind w:left="284"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 La forma</w:t>
      </w:r>
    </w:p>
    <w:p w:rsidR="00000000" w:rsidDel="00000000" w:rsidP="00000000" w:rsidRDefault="00000000" w:rsidRPr="00000000" w14:paraId="000000E1">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se establece que la fuente de la información deberá ser:</w:t>
      </w:r>
    </w:p>
    <w:p w:rsidR="00000000" w:rsidDel="00000000" w:rsidP="00000000" w:rsidRDefault="00000000" w:rsidRPr="00000000" w14:paraId="000000E2">
      <w:pPr>
        <w:spacing w:after="240" w:before="240" w:line="276" w:lineRule="auto"/>
        <w:ind w:left="284"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 Precisa</w:t>
      </w:r>
    </w:p>
    <w:p w:rsidR="00000000" w:rsidDel="00000000" w:rsidP="00000000" w:rsidRDefault="00000000" w:rsidRPr="00000000" w14:paraId="000000E3">
      <w:pPr>
        <w:spacing w:after="240" w:before="240" w:line="276" w:lineRule="auto"/>
        <w:ind w:left="284"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 Concreta</w:t>
      </w:r>
    </w:p>
    <w:p w:rsidR="00000000" w:rsidDel="00000000" w:rsidP="00000000" w:rsidRDefault="00000000" w:rsidRPr="00000000" w14:paraId="000000E4">
      <w:pPr>
        <w:spacing w:after="0" w:before="240" w:line="360" w:lineRule="auto"/>
        <w:ind w:left="284" w:right="51"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 Y no debe implicar que el solicitante realice una búsqueda en toda la información que se encuentre disponible.</w:t>
      </w:r>
    </w:p>
    <w:p w:rsidR="00000000" w:rsidDel="00000000" w:rsidP="00000000" w:rsidRDefault="00000000" w:rsidRPr="00000000" w14:paraId="000000E5">
      <w:pPr>
        <w:spacing w:after="0" w:line="360" w:lineRule="auto"/>
        <w:ind w:left="284" w:right="51"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6">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Imperativos legales que establecen el procedimiento que debe seguir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para que pueda tomarse como válida su orientación sobre la forma en que puede consultar la información requerida.</w:t>
      </w:r>
    </w:p>
    <w:p w:rsidR="00000000" w:rsidDel="00000000" w:rsidP="00000000" w:rsidRDefault="00000000" w:rsidRPr="00000000" w14:paraId="000000E7">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8">
      <w:pPr>
        <w:spacing w:after="0" w:line="360" w:lineRule="auto"/>
        <w:ind w:right="51"/>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4"/>
          <w:szCs w:val="24"/>
          <w:rtl w:val="0"/>
        </w:rPr>
        <w:t xml:space="preserve">Derivado de lo anterior, este Organismo Garante se dio a la tarea de consultar la información contenida en la dirección electrónica proporcionada, observando lo siguiente:</w:t>
      </w:r>
      <w:r w:rsidDel="00000000" w:rsidR="00000000" w:rsidRPr="00000000">
        <w:rPr>
          <w:rtl w:val="0"/>
        </w:rPr>
      </w:r>
    </w:p>
    <w:p w:rsidR="00000000" w:rsidDel="00000000" w:rsidP="00000000" w:rsidRDefault="00000000" w:rsidRPr="00000000" w14:paraId="000000E9">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A">
      <w:pPr>
        <w:spacing w:after="0" w:line="360" w:lineRule="auto"/>
        <w:ind w:right="49"/>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4229690" cy="2962688"/>
            <wp:effectExtent b="0" l="0" r="0" t="0"/>
            <wp:docPr descr="Tabla&#10;&#10;Descripción generada automáticamente" id="9" name="image3.png"/>
            <a:graphic>
              <a:graphicData uri="http://schemas.openxmlformats.org/drawingml/2006/picture">
                <pic:pic>
                  <pic:nvPicPr>
                    <pic:cNvPr descr="Tabla&#10;&#10;Descripción generada automáticamente" id="0" name="image3.png"/>
                    <pic:cNvPicPr preferRelativeResize="0"/>
                  </pic:nvPicPr>
                  <pic:blipFill>
                    <a:blip r:embed="rId11"/>
                    <a:srcRect b="0" l="0" r="0" t="0"/>
                    <a:stretch>
                      <a:fillRect/>
                    </a:stretch>
                  </pic:blipFill>
                  <pic:spPr>
                    <a:xfrm>
                      <a:off x="0" y="0"/>
                      <a:ext cx="4229690" cy="2962688"/>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after="0" w:line="360" w:lineRule="auto"/>
        <w:ind w:right="49"/>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se advierte, la dirección electrónica proporcionada dirige al portal de Información Pública de Oficio Mexiquense, IPOMEX,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específicamente al cumplimiento de la obligación de transparencia establecida en la fracción II inciso b) del artículo 94 de la Ley de Transparencia y Acceso a la Información pública del Estado de México y Municipios, de manera particular a las actas de sesiones de cabildo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E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E">
      <w:pPr>
        <w:spacing w:after="0" w:line="360" w:lineRule="auto"/>
        <w:jc w:val="both"/>
        <w:rPr>
          <w:rFonts w:ascii="Palatino Linotype" w:cs="Palatino Linotype" w:eastAsia="Palatino Linotype" w:hAnsi="Palatino Linotype"/>
          <w:sz w:val="24"/>
          <w:szCs w:val="24"/>
        </w:rPr>
      </w:pPr>
      <w:bookmarkStart w:colFirst="0" w:colLast="0" w:name="_heading=h.30j0zll" w:id="2"/>
      <w:bookmarkEnd w:id="2"/>
      <w:r w:rsidDel="00000000" w:rsidR="00000000" w:rsidRPr="00000000">
        <w:rPr>
          <w:rFonts w:ascii="Palatino Linotype" w:cs="Palatino Linotype" w:eastAsia="Palatino Linotype" w:hAnsi="Palatino Linotype"/>
          <w:sz w:val="24"/>
          <w:szCs w:val="24"/>
          <w:rtl w:val="0"/>
        </w:rPr>
        <w:t xml:space="preserve">En consecuencia, si bien el sujeto obligado proporcionó la liga que dirige a la consulta de las actas de cabildo, la fuente no es precisa, ni concreta, por lo que no cumple con lo dispuesto en el artículo 161 de la Ley de la Materia Local, pues en dicho vinculo se localizan las actas de cabildo de los años 2020, 2021, 2022 y 2023, por lo que para poder localizar las actas de cabildo en la que conste la aprobación de los nombramientos de los servidores públicos en funciones a la fecha de la solicitud, de los que se pide información  implica que el particular realice una búsqueda en toda la información que se encuentre disponible en la página electrónica proporcionada, por lo que se estima que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omitió señalar concretamente el procedimiento mediante el cual podía obtener la información que es de su interés, toda vez que se limitó a  entregar el link, y refirió que se debía localizar en dichas actas, sin señalar el año, el número de acta y el número de registro en el que se podían consultar. </w:t>
      </w:r>
    </w:p>
    <w:p w:rsidR="00000000" w:rsidDel="00000000" w:rsidP="00000000" w:rsidRDefault="00000000" w:rsidRPr="00000000" w14:paraId="000000EF">
      <w:pPr>
        <w:spacing w:after="0" w:line="360" w:lineRule="auto"/>
        <w:jc w:val="both"/>
        <w:rPr>
          <w:rFonts w:ascii="Palatino Linotype" w:cs="Palatino Linotype" w:eastAsia="Palatino Linotype" w:hAnsi="Palatino Linotype"/>
          <w:sz w:val="24"/>
          <w:szCs w:val="24"/>
        </w:rPr>
      </w:pPr>
      <w:bookmarkStart w:colFirst="0" w:colLast="0" w:name="_heading=h.imetqku0fxc9" w:id="3"/>
      <w:bookmarkEnd w:id="3"/>
      <w:r w:rsidDel="00000000" w:rsidR="00000000" w:rsidRPr="00000000">
        <w:rPr>
          <w:rtl w:val="0"/>
        </w:rPr>
      </w:r>
    </w:p>
    <w:p w:rsidR="00000000" w:rsidDel="00000000" w:rsidP="00000000" w:rsidRDefault="00000000" w:rsidRPr="00000000" w14:paraId="000000F0">
      <w:pPr>
        <w:spacing w:after="0" w:line="360" w:lineRule="auto"/>
        <w:jc w:val="both"/>
        <w:rPr>
          <w:rFonts w:ascii="Palatino Linotype" w:cs="Palatino Linotype" w:eastAsia="Palatino Linotype" w:hAnsi="Palatino Linotype"/>
          <w:sz w:val="24"/>
          <w:szCs w:val="24"/>
        </w:rPr>
      </w:pPr>
      <w:bookmarkStart w:colFirst="0" w:colLast="0" w:name="_heading=h.s29pyuaict58" w:id="4"/>
      <w:bookmarkEnd w:id="4"/>
      <w:r w:rsidDel="00000000" w:rsidR="00000000" w:rsidRPr="00000000">
        <w:rPr>
          <w:rFonts w:ascii="Palatino Linotype" w:cs="Palatino Linotype" w:eastAsia="Palatino Linotype" w:hAnsi="Palatino Linotype"/>
          <w:sz w:val="24"/>
          <w:szCs w:val="24"/>
          <w:rtl w:val="0"/>
        </w:rPr>
        <w:t xml:space="preserve">Por lo que la fuente proporcionada no cumple con lo señalado en el artículo 161</w:t>
      </w:r>
      <w:r w:rsidDel="00000000" w:rsidR="00000000" w:rsidRPr="00000000">
        <w:rPr>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de la de Transparencia y Acceso a la Información Pública del Estado de México y Municipios al no advertirse la información solicitada,  aunado al hecho de que dicha prerrogativa debe ejercerse dentro de los primeros cinco días hábiles posteriores a la recepción de la solicitud, situación que tampoco se observó. </w:t>
      </w:r>
    </w:p>
    <w:p w:rsidR="00000000" w:rsidDel="00000000" w:rsidP="00000000" w:rsidRDefault="00000000" w:rsidRPr="00000000" w14:paraId="000000F1">
      <w:pPr>
        <w:spacing w:after="0" w:line="360" w:lineRule="auto"/>
        <w:ind w:right="49"/>
        <w:jc w:val="both"/>
        <w:rPr>
          <w:rFonts w:ascii="Palatino Linotype" w:cs="Palatino Linotype" w:eastAsia="Palatino Linotype" w:hAnsi="Palatino Linotype"/>
          <w:strike w:val="1"/>
          <w:sz w:val="24"/>
          <w:szCs w:val="24"/>
        </w:rPr>
      </w:pPr>
      <w:r w:rsidDel="00000000" w:rsidR="00000000" w:rsidRPr="00000000">
        <w:rPr>
          <w:rtl w:val="0"/>
        </w:rPr>
      </w:r>
    </w:p>
    <w:p w:rsidR="00000000" w:rsidDel="00000000" w:rsidP="00000000" w:rsidRDefault="00000000" w:rsidRPr="00000000" w14:paraId="000000F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es de reiterar que quien se pronunció fue la Secretaría del Ayuntamiento, quien en su caso es competente para conocer de la información solicita, tal como fue analizado, por lo que al haber reconocido de forma expresa que cuenta con la información solicitada al remitir a la página electrónica antes señalada, resulta  procedente, ordenar la entrega de las actas de cabildo en donde se aprobaron los nombramientos de los servidores públicos en funciones al diez de agosto de dos mil veintitrés, referidos en la solicitud, de ser procedente en versión pública en atención a lo señalado en el considerando quinto del presente fallo.</w:t>
      </w:r>
    </w:p>
    <w:p w:rsidR="00000000" w:rsidDel="00000000" w:rsidP="00000000" w:rsidRDefault="00000000" w:rsidRPr="00000000" w14:paraId="000000F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VERSIÓN PÚBLICA. </w:t>
      </w:r>
      <w:r w:rsidDel="00000000" w:rsidR="00000000" w:rsidRPr="00000000">
        <w:rPr>
          <w:rFonts w:ascii="Palatino Linotype" w:cs="Palatino Linotype" w:eastAsia="Palatino Linotype" w:hAnsi="Palatino Linotype"/>
          <w:sz w:val="24"/>
          <w:szCs w:val="24"/>
          <w:rtl w:val="0"/>
        </w:rPr>
        <w:t xml:space="preserve">Finalmente, debe señalarse que de ser el caso en que los documentos que vayan a ser entregados por el</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sujeto obligado, para dar cumplimiento a la presente resolución, contengan datos que deban ser clasificados,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000000" w:rsidDel="00000000" w:rsidP="00000000" w:rsidRDefault="00000000" w:rsidRPr="00000000" w14:paraId="000000F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0F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8">
      <w:pPr>
        <w:spacing w:after="12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0F9">
      <w:pPr>
        <w:spacing w:after="120" w:before="120" w:line="276"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FA">
      <w:pPr>
        <w:spacing w:after="120" w:before="120" w:line="276"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IX. Datos personales</w:t>
      </w:r>
      <w:r w:rsidDel="00000000" w:rsidR="00000000" w:rsidRPr="00000000">
        <w:rPr>
          <w:rFonts w:ascii="Palatino Linotype" w:cs="Palatino Linotype" w:eastAsia="Palatino Linotype" w:hAnsi="Palatino Linotype"/>
          <w:i w:val="1"/>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0FB">
      <w:pPr>
        <w:spacing w:after="120" w:before="120" w:line="276"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 Información clasificada</w:t>
      </w:r>
      <w:r w:rsidDel="00000000" w:rsidR="00000000" w:rsidRPr="00000000">
        <w:rPr>
          <w:rFonts w:ascii="Palatino Linotype" w:cs="Palatino Linotype" w:eastAsia="Palatino Linotype" w:hAnsi="Palatino Linotype"/>
          <w:i w:val="1"/>
          <w:rtl w:val="0"/>
        </w:rPr>
        <w:t xml:space="preserve">: Aquella considerada por la presente Ley como reservada o confidencial;</w:t>
      </w:r>
    </w:p>
    <w:p w:rsidR="00000000" w:rsidDel="00000000" w:rsidP="00000000" w:rsidRDefault="00000000" w:rsidRPr="00000000" w14:paraId="000000FC">
      <w:pPr>
        <w:spacing w:after="120" w:before="120" w:line="276"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XXI. Información confidencial: </w:t>
      </w:r>
      <w:r w:rsidDel="00000000" w:rsidR="00000000" w:rsidRPr="00000000">
        <w:rPr>
          <w:rFonts w:ascii="Palatino Linotype" w:cs="Palatino Linotype" w:eastAsia="Palatino Linotype" w:hAnsi="Palatino Linotype"/>
          <w:i w:val="1"/>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FD">
      <w:pPr>
        <w:spacing w:after="120" w:before="120" w:line="276"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XLV. Versión pública:</w:t>
      </w:r>
      <w:r w:rsidDel="00000000" w:rsidR="00000000" w:rsidRPr="00000000">
        <w:rPr>
          <w:rFonts w:ascii="Palatino Linotype" w:cs="Palatino Linotype" w:eastAsia="Palatino Linotype" w:hAnsi="Palatino Linotype"/>
          <w:i w:val="1"/>
          <w:rtl w:val="0"/>
        </w:rPr>
        <w:t xml:space="preserve"> Documento en el que se elimine, suprime o borra la información clasificada como reservada o confidencial para permitir su acceso.</w:t>
      </w:r>
    </w:p>
    <w:p w:rsidR="00000000" w:rsidDel="00000000" w:rsidP="00000000" w:rsidRDefault="00000000" w:rsidRPr="00000000" w14:paraId="000000FE">
      <w:pPr>
        <w:spacing w:after="120" w:before="120" w:line="276"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FF">
      <w:pPr>
        <w:spacing w:after="120" w:before="12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00">
      <w:pPr>
        <w:spacing w:after="120" w:before="12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132.</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p>
    <w:p w:rsidR="00000000" w:rsidDel="00000000" w:rsidP="00000000" w:rsidRDefault="00000000" w:rsidRPr="00000000" w14:paraId="00000101">
      <w:pPr>
        <w:spacing w:after="120" w:before="120" w:line="276"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Se reciba una solicitud de acceso a la información;</w:t>
      </w:r>
    </w:p>
    <w:p w:rsidR="00000000" w:rsidDel="00000000" w:rsidP="00000000" w:rsidRDefault="00000000" w:rsidRPr="00000000" w14:paraId="00000102">
      <w:pPr>
        <w:spacing w:after="120" w:before="120" w:line="276"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Se determine mediante resolución de autoridad competente; o</w:t>
      </w:r>
    </w:p>
    <w:p w:rsidR="00000000" w:rsidDel="00000000" w:rsidP="00000000" w:rsidRDefault="00000000" w:rsidRPr="00000000" w14:paraId="00000103">
      <w:pPr>
        <w:spacing w:after="120" w:before="120" w:line="276"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Se generen versiones públicas para dar cumplimiento a las obligaciones de transparencia previstas en esta Ley.</w:t>
      </w:r>
    </w:p>
    <w:p w:rsidR="00000000" w:rsidDel="00000000" w:rsidP="00000000" w:rsidRDefault="00000000" w:rsidRPr="00000000" w14:paraId="00000104">
      <w:pPr>
        <w:spacing w:after="120" w:before="12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05">
      <w:pPr>
        <w:spacing w:after="120" w:before="12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06">
      <w:pPr>
        <w:spacing w:after="120" w:before="120" w:line="276"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07">
      <w:pPr>
        <w:spacing w:after="120" w:before="120" w:line="276"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08">
      <w:pPr>
        <w:spacing w:after="120" w:before="120" w:line="276"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109">
      <w:pPr>
        <w:spacing w:after="120" w:before="12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0A">
      <w:pPr>
        <w:spacing w:after="120" w:before="12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0B">
      <w:pPr>
        <w:spacing w:after="120" w:before="120" w:line="276" w:lineRule="auto"/>
        <w:ind w:left="851"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se destaca que la versión pública que elabore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sz w:val="24"/>
          <w:szCs w:val="24"/>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4"/>
          <w:szCs w:val="24"/>
          <w:rtl w:val="0"/>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10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0" w:line="276" w:lineRule="auto"/>
        <w:ind w:left="709" w:right="709" w:firstLine="0"/>
        <w:jc w:val="both"/>
        <w:rPr/>
      </w:pPr>
      <w:r w:rsidDel="00000000" w:rsidR="00000000" w:rsidRPr="00000000">
        <w:rPr>
          <w:rFonts w:ascii="Palatino Linotype" w:cs="Palatino Linotype" w:eastAsia="Palatino Linotype" w:hAnsi="Palatino Linotype"/>
          <w:b w:val="1"/>
          <w:i w:val="1"/>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0" w:line="276" w:lineRule="auto"/>
        <w:ind w:left="709" w:right="709"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Segundo.-</w:t>
      </w:r>
      <w:r w:rsidDel="00000000" w:rsidR="00000000" w:rsidRPr="00000000">
        <w:rPr>
          <w:rFonts w:ascii="Palatino Linotype" w:cs="Palatino Linotype" w:eastAsia="Palatino Linotype" w:hAnsi="Palatino Linotype"/>
          <w:i w:val="1"/>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0" w:line="276" w:lineRule="auto"/>
        <w:ind w:left="709" w:right="709" w:firstLine="0"/>
        <w:jc w:val="both"/>
        <w:rPr/>
      </w:pPr>
      <w:r w:rsidDel="00000000" w:rsidR="00000000" w:rsidRPr="00000000">
        <w:rPr>
          <w:rFonts w:ascii="Palatino Linotype" w:cs="Palatino Linotype" w:eastAsia="Palatino Linotype" w:hAnsi="Palatino Linotype"/>
          <w:b w:val="1"/>
          <w:i w:val="1"/>
          <w:rtl w:val="0"/>
        </w:rPr>
        <w:t xml:space="preserve">XVIII.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Versión pública:</w:t>
      </w:r>
      <w:r w:rsidDel="00000000" w:rsidR="00000000" w:rsidRPr="00000000">
        <w:rPr>
          <w:rFonts w:ascii="Palatino Linotype" w:cs="Palatino Linotype" w:eastAsia="Palatino Linotype" w:hAnsi="Palatino Linotype"/>
          <w:i w:val="1"/>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u w:val="single"/>
          <w:rtl w:val="0"/>
        </w:rPr>
        <w:t xml:space="preserve">fundando y motivando la</w:t>
      </w:r>
      <w:r w:rsidDel="00000000" w:rsidR="00000000" w:rsidRPr="00000000">
        <w:rPr>
          <w:rFonts w:ascii="Palatino Linotype" w:cs="Palatino Linotype" w:eastAsia="Palatino Linotype" w:hAnsi="Palatino Linotype"/>
          <w:i w:val="1"/>
          <w:rtl w:val="0"/>
        </w:rPr>
        <w:t xml:space="preserve"> reserva o </w:t>
      </w:r>
      <w:r w:rsidDel="00000000" w:rsidR="00000000" w:rsidRPr="00000000">
        <w:rPr>
          <w:rFonts w:ascii="Palatino Linotype" w:cs="Palatino Linotype" w:eastAsia="Palatino Linotype" w:hAnsi="Palatino Linotype"/>
          <w:b w:val="1"/>
          <w:i w:val="1"/>
          <w:u w:val="single"/>
          <w:rtl w:val="0"/>
        </w:rPr>
        <w:t xml:space="preserve">confidencialidad</w:t>
      </w:r>
      <w:r w:rsidDel="00000000" w:rsidR="00000000" w:rsidRPr="00000000">
        <w:rPr>
          <w:rFonts w:ascii="Palatino Linotype" w:cs="Palatino Linotype" w:eastAsia="Palatino Linotype" w:hAnsi="Palatino Linotype"/>
          <w:i w:val="1"/>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0" w:line="276" w:lineRule="auto"/>
        <w:ind w:left="709" w:right="709" w:firstLine="0"/>
        <w:jc w:val="both"/>
        <w:rPr/>
      </w:pPr>
      <w:r w:rsidDel="00000000" w:rsidR="00000000" w:rsidRPr="00000000">
        <w:rPr>
          <w:rFonts w:ascii="Palatino Linotype" w:cs="Palatino Linotype" w:eastAsia="Palatino Linotype" w:hAnsi="Palatino Linotype"/>
          <w:b w:val="1"/>
          <w:i w:val="1"/>
          <w:rtl w:val="0"/>
        </w:rPr>
        <w:t xml:space="preserve">Cuarto.</w:t>
      </w:r>
      <w:r w:rsidDel="00000000" w:rsidR="00000000" w:rsidRPr="00000000">
        <w:rPr>
          <w:rFonts w:ascii="Palatino Linotype" w:cs="Palatino Linotype" w:eastAsia="Palatino Linotype" w:hAnsi="Palatino Linotype"/>
          <w:i w:val="1"/>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line="276" w:lineRule="auto"/>
        <w:ind w:left="709" w:right="709" w:firstLine="0"/>
        <w:jc w:val="both"/>
        <w:rPr/>
      </w:pPr>
      <w:r w:rsidDel="00000000" w:rsidR="00000000" w:rsidRPr="00000000">
        <w:rPr>
          <w:rFonts w:ascii="Palatino Linotype" w:cs="Palatino Linotype" w:eastAsia="Palatino Linotype" w:hAnsi="Palatino Linotype"/>
          <w:i w:val="1"/>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line="276" w:lineRule="auto"/>
        <w:ind w:left="709" w:right="709" w:firstLine="0"/>
        <w:jc w:val="both"/>
        <w:rPr/>
      </w:pPr>
      <w:r w:rsidDel="00000000" w:rsidR="00000000" w:rsidRPr="00000000">
        <w:rPr>
          <w:rFonts w:ascii="Palatino Linotype" w:cs="Palatino Linotype" w:eastAsia="Palatino Linotype" w:hAnsi="Palatino Linotype"/>
          <w:b w:val="1"/>
          <w:i w:val="1"/>
          <w:rtl w:val="0"/>
        </w:rPr>
        <w:t xml:space="preserve">Quinto.</w:t>
      </w:r>
      <w:r w:rsidDel="00000000" w:rsidR="00000000" w:rsidRPr="00000000">
        <w:rPr>
          <w:rFonts w:ascii="Palatino Linotype" w:cs="Palatino Linotype" w:eastAsia="Palatino Linotype" w:hAnsi="Palatino Linotype"/>
          <w:i w:val="1"/>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line="276" w:lineRule="auto"/>
        <w:ind w:left="709" w:right="709" w:firstLine="0"/>
        <w:jc w:val="both"/>
        <w:rPr/>
      </w:pP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line="276" w:lineRule="auto"/>
        <w:ind w:left="709" w:right="709" w:firstLine="0"/>
        <w:jc w:val="both"/>
        <w:rPr/>
      </w:pPr>
      <w:r w:rsidDel="00000000" w:rsidR="00000000" w:rsidRPr="00000000">
        <w:rPr>
          <w:rFonts w:ascii="Palatino Linotype" w:cs="Palatino Linotype" w:eastAsia="Palatino Linotype" w:hAnsi="Palatino Linotype"/>
          <w:b w:val="1"/>
          <w:i w:val="1"/>
          <w:rtl w:val="0"/>
        </w:rPr>
        <w:t xml:space="preserve">Séptimo.</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line="276" w:lineRule="auto"/>
        <w:ind w:left="709" w:right="709" w:firstLine="0"/>
        <w:jc w:val="both"/>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Se reciba una solicitud de acceso a la información;</w:t>
      </w: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Se  determine mediante resolución del Comité de Transparencia, el órgano garante </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276" w:lineRule="auto"/>
        <w:ind w:left="709" w:right="709" w:firstLine="0"/>
        <w:jc w:val="both"/>
        <w:rPr/>
      </w:pPr>
      <w:r w:rsidDel="00000000" w:rsidR="00000000" w:rsidRPr="00000000">
        <w:rPr>
          <w:rFonts w:ascii="Palatino Linotype" w:cs="Palatino Linotype" w:eastAsia="Palatino Linotype" w:hAnsi="Palatino Linotype"/>
          <w:i w:val="1"/>
          <w:rtl w:val="0"/>
        </w:rPr>
        <w:t xml:space="preserve">competente, o en cumplimiento a una sentencia del Poder Judicial; o</w:t>
      </w: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line="276" w:lineRule="auto"/>
        <w:ind w:left="709" w:right="709" w:firstLine="0"/>
        <w:jc w:val="both"/>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line="276" w:lineRule="auto"/>
        <w:ind w:left="709" w:right="709" w:firstLine="0"/>
        <w:jc w:val="both"/>
        <w:rPr/>
      </w:pPr>
      <w:r w:rsidDel="00000000" w:rsidR="00000000" w:rsidRPr="00000000">
        <w:rPr>
          <w:rFonts w:ascii="Palatino Linotype" w:cs="Palatino Linotype" w:eastAsia="Palatino Linotype" w:hAnsi="Palatino Linotype"/>
          <w:i w:val="1"/>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276" w:lineRule="auto"/>
        <w:ind w:left="709" w:right="709" w:firstLine="0"/>
        <w:jc w:val="both"/>
        <w:rPr/>
      </w:pPr>
      <w:r w:rsidDel="00000000" w:rsidR="00000000" w:rsidRPr="00000000">
        <w:rPr>
          <w:rFonts w:ascii="Palatino Linotype" w:cs="Palatino Linotype" w:eastAsia="Palatino Linotype" w:hAnsi="Palatino Linotype"/>
          <w:b w:val="1"/>
          <w:i w:val="1"/>
          <w:rtl w:val="0"/>
        </w:rPr>
        <w:t xml:space="preserve">Octavo.</w:t>
      </w:r>
      <w:r w:rsidDel="00000000" w:rsidR="00000000" w:rsidRPr="00000000">
        <w:rPr>
          <w:rFonts w:ascii="Palatino Linotype" w:cs="Palatino Linotype" w:eastAsia="Palatino Linotype" w:hAnsi="Palatino Linotype"/>
          <w:i w:val="1"/>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line="276" w:lineRule="auto"/>
        <w:ind w:left="709" w:right="709" w:firstLine="0"/>
        <w:jc w:val="both"/>
        <w:rPr/>
      </w:pPr>
      <w:r w:rsidDel="00000000" w:rsidR="00000000" w:rsidRPr="00000000">
        <w:rPr>
          <w:rFonts w:ascii="Palatino Linotype" w:cs="Palatino Linotype" w:eastAsia="Palatino Linotype" w:hAnsi="Palatino Linotype"/>
          <w:i w:val="1"/>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line="276" w:lineRule="auto"/>
        <w:ind w:left="709" w:right="709" w:firstLine="0"/>
        <w:jc w:val="both"/>
        <w:rPr/>
      </w:pPr>
      <w:r w:rsidDel="00000000" w:rsidR="00000000" w:rsidRPr="00000000">
        <w:rPr>
          <w:rFonts w:ascii="Palatino Linotype" w:cs="Palatino Linotype" w:eastAsia="Palatino Linotype" w:hAnsi="Palatino Linotype"/>
          <w:b w:val="1"/>
          <w:i w:val="1"/>
          <w:rtl w:val="0"/>
        </w:rPr>
        <w:t xml:space="preserve">Noveno.</w:t>
      </w:r>
      <w:r w:rsidDel="00000000" w:rsidR="00000000" w:rsidRPr="00000000">
        <w:rPr>
          <w:rFonts w:ascii="Palatino Linotype" w:cs="Palatino Linotype" w:eastAsia="Palatino Linotype" w:hAnsi="Palatino Linotype"/>
          <w:i w:val="1"/>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line="276" w:lineRule="auto"/>
        <w:ind w:left="709" w:right="709" w:firstLine="0"/>
        <w:jc w:val="both"/>
        <w:rPr/>
      </w:pPr>
      <w:r w:rsidDel="00000000" w:rsidR="00000000" w:rsidRPr="00000000">
        <w:rPr>
          <w:rFonts w:ascii="Palatino Linotype" w:cs="Palatino Linotype" w:eastAsia="Palatino Linotype" w:hAnsi="Palatino Linotype"/>
          <w:b w:val="1"/>
          <w:i w:val="1"/>
          <w:rtl w:val="0"/>
        </w:rPr>
        <w:t xml:space="preserve">Décimo.</w:t>
      </w:r>
      <w:r w:rsidDel="00000000" w:rsidR="00000000" w:rsidRPr="00000000">
        <w:rPr>
          <w:rFonts w:ascii="Palatino Linotype" w:cs="Palatino Linotype" w:eastAsia="Palatino Linotype" w:hAnsi="Palatino Linotype"/>
          <w:i w:val="1"/>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line="276" w:lineRule="auto"/>
        <w:ind w:left="709" w:right="709" w:firstLine="0"/>
        <w:jc w:val="both"/>
        <w:rPr/>
      </w:pPr>
      <w:r w:rsidDel="00000000" w:rsidR="00000000" w:rsidRPr="00000000">
        <w:rPr>
          <w:rFonts w:ascii="Palatino Linotype" w:cs="Palatino Linotype" w:eastAsia="Palatino Linotype" w:hAnsi="Palatino Linotype"/>
          <w:i w:val="1"/>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Décimo primero.</w:t>
      </w:r>
      <w:r w:rsidDel="00000000" w:rsidR="00000000" w:rsidRPr="00000000">
        <w:rPr>
          <w:rFonts w:ascii="Palatino Linotype" w:cs="Palatino Linotype" w:eastAsia="Palatino Linotype" w:hAnsi="Palatino Linotype"/>
          <w:i w:val="1"/>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line="276" w:lineRule="auto"/>
        <w:ind w:left="709" w:right="709"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line="276" w:lineRule="auto"/>
        <w:ind w:left="709" w:right="709" w:firstLine="0"/>
        <w:jc w:val="center"/>
        <w:rPr/>
      </w:pPr>
      <w:r w:rsidDel="00000000" w:rsidR="00000000" w:rsidRPr="00000000">
        <w:rPr>
          <w:rFonts w:ascii="Palatino Linotype" w:cs="Palatino Linotype" w:eastAsia="Palatino Linotype" w:hAnsi="Palatino Linotype"/>
          <w:b w:val="1"/>
          <w:i w:val="1"/>
          <w:rtl w:val="0"/>
        </w:rPr>
        <w:t xml:space="preserve">CAPÍTULO VIII</w:t>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line="276" w:lineRule="auto"/>
        <w:ind w:left="709" w:right="709"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DE LOS ELEMENTOS PARA LA CLASIFICACIÓN</w: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w:t>
      </w:r>
      <w:r w:rsidDel="00000000" w:rsidR="00000000" w:rsidRPr="00000000">
        <w:rPr>
          <w:rFonts w:ascii="Palatino Linotype" w:cs="Palatino Linotype" w:eastAsia="Palatino Linotype" w:hAnsi="Palatino Linotype"/>
          <w:i w:val="1"/>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primero</w:t>
      </w:r>
      <w:r w:rsidDel="00000000" w:rsidR="00000000" w:rsidRPr="00000000">
        <w:rPr>
          <w:rFonts w:ascii="Palatino Linotype" w:cs="Palatino Linotype" w:eastAsia="Palatino Linotype" w:hAnsi="Palatino Linotype"/>
          <w:i w:val="1"/>
          <w:rtl w:val="0"/>
        </w:rPr>
        <w:t xml:space="preserve">. Toda acta del Comité de Transparencia deberá contener:</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 número de sesión y fecha; </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del área que solicitó la clasificación de información;</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fundamentación legal y motivación correspondiente;</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La resolución o resoluciones aprobadas; y</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rúbrica o firma digital de cada integrante del Comité de Transparencia. </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resoluciones del Comité en las que se haya determinado confirmar o modificar la clasificación de información pública como reservada, deberán incluir, cuando menos:</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Los motivos y razonamientos que sustenten la confirmación o modificación de la prueba de daño;</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Descripción de las partes o secciones reservadas, en caso de clasificación parcial;</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El periodo por el que mantendrá su clasificación y fecha de expiración; y</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El nombre del titular y área encargada de realizar la versión pública del documento, en su caso.</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segundo</w:t>
      </w:r>
      <w:r w:rsidDel="00000000" w:rsidR="00000000" w:rsidRPr="00000000">
        <w:rPr>
          <w:rFonts w:ascii="Palatino Linotype" w:cs="Palatino Linotype" w:eastAsia="Palatino Linotype" w:hAnsi="Palatino Linotype"/>
          <w:i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Señalar las personas o instancias autorizadas a acceder a la información clasificada.</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line="276" w:lineRule="auto"/>
        <w:ind w:left="709" w:right="709" w:firstLine="0"/>
        <w:jc w:val="both"/>
        <w:rPr/>
      </w:pPr>
      <w:r w:rsidDel="00000000" w:rsidR="00000000" w:rsidRPr="00000000">
        <w:rPr>
          <w:rFonts w:ascii="Palatino Linotype" w:cs="Palatino Linotype" w:eastAsia="Palatino Linotype" w:hAnsi="Palatino Linotype"/>
          <w:b w:val="1"/>
          <w:i w:val="1"/>
          <w:rtl w:val="0"/>
        </w:rPr>
        <w:t xml:space="preserve">Quincuagésimo tercero. </w:t>
      </w:r>
      <w:r w:rsidDel="00000000" w:rsidR="00000000" w:rsidRPr="00000000">
        <w:rPr>
          <w:rFonts w:ascii="Palatino Linotype" w:cs="Palatino Linotype" w:eastAsia="Palatino Linotype" w:hAnsi="Palatino Linotype"/>
          <w:b w:val="1"/>
          <w:i w:val="1"/>
          <w:u w:val="single"/>
          <w:rtl w:val="0"/>
        </w:rPr>
        <w:t xml:space="preserve">El formato para señalar la clasificación de un documento o expediente que contenga información reservada, es el siguiente:</w:t>
      </w:r>
      <w:r w:rsidDel="00000000" w:rsidR="00000000" w:rsidRPr="00000000">
        <w:rPr>
          <w:rtl w:val="0"/>
        </w:rPr>
      </w:r>
    </w:p>
    <w:tbl>
      <w:tblPr>
        <w:tblStyle w:val="Table1"/>
        <w:tblW w:w="8833.0" w:type="dxa"/>
        <w:jc w:val="center"/>
        <w:tblLayout w:type="fixed"/>
        <w:tblLook w:val="0400"/>
      </w:tblPr>
      <w:tblGrid>
        <w:gridCol w:w="1660"/>
        <w:gridCol w:w="1980"/>
        <w:gridCol w:w="5193"/>
        <w:tblGridChange w:id="0">
          <w:tblGrid>
            <w:gridCol w:w="1660"/>
            <w:gridCol w:w="1980"/>
            <w:gridCol w:w="5193"/>
          </w:tblGrid>
        </w:tblGridChange>
      </w:tblGrid>
      <w:tr>
        <w:trPr>
          <w:cantSplit w:val="0"/>
          <w:tblHeader w:val="0"/>
        </w:trPr>
        <w:tc>
          <w:tcPr>
            <w:tcBorders>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pBdr>
                <w:top w:space="0" w:sz="0" w:val="nil"/>
                <w:left w:space="0" w:sz="0" w:val="nil"/>
                <w:bottom w:space="0" w:sz="0" w:val="nil"/>
                <w:right w:space="0" w:sz="0" w:val="nil"/>
                <w:between w:space="0" w:sz="0" w:val="nil"/>
              </w:pBdr>
              <w:jc w:val="center"/>
              <w:rPr/>
            </w:pPr>
            <w:r w:rsidDel="00000000" w:rsidR="00000000" w:rsidRPr="00000000">
              <w:rPr>
                <w:rFonts w:ascii="Palatino Linotype" w:cs="Palatino Linotype" w:eastAsia="Palatino Linotype" w:hAnsi="Palatino Linotype"/>
                <w:b w:val="1"/>
                <w:i w:val="1"/>
                <w:rtl w:val="0"/>
              </w:rPr>
              <w:t xml:space="preserve">Concepto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pBdr>
                <w:top w:space="0" w:sz="0" w:val="nil"/>
                <w:left w:space="0" w:sz="0" w:val="nil"/>
                <w:bottom w:space="0" w:sz="0" w:val="nil"/>
                <w:right w:space="0" w:sz="0" w:val="nil"/>
                <w:between w:space="0" w:sz="0" w:val="nil"/>
              </w:pBdr>
              <w:jc w:val="center"/>
              <w:rPr/>
            </w:pPr>
            <w:r w:rsidDel="00000000" w:rsidR="00000000" w:rsidRPr="00000000">
              <w:rPr>
                <w:rFonts w:ascii="Palatino Linotype" w:cs="Palatino Linotype" w:eastAsia="Palatino Linotype" w:hAnsi="Palatino Linotype"/>
                <w:b w:val="1"/>
                <w:i w:val="1"/>
                <w:rtl w:val="0"/>
              </w:rPr>
              <w:t xml:space="preserve">Dónde:</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D">
            <w:pPr>
              <w:pBdr>
                <w:top w:space="0" w:sz="0" w:val="nil"/>
                <w:left w:space="0" w:sz="0" w:val="nil"/>
                <w:bottom w:space="0" w:sz="0" w:val="nil"/>
                <w:right w:space="0" w:sz="0" w:val="nil"/>
                <w:between w:space="0" w:sz="0" w:val="nil"/>
              </w:pBdr>
              <w:jc w:val="center"/>
              <w:rPr/>
            </w:pPr>
            <w:r w:rsidDel="00000000" w:rsidR="00000000" w:rsidRPr="00000000">
              <w:rPr>
                <w:rFonts w:ascii="Palatino Linotype" w:cs="Palatino Linotype" w:eastAsia="Palatino Linotype" w:hAnsi="Palatino Linotype"/>
                <w:b w:val="1"/>
                <w:i w:val="1"/>
                <w:rtl w:val="0"/>
              </w:rPr>
              <w:t xml:space="preserve">Sello oficial o logotipo del sujeto obligado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pBdr>
                <w:top w:space="0" w:sz="0" w:val="nil"/>
                <w:left w:space="0" w:sz="0" w:val="nil"/>
                <w:bottom w:space="0" w:sz="0" w:val="nil"/>
                <w:right w:space="0" w:sz="0" w:val="nil"/>
                <w:between w:space="0" w:sz="0" w:val="nil"/>
              </w:pBdr>
              <w:jc w:val="center"/>
              <w:rPr/>
            </w:pPr>
            <w:r w:rsidDel="00000000" w:rsidR="00000000" w:rsidRPr="00000000">
              <w:rPr>
                <w:rFonts w:ascii="Palatino Linotype" w:cs="Palatino Linotype" w:eastAsia="Palatino Linotype" w:hAnsi="Palatino Linotype"/>
                <w:i w:val="1"/>
                <w:rtl w:val="0"/>
              </w:rPr>
              <w:t xml:space="preserve">Fecha de clasificación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F">
            <w:pPr>
              <w:pBdr>
                <w:top w:space="0" w:sz="0" w:val="nil"/>
                <w:left w:space="0" w:sz="0" w:val="nil"/>
                <w:bottom w:space="0" w:sz="0" w:val="nil"/>
                <w:right w:space="0" w:sz="0" w:val="nil"/>
                <w:between w:space="0" w:sz="0" w:val="nil"/>
              </w:pBdr>
              <w:jc w:val="both"/>
              <w:rPr/>
            </w:pPr>
            <w:r w:rsidDel="00000000" w:rsidR="00000000" w:rsidRPr="00000000">
              <w:rPr>
                <w:rFonts w:ascii="Palatino Linotype" w:cs="Palatino Linotype" w:eastAsia="Palatino Linotype" w:hAnsi="Palatino Linotype"/>
                <w:i w:val="1"/>
                <w:rtl w:val="0"/>
              </w:rPr>
              <w:t xml:space="preserve">Se anotará la fecha en la que el Comité de Transparencia confirmó la clasificación del documento o expediente, en su caso.</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1">
            <w:pPr>
              <w:pBdr>
                <w:top w:space="0" w:sz="0" w:val="nil"/>
                <w:left w:space="0" w:sz="0" w:val="nil"/>
                <w:bottom w:space="0" w:sz="0" w:val="nil"/>
                <w:right w:space="0" w:sz="0" w:val="nil"/>
                <w:between w:space="0" w:sz="0" w:val="nil"/>
              </w:pBdr>
              <w:jc w:val="center"/>
              <w:rPr/>
            </w:pPr>
            <w:r w:rsidDel="00000000" w:rsidR="00000000" w:rsidRPr="00000000">
              <w:rPr>
                <w:rFonts w:ascii="Palatino Linotype" w:cs="Palatino Linotype" w:eastAsia="Palatino Linotype" w:hAnsi="Palatino Linotype"/>
                <w:i w:val="1"/>
                <w:rtl w:val="0"/>
              </w:rPr>
              <w:t xml:space="preserve">Área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2">
            <w:pPr>
              <w:pBdr>
                <w:top w:space="0" w:sz="0" w:val="nil"/>
                <w:left w:space="0" w:sz="0" w:val="nil"/>
                <w:bottom w:space="0" w:sz="0" w:val="nil"/>
                <w:right w:space="0" w:sz="0" w:val="nil"/>
                <w:between w:space="0" w:sz="0" w:val="nil"/>
              </w:pBdr>
              <w:jc w:val="both"/>
              <w:rPr/>
            </w:pPr>
            <w:r w:rsidDel="00000000" w:rsidR="00000000" w:rsidRPr="00000000">
              <w:rPr>
                <w:rFonts w:ascii="Palatino Linotype" w:cs="Palatino Linotype" w:eastAsia="Palatino Linotype" w:hAnsi="Palatino Linotype"/>
                <w:i w:val="1"/>
                <w:rtl w:val="0"/>
              </w:rPr>
              <w:t xml:space="preserve">Se señalará el nombre del área del cual es titular quien clasifica.</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pBdr>
                <w:top w:space="0" w:sz="0" w:val="nil"/>
                <w:left w:space="0" w:sz="0" w:val="nil"/>
                <w:bottom w:space="0" w:sz="0" w:val="nil"/>
                <w:right w:space="0" w:sz="0" w:val="nil"/>
                <w:between w:space="0" w:sz="0" w:val="nil"/>
              </w:pBdr>
              <w:jc w:val="center"/>
              <w:rPr/>
            </w:pPr>
            <w:r w:rsidDel="00000000" w:rsidR="00000000" w:rsidRPr="00000000">
              <w:rPr>
                <w:rFonts w:ascii="Palatino Linotype" w:cs="Palatino Linotype" w:eastAsia="Palatino Linotype" w:hAnsi="Palatino Linotype"/>
                <w:i w:val="1"/>
                <w:rtl w:val="0"/>
              </w:rPr>
              <w:t xml:space="preserve">Información reservada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pBdr>
                <w:top w:space="0" w:sz="0" w:val="nil"/>
                <w:left w:space="0" w:sz="0" w:val="nil"/>
                <w:bottom w:space="0" w:sz="0" w:val="nil"/>
                <w:right w:space="0" w:sz="0" w:val="nil"/>
                <w:between w:space="0" w:sz="0" w:val="nil"/>
              </w:pBdr>
              <w:jc w:val="both"/>
              <w:rPr/>
            </w:pPr>
            <w:r w:rsidDel="00000000" w:rsidR="00000000" w:rsidRPr="00000000">
              <w:rPr>
                <w:rFonts w:ascii="Palatino Linotype" w:cs="Palatino Linotype" w:eastAsia="Palatino Linotype" w:hAnsi="Palatino Linotype"/>
                <w:i w:val="1"/>
                <w:rtl w:val="0"/>
              </w:rPr>
              <w:t xml:space="preserve">Se indicarán las partes o páginas del documento que se clasifican como reservadas, o, en su caso, se precisará que se ha reservado el documento o expediente en su totalidad.</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7">
            <w:pPr>
              <w:pBdr>
                <w:top w:space="0" w:sz="0" w:val="nil"/>
                <w:left w:space="0" w:sz="0" w:val="nil"/>
                <w:bottom w:space="0" w:sz="0" w:val="nil"/>
                <w:right w:space="0" w:sz="0" w:val="nil"/>
                <w:between w:space="0" w:sz="0" w:val="nil"/>
              </w:pBdr>
              <w:jc w:val="center"/>
              <w:rPr/>
            </w:pPr>
            <w:r w:rsidDel="00000000" w:rsidR="00000000" w:rsidRPr="00000000">
              <w:rPr>
                <w:rFonts w:ascii="Palatino Linotype" w:cs="Palatino Linotype" w:eastAsia="Palatino Linotype" w:hAnsi="Palatino Linotype"/>
                <w:i w:val="1"/>
                <w:rtl w:val="0"/>
              </w:rPr>
              <w:t xml:space="preserve">Periodo de reserva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8">
            <w:pPr>
              <w:pBdr>
                <w:top w:space="0" w:sz="0" w:val="nil"/>
                <w:left w:space="0" w:sz="0" w:val="nil"/>
                <w:bottom w:space="0" w:sz="0" w:val="nil"/>
                <w:right w:space="0" w:sz="0" w:val="nil"/>
                <w:between w:space="0" w:sz="0" w:val="nil"/>
              </w:pBdr>
              <w:jc w:val="both"/>
              <w:rPr/>
            </w:pPr>
            <w:r w:rsidDel="00000000" w:rsidR="00000000" w:rsidRPr="00000000">
              <w:rPr>
                <w:rFonts w:ascii="Palatino Linotype" w:cs="Palatino Linotype" w:eastAsia="Palatino Linotype" w:hAnsi="Palatino Linotype"/>
                <w:i w:val="1"/>
                <w:rtl w:val="0"/>
              </w:rPr>
              <w:t xml:space="preserve">Se anotará el número de años o meses por los que se mantendrá reservado el documento, el expediente o, en su caso, las partes o secciones reservadas.</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A">
            <w:pPr>
              <w:pBdr>
                <w:top w:space="0" w:sz="0" w:val="nil"/>
                <w:left w:space="0" w:sz="0" w:val="nil"/>
                <w:bottom w:space="0" w:sz="0" w:val="nil"/>
                <w:right w:space="0" w:sz="0" w:val="nil"/>
                <w:between w:space="0" w:sz="0" w:val="nil"/>
              </w:pBdr>
              <w:jc w:val="center"/>
              <w:rPr/>
            </w:pPr>
            <w:r w:rsidDel="00000000" w:rsidR="00000000" w:rsidRPr="00000000">
              <w:rPr>
                <w:rFonts w:ascii="Palatino Linotype" w:cs="Palatino Linotype" w:eastAsia="Palatino Linotype" w:hAnsi="Palatino Linotype"/>
                <w:i w:val="1"/>
                <w:rtl w:val="0"/>
              </w:rPr>
              <w:t xml:space="preserve">Fundamento legal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B">
            <w:pPr>
              <w:pBdr>
                <w:top w:space="0" w:sz="0" w:val="nil"/>
                <w:left w:space="0" w:sz="0" w:val="nil"/>
                <w:bottom w:space="0" w:sz="0" w:val="nil"/>
                <w:right w:space="0" w:sz="0" w:val="nil"/>
                <w:between w:space="0" w:sz="0" w:val="nil"/>
              </w:pBdr>
              <w:jc w:val="both"/>
              <w:rPr/>
            </w:pPr>
            <w:r w:rsidDel="00000000" w:rsidR="00000000" w:rsidRPr="00000000">
              <w:rPr>
                <w:rFonts w:ascii="Palatino Linotype" w:cs="Palatino Linotype" w:eastAsia="Palatino Linotype" w:hAnsi="Palatino Linotype"/>
                <w:i w:val="1"/>
                <w:rtl w:val="0"/>
              </w:rPr>
              <w:t xml:space="preserve">Se señalará el nombre del ordenamiento, el o los artículos, fracción(es), párrafo(s) con base en los cuales se sustente la reserva.</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D">
            <w:pPr>
              <w:pBdr>
                <w:top w:space="0" w:sz="0" w:val="nil"/>
                <w:left w:space="0" w:sz="0" w:val="nil"/>
                <w:bottom w:space="0" w:sz="0" w:val="nil"/>
                <w:right w:space="0" w:sz="0" w:val="nil"/>
                <w:between w:space="0" w:sz="0" w:val="nil"/>
              </w:pBdr>
              <w:jc w:val="center"/>
              <w:rPr/>
            </w:pPr>
            <w:r w:rsidDel="00000000" w:rsidR="00000000" w:rsidRPr="00000000">
              <w:rPr>
                <w:rFonts w:ascii="Palatino Linotype" w:cs="Palatino Linotype" w:eastAsia="Palatino Linotype" w:hAnsi="Palatino Linotype"/>
                <w:i w:val="1"/>
                <w:rtl w:val="0"/>
              </w:rPr>
              <w:t xml:space="preserve">Ampliación del periodo de reserva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E">
            <w:pPr>
              <w:pBdr>
                <w:top w:space="0" w:sz="0" w:val="nil"/>
                <w:left w:space="0" w:sz="0" w:val="nil"/>
                <w:bottom w:space="0" w:sz="0" w:val="nil"/>
                <w:right w:space="0" w:sz="0" w:val="nil"/>
                <w:between w:space="0" w:sz="0" w:val="nil"/>
              </w:pBdr>
              <w:jc w:val="both"/>
              <w:rPr/>
            </w:pPr>
            <w:r w:rsidDel="00000000" w:rsidR="00000000" w:rsidRPr="00000000">
              <w:rPr>
                <w:rFonts w:ascii="Palatino Linotype" w:cs="Palatino Linotype" w:eastAsia="Palatino Linotype" w:hAnsi="Palatino Linotype"/>
                <w:i w:val="1"/>
                <w:rtl w:val="0"/>
              </w:rPr>
              <w:t xml:space="preserve">En caso de haber solicitado la ampliación del periodo de reserva originalmente establecido, se deberá anotar el número de años o meses por los que se amplía la reserva.</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0">
            <w:pPr>
              <w:pBdr>
                <w:top w:space="0" w:sz="0" w:val="nil"/>
                <w:left w:space="0" w:sz="0" w:val="nil"/>
                <w:bottom w:space="0" w:sz="0" w:val="nil"/>
                <w:right w:space="0" w:sz="0" w:val="nil"/>
                <w:between w:space="0" w:sz="0" w:val="nil"/>
              </w:pBdr>
              <w:jc w:val="center"/>
              <w:rPr/>
            </w:pPr>
            <w:r w:rsidDel="00000000" w:rsidR="00000000" w:rsidRPr="00000000">
              <w:rPr>
                <w:rFonts w:ascii="Palatino Linotype" w:cs="Palatino Linotype" w:eastAsia="Palatino Linotype" w:hAnsi="Palatino Linotype"/>
                <w:i w:val="1"/>
                <w:rtl w:val="0"/>
              </w:rPr>
              <w:t xml:space="preserve">Rúbrica del titular del área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1">
            <w:pPr>
              <w:pBdr>
                <w:top w:space="0" w:sz="0" w:val="nil"/>
                <w:left w:space="0" w:sz="0" w:val="nil"/>
                <w:bottom w:space="0" w:sz="0" w:val="nil"/>
                <w:right w:space="0" w:sz="0" w:val="nil"/>
                <w:between w:space="0" w:sz="0" w:val="nil"/>
              </w:pBdr>
              <w:jc w:val="both"/>
              <w:rPr/>
            </w:pPr>
            <w:r w:rsidDel="00000000" w:rsidR="00000000" w:rsidRPr="00000000">
              <w:rPr>
                <w:rFonts w:ascii="Palatino Linotype" w:cs="Palatino Linotype" w:eastAsia="Palatino Linotype" w:hAnsi="Palatino Linotype"/>
                <w:i w:val="1"/>
                <w:rtl w:val="0"/>
              </w:rPr>
              <w:t xml:space="preserve">Rúbrica autógrafa o firma digital de quien clasifica.</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3">
            <w:pPr>
              <w:pBdr>
                <w:top w:space="0" w:sz="0" w:val="nil"/>
                <w:left w:space="0" w:sz="0" w:val="nil"/>
                <w:bottom w:space="0" w:sz="0" w:val="nil"/>
                <w:right w:space="0" w:sz="0" w:val="nil"/>
                <w:between w:space="0" w:sz="0" w:val="nil"/>
              </w:pBdr>
              <w:jc w:val="center"/>
              <w:rPr/>
            </w:pPr>
            <w:r w:rsidDel="00000000" w:rsidR="00000000" w:rsidRPr="00000000">
              <w:rPr>
                <w:rFonts w:ascii="Palatino Linotype" w:cs="Palatino Linotype" w:eastAsia="Palatino Linotype" w:hAnsi="Palatino Linotype"/>
                <w:i w:val="1"/>
                <w:rtl w:val="0"/>
              </w:rPr>
              <w:t xml:space="preserve">Fecha de desclasificación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4">
            <w:pPr>
              <w:pBdr>
                <w:top w:space="0" w:sz="0" w:val="nil"/>
                <w:left w:space="0" w:sz="0" w:val="nil"/>
                <w:bottom w:space="0" w:sz="0" w:val="nil"/>
                <w:right w:space="0" w:sz="0" w:val="nil"/>
                <w:between w:space="0" w:sz="0" w:val="nil"/>
              </w:pBdr>
              <w:jc w:val="both"/>
              <w:rPr/>
            </w:pPr>
            <w:r w:rsidDel="00000000" w:rsidR="00000000" w:rsidRPr="00000000">
              <w:rPr>
                <w:rFonts w:ascii="Palatino Linotype" w:cs="Palatino Linotype" w:eastAsia="Palatino Linotype" w:hAnsi="Palatino Linotype"/>
                <w:i w:val="1"/>
                <w:rtl w:val="0"/>
              </w:rPr>
              <w:t xml:space="preserve">Se anotará la fecha en que se desclasifica el documento.</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6">
            <w:pPr>
              <w:pBdr>
                <w:top w:space="0" w:sz="0" w:val="nil"/>
                <w:left w:space="0" w:sz="0" w:val="nil"/>
                <w:bottom w:space="0" w:sz="0" w:val="nil"/>
                <w:right w:space="0" w:sz="0" w:val="nil"/>
                <w:between w:space="0" w:sz="0" w:val="nil"/>
              </w:pBdr>
              <w:jc w:val="center"/>
              <w:rPr/>
            </w:pPr>
            <w:r w:rsidDel="00000000" w:rsidR="00000000" w:rsidRPr="00000000">
              <w:rPr>
                <w:rFonts w:ascii="Palatino Linotype" w:cs="Palatino Linotype" w:eastAsia="Palatino Linotype" w:hAnsi="Palatino Linotype"/>
                <w:i w:val="1"/>
                <w:rtl w:val="0"/>
              </w:rPr>
              <w:t xml:space="preserve">Rúbrica y cargo del servidor público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57">
            <w:pPr>
              <w:pBdr>
                <w:top w:space="0" w:sz="0" w:val="nil"/>
                <w:left w:space="0" w:sz="0" w:val="nil"/>
                <w:bottom w:space="0" w:sz="0" w:val="nil"/>
                <w:right w:space="0" w:sz="0" w:val="nil"/>
                <w:between w:space="0" w:sz="0" w:val="nil"/>
              </w:pBdr>
              <w:jc w:val="both"/>
              <w:rPr/>
            </w:pPr>
            <w:r w:rsidDel="00000000" w:rsidR="00000000" w:rsidRPr="00000000">
              <w:rPr>
                <w:rFonts w:ascii="Palatino Linotype" w:cs="Palatino Linotype" w:eastAsia="Palatino Linotype" w:hAnsi="Palatino Linotype"/>
                <w:i w:val="1"/>
                <w:rtl w:val="0"/>
              </w:rPr>
              <w:t xml:space="preserve">Rúbrica autógrafa o firma digital de quien desclasifica.</w:t>
            </w:r>
            <w:r w:rsidDel="00000000" w:rsidR="00000000" w:rsidRPr="00000000">
              <w:rPr>
                <w:rtl w:val="0"/>
              </w:rPr>
            </w:r>
          </w:p>
        </w:tc>
      </w:tr>
      <w:tr>
        <w:trPr>
          <w:cantSplit w:val="0"/>
          <w:trHeight w:val="469"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159">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000000" w:rsidDel="00000000" w:rsidP="00000000" w:rsidRDefault="00000000" w:rsidRPr="00000000" w14:paraId="0000015B">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i w:val="1"/>
          <w:rtl w:val="0"/>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Del="00000000" w:rsidR="00000000" w:rsidRPr="00000000">
        <w:rPr>
          <w:rtl w:val="0"/>
        </w:rPr>
        <w:t xml:space="preserve">.</w:t>
      </w:r>
    </w:p>
    <w:p w:rsidR="00000000" w:rsidDel="00000000" w:rsidP="00000000" w:rsidRDefault="00000000" w:rsidRPr="00000000" w14:paraId="0000015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15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F">
      <w:pPr>
        <w:shd w:fill="ffffff" w:val="clea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160">
      <w:pPr>
        <w:shd w:fill="ffffff" w:val="clea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000000" w:rsidDel="00000000" w:rsidP="00000000" w:rsidRDefault="00000000" w:rsidRPr="00000000" w14:paraId="0000016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rsidR="00000000" w:rsidDel="00000000" w:rsidP="00000000" w:rsidRDefault="00000000" w:rsidRPr="00000000" w14:paraId="0000016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5">
      <w:pPr>
        <w:spacing w:after="0" w:line="360" w:lineRule="auto"/>
        <w:ind w:right="-93"/>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 E S U E L V E:</w:t>
      </w:r>
    </w:p>
    <w:p w:rsidR="00000000" w:rsidDel="00000000" w:rsidP="00000000" w:rsidRDefault="00000000" w:rsidRPr="00000000" w14:paraId="00000166">
      <w:pPr>
        <w:spacing w:after="0" w:line="360" w:lineRule="auto"/>
        <w:ind w:right="-93"/>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67">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PRIMERO. </w:t>
      </w:r>
      <w:r w:rsidDel="00000000" w:rsidR="00000000" w:rsidRPr="00000000">
        <w:rPr>
          <w:rFonts w:ascii="Palatino Linotype" w:cs="Palatino Linotype" w:eastAsia="Palatino Linotype" w:hAnsi="Palatino Linotype"/>
          <w:sz w:val="24"/>
          <w:szCs w:val="24"/>
          <w:rtl w:val="0"/>
        </w:rPr>
        <w:t xml:space="preserve">Resultan fundados los motivos de inconformidad hechos valer por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en el Recurso de Revisión </w:t>
      </w:r>
      <w:r w:rsidDel="00000000" w:rsidR="00000000" w:rsidRPr="00000000">
        <w:rPr>
          <w:rFonts w:ascii="Palatino Linotype" w:cs="Palatino Linotype" w:eastAsia="Palatino Linotype" w:hAnsi="Palatino Linotype"/>
          <w:b w:val="1"/>
          <w:sz w:val="24"/>
          <w:szCs w:val="24"/>
          <w:rtl w:val="0"/>
        </w:rPr>
        <w:t xml:space="preserve">05089/INFOEM/IP/RR/2023, </w:t>
      </w:r>
      <w:r w:rsidDel="00000000" w:rsidR="00000000" w:rsidRPr="00000000">
        <w:rPr>
          <w:rFonts w:ascii="Palatino Linotype" w:cs="Palatino Linotype" w:eastAsia="Palatino Linotype" w:hAnsi="Palatino Linotype"/>
          <w:sz w:val="24"/>
          <w:szCs w:val="24"/>
          <w:rtl w:val="0"/>
        </w:rPr>
        <w:t xml:space="preserve">por lo que, en términos del considerando </w:t>
      </w:r>
      <w:r w:rsidDel="00000000" w:rsidR="00000000" w:rsidRPr="00000000">
        <w:rPr>
          <w:rFonts w:ascii="Palatino Linotype" w:cs="Palatino Linotype" w:eastAsia="Palatino Linotype" w:hAnsi="Palatino Linotype"/>
          <w:b w:val="1"/>
          <w:sz w:val="24"/>
          <w:szCs w:val="24"/>
          <w:rtl w:val="0"/>
        </w:rPr>
        <w:t xml:space="preserve">Cuarto </w:t>
      </w:r>
      <w:r w:rsidDel="00000000" w:rsidR="00000000" w:rsidRPr="00000000">
        <w:rPr>
          <w:rFonts w:ascii="Palatino Linotype" w:cs="Palatino Linotype" w:eastAsia="Palatino Linotype" w:hAnsi="Palatino Linotype"/>
          <w:sz w:val="24"/>
          <w:szCs w:val="24"/>
          <w:rtl w:val="0"/>
        </w:rPr>
        <w:t xml:space="preserve">de esta resolución, se </w:t>
      </w:r>
      <w:r w:rsidDel="00000000" w:rsidR="00000000" w:rsidRPr="00000000">
        <w:rPr>
          <w:rFonts w:ascii="Palatino Linotype" w:cs="Palatino Linotype" w:eastAsia="Palatino Linotype" w:hAnsi="Palatino Linotype"/>
          <w:b w:val="1"/>
          <w:sz w:val="24"/>
          <w:szCs w:val="24"/>
          <w:rtl w:val="0"/>
        </w:rPr>
        <w:t xml:space="preserve">MODIFICA </w:t>
      </w:r>
      <w:r w:rsidDel="00000000" w:rsidR="00000000" w:rsidRPr="00000000">
        <w:rPr>
          <w:rFonts w:ascii="Palatino Linotype" w:cs="Palatino Linotype" w:eastAsia="Palatino Linotype" w:hAnsi="Palatino Linotype"/>
          <w:sz w:val="24"/>
          <w:szCs w:val="24"/>
          <w:rtl w:val="0"/>
        </w:rPr>
        <w:t xml:space="preserve">la respuesta emitida por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tl w:val="0"/>
        </w:rPr>
      </w:r>
    </w:p>
    <w:p w:rsidR="00000000" w:rsidDel="00000000" w:rsidP="00000000" w:rsidRDefault="00000000" w:rsidRPr="00000000" w14:paraId="0000016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9">
      <w:pPr>
        <w:spacing w:after="0" w:line="360" w:lineRule="auto"/>
        <w:jc w:val="both"/>
        <w:rPr>
          <w:rFonts w:ascii="Palatino Linotype" w:cs="Palatino Linotype" w:eastAsia="Palatino Linotype" w:hAnsi="Palatino Linotype"/>
          <w:sz w:val="24"/>
          <w:szCs w:val="24"/>
        </w:rPr>
      </w:pPr>
      <w:bookmarkStart w:colFirst="0" w:colLast="0" w:name="_heading=h.kelgs2428oa6" w:id="5"/>
      <w:bookmarkEnd w:id="5"/>
      <w:r w:rsidDel="00000000" w:rsidR="00000000" w:rsidRPr="00000000">
        <w:rPr>
          <w:rFonts w:ascii="Palatino Linotype" w:cs="Palatino Linotype" w:eastAsia="Palatino Linotype" w:hAnsi="Palatino Linotype"/>
          <w:b w:val="1"/>
          <w:sz w:val="24"/>
          <w:szCs w:val="24"/>
          <w:rtl w:val="0"/>
        </w:rPr>
        <w:t xml:space="preserve">SEGUNDO. </w:t>
      </w:r>
      <w:r w:rsidDel="00000000" w:rsidR="00000000" w:rsidRPr="00000000">
        <w:rPr>
          <w:rFonts w:ascii="Palatino Linotype" w:cs="Palatino Linotype" w:eastAsia="Palatino Linotype" w:hAnsi="Palatino Linotype"/>
          <w:sz w:val="24"/>
          <w:szCs w:val="24"/>
          <w:rtl w:val="0"/>
        </w:rPr>
        <w:t xml:space="preserve">Se</w:t>
      </w:r>
      <w:r w:rsidDel="00000000" w:rsidR="00000000" w:rsidRPr="00000000">
        <w:rPr>
          <w:rFonts w:ascii="Palatino Linotype" w:cs="Palatino Linotype" w:eastAsia="Palatino Linotype" w:hAnsi="Palatino Linotype"/>
          <w:b w:val="1"/>
          <w:sz w:val="24"/>
          <w:szCs w:val="24"/>
          <w:rtl w:val="0"/>
        </w:rPr>
        <w:t xml:space="preserve"> ORDENA </w:t>
      </w:r>
      <w:r w:rsidDel="00000000" w:rsidR="00000000" w:rsidRPr="00000000">
        <w:rPr>
          <w:rFonts w:ascii="Palatino Linotype" w:cs="Palatino Linotype" w:eastAsia="Palatino Linotype" w:hAnsi="Palatino Linotype"/>
          <w:sz w:val="24"/>
          <w:szCs w:val="24"/>
          <w:rtl w:val="0"/>
        </w:rPr>
        <w:t xml:space="preserve">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en términos del Considerando </w:t>
      </w:r>
      <w:r w:rsidDel="00000000" w:rsidR="00000000" w:rsidRPr="00000000">
        <w:rPr>
          <w:rFonts w:ascii="Palatino Linotype" w:cs="Palatino Linotype" w:eastAsia="Palatino Linotype" w:hAnsi="Palatino Linotype"/>
          <w:b w:val="1"/>
          <w:sz w:val="24"/>
          <w:szCs w:val="24"/>
          <w:rtl w:val="0"/>
        </w:rPr>
        <w:t xml:space="preserve">Cuarto y Quinto </w:t>
      </w:r>
      <w:r w:rsidDel="00000000" w:rsidR="00000000" w:rsidRPr="00000000">
        <w:rPr>
          <w:rFonts w:ascii="Palatino Linotype" w:cs="Palatino Linotype" w:eastAsia="Palatino Linotype" w:hAnsi="Palatino Linotype"/>
          <w:sz w:val="24"/>
          <w:szCs w:val="24"/>
          <w:rtl w:val="0"/>
        </w:rPr>
        <w:t xml:space="preserve">de esta resolución, haga entrega, vía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de ser el caso en versión pública de lo siguiente:</w:t>
      </w:r>
    </w:p>
    <w:p w:rsidR="00000000" w:rsidDel="00000000" w:rsidP="00000000" w:rsidRDefault="00000000" w:rsidRPr="00000000" w14:paraId="0000016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B">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Las actas de cabildo en las que se aprobaron los nombramientos del Secretario del Ayuntamiento,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y del titular de oficialía calificadora, en funciones al diez de agosto de dos mil veintitrés.</w:t>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0" w:line="276"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line="276"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6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  Notifíquese vía SAIMEX, </w:t>
      </w:r>
      <w:r w:rsidDel="00000000" w:rsidR="00000000" w:rsidRPr="00000000">
        <w:rPr>
          <w:rFonts w:ascii="Palatino Linotype" w:cs="Palatino Linotype" w:eastAsia="Palatino Linotype" w:hAnsi="Palatino Linotype"/>
          <w:sz w:val="24"/>
          <w:szCs w:val="24"/>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6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 </w:t>
      </w:r>
      <w:r w:rsidDel="00000000" w:rsidR="00000000" w:rsidRPr="00000000">
        <w:rPr>
          <w:rFonts w:ascii="Palatino Linotype" w:cs="Palatino Linotype" w:eastAsia="Palatino Linotype" w:hAnsi="Palatino Linotype"/>
          <w:sz w:val="24"/>
          <w:szCs w:val="24"/>
          <w:rtl w:val="0"/>
        </w:rPr>
        <w:t xml:space="preserve">De conformidad con el artículo 198 de la Ley de Transparencia y Acceso a la Información Pública del Estado de México y Municipios, de considerarlo procedente,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de manera fundada y motivada, podrá solicitar una ampliación de plazo para el cumplimiento de la presente resolución.</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0" w:line="360" w:lineRule="auto"/>
        <w:ind w:left="720" w:firstLine="0"/>
        <w:jc w:val="both"/>
        <w:rPr>
          <w:rFonts w:ascii="Palatino Linotype" w:cs="Palatino Linotype" w:eastAsia="Palatino Linotype" w:hAnsi="Palatino Linotype"/>
          <w:sz w:val="24"/>
          <w:szCs w:val="24"/>
        </w:rPr>
      </w:pPr>
      <w:bookmarkStart w:colFirst="0" w:colLast="0" w:name="_heading=h.1fob9te" w:id="6"/>
      <w:bookmarkEnd w:id="6"/>
      <w:r w:rsidDel="00000000" w:rsidR="00000000" w:rsidRPr="00000000">
        <w:rPr>
          <w:rtl w:val="0"/>
        </w:rPr>
      </w:r>
    </w:p>
    <w:p w:rsidR="00000000" w:rsidDel="00000000" w:rsidP="00000000" w:rsidRDefault="00000000" w:rsidRPr="00000000" w14:paraId="0000017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Notifíquese vía SAIMEX, </w:t>
      </w:r>
      <w:r w:rsidDel="00000000" w:rsidR="00000000" w:rsidRPr="00000000">
        <w:rPr>
          <w:rFonts w:ascii="Palatino Linotype" w:cs="Palatino Linotype" w:eastAsia="Palatino Linotype" w:hAnsi="Palatino Linotype"/>
          <w:sz w:val="24"/>
          <w:szCs w:val="24"/>
          <w:rtl w:val="0"/>
        </w:rPr>
        <w:t xml:space="preserve">a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000000" w:rsidDel="00000000" w:rsidP="00000000" w:rsidRDefault="00000000" w:rsidRPr="00000000" w14:paraId="0000017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DIECISIETE DE ENERO DE DOS MIL VEINTICUATRO, ANTE EL SECRETARIO TÉCNICO DEL PLENO ALEXIS TAPIA RAMÍREZ.</w:t>
      </w:r>
    </w:p>
    <w:p w:rsidR="00000000" w:rsidDel="00000000" w:rsidP="00000000" w:rsidRDefault="00000000" w:rsidRPr="00000000" w14:paraId="00000175">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9">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A">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B">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D">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E">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F">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0">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1">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3">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E">
    <w:pPr>
      <w:pBdr>
        <w:top w:space="0" w:sz="0" w:val="nil"/>
        <w:left w:space="0" w:sz="0" w:val="nil"/>
        <w:bottom w:space="0" w:sz="0" w:val="nil"/>
        <w:right w:space="0" w:sz="0" w:val="nil"/>
        <w:between w:space="0" w:sz="0" w:val="nil"/>
      </w:pBdr>
      <w:tabs>
        <w:tab w:val="center" w:leader="none" w:pos="4419"/>
        <w:tab w:val="right" w:leader="none" w:pos="8838"/>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0">
    <w:pPr>
      <w:pBdr>
        <w:top w:space="0" w:sz="0" w:val="nil"/>
        <w:left w:space="0" w:sz="0" w:val="nil"/>
        <w:bottom w:space="0" w:sz="0" w:val="nil"/>
        <w:right w:space="0" w:sz="0" w:val="nil"/>
        <w:between w:space="0" w:sz="0" w:val="nil"/>
      </w:pBdr>
      <w:tabs>
        <w:tab w:val="center" w:leader="none" w:pos="4419"/>
        <w:tab w:val="right" w:leader="none" w:pos="8838"/>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85">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color w:val="000000"/>
          <w:sz w:val="20"/>
          <w:szCs w:val="20"/>
          <w:rtl w:val="0"/>
        </w:rPr>
        <w:t xml:space="preserve"> (…)</w:t>
      </w:r>
    </w:p>
  </w:footnote>
  <w:footnote w:id="1">
    <w:p w:rsidR="00000000" w:rsidDel="00000000" w:rsidP="00000000" w:rsidRDefault="00000000" w:rsidRPr="00000000" w14:paraId="00000186">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2">
    <w:p w:rsidR="00000000" w:rsidDel="00000000" w:rsidP="00000000" w:rsidRDefault="00000000" w:rsidRPr="00000000" w14:paraId="00000187">
      <w:pP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188">
      <w:pP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 w:id="3">
    <w:p w:rsidR="00000000" w:rsidDel="00000000" w:rsidP="00000000" w:rsidRDefault="00000000" w:rsidRPr="00000000" w14:paraId="00000189">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161</w:t>
      </w:r>
      <w:r w:rsidDel="00000000" w:rsidR="00000000" w:rsidRPr="00000000">
        <w:rPr>
          <w:rFonts w:ascii="Palatino Linotype" w:cs="Palatino Linotype" w:eastAsia="Palatino Linotype" w:hAnsi="Palatino Linotype"/>
          <w:color w:val="000000"/>
          <w:sz w:val="16"/>
          <w:szCs w:val="16"/>
          <w:rtl w:val="0"/>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color w:val="000000"/>
        <w:sz w:val="16"/>
        <w:szCs w:val="16"/>
      </w:rPr>
    </w:pPr>
    <w:r w:rsidDel="00000000" w:rsidR="00000000" w:rsidRPr="00000000">
      <w:rPr>
        <w:rtl w:val="0"/>
      </w:rPr>
    </w:r>
  </w:p>
  <w:tbl>
    <w:tblPr>
      <w:tblStyle w:val="Table2"/>
      <w:tblW w:w="10538.0" w:type="dxa"/>
      <w:jc w:val="left"/>
      <w:tblInd w:w="-1281.0" w:type="dxa"/>
      <w:tblLayout w:type="fixed"/>
      <w:tblLook w:val="0400"/>
    </w:tblPr>
    <w:tblGrid>
      <w:gridCol w:w="5660"/>
      <w:gridCol w:w="4878"/>
      <w:tblGridChange w:id="0">
        <w:tblGrid>
          <w:gridCol w:w="5660"/>
          <w:gridCol w:w="4878"/>
        </w:tblGrid>
      </w:tblGridChange>
    </w:tblGrid>
    <w:tr>
      <w:trPr>
        <w:cantSplit w:val="0"/>
        <w:trHeight w:val="260" w:hRule="atLeast"/>
        <w:tblHeader w:val="0"/>
      </w:trPr>
      <w:tc>
        <w:tcPr/>
        <w:p w:rsidR="00000000" w:rsidDel="00000000" w:rsidP="00000000" w:rsidRDefault="00000000" w:rsidRPr="00000000" w14:paraId="0000018B">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Recurso de Revisión N°:</w:t>
          </w:r>
        </w:p>
      </w:tc>
      <w:tc>
        <w:tcPr/>
        <w:p w:rsidR="00000000" w:rsidDel="00000000" w:rsidP="00000000" w:rsidRDefault="00000000" w:rsidRPr="00000000" w14:paraId="0000018C">
          <w:pPr>
            <w:spacing w:after="120" w:lineRule="auto"/>
            <w:ind w:left="-486" w:right="214" w:firstLine="1408"/>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05089/INFOEM/IP/RR/2023.</w:t>
          </w:r>
        </w:p>
      </w:tc>
    </w:tr>
    <w:tr>
      <w:trPr>
        <w:cantSplit w:val="0"/>
        <w:trHeight w:val="224" w:hRule="atLeast"/>
        <w:tblHeader w:val="0"/>
      </w:trPr>
      <w:tc>
        <w:tcPr/>
        <w:p w:rsidR="00000000" w:rsidDel="00000000" w:rsidP="00000000" w:rsidRDefault="00000000" w:rsidRPr="00000000" w14:paraId="0000018D">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Recurrente:</w:t>
          </w:r>
        </w:p>
      </w:tc>
      <w:tc>
        <w:tcPr/>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120" w:lineRule="auto"/>
            <w:ind w:left="801" w:right="214" w:firstLine="0"/>
            <w:jc w:val="right"/>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XXXXXXX XXXXX XXXX XXXXX.</w:t>
          </w:r>
        </w:p>
      </w:tc>
    </w:tr>
    <w:tr>
      <w:trPr>
        <w:cantSplit w:val="0"/>
        <w:trHeight w:val="278" w:hRule="atLeast"/>
        <w:tblHeader w:val="0"/>
      </w:trPr>
      <w:tc>
        <w:tcPr/>
        <w:p w:rsidR="00000000" w:rsidDel="00000000" w:rsidP="00000000" w:rsidRDefault="00000000" w:rsidRPr="00000000" w14:paraId="0000018F">
          <w:pPr>
            <w:spacing w:after="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Sujeto Obligado:</w:t>
          </w:r>
        </w:p>
      </w:tc>
      <w:tc>
        <w:tcPr/>
        <w:p w:rsidR="00000000" w:rsidDel="00000000" w:rsidP="00000000" w:rsidRDefault="00000000" w:rsidRPr="00000000" w14:paraId="00000190">
          <w:pPr>
            <w:spacing w:after="0" w:lineRule="auto"/>
            <w:ind w:left="-495"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Ayuntamiento de Zumpango.</w:t>
          </w: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191">
          <w:pPr>
            <w:tabs>
              <w:tab w:val="left" w:leader="none" w:pos="4892"/>
            </w:tabs>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Comisionada Ponente:</w:t>
          </w:r>
        </w:p>
      </w:tc>
      <w:tc>
        <w:tcPr/>
        <w:p w:rsidR="00000000" w:rsidDel="00000000" w:rsidP="00000000" w:rsidRDefault="00000000" w:rsidRPr="00000000" w14:paraId="00000192">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Guadalupe Ramírez Peña.</w:t>
          </w:r>
        </w:p>
      </w:tc>
    </w:tr>
  </w:tbl>
  <w:p w:rsidR="00000000" w:rsidDel="00000000" w:rsidP="00000000" w:rsidRDefault="00000000" w:rsidRPr="00000000" w14:paraId="0000019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-855343</wp:posOffset>
          </wp:positionH>
          <wp:positionV relativeFrom="paragraph">
            <wp:posOffset>-1497963</wp:posOffset>
          </wp:positionV>
          <wp:extent cx="7867650" cy="10133330"/>
          <wp:effectExtent b="0" l="0" r="0" t="0"/>
          <wp:wrapNone/>
          <wp:docPr id="6"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867650" cy="1013333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tbl>
    <w:tblPr>
      <w:tblStyle w:val="Table3"/>
      <w:tblW w:w="10538.0" w:type="dxa"/>
      <w:jc w:val="left"/>
      <w:tblInd w:w="-1281.0" w:type="dxa"/>
      <w:tblLayout w:type="fixed"/>
      <w:tblLook w:val="0400"/>
    </w:tblPr>
    <w:tblGrid>
      <w:gridCol w:w="5660"/>
      <w:gridCol w:w="4878"/>
      <w:tblGridChange w:id="0">
        <w:tblGrid>
          <w:gridCol w:w="5660"/>
          <w:gridCol w:w="4878"/>
        </w:tblGrid>
      </w:tblGridChange>
    </w:tblGrid>
    <w:tr>
      <w:trPr>
        <w:cantSplit w:val="0"/>
        <w:trHeight w:val="260" w:hRule="atLeast"/>
        <w:tblHeader w:val="0"/>
      </w:trPr>
      <w:tc>
        <w:tcPr/>
        <w:p w:rsidR="00000000" w:rsidDel="00000000" w:rsidP="00000000" w:rsidRDefault="00000000" w:rsidRPr="00000000" w14:paraId="00000195">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Recurso de Revisión N°:</w:t>
          </w:r>
        </w:p>
      </w:tc>
      <w:tc>
        <w:tcPr/>
        <w:p w:rsidR="00000000" w:rsidDel="00000000" w:rsidP="00000000" w:rsidRDefault="00000000" w:rsidRPr="00000000" w14:paraId="00000196">
          <w:pPr>
            <w:spacing w:after="120" w:lineRule="auto"/>
            <w:ind w:left="-486" w:right="214" w:firstLine="1408"/>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05089/INFOEM/IP/RR/2023.</w:t>
          </w:r>
        </w:p>
      </w:tc>
    </w:tr>
    <w:tr>
      <w:trPr>
        <w:cantSplit w:val="0"/>
        <w:trHeight w:val="224" w:hRule="atLeast"/>
        <w:tblHeader w:val="0"/>
      </w:trPr>
      <w:tc>
        <w:tcPr/>
        <w:p w:rsidR="00000000" w:rsidDel="00000000" w:rsidP="00000000" w:rsidRDefault="00000000" w:rsidRPr="00000000" w14:paraId="00000197">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Recurrente:</w:t>
          </w:r>
        </w:p>
      </w:tc>
      <w:tc>
        <w:tcPr/>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120" w:lineRule="auto"/>
            <w:ind w:left="801" w:right="214" w:firstLine="0"/>
            <w:jc w:val="right"/>
            <w:rPr>
              <w:rFonts w:ascii="Palatino Linotype" w:cs="Palatino Linotype" w:eastAsia="Palatino Linotype" w:hAnsi="Palatino Linotype"/>
              <w:color w:val="000000"/>
              <w:sz w:val="24"/>
              <w:szCs w:val="24"/>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199">
          <w:pPr>
            <w:spacing w:after="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Sujeto Obligado:</w:t>
          </w:r>
        </w:p>
      </w:tc>
      <w:tc>
        <w:tcPr/>
        <w:p w:rsidR="00000000" w:rsidDel="00000000" w:rsidP="00000000" w:rsidRDefault="00000000" w:rsidRPr="00000000" w14:paraId="0000019A">
          <w:pPr>
            <w:spacing w:after="0" w:lineRule="auto"/>
            <w:ind w:left="-495"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Ayuntamiento de Zumpango.</w:t>
          </w: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19B">
          <w:pPr>
            <w:tabs>
              <w:tab w:val="left" w:leader="none" w:pos="4892"/>
            </w:tabs>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Comisionada Ponente:</w:t>
          </w:r>
        </w:p>
      </w:tc>
      <w:tc>
        <w:tcPr/>
        <w:p w:rsidR="00000000" w:rsidDel="00000000" w:rsidP="00000000" w:rsidRDefault="00000000" w:rsidRPr="00000000" w14:paraId="0000019C">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Guadalupe Ramírez Peña.</w:t>
          </w:r>
        </w:p>
      </w:tc>
    </w:tr>
  </w:tbl>
  <w:p w:rsidR="00000000" w:rsidDel="00000000" w:rsidP="00000000" w:rsidRDefault="00000000" w:rsidRPr="00000000" w14:paraId="0000019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-836293</wp:posOffset>
          </wp:positionH>
          <wp:positionV relativeFrom="paragraph">
            <wp:posOffset>-1478913</wp:posOffset>
          </wp:positionV>
          <wp:extent cx="7867650" cy="10133330"/>
          <wp:effectExtent b="0" l="0" r="0" t="0"/>
          <wp:wrapNone/>
          <wp:docPr id="8"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867650" cy="1013333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3"/>
      <w:numFmt w:val="bullet"/>
      <w:lvlText w:val="-"/>
      <w:lvlJc w:val="left"/>
      <w:pPr>
        <w:ind w:left="720" w:hanging="360"/>
      </w:pPr>
      <w:rPr>
        <w:rFonts w:ascii="Palatino Linotype" w:cs="Palatino Linotype" w:eastAsia="Palatino Linotype" w:hAnsi="Palatino Linotype"/>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B161B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B161BE"/>
  </w:style>
  <w:style w:type="paragraph" w:styleId="Piedepgina">
    <w:name w:val="footer"/>
    <w:basedOn w:val="Normal"/>
    <w:link w:val="PiedepginaCar"/>
    <w:uiPriority w:val="99"/>
    <w:unhideWhenUsed w:val="1"/>
    <w:rsid w:val="00B161B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B161BE"/>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www.ipomex.org.mx/ipo3/lgt/indice/ZUMPANGO/art_94_ii_b2.web?token=03AFY_a8V7dzAUwbrCMfDyH1-6JYnmqrXhJXQtnqKWIEBL58z850gM8xhgdNOMQFSYH-zgSNyM8I6S3VnMNzpJaoACuyCuhZDgSUnatCADR1cvAYdV8O10F5Y4evLcFFGB2yIv6b7kDceuOg5i4WPjCBKyPvbNU48UEBiTFapiE-0trwUkfIgumVP8BU0jE1I8jfv58EPe9p81w-r6iUD1ZGAaGrpVoVaAj62QYqgH8qErAzpeAM6PsYg7rdriCjXXlSXXtWlMisSXMJsLHWxTdbDgihqLcCIY4ZCbGXgja7aBUxzLU67VZHRXVXvQgx88T6BZ7w5VVnWuzs8GZrNvggXK9b9XnxxEaWZL3TmAfKpcQqD_VewxkWPmRp8U4JiI9IrDYjOSlaMv-CI88lz_h_acDDCUlDz0OHfvHChIwGU2zWM7vlQHB2ufyYXSPt2VQs2L4YIcfcfMiWg1O0XtEsEJoeFkALAL39z9N18o1V5csz_LVcbmD6hTzIRuEakSyq8kwFqcrZBN0PKVVBPqb53B27fmsNh_U8B8Udl-sbTq7sokIJviId9_PQhRqhYKi09yQhZHMXjo" TargetMode="External"/><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DQQeqrgY6CmtfJFRBy8HwXR7sg==">CgMxLjAyCWguM3pueXNoNzIIaC5namRneHMyCWguMzBqMHpsbDIOaC5pbWV0cWt1MGZ4YzkyDmguczI5cHl1YWljdDU4Mg5oLmtlbGdzMjQyOG9hNjIJaC4xZm9iOXRlOAByITFrMmh5ek5ON0NrWGdtT2NwMXlPb2dxYWFZOFdjRUdMZg==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2024-01-24T23:39:00Z</dcterms:created>
  <dc:creator>USUARIO</dc:creator>
</cp:coreProperties>
</file>