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65" w:rsidRPr="00B349BB" w:rsidRDefault="000F1B65">
      <w:pPr>
        <w:widowControl w:val="0"/>
        <w:pBdr>
          <w:top w:val="nil"/>
          <w:left w:val="nil"/>
          <w:bottom w:val="nil"/>
          <w:right w:val="nil"/>
          <w:between w:val="nil"/>
        </w:pBdr>
        <w:spacing w:line="276" w:lineRule="auto"/>
        <w:rPr>
          <w:rFonts w:ascii="Palatino Linotype" w:hAnsi="Palatino Linotype"/>
          <w:sz w:val="22"/>
          <w:szCs w:val="22"/>
        </w:rPr>
      </w:pPr>
    </w:p>
    <w:p w:rsidR="000F1B65" w:rsidRPr="004957B1" w:rsidRDefault="005E216F">
      <w:pPr>
        <w:spacing w:line="360" w:lineRule="auto"/>
        <w:jc w:val="both"/>
        <w:rPr>
          <w:rFonts w:ascii="Palatino Linotype" w:eastAsia="Palatino Linotype" w:hAnsi="Palatino Linotype" w:cs="Palatino Linotype"/>
        </w:rPr>
      </w:pPr>
      <w:r w:rsidRPr="004957B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w:t>
      </w:r>
      <w:r w:rsidR="0094525B" w:rsidRPr="004957B1">
        <w:rPr>
          <w:rFonts w:ascii="Palatino Linotype" w:eastAsia="Palatino Linotype" w:hAnsi="Palatino Linotype" w:cs="Palatino Linotype"/>
        </w:rPr>
        <w:t>ta</w:t>
      </w:r>
      <w:r w:rsidR="00804B59" w:rsidRPr="004957B1">
        <w:rPr>
          <w:rFonts w:ascii="Palatino Linotype" w:eastAsia="Palatino Linotype" w:hAnsi="Palatino Linotype" w:cs="Palatino Linotype"/>
        </w:rPr>
        <w:t>do de México; de fecha once (11</w:t>
      </w:r>
      <w:r w:rsidR="006F06AB" w:rsidRPr="004957B1">
        <w:rPr>
          <w:rFonts w:ascii="Palatino Linotype" w:eastAsia="Palatino Linotype" w:hAnsi="Palatino Linotype" w:cs="Palatino Linotype"/>
        </w:rPr>
        <w:t>) de diciembre</w:t>
      </w:r>
      <w:r w:rsidRPr="004957B1">
        <w:rPr>
          <w:rFonts w:ascii="Palatino Linotype" w:eastAsia="Palatino Linotype" w:hAnsi="Palatino Linotype" w:cs="Palatino Linotype"/>
        </w:rPr>
        <w:t xml:space="preserve"> de dos mil veinticuatro.</w:t>
      </w:r>
    </w:p>
    <w:p w:rsidR="000F1B65" w:rsidRPr="004957B1" w:rsidRDefault="000F1B65">
      <w:pPr>
        <w:spacing w:line="360" w:lineRule="auto"/>
        <w:jc w:val="both"/>
        <w:rPr>
          <w:rFonts w:ascii="Palatino Linotype" w:eastAsia="Palatino Linotype" w:hAnsi="Palatino Linotype" w:cs="Palatino Linotype"/>
        </w:rPr>
      </w:pPr>
    </w:p>
    <w:p w:rsidR="000F1B65" w:rsidRPr="004957B1" w:rsidRDefault="005E216F">
      <w:pPr>
        <w:spacing w:line="360" w:lineRule="auto"/>
        <w:jc w:val="both"/>
        <w:rPr>
          <w:rFonts w:ascii="Palatino Linotype" w:eastAsia="Palatino Linotype" w:hAnsi="Palatino Linotype" w:cs="Palatino Linotype"/>
        </w:rPr>
      </w:pPr>
      <w:r w:rsidRPr="004957B1">
        <w:rPr>
          <w:rFonts w:ascii="Palatino Linotype" w:eastAsia="Palatino Linotype" w:hAnsi="Palatino Linotype" w:cs="Palatino Linotype"/>
          <w:b/>
        </w:rPr>
        <w:t>VISTO</w:t>
      </w:r>
      <w:r w:rsidRPr="004957B1">
        <w:rPr>
          <w:rFonts w:ascii="Palatino Linotype" w:eastAsia="Palatino Linotype" w:hAnsi="Palatino Linotype" w:cs="Palatino Linotype"/>
        </w:rPr>
        <w:t xml:space="preserve"> el expediente electrónico formado con motivo del recurso de revisión </w:t>
      </w:r>
      <w:r w:rsidR="00765DC9" w:rsidRPr="004957B1">
        <w:rPr>
          <w:rFonts w:ascii="Palatino Linotype" w:eastAsia="Palatino Linotype" w:hAnsi="Palatino Linotype" w:cs="Palatino Linotype"/>
          <w:b/>
          <w:color w:val="FF0000"/>
        </w:rPr>
        <w:t xml:space="preserve"> </w:t>
      </w:r>
      <w:r w:rsidR="00765DC9" w:rsidRPr="004957B1">
        <w:rPr>
          <w:rFonts w:ascii="Palatino Linotype" w:eastAsia="Palatino Linotype" w:hAnsi="Palatino Linotype" w:cs="Palatino Linotype"/>
          <w:b/>
        </w:rPr>
        <w:t>04358/INFOEM/IP/RR/2024</w:t>
      </w:r>
      <w:r w:rsidRPr="004957B1">
        <w:rPr>
          <w:rFonts w:ascii="Palatino Linotype" w:eastAsia="Palatino Linotype" w:hAnsi="Palatino Linotype" w:cs="Palatino Linotype"/>
          <w:b/>
        </w:rPr>
        <w:t xml:space="preserve">, </w:t>
      </w:r>
      <w:r w:rsidR="0094525B" w:rsidRPr="004957B1">
        <w:rPr>
          <w:rFonts w:ascii="Palatino Linotype" w:eastAsia="Palatino Linotype" w:hAnsi="Palatino Linotype" w:cs="Palatino Linotype"/>
        </w:rPr>
        <w:t>pr</w:t>
      </w:r>
      <w:r w:rsidR="006F06AB" w:rsidRPr="004957B1">
        <w:rPr>
          <w:rFonts w:ascii="Palatino Linotype" w:eastAsia="Palatino Linotype" w:hAnsi="Palatino Linotype" w:cs="Palatino Linotype"/>
        </w:rPr>
        <w:t xml:space="preserve">omovido por </w:t>
      </w:r>
      <w:r w:rsidR="004957B1" w:rsidRPr="004957B1">
        <w:rPr>
          <w:rFonts w:ascii="Palatino Linotype" w:eastAsia="Palatino Linotype" w:hAnsi="Palatino Linotype" w:cs="Palatino Linotype"/>
        </w:rPr>
        <w:t>XXXXXXXXXX</w:t>
      </w:r>
      <w:r w:rsidRPr="004957B1">
        <w:rPr>
          <w:rFonts w:ascii="Palatino Linotype" w:eastAsia="Palatino Linotype" w:hAnsi="Palatino Linotype" w:cs="Palatino Linotype"/>
        </w:rPr>
        <w:t xml:space="preserve">, en adelante se identificará como el  </w:t>
      </w:r>
      <w:r w:rsidRPr="004957B1">
        <w:rPr>
          <w:rFonts w:ascii="Palatino Linotype" w:eastAsia="Palatino Linotype" w:hAnsi="Palatino Linotype" w:cs="Palatino Linotype"/>
          <w:b/>
        </w:rPr>
        <w:t>RECURRENTE</w:t>
      </w:r>
      <w:r w:rsidR="0094525B" w:rsidRPr="004957B1">
        <w:rPr>
          <w:rFonts w:ascii="Palatino Linotype" w:eastAsia="Palatino Linotype" w:hAnsi="Palatino Linotype" w:cs="Palatino Linotype"/>
        </w:rPr>
        <w:t>, en contra de la respue</w:t>
      </w:r>
      <w:r w:rsidR="00765DC9" w:rsidRPr="004957B1">
        <w:rPr>
          <w:rFonts w:ascii="Palatino Linotype" w:eastAsia="Palatino Linotype" w:hAnsi="Palatino Linotype" w:cs="Palatino Linotype"/>
        </w:rPr>
        <w:t>sta del Ayuntamiento de Ixtapaluca</w:t>
      </w:r>
      <w:r w:rsidRPr="004957B1">
        <w:rPr>
          <w:rFonts w:ascii="Palatino Linotype" w:eastAsia="Palatino Linotype" w:hAnsi="Palatino Linotype" w:cs="Palatino Linotype"/>
          <w:b/>
        </w:rPr>
        <w:t xml:space="preserve">, </w:t>
      </w:r>
      <w:r w:rsidRPr="004957B1">
        <w:rPr>
          <w:rFonts w:ascii="Palatino Linotype" w:eastAsia="Palatino Linotype" w:hAnsi="Palatino Linotype" w:cs="Palatino Linotype"/>
        </w:rPr>
        <w:t>en lo sucesivo el</w:t>
      </w:r>
      <w:r w:rsidRPr="004957B1">
        <w:rPr>
          <w:rFonts w:ascii="Palatino Linotype" w:eastAsia="Palatino Linotype" w:hAnsi="Palatino Linotype" w:cs="Palatino Linotype"/>
          <w:b/>
        </w:rPr>
        <w:t xml:space="preserve"> SUJETO OBLIGADO</w:t>
      </w:r>
      <w:r w:rsidRPr="004957B1">
        <w:rPr>
          <w:rFonts w:ascii="Palatino Linotype" w:eastAsia="Palatino Linotype" w:hAnsi="Palatino Linotype" w:cs="Palatino Linotype"/>
        </w:rPr>
        <w:t>, por lo que se procede a dictar la presente resolución, con base en los siguientes:</w:t>
      </w:r>
    </w:p>
    <w:p w:rsidR="000F1B65" w:rsidRPr="004957B1" w:rsidRDefault="005E216F">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4957B1">
        <w:rPr>
          <w:rFonts w:ascii="Palatino Linotype" w:eastAsia="Palatino Linotype" w:hAnsi="Palatino Linotype" w:cs="Palatino Linotype"/>
          <w:b/>
        </w:rPr>
        <w:t>A N T E C E D E N T E S</w:t>
      </w:r>
    </w:p>
    <w:p w:rsidR="000F1B65" w:rsidRPr="004957B1" w:rsidRDefault="000F1B65">
      <w:pPr>
        <w:spacing w:line="360" w:lineRule="auto"/>
        <w:rPr>
          <w:rFonts w:ascii="Palatino Linotype" w:eastAsia="Palatino Linotype" w:hAnsi="Palatino Linotype" w:cs="Palatino Linotype"/>
        </w:rPr>
      </w:pPr>
    </w:p>
    <w:p w:rsidR="000F1B65" w:rsidRPr="004957B1" w:rsidRDefault="006F06AB">
      <w:pPr>
        <w:numPr>
          <w:ilvl w:val="0"/>
          <w:numId w:val="1"/>
        </w:numP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 xml:space="preserve">El </w:t>
      </w:r>
      <w:r w:rsidR="00765DC9" w:rsidRPr="004957B1">
        <w:rPr>
          <w:rFonts w:ascii="Palatino Linotype" w:eastAsia="Palatino Linotype" w:hAnsi="Palatino Linotype" w:cs="Palatino Linotype"/>
        </w:rPr>
        <w:t>diecinueve de diciembre</w:t>
      </w:r>
      <w:r w:rsidR="0094525B" w:rsidRPr="004957B1">
        <w:rPr>
          <w:rFonts w:ascii="Palatino Linotype" w:eastAsia="Palatino Linotype" w:hAnsi="Palatino Linotype" w:cs="Palatino Linotype"/>
        </w:rPr>
        <w:t xml:space="preserve"> </w:t>
      </w:r>
      <w:r w:rsidR="00907B58" w:rsidRPr="004957B1">
        <w:rPr>
          <w:rFonts w:ascii="Palatino Linotype" w:eastAsia="Palatino Linotype" w:hAnsi="Palatino Linotype" w:cs="Palatino Linotype"/>
        </w:rPr>
        <w:t>de dos mil veintitrés</w:t>
      </w:r>
      <w:r w:rsidR="005E216F" w:rsidRPr="004957B1">
        <w:rPr>
          <w:rFonts w:ascii="Palatino Linotype" w:eastAsia="Palatino Linotype" w:hAnsi="Palatino Linotype" w:cs="Palatino Linotype"/>
        </w:rPr>
        <w:t>, el</w:t>
      </w:r>
      <w:r w:rsidR="005E216F" w:rsidRPr="004957B1">
        <w:rPr>
          <w:rFonts w:ascii="Palatino Linotype" w:eastAsia="Palatino Linotype" w:hAnsi="Palatino Linotype" w:cs="Palatino Linotype"/>
          <w:b/>
        </w:rPr>
        <w:t xml:space="preserve"> RECURRENTE </w:t>
      </w:r>
      <w:r w:rsidR="005E216F" w:rsidRPr="004957B1">
        <w:rPr>
          <w:rFonts w:ascii="Palatino Linotype" w:eastAsia="Palatino Linotype" w:hAnsi="Palatino Linotype" w:cs="Palatino Linotype"/>
        </w:rPr>
        <w:t xml:space="preserve">ante el </w:t>
      </w:r>
      <w:r w:rsidR="005E216F" w:rsidRPr="004957B1">
        <w:rPr>
          <w:rFonts w:ascii="Palatino Linotype" w:eastAsia="Palatino Linotype" w:hAnsi="Palatino Linotype" w:cs="Palatino Linotype"/>
          <w:b/>
        </w:rPr>
        <w:t>SUJETO OBLIGADO</w:t>
      </w:r>
      <w:r w:rsidR="005E216F" w:rsidRPr="004957B1">
        <w:rPr>
          <w:rFonts w:ascii="Palatino Linotype" w:eastAsia="Palatino Linotype" w:hAnsi="Palatino Linotype" w:cs="Palatino Linotype"/>
        </w:rPr>
        <w:t xml:space="preserve"> vía Sistema de Acceso a la Información Mexiquense (</w:t>
      </w:r>
      <w:r w:rsidR="005E216F" w:rsidRPr="004957B1">
        <w:rPr>
          <w:rFonts w:ascii="Palatino Linotype" w:eastAsia="Palatino Linotype" w:hAnsi="Palatino Linotype" w:cs="Palatino Linotype"/>
          <w:b/>
        </w:rPr>
        <w:t>SAIMEX)</w:t>
      </w:r>
      <w:r w:rsidR="005E216F" w:rsidRPr="004957B1">
        <w:rPr>
          <w:rFonts w:ascii="Palatino Linotype" w:eastAsia="Palatino Linotype" w:hAnsi="Palatino Linotype" w:cs="Palatino Linotype"/>
        </w:rPr>
        <w:t xml:space="preserve">, presentó una solicitud de información registrada con el número </w:t>
      </w:r>
      <w:r w:rsidR="0094525B" w:rsidRPr="004957B1">
        <w:rPr>
          <w:rFonts w:ascii="Palatino Linotype" w:eastAsia="Palatino Linotype" w:hAnsi="Palatino Linotype" w:cs="Palatino Linotype"/>
          <w:b/>
        </w:rPr>
        <w:t xml:space="preserve"> </w:t>
      </w:r>
      <w:r w:rsidR="00765DC9" w:rsidRPr="004957B1">
        <w:rPr>
          <w:rFonts w:ascii="Palatino Linotype" w:eastAsia="Palatino Linotype" w:hAnsi="Palatino Linotype" w:cs="Palatino Linotype"/>
          <w:b/>
        </w:rPr>
        <w:t>00547/IXTAPALU/IP/2023</w:t>
      </w:r>
      <w:r w:rsidR="005E216F" w:rsidRPr="004957B1">
        <w:rPr>
          <w:rFonts w:ascii="Palatino Linotype" w:eastAsia="Palatino Linotype" w:hAnsi="Palatino Linotype" w:cs="Palatino Linotype"/>
          <w:b/>
        </w:rPr>
        <w:t xml:space="preserve">, </w:t>
      </w:r>
      <w:r w:rsidR="005E216F" w:rsidRPr="004957B1">
        <w:rPr>
          <w:rFonts w:ascii="Palatino Linotype" w:eastAsia="Palatino Linotype" w:hAnsi="Palatino Linotype" w:cs="Palatino Linotype"/>
        </w:rPr>
        <w:t>en la que se solicitó lo siguiente:</w:t>
      </w:r>
    </w:p>
    <w:p w:rsidR="000F1B65" w:rsidRPr="004957B1" w:rsidRDefault="000F1B65">
      <w:pPr>
        <w:ind w:left="567" w:right="539"/>
        <w:jc w:val="both"/>
        <w:rPr>
          <w:rFonts w:ascii="Palatino Linotype" w:eastAsia="Palatino Linotype" w:hAnsi="Palatino Linotype" w:cs="Palatino Linotype"/>
          <w:i/>
          <w:sz w:val="22"/>
          <w:szCs w:val="22"/>
        </w:rPr>
      </w:pPr>
    </w:p>
    <w:p w:rsidR="000F1B65" w:rsidRPr="004957B1" w:rsidRDefault="005E216F" w:rsidP="00765DC9">
      <w:pPr>
        <w:pBdr>
          <w:top w:val="nil"/>
          <w:left w:val="nil"/>
          <w:bottom w:val="nil"/>
          <w:right w:val="nil"/>
          <w:between w:val="nil"/>
        </w:pBdr>
        <w:ind w:left="567" w:right="539"/>
        <w:jc w:val="both"/>
        <w:rPr>
          <w:rFonts w:ascii="Palatino Linotype" w:eastAsia="Palatino Linotype" w:hAnsi="Palatino Linotype" w:cs="Palatino Linotype"/>
          <w:i/>
          <w:sz w:val="22"/>
          <w:szCs w:val="22"/>
        </w:rPr>
      </w:pPr>
      <w:r w:rsidRPr="004957B1">
        <w:rPr>
          <w:rFonts w:ascii="Palatino Linotype" w:eastAsia="Palatino Linotype" w:hAnsi="Palatino Linotype" w:cs="Palatino Linotype"/>
          <w:i/>
          <w:sz w:val="22"/>
          <w:szCs w:val="22"/>
        </w:rPr>
        <w:t>“</w:t>
      </w:r>
      <w:r w:rsidR="00765DC9" w:rsidRPr="004957B1">
        <w:rPr>
          <w:rFonts w:ascii="Palatino Linotype" w:eastAsia="Palatino Linotype" w:hAnsi="Palatino Linotype" w:cs="Palatino Linotype"/>
          <w:i/>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Los permisos y autorización por parte de la Secretaria de Ecología Federal y/o Estatal, Secretaria de Desarrollo Urbano e Infraestructura del Estado de México y de la Dirección de Desarrollo Urbano Municipal y bajo que fundamento se autorizaron la construcción de los puentes vehiculares de uso particular que se encuentran obstruyendo la barranca que existe en la </w:t>
      </w:r>
      <w:r w:rsidR="00765DC9" w:rsidRPr="004957B1">
        <w:rPr>
          <w:rFonts w:ascii="Palatino Linotype" w:eastAsia="Palatino Linotype" w:hAnsi="Palatino Linotype" w:cs="Palatino Linotype"/>
          <w:i/>
          <w:sz w:val="22"/>
          <w:szCs w:val="22"/>
        </w:rPr>
        <w:lastRenderedPageBreak/>
        <w:t xml:space="preserve">carretera a San Francisco </w:t>
      </w:r>
      <w:proofErr w:type="spellStart"/>
      <w:r w:rsidR="00765DC9" w:rsidRPr="004957B1">
        <w:rPr>
          <w:rFonts w:ascii="Palatino Linotype" w:eastAsia="Palatino Linotype" w:hAnsi="Palatino Linotype" w:cs="Palatino Linotype"/>
          <w:i/>
          <w:sz w:val="22"/>
          <w:szCs w:val="22"/>
        </w:rPr>
        <w:t>Acuatla</w:t>
      </w:r>
      <w:proofErr w:type="spellEnd"/>
      <w:r w:rsidR="00765DC9" w:rsidRPr="004957B1">
        <w:rPr>
          <w:rFonts w:ascii="Palatino Linotype" w:eastAsia="Palatino Linotype" w:hAnsi="Palatino Linotype" w:cs="Palatino Linotype"/>
          <w:i/>
          <w:sz w:val="22"/>
          <w:szCs w:val="22"/>
        </w:rPr>
        <w:t xml:space="preserve"> en el tramo que comprende del Puente Mezquite al Carril del Tablón frene a la Unidad Habitacional los Héroes Ixtapaluca </w:t>
      </w:r>
      <w:r w:rsidR="006F06AB" w:rsidRPr="004957B1">
        <w:rPr>
          <w:rFonts w:ascii="Palatino Linotype" w:eastAsia="Palatino Linotype" w:hAnsi="Palatino Linotype" w:cs="Palatino Linotype"/>
          <w:i/>
          <w:sz w:val="22"/>
          <w:szCs w:val="22"/>
        </w:rPr>
        <w:t xml:space="preserve">.” </w:t>
      </w:r>
      <w:r w:rsidRPr="004957B1">
        <w:rPr>
          <w:rFonts w:ascii="Palatino Linotype" w:eastAsia="Palatino Linotype" w:hAnsi="Palatino Linotype" w:cs="Palatino Linotype"/>
          <w:i/>
          <w:sz w:val="22"/>
          <w:szCs w:val="22"/>
        </w:rPr>
        <w:t xml:space="preserve">(Sic) </w:t>
      </w:r>
    </w:p>
    <w:p w:rsidR="000F1B65" w:rsidRPr="004957B1" w:rsidRDefault="000F1B65">
      <w:pPr>
        <w:ind w:right="567"/>
        <w:jc w:val="both"/>
        <w:rPr>
          <w:rFonts w:ascii="Palatino Linotype" w:eastAsia="Palatino Linotype" w:hAnsi="Palatino Linotype" w:cs="Palatino Linotype"/>
          <w:i/>
          <w:sz w:val="22"/>
          <w:szCs w:val="22"/>
        </w:rPr>
      </w:pPr>
    </w:p>
    <w:p w:rsidR="000F1B65" w:rsidRPr="004957B1" w:rsidRDefault="005E216F">
      <w:pPr>
        <w:pBdr>
          <w:top w:val="nil"/>
          <w:left w:val="nil"/>
          <w:bottom w:val="nil"/>
          <w:right w:val="nil"/>
          <w:between w:val="nil"/>
        </w:pBdr>
        <w:ind w:left="567" w:right="567"/>
        <w:jc w:val="both"/>
        <w:rPr>
          <w:rFonts w:ascii="Palatino Linotype" w:eastAsia="Palatino Linotype" w:hAnsi="Palatino Linotype" w:cs="Palatino Linotype"/>
        </w:rPr>
      </w:pPr>
      <w:r w:rsidRPr="004957B1">
        <w:rPr>
          <w:rFonts w:ascii="Palatino Linotype" w:eastAsia="Palatino Linotype" w:hAnsi="Palatino Linotype" w:cs="Palatino Linotype"/>
        </w:rPr>
        <w:t>Modalida</w:t>
      </w:r>
      <w:r w:rsidR="006F06AB" w:rsidRPr="004957B1">
        <w:rPr>
          <w:rFonts w:ascii="Palatino Linotype" w:eastAsia="Palatino Linotype" w:hAnsi="Palatino Linotype" w:cs="Palatino Linotype"/>
        </w:rPr>
        <w:t>d de entrega de la</w:t>
      </w:r>
      <w:r w:rsidR="0022570B" w:rsidRPr="004957B1">
        <w:rPr>
          <w:rFonts w:ascii="Palatino Linotype" w:eastAsia="Palatino Linotype" w:hAnsi="Palatino Linotype" w:cs="Palatino Linotype"/>
        </w:rPr>
        <w:t xml:space="preserve"> información: Vía SAIMEX</w:t>
      </w:r>
      <w:r w:rsidR="006F06AB" w:rsidRPr="004957B1">
        <w:rPr>
          <w:rFonts w:ascii="Palatino Linotype" w:eastAsia="Palatino Linotype" w:hAnsi="Palatino Linotype" w:cs="Palatino Linotype"/>
        </w:rPr>
        <w:t>.</w:t>
      </w:r>
    </w:p>
    <w:p w:rsidR="00D0312C" w:rsidRPr="004957B1" w:rsidRDefault="00D0312C" w:rsidP="00D0312C">
      <w:pPr>
        <w:jc w:val="both"/>
        <w:rPr>
          <w:rFonts w:ascii="Palatino Linotype" w:eastAsia="Palatino Linotype" w:hAnsi="Palatino Linotype" w:cs="Palatino Linotype"/>
          <w:sz w:val="22"/>
          <w:szCs w:val="22"/>
        </w:rPr>
      </w:pPr>
    </w:p>
    <w:p w:rsidR="006F06AB" w:rsidRPr="004957B1" w:rsidRDefault="006F06AB" w:rsidP="00D0312C">
      <w:pPr>
        <w:jc w:val="both"/>
        <w:rPr>
          <w:rFonts w:ascii="Palatino Linotype" w:eastAsia="Palatino Linotype" w:hAnsi="Palatino Linotype" w:cs="Palatino Linotype"/>
          <w:i/>
        </w:rPr>
      </w:pPr>
    </w:p>
    <w:p w:rsidR="000F1B65" w:rsidRPr="004957B1" w:rsidRDefault="006F06AB">
      <w:pPr>
        <w:numPr>
          <w:ilvl w:val="0"/>
          <w:numId w:val="1"/>
        </w:numP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 xml:space="preserve">El </w:t>
      </w:r>
      <w:r w:rsidR="00CE426C" w:rsidRPr="004957B1">
        <w:rPr>
          <w:rFonts w:ascii="Palatino Linotype" w:eastAsia="Palatino Linotype" w:hAnsi="Palatino Linotype" w:cs="Palatino Linotype"/>
        </w:rPr>
        <w:t>nueve de enero</w:t>
      </w:r>
      <w:r w:rsidR="0094525B" w:rsidRPr="004957B1">
        <w:rPr>
          <w:rFonts w:ascii="Palatino Linotype" w:eastAsia="Palatino Linotype" w:hAnsi="Palatino Linotype" w:cs="Palatino Linotype"/>
        </w:rPr>
        <w:t xml:space="preserve"> de dos mil veinticuatro</w:t>
      </w:r>
      <w:r w:rsidR="005E216F" w:rsidRPr="004957B1">
        <w:rPr>
          <w:rFonts w:ascii="Palatino Linotype" w:eastAsia="Palatino Linotype" w:hAnsi="Palatino Linotype" w:cs="Palatino Linotype"/>
        </w:rPr>
        <w:t xml:space="preserve">, el </w:t>
      </w:r>
      <w:r w:rsidR="005E216F" w:rsidRPr="004957B1">
        <w:rPr>
          <w:rFonts w:ascii="Palatino Linotype" w:eastAsia="Palatino Linotype" w:hAnsi="Palatino Linotype" w:cs="Palatino Linotype"/>
          <w:b/>
        </w:rPr>
        <w:t>SUJETO OBLIGADO</w:t>
      </w:r>
      <w:r w:rsidR="005E216F" w:rsidRPr="004957B1">
        <w:rPr>
          <w:rFonts w:ascii="Palatino Linotype" w:eastAsia="Palatino Linotype" w:hAnsi="Palatino Linotype" w:cs="Palatino Linotype"/>
        </w:rPr>
        <w:t xml:space="preserve"> dio respuesta a la solicitud de información, en los siguientes términos:</w:t>
      </w:r>
    </w:p>
    <w:p w:rsidR="000F1B65" w:rsidRPr="004957B1" w:rsidRDefault="000F1B65" w:rsidP="00A873B4">
      <w:pPr>
        <w:ind w:right="539"/>
        <w:jc w:val="both"/>
        <w:rPr>
          <w:rFonts w:ascii="Palatino Linotype" w:eastAsia="Palatino Linotype" w:hAnsi="Palatino Linotype" w:cs="Palatino Linotype"/>
        </w:rPr>
      </w:pPr>
    </w:p>
    <w:p w:rsidR="00D76ACF" w:rsidRPr="004957B1" w:rsidRDefault="0094525B" w:rsidP="00CE426C">
      <w:pPr>
        <w:spacing w:line="360" w:lineRule="auto"/>
        <w:ind w:right="567"/>
        <w:jc w:val="both"/>
        <w:rPr>
          <w:rFonts w:ascii="Palatino Linotype" w:eastAsia="Palatino Linotype" w:hAnsi="Palatino Linotype" w:cs="Palatino Linotype"/>
        </w:rPr>
      </w:pPr>
      <w:r w:rsidRPr="004957B1">
        <w:rPr>
          <w:rFonts w:ascii="Palatino Linotype" w:eastAsia="Palatino Linotype" w:hAnsi="Palatino Linotype" w:cs="Palatino Linotype"/>
        </w:rPr>
        <w:t>Adjuntando</w:t>
      </w:r>
      <w:r w:rsidR="00CE426C" w:rsidRPr="004957B1">
        <w:rPr>
          <w:rFonts w:ascii="Palatino Linotype" w:eastAsia="Palatino Linotype" w:hAnsi="Palatino Linotype" w:cs="Palatino Linotype"/>
        </w:rPr>
        <w:t xml:space="preserve"> el</w:t>
      </w:r>
      <w:r w:rsidR="005E216F" w:rsidRPr="004957B1">
        <w:rPr>
          <w:rFonts w:ascii="Palatino Linotype" w:eastAsia="Palatino Linotype" w:hAnsi="Palatino Linotype" w:cs="Palatino Linotype"/>
        </w:rPr>
        <w:t xml:space="preserve"> siguientes archivos el</w:t>
      </w:r>
      <w:r w:rsidR="00CE426C" w:rsidRPr="004957B1">
        <w:rPr>
          <w:rFonts w:ascii="Palatino Linotype" w:eastAsia="Palatino Linotype" w:hAnsi="Palatino Linotype" w:cs="Palatino Linotype"/>
        </w:rPr>
        <w:t>ectrónico.</w:t>
      </w:r>
    </w:p>
    <w:p w:rsidR="00CE426C" w:rsidRPr="004957B1" w:rsidRDefault="00CE426C" w:rsidP="00CE426C">
      <w:pPr>
        <w:spacing w:line="360" w:lineRule="auto"/>
        <w:ind w:right="567"/>
        <w:jc w:val="both"/>
        <w:rPr>
          <w:rFonts w:ascii="Palatino Linotype" w:eastAsia="Palatino Linotype" w:hAnsi="Palatino Linotype" w:cs="Palatino Linotype"/>
        </w:rPr>
      </w:pPr>
    </w:p>
    <w:p w:rsidR="00CE426C" w:rsidRPr="004957B1" w:rsidRDefault="00CE426C" w:rsidP="00CE426C">
      <w:pPr>
        <w:pStyle w:val="Prrafodelista"/>
        <w:numPr>
          <w:ilvl w:val="0"/>
          <w:numId w:val="17"/>
        </w:numPr>
        <w:spacing w:line="360" w:lineRule="auto"/>
        <w:ind w:right="567"/>
        <w:jc w:val="both"/>
        <w:rPr>
          <w:rFonts w:ascii="Palatino Linotype" w:eastAsia="Palatino Linotype" w:hAnsi="Palatino Linotype" w:cs="Palatino Linotype"/>
        </w:rPr>
      </w:pPr>
      <w:r w:rsidRPr="004957B1">
        <w:rPr>
          <w:rFonts w:ascii="Palatino Linotype" w:eastAsia="Palatino Linotype" w:hAnsi="Palatino Linotype" w:cs="Palatino Linotype"/>
        </w:rPr>
        <w:t>Incompetencia, sol. 00547</w:t>
      </w:r>
      <w:proofErr w:type="gramStart"/>
      <w:r w:rsidRPr="004957B1">
        <w:rPr>
          <w:rFonts w:ascii="Palatino Linotype" w:eastAsia="Palatino Linotype" w:hAnsi="Palatino Linotype" w:cs="Palatino Linotype"/>
        </w:rPr>
        <w:t>.pdf</w:t>
      </w:r>
      <w:proofErr w:type="gramEnd"/>
      <w:r w:rsidRPr="004957B1">
        <w:rPr>
          <w:rFonts w:ascii="Palatino Linotype" w:eastAsia="Palatino Linotype" w:hAnsi="Palatino Linotype" w:cs="Palatino Linotype"/>
        </w:rPr>
        <w:t>: Contiene oficio suscrito por el Encargado del Despacho de la Unidad de Transparencia y Acceso a la Información Pública , dirigido al solicitante, por medio del  cual le informa lo siguiente: “… hago de su conocimiento que tanto las Secretarias de Ecología Federal y Estatal como la Secretaria de Desarrollo Urbano e Infraestructura del Estado de México, son Sujetos Obligados independientes del Municipio de Ixtapaluca, en materia de acceso a la información pública. En razón de esto, éste carece de facultades sobre la información que generan, poseen y/o administran las instancias antes mencionadas.</w:t>
      </w:r>
    </w:p>
    <w:p w:rsidR="00CE426C" w:rsidRPr="004957B1" w:rsidRDefault="00CE426C" w:rsidP="00CE426C">
      <w:pPr>
        <w:pStyle w:val="Prrafodelista"/>
        <w:spacing w:line="360" w:lineRule="auto"/>
        <w:ind w:right="567"/>
        <w:jc w:val="both"/>
        <w:rPr>
          <w:rFonts w:ascii="Palatino Linotype" w:eastAsia="Palatino Linotype" w:hAnsi="Palatino Linotype" w:cs="Palatino Linotype"/>
        </w:rPr>
      </w:pPr>
      <w:r w:rsidRPr="004957B1">
        <w:rPr>
          <w:rFonts w:ascii="Palatino Linotype" w:eastAsia="Palatino Linotype" w:hAnsi="Palatino Linotype" w:cs="Palatino Linotype"/>
        </w:rPr>
        <w:t>En tal sentido, respetuosamente se le orienta a presentar la parte correspondiente de su solicitud directamente ante las citadas Dependencias, a través de la Plataforma Nacional de Transparencia…”</w:t>
      </w:r>
    </w:p>
    <w:p w:rsidR="00CE426C" w:rsidRPr="004957B1" w:rsidRDefault="00CE426C" w:rsidP="00CE426C">
      <w:pPr>
        <w:pStyle w:val="Prrafodelista"/>
        <w:spacing w:line="360" w:lineRule="auto"/>
        <w:ind w:right="567"/>
        <w:jc w:val="both"/>
        <w:rPr>
          <w:rFonts w:ascii="Palatino Linotype" w:eastAsia="Palatino Linotype" w:hAnsi="Palatino Linotype" w:cs="Palatino Linotype"/>
        </w:rPr>
      </w:pPr>
    </w:p>
    <w:p w:rsidR="00CE426C" w:rsidRPr="004957B1" w:rsidRDefault="00CE426C" w:rsidP="00CE426C">
      <w:pPr>
        <w:pStyle w:val="Prrafodelista"/>
        <w:spacing w:line="360" w:lineRule="auto"/>
        <w:ind w:right="567"/>
        <w:jc w:val="both"/>
        <w:rPr>
          <w:rFonts w:ascii="Palatino Linotype" w:eastAsia="Palatino Linotype" w:hAnsi="Palatino Linotype" w:cs="Palatino Linotype"/>
        </w:rPr>
      </w:pPr>
    </w:p>
    <w:p w:rsidR="00CE426C" w:rsidRPr="004957B1" w:rsidRDefault="001A6AAA" w:rsidP="001A6AAA">
      <w:pPr>
        <w:numPr>
          <w:ilvl w:val="0"/>
          <w:numId w:val="1"/>
        </w:numP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En fecha nueve de enero de dos mil veinticuatro, se realizó un requerimiento al Servidos Público habilitado.</w:t>
      </w:r>
    </w:p>
    <w:p w:rsidR="00D76ACF" w:rsidRPr="004957B1" w:rsidRDefault="00D76ACF" w:rsidP="00D76ACF">
      <w:pPr>
        <w:spacing w:line="360" w:lineRule="auto"/>
        <w:ind w:right="567"/>
        <w:jc w:val="both"/>
        <w:rPr>
          <w:rFonts w:ascii="Palatino Linotype" w:eastAsia="Palatino Linotype" w:hAnsi="Palatino Linotype" w:cs="Palatino Linotype"/>
        </w:rPr>
      </w:pPr>
    </w:p>
    <w:p w:rsidR="000F1B65" w:rsidRPr="004957B1" w:rsidRDefault="00B35113">
      <w:pPr>
        <w:numPr>
          <w:ilvl w:val="0"/>
          <w:numId w:val="1"/>
        </w:numPr>
        <w:spacing w:line="360" w:lineRule="auto"/>
        <w:ind w:left="0" w:firstLine="0"/>
        <w:jc w:val="both"/>
        <w:rPr>
          <w:rFonts w:ascii="Palatino Linotype" w:eastAsia="Palatino Linotype" w:hAnsi="Palatino Linotype" w:cs="Palatino Linotype"/>
        </w:rPr>
      </w:pPr>
      <w:bookmarkStart w:id="1" w:name="_heading=h.30j0zll" w:colFirst="0" w:colLast="0"/>
      <w:bookmarkEnd w:id="1"/>
      <w:r w:rsidRPr="004957B1">
        <w:rPr>
          <w:rFonts w:ascii="Palatino Linotype" w:eastAsia="Palatino Linotype" w:hAnsi="Palatino Linotype" w:cs="Palatino Linotype"/>
        </w:rPr>
        <w:t>E</w:t>
      </w:r>
      <w:r w:rsidR="00D76ACF" w:rsidRPr="004957B1">
        <w:rPr>
          <w:rFonts w:ascii="Palatino Linotype" w:eastAsia="Palatino Linotype" w:hAnsi="Palatino Linotype" w:cs="Palatino Linotype"/>
        </w:rPr>
        <w:t xml:space="preserve">l </w:t>
      </w:r>
      <w:r w:rsidR="001A6AAA" w:rsidRPr="004957B1">
        <w:rPr>
          <w:rFonts w:ascii="Palatino Linotype" w:eastAsia="Palatino Linotype" w:hAnsi="Palatino Linotype" w:cs="Palatino Linotype"/>
        </w:rPr>
        <w:t xml:space="preserve">diez de julio </w:t>
      </w:r>
      <w:r w:rsidRPr="004957B1">
        <w:rPr>
          <w:rFonts w:ascii="Palatino Linotype" w:eastAsia="Palatino Linotype" w:hAnsi="Palatino Linotype" w:cs="Palatino Linotype"/>
        </w:rPr>
        <w:t xml:space="preserve"> de dos mil veinticuatro</w:t>
      </w:r>
      <w:r w:rsidR="005E216F" w:rsidRPr="004957B1">
        <w:rPr>
          <w:rFonts w:ascii="Palatino Linotype" w:eastAsia="Palatino Linotype" w:hAnsi="Palatino Linotype" w:cs="Palatino Linotype"/>
        </w:rPr>
        <w:t>,</w:t>
      </w:r>
      <w:r w:rsidR="005E216F" w:rsidRPr="004957B1">
        <w:rPr>
          <w:rFonts w:ascii="Palatino Linotype" w:eastAsia="Palatino Linotype" w:hAnsi="Palatino Linotype" w:cs="Palatino Linotype"/>
          <w:b/>
        </w:rPr>
        <w:t xml:space="preserve"> </w:t>
      </w:r>
      <w:r w:rsidR="005E216F" w:rsidRPr="004957B1">
        <w:rPr>
          <w:rFonts w:ascii="Palatino Linotype" w:eastAsia="Palatino Linotype" w:hAnsi="Palatino Linotype" w:cs="Palatino Linotype"/>
        </w:rPr>
        <w:t xml:space="preserve">el </w:t>
      </w:r>
      <w:r w:rsidR="005E216F" w:rsidRPr="004957B1">
        <w:rPr>
          <w:rFonts w:ascii="Palatino Linotype" w:eastAsia="Palatino Linotype" w:hAnsi="Palatino Linotype" w:cs="Palatino Linotype"/>
          <w:b/>
        </w:rPr>
        <w:t>RECURRENTE</w:t>
      </w:r>
      <w:r w:rsidR="005E216F" w:rsidRPr="004957B1">
        <w:rPr>
          <w:rFonts w:ascii="Palatino Linotype" w:eastAsia="Palatino Linotype" w:hAnsi="Palatino Linotype" w:cs="Palatino Linotype"/>
        </w:rPr>
        <w:t xml:space="preserve"> interpuso el recurso de revisión en contra de la respuesta, señalando como:</w:t>
      </w:r>
    </w:p>
    <w:p w:rsidR="00A873B4" w:rsidRPr="004957B1" w:rsidRDefault="00A873B4" w:rsidP="00A873B4">
      <w:pPr>
        <w:jc w:val="both"/>
        <w:rPr>
          <w:rFonts w:ascii="Palatino Linotype" w:eastAsia="Palatino Linotype" w:hAnsi="Palatino Linotype" w:cs="Palatino Linotype"/>
          <w:sz w:val="22"/>
          <w:szCs w:val="22"/>
        </w:rPr>
      </w:pPr>
    </w:p>
    <w:p w:rsidR="000F1B65" w:rsidRPr="004957B1" w:rsidRDefault="005E216F" w:rsidP="00A873B4">
      <w:pPr>
        <w:ind w:left="567" w:right="567"/>
        <w:jc w:val="both"/>
        <w:rPr>
          <w:rFonts w:ascii="Palatino Linotype" w:eastAsia="Palatino Linotype" w:hAnsi="Palatino Linotype" w:cs="Palatino Linotype"/>
          <w:i/>
          <w:sz w:val="22"/>
          <w:szCs w:val="22"/>
        </w:rPr>
      </w:pPr>
      <w:r w:rsidRPr="004957B1">
        <w:rPr>
          <w:rFonts w:ascii="Palatino Linotype" w:eastAsia="Palatino Linotype" w:hAnsi="Palatino Linotype" w:cs="Palatino Linotype"/>
          <w:b/>
          <w:sz w:val="22"/>
          <w:szCs w:val="22"/>
        </w:rPr>
        <w:t>Acto impugnado</w:t>
      </w:r>
      <w:r w:rsidRPr="004957B1">
        <w:rPr>
          <w:rFonts w:ascii="Palatino Linotype" w:eastAsia="Palatino Linotype" w:hAnsi="Palatino Linotype" w:cs="Palatino Linotype"/>
          <w:b/>
          <w:i/>
          <w:sz w:val="22"/>
          <w:szCs w:val="22"/>
        </w:rPr>
        <w:t>:</w:t>
      </w:r>
      <w:r w:rsidRPr="004957B1">
        <w:rPr>
          <w:rFonts w:ascii="Palatino Linotype" w:eastAsia="Palatino Linotype" w:hAnsi="Palatino Linotype" w:cs="Palatino Linotype"/>
          <w:i/>
          <w:sz w:val="22"/>
          <w:szCs w:val="22"/>
        </w:rPr>
        <w:t xml:space="preserve"> “</w:t>
      </w:r>
      <w:r w:rsidR="001A6AAA" w:rsidRPr="004957B1">
        <w:rPr>
          <w:rFonts w:ascii="Palatino Linotype" w:eastAsia="Palatino Linotype" w:hAnsi="Palatino Linotype" w:cs="Palatino Linotype"/>
          <w:i/>
          <w:sz w:val="22"/>
          <w:szCs w:val="22"/>
        </w:rPr>
        <w:t>Con fundamento en los artículos 176, 178 y 179 Fracción I, IV y VII de la Ley de Transparencia y Acceso a la Información Pública del Estado de México y Municipios, la negativa por parte del Sujeto Obligado para la entrega de la información Y la falta de respuesta a mi solicitud e información. Debe considerar que el Sujeto Obligado tiene facultades, atribuciones y funciones de acuerdo al Bando Municipal de Ixtapaluca 2024 y de la Dirección de Desarrollo Territorial y Urbano y Dirección de Ecología además de contar con un Plan Municipal de Desarrollo Urbano y el Programa Municipal de Desarrollo Urbano.</w:t>
      </w:r>
      <w:r w:rsidRPr="004957B1">
        <w:rPr>
          <w:rFonts w:ascii="Palatino Linotype" w:eastAsia="Palatino Linotype" w:hAnsi="Palatino Linotype" w:cs="Palatino Linotype"/>
          <w:i/>
          <w:sz w:val="22"/>
          <w:szCs w:val="22"/>
        </w:rPr>
        <w:t>” (Sic)</w:t>
      </w:r>
    </w:p>
    <w:p w:rsidR="00A873B4" w:rsidRPr="004957B1" w:rsidRDefault="00A873B4" w:rsidP="00A873B4">
      <w:pPr>
        <w:ind w:left="567" w:right="567"/>
        <w:jc w:val="both"/>
        <w:rPr>
          <w:rFonts w:ascii="Palatino Linotype" w:eastAsia="Palatino Linotype" w:hAnsi="Palatino Linotype" w:cs="Palatino Linotype"/>
          <w:sz w:val="22"/>
          <w:szCs w:val="22"/>
        </w:rPr>
      </w:pPr>
    </w:p>
    <w:p w:rsidR="000F1B65" w:rsidRPr="004957B1" w:rsidRDefault="005E216F" w:rsidP="00A873B4">
      <w:pPr>
        <w:ind w:left="567" w:right="567"/>
        <w:jc w:val="both"/>
        <w:rPr>
          <w:rFonts w:ascii="Palatino Linotype" w:eastAsia="Palatino Linotype" w:hAnsi="Palatino Linotype" w:cs="Palatino Linotype"/>
          <w:sz w:val="22"/>
          <w:szCs w:val="22"/>
        </w:rPr>
      </w:pPr>
      <w:r w:rsidRPr="004957B1">
        <w:rPr>
          <w:rFonts w:ascii="Palatino Linotype" w:eastAsia="Palatino Linotype" w:hAnsi="Palatino Linotype" w:cs="Palatino Linotype"/>
          <w:b/>
          <w:sz w:val="22"/>
          <w:szCs w:val="22"/>
        </w:rPr>
        <w:t>Razones o Motivos de inconformidad:</w:t>
      </w:r>
      <w:r w:rsidR="001A6AAA" w:rsidRPr="004957B1">
        <w:rPr>
          <w:rFonts w:ascii="Palatino Linotype" w:eastAsia="Palatino Linotype" w:hAnsi="Palatino Linotype" w:cs="Palatino Linotype"/>
          <w:b/>
          <w:sz w:val="22"/>
          <w:szCs w:val="22"/>
        </w:rPr>
        <w:t xml:space="preserve"> </w:t>
      </w:r>
      <w:r w:rsidRPr="004957B1">
        <w:rPr>
          <w:rFonts w:ascii="Palatino Linotype" w:eastAsia="Palatino Linotype" w:hAnsi="Palatino Linotype" w:cs="Palatino Linotype"/>
          <w:i/>
          <w:sz w:val="22"/>
          <w:szCs w:val="22"/>
        </w:rPr>
        <w:t xml:space="preserve">” </w:t>
      </w:r>
      <w:r w:rsidR="001A6AAA" w:rsidRPr="004957B1">
        <w:rPr>
          <w:rFonts w:ascii="Palatino Linotype" w:eastAsia="Palatino Linotype" w:hAnsi="Palatino Linotype" w:cs="Palatino Linotype"/>
          <w:i/>
          <w:sz w:val="22"/>
          <w:szCs w:val="22"/>
        </w:rPr>
        <w:t xml:space="preserve">Con fundamento en los artículos 176, 178 y 179 Fracción I, IV y VII de la Ley de Transparencia y Acceso a la Información Pública del Estado de México y Municipios, la negativa por parte del Sujeto Obligado para la entrega de la información Y la falta de respuesta a mi solicitud e información. Debe considerar que el Sujeto Obligado tiene facultades, atribuciones y funciones de acuerdo al Bando Municipal de Ixtapaluca 2024 y de la Dirección de Desarrollo Territorial y Urbano y Dirección de Ecología además de contar con un Plan Municipal de Desarrollo Urbano y el Programa Municipal de Desarrollo Urbano.” </w:t>
      </w:r>
      <w:r w:rsidRPr="004957B1">
        <w:rPr>
          <w:rFonts w:ascii="Palatino Linotype" w:eastAsia="Palatino Linotype" w:hAnsi="Palatino Linotype" w:cs="Palatino Linotype"/>
          <w:i/>
          <w:sz w:val="22"/>
          <w:szCs w:val="22"/>
        </w:rPr>
        <w:t>(Sic)</w:t>
      </w:r>
    </w:p>
    <w:p w:rsidR="00677A43" w:rsidRPr="004957B1" w:rsidRDefault="00677A43" w:rsidP="00677A43">
      <w:pPr>
        <w:tabs>
          <w:tab w:val="left" w:pos="6197"/>
        </w:tabs>
        <w:jc w:val="both"/>
        <w:rPr>
          <w:rFonts w:ascii="Palatino Linotype" w:eastAsia="Palatino Linotype" w:hAnsi="Palatino Linotype" w:cs="Palatino Linotype"/>
          <w:szCs w:val="22"/>
        </w:rPr>
      </w:pPr>
    </w:p>
    <w:p w:rsidR="00677A43" w:rsidRPr="004957B1" w:rsidRDefault="00677A43" w:rsidP="00677A43">
      <w:pPr>
        <w:tabs>
          <w:tab w:val="left" w:pos="6197"/>
        </w:tabs>
        <w:jc w:val="both"/>
        <w:rPr>
          <w:rFonts w:ascii="Palatino Linotype" w:eastAsia="Palatino Linotype" w:hAnsi="Palatino Linotype" w:cs="Palatino Linotype"/>
          <w:szCs w:val="22"/>
        </w:rPr>
      </w:pPr>
    </w:p>
    <w:p w:rsidR="000F1B65" w:rsidRPr="004957B1" w:rsidRDefault="005E216F" w:rsidP="00A873B4">
      <w:pPr>
        <w:numPr>
          <w:ilvl w:val="0"/>
          <w:numId w:val="1"/>
        </w:numP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4957B1">
        <w:rPr>
          <w:rFonts w:ascii="Palatino Linotype" w:eastAsia="Palatino Linotype" w:hAnsi="Palatino Linotype" w:cs="Palatino Linotype"/>
          <w:b/>
        </w:rPr>
        <w:t xml:space="preserve">Ley de Transparencia y Acceso a la Información Pública del Estado de México y Municipios </w:t>
      </w:r>
      <w:r w:rsidRPr="004957B1">
        <w:rPr>
          <w:rFonts w:ascii="Palatino Linotype" w:eastAsia="Palatino Linotype" w:hAnsi="Palatino Linotype" w:cs="Palatino Linotype"/>
        </w:rPr>
        <w:t xml:space="preserve">se turna a la </w:t>
      </w:r>
      <w:r w:rsidRPr="004957B1">
        <w:rPr>
          <w:rFonts w:ascii="Palatino Linotype" w:eastAsia="Palatino Linotype" w:hAnsi="Palatino Linotype" w:cs="Palatino Linotype"/>
          <w:b/>
        </w:rPr>
        <w:t xml:space="preserve">Comisionada María del Rosario Mejía Ayala, </w:t>
      </w:r>
      <w:r w:rsidRPr="004957B1">
        <w:rPr>
          <w:rFonts w:ascii="Palatino Linotype" w:eastAsia="Palatino Linotype" w:hAnsi="Palatino Linotype" w:cs="Palatino Linotype"/>
        </w:rPr>
        <w:t xml:space="preserve">para su análisis. </w:t>
      </w:r>
    </w:p>
    <w:p w:rsidR="000A136E" w:rsidRPr="004957B1" w:rsidRDefault="000A136E" w:rsidP="000A136E">
      <w:pPr>
        <w:spacing w:line="360" w:lineRule="auto"/>
        <w:jc w:val="both"/>
        <w:rPr>
          <w:rFonts w:ascii="Palatino Linotype" w:eastAsia="Palatino Linotype" w:hAnsi="Palatino Linotype" w:cs="Palatino Linotype"/>
        </w:rPr>
      </w:pPr>
    </w:p>
    <w:p w:rsidR="000F1B65" w:rsidRPr="004957B1" w:rsidRDefault="005E216F">
      <w:pPr>
        <w:numPr>
          <w:ilvl w:val="0"/>
          <w:numId w:val="1"/>
        </w:numP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El Comisionado Ponente con fundamento en lo dispuesto por el artículo 185 fracción II de la ley de la materia, a través del acuerdo de admisión del</w:t>
      </w:r>
      <w:r w:rsidR="001A6AAA" w:rsidRPr="004957B1">
        <w:rPr>
          <w:rFonts w:ascii="Palatino Linotype" w:eastAsia="Palatino Linotype" w:hAnsi="Palatino Linotype" w:cs="Palatino Linotype"/>
        </w:rPr>
        <w:t xml:space="preserve"> once de julio </w:t>
      </w:r>
      <w:r w:rsidR="00B35113" w:rsidRPr="004957B1">
        <w:rPr>
          <w:rFonts w:ascii="Palatino Linotype" w:eastAsia="Palatino Linotype" w:hAnsi="Palatino Linotype" w:cs="Palatino Linotype"/>
        </w:rPr>
        <w:t xml:space="preserve"> </w:t>
      </w:r>
      <w:r w:rsidR="00B35113" w:rsidRPr="004957B1">
        <w:rPr>
          <w:rFonts w:ascii="Palatino Linotype" w:eastAsia="Palatino Linotype" w:hAnsi="Palatino Linotype" w:cs="Palatino Linotype"/>
        </w:rPr>
        <w:lastRenderedPageBreak/>
        <w:t>de dos mil veinticuatro</w:t>
      </w:r>
      <w:r w:rsidRPr="004957B1">
        <w:rPr>
          <w:rFonts w:ascii="Palatino Linotype" w:eastAsia="Palatino Linotype" w:hAnsi="Palatino Linotype" w:cs="Palatino Linotype"/>
        </w:rPr>
        <w:t xml:space="preserve">, puso a disposición de las partes el expediente electrónico vía </w:t>
      </w:r>
      <w:r w:rsidRPr="004957B1">
        <w:rPr>
          <w:rFonts w:ascii="Palatino Linotype" w:eastAsia="Palatino Linotype" w:hAnsi="Palatino Linotype" w:cs="Palatino Linotype"/>
          <w:b/>
        </w:rPr>
        <w:t xml:space="preserve">SAIMEX </w:t>
      </w:r>
      <w:r w:rsidRPr="004957B1">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4957B1">
        <w:rPr>
          <w:rFonts w:ascii="Palatino Linotype" w:eastAsia="Palatino Linotype" w:hAnsi="Palatino Linotype" w:cs="Palatino Linotype"/>
          <w:b/>
        </w:rPr>
        <w:t>SUJETO OBLIGADO</w:t>
      </w:r>
      <w:r w:rsidRPr="004957B1">
        <w:rPr>
          <w:rFonts w:ascii="Palatino Linotype" w:eastAsia="Palatino Linotype" w:hAnsi="Palatino Linotype" w:cs="Palatino Linotype"/>
        </w:rPr>
        <w:t xml:space="preserve"> presentará el informe justificado procedente. </w:t>
      </w:r>
    </w:p>
    <w:p w:rsidR="000F1B65" w:rsidRPr="004957B1" w:rsidRDefault="000F1B65">
      <w:pPr>
        <w:rPr>
          <w:rFonts w:ascii="Palatino Linotype" w:eastAsia="Palatino Linotype" w:hAnsi="Palatino Linotype" w:cs="Palatino Linotype"/>
        </w:rPr>
      </w:pPr>
    </w:p>
    <w:p w:rsidR="000F1B65" w:rsidRPr="004957B1" w:rsidRDefault="00677A43">
      <w:pPr>
        <w:numPr>
          <w:ilvl w:val="0"/>
          <w:numId w:val="1"/>
        </w:numP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 xml:space="preserve">El </w:t>
      </w:r>
      <w:r w:rsidR="001A6AAA" w:rsidRPr="004957B1">
        <w:rPr>
          <w:rFonts w:ascii="Palatino Linotype" w:eastAsia="Palatino Linotype" w:hAnsi="Palatino Linotype" w:cs="Palatino Linotype"/>
        </w:rPr>
        <w:t xml:space="preserve">diecinueve de julio </w:t>
      </w:r>
      <w:r w:rsidR="00B35113" w:rsidRPr="004957B1">
        <w:rPr>
          <w:rFonts w:ascii="Palatino Linotype" w:eastAsia="Palatino Linotype" w:hAnsi="Palatino Linotype" w:cs="Palatino Linotype"/>
        </w:rPr>
        <w:t>de dos mil veinticuatro</w:t>
      </w:r>
      <w:r w:rsidR="005E216F" w:rsidRPr="004957B1">
        <w:rPr>
          <w:rFonts w:ascii="Palatino Linotype" w:eastAsia="Palatino Linotype" w:hAnsi="Palatino Linotype" w:cs="Palatino Linotype"/>
        </w:rPr>
        <w:t xml:space="preserve">, el </w:t>
      </w:r>
      <w:r w:rsidR="005E216F" w:rsidRPr="004957B1">
        <w:rPr>
          <w:rFonts w:ascii="Palatino Linotype" w:eastAsia="Palatino Linotype" w:hAnsi="Palatino Linotype" w:cs="Palatino Linotype"/>
          <w:b/>
        </w:rPr>
        <w:t>SUJETO OBLIGADO</w:t>
      </w:r>
      <w:r w:rsidRPr="004957B1">
        <w:rPr>
          <w:rFonts w:ascii="Palatino Linotype" w:eastAsia="Palatino Linotype" w:hAnsi="Palatino Linotype" w:cs="Palatino Linotype"/>
        </w:rPr>
        <w:t xml:space="preserve"> realizó las siguientes manifestaciones</w:t>
      </w:r>
      <w:r w:rsidR="00FC7CAE" w:rsidRPr="004957B1">
        <w:rPr>
          <w:rFonts w:ascii="Palatino Linotype" w:eastAsia="Palatino Linotype" w:hAnsi="Palatino Linotype" w:cs="Palatino Linotype"/>
        </w:rPr>
        <w:t xml:space="preserve"> </w:t>
      </w:r>
      <w:r w:rsidRPr="004957B1">
        <w:rPr>
          <w:rFonts w:ascii="Palatino Linotype" w:eastAsia="Palatino Linotype" w:hAnsi="Palatino Linotype" w:cs="Palatino Linotype"/>
        </w:rPr>
        <w:t>, por medio del</w:t>
      </w:r>
      <w:r w:rsidR="005E216F" w:rsidRPr="004957B1">
        <w:rPr>
          <w:rFonts w:ascii="Palatino Linotype" w:eastAsia="Palatino Linotype" w:hAnsi="Palatino Linotype" w:cs="Palatino Linotype"/>
        </w:rPr>
        <w:t xml:space="preserve"> archivo electrónico denominado</w:t>
      </w:r>
      <w:r w:rsidR="00B35113" w:rsidRPr="004957B1">
        <w:rPr>
          <w:rFonts w:ascii="Palatino Linotype" w:eastAsia="Palatino Linotype" w:hAnsi="Palatino Linotype" w:cs="Palatino Linotype"/>
          <w:b/>
        </w:rPr>
        <w:t>:</w:t>
      </w:r>
    </w:p>
    <w:p w:rsidR="00945FFA" w:rsidRPr="004957B1" w:rsidRDefault="00945FFA" w:rsidP="00945FFA">
      <w:pPr>
        <w:spacing w:line="360" w:lineRule="auto"/>
        <w:jc w:val="both"/>
        <w:rPr>
          <w:rFonts w:ascii="Palatino Linotype" w:eastAsia="Palatino Linotype" w:hAnsi="Palatino Linotype" w:cs="Palatino Linotype"/>
          <w:sz w:val="22"/>
          <w:szCs w:val="22"/>
        </w:rPr>
      </w:pPr>
    </w:p>
    <w:p w:rsidR="00FC7CAE" w:rsidRPr="004957B1" w:rsidRDefault="001A6AAA" w:rsidP="001A6AAA">
      <w:pPr>
        <w:pStyle w:val="Prrafodelista"/>
        <w:numPr>
          <w:ilvl w:val="0"/>
          <w:numId w:val="16"/>
        </w:numPr>
        <w:spacing w:line="360" w:lineRule="auto"/>
        <w:jc w:val="both"/>
        <w:rPr>
          <w:rFonts w:ascii="Palatino Linotype" w:eastAsia="Palatino Linotype" w:hAnsi="Palatino Linotype" w:cs="Palatino Linotype"/>
          <w:b/>
          <w:szCs w:val="22"/>
        </w:rPr>
      </w:pPr>
      <w:r w:rsidRPr="004957B1">
        <w:rPr>
          <w:rFonts w:ascii="Palatino Linotype" w:eastAsia="Palatino Linotype" w:hAnsi="Palatino Linotype" w:cs="Palatino Linotype"/>
          <w:b/>
          <w:szCs w:val="22"/>
        </w:rPr>
        <w:t xml:space="preserve">RESPUESTA 547 2023 RR 04358 2024 DESARROLLO URBANO.pdf: </w:t>
      </w:r>
      <w:r w:rsidRPr="004957B1">
        <w:rPr>
          <w:rFonts w:ascii="Palatino Linotype" w:eastAsia="Palatino Linotype" w:hAnsi="Palatino Linotype" w:cs="Palatino Linotype"/>
          <w:szCs w:val="22"/>
        </w:rPr>
        <w:t xml:space="preserve">Contiene oficio suscrito por el Director de Desarrollo Territorial y Urbano, dirigido al Titular de la Unidad de </w:t>
      </w:r>
      <w:r w:rsidR="00381520" w:rsidRPr="004957B1">
        <w:rPr>
          <w:rFonts w:ascii="Palatino Linotype" w:eastAsia="Palatino Linotype" w:hAnsi="Palatino Linotype" w:cs="Palatino Linotype"/>
          <w:szCs w:val="22"/>
        </w:rPr>
        <w:t>Transparencia</w:t>
      </w:r>
      <w:r w:rsidRPr="004957B1">
        <w:rPr>
          <w:rFonts w:ascii="Palatino Linotype" w:eastAsia="Palatino Linotype" w:hAnsi="Palatino Linotype" w:cs="Palatino Linotype"/>
          <w:szCs w:val="22"/>
        </w:rPr>
        <w:t xml:space="preserve"> y Acceso a la Información Pública, mediante el cual le hace del conocimiento lo siguiente: “… esta Dirección de Desarrollo Territorial y Urbano, en cuanto a las atribuciones que lo facultan, no ha proporcionado permiso alguno para construcción en el lugar ubicado en el cauce y zona federal del Rio San Francisco, específicamente a la altura del predio ubicado en Primera </w:t>
      </w:r>
      <w:r w:rsidR="00381520" w:rsidRPr="004957B1">
        <w:rPr>
          <w:rFonts w:ascii="Palatino Linotype" w:eastAsia="Palatino Linotype" w:hAnsi="Palatino Linotype" w:cs="Palatino Linotype"/>
          <w:szCs w:val="22"/>
        </w:rPr>
        <w:t>Cerrada</w:t>
      </w:r>
      <w:r w:rsidRPr="004957B1">
        <w:rPr>
          <w:rFonts w:ascii="Palatino Linotype" w:eastAsia="Palatino Linotype" w:hAnsi="Palatino Linotype" w:cs="Palatino Linotype"/>
          <w:szCs w:val="22"/>
        </w:rPr>
        <w:t xml:space="preserve"> del Tablón sin número, colonia el Tablón</w:t>
      </w:r>
      <w:r w:rsidR="00381520" w:rsidRPr="004957B1">
        <w:rPr>
          <w:rFonts w:ascii="Palatino Linotype" w:eastAsia="Palatino Linotype" w:hAnsi="Palatino Linotype" w:cs="Palatino Linotype"/>
          <w:szCs w:val="22"/>
        </w:rPr>
        <w:t>, Municipio de Ixtapaluca Estado de México, en las coordenadas geográficas LN 197956.7,LW 9857583.”</w:t>
      </w:r>
    </w:p>
    <w:p w:rsidR="00381520" w:rsidRPr="004957B1" w:rsidRDefault="00381520" w:rsidP="00381520">
      <w:pPr>
        <w:pStyle w:val="Prrafodelista"/>
        <w:spacing w:line="360" w:lineRule="auto"/>
        <w:jc w:val="both"/>
        <w:rPr>
          <w:rFonts w:ascii="Palatino Linotype" w:eastAsia="Palatino Linotype" w:hAnsi="Palatino Linotype" w:cs="Palatino Linotype"/>
          <w:b/>
          <w:szCs w:val="22"/>
        </w:rPr>
      </w:pPr>
    </w:p>
    <w:p w:rsidR="000F1B65" w:rsidRPr="004957B1" w:rsidRDefault="00FD1058">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 xml:space="preserve">El </w:t>
      </w:r>
      <w:r w:rsidR="004D063B" w:rsidRPr="004957B1">
        <w:rPr>
          <w:rFonts w:ascii="Palatino Linotype" w:eastAsia="Palatino Linotype" w:hAnsi="Palatino Linotype" w:cs="Palatino Linotype"/>
        </w:rPr>
        <w:t>veintiséis</w:t>
      </w:r>
      <w:r w:rsidR="00CD3A74" w:rsidRPr="004957B1">
        <w:rPr>
          <w:rFonts w:ascii="Palatino Linotype" w:eastAsia="Palatino Linotype" w:hAnsi="Palatino Linotype" w:cs="Palatino Linotype"/>
        </w:rPr>
        <w:t xml:space="preserve"> de noviembre</w:t>
      </w:r>
      <w:r w:rsidR="00A856CE" w:rsidRPr="004957B1">
        <w:rPr>
          <w:rFonts w:ascii="Palatino Linotype" w:eastAsia="Palatino Linotype" w:hAnsi="Palatino Linotype" w:cs="Palatino Linotype"/>
        </w:rPr>
        <w:t xml:space="preserve"> de dos mil veinticuatro</w:t>
      </w:r>
      <w:r w:rsidR="005E216F" w:rsidRPr="004957B1">
        <w:rPr>
          <w:rFonts w:ascii="Palatino Linotype" w:eastAsia="Palatino Linotype" w:hAnsi="Palatino Linotype" w:cs="Palatino Linotype"/>
        </w:rPr>
        <w:t>, se notificó el acuerdo mediante el cual se amplió el plazo para emitir resolución por un periodo de quince días hábiles.</w:t>
      </w:r>
    </w:p>
    <w:p w:rsidR="000F1B65" w:rsidRPr="004957B1" w:rsidRDefault="000F1B65">
      <w:pPr>
        <w:pBdr>
          <w:top w:val="nil"/>
          <w:left w:val="nil"/>
          <w:bottom w:val="nil"/>
          <w:right w:val="nil"/>
          <w:between w:val="nil"/>
        </w:pBdr>
        <w:tabs>
          <w:tab w:val="left" w:pos="426"/>
        </w:tabs>
        <w:spacing w:line="360" w:lineRule="auto"/>
        <w:rPr>
          <w:rFonts w:ascii="Palatino Linotype" w:eastAsia="Palatino Linotype" w:hAnsi="Palatino Linotype" w:cs="Palatino Linotype"/>
        </w:rPr>
      </w:pPr>
    </w:p>
    <w:p w:rsidR="000F1B65" w:rsidRPr="004957B1" w:rsidRDefault="005E216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circunstancia atípica que ha rebasado las capacidades técnicas y </w:t>
      </w:r>
      <w:r w:rsidRPr="004957B1">
        <w:rPr>
          <w:rFonts w:ascii="Palatino Linotype" w:eastAsia="Palatino Linotype" w:hAnsi="Palatino Linotype" w:cs="Palatino Linotype"/>
        </w:rPr>
        <w:lastRenderedPageBreak/>
        <w:t>humanas del personal encargado de la proyección de las resoluciones a dichos medios de impugnación.</w:t>
      </w:r>
    </w:p>
    <w:p w:rsidR="00D0312C" w:rsidRPr="004957B1" w:rsidRDefault="00D0312C" w:rsidP="00D0312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rsidR="000F1B65" w:rsidRPr="004957B1" w:rsidRDefault="005E216F">
      <w:pPr>
        <w:numPr>
          <w:ilvl w:val="0"/>
          <w:numId w:val="1"/>
        </w:numPr>
        <w:pBdr>
          <w:top w:val="nil"/>
          <w:left w:val="nil"/>
          <w:bottom w:val="nil"/>
          <w:right w:val="nil"/>
          <w:between w:val="nil"/>
        </w:pBdr>
        <w:spacing w:line="360" w:lineRule="auto"/>
        <w:ind w:left="0" w:hanging="11"/>
        <w:jc w:val="both"/>
        <w:rPr>
          <w:rFonts w:ascii="Palatino Linotype" w:eastAsia="Palatino Linotype" w:hAnsi="Palatino Linotype" w:cs="Palatino Linotype"/>
          <w:b/>
        </w:rPr>
      </w:pPr>
      <w:r w:rsidRPr="004957B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0F1B65" w:rsidRPr="004957B1" w:rsidRDefault="000F1B65">
      <w:pPr>
        <w:pBdr>
          <w:top w:val="nil"/>
          <w:left w:val="nil"/>
          <w:bottom w:val="nil"/>
          <w:right w:val="nil"/>
          <w:between w:val="nil"/>
        </w:pBdr>
        <w:spacing w:line="360" w:lineRule="auto"/>
        <w:rPr>
          <w:rFonts w:ascii="Palatino Linotype" w:eastAsia="Palatino Linotype" w:hAnsi="Palatino Linotype" w:cs="Palatino Linotype"/>
        </w:rPr>
      </w:pPr>
    </w:p>
    <w:p w:rsidR="000F1B65" w:rsidRPr="004957B1"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F1B65" w:rsidRPr="004957B1" w:rsidRDefault="000F1B65">
      <w:pPr>
        <w:pBdr>
          <w:top w:val="nil"/>
          <w:left w:val="nil"/>
          <w:bottom w:val="nil"/>
          <w:right w:val="nil"/>
          <w:between w:val="nil"/>
        </w:pBdr>
        <w:spacing w:line="360" w:lineRule="auto"/>
        <w:rPr>
          <w:rFonts w:ascii="Palatino Linotype" w:eastAsia="Palatino Linotype" w:hAnsi="Palatino Linotype" w:cs="Palatino Linotype"/>
        </w:rPr>
      </w:pPr>
    </w:p>
    <w:p w:rsidR="000F1B65" w:rsidRPr="004957B1"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0F1B65" w:rsidRPr="004957B1" w:rsidRDefault="000F1B65">
      <w:pPr>
        <w:pBdr>
          <w:top w:val="nil"/>
          <w:left w:val="nil"/>
          <w:bottom w:val="nil"/>
          <w:right w:val="nil"/>
          <w:between w:val="nil"/>
        </w:pBdr>
        <w:spacing w:line="360" w:lineRule="auto"/>
        <w:rPr>
          <w:rFonts w:ascii="Palatino Linotype" w:eastAsia="Palatino Linotype" w:hAnsi="Palatino Linotype" w:cs="Palatino Linotype"/>
          <w:sz w:val="22"/>
          <w:szCs w:val="22"/>
        </w:rPr>
      </w:pPr>
    </w:p>
    <w:p w:rsidR="000F1B65" w:rsidRPr="004957B1"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rsidR="00F43972" w:rsidRPr="004957B1" w:rsidRDefault="00F43972" w:rsidP="00F4397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0F1B65" w:rsidRPr="004957B1" w:rsidRDefault="005E216F">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4957B1">
        <w:rPr>
          <w:rFonts w:ascii="Palatino Linotype" w:eastAsia="Palatino Linotype" w:hAnsi="Palatino Linotype" w:cs="Palatino Linotype"/>
          <w:sz w:val="22"/>
          <w:szCs w:val="22"/>
        </w:rPr>
        <w:lastRenderedPageBreak/>
        <w:t>a) Complejidad del asunto: La complejidad de la prueba, la pluralidad de sujetos procesales, el tiempo transcurrido, las características y contexto del recurso.</w:t>
      </w:r>
    </w:p>
    <w:p w:rsidR="000F1B65" w:rsidRPr="004957B1" w:rsidRDefault="005E216F">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4957B1">
        <w:rPr>
          <w:rFonts w:ascii="Palatino Linotype" w:eastAsia="Palatino Linotype" w:hAnsi="Palatino Linotype" w:cs="Palatino Linotype"/>
          <w:sz w:val="22"/>
          <w:szCs w:val="22"/>
        </w:rPr>
        <w:t>b) Actividad Procesal del interesado: Acciones u omisiones del interesado.</w:t>
      </w:r>
    </w:p>
    <w:p w:rsidR="000F1B65" w:rsidRPr="004957B1" w:rsidRDefault="005E216F">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4957B1">
        <w:rPr>
          <w:rFonts w:ascii="Palatino Linotype" w:eastAsia="Palatino Linotype" w:hAnsi="Palatino Linotype" w:cs="Palatino Linotype"/>
          <w:sz w:val="22"/>
          <w:szCs w:val="22"/>
        </w:rPr>
        <w:t>c) Conducta de la Autoridad: Las Acciones u omisiones realizadas en el procedimiento. Así como si la autoridad actuó con la debida diligencia.</w:t>
      </w:r>
    </w:p>
    <w:p w:rsidR="000F1B65" w:rsidRPr="004957B1" w:rsidRDefault="005E216F">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4957B1">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0F1B65" w:rsidRPr="004957B1" w:rsidRDefault="000F1B65">
      <w:pPr>
        <w:pBdr>
          <w:top w:val="nil"/>
          <w:left w:val="nil"/>
          <w:bottom w:val="nil"/>
          <w:right w:val="nil"/>
          <w:between w:val="nil"/>
        </w:pBdr>
        <w:spacing w:line="360" w:lineRule="auto"/>
        <w:rPr>
          <w:rFonts w:ascii="Palatino Linotype" w:eastAsia="Palatino Linotype" w:hAnsi="Palatino Linotype" w:cs="Palatino Linotype"/>
          <w:sz w:val="22"/>
          <w:szCs w:val="22"/>
        </w:rPr>
      </w:pPr>
    </w:p>
    <w:p w:rsidR="000F1B65" w:rsidRPr="004957B1"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F1B65" w:rsidRPr="004957B1" w:rsidRDefault="000F1B65">
      <w:pPr>
        <w:pBdr>
          <w:top w:val="nil"/>
          <w:left w:val="nil"/>
          <w:bottom w:val="nil"/>
          <w:right w:val="nil"/>
          <w:between w:val="nil"/>
        </w:pBdr>
        <w:spacing w:line="360" w:lineRule="auto"/>
        <w:ind w:left="644"/>
        <w:jc w:val="both"/>
        <w:rPr>
          <w:rFonts w:ascii="Palatino Linotype" w:eastAsia="Palatino Linotype" w:hAnsi="Palatino Linotype" w:cs="Palatino Linotype"/>
        </w:rPr>
      </w:pPr>
    </w:p>
    <w:p w:rsidR="000F1B65" w:rsidRPr="004957B1"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Argumento que encuentra sustento en la jurisprudencia P</w:t>
      </w:r>
      <w:proofErr w:type="gramStart"/>
      <w:r w:rsidRPr="004957B1">
        <w:rPr>
          <w:rFonts w:ascii="Palatino Linotype" w:eastAsia="Palatino Linotype" w:hAnsi="Palatino Linotype" w:cs="Palatino Linotype"/>
        </w:rPr>
        <w:t>./</w:t>
      </w:r>
      <w:proofErr w:type="gramEnd"/>
      <w:r w:rsidRPr="004957B1">
        <w:rPr>
          <w:rFonts w:ascii="Palatino Linotype" w:eastAsia="Palatino Linotype" w:hAnsi="Palatino Linotype" w:cs="Palatino Linotype"/>
        </w:rPr>
        <w:t>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0F1B65" w:rsidRPr="004957B1" w:rsidRDefault="000F1B65">
      <w:pPr>
        <w:pBdr>
          <w:top w:val="nil"/>
          <w:left w:val="nil"/>
          <w:bottom w:val="nil"/>
          <w:right w:val="nil"/>
          <w:between w:val="nil"/>
        </w:pBdr>
        <w:spacing w:line="360" w:lineRule="auto"/>
        <w:rPr>
          <w:rFonts w:ascii="Palatino Linotype" w:eastAsia="Palatino Linotype" w:hAnsi="Palatino Linotype" w:cs="Palatino Linotype"/>
        </w:rPr>
      </w:pPr>
    </w:p>
    <w:p w:rsidR="000F1B65" w:rsidRPr="004957B1"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4957B1">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F1B65" w:rsidRPr="004957B1" w:rsidRDefault="000F1B65">
      <w:pPr>
        <w:pBdr>
          <w:top w:val="nil"/>
          <w:left w:val="nil"/>
          <w:bottom w:val="nil"/>
          <w:right w:val="nil"/>
          <w:between w:val="nil"/>
        </w:pBdr>
        <w:spacing w:line="360" w:lineRule="auto"/>
        <w:jc w:val="both"/>
        <w:rPr>
          <w:rFonts w:ascii="Palatino Linotype" w:eastAsia="Palatino Linotype" w:hAnsi="Palatino Linotype" w:cs="Palatino Linotype"/>
        </w:rPr>
      </w:pPr>
    </w:p>
    <w:p w:rsidR="000F1B65" w:rsidRPr="004957B1"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F43972" w:rsidRPr="004957B1" w:rsidRDefault="00F43972" w:rsidP="00F4397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0F1B65" w:rsidRPr="004957B1" w:rsidRDefault="005E216F">
      <w:pPr>
        <w:pBdr>
          <w:top w:val="nil"/>
          <w:left w:val="nil"/>
          <w:bottom w:val="nil"/>
          <w:right w:val="nil"/>
          <w:between w:val="nil"/>
        </w:pBdr>
        <w:ind w:left="567" w:right="399"/>
        <w:rPr>
          <w:rFonts w:ascii="Palatino Linotype" w:eastAsia="Palatino Linotype" w:hAnsi="Palatino Linotype" w:cs="Palatino Linotype"/>
          <w:sz w:val="22"/>
          <w:szCs w:val="22"/>
        </w:rPr>
      </w:pPr>
      <w:r w:rsidRPr="004957B1">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rsidR="000F1B65" w:rsidRPr="004957B1" w:rsidRDefault="000F1B65">
      <w:pPr>
        <w:pBdr>
          <w:top w:val="nil"/>
          <w:left w:val="nil"/>
          <w:bottom w:val="nil"/>
          <w:right w:val="nil"/>
          <w:between w:val="nil"/>
        </w:pBdr>
        <w:ind w:left="567" w:right="399"/>
        <w:rPr>
          <w:rFonts w:ascii="Palatino Linotype" w:eastAsia="Palatino Linotype" w:hAnsi="Palatino Linotype" w:cs="Palatino Linotype"/>
          <w:sz w:val="22"/>
          <w:szCs w:val="22"/>
        </w:rPr>
      </w:pPr>
    </w:p>
    <w:p w:rsidR="000F1B65" w:rsidRPr="004957B1" w:rsidRDefault="005E216F">
      <w:pPr>
        <w:pBdr>
          <w:top w:val="nil"/>
          <w:left w:val="nil"/>
          <w:bottom w:val="nil"/>
          <w:right w:val="nil"/>
          <w:between w:val="nil"/>
        </w:pBdr>
        <w:spacing w:after="240"/>
        <w:ind w:left="567" w:right="399"/>
        <w:rPr>
          <w:rFonts w:ascii="Palatino Linotype" w:eastAsia="Palatino Linotype" w:hAnsi="Palatino Linotype" w:cs="Palatino Linotype"/>
          <w:sz w:val="22"/>
          <w:szCs w:val="22"/>
        </w:rPr>
      </w:pPr>
      <w:r w:rsidRPr="004957B1">
        <w:rPr>
          <w:rFonts w:ascii="Palatino Linotype" w:eastAsia="Palatino Linotype" w:hAnsi="Palatino Linotype" w:cs="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rsidR="000F1B65" w:rsidRPr="004957B1" w:rsidRDefault="000F1B65">
      <w:pPr>
        <w:spacing w:before="240" w:after="240"/>
        <w:rPr>
          <w:rFonts w:ascii="Palatino Linotype" w:eastAsia="Palatino Linotype" w:hAnsi="Palatino Linotype" w:cs="Palatino Linotype"/>
          <w:sz w:val="22"/>
          <w:szCs w:val="22"/>
        </w:rPr>
      </w:pPr>
    </w:p>
    <w:p w:rsidR="000F1B65" w:rsidRPr="004957B1" w:rsidRDefault="005E216F">
      <w:pPr>
        <w:numPr>
          <w:ilvl w:val="0"/>
          <w:numId w:val="1"/>
        </w:numPr>
        <w:spacing w:line="360" w:lineRule="auto"/>
        <w:ind w:left="0" w:firstLine="0"/>
        <w:jc w:val="both"/>
        <w:rPr>
          <w:rFonts w:ascii="Palatino Linotype" w:eastAsia="Palatino Linotype" w:hAnsi="Palatino Linotype" w:cs="Palatino Linotype"/>
          <w:b/>
        </w:rPr>
      </w:pPr>
      <w:r w:rsidRPr="004957B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0F1B65" w:rsidRPr="004957B1" w:rsidRDefault="000F1B65">
      <w:pPr>
        <w:spacing w:line="360" w:lineRule="auto"/>
        <w:jc w:val="both"/>
        <w:rPr>
          <w:rFonts w:ascii="Palatino Linotype" w:eastAsia="Palatino Linotype" w:hAnsi="Palatino Linotype" w:cs="Palatino Linotype"/>
          <w:b/>
          <w:u w:val="single"/>
        </w:rPr>
      </w:pPr>
    </w:p>
    <w:p w:rsidR="000F1B65" w:rsidRPr="004957B1" w:rsidRDefault="005E216F">
      <w:pPr>
        <w:numPr>
          <w:ilvl w:val="0"/>
          <w:numId w:val="1"/>
        </w:numPr>
        <w:spacing w:line="360" w:lineRule="auto"/>
        <w:ind w:left="0" w:firstLine="0"/>
        <w:jc w:val="both"/>
        <w:rPr>
          <w:rFonts w:ascii="Palatino Linotype" w:eastAsia="Palatino Linotype" w:hAnsi="Palatino Linotype" w:cs="Palatino Linotype"/>
          <w:b/>
        </w:rPr>
      </w:pPr>
      <w:bookmarkStart w:id="2" w:name="_heading=h.1fob9te" w:colFirst="0" w:colLast="0"/>
      <w:bookmarkEnd w:id="2"/>
      <w:r w:rsidRPr="004957B1">
        <w:rPr>
          <w:rFonts w:ascii="Palatino Linotype" w:eastAsia="Palatino Linotype" w:hAnsi="Palatino Linotype" w:cs="Palatino Linotype"/>
        </w:rPr>
        <w:lastRenderedPageBreak/>
        <w:t>La Comisionada Ponente decretó el cierre de instrucción me</w:t>
      </w:r>
      <w:r w:rsidR="004D063B" w:rsidRPr="004957B1">
        <w:rPr>
          <w:rFonts w:ascii="Palatino Linotype" w:eastAsia="Palatino Linotype" w:hAnsi="Palatino Linotype" w:cs="Palatino Linotype"/>
        </w:rPr>
        <w:t>diante el acuerdo del dos</w:t>
      </w:r>
      <w:r w:rsidR="00CD3A74" w:rsidRPr="004957B1">
        <w:rPr>
          <w:rFonts w:ascii="Palatino Linotype" w:eastAsia="Palatino Linotype" w:hAnsi="Palatino Linotype" w:cs="Palatino Linotype"/>
        </w:rPr>
        <w:t xml:space="preserve"> de </w:t>
      </w:r>
      <w:r w:rsidR="004D063B" w:rsidRPr="004957B1">
        <w:rPr>
          <w:rFonts w:ascii="Palatino Linotype" w:eastAsia="Palatino Linotype" w:hAnsi="Palatino Linotype" w:cs="Palatino Linotype"/>
        </w:rPr>
        <w:t>diciembre</w:t>
      </w:r>
      <w:r w:rsidRPr="004957B1">
        <w:rPr>
          <w:rFonts w:ascii="Palatino Linotype" w:eastAsia="Palatino Linotype" w:hAnsi="Palatino Linotype" w:cs="Palatino Linotype"/>
        </w:rPr>
        <w:t xml:space="preserve"> de dos mil veinticuatro.------------------------</w:t>
      </w:r>
      <w:r w:rsidR="000A136E" w:rsidRPr="004957B1">
        <w:rPr>
          <w:rFonts w:ascii="Palatino Linotype" w:eastAsia="Palatino Linotype" w:hAnsi="Palatino Linotype" w:cs="Palatino Linotype"/>
        </w:rPr>
        <w:t>--------------------</w:t>
      </w:r>
    </w:p>
    <w:p w:rsidR="000F1B65" w:rsidRPr="004957B1" w:rsidRDefault="000F1B65">
      <w:pPr>
        <w:spacing w:line="360" w:lineRule="auto"/>
        <w:jc w:val="both"/>
        <w:rPr>
          <w:rFonts w:ascii="Palatino Linotype" w:eastAsia="Palatino Linotype" w:hAnsi="Palatino Linotype" w:cs="Palatino Linotype"/>
          <w:b/>
          <w:sz w:val="22"/>
          <w:szCs w:val="22"/>
          <w:u w:val="single"/>
        </w:rPr>
      </w:pPr>
    </w:p>
    <w:p w:rsidR="000F1B65" w:rsidRPr="004957B1" w:rsidRDefault="005E216F">
      <w:pPr>
        <w:keepNext/>
        <w:keepLines/>
        <w:spacing w:line="360" w:lineRule="auto"/>
        <w:jc w:val="center"/>
        <w:rPr>
          <w:rFonts w:ascii="Palatino Linotype" w:eastAsia="Palatino Linotype" w:hAnsi="Palatino Linotype" w:cs="Palatino Linotype"/>
          <w:sz w:val="22"/>
          <w:szCs w:val="22"/>
        </w:rPr>
      </w:pPr>
      <w:r w:rsidRPr="004957B1">
        <w:rPr>
          <w:rFonts w:ascii="Palatino Linotype" w:eastAsia="Palatino Linotype" w:hAnsi="Palatino Linotype" w:cs="Palatino Linotype"/>
          <w:b/>
          <w:sz w:val="22"/>
          <w:szCs w:val="22"/>
        </w:rPr>
        <w:t xml:space="preserve">C O N S I D E R A N D O </w:t>
      </w:r>
    </w:p>
    <w:p w:rsidR="000F1B65" w:rsidRPr="004957B1" w:rsidRDefault="000F1B65">
      <w:pPr>
        <w:spacing w:line="360" w:lineRule="auto"/>
        <w:rPr>
          <w:rFonts w:ascii="Palatino Linotype" w:eastAsia="Palatino Linotype" w:hAnsi="Palatino Linotype" w:cs="Palatino Linotype"/>
          <w:sz w:val="22"/>
          <w:szCs w:val="22"/>
        </w:rPr>
      </w:pPr>
    </w:p>
    <w:p w:rsidR="000F1B65" w:rsidRPr="004957B1" w:rsidRDefault="005E216F">
      <w:pPr>
        <w:keepNext/>
        <w:keepLines/>
        <w:spacing w:line="360" w:lineRule="auto"/>
        <w:rPr>
          <w:rFonts w:ascii="Palatino Linotype" w:eastAsia="Palatino Linotype" w:hAnsi="Palatino Linotype" w:cs="Palatino Linotype"/>
          <w:b/>
        </w:rPr>
      </w:pPr>
      <w:bookmarkStart w:id="3" w:name="_heading=h.3znysh7" w:colFirst="0" w:colLast="0"/>
      <w:bookmarkEnd w:id="3"/>
      <w:r w:rsidRPr="004957B1">
        <w:rPr>
          <w:rFonts w:ascii="Palatino Linotype" w:eastAsia="Palatino Linotype" w:hAnsi="Palatino Linotype" w:cs="Palatino Linotype"/>
          <w:b/>
        </w:rPr>
        <w:t>PRIMERO. De la competencia</w:t>
      </w:r>
    </w:p>
    <w:p w:rsidR="000F1B65" w:rsidRPr="004957B1" w:rsidRDefault="005E216F">
      <w:pPr>
        <w:numPr>
          <w:ilvl w:val="0"/>
          <w:numId w:val="1"/>
        </w:numPr>
        <w:spacing w:line="360" w:lineRule="auto"/>
        <w:ind w:left="0"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0F1B65" w:rsidRPr="004957B1" w:rsidRDefault="000F1B65">
      <w:pPr>
        <w:spacing w:line="360" w:lineRule="auto"/>
        <w:jc w:val="both"/>
        <w:rPr>
          <w:rFonts w:ascii="Palatino Linotype" w:eastAsia="Palatino Linotype" w:hAnsi="Palatino Linotype" w:cs="Palatino Linotype"/>
        </w:rPr>
      </w:pPr>
    </w:p>
    <w:p w:rsidR="000F1B65" w:rsidRPr="004957B1" w:rsidRDefault="005E216F">
      <w:pPr>
        <w:keepNext/>
        <w:keepLines/>
        <w:spacing w:line="360" w:lineRule="auto"/>
        <w:rPr>
          <w:rFonts w:ascii="Palatino Linotype" w:eastAsia="Palatino Linotype" w:hAnsi="Palatino Linotype" w:cs="Palatino Linotype"/>
          <w:b/>
        </w:rPr>
      </w:pPr>
      <w:bookmarkStart w:id="4" w:name="_heading=h.2et92p0" w:colFirst="0" w:colLast="0"/>
      <w:bookmarkEnd w:id="4"/>
      <w:r w:rsidRPr="004957B1">
        <w:rPr>
          <w:rFonts w:ascii="Palatino Linotype" w:eastAsia="Palatino Linotype" w:hAnsi="Palatino Linotype" w:cs="Palatino Linotype"/>
          <w:b/>
        </w:rPr>
        <w:t>SEGUNDO. De la oportunidad y procedencia.</w:t>
      </w:r>
    </w:p>
    <w:p w:rsidR="000F1B65" w:rsidRPr="004957B1" w:rsidRDefault="005E216F">
      <w:pPr>
        <w:numPr>
          <w:ilvl w:val="0"/>
          <w:numId w:val="1"/>
        </w:numPr>
        <w:spacing w:line="360" w:lineRule="auto"/>
        <w:ind w:left="0" w:right="49" w:firstLine="0"/>
        <w:jc w:val="both"/>
        <w:rPr>
          <w:rFonts w:ascii="Palatino Linotype" w:eastAsia="Palatino Linotype" w:hAnsi="Palatino Linotype" w:cs="Palatino Linotype"/>
        </w:rPr>
      </w:pPr>
      <w:r w:rsidRPr="004957B1">
        <w:rPr>
          <w:rFonts w:ascii="Palatino Linotype" w:eastAsia="Palatino Linotype" w:hAnsi="Palatino Linotype" w:cs="Palatino Linotype"/>
        </w:rPr>
        <w:t xml:space="preserve">El medio de impugnación fue presentado a través del </w:t>
      </w:r>
      <w:r w:rsidRPr="004957B1">
        <w:rPr>
          <w:rFonts w:ascii="Palatino Linotype" w:eastAsia="Palatino Linotype" w:hAnsi="Palatino Linotype" w:cs="Palatino Linotype"/>
          <w:b/>
        </w:rPr>
        <w:t>SAIMEX,</w:t>
      </w:r>
      <w:r w:rsidRPr="004957B1">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4957B1">
        <w:rPr>
          <w:rFonts w:ascii="Palatino Linotype" w:eastAsia="Palatino Linotype" w:hAnsi="Palatino Linotype" w:cs="Palatino Linotype"/>
          <w:b/>
        </w:rPr>
        <w:t>SUJETO OBLIGADO</w:t>
      </w:r>
      <w:r w:rsidRPr="004957B1">
        <w:rPr>
          <w:rFonts w:ascii="Palatino Linotype" w:eastAsia="Palatino Linotype" w:hAnsi="Palatino Linotype" w:cs="Palatino Linotype"/>
        </w:rPr>
        <w:t xml:space="preserve"> entregó res</w:t>
      </w:r>
      <w:r w:rsidR="00CD3A74" w:rsidRPr="004957B1">
        <w:rPr>
          <w:rFonts w:ascii="Palatino Linotype" w:eastAsia="Palatino Linotype" w:hAnsi="Palatino Linotype" w:cs="Palatino Linotype"/>
        </w:rPr>
        <w:t>pues</w:t>
      </w:r>
      <w:r w:rsidR="004D063B" w:rsidRPr="004957B1">
        <w:rPr>
          <w:rFonts w:ascii="Palatino Linotype" w:eastAsia="Palatino Linotype" w:hAnsi="Palatino Linotype" w:cs="Palatino Linotype"/>
        </w:rPr>
        <w:t xml:space="preserve">ta </w:t>
      </w:r>
      <w:r w:rsidR="00381520" w:rsidRPr="004957B1">
        <w:rPr>
          <w:rFonts w:ascii="Palatino Linotype" w:eastAsia="Palatino Linotype" w:hAnsi="Palatino Linotype" w:cs="Palatino Linotype"/>
        </w:rPr>
        <w:t>a la solicitud el nueve de enero</w:t>
      </w:r>
      <w:r w:rsidR="00CD3A74" w:rsidRPr="004957B1">
        <w:rPr>
          <w:rFonts w:ascii="Palatino Linotype" w:eastAsia="Palatino Linotype" w:hAnsi="Palatino Linotype" w:cs="Palatino Linotype"/>
        </w:rPr>
        <w:t xml:space="preserve"> de dos mil veinticuatro</w:t>
      </w:r>
      <w:r w:rsidRPr="004957B1">
        <w:rPr>
          <w:rFonts w:ascii="Palatino Linotype" w:eastAsia="Palatino Linotype" w:hAnsi="Palatino Linotype" w:cs="Palatino Linotype"/>
        </w:rPr>
        <w:t>, de tal forma que el plazo para interponer el recurso de revisión transc</w:t>
      </w:r>
      <w:r w:rsidR="00381520" w:rsidRPr="004957B1">
        <w:rPr>
          <w:rFonts w:ascii="Palatino Linotype" w:eastAsia="Palatino Linotype" w:hAnsi="Palatino Linotype" w:cs="Palatino Linotype"/>
        </w:rPr>
        <w:t>urrió del doce de enero  al primero de febrero</w:t>
      </w:r>
      <w:r w:rsidR="00CD3A74" w:rsidRPr="004957B1">
        <w:rPr>
          <w:rFonts w:ascii="Palatino Linotype" w:eastAsia="Palatino Linotype" w:hAnsi="Palatino Linotype" w:cs="Palatino Linotype"/>
        </w:rPr>
        <w:t xml:space="preserve"> de dos mil veinticuatro</w:t>
      </w:r>
      <w:r w:rsidRPr="004957B1">
        <w:rPr>
          <w:rFonts w:ascii="Palatino Linotype" w:eastAsia="Palatino Linotype" w:hAnsi="Palatino Linotype" w:cs="Palatino Linotype"/>
        </w:rPr>
        <w:t>; en consecuencia, presentó su inconfo</w:t>
      </w:r>
      <w:r w:rsidR="00381520" w:rsidRPr="004957B1">
        <w:rPr>
          <w:rFonts w:ascii="Palatino Linotype" w:eastAsia="Palatino Linotype" w:hAnsi="Palatino Linotype" w:cs="Palatino Linotype"/>
        </w:rPr>
        <w:t>rmidad el diez de julio</w:t>
      </w:r>
      <w:r w:rsidR="00CD3A74" w:rsidRPr="004957B1">
        <w:rPr>
          <w:rFonts w:ascii="Palatino Linotype" w:eastAsia="Palatino Linotype" w:hAnsi="Palatino Linotype" w:cs="Palatino Linotype"/>
        </w:rPr>
        <w:t xml:space="preserve"> de dos mil </w:t>
      </w:r>
      <w:r w:rsidR="00CD3A74" w:rsidRPr="004957B1">
        <w:rPr>
          <w:rFonts w:ascii="Palatino Linotype" w:eastAsia="Palatino Linotype" w:hAnsi="Palatino Linotype" w:cs="Palatino Linotype"/>
        </w:rPr>
        <w:lastRenderedPageBreak/>
        <w:t>veinticuatro</w:t>
      </w:r>
      <w:r w:rsidRPr="004957B1">
        <w:rPr>
          <w:rFonts w:ascii="Palatino Linotype" w:eastAsia="Palatino Linotype" w:hAnsi="Palatino Linotype" w:cs="Palatino Linotype"/>
        </w:rPr>
        <w:t xml:space="preserve">, por lo que se encuentra dentro de los márgenes temporales previstos en el artículo 178 de la </w:t>
      </w:r>
      <w:r w:rsidRPr="004957B1">
        <w:rPr>
          <w:rFonts w:ascii="Palatino Linotype" w:eastAsia="Palatino Linotype" w:hAnsi="Palatino Linotype" w:cs="Palatino Linotype"/>
          <w:b/>
        </w:rPr>
        <w:t xml:space="preserve">Ley de Transparencia y Acceso a la Información Pública del Estado de México y Municipios </w:t>
      </w:r>
      <w:r w:rsidRPr="004957B1">
        <w:rPr>
          <w:rFonts w:ascii="Palatino Linotype" w:eastAsia="Palatino Linotype" w:hAnsi="Palatino Linotype" w:cs="Palatino Linotype"/>
        </w:rPr>
        <w:t>vigente.</w:t>
      </w:r>
    </w:p>
    <w:p w:rsidR="000F1B65" w:rsidRPr="004957B1" w:rsidRDefault="000F1B65">
      <w:pPr>
        <w:spacing w:line="360" w:lineRule="auto"/>
        <w:ind w:right="49"/>
        <w:jc w:val="both"/>
        <w:rPr>
          <w:rFonts w:ascii="Palatino Linotype" w:eastAsia="Palatino Linotype" w:hAnsi="Palatino Linotype" w:cs="Palatino Linotype"/>
        </w:rPr>
      </w:pPr>
    </w:p>
    <w:p w:rsidR="000F1B65" w:rsidRPr="004957B1" w:rsidRDefault="005E216F">
      <w:pPr>
        <w:numPr>
          <w:ilvl w:val="0"/>
          <w:numId w:val="1"/>
        </w:numPr>
        <w:spacing w:line="360" w:lineRule="auto"/>
        <w:ind w:left="0" w:right="49" w:firstLine="0"/>
        <w:jc w:val="both"/>
        <w:rPr>
          <w:rFonts w:ascii="Palatino Linotype" w:eastAsia="Palatino Linotype" w:hAnsi="Palatino Linotype" w:cs="Palatino Linotype"/>
        </w:rPr>
      </w:pPr>
      <w:bookmarkStart w:id="5" w:name="_heading=h.3dy6vkm" w:colFirst="0" w:colLast="0"/>
      <w:bookmarkEnd w:id="5"/>
      <w:r w:rsidRPr="004957B1">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0F1B65" w:rsidRPr="004957B1" w:rsidRDefault="000F1B65">
      <w:pPr>
        <w:spacing w:line="360" w:lineRule="auto"/>
        <w:ind w:right="49"/>
        <w:jc w:val="both"/>
        <w:rPr>
          <w:rFonts w:ascii="Palatino Linotype" w:eastAsia="Palatino Linotype" w:hAnsi="Palatino Linotype" w:cs="Palatino Linotype"/>
        </w:rPr>
      </w:pPr>
    </w:p>
    <w:p w:rsidR="00907B58" w:rsidRPr="004957B1" w:rsidRDefault="00907B58" w:rsidP="00907B58">
      <w:pPr>
        <w:keepNext/>
        <w:keepLines/>
        <w:spacing w:line="360" w:lineRule="auto"/>
        <w:outlineLvl w:val="0"/>
        <w:rPr>
          <w:rFonts w:ascii="Palatino Linotype" w:eastAsiaTheme="majorEastAsia" w:hAnsi="Palatino Linotype" w:cstheme="majorBidi"/>
          <w:b/>
          <w:lang w:val="es-ES_tradnl" w:eastAsia="es-ES"/>
        </w:rPr>
      </w:pPr>
      <w:bookmarkStart w:id="6" w:name="_Toc34246179"/>
      <w:bookmarkStart w:id="7" w:name="_Toc50033991"/>
      <w:bookmarkStart w:id="8" w:name="_Toc51259588"/>
      <w:bookmarkStart w:id="9" w:name="_Toc83128581"/>
      <w:r w:rsidRPr="004957B1">
        <w:rPr>
          <w:rFonts w:ascii="Palatino Linotype" w:eastAsiaTheme="majorEastAsia" w:hAnsi="Palatino Linotype" w:cstheme="majorBidi"/>
          <w:b/>
          <w:lang w:val="es-ES_tradnl" w:eastAsia="es-ES"/>
        </w:rPr>
        <w:t xml:space="preserve">TERCERO. </w:t>
      </w:r>
      <w:bookmarkStart w:id="10" w:name="_Toc501021589"/>
      <w:r w:rsidRPr="004957B1">
        <w:rPr>
          <w:rFonts w:ascii="Palatino Linotype" w:eastAsiaTheme="majorEastAsia" w:hAnsi="Palatino Linotype" w:cstheme="majorBidi"/>
          <w:b/>
          <w:lang w:val="es-ES_tradnl" w:eastAsia="es-ES"/>
        </w:rPr>
        <w:t>De las causales de sobreseimiento.</w:t>
      </w:r>
      <w:bookmarkEnd w:id="6"/>
      <w:bookmarkEnd w:id="7"/>
      <w:bookmarkEnd w:id="8"/>
      <w:bookmarkEnd w:id="9"/>
      <w:bookmarkEnd w:id="10"/>
    </w:p>
    <w:p w:rsidR="00907B58" w:rsidRPr="004957B1" w:rsidRDefault="00907B58" w:rsidP="00907B58">
      <w:pPr>
        <w:rPr>
          <w:rFonts w:asciiTheme="minorHAnsi" w:eastAsiaTheme="minorEastAsia" w:hAnsiTheme="minorHAnsi" w:cstheme="minorBidi"/>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y V, toda vez que no hay constancias en el expediente en que se actúa, de que el Recurrente se haya desistido, fallecido, que el Sujeto Obligado hubiese modificado o revocado el acto impugnado o bien, haya quedado sin materia.</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 xml:space="preserve">No obstante, por lo que hace a la hipótesis prevista en la fracción IV, a saber, que una vez admitido el Recurso de Revisión, aparezca alguna causal de improcedencia en términos de la presente Ley, cabe señalar que el artículo 191 de la Ley de Transparencia y Acceso a la Información Pública del Estado de México y Municipios, indica, entre otras causales, que el Recurso de Revisión será desechado </w:t>
      </w:r>
      <w:r w:rsidRPr="004957B1">
        <w:rPr>
          <w:rFonts w:ascii="Palatino Linotype" w:eastAsia="Calibri" w:hAnsi="Palatino Linotype" w:cs="Arial"/>
          <w:lang w:val="es-ES_tradnl" w:eastAsia="es-ES"/>
        </w:rPr>
        <w:lastRenderedPageBreak/>
        <w:t xml:space="preserve">por improcedente, cuando sea </w:t>
      </w:r>
      <w:r w:rsidRPr="004957B1">
        <w:rPr>
          <w:rFonts w:ascii="Palatino Linotype" w:eastAsia="Calibri" w:hAnsi="Palatino Linotype" w:cs="Arial"/>
          <w:b/>
          <w:lang w:val="es-ES_tradnl" w:eastAsia="es-ES"/>
        </w:rPr>
        <w:t>extemporáneo</w:t>
      </w:r>
      <w:r w:rsidRPr="004957B1">
        <w:rPr>
          <w:rFonts w:ascii="Palatino Linotype" w:eastAsia="Calibri" w:hAnsi="Palatino Linotype" w:cs="Arial"/>
          <w:lang w:val="es-ES_tradnl" w:eastAsia="es-ES"/>
        </w:rPr>
        <w:t xml:space="preserve"> por haber transcurrido el plazo establecido por el artículo 178 del mismo ordenamiento.</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 xml:space="preserve">Al respecto dicho artículo, señala que, en caso de existir respuesta, el Recurso de Revisión podrá interponerse dentro de los </w:t>
      </w:r>
      <w:r w:rsidRPr="004957B1">
        <w:rPr>
          <w:rFonts w:ascii="Palatino Linotype" w:eastAsia="Calibri" w:hAnsi="Palatino Linotype" w:cs="Arial"/>
          <w:b/>
          <w:lang w:val="es-ES_tradnl" w:eastAsia="es-ES"/>
        </w:rPr>
        <w:t>quince días hábiles</w:t>
      </w:r>
      <w:r w:rsidRPr="004957B1">
        <w:rPr>
          <w:rFonts w:ascii="Palatino Linotype" w:eastAsia="Calibri" w:hAnsi="Palatino Linotype" w:cs="Arial"/>
          <w:lang w:val="es-ES_tradnl" w:eastAsia="es-ES"/>
        </w:rPr>
        <w:t>, siguientes a la fecha de notificación de dicha contestación; sobre este punto cabe puntualizar que el ahora Recurrente solicitó la información, a través del Sistema de Acceso a la Información Mexiquense (SAIMEX).</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 xml:space="preserve">Ahora bien, de las constancias que obran en el expediente se advierte que el </w:t>
      </w:r>
      <w:r w:rsidRPr="004957B1">
        <w:rPr>
          <w:rFonts w:ascii="Palatino Linotype" w:eastAsia="Calibri" w:hAnsi="Palatino Linotype" w:cs="Arial"/>
          <w:b/>
          <w:lang w:val="es-ES_tradnl" w:eastAsia="es-ES"/>
        </w:rPr>
        <w:t>SUJETO OBLIGADO</w:t>
      </w:r>
      <w:r w:rsidRPr="004957B1">
        <w:rPr>
          <w:rFonts w:ascii="Palatino Linotype" w:eastAsia="Calibri" w:hAnsi="Palatino Linotype" w:cs="Arial"/>
          <w:lang w:val="es-ES_tradnl" w:eastAsia="es-ES"/>
        </w:rPr>
        <w:t xml:space="preserve"> notificó la r</w:t>
      </w:r>
      <w:r w:rsidR="00375622" w:rsidRPr="004957B1">
        <w:rPr>
          <w:rFonts w:ascii="Palatino Linotype" w:eastAsia="Calibri" w:hAnsi="Palatino Linotype" w:cs="Arial"/>
          <w:lang w:val="es-ES_tradnl" w:eastAsia="es-ES"/>
        </w:rPr>
        <w:t>espuesta, el nueve de enero de dos mil veinticuatro</w:t>
      </w:r>
      <w:r w:rsidRPr="004957B1">
        <w:rPr>
          <w:rFonts w:ascii="Palatino Linotype" w:eastAsia="Calibri" w:hAnsi="Palatino Linotype" w:cs="Arial"/>
          <w:lang w:val="es-ES_tradnl" w:eastAsia="es-ES"/>
        </w:rPr>
        <w:t xml:space="preserve">; por lo tanto, el plazo de quince días, contados a partir del día hábil siguiente de la notificación de la contestación, con el que contaba el </w:t>
      </w:r>
      <w:r w:rsidRPr="004957B1">
        <w:rPr>
          <w:rFonts w:ascii="Palatino Linotype" w:eastAsia="Calibri" w:hAnsi="Palatino Linotype" w:cs="Arial"/>
          <w:b/>
          <w:lang w:val="es-ES_tradnl" w:eastAsia="es-ES"/>
        </w:rPr>
        <w:t xml:space="preserve">RECURRENTE </w:t>
      </w:r>
      <w:r w:rsidRPr="004957B1">
        <w:rPr>
          <w:rFonts w:ascii="Palatino Linotype" w:eastAsia="Calibri" w:hAnsi="Palatino Linotype" w:cs="Arial"/>
          <w:lang w:val="es-ES_tradnl" w:eastAsia="es-ES"/>
        </w:rPr>
        <w:t>para interponer su Recurso de Revisión, comenzó a c</w:t>
      </w:r>
      <w:r w:rsidR="00375622" w:rsidRPr="004957B1">
        <w:rPr>
          <w:rFonts w:ascii="Palatino Linotype" w:eastAsia="Calibri" w:hAnsi="Palatino Linotype" w:cs="Arial"/>
          <w:lang w:val="es-ES_tradnl" w:eastAsia="es-ES"/>
        </w:rPr>
        <w:t>orrer del once de enero de dos mil veinticuatro feneciendo el treinta y uno</w:t>
      </w:r>
      <w:r w:rsidRPr="004957B1">
        <w:rPr>
          <w:rFonts w:ascii="Palatino Linotype" w:eastAsia="Calibri" w:hAnsi="Palatino Linotype" w:cs="Arial"/>
          <w:lang w:val="es-ES_tradnl" w:eastAsia="es-ES"/>
        </w:rPr>
        <w:t xml:space="preserve"> de enero de dos mil veinticuat</w:t>
      </w:r>
      <w:r w:rsidR="00375622" w:rsidRPr="004957B1">
        <w:rPr>
          <w:rFonts w:ascii="Palatino Linotype" w:eastAsia="Calibri" w:hAnsi="Palatino Linotype" w:cs="Arial"/>
          <w:lang w:val="es-ES_tradnl" w:eastAsia="es-ES"/>
        </w:rPr>
        <w:t>ro.</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Por su parte, el ahora Recurrente, como se desprende del Sistema de Acceso a la Información Mexiquense (SAIMEX), interpuso s</w:t>
      </w:r>
      <w:r w:rsidR="00375622" w:rsidRPr="004957B1">
        <w:rPr>
          <w:rFonts w:ascii="Palatino Linotype" w:eastAsia="Calibri" w:hAnsi="Palatino Linotype" w:cs="Arial"/>
          <w:lang w:val="es-ES_tradnl" w:eastAsia="es-ES"/>
        </w:rPr>
        <w:t>u medio de impugnación, el diez de julio</w:t>
      </w:r>
      <w:r w:rsidRPr="004957B1">
        <w:rPr>
          <w:rFonts w:ascii="Palatino Linotype" w:eastAsia="Calibri" w:hAnsi="Palatino Linotype" w:cs="Arial"/>
          <w:lang w:val="es-ES_tradnl" w:eastAsia="es-ES"/>
        </w:rPr>
        <w:t xml:space="preserve"> de dos mil </w:t>
      </w:r>
      <w:r w:rsidR="00375622" w:rsidRPr="004957B1">
        <w:rPr>
          <w:rFonts w:ascii="Palatino Linotype" w:eastAsia="Calibri" w:hAnsi="Palatino Linotype" w:cs="Arial"/>
          <w:lang w:val="es-ES_tradnl" w:eastAsia="es-ES"/>
        </w:rPr>
        <w:t>vein</w:t>
      </w:r>
      <w:r w:rsidR="00B85ED0" w:rsidRPr="004957B1">
        <w:rPr>
          <w:rFonts w:ascii="Palatino Linotype" w:eastAsia="Calibri" w:hAnsi="Palatino Linotype" w:cs="Arial"/>
          <w:lang w:val="es-ES_tradnl" w:eastAsia="es-ES"/>
        </w:rPr>
        <w:t xml:space="preserve">ticuatro, es decir ciento </w:t>
      </w:r>
      <w:r w:rsidR="003347EC" w:rsidRPr="004957B1">
        <w:rPr>
          <w:rFonts w:ascii="Palatino Linotype" w:eastAsia="Calibri" w:hAnsi="Palatino Linotype" w:cs="Arial"/>
          <w:lang w:val="es-ES_tradnl" w:eastAsia="es-ES"/>
        </w:rPr>
        <w:t>veinte</w:t>
      </w:r>
      <w:r w:rsidR="00375622" w:rsidRPr="004957B1">
        <w:rPr>
          <w:rFonts w:ascii="Palatino Linotype" w:eastAsia="Calibri" w:hAnsi="Palatino Linotype" w:cs="Arial"/>
          <w:lang w:val="es-ES_tradnl" w:eastAsia="es-ES"/>
        </w:rPr>
        <w:t xml:space="preserve"> </w:t>
      </w:r>
      <w:r w:rsidR="00B85ED0" w:rsidRPr="004957B1">
        <w:rPr>
          <w:rFonts w:ascii="Palatino Linotype" w:eastAsia="Calibri" w:hAnsi="Palatino Linotype" w:cs="Arial"/>
          <w:lang w:val="es-ES_tradnl" w:eastAsia="es-ES"/>
        </w:rPr>
        <w:t>días</w:t>
      </w:r>
      <w:r w:rsidRPr="004957B1">
        <w:rPr>
          <w:rFonts w:ascii="Palatino Linotype" w:eastAsia="Calibri" w:hAnsi="Palatino Linotype" w:cs="Arial"/>
          <w:lang w:val="es-ES_tradnl" w:eastAsia="es-ES"/>
        </w:rPr>
        <w:t xml:space="preserve"> después de la fecha en que feneció el plazo para interponer el recurso a tiempo.</w:t>
      </w:r>
      <w:r w:rsidR="00B85ED0" w:rsidRPr="004957B1">
        <w:rPr>
          <w:rFonts w:ascii="Palatino Linotype" w:eastAsia="Calibri" w:hAnsi="Palatino Linotype" w:cs="Arial"/>
          <w:lang w:val="es-ES_tradnl" w:eastAsia="es-ES"/>
        </w:rPr>
        <w:t xml:space="preserve"> Toda vez que el Sujeto Obligado emitió respuesta el día de nueve de enero de dos mil veinticuatro.</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B85ED0">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lastRenderedPageBreak/>
        <w:t xml:space="preserve">Por tanto, al interponerse el Recurso de Revisión ante este Instituto, en dicha fecha, se concluye que se realizó una vez </w:t>
      </w:r>
      <w:r w:rsidRPr="004957B1">
        <w:rPr>
          <w:rFonts w:ascii="Palatino Linotype" w:eastAsia="Calibri" w:hAnsi="Palatino Linotype" w:cs="Arial"/>
          <w:b/>
          <w:lang w:val="es-ES_tradnl" w:eastAsia="es-ES"/>
        </w:rPr>
        <w:t>fenecido el plazo legal establecido al efecto</w:t>
      </w:r>
      <w:r w:rsidR="003347EC" w:rsidRPr="004957B1">
        <w:rPr>
          <w:rFonts w:ascii="Palatino Linotype" w:eastAsia="Calibri" w:hAnsi="Palatino Linotype" w:cs="Arial"/>
          <w:lang w:val="es-ES_tradnl" w:eastAsia="es-ES"/>
        </w:rPr>
        <w:t>, a saber, ciento veinte</w:t>
      </w:r>
      <w:r w:rsidRPr="004957B1">
        <w:rPr>
          <w:rFonts w:ascii="Palatino Linotype" w:eastAsia="Calibri" w:hAnsi="Palatino Linotype" w:cs="Arial"/>
          <w:lang w:val="es-ES_tradnl" w:eastAsia="es-ES"/>
        </w:rPr>
        <w:t xml:space="preserve"> días hábiles posteriores a la notificación, esto por el periodo vacacional del mes de diciembre de dos mil veintitrés y parte de enero de dos mil veinticuatro, resultando extemporánea la presentación del Medio de Impugnación. Dicha situación, se robustece, con el historial de la solicitud de información citado al rubro, localizado en el Sistema de Acceso a la Información Mexiquense (SAIMEX), tal como se muestra a continuación:</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En consecuencia, toda vez que, en el presente caso, si hubo respuesta al requerimiento informativo, por parte de la Ayuntamiento de Cuautitlán Izcalli, por la vía seleccionada por el Particular, se advierte que el Medio de Impugnación fue presentado de manera extemporánea.</w:t>
      </w:r>
    </w:p>
    <w:p w:rsidR="00375622" w:rsidRPr="004957B1" w:rsidRDefault="00375622" w:rsidP="00375622">
      <w:pPr>
        <w:spacing w:line="360" w:lineRule="auto"/>
        <w:contextualSpacing/>
        <w:jc w:val="both"/>
        <w:rPr>
          <w:rFonts w:ascii="Palatino Linotype" w:eastAsia="Calibri" w:hAnsi="Palatino Linotype" w:cs="Arial"/>
          <w:lang w:val="es-ES_tradnl" w:eastAsia="es-ES"/>
        </w:rPr>
      </w:pPr>
    </w:p>
    <w:p w:rsidR="00375622" w:rsidRPr="004957B1" w:rsidRDefault="004957B1" w:rsidP="00375622">
      <w:pPr>
        <w:spacing w:line="360" w:lineRule="auto"/>
        <w:ind w:left="709"/>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drawing>
          <wp:inline distT="0" distB="0" distL="0" distR="0" wp14:anchorId="18F1AEDC" wp14:editId="252AAD8B">
            <wp:extent cx="5742940" cy="26879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2687955"/>
                    </a:xfrm>
                    <a:prstGeom prst="rect">
                      <a:avLst/>
                    </a:prstGeom>
                  </pic:spPr>
                </pic:pic>
              </a:graphicData>
            </a:graphic>
          </wp:inline>
        </w:drawing>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 xml:space="preserve">En ese sentido, toda vez que el Solicitante interpuso Recurso de Revisión, en fecha posterior al plazo establecido en el artículo 178 de la Ley de Transparencia y Acceso a la Información Pública del Estado de México y Municipios, se actualiza la causal de </w:t>
      </w:r>
      <w:proofErr w:type="spellStart"/>
      <w:r w:rsidRPr="004957B1">
        <w:rPr>
          <w:rFonts w:ascii="Palatino Linotype" w:eastAsia="Calibri" w:hAnsi="Palatino Linotype" w:cs="Arial"/>
          <w:lang w:val="es-ES_tradnl" w:eastAsia="es-ES"/>
        </w:rPr>
        <w:t>desechamiento</w:t>
      </w:r>
      <w:proofErr w:type="spellEnd"/>
      <w:r w:rsidRPr="004957B1">
        <w:rPr>
          <w:rFonts w:ascii="Palatino Linotype" w:eastAsia="Calibri" w:hAnsi="Palatino Linotype" w:cs="Arial"/>
          <w:lang w:val="es-ES_tradnl" w:eastAsia="es-ES"/>
        </w:rPr>
        <w:t xml:space="preserve"> establecida en el diverso 191, fracción I, de la Ley de la materia; por lo que, es procedente </w:t>
      </w:r>
      <w:r w:rsidRPr="004957B1">
        <w:rPr>
          <w:rFonts w:ascii="Palatino Linotype" w:eastAsia="Calibri" w:hAnsi="Palatino Linotype" w:cs="Arial"/>
          <w:b/>
          <w:lang w:val="es-ES_tradnl" w:eastAsia="es-ES"/>
        </w:rPr>
        <w:t>SOBRESEER</w:t>
      </w:r>
      <w:r w:rsidRPr="004957B1">
        <w:rPr>
          <w:rFonts w:ascii="Palatino Linotype" w:eastAsia="Calibri" w:hAnsi="Palatino Linotype" w:cs="Arial"/>
          <w:lang w:val="es-ES_tradnl" w:eastAsia="es-ES"/>
        </w:rPr>
        <w:t xml:space="preserve"> el mismo.</w:t>
      </w:r>
    </w:p>
    <w:p w:rsidR="00907B58" w:rsidRPr="004957B1" w:rsidRDefault="00907B58" w:rsidP="00907B58">
      <w:pPr>
        <w:spacing w:line="360" w:lineRule="auto"/>
        <w:jc w:val="both"/>
        <w:rPr>
          <w:rFonts w:ascii="Palatino Linotype" w:eastAsiaTheme="minorEastAsia" w:hAnsi="Palatino Linotype" w:cs="Tahoma"/>
          <w:bCs/>
          <w:sz w:val="22"/>
          <w:szCs w:val="22"/>
          <w:lang w:val="es-ES_tradnl" w:eastAsia="es-ES"/>
        </w:rPr>
      </w:pPr>
    </w:p>
    <w:p w:rsidR="00907B58" w:rsidRPr="004957B1" w:rsidRDefault="00907B58" w:rsidP="00907B58">
      <w:pPr>
        <w:spacing w:line="360" w:lineRule="auto"/>
        <w:jc w:val="both"/>
        <w:rPr>
          <w:rFonts w:ascii="Palatino Linotype" w:eastAsiaTheme="minorEastAsia" w:hAnsi="Palatino Linotype" w:cs="Tahoma"/>
          <w:b/>
          <w:sz w:val="22"/>
          <w:szCs w:val="22"/>
          <w:lang w:val="es-ES" w:eastAsia="es-ES"/>
        </w:rPr>
      </w:pPr>
      <w:r w:rsidRPr="004957B1">
        <w:rPr>
          <w:rFonts w:ascii="Palatino Linotype" w:eastAsiaTheme="minorEastAsia" w:hAnsi="Palatino Linotype" w:cs="Tahoma"/>
          <w:b/>
          <w:sz w:val="22"/>
          <w:szCs w:val="22"/>
          <w:lang w:val="es-ES" w:eastAsia="es-ES"/>
        </w:rPr>
        <w:t xml:space="preserve">CUARTO. Decisión. </w:t>
      </w:r>
    </w:p>
    <w:p w:rsidR="00907B58" w:rsidRPr="004957B1" w:rsidRDefault="00907B58" w:rsidP="00907B58">
      <w:pPr>
        <w:spacing w:line="360" w:lineRule="auto"/>
        <w:jc w:val="both"/>
        <w:rPr>
          <w:rFonts w:ascii="Palatino Linotype" w:eastAsiaTheme="minorEastAsia" w:hAnsi="Palatino Linotype" w:cs="Tahoma"/>
          <w:b/>
          <w:sz w:val="22"/>
          <w:szCs w:val="22"/>
          <w:lang w:val="es-ES"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 xml:space="preserve">Con fundamento en lo dispuesto en el artículo 186, fracción I de la Ley de Transparencia y Acceso a la Información Pública del Estado de México y Municipios, se considera procedente </w:t>
      </w:r>
      <w:r w:rsidRPr="004957B1">
        <w:rPr>
          <w:rFonts w:ascii="Palatino Linotype" w:eastAsia="Calibri" w:hAnsi="Palatino Linotype" w:cs="Arial"/>
          <w:b/>
          <w:lang w:val="es-ES_tradnl" w:eastAsia="es-ES"/>
        </w:rPr>
        <w:t>SOBRESEER</w:t>
      </w:r>
      <w:r w:rsidRPr="004957B1">
        <w:rPr>
          <w:rFonts w:ascii="Palatino Linotype" w:eastAsia="Calibri" w:hAnsi="Palatino Linotype" w:cs="Arial"/>
          <w:lang w:val="es-ES_tradnl" w:eastAsia="es-ES"/>
        </w:rPr>
        <w:t xml:space="preserve"> el Recurso de</w:t>
      </w:r>
      <w:r w:rsidR="00375622" w:rsidRPr="004957B1">
        <w:rPr>
          <w:rFonts w:ascii="Palatino Linotype" w:eastAsia="Calibri" w:hAnsi="Palatino Linotype" w:cs="Arial"/>
          <w:lang w:val="es-ES_tradnl" w:eastAsia="es-ES"/>
        </w:rPr>
        <w:t xml:space="preserve"> Revisión 04358</w:t>
      </w:r>
      <w:r w:rsidRPr="004957B1">
        <w:rPr>
          <w:rFonts w:ascii="Palatino Linotype" w:eastAsia="Calibri" w:hAnsi="Palatino Linotype" w:cs="Arial"/>
          <w:lang w:val="es-ES_tradnl" w:eastAsia="es-ES"/>
        </w:rPr>
        <w:t>/INFOEM/IP/RR/2024, en virtud de que se actualiza la hipótesis normativa prevista en la fracción IV, del diverso 192, en relación, con el 191, fracción I, ambos del citado ordenamiento legal.</w:t>
      </w:r>
    </w:p>
    <w:p w:rsidR="00907B58" w:rsidRPr="004957B1" w:rsidRDefault="00907B58" w:rsidP="00907B58">
      <w:pPr>
        <w:spacing w:line="360" w:lineRule="auto"/>
        <w:jc w:val="both"/>
        <w:rPr>
          <w:rFonts w:ascii="Palatino Linotype" w:eastAsia="Calibri" w:hAnsi="Palatino Linotype" w:cs="Tahoma"/>
          <w:b/>
          <w:bCs/>
          <w:sz w:val="22"/>
          <w:szCs w:val="22"/>
          <w:lang w:val="es-ES_tradnl" w:eastAsia="en-US"/>
        </w:rPr>
      </w:pPr>
    </w:p>
    <w:p w:rsidR="00907B58" w:rsidRPr="004957B1" w:rsidRDefault="00907B58" w:rsidP="00907B58">
      <w:pPr>
        <w:spacing w:line="360" w:lineRule="auto"/>
        <w:jc w:val="both"/>
        <w:rPr>
          <w:rFonts w:ascii="Palatino Linotype" w:eastAsiaTheme="minorHAnsi" w:hAnsi="Palatino Linotype" w:cstheme="minorBidi"/>
          <w:b/>
          <w:bCs/>
          <w:iCs/>
          <w:sz w:val="22"/>
          <w:szCs w:val="22"/>
          <w:lang w:val="es-ES" w:eastAsia="en-US"/>
        </w:rPr>
      </w:pPr>
      <w:r w:rsidRPr="004957B1">
        <w:rPr>
          <w:rFonts w:ascii="Palatino Linotype" w:eastAsiaTheme="minorHAnsi" w:hAnsi="Palatino Linotype" w:cstheme="minorBidi"/>
          <w:b/>
          <w:bCs/>
          <w:iCs/>
          <w:sz w:val="22"/>
          <w:szCs w:val="22"/>
          <w:lang w:val="es-ES" w:eastAsia="en-US"/>
        </w:rPr>
        <w:t>Términos de la Resolución para conocimiento del Particular.</w:t>
      </w:r>
    </w:p>
    <w:p w:rsidR="00907B58" w:rsidRPr="004957B1" w:rsidRDefault="00907B58" w:rsidP="00907B58">
      <w:pPr>
        <w:spacing w:line="360" w:lineRule="auto"/>
        <w:jc w:val="both"/>
        <w:rPr>
          <w:rFonts w:ascii="Palatino Linotype" w:eastAsiaTheme="minorHAnsi" w:hAnsi="Palatino Linotype" w:cstheme="minorBidi"/>
          <w:bCs/>
          <w:sz w:val="22"/>
          <w:szCs w:val="22"/>
          <w:lang w:val="es-ES" w:eastAsia="en-U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Se le hace del conocimiento al Particular, que presentó su Recurso de Revisión, una vez fenecido el plazo para realizar dicha acción, pues solamente contaba con quince días hábiles posteriores a la notificación de la respuesta.</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lastRenderedPageBreak/>
        <w:t>Además, en atención al principio de máxima publicidad, se le hace de su conocimiento que los documentos adjuntos en respuesta, se pueden visualizar en sistema SAIMEX.</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Por otra parte, se le informa que al notificar la presente resolución, se le adjuntará la respuesta proporcionada por el Ente Recurrido, con el fin de que pueda tener acceso a la contestación emitida; asimismo se dejan a salvo sus derechos, para que en el caso que no esté́ de acuerdo con la contestación emitida, vuelva presentar su solicitud de información.</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907B58" w:rsidRPr="004957B1" w:rsidRDefault="00907B58" w:rsidP="00907B58">
      <w:pPr>
        <w:spacing w:line="360" w:lineRule="auto"/>
        <w:contextualSpacing/>
        <w:jc w:val="both"/>
        <w:rPr>
          <w:rFonts w:ascii="Palatino Linotype" w:eastAsia="Calibri" w:hAnsi="Palatino Linotype" w:cs="Arial"/>
          <w:lang w:val="es-ES_tradnl" w:eastAsia="es-ES"/>
        </w:rPr>
      </w:pPr>
    </w:p>
    <w:p w:rsidR="00907B58" w:rsidRPr="004957B1" w:rsidRDefault="00907B58" w:rsidP="00907B58">
      <w:pPr>
        <w:numPr>
          <w:ilvl w:val="0"/>
          <w:numId w:val="13"/>
        </w:numPr>
        <w:spacing w:line="360" w:lineRule="auto"/>
        <w:ind w:left="0" w:firstLine="0"/>
        <w:contextualSpacing/>
        <w:jc w:val="both"/>
        <w:rPr>
          <w:rFonts w:ascii="Palatino Linotype" w:eastAsia="Calibri" w:hAnsi="Palatino Linotype" w:cs="Arial"/>
          <w:lang w:val="es-ES_tradnl" w:eastAsia="es-ES"/>
        </w:rPr>
      </w:pPr>
      <w:r w:rsidRPr="004957B1">
        <w:rPr>
          <w:rFonts w:ascii="Palatino Linotype" w:eastAsia="Calibri" w:hAnsi="Palatino Linotype" w:cs="Arial"/>
          <w:lang w:val="es-ES_tradnl" w:eastAsia="es-ES"/>
        </w:rPr>
        <w:t>Por lo expuesto y fundado, este Órgano Garante:</w:t>
      </w:r>
    </w:p>
    <w:p w:rsidR="00907B58" w:rsidRPr="004957B1" w:rsidRDefault="00907B58" w:rsidP="00907B58">
      <w:pPr>
        <w:ind w:left="720"/>
        <w:contextualSpacing/>
        <w:rPr>
          <w:rFonts w:ascii="Palatino Linotype" w:eastAsiaTheme="minorEastAsia" w:hAnsi="Palatino Linotype" w:cstheme="minorBidi"/>
          <w:lang w:val="es-ES_tradnl" w:eastAsia="es-ES"/>
        </w:rPr>
      </w:pPr>
    </w:p>
    <w:p w:rsidR="00907B58" w:rsidRPr="004957B1" w:rsidRDefault="00907B58" w:rsidP="00907B58">
      <w:pPr>
        <w:keepNext/>
        <w:keepLines/>
        <w:spacing w:line="360" w:lineRule="auto"/>
        <w:jc w:val="center"/>
        <w:outlineLvl w:val="0"/>
        <w:rPr>
          <w:rFonts w:ascii="Palatino Linotype" w:eastAsia="Calibri" w:hAnsi="Palatino Linotype" w:cstheme="majorBidi"/>
          <w:b/>
          <w:lang w:val="es-ES" w:eastAsia="es-ES"/>
        </w:rPr>
      </w:pPr>
      <w:bookmarkStart w:id="11" w:name="_Toc504500693"/>
      <w:bookmarkStart w:id="12" w:name="_Toc534742545"/>
      <w:bookmarkStart w:id="13" w:name="_Toc2248738"/>
      <w:bookmarkStart w:id="14" w:name="_Toc34819440"/>
      <w:bookmarkStart w:id="15" w:name="_Toc51259595"/>
      <w:bookmarkStart w:id="16" w:name="_Toc83128595"/>
      <w:r w:rsidRPr="004957B1">
        <w:rPr>
          <w:rFonts w:ascii="Palatino Linotype" w:eastAsia="Calibri" w:hAnsi="Palatino Linotype" w:cstheme="majorBidi"/>
          <w:b/>
          <w:lang w:val="es-ES" w:eastAsia="es-ES"/>
        </w:rPr>
        <w:t>R E S O L U T I V O S</w:t>
      </w:r>
      <w:bookmarkEnd w:id="11"/>
      <w:bookmarkEnd w:id="12"/>
      <w:bookmarkEnd w:id="13"/>
      <w:bookmarkEnd w:id="14"/>
      <w:bookmarkEnd w:id="15"/>
      <w:bookmarkEnd w:id="16"/>
    </w:p>
    <w:p w:rsidR="00907B58" w:rsidRPr="004957B1" w:rsidRDefault="00907B58" w:rsidP="00907B58">
      <w:pPr>
        <w:rPr>
          <w:rFonts w:ascii="Palatino Linotype" w:eastAsiaTheme="minorEastAsia" w:hAnsi="Palatino Linotype" w:cstheme="minorBidi"/>
          <w:lang w:val="es-ES" w:eastAsia="es-ES"/>
        </w:rPr>
      </w:pPr>
    </w:p>
    <w:p w:rsidR="00907B58" w:rsidRPr="004957B1" w:rsidRDefault="00907B58" w:rsidP="00907B58">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Cs/>
          <w:lang w:val="es-ES" w:eastAsia="es-ES"/>
        </w:rPr>
      </w:pPr>
      <w:r w:rsidRPr="004957B1">
        <w:rPr>
          <w:rFonts w:ascii="Palatino Linotype" w:eastAsia="Palatino Linotype" w:hAnsi="Palatino Linotype" w:cs="Palatino Linotype"/>
          <w:b/>
          <w:lang w:val="es-ES_tradnl" w:eastAsia="es-ES"/>
        </w:rPr>
        <w:t xml:space="preserve">Primero. </w:t>
      </w:r>
      <w:r w:rsidRPr="004957B1">
        <w:rPr>
          <w:rFonts w:ascii="Palatino Linotype" w:eastAsia="Palatino Linotype" w:hAnsi="Palatino Linotype" w:cs="Palatino Linotype"/>
          <w:lang w:val="es-ES_tradnl" w:eastAsia="es-ES"/>
        </w:rPr>
        <w:t>Se</w:t>
      </w:r>
      <w:r w:rsidRPr="004957B1">
        <w:rPr>
          <w:rFonts w:ascii="Palatino Linotype" w:eastAsia="Palatino Linotype" w:hAnsi="Palatino Linotype" w:cs="Palatino Linotype"/>
          <w:b/>
          <w:lang w:val="es-ES_tradnl" w:eastAsia="es-ES"/>
        </w:rPr>
        <w:t xml:space="preserve"> SOBRESEE </w:t>
      </w:r>
      <w:r w:rsidRPr="004957B1">
        <w:rPr>
          <w:rFonts w:ascii="Palatino Linotype" w:eastAsia="Palatino Linotype" w:hAnsi="Palatino Linotype" w:cs="Palatino Linotype"/>
          <w:lang w:val="es-ES_tradnl" w:eastAsia="es-ES"/>
        </w:rPr>
        <w:t xml:space="preserve">el recurso de revisión número </w:t>
      </w:r>
      <w:r w:rsidR="00375622" w:rsidRPr="004957B1">
        <w:rPr>
          <w:rFonts w:ascii="Palatino Linotype" w:eastAsia="Palatino Linotype" w:hAnsi="Palatino Linotype" w:cs="Palatino Linotype"/>
          <w:b/>
          <w:lang w:val="es-ES_tradnl" w:eastAsia="es-ES"/>
        </w:rPr>
        <w:t>04358</w:t>
      </w:r>
      <w:r w:rsidRPr="004957B1">
        <w:rPr>
          <w:rFonts w:ascii="Palatino Linotype" w:eastAsia="Palatino Linotype" w:hAnsi="Palatino Linotype" w:cs="Palatino Linotype"/>
          <w:b/>
          <w:lang w:val="es-ES_tradnl" w:eastAsia="es-ES"/>
        </w:rPr>
        <w:t xml:space="preserve">/INFOEM/IP/RR/2024, </w:t>
      </w:r>
      <w:r w:rsidRPr="004957B1">
        <w:rPr>
          <w:rFonts w:ascii="Palatino Linotype" w:eastAsia="Palatino Linotype" w:hAnsi="Palatino Linotype" w:cs="Palatino Linotype"/>
          <w:bCs/>
          <w:lang w:val="es-ES" w:eastAsia="es-ES"/>
        </w:rPr>
        <w:t xml:space="preserve">en términos del artículo 192, fracción IV, de la Ley de Transparencia y Acceso a la Información Pública del Estado de México y Municipios, por actualizarse la causal de improcedencia establecida en la fracción I, del diverso 191, de dicho ordenamiento </w:t>
      </w:r>
      <w:r w:rsidRPr="004957B1">
        <w:rPr>
          <w:rFonts w:ascii="Palatino Linotype" w:eastAsia="Palatino Linotype" w:hAnsi="Palatino Linotype" w:cs="Palatino Linotype"/>
          <w:bCs/>
          <w:lang w:val="es-ES" w:eastAsia="es-ES"/>
        </w:rPr>
        <w:lastRenderedPageBreak/>
        <w:t xml:space="preserve">jurídico, de conformidad con los Considerandos </w:t>
      </w:r>
      <w:r w:rsidRPr="004957B1">
        <w:rPr>
          <w:rFonts w:ascii="Palatino Linotype" w:eastAsia="Palatino Linotype" w:hAnsi="Palatino Linotype" w:cs="Palatino Linotype"/>
          <w:b/>
          <w:bCs/>
          <w:lang w:val="es-ES" w:eastAsia="es-ES"/>
        </w:rPr>
        <w:t>TERCERO y CUARTO</w:t>
      </w:r>
      <w:r w:rsidRPr="004957B1">
        <w:rPr>
          <w:rFonts w:ascii="Palatino Linotype" w:eastAsia="Palatino Linotype" w:hAnsi="Palatino Linotype" w:cs="Palatino Linotype"/>
          <w:bCs/>
          <w:lang w:val="es-ES" w:eastAsia="es-ES"/>
        </w:rPr>
        <w:t xml:space="preserve"> de la presente Resolución.</w:t>
      </w:r>
    </w:p>
    <w:p w:rsidR="00907B58" w:rsidRPr="004957B1" w:rsidRDefault="00907B58" w:rsidP="00907B58">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lang w:val="es-ES_tradnl" w:eastAsia="es-ES"/>
        </w:rPr>
      </w:pPr>
      <w:r w:rsidRPr="004957B1">
        <w:rPr>
          <w:rFonts w:ascii="Palatino Linotype" w:eastAsia="Palatino Linotype" w:hAnsi="Palatino Linotype" w:cs="Palatino Linotype"/>
          <w:b/>
          <w:lang w:val="es-ES_tradnl" w:eastAsia="es-ES"/>
        </w:rPr>
        <w:t xml:space="preserve">Segundo. Notifíquese, </w:t>
      </w:r>
      <w:r w:rsidRPr="004957B1">
        <w:rPr>
          <w:rFonts w:ascii="Palatino Linotype" w:eastAsia="Palatino Linotype" w:hAnsi="Palatino Linotype" w:cs="Palatino Linotype"/>
          <w:lang w:val="es-ES_tradnl" w:eastAsia="es-ES"/>
        </w:rPr>
        <w:t>vía</w:t>
      </w:r>
      <w:r w:rsidRPr="004957B1">
        <w:rPr>
          <w:rFonts w:ascii="Palatino Linotype" w:eastAsia="Palatino Linotype" w:hAnsi="Palatino Linotype" w:cs="Palatino Linotype"/>
          <w:b/>
          <w:lang w:val="es-ES_tradnl" w:eastAsia="es-ES"/>
        </w:rPr>
        <w:t xml:space="preserve"> SAIMEX,</w:t>
      </w:r>
      <w:r w:rsidRPr="004957B1">
        <w:rPr>
          <w:rFonts w:ascii="Palatino Linotype" w:eastAsia="Palatino Linotype" w:hAnsi="Palatino Linotype" w:cs="Palatino Linotype"/>
          <w:lang w:val="es-ES_tradnl" w:eastAsia="es-ES"/>
        </w:rPr>
        <w:t xml:space="preserve"> al Responsable de la Unidad de Transparencia del </w:t>
      </w:r>
      <w:r w:rsidRPr="004957B1">
        <w:rPr>
          <w:rFonts w:ascii="Palatino Linotype" w:eastAsia="Palatino Linotype" w:hAnsi="Palatino Linotype" w:cs="Palatino Linotype"/>
          <w:b/>
          <w:lang w:val="es-ES_tradnl" w:eastAsia="es-ES"/>
        </w:rPr>
        <w:t>Sujeto Obligado</w:t>
      </w:r>
      <w:r w:rsidRPr="004957B1">
        <w:rPr>
          <w:rFonts w:ascii="Palatino Linotype" w:eastAsia="Palatino Linotype" w:hAnsi="Palatino Linotype" w:cs="Palatino Linotype"/>
          <w:lang w:val="es-ES_tradnl" w:eastAsia="es-ES"/>
        </w:rPr>
        <w:t xml:space="preserve"> la presente resolución, para su conocimiento.</w:t>
      </w:r>
    </w:p>
    <w:p w:rsidR="00907B58" w:rsidRPr="004957B1" w:rsidRDefault="00907B58" w:rsidP="00907B58">
      <w:pPr>
        <w:widowControl w:val="0"/>
        <w:tabs>
          <w:tab w:val="left" w:pos="1701"/>
        </w:tabs>
        <w:autoSpaceDE w:val="0"/>
        <w:autoSpaceDN w:val="0"/>
        <w:adjustRightInd w:val="0"/>
        <w:spacing w:before="240" w:after="240" w:line="360" w:lineRule="auto"/>
        <w:contextualSpacing/>
        <w:jc w:val="both"/>
        <w:rPr>
          <w:rFonts w:ascii="Palatino Linotype" w:eastAsiaTheme="minorEastAsia" w:hAnsi="Palatino Linotype" w:cstheme="minorBidi"/>
          <w:lang w:val="es-ES_tradnl" w:eastAsia="es-ES_tradnl"/>
        </w:rPr>
      </w:pPr>
      <w:r w:rsidRPr="004957B1">
        <w:rPr>
          <w:rFonts w:ascii="Palatino Linotype" w:eastAsiaTheme="minorEastAsia" w:hAnsi="Palatino Linotype" w:cs="Arial"/>
          <w:b/>
          <w:lang w:val="es-ES_tradnl" w:eastAsia="es-ES"/>
        </w:rPr>
        <w:t>TERCERO</w:t>
      </w:r>
      <w:r w:rsidRPr="004957B1">
        <w:rPr>
          <w:rFonts w:ascii="Palatino Linotype" w:eastAsiaTheme="minorEastAsia" w:hAnsi="Palatino Linotype" w:cstheme="minorBidi"/>
          <w:b/>
          <w:lang w:val="es-ES_tradnl" w:eastAsia="es-ES_tradnl"/>
        </w:rPr>
        <w:t xml:space="preserve">. Notifíquese </w:t>
      </w:r>
      <w:r w:rsidRPr="004957B1">
        <w:rPr>
          <w:rFonts w:ascii="Palatino Linotype" w:eastAsiaTheme="minorEastAsia" w:hAnsi="Palatino Linotype" w:cstheme="minorBidi"/>
          <w:lang w:val="es-ES_tradnl" w:eastAsia="es-ES_tradnl"/>
        </w:rPr>
        <w:t>a</w:t>
      </w:r>
      <w:r w:rsidRPr="004957B1">
        <w:rPr>
          <w:rFonts w:ascii="Palatino Linotype" w:eastAsiaTheme="minorEastAsia" w:hAnsi="Palatino Linotype" w:cstheme="minorBidi"/>
          <w:b/>
          <w:lang w:val="es-ES_tradnl" w:eastAsia="es-ES_tradnl"/>
        </w:rPr>
        <w:t xml:space="preserve"> </w:t>
      </w:r>
      <w:r w:rsidRPr="004957B1">
        <w:rPr>
          <w:rFonts w:ascii="Palatino Linotype" w:eastAsiaTheme="minorEastAsia" w:hAnsi="Palatino Linotype" w:cstheme="minorBidi"/>
          <w:b/>
          <w:lang w:val="es-ES_tradnl" w:eastAsia="es-ES"/>
        </w:rPr>
        <w:t>EL RECURRENTE</w:t>
      </w:r>
      <w:r w:rsidRPr="004957B1">
        <w:rPr>
          <w:rFonts w:ascii="Palatino Linotype" w:eastAsiaTheme="minorEastAsia" w:hAnsi="Palatino Linotype" w:cstheme="minorBidi"/>
          <w:lang w:val="es-ES_tradnl" w:eastAsia="es-ES_tradnl"/>
        </w:rPr>
        <w:t xml:space="preserve"> la presente resolución, vía </w:t>
      </w:r>
      <w:r w:rsidRPr="004957B1">
        <w:rPr>
          <w:rFonts w:ascii="Palatino Linotype" w:eastAsiaTheme="minorEastAsia" w:hAnsi="Palatino Linotype" w:cstheme="minorBidi"/>
          <w:b/>
          <w:lang w:val="es-ES_tradnl" w:eastAsia="es-ES_tradnl"/>
        </w:rPr>
        <w:t>SAIMEX</w:t>
      </w:r>
      <w:r w:rsidRPr="004957B1">
        <w:rPr>
          <w:rFonts w:ascii="Palatino Linotype" w:eastAsiaTheme="minorEastAsia" w:hAnsi="Palatino Linotype" w:cstheme="minorBidi"/>
          <w:lang w:val="es-ES_tradnl" w:eastAsia="es-ES_tradnl"/>
        </w:rPr>
        <w:t>.</w:t>
      </w:r>
    </w:p>
    <w:p w:rsidR="00907B58" w:rsidRPr="004957B1" w:rsidRDefault="00907B58" w:rsidP="00907B58">
      <w:pPr>
        <w:widowControl w:val="0"/>
        <w:tabs>
          <w:tab w:val="left" w:pos="1701"/>
        </w:tabs>
        <w:autoSpaceDE w:val="0"/>
        <w:autoSpaceDN w:val="0"/>
        <w:adjustRightInd w:val="0"/>
        <w:spacing w:before="240" w:after="240" w:line="360" w:lineRule="auto"/>
        <w:contextualSpacing/>
        <w:jc w:val="both"/>
        <w:rPr>
          <w:rFonts w:ascii="Palatino Linotype" w:eastAsiaTheme="minorEastAsia" w:hAnsi="Palatino Linotype" w:cstheme="minorBidi"/>
          <w:lang w:val="es-ES_tradnl" w:eastAsia="es-ES_tradnl"/>
        </w:rPr>
      </w:pPr>
    </w:p>
    <w:p w:rsidR="00907B58" w:rsidRPr="004957B1" w:rsidRDefault="00907B58" w:rsidP="003347EC">
      <w:pPr>
        <w:widowControl w:val="0"/>
        <w:tabs>
          <w:tab w:val="left" w:pos="1701"/>
        </w:tabs>
        <w:autoSpaceDE w:val="0"/>
        <w:autoSpaceDN w:val="0"/>
        <w:adjustRightInd w:val="0"/>
        <w:spacing w:line="360" w:lineRule="auto"/>
        <w:contextualSpacing/>
        <w:jc w:val="both"/>
        <w:rPr>
          <w:rFonts w:ascii="Palatino Linotype" w:eastAsia="MS Mincho" w:hAnsi="Palatino Linotype" w:cstheme="minorBidi"/>
          <w:lang w:val="es-ES_tradnl" w:eastAsia="es-ES"/>
        </w:rPr>
      </w:pPr>
      <w:r w:rsidRPr="004957B1">
        <w:rPr>
          <w:rFonts w:ascii="Palatino Linotype" w:eastAsiaTheme="minorEastAsia" w:hAnsi="Palatino Linotype" w:cstheme="minorBidi"/>
          <w:b/>
          <w:lang w:val="es-ES_tradnl" w:eastAsia="es-ES_tradnl"/>
        </w:rPr>
        <w:t xml:space="preserve">CUARTO. </w:t>
      </w:r>
      <w:r w:rsidRPr="004957B1">
        <w:rPr>
          <w:rFonts w:ascii="Palatino Linotype" w:eastAsia="MS Mincho" w:hAnsi="Palatino Linotype" w:cstheme="minorBidi"/>
          <w:lang w:val="es-ES_tradnl" w:eastAsia="es-ES"/>
        </w:rPr>
        <w:t xml:space="preserve">Se hace del conocimiento de </w:t>
      </w:r>
      <w:r w:rsidRPr="004957B1">
        <w:rPr>
          <w:rFonts w:ascii="Palatino Linotype" w:eastAsia="MS Mincho" w:hAnsi="Palatino Linotype" w:cstheme="minorBidi"/>
          <w:b/>
          <w:lang w:val="es-ES_tradnl" w:eastAsia="es-ES"/>
        </w:rPr>
        <w:t>EL RECURRENTE</w:t>
      </w:r>
      <w:r w:rsidRPr="004957B1">
        <w:rPr>
          <w:rFonts w:ascii="Palatino Linotype" w:eastAsiaTheme="minorEastAsia" w:hAnsi="Palatino Linotype" w:cstheme="minorBidi"/>
          <w:lang w:val="es-ES_tradnl" w:eastAsia="es-ES"/>
        </w:rPr>
        <w:t xml:space="preserve"> </w:t>
      </w:r>
      <w:r w:rsidRPr="004957B1">
        <w:rPr>
          <w:rFonts w:ascii="Palatino Linotype" w:eastAsia="MS Mincho" w:hAnsi="Palatino Linotype" w:cstheme="minorBidi"/>
          <w:lang w:val="es-ES_tradnl"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4957B1">
        <w:rPr>
          <w:rFonts w:ascii="Palatino Linotype" w:eastAsia="MS Mincho" w:hAnsi="Palatino Linotype" w:cstheme="minorBidi"/>
          <w:bCs/>
          <w:lang w:val="es-ES_tradnl" w:eastAsia="es-ES"/>
        </w:rPr>
        <w:t>vía juicio de amparo</w:t>
      </w:r>
      <w:r w:rsidRPr="004957B1">
        <w:rPr>
          <w:rFonts w:ascii="Palatino Linotype" w:eastAsia="MS Mincho" w:hAnsi="Palatino Linotype" w:cstheme="minorBidi"/>
          <w:lang w:val="es-ES_tradnl" w:eastAsia="es-ES"/>
        </w:rPr>
        <w:t> en los té</w:t>
      </w:r>
      <w:r w:rsidR="00375622" w:rsidRPr="004957B1">
        <w:rPr>
          <w:rFonts w:ascii="Palatino Linotype" w:eastAsia="MS Mincho" w:hAnsi="Palatino Linotype" w:cstheme="minorBidi"/>
          <w:lang w:val="es-ES_tradnl" w:eastAsia="es-ES"/>
        </w:rPr>
        <w:t>rminos de las leyes aplicables.</w:t>
      </w:r>
    </w:p>
    <w:p w:rsidR="003347EC" w:rsidRPr="004957B1" w:rsidRDefault="003347EC" w:rsidP="003347EC">
      <w:pPr>
        <w:widowControl w:val="0"/>
        <w:tabs>
          <w:tab w:val="left" w:pos="1701"/>
        </w:tabs>
        <w:autoSpaceDE w:val="0"/>
        <w:autoSpaceDN w:val="0"/>
        <w:adjustRightInd w:val="0"/>
        <w:spacing w:line="360" w:lineRule="auto"/>
        <w:contextualSpacing/>
        <w:jc w:val="both"/>
        <w:rPr>
          <w:rFonts w:ascii="Palatino Linotype" w:eastAsia="MS Mincho" w:hAnsi="Palatino Linotype" w:cstheme="minorBidi"/>
          <w:lang w:val="es-ES_tradnl" w:eastAsia="es-ES"/>
        </w:rPr>
      </w:pPr>
    </w:p>
    <w:p w:rsidR="00804B59" w:rsidRPr="003C7186" w:rsidRDefault="00804B59" w:rsidP="00804B59">
      <w:pPr>
        <w:spacing w:line="360" w:lineRule="auto"/>
        <w:ind w:left="-142" w:right="-234" w:firstLine="1"/>
        <w:jc w:val="both"/>
        <w:rPr>
          <w:rFonts w:ascii="Palatino Linotype" w:hAnsi="Palatino Linotype"/>
        </w:rPr>
      </w:pPr>
      <w:r w:rsidRPr="004957B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7" w:name="_GoBack"/>
      <w:bookmarkEnd w:id="17"/>
      <w:r w:rsidRPr="003C7186">
        <w:rPr>
          <w:rFonts w:ascii="Palatino Linotype" w:hAnsi="Palatino Linotype"/>
        </w:rPr>
        <w:t xml:space="preserve"> </w:t>
      </w:r>
    </w:p>
    <w:p w:rsidR="00804B59" w:rsidRPr="00902BA4" w:rsidRDefault="00804B59" w:rsidP="00804B59">
      <w:pPr>
        <w:widowControl w:val="0"/>
        <w:autoSpaceDE w:val="0"/>
        <w:autoSpaceDN w:val="0"/>
        <w:adjustRightInd w:val="0"/>
        <w:spacing w:after="200" w:line="276" w:lineRule="auto"/>
        <w:ind w:left="-142" w:right="-234"/>
        <w:rPr>
          <w:rFonts w:ascii="Calibri" w:hAnsi="Calibri" w:cs="Calibri"/>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sectPr w:rsidR="000F1B65" w:rsidRPr="00B349BB">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1F" w:rsidRDefault="00187A1F">
      <w:r>
        <w:separator/>
      </w:r>
    </w:p>
  </w:endnote>
  <w:endnote w:type="continuationSeparator" w:id="0">
    <w:p w:rsidR="00187A1F" w:rsidRDefault="0018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58" w:rsidRDefault="00907B5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957B1">
      <w:rPr>
        <w:b/>
        <w:noProof/>
        <w:color w:val="000000"/>
      </w:rPr>
      <w:t>15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957B1">
      <w:rPr>
        <w:b/>
        <w:noProof/>
        <w:color w:val="000000"/>
      </w:rPr>
      <w:t>15</w:t>
    </w:r>
    <w:r>
      <w:rPr>
        <w:b/>
        <w:color w:val="000000"/>
      </w:rPr>
      <w:fldChar w:fldCharType="end"/>
    </w:r>
  </w:p>
  <w:p w:rsidR="00907B58" w:rsidRDefault="00907B5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58" w:rsidRDefault="00907B5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957B1">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957B1">
      <w:rPr>
        <w:b/>
        <w:noProof/>
        <w:color w:val="000000"/>
      </w:rPr>
      <w:t>15</w:t>
    </w:r>
    <w:r>
      <w:rPr>
        <w:b/>
        <w:color w:val="000000"/>
      </w:rPr>
      <w:fldChar w:fldCharType="end"/>
    </w:r>
  </w:p>
  <w:p w:rsidR="00907B58" w:rsidRDefault="00907B5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1F" w:rsidRDefault="00187A1F">
      <w:r>
        <w:separator/>
      </w:r>
    </w:p>
  </w:footnote>
  <w:footnote w:type="continuationSeparator" w:id="0">
    <w:p w:rsidR="00187A1F" w:rsidRDefault="0018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58" w:rsidRDefault="00187A1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58" w:rsidRDefault="00907B58">
    <w:pPr>
      <w:widowControl w:val="0"/>
      <w:pBdr>
        <w:top w:val="nil"/>
        <w:left w:val="nil"/>
        <w:bottom w:val="nil"/>
        <w:right w:val="nil"/>
        <w:between w:val="nil"/>
      </w:pBdr>
      <w:spacing w:line="276" w:lineRule="auto"/>
      <w:rPr>
        <w:color w:val="000000"/>
      </w:rPr>
    </w:pPr>
  </w:p>
  <w:tbl>
    <w:tblPr>
      <w:tblStyle w:val="a4"/>
      <w:tblW w:w="9214" w:type="dxa"/>
      <w:tblInd w:w="0" w:type="dxa"/>
      <w:tblLayout w:type="fixed"/>
      <w:tblLook w:val="0400" w:firstRow="0" w:lastRow="0" w:firstColumn="0" w:lastColumn="0" w:noHBand="0" w:noVBand="1"/>
    </w:tblPr>
    <w:tblGrid>
      <w:gridCol w:w="2268"/>
      <w:gridCol w:w="6946"/>
    </w:tblGrid>
    <w:tr w:rsidR="00907B58">
      <w:trPr>
        <w:trHeight w:val="1734"/>
      </w:trPr>
      <w:tc>
        <w:tcPr>
          <w:tcW w:w="2268" w:type="dxa"/>
          <w:shd w:val="clear" w:color="auto" w:fill="auto"/>
        </w:tcPr>
        <w:p w:rsidR="00907B58" w:rsidRDefault="00907B58">
          <w:pPr>
            <w:tabs>
              <w:tab w:val="right" w:pos="4273"/>
            </w:tabs>
            <w:rPr>
              <w:rFonts w:ascii="Garamond" w:eastAsia="Garamond" w:hAnsi="Garamond" w:cs="Garamond"/>
              <w:sz w:val="16"/>
              <w:szCs w:val="16"/>
            </w:rPr>
          </w:pPr>
        </w:p>
      </w:tc>
      <w:tc>
        <w:tcPr>
          <w:tcW w:w="6946" w:type="dxa"/>
          <w:shd w:val="clear" w:color="auto" w:fill="auto"/>
        </w:tcPr>
        <w:p w:rsidR="00907B58" w:rsidRDefault="00907B58"/>
        <w:tbl>
          <w:tblPr>
            <w:tblStyle w:val="a5"/>
            <w:tblW w:w="6660" w:type="dxa"/>
            <w:tblInd w:w="40" w:type="dxa"/>
            <w:tblLayout w:type="fixed"/>
            <w:tblLook w:val="0400" w:firstRow="0" w:lastRow="0" w:firstColumn="0" w:lastColumn="0" w:noHBand="0" w:noVBand="1"/>
          </w:tblPr>
          <w:tblGrid>
            <w:gridCol w:w="2715"/>
            <w:gridCol w:w="3945"/>
          </w:tblGrid>
          <w:tr w:rsidR="00907B58">
            <w:trPr>
              <w:trHeight w:val="150"/>
            </w:trPr>
            <w:tc>
              <w:tcPr>
                <w:tcW w:w="2715" w:type="dxa"/>
                <w:shd w:val="clear" w:color="auto" w:fill="auto"/>
              </w:tcPr>
              <w:p w:rsidR="00907B58" w:rsidRDefault="00907B5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45" w:type="dxa"/>
                <w:shd w:val="clear" w:color="auto" w:fill="auto"/>
              </w:tcPr>
              <w:p w:rsidR="00907B58" w:rsidRDefault="00907B58">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04358/INFOEM/IP/RR/2024</w:t>
                </w:r>
              </w:p>
            </w:tc>
          </w:tr>
          <w:tr w:rsidR="00907B58">
            <w:trPr>
              <w:trHeight w:val="295"/>
            </w:trPr>
            <w:tc>
              <w:tcPr>
                <w:tcW w:w="2715" w:type="dxa"/>
                <w:shd w:val="clear" w:color="auto" w:fill="auto"/>
              </w:tcPr>
              <w:p w:rsidR="00907B58" w:rsidRDefault="00907B5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45" w:type="dxa"/>
                <w:shd w:val="clear" w:color="auto" w:fill="auto"/>
              </w:tcPr>
              <w:p w:rsidR="00907B58" w:rsidRDefault="00907B58" w:rsidP="0094525B">
                <w:pPr>
                  <w:ind w:left="-108" w:right="-1113"/>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Ayuntamiento de Ixtapaluca</w:t>
                </w:r>
              </w:p>
            </w:tc>
          </w:tr>
          <w:tr w:rsidR="00907B58">
            <w:trPr>
              <w:trHeight w:val="295"/>
            </w:trPr>
            <w:tc>
              <w:tcPr>
                <w:tcW w:w="2715" w:type="dxa"/>
                <w:shd w:val="clear" w:color="auto" w:fill="auto"/>
              </w:tcPr>
              <w:p w:rsidR="00907B58" w:rsidRDefault="00907B5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45" w:type="dxa"/>
                <w:shd w:val="clear" w:color="auto" w:fill="auto"/>
              </w:tcPr>
              <w:p w:rsidR="00907B58" w:rsidRDefault="00907B58">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907B58" w:rsidRDefault="00907B58">
                <w:pPr>
                  <w:ind w:left="-108" w:right="-1113"/>
                  <w:rPr>
                    <w:rFonts w:ascii="Palatino Linotype" w:eastAsia="Palatino Linotype" w:hAnsi="Palatino Linotype" w:cs="Palatino Linotype"/>
                    <w:b/>
                    <w:sz w:val="22"/>
                    <w:szCs w:val="22"/>
                  </w:rPr>
                </w:pPr>
              </w:p>
            </w:tc>
          </w:tr>
        </w:tbl>
        <w:p w:rsidR="00907B58" w:rsidRDefault="00907B58">
          <w:pPr>
            <w:tabs>
              <w:tab w:val="right" w:pos="8838"/>
            </w:tabs>
            <w:ind w:left="-28"/>
            <w:jc w:val="both"/>
            <w:rPr>
              <w:rFonts w:ascii="Arial" w:eastAsia="Arial" w:hAnsi="Arial" w:cs="Arial"/>
              <w:b/>
              <w:sz w:val="22"/>
              <w:szCs w:val="22"/>
            </w:rPr>
          </w:pPr>
        </w:p>
      </w:tc>
    </w:tr>
  </w:tbl>
  <w:p w:rsidR="00907B58" w:rsidRDefault="00187A1F">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58" w:rsidRDefault="00907B58">
    <w:pPr>
      <w:widowControl w:val="0"/>
      <w:pBdr>
        <w:top w:val="nil"/>
        <w:left w:val="nil"/>
        <w:bottom w:val="nil"/>
        <w:right w:val="nil"/>
        <w:between w:val="nil"/>
      </w:pBdr>
      <w:spacing w:line="276" w:lineRule="auto"/>
      <w:rPr>
        <w:color w:val="000000"/>
        <w:sz w:val="14"/>
        <w:szCs w:val="14"/>
      </w:rPr>
    </w:pPr>
  </w:p>
  <w:tbl>
    <w:tblPr>
      <w:tblStyle w:val="a6"/>
      <w:tblW w:w="9870" w:type="dxa"/>
      <w:tblInd w:w="0" w:type="dxa"/>
      <w:tblLayout w:type="fixed"/>
      <w:tblLook w:val="0400" w:firstRow="0" w:lastRow="0" w:firstColumn="0" w:lastColumn="0" w:noHBand="0" w:noVBand="1"/>
    </w:tblPr>
    <w:tblGrid>
      <w:gridCol w:w="2265"/>
      <w:gridCol w:w="7605"/>
    </w:tblGrid>
    <w:tr w:rsidR="00907B58">
      <w:trPr>
        <w:trHeight w:val="1435"/>
      </w:trPr>
      <w:tc>
        <w:tcPr>
          <w:tcW w:w="2265" w:type="dxa"/>
          <w:shd w:val="clear" w:color="auto" w:fill="auto"/>
        </w:tcPr>
        <w:p w:rsidR="00907B58" w:rsidRDefault="00907B58">
          <w:pPr>
            <w:tabs>
              <w:tab w:val="right" w:pos="4273"/>
            </w:tabs>
            <w:rPr>
              <w:rFonts w:ascii="Garamond" w:eastAsia="Garamond" w:hAnsi="Garamond" w:cs="Garamond"/>
              <w:sz w:val="22"/>
              <w:szCs w:val="22"/>
            </w:rPr>
          </w:pPr>
        </w:p>
      </w:tc>
      <w:tc>
        <w:tcPr>
          <w:tcW w:w="7605" w:type="dxa"/>
          <w:shd w:val="clear" w:color="auto" w:fill="auto"/>
        </w:tcPr>
        <w:p w:rsidR="00907B58" w:rsidRDefault="00907B58">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7"/>
            <w:tblW w:w="7305" w:type="dxa"/>
            <w:tblInd w:w="40" w:type="dxa"/>
            <w:tblLayout w:type="fixed"/>
            <w:tblLook w:val="0400" w:firstRow="0" w:lastRow="0" w:firstColumn="0" w:lastColumn="0" w:noHBand="0" w:noVBand="1"/>
          </w:tblPr>
          <w:tblGrid>
            <w:gridCol w:w="2445"/>
            <w:gridCol w:w="4860"/>
          </w:tblGrid>
          <w:tr w:rsidR="00907B58">
            <w:trPr>
              <w:trHeight w:val="311"/>
            </w:trPr>
            <w:tc>
              <w:tcPr>
                <w:tcW w:w="2445" w:type="dxa"/>
                <w:shd w:val="clear" w:color="auto" w:fill="auto"/>
              </w:tcPr>
              <w:p w:rsidR="00907B58" w:rsidRDefault="00907B58">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shd w:val="clear" w:color="auto" w:fill="auto"/>
              </w:tcPr>
              <w:p w:rsidR="00907B58" w:rsidRPr="00E23D55" w:rsidRDefault="00804B59">
                <w:pPr>
                  <w:tabs>
                    <w:tab w:val="right" w:pos="8838"/>
                  </w:tabs>
                  <w:ind w:left="-74" w:right="-560"/>
                  <w:rPr>
                    <w:rFonts w:ascii="Palatino Linotype" w:eastAsia="Palatino Linotype" w:hAnsi="Palatino Linotype" w:cs="Palatino Linotype"/>
                    <w:color w:val="auto"/>
                    <w:sz w:val="22"/>
                    <w:szCs w:val="22"/>
                  </w:rPr>
                </w:pPr>
                <w:r>
                  <w:rPr>
                    <w:rFonts w:ascii="Palatino Linotype" w:eastAsia="Palatino Linotype" w:hAnsi="Palatino Linotype" w:cs="Palatino Linotype"/>
                    <w:color w:val="auto"/>
                    <w:sz w:val="22"/>
                    <w:szCs w:val="22"/>
                  </w:rPr>
                  <w:t>04358</w:t>
                </w:r>
                <w:r w:rsidR="00907B58" w:rsidRPr="00E23D55">
                  <w:rPr>
                    <w:rFonts w:ascii="Palatino Linotype" w:eastAsia="Palatino Linotype" w:hAnsi="Palatino Linotype" w:cs="Palatino Linotype"/>
                    <w:color w:val="auto"/>
                    <w:sz w:val="22"/>
                    <w:szCs w:val="22"/>
                  </w:rPr>
                  <w:t>/INFOEM/IP/RR/2024</w:t>
                </w:r>
              </w:p>
            </w:tc>
          </w:tr>
          <w:tr w:rsidR="00907B58">
            <w:trPr>
              <w:trHeight w:val="144"/>
            </w:trPr>
            <w:tc>
              <w:tcPr>
                <w:tcW w:w="2445" w:type="dxa"/>
                <w:shd w:val="clear" w:color="auto" w:fill="auto"/>
              </w:tcPr>
              <w:p w:rsidR="00907B58" w:rsidRDefault="00907B5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shd w:val="clear" w:color="auto" w:fill="auto"/>
              </w:tcPr>
              <w:p w:rsidR="00907B58" w:rsidRPr="00E23D55" w:rsidRDefault="004957B1">
                <w:pPr>
                  <w:tabs>
                    <w:tab w:val="left" w:pos="3122"/>
                    <w:tab w:val="right" w:pos="8838"/>
                  </w:tabs>
                  <w:ind w:right="-560"/>
                  <w:rPr>
                    <w:rFonts w:ascii="Palatino Linotype" w:eastAsia="Palatino Linotype" w:hAnsi="Palatino Linotype" w:cs="Palatino Linotype"/>
                    <w:color w:val="auto"/>
                    <w:sz w:val="22"/>
                    <w:szCs w:val="22"/>
                  </w:rPr>
                </w:pPr>
                <w:r>
                  <w:rPr>
                    <w:rFonts w:ascii="Palatino Linotype" w:eastAsia="Palatino Linotype" w:hAnsi="Palatino Linotype" w:cs="Palatino Linotype"/>
                    <w:color w:val="auto"/>
                    <w:sz w:val="22"/>
                    <w:szCs w:val="22"/>
                  </w:rPr>
                  <w:t>XXXXXXXXXXXX</w:t>
                </w:r>
                <w:r w:rsidR="00907B58" w:rsidRPr="00E23D55">
                  <w:rPr>
                    <w:rFonts w:ascii="Palatino Linotype" w:eastAsia="Palatino Linotype" w:hAnsi="Palatino Linotype" w:cs="Palatino Linotype"/>
                    <w:color w:val="auto"/>
                    <w:sz w:val="22"/>
                    <w:szCs w:val="22"/>
                  </w:rPr>
                  <w:t xml:space="preserve"> </w:t>
                </w:r>
              </w:p>
            </w:tc>
          </w:tr>
          <w:tr w:rsidR="00907B58">
            <w:trPr>
              <w:trHeight w:val="283"/>
            </w:trPr>
            <w:tc>
              <w:tcPr>
                <w:tcW w:w="2445" w:type="dxa"/>
                <w:shd w:val="clear" w:color="auto" w:fill="auto"/>
              </w:tcPr>
              <w:p w:rsidR="00907B58" w:rsidRDefault="00907B5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shd w:val="clear" w:color="auto" w:fill="auto"/>
              </w:tcPr>
              <w:p w:rsidR="00907B58" w:rsidRPr="00E23D55" w:rsidRDefault="00907B58">
                <w:pPr>
                  <w:tabs>
                    <w:tab w:val="left" w:pos="2834"/>
                    <w:tab w:val="right" w:pos="8838"/>
                  </w:tabs>
                  <w:ind w:left="-74" w:right="-560"/>
                  <w:rPr>
                    <w:rFonts w:ascii="Palatino Linotype" w:eastAsia="Palatino Linotype" w:hAnsi="Palatino Linotype" w:cs="Palatino Linotype"/>
                    <w:color w:val="auto"/>
                    <w:sz w:val="22"/>
                    <w:szCs w:val="22"/>
                  </w:rPr>
                </w:pPr>
                <w:r w:rsidRPr="00E23D55">
                  <w:rPr>
                    <w:rFonts w:ascii="Palatino Linotype" w:eastAsia="Palatino Linotype" w:hAnsi="Palatino Linotype" w:cs="Palatino Linotype"/>
                    <w:color w:val="auto"/>
                    <w:sz w:val="22"/>
                    <w:szCs w:val="22"/>
                  </w:rPr>
                  <w:t>Ayuntamiento de Ixtapaluca</w:t>
                </w:r>
              </w:p>
            </w:tc>
          </w:tr>
          <w:tr w:rsidR="00907B58">
            <w:trPr>
              <w:trHeight w:val="283"/>
            </w:trPr>
            <w:tc>
              <w:tcPr>
                <w:tcW w:w="2445" w:type="dxa"/>
                <w:shd w:val="clear" w:color="auto" w:fill="auto"/>
              </w:tcPr>
              <w:p w:rsidR="00907B58" w:rsidRDefault="00907B5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shd w:val="clear" w:color="auto" w:fill="auto"/>
              </w:tcPr>
              <w:p w:rsidR="00907B58" w:rsidRPr="00E23D55" w:rsidRDefault="00907B58">
                <w:pPr>
                  <w:tabs>
                    <w:tab w:val="right" w:pos="8838"/>
                  </w:tabs>
                  <w:ind w:left="-74" w:right="-560"/>
                  <w:rPr>
                    <w:rFonts w:ascii="Palatino Linotype" w:eastAsia="Palatino Linotype" w:hAnsi="Palatino Linotype" w:cs="Palatino Linotype"/>
                    <w:color w:val="auto"/>
                    <w:sz w:val="22"/>
                    <w:szCs w:val="22"/>
                  </w:rPr>
                </w:pPr>
                <w:r w:rsidRPr="00E23D55">
                  <w:rPr>
                    <w:rFonts w:ascii="Palatino Linotype" w:eastAsia="Palatino Linotype" w:hAnsi="Palatino Linotype" w:cs="Palatino Linotype"/>
                    <w:color w:val="auto"/>
                    <w:sz w:val="22"/>
                    <w:szCs w:val="22"/>
                  </w:rPr>
                  <w:t>María del Rosario Mejía Ayala</w:t>
                </w:r>
              </w:p>
              <w:p w:rsidR="00907B58" w:rsidRPr="00E23D55" w:rsidRDefault="00907B58">
                <w:pPr>
                  <w:tabs>
                    <w:tab w:val="right" w:pos="8838"/>
                  </w:tabs>
                  <w:ind w:left="-74" w:right="-560"/>
                  <w:rPr>
                    <w:rFonts w:ascii="Palatino Linotype" w:eastAsia="Palatino Linotype" w:hAnsi="Palatino Linotype" w:cs="Palatino Linotype"/>
                    <w:b/>
                    <w:color w:val="auto"/>
                    <w:sz w:val="22"/>
                    <w:szCs w:val="22"/>
                  </w:rPr>
                </w:pPr>
              </w:p>
            </w:tc>
          </w:tr>
        </w:tbl>
        <w:p w:rsidR="00907B58" w:rsidRDefault="00907B58">
          <w:pPr>
            <w:tabs>
              <w:tab w:val="right" w:pos="8838"/>
            </w:tabs>
            <w:ind w:left="-28"/>
            <w:jc w:val="both"/>
            <w:rPr>
              <w:rFonts w:ascii="Arial" w:eastAsia="Arial" w:hAnsi="Arial" w:cs="Arial"/>
              <w:b/>
              <w:sz w:val="22"/>
              <w:szCs w:val="22"/>
            </w:rPr>
          </w:pPr>
        </w:p>
      </w:tc>
    </w:tr>
  </w:tbl>
  <w:p w:rsidR="00907B58" w:rsidRDefault="00187A1F">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322"/>
    <w:multiLevelType w:val="multilevel"/>
    <w:tmpl w:val="F050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30D40"/>
    <w:multiLevelType w:val="hybridMultilevel"/>
    <w:tmpl w:val="25E64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DE53E4"/>
    <w:multiLevelType w:val="multilevel"/>
    <w:tmpl w:val="0D864EB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28080B"/>
    <w:multiLevelType w:val="hybridMultilevel"/>
    <w:tmpl w:val="7D107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DE5BB9"/>
    <w:multiLevelType w:val="multilevel"/>
    <w:tmpl w:val="12ACA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336EA5"/>
    <w:multiLevelType w:val="hybridMultilevel"/>
    <w:tmpl w:val="C1940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694CE0"/>
    <w:multiLevelType w:val="multilevel"/>
    <w:tmpl w:val="01A0A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317490"/>
    <w:multiLevelType w:val="hybridMultilevel"/>
    <w:tmpl w:val="4E50E004"/>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9" w15:restartNumberingAfterBreak="0">
    <w:nsid w:val="48691E4E"/>
    <w:multiLevelType w:val="multilevel"/>
    <w:tmpl w:val="A5F8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9F4A32"/>
    <w:multiLevelType w:val="multilevel"/>
    <w:tmpl w:val="63FE7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2" w15:restartNumberingAfterBreak="0">
    <w:nsid w:val="5C9A3D15"/>
    <w:multiLevelType w:val="hybridMultilevel"/>
    <w:tmpl w:val="998AE7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A050A7"/>
    <w:multiLevelType w:val="hybridMultilevel"/>
    <w:tmpl w:val="C2D61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860B9B"/>
    <w:multiLevelType w:val="multilevel"/>
    <w:tmpl w:val="C92656B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9B3977"/>
    <w:multiLevelType w:val="multilevel"/>
    <w:tmpl w:val="B4DC13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10"/>
  </w:num>
  <w:num w:numId="4">
    <w:abstractNumId w:val="6"/>
  </w:num>
  <w:num w:numId="5">
    <w:abstractNumId w:val="0"/>
  </w:num>
  <w:num w:numId="6">
    <w:abstractNumId w:val="2"/>
  </w:num>
  <w:num w:numId="7">
    <w:abstractNumId w:val="16"/>
  </w:num>
  <w:num w:numId="8">
    <w:abstractNumId w:val="14"/>
  </w:num>
  <w:num w:numId="9">
    <w:abstractNumId w:val="15"/>
  </w:num>
  <w:num w:numId="10">
    <w:abstractNumId w:val="4"/>
  </w:num>
  <w:num w:numId="11">
    <w:abstractNumId w:val="12"/>
  </w:num>
  <w:num w:numId="12">
    <w:abstractNumId w:val="1"/>
  </w:num>
  <w:num w:numId="13">
    <w:abstractNumId w:val="8"/>
  </w:num>
  <w:num w:numId="14">
    <w:abstractNumId w:val="13"/>
  </w:num>
  <w:num w:numId="15">
    <w:abstractNumId w:val="1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65"/>
    <w:rsid w:val="00045FD4"/>
    <w:rsid w:val="000712BC"/>
    <w:rsid w:val="000740B0"/>
    <w:rsid w:val="000A136E"/>
    <w:rsid w:val="000F1B65"/>
    <w:rsid w:val="000F43AC"/>
    <w:rsid w:val="00117C4F"/>
    <w:rsid w:val="0014317E"/>
    <w:rsid w:val="00160BCE"/>
    <w:rsid w:val="001867C9"/>
    <w:rsid w:val="00187A1F"/>
    <w:rsid w:val="001A6AAA"/>
    <w:rsid w:val="002200A5"/>
    <w:rsid w:val="0022570B"/>
    <w:rsid w:val="002851C6"/>
    <w:rsid w:val="002C5210"/>
    <w:rsid w:val="00331AE8"/>
    <w:rsid w:val="003347EC"/>
    <w:rsid w:val="00375622"/>
    <w:rsid w:val="00381520"/>
    <w:rsid w:val="003E212D"/>
    <w:rsid w:val="00411B1F"/>
    <w:rsid w:val="00471B8C"/>
    <w:rsid w:val="004957B1"/>
    <w:rsid w:val="004D063B"/>
    <w:rsid w:val="00545C40"/>
    <w:rsid w:val="005E216F"/>
    <w:rsid w:val="00677A43"/>
    <w:rsid w:val="006B6702"/>
    <w:rsid w:val="006E2F77"/>
    <w:rsid w:val="006F06AB"/>
    <w:rsid w:val="007047EF"/>
    <w:rsid w:val="00712AE4"/>
    <w:rsid w:val="007302E3"/>
    <w:rsid w:val="00765DC9"/>
    <w:rsid w:val="00804B59"/>
    <w:rsid w:val="008332BF"/>
    <w:rsid w:val="0086419C"/>
    <w:rsid w:val="0087028C"/>
    <w:rsid w:val="0089142A"/>
    <w:rsid w:val="008A7050"/>
    <w:rsid w:val="008D6987"/>
    <w:rsid w:val="00907B58"/>
    <w:rsid w:val="0094525B"/>
    <w:rsid w:val="00945FFA"/>
    <w:rsid w:val="00953F40"/>
    <w:rsid w:val="00993877"/>
    <w:rsid w:val="009B3750"/>
    <w:rsid w:val="009D2E6B"/>
    <w:rsid w:val="00A51838"/>
    <w:rsid w:val="00A856CE"/>
    <w:rsid w:val="00A873B4"/>
    <w:rsid w:val="00B101B2"/>
    <w:rsid w:val="00B27994"/>
    <w:rsid w:val="00B349BB"/>
    <w:rsid w:val="00B35113"/>
    <w:rsid w:val="00B730F1"/>
    <w:rsid w:val="00B85ED0"/>
    <w:rsid w:val="00BA052F"/>
    <w:rsid w:val="00BB5C82"/>
    <w:rsid w:val="00C177C2"/>
    <w:rsid w:val="00C6242A"/>
    <w:rsid w:val="00CD3A74"/>
    <w:rsid w:val="00CE3DAE"/>
    <w:rsid w:val="00CE426C"/>
    <w:rsid w:val="00D0312C"/>
    <w:rsid w:val="00D76ACF"/>
    <w:rsid w:val="00D90CB2"/>
    <w:rsid w:val="00E23D55"/>
    <w:rsid w:val="00E91CC0"/>
    <w:rsid w:val="00F43972"/>
    <w:rsid w:val="00FC7CAE"/>
    <w:rsid w:val="00FD1058"/>
    <w:rsid w:val="00FF2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ED71D29-F4A4-4E4A-AF0F-BEB3FC9E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
    <w:link w:val="SinespaciadoCar"/>
    <w:uiPriority w:val="1"/>
    <w:qFormat/>
    <w:rsid w:val="00CE3EF5"/>
  </w:style>
  <w:style w:type="character" w:customStyle="1" w:styleId="SinespaciadoCar">
    <w:name w:val="Sin espaciado Car"/>
    <w:aliases w:val="Francesa Car,INAI Car"/>
    <w:link w:val="Sinespaciado"/>
    <w:uiPriority w:val="1"/>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de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3Vl3NwHYLWJ9iKLjKFCjxcK1w==">CgMxLjAyCGguZ2pkZ3hzMgloLjMwajB6bGwyCWguMWZvYjl0ZTIJaC4zem55c2g3MgloLjJldDkycDAyCWguM2R5NnZrbTIIaC5sbnhiejkyCWguMzVua3VuMjIJaC4zcmRjcmpuMgloLjFrc3Y0dXY4AHIhMU1Vb1pxMm45U1FENlVMVUo5djJaMFlmLUZJQklFdDdQ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15</Pages>
  <Words>3082</Words>
  <Characters>16953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INFOEM403</cp:lastModifiedBy>
  <cp:revision>14</cp:revision>
  <dcterms:created xsi:type="dcterms:W3CDTF">2024-11-19T16:59:00Z</dcterms:created>
  <dcterms:modified xsi:type="dcterms:W3CDTF">2025-01-22T00:22:00Z</dcterms:modified>
</cp:coreProperties>
</file>