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CCE6E5"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a veintiocho de febrero de dos mil veinticuatro. </w:t>
      </w:r>
    </w:p>
    <w:p w14:paraId="16C2E28B" w14:textId="58662AE3"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VISTO</w:t>
      </w:r>
      <w:r w:rsidRPr="001C5AE2">
        <w:rPr>
          <w:rFonts w:ascii="Palatino Linotype" w:eastAsia="Palatino Linotype" w:hAnsi="Palatino Linotype" w:cs="Palatino Linotype"/>
        </w:rPr>
        <w:t xml:space="preserve"> el expediente formado con motivo del recurso de revisión </w:t>
      </w:r>
      <w:r w:rsidRPr="001C5AE2">
        <w:rPr>
          <w:rFonts w:ascii="Palatino Linotype" w:eastAsia="Palatino Linotype" w:hAnsi="Palatino Linotype" w:cs="Palatino Linotype"/>
          <w:b/>
        </w:rPr>
        <w:t>04439/INFOEM/IP/RR/2023</w:t>
      </w:r>
      <w:r w:rsidRPr="001C5AE2">
        <w:rPr>
          <w:rFonts w:ascii="Palatino Linotype" w:eastAsia="Palatino Linotype" w:hAnsi="Palatino Linotype" w:cs="Palatino Linotype"/>
        </w:rPr>
        <w:t>, interpuesto por</w:t>
      </w:r>
      <w:r w:rsidRPr="001C5AE2">
        <w:rPr>
          <w:rFonts w:ascii="Palatino Linotype" w:eastAsia="Palatino Linotype" w:hAnsi="Palatino Linotype" w:cs="Palatino Linotype"/>
          <w:b/>
        </w:rPr>
        <w:t xml:space="preserve"> </w:t>
      </w:r>
      <w:r w:rsidR="00D63783">
        <w:rPr>
          <w:rFonts w:ascii="Palatino Linotype" w:eastAsia="Palatino Linotype" w:hAnsi="Palatino Linotype" w:cs="Palatino Linotype"/>
          <w:b/>
          <w:sz w:val="22"/>
          <w:szCs w:val="22"/>
        </w:rPr>
        <w:t>XXXXXXX XXXXXX XXXXX</w:t>
      </w:r>
      <w:r w:rsidRPr="001C5AE2">
        <w:rPr>
          <w:rFonts w:ascii="Palatino Linotype" w:eastAsia="Palatino Linotype" w:hAnsi="Palatino Linotype" w:cs="Palatino Linotype"/>
        </w:rPr>
        <w:t xml:space="preserve">, en lo sucesivo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en contra de la respuesta a su solicitud de información con número de folio</w:t>
      </w:r>
      <w:r w:rsidRPr="001C5AE2">
        <w:rPr>
          <w:rFonts w:ascii="Palatino Linotype" w:eastAsia="Palatino Linotype" w:hAnsi="Palatino Linotype" w:cs="Palatino Linotype"/>
          <w:b/>
        </w:rPr>
        <w:t xml:space="preserve"> 00041/CCLEM/IP/2023, </w:t>
      </w:r>
      <w:r w:rsidRPr="001C5AE2">
        <w:rPr>
          <w:rFonts w:ascii="Palatino Linotype" w:eastAsia="Palatino Linotype" w:hAnsi="Palatino Linotype" w:cs="Palatino Linotype"/>
        </w:rPr>
        <w:t xml:space="preserve">por parte del </w:t>
      </w:r>
      <w:r w:rsidRPr="001C5AE2">
        <w:rPr>
          <w:rFonts w:ascii="Palatino Linotype" w:eastAsia="Palatino Linotype" w:hAnsi="Palatino Linotype" w:cs="Palatino Linotype"/>
          <w:b/>
        </w:rPr>
        <w:t xml:space="preserve">Centro de Conciliación Laboral del Estado de México, </w:t>
      </w:r>
      <w:r w:rsidRPr="001C5AE2">
        <w:rPr>
          <w:rFonts w:ascii="Palatino Linotype" w:eastAsia="Palatino Linotype" w:hAnsi="Palatino Linotype" w:cs="Palatino Linotype"/>
        </w:rPr>
        <w:t xml:space="preserve">en lo sucesivo 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 xml:space="preserve">se procede a dictar la presente resolución con base en los siguientes: </w:t>
      </w:r>
    </w:p>
    <w:p w14:paraId="4D79B202" w14:textId="77777777" w:rsidR="00A656A7" w:rsidRPr="001C5AE2" w:rsidRDefault="001C5AE2">
      <w:pPr>
        <w:spacing w:before="240" w:after="240" w:line="360" w:lineRule="auto"/>
        <w:jc w:val="center"/>
        <w:rPr>
          <w:rFonts w:ascii="Palatino Linotype" w:eastAsia="Palatino Linotype" w:hAnsi="Palatino Linotype" w:cs="Palatino Linotype"/>
          <w:b/>
        </w:rPr>
      </w:pPr>
      <w:r w:rsidRPr="001C5AE2">
        <w:rPr>
          <w:rFonts w:ascii="Palatino Linotype" w:eastAsia="Palatino Linotype" w:hAnsi="Palatino Linotype" w:cs="Palatino Linotype"/>
          <w:b/>
        </w:rPr>
        <w:t>I. A N T E C E D E N T E S</w:t>
      </w:r>
    </w:p>
    <w:p w14:paraId="50AEC374" w14:textId="66935270"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1. Solicitud de acceso a la información.</w:t>
      </w:r>
      <w:r w:rsidRPr="001C5AE2">
        <w:rPr>
          <w:rFonts w:ascii="Palatino Linotype" w:eastAsia="Palatino Linotype" w:hAnsi="Palatino Linotype" w:cs="Palatino Linotype"/>
        </w:rPr>
        <w:t xml:space="preserve"> Con fecha </w:t>
      </w:r>
      <w:proofErr w:type="spellStart"/>
      <w:r w:rsidRPr="001C5AE2">
        <w:rPr>
          <w:rFonts w:ascii="Palatino Linotype" w:eastAsia="Palatino Linotype" w:hAnsi="Palatino Linotype" w:cs="Palatino Linotype"/>
          <w:b/>
        </w:rPr>
        <w:t>veinisiete</w:t>
      </w:r>
      <w:proofErr w:type="spellEnd"/>
      <w:r w:rsidRPr="001C5AE2">
        <w:rPr>
          <w:rFonts w:ascii="Palatino Linotype" w:eastAsia="Palatino Linotype" w:hAnsi="Palatino Linotype" w:cs="Palatino Linotype"/>
          <w:b/>
        </w:rPr>
        <w:t xml:space="preserve"> de junio de dos mil veintitrés,</w:t>
      </w:r>
      <w:r w:rsidRPr="001C5AE2">
        <w:rPr>
          <w:rFonts w:ascii="Palatino Linotype" w:eastAsia="Palatino Linotype" w:hAnsi="Palatino Linotype" w:cs="Palatino Linotype"/>
        </w:rPr>
        <w:t xml:space="preserve"> la parte </w:t>
      </w:r>
      <w:r w:rsidRPr="001C5AE2">
        <w:rPr>
          <w:rFonts w:ascii="Palatino Linotype" w:eastAsia="Palatino Linotype" w:hAnsi="Palatino Linotype" w:cs="Palatino Linotype"/>
          <w:b/>
        </w:rPr>
        <w:t xml:space="preserve">RECURRENTE </w:t>
      </w:r>
      <w:r w:rsidRPr="001C5AE2">
        <w:rPr>
          <w:rFonts w:ascii="Palatino Linotype" w:eastAsia="Palatino Linotype" w:hAnsi="Palatino Linotype" w:cs="Palatino Linotype"/>
        </w:rPr>
        <w:t xml:space="preserve">presentó, a través del Sistema de Acceso a la Información Mexiquense, en lo subsecuente el </w:t>
      </w:r>
      <w:r w:rsidRPr="001C5AE2">
        <w:rPr>
          <w:rFonts w:ascii="Palatino Linotype" w:eastAsia="Palatino Linotype" w:hAnsi="Palatino Linotype" w:cs="Palatino Linotype"/>
          <w:b/>
        </w:rPr>
        <w:t>SAIMEX,</w:t>
      </w:r>
      <w:r w:rsidRPr="001C5AE2">
        <w:rPr>
          <w:rFonts w:ascii="Palatino Linotype" w:eastAsia="Palatino Linotype" w:hAnsi="Palatino Linotype" w:cs="Palatino Linotype"/>
        </w:rPr>
        <w:t xml:space="preserve"> ante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la solicitud de acceso a la información pública, a la que se le asignó el número</w:t>
      </w:r>
      <w:r w:rsidRPr="001C5AE2">
        <w:rPr>
          <w:rFonts w:ascii="Palatino Linotype" w:eastAsia="Palatino Linotype" w:hAnsi="Palatino Linotype" w:cs="Palatino Linotype"/>
          <w:b/>
        </w:rPr>
        <w:t xml:space="preserve"> 00041/CCLEM/IP/2023, </w:t>
      </w:r>
      <w:r w:rsidRPr="001C5AE2">
        <w:rPr>
          <w:rFonts w:ascii="Palatino Linotype" w:eastAsia="Palatino Linotype" w:hAnsi="Palatino Linotype" w:cs="Palatino Linotype"/>
        </w:rPr>
        <w:t xml:space="preserve">mediante la cual requirió la información siguiente: </w:t>
      </w:r>
    </w:p>
    <w:p w14:paraId="5B8D12FA" w14:textId="77777777" w:rsidR="00A656A7" w:rsidRPr="001C5AE2" w:rsidRDefault="001C5AE2">
      <w:pPr>
        <w:spacing w:before="240"/>
        <w:ind w:left="851" w:right="902"/>
        <w:jc w:val="both"/>
        <w:rPr>
          <w:rFonts w:ascii="Palatino Linotype" w:eastAsia="Palatino Linotype" w:hAnsi="Palatino Linotype" w:cs="Palatino Linotype"/>
          <w:i/>
          <w:sz w:val="22"/>
          <w:szCs w:val="22"/>
        </w:rPr>
      </w:pPr>
      <w:bookmarkStart w:id="0" w:name="_heading=h.gjdgxs" w:colFirst="0" w:colLast="0"/>
      <w:bookmarkEnd w:id="0"/>
      <w:r w:rsidRPr="001C5AE2">
        <w:rPr>
          <w:rFonts w:ascii="Palatino Linotype" w:eastAsia="Palatino Linotype" w:hAnsi="Palatino Linotype" w:cs="Palatino Linotype"/>
          <w:i/>
          <w:sz w:val="22"/>
          <w:szCs w:val="22"/>
        </w:rPr>
        <w:t>“¿</w:t>
      </w:r>
      <w:proofErr w:type="spellStart"/>
      <w:r w:rsidRPr="001C5AE2">
        <w:rPr>
          <w:rFonts w:ascii="Palatino Linotype" w:eastAsia="Palatino Linotype" w:hAnsi="Palatino Linotype" w:cs="Palatino Linotype"/>
          <w:i/>
          <w:sz w:val="22"/>
          <w:szCs w:val="22"/>
        </w:rPr>
        <w:t>que</w:t>
      </w:r>
      <w:proofErr w:type="spellEnd"/>
      <w:r w:rsidRPr="001C5AE2">
        <w:rPr>
          <w:rFonts w:ascii="Palatino Linotype" w:eastAsia="Palatino Linotype" w:hAnsi="Palatino Linotype" w:cs="Palatino Linotype"/>
          <w:i/>
          <w:sz w:val="22"/>
          <w:szCs w:val="22"/>
        </w:rPr>
        <w:t xml:space="preserve"> programas de capacitación y actualización para la renovación de la certificación tiene la </w:t>
      </w:r>
      <w:proofErr w:type="spellStart"/>
      <w:r w:rsidRPr="001C5AE2">
        <w:rPr>
          <w:rFonts w:ascii="Palatino Linotype" w:eastAsia="Palatino Linotype" w:hAnsi="Palatino Linotype" w:cs="Palatino Linotype"/>
          <w:i/>
          <w:sz w:val="22"/>
          <w:szCs w:val="22"/>
        </w:rPr>
        <w:t>Lic</w:t>
      </w:r>
      <w:proofErr w:type="spellEnd"/>
      <w:r w:rsidRPr="001C5AE2">
        <w:rPr>
          <w:rFonts w:ascii="Palatino Linotype" w:eastAsia="Palatino Linotype" w:hAnsi="Palatino Linotype" w:cs="Palatino Linotype"/>
          <w:i/>
          <w:sz w:val="22"/>
          <w:szCs w:val="22"/>
        </w:rPr>
        <w:t xml:space="preserve"> Rosa </w:t>
      </w:r>
      <w:proofErr w:type="spellStart"/>
      <w:r w:rsidRPr="001C5AE2">
        <w:rPr>
          <w:rFonts w:ascii="Palatino Linotype" w:eastAsia="Palatino Linotype" w:hAnsi="Palatino Linotype" w:cs="Palatino Linotype"/>
          <w:i/>
          <w:sz w:val="22"/>
          <w:szCs w:val="22"/>
        </w:rPr>
        <w:t>Maria</w:t>
      </w:r>
      <w:proofErr w:type="spellEnd"/>
      <w:r w:rsidRPr="001C5AE2">
        <w:rPr>
          <w:rFonts w:ascii="Palatino Linotype" w:eastAsia="Palatino Linotype" w:hAnsi="Palatino Linotype" w:cs="Palatino Linotype"/>
          <w:i/>
          <w:sz w:val="22"/>
          <w:szCs w:val="22"/>
        </w:rPr>
        <w:t xml:space="preserve"> Nava </w:t>
      </w:r>
      <w:proofErr w:type="gramStart"/>
      <w:r w:rsidRPr="001C5AE2">
        <w:rPr>
          <w:rFonts w:ascii="Palatino Linotype" w:eastAsia="Palatino Linotype" w:hAnsi="Palatino Linotype" w:cs="Palatino Linotype"/>
          <w:i/>
          <w:sz w:val="22"/>
          <w:szCs w:val="22"/>
        </w:rPr>
        <w:t>Acuña ?</w:t>
      </w:r>
      <w:proofErr w:type="gramEnd"/>
      <w:r w:rsidRPr="001C5AE2">
        <w:rPr>
          <w:rFonts w:ascii="Palatino Linotype" w:eastAsia="Palatino Linotype" w:hAnsi="Palatino Linotype" w:cs="Palatino Linotype"/>
          <w:i/>
          <w:sz w:val="22"/>
          <w:szCs w:val="22"/>
        </w:rPr>
        <w:t xml:space="preserve"> ¿</w:t>
      </w:r>
      <w:proofErr w:type="spellStart"/>
      <w:r w:rsidRPr="001C5AE2">
        <w:rPr>
          <w:rFonts w:ascii="Palatino Linotype" w:eastAsia="Palatino Linotype" w:hAnsi="Palatino Linotype" w:cs="Palatino Linotype"/>
          <w:i/>
          <w:sz w:val="22"/>
          <w:szCs w:val="22"/>
        </w:rPr>
        <w:t>Que</w:t>
      </w:r>
      <w:proofErr w:type="spellEnd"/>
      <w:r w:rsidRPr="001C5AE2">
        <w:rPr>
          <w:rFonts w:ascii="Palatino Linotype" w:eastAsia="Palatino Linotype" w:hAnsi="Palatino Linotype" w:cs="Palatino Linotype"/>
          <w:i/>
          <w:sz w:val="22"/>
          <w:szCs w:val="22"/>
        </w:rPr>
        <w:t xml:space="preserve"> grado de estudios tiene la </w:t>
      </w:r>
      <w:proofErr w:type="spellStart"/>
      <w:r w:rsidRPr="001C5AE2">
        <w:rPr>
          <w:rFonts w:ascii="Palatino Linotype" w:eastAsia="Palatino Linotype" w:hAnsi="Palatino Linotype" w:cs="Palatino Linotype"/>
          <w:i/>
          <w:sz w:val="22"/>
          <w:szCs w:val="22"/>
        </w:rPr>
        <w:t>Lic</w:t>
      </w:r>
      <w:proofErr w:type="spellEnd"/>
      <w:r w:rsidRPr="001C5AE2">
        <w:rPr>
          <w:rFonts w:ascii="Palatino Linotype" w:eastAsia="Palatino Linotype" w:hAnsi="Palatino Linotype" w:cs="Palatino Linotype"/>
          <w:i/>
          <w:sz w:val="22"/>
          <w:szCs w:val="22"/>
        </w:rPr>
        <w:t xml:space="preserve"> Rosa </w:t>
      </w:r>
      <w:proofErr w:type="spellStart"/>
      <w:r w:rsidRPr="001C5AE2">
        <w:rPr>
          <w:rFonts w:ascii="Palatino Linotype" w:eastAsia="Palatino Linotype" w:hAnsi="Palatino Linotype" w:cs="Palatino Linotype"/>
          <w:i/>
          <w:sz w:val="22"/>
          <w:szCs w:val="22"/>
        </w:rPr>
        <w:t>MAria</w:t>
      </w:r>
      <w:proofErr w:type="spellEnd"/>
      <w:r w:rsidRPr="001C5AE2">
        <w:rPr>
          <w:rFonts w:ascii="Palatino Linotype" w:eastAsia="Palatino Linotype" w:hAnsi="Palatino Linotype" w:cs="Palatino Linotype"/>
          <w:i/>
          <w:sz w:val="22"/>
          <w:szCs w:val="22"/>
        </w:rPr>
        <w:t xml:space="preserve"> Nava Acuña? ¿</w:t>
      </w:r>
      <w:proofErr w:type="spellStart"/>
      <w:r w:rsidRPr="001C5AE2">
        <w:rPr>
          <w:rFonts w:ascii="Palatino Linotype" w:eastAsia="Palatino Linotype" w:hAnsi="Palatino Linotype" w:cs="Palatino Linotype"/>
          <w:i/>
          <w:sz w:val="22"/>
          <w:szCs w:val="22"/>
        </w:rPr>
        <w:t>Cuantos</w:t>
      </w:r>
      <w:proofErr w:type="spellEnd"/>
      <w:r w:rsidRPr="001C5AE2">
        <w:rPr>
          <w:rFonts w:ascii="Palatino Linotype" w:eastAsia="Palatino Linotype" w:hAnsi="Palatino Linotype" w:cs="Palatino Linotype"/>
          <w:i/>
          <w:sz w:val="22"/>
          <w:szCs w:val="22"/>
        </w:rPr>
        <w:t xml:space="preserve"> conciliadores tiene a su cargo? ¿</w:t>
      </w:r>
      <w:proofErr w:type="spellStart"/>
      <w:r w:rsidRPr="001C5AE2">
        <w:rPr>
          <w:rFonts w:ascii="Palatino Linotype" w:eastAsia="Palatino Linotype" w:hAnsi="Palatino Linotype" w:cs="Palatino Linotype"/>
          <w:i/>
          <w:sz w:val="22"/>
          <w:szCs w:val="22"/>
        </w:rPr>
        <w:t>Cual</w:t>
      </w:r>
      <w:proofErr w:type="spellEnd"/>
      <w:r w:rsidRPr="001C5AE2">
        <w:rPr>
          <w:rFonts w:ascii="Palatino Linotype" w:eastAsia="Palatino Linotype" w:hAnsi="Palatino Linotype" w:cs="Palatino Linotype"/>
          <w:i/>
          <w:sz w:val="22"/>
          <w:szCs w:val="22"/>
        </w:rPr>
        <w:t xml:space="preserve"> es el proceso de </w:t>
      </w:r>
      <w:proofErr w:type="spellStart"/>
      <w:r w:rsidRPr="001C5AE2">
        <w:rPr>
          <w:rFonts w:ascii="Palatino Linotype" w:eastAsia="Palatino Linotype" w:hAnsi="Palatino Linotype" w:cs="Palatino Linotype"/>
          <w:i/>
          <w:sz w:val="22"/>
          <w:szCs w:val="22"/>
        </w:rPr>
        <w:t>seleccion</w:t>
      </w:r>
      <w:proofErr w:type="spellEnd"/>
      <w:r w:rsidRPr="001C5AE2">
        <w:rPr>
          <w:rFonts w:ascii="Palatino Linotype" w:eastAsia="Palatino Linotype" w:hAnsi="Palatino Linotype" w:cs="Palatino Linotype"/>
          <w:i/>
          <w:sz w:val="22"/>
          <w:szCs w:val="22"/>
        </w:rPr>
        <w:t xml:space="preserve"> que tienen los directores de </w:t>
      </w:r>
      <w:proofErr w:type="spellStart"/>
      <w:proofErr w:type="gramStart"/>
      <w:r w:rsidRPr="001C5AE2">
        <w:rPr>
          <w:rFonts w:ascii="Palatino Linotype" w:eastAsia="Palatino Linotype" w:hAnsi="Palatino Linotype" w:cs="Palatino Linotype"/>
          <w:i/>
          <w:sz w:val="22"/>
          <w:szCs w:val="22"/>
        </w:rPr>
        <w:t>Conciliacion</w:t>
      </w:r>
      <w:proofErr w:type="spellEnd"/>
      <w:r w:rsidRPr="001C5AE2">
        <w:rPr>
          <w:rFonts w:ascii="Palatino Linotype" w:eastAsia="Palatino Linotype" w:hAnsi="Palatino Linotype" w:cs="Palatino Linotype"/>
          <w:i/>
          <w:sz w:val="22"/>
          <w:szCs w:val="22"/>
        </w:rPr>
        <w:t xml:space="preserve"> ?</w:t>
      </w:r>
      <w:proofErr w:type="gramEnd"/>
      <w:r w:rsidRPr="001C5AE2">
        <w:rPr>
          <w:rFonts w:ascii="Palatino Linotype" w:eastAsia="Palatino Linotype" w:hAnsi="Palatino Linotype" w:cs="Palatino Linotype"/>
          <w:i/>
          <w:sz w:val="22"/>
          <w:szCs w:val="22"/>
        </w:rPr>
        <w:t xml:space="preserve"> ¿</w:t>
      </w:r>
      <w:proofErr w:type="spellStart"/>
      <w:r w:rsidRPr="001C5AE2">
        <w:rPr>
          <w:rFonts w:ascii="Palatino Linotype" w:eastAsia="Palatino Linotype" w:hAnsi="Palatino Linotype" w:cs="Palatino Linotype"/>
          <w:i/>
          <w:sz w:val="22"/>
          <w:szCs w:val="22"/>
        </w:rPr>
        <w:t>Cual</w:t>
      </w:r>
      <w:proofErr w:type="spellEnd"/>
      <w:r w:rsidRPr="001C5AE2">
        <w:rPr>
          <w:rFonts w:ascii="Palatino Linotype" w:eastAsia="Palatino Linotype" w:hAnsi="Palatino Linotype" w:cs="Palatino Linotype"/>
          <w:i/>
          <w:sz w:val="22"/>
          <w:szCs w:val="22"/>
        </w:rPr>
        <w:t xml:space="preserve"> es el sueldo de la </w:t>
      </w:r>
      <w:proofErr w:type="gramStart"/>
      <w:r w:rsidRPr="001C5AE2">
        <w:rPr>
          <w:rFonts w:ascii="Palatino Linotype" w:eastAsia="Palatino Linotype" w:hAnsi="Palatino Linotype" w:cs="Palatino Linotype"/>
          <w:i/>
          <w:sz w:val="22"/>
          <w:szCs w:val="22"/>
        </w:rPr>
        <w:t>Directora</w:t>
      </w:r>
      <w:proofErr w:type="gramEnd"/>
      <w:r w:rsidRPr="001C5AE2">
        <w:rPr>
          <w:rFonts w:ascii="Palatino Linotype" w:eastAsia="Palatino Linotype" w:hAnsi="Palatino Linotype" w:cs="Palatino Linotype"/>
          <w:i/>
          <w:sz w:val="22"/>
          <w:szCs w:val="22"/>
        </w:rPr>
        <w:t>? ¿</w:t>
      </w:r>
      <w:proofErr w:type="spellStart"/>
      <w:r w:rsidRPr="001C5AE2">
        <w:rPr>
          <w:rFonts w:ascii="Palatino Linotype" w:eastAsia="Palatino Linotype" w:hAnsi="Palatino Linotype" w:cs="Palatino Linotype"/>
          <w:i/>
          <w:sz w:val="22"/>
          <w:szCs w:val="22"/>
        </w:rPr>
        <w:t>Que</w:t>
      </w:r>
      <w:proofErr w:type="spellEnd"/>
      <w:r w:rsidRPr="001C5AE2">
        <w:rPr>
          <w:rFonts w:ascii="Palatino Linotype" w:eastAsia="Palatino Linotype" w:hAnsi="Palatino Linotype" w:cs="Palatino Linotype"/>
          <w:i/>
          <w:sz w:val="22"/>
          <w:szCs w:val="22"/>
        </w:rPr>
        <w:t xml:space="preserve"> mejoras ha promovido desde su ingreso? ¿</w:t>
      </w:r>
      <w:proofErr w:type="spellStart"/>
      <w:r w:rsidRPr="001C5AE2">
        <w:rPr>
          <w:rFonts w:ascii="Palatino Linotype" w:eastAsia="Palatino Linotype" w:hAnsi="Palatino Linotype" w:cs="Palatino Linotype"/>
          <w:i/>
          <w:sz w:val="22"/>
          <w:szCs w:val="22"/>
        </w:rPr>
        <w:t>Cual</w:t>
      </w:r>
      <w:proofErr w:type="spellEnd"/>
      <w:r w:rsidRPr="001C5AE2">
        <w:rPr>
          <w:rFonts w:ascii="Palatino Linotype" w:eastAsia="Palatino Linotype" w:hAnsi="Palatino Linotype" w:cs="Palatino Linotype"/>
          <w:i/>
          <w:sz w:val="22"/>
          <w:szCs w:val="22"/>
        </w:rPr>
        <w:t xml:space="preserve"> es el presupuesto que tiene para capacitaciones? ¿</w:t>
      </w:r>
      <w:proofErr w:type="spellStart"/>
      <w:r w:rsidRPr="001C5AE2">
        <w:rPr>
          <w:rFonts w:ascii="Palatino Linotype" w:eastAsia="Palatino Linotype" w:hAnsi="Palatino Linotype" w:cs="Palatino Linotype"/>
          <w:i/>
          <w:sz w:val="22"/>
          <w:szCs w:val="22"/>
        </w:rPr>
        <w:t>Quien</w:t>
      </w:r>
      <w:proofErr w:type="spellEnd"/>
      <w:r w:rsidRPr="001C5AE2">
        <w:rPr>
          <w:rFonts w:ascii="Palatino Linotype" w:eastAsia="Palatino Linotype" w:hAnsi="Palatino Linotype" w:cs="Palatino Linotype"/>
          <w:i/>
          <w:sz w:val="22"/>
          <w:szCs w:val="22"/>
        </w:rPr>
        <w:t xml:space="preserve"> les da las </w:t>
      </w:r>
      <w:proofErr w:type="gramStart"/>
      <w:r w:rsidRPr="001C5AE2">
        <w:rPr>
          <w:rFonts w:ascii="Palatino Linotype" w:eastAsia="Palatino Linotype" w:hAnsi="Palatino Linotype" w:cs="Palatino Linotype"/>
          <w:i/>
          <w:sz w:val="22"/>
          <w:szCs w:val="22"/>
        </w:rPr>
        <w:t>capacitaciones?¿</w:t>
      </w:r>
      <w:proofErr w:type="spellStart"/>
      <w:proofErr w:type="gramEnd"/>
      <w:r w:rsidRPr="001C5AE2">
        <w:rPr>
          <w:rFonts w:ascii="Palatino Linotype" w:eastAsia="Palatino Linotype" w:hAnsi="Palatino Linotype" w:cs="Palatino Linotype"/>
          <w:i/>
          <w:sz w:val="22"/>
          <w:szCs w:val="22"/>
        </w:rPr>
        <w:t>Cual</w:t>
      </w:r>
      <w:proofErr w:type="spellEnd"/>
      <w:r w:rsidRPr="001C5AE2">
        <w:rPr>
          <w:rFonts w:ascii="Palatino Linotype" w:eastAsia="Palatino Linotype" w:hAnsi="Palatino Linotype" w:cs="Palatino Linotype"/>
          <w:i/>
          <w:sz w:val="22"/>
          <w:szCs w:val="22"/>
        </w:rPr>
        <w:t xml:space="preserve"> es el costo de cada </w:t>
      </w:r>
      <w:proofErr w:type="spellStart"/>
      <w:r w:rsidRPr="001C5AE2">
        <w:rPr>
          <w:rFonts w:ascii="Palatino Linotype" w:eastAsia="Palatino Linotype" w:hAnsi="Palatino Linotype" w:cs="Palatino Linotype"/>
          <w:i/>
          <w:sz w:val="22"/>
          <w:szCs w:val="22"/>
        </w:rPr>
        <w:t>capacitacion</w:t>
      </w:r>
      <w:proofErr w:type="spellEnd"/>
      <w:r w:rsidRPr="001C5AE2">
        <w:rPr>
          <w:rFonts w:ascii="Palatino Linotype" w:eastAsia="Palatino Linotype" w:hAnsi="Palatino Linotype" w:cs="Palatino Linotype"/>
          <w:i/>
          <w:sz w:val="22"/>
          <w:szCs w:val="22"/>
        </w:rPr>
        <w:t>?(Exhibir facturas)” (Sic)</w:t>
      </w:r>
    </w:p>
    <w:p w14:paraId="4E1DF8DB" w14:textId="77777777" w:rsidR="00A656A7" w:rsidRPr="001C5AE2" w:rsidRDefault="00A656A7">
      <w:pPr>
        <w:spacing w:before="240"/>
        <w:ind w:left="851" w:right="902"/>
        <w:jc w:val="both"/>
        <w:rPr>
          <w:rFonts w:ascii="Palatino Linotype" w:eastAsia="Palatino Linotype" w:hAnsi="Palatino Linotype" w:cs="Palatino Linotype"/>
          <w:i/>
          <w:sz w:val="22"/>
          <w:szCs w:val="22"/>
        </w:rPr>
      </w:pPr>
    </w:p>
    <w:p w14:paraId="6EE0C2F2"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lastRenderedPageBreak/>
        <w:t>Modalidad de Entrega:</w:t>
      </w:r>
      <w:r w:rsidRPr="001C5AE2">
        <w:rPr>
          <w:rFonts w:ascii="Palatino Linotype" w:eastAsia="Palatino Linotype" w:hAnsi="Palatino Linotype" w:cs="Palatino Linotype"/>
        </w:rPr>
        <w:t xml:space="preserve"> A través de SAIMEX.</w:t>
      </w:r>
    </w:p>
    <w:p w14:paraId="3FA3B281" w14:textId="77777777" w:rsidR="00A656A7" w:rsidRPr="001C5AE2" w:rsidRDefault="00A656A7">
      <w:pPr>
        <w:spacing w:line="360" w:lineRule="auto"/>
        <w:jc w:val="both"/>
        <w:rPr>
          <w:rFonts w:ascii="Palatino Linotype" w:eastAsia="Palatino Linotype" w:hAnsi="Palatino Linotype" w:cs="Palatino Linotype"/>
        </w:rPr>
      </w:pPr>
    </w:p>
    <w:p w14:paraId="0603CA9F" w14:textId="77777777" w:rsidR="00A656A7" w:rsidRPr="001C5AE2" w:rsidRDefault="001C5AE2">
      <w:pPr>
        <w:spacing w:after="240" w:line="360" w:lineRule="auto"/>
        <w:jc w:val="both"/>
        <w:rPr>
          <w:rFonts w:ascii="Palatino Linotype" w:eastAsia="Palatino Linotype" w:hAnsi="Palatino Linotype" w:cs="Palatino Linotype"/>
          <w:b/>
        </w:rPr>
      </w:pPr>
      <w:r w:rsidRPr="001C5AE2">
        <w:rPr>
          <w:rFonts w:ascii="Palatino Linotype" w:eastAsia="Palatino Linotype" w:hAnsi="Palatino Linotype" w:cs="Palatino Linotype"/>
          <w:b/>
        </w:rPr>
        <w:t xml:space="preserve">2. Respuesta. </w:t>
      </w:r>
      <w:r w:rsidRPr="001C5AE2">
        <w:rPr>
          <w:rFonts w:ascii="Palatino Linotype" w:eastAsia="Palatino Linotype" w:hAnsi="Palatino Linotype" w:cs="Palatino Linotype"/>
        </w:rPr>
        <w:t xml:space="preserve">Con fecha </w:t>
      </w:r>
      <w:r w:rsidRPr="001C5AE2">
        <w:rPr>
          <w:rFonts w:ascii="Palatino Linotype" w:eastAsia="Palatino Linotype" w:hAnsi="Palatino Linotype" w:cs="Palatino Linotype"/>
          <w:b/>
        </w:rPr>
        <w:t>primero de agosto de dos mil veintitrés</w:t>
      </w:r>
      <w:r w:rsidRPr="001C5AE2">
        <w:rPr>
          <w:rFonts w:ascii="Palatino Linotype" w:eastAsia="Palatino Linotype" w:hAnsi="Palatino Linotype" w:cs="Palatino Linotype"/>
        </w:rPr>
        <w:t xml:space="preserve">, 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 xml:space="preserve">envió su respuesta a la solicitud de acceso a la información a través de SAIMEX, sustancialmente en los términos siguientes:   </w:t>
      </w:r>
    </w:p>
    <w:p w14:paraId="5A80DB60" w14:textId="77777777" w:rsidR="00A656A7" w:rsidRPr="001C5AE2" w:rsidRDefault="001C5AE2">
      <w:pPr>
        <w:spacing w:before="240" w:after="240"/>
        <w:ind w:left="851"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“…Se remite respuesta mediante oficio 209C0201000200S-065/2023...” (Sic)</w:t>
      </w:r>
    </w:p>
    <w:p w14:paraId="1C6CD2C3"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rPr>
        <w:t xml:space="preserve">El SUJETO OBLIGADO, </w:t>
      </w:r>
      <w:r w:rsidRPr="001C5AE2">
        <w:rPr>
          <w:rFonts w:ascii="Palatino Linotype" w:eastAsia="Palatino Linotype" w:hAnsi="Palatino Linotype" w:cs="Palatino Linotype"/>
        </w:rPr>
        <w:t>adjuntó a su respuesta el siguiente archivo electrónico</w:t>
      </w:r>
      <w:r w:rsidRPr="001C5AE2">
        <w:rPr>
          <w:rFonts w:ascii="Palatino Linotype" w:eastAsia="Palatino Linotype" w:hAnsi="Palatino Linotype" w:cs="Palatino Linotype"/>
          <w:b/>
        </w:rPr>
        <w:t>:</w:t>
      </w:r>
    </w:p>
    <w:p w14:paraId="15DE3100"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w:t>
      </w:r>
      <w:hyperlink r:id="rId8">
        <w:r w:rsidRPr="001C5AE2">
          <w:rPr>
            <w:rFonts w:ascii="Palatino Linotype" w:eastAsia="Palatino Linotype" w:hAnsi="Palatino Linotype" w:cs="Palatino Linotype"/>
          </w:rPr>
          <w:t>00041.pdf</w:t>
        </w:r>
      </w:hyperlink>
      <w:r w:rsidRPr="001C5AE2">
        <w:rPr>
          <w:rFonts w:ascii="Palatino Linotype" w:eastAsia="Palatino Linotype" w:hAnsi="Palatino Linotype" w:cs="Palatino Linotype"/>
        </w:rPr>
        <w:t xml:space="preserve">”, el cual contiene el oficio número 209C0201000200S-065/2023, por medio del cual la Unidad de Transparencia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w:t>
      </w:r>
      <w:proofErr w:type="gramStart"/>
      <w:r w:rsidRPr="001C5AE2">
        <w:rPr>
          <w:rFonts w:ascii="Palatino Linotype" w:eastAsia="Palatino Linotype" w:hAnsi="Palatino Linotype" w:cs="Palatino Linotype"/>
        </w:rPr>
        <w:t>informó  a</w:t>
      </w:r>
      <w:proofErr w:type="gramEnd"/>
      <w:r w:rsidRPr="001C5AE2">
        <w:rPr>
          <w:rFonts w:ascii="Palatino Linotype" w:eastAsia="Palatino Linotype" w:hAnsi="Palatino Linotype" w:cs="Palatino Linotype"/>
        </w:rPr>
        <w:t xml:space="preserve"> la persona Solicitante que la Unidad de Apoyo Administrativo del Centro de Conciliación Laboral del Estado de México, dio contestación a sus requerimientos de la siguiente manera:</w:t>
      </w:r>
    </w:p>
    <w:p w14:paraId="080A7C49"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noProof/>
          <w:lang w:val="es-MX"/>
        </w:rPr>
        <w:drawing>
          <wp:inline distT="0" distB="0" distL="0" distR="0" wp14:anchorId="064C1F3C" wp14:editId="3156EEE1">
            <wp:extent cx="5612130" cy="2463800"/>
            <wp:effectExtent l="0" t="0" r="0" b="0"/>
            <wp:docPr id="16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5612130" cy="2463800"/>
                    </a:xfrm>
                    <a:prstGeom prst="rect">
                      <a:avLst/>
                    </a:prstGeom>
                    <a:ln/>
                  </pic:spPr>
                </pic:pic>
              </a:graphicData>
            </a:graphic>
          </wp:inline>
        </w:drawing>
      </w:r>
    </w:p>
    <w:p w14:paraId="154EA13D"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6F16FC69" wp14:editId="5FDE3DB5">
            <wp:extent cx="5612130" cy="6908800"/>
            <wp:effectExtent l="0" t="0" r="0" b="0"/>
            <wp:docPr id="16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5612130" cy="6908800"/>
                    </a:xfrm>
                    <a:prstGeom prst="rect">
                      <a:avLst/>
                    </a:prstGeom>
                    <a:ln/>
                  </pic:spPr>
                </pic:pic>
              </a:graphicData>
            </a:graphic>
          </wp:inline>
        </w:drawing>
      </w:r>
    </w:p>
    <w:p w14:paraId="048C54CA"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6BF22271" wp14:editId="43203326">
            <wp:extent cx="5612130" cy="7388860"/>
            <wp:effectExtent l="0" t="0" r="0" b="0"/>
            <wp:docPr id="16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a:stretch>
                      <a:fillRect/>
                    </a:stretch>
                  </pic:blipFill>
                  <pic:spPr>
                    <a:xfrm>
                      <a:off x="0" y="0"/>
                      <a:ext cx="5612130" cy="7388860"/>
                    </a:xfrm>
                    <a:prstGeom prst="rect">
                      <a:avLst/>
                    </a:prstGeom>
                    <a:ln/>
                  </pic:spPr>
                </pic:pic>
              </a:graphicData>
            </a:graphic>
          </wp:inline>
        </w:drawing>
      </w:r>
    </w:p>
    <w:p w14:paraId="169D82A2"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45571A70" wp14:editId="399E082A">
            <wp:extent cx="5612130" cy="6922135"/>
            <wp:effectExtent l="0" t="0" r="0" b="0"/>
            <wp:docPr id="17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612130" cy="6922135"/>
                    </a:xfrm>
                    <a:prstGeom prst="rect">
                      <a:avLst/>
                    </a:prstGeom>
                    <a:ln/>
                  </pic:spPr>
                </pic:pic>
              </a:graphicData>
            </a:graphic>
          </wp:inline>
        </w:drawing>
      </w:r>
    </w:p>
    <w:p w14:paraId="33A92BA3"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7EAC060D" wp14:editId="287115EA">
            <wp:extent cx="5612130" cy="6504940"/>
            <wp:effectExtent l="0" t="0" r="0" b="0"/>
            <wp:docPr id="16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5612130" cy="6504940"/>
                    </a:xfrm>
                    <a:prstGeom prst="rect">
                      <a:avLst/>
                    </a:prstGeom>
                    <a:ln/>
                  </pic:spPr>
                </pic:pic>
              </a:graphicData>
            </a:graphic>
          </wp:inline>
        </w:drawing>
      </w:r>
    </w:p>
    <w:p w14:paraId="7BFBDB30" w14:textId="77777777" w:rsidR="00A656A7" w:rsidRPr="001C5AE2" w:rsidRDefault="00A656A7">
      <w:pPr>
        <w:spacing w:before="240" w:after="240" w:line="360" w:lineRule="auto"/>
        <w:ind w:right="49"/>
        <w:jc w:val="both"/>
        <w:rPr>
          <w:rFonts w:ascii="Palatino Linotype" w:eastAsia="Palatino Linotype" w:hAnsi="Palatino Linotype" w:cs="Palatino Linotype"/>
          <w:b/>
        </w:rPr>
      </w:pPr>
    </w:p>
    <w:p w14:paraId="0814AB84"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156268C9" wp14:editId="7B5A9206">
            <wp:extent cx="5612130" cy="7200900"/>
            <wp:effectExtent l="0" t="0" r="0" b="0"/>
            <wp:docPr id="17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5612130" cy="7200900"/>
                    </a:xfrm>
                    <a:prstGeom prst="rect">
                      <a:avLst/>
                    </a:prstGeom>
                    <a:ln/>
                  </pic:spPr>
                </pic:pic>
              </a:graphicData>
            </a:graphic>
          </wp:inline>
        </w:drawing>
      </w:r>
    </w:p>
    <w:p w14:paraId="1C0489CC"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5CA0FA6C" wp14:editId="26B3E005">
            <wp:extent cx="5612130" cy="6504305"/>
            <wp:effectExtent l="0" t="0" r="0" b="0"/>
            <wp:docPr id="171"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5612130" cy="6504305"/>
                    </a:xfrm>
                    <a:prstGeom prst="rect">
                      <a:avLst/>
                    </a:prstGeom>
                    <a:ln/>
                  </pic:spPr>
                </pic:pic>
              </a:graphicData>
            </a:graphic>
          </wp:inline>
        </w:drawing>
      </w:r>
    </w:p>
    <w:p w14:paraId="75271C57" w14:textId="77777777" w:rsidR="00A656A7" w:rsidRPr="001C5AE2" w:rsidRDefault="00A656A7">
      <w:pPr>
        <w:spacing w:before="240" w:after="240" w:line="360" w:lineRule="auto"/>
        <w:ind w:right="49"/>
        <w:jc w:val="both"/>
        <w:rPr>
          <w:rFonts w:ascii="Palatino Linotype" w:eastAsia="Palatino Linotype" w:hAnsi="Palatino Linotype" w:cs="Palatino Linotype"/>
          <w:b/>
        </w:rPr>
      </w:pPr>
    </w:p>
    <w:p w14:paraId="78772F83"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5DA5F10A" wp14:editId="421CE293">
            <wp:extent cx="5612130" cy="6652895"/>
            <wp:effectExtent l="0" t="0" r="0" b="0"/>
            <wp:docPr id="174"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6"/>
                    <a:srcRect/>
                    <a:stretch>
                      <a:fillRect/>
                    </a:stretch>
                  </pic:blipFill>
                  <pic:spPr>
                    <a:xfrm>
                      <a:off x="0" y="0"/>
                      <a:ext cx="5612130" cy="6652895"/>
                    </a:xfrm>
                    <a:prstGeom prst="rect">
                      <a:avLst/>
                    </a:prstGeom>
                    <a:ln/>
                  </pic:spPr>
                </pic:pic>
              </a:graphicData>
            </a:graphic>
          </wp:inline>
        </w:drawing>
      </w:r>
    </w:p>
    <w:p w14:paraId="0F66A2D0" w14:textId="77777777" w:rsidR="00A656A7" w:rsidRPr="001C5AE2" w:rsidRDefault="00A656A7">
      <w:pPr>
        <w:spacing w:before="240" w:after="240" w:line="360" w:lineRule="auto"/>
        <w:ind w:right="49"/>
        <w:jc w:val="both"/>
        <w:rPr>
          <w:rFonts w:ascii="Palatino Linotype" w:eastAsia="Palatino Linotype" w:hAnsi="Palatino Linotype" w:cs="Palatino Linotype"/>
          <w:b/>
        </w:rPr>
      </w:pPr>
    </w:p>
    <w:p w14:paraId="6F80C087"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692D085A" wp14:editId="7FA6548F">
            <wp:extent cx="5612130" cy="6296025"/>
            <wp:effectExtent l="0" t="0" r="0" b="0"/>
            <wp:docPr id="17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12130" cy="6296025"/>
                    </a:xfrm>
                    <a:prstGeom prst="rect">
                      <a:avLst/>
                    </a:prstGeom>
                    <a:ln/>
                  </pic:spPr>
                </pic:pic>
              </a:graphicData>
            </a:graphic>
          </wp:inline>
        </w:drawing>
      </w:r>
    </w:p>
    <w:p w14:paraId="3966F95F" w14:textId="77777777" w:rsidR="00A656A7" w:rsidRPr="001C5AE2" w:rsidRDefault="00A656A7">
      <w:pPr>
        <w:spacing w:before="240" w:after="240" w:line="360" w:lineRule="auto"/>
        <w:ind w:right="49"/>
        <w:jc w:val="both"/>
        <w:rPr>
          <w:rFonts w:ascii="Palatino Linotype" w:eastAsia="Palatino Linotype" w:hAnsi="Palatino Linotype" w:cs="Palatino Linotype"/>
          <w:b/>
        </w:rPr>
      </w:pPr>
    </w:p>
    <w:p w14:paraId="3E7994F1" w14:textId="77777777" w:rsidR="00A656A7" w:rsidRPr="001C5AE2" w:rsidRDefault="00A656A7">
      <w:pPr>
        <w:spacing w:before="240" w:after="240" w:line="360" w:lineRule="auto"/>
        <w:ind w:right="49"/>
        <w:jc w:val="both"/>
        <w:rPr>
          <w:rFonts w:ascii="Palatino Linotype" w:eastAsia="Palatino Linotype" w:hAnsi="Palatino Linotype" w:cs="Palatino Linotype"/>
          <w:b/>
        </w:rPr>
      </w:pPr>
    </w:p>
    <w:p w14:paraId="5953BCD0" w14:textId="77777777" w:rsidR="00A656A7" w:rsidRPr="001C5AE2" w:rsidRDefault="001C5AE2">
      <w:pPr>
        <w:spacing w:before="240" w:after="240" w:line="360" w:lineRule="auto"/>
        <w:ind w:right="49"/>
        <w:jc w:val="both"/>
        <w:rPr>
          <w:rFonts w:ascii="Palatino Linotype" w:eastAsia="Palatino Linotype" w:hAnsi="Palatino Linotype" w:cs="Palatino Linotype"/>
          <w:b/>
        </w:rPr>
      </w:pPr>
      <w:r w:rsidRPr="001C5AE2">
        <w:rPr>
          <w:rFonts w:ascii="Palatino Linotype" w:eastAsia="Palatino Linotype" w:hAnsi="Palatino Linotype" w:cs="Palatino Linotype"/>
          <w:b/>
          <w:noProof/>
          <w:lang w:val="es-MX"/>
        </w:rPr>
        <w:lastRenderedPageBreak/>
        <w:drawing>
          <wp:inline distT="0" distB="0" distL="0" distR="0" wp14:anchorId="2B06F96C" wp14:editId="459B674C">
            <wp:extent cx="5612130" cy="3620770"/>
            <wp:effectExtent l="0" t="0" r="0" b="0"/>
            <wp:docPr id="17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612130" cy="3620770"/>
                    </a:xfrm>
                    <a:prstGeom prst="rect">
                      <a:avLst/>
                    </a:prstGeom>
                    <a:ln/>
                  </pic:spPr>
                </pic:pic>
              </a:graphicData>
            </a:graphic>
          </wp:inline>
        </w:drawing>
      </w:r>
    </w:p>
    <w:p w14:paraId="7C7F5A8A"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3. Interposición del recurso de revisión. </w:t>
      </w:r>
      <w:r w:rsidRPr="001C5AE2">
        <w:rPr>
          <w:rFonts w:ascii="Palatino Linotype" w:eastAsia="Palatino Linotype" w:hAnsi="Palatino Linotype" w:cs="Palatino Linotype"/>
        </w:rPr>
        <w:t xml:space="preserve">Inconforme con los términos de la respuesta emitida por parte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el </w:t>
      </w:r>
      <w:r w:rsidRPr="001C5AE2">
        <w:rPr>
          <w:rFonts w:ascii="Palatino Linotype" w:eastAsia="Palatino Linotype" w:hAnsi="Palatino Linotype" w:cs="Palatino Linotype"/>
          <w:b/>
        </w:rPr>
        <w:t>diez de agosto del dos mil veintitrés,</w:t>
      </w:r>
      <w:r w:rsidRPr="001C5AE2">
        <w:rPr>
          <w:rFonts w:ascii="Palatino Linotype" w:eastAsia="Palatino Linotype" w:hAnsi="Palatino Linotype" w:cs="Palatino Linotype"/>
        </w:rPr>
        <w:t xml:space="preserve"> la parte recurrente interpuso el recurso de revisión a través de </w:t>
      </w:r>
      <w:r w:rsidRPr="001C5AE2">
        <w:rPr>
          <w:rFonts w:ascii="Palatino Linotype" w:eastAsia="Palatino Linotype" w:hAnsi="Palatino Linotype" w:cs="Palatino Linotype"/>
          <w:b/>
        </w:rPr>
        <w:t xml:space="preserve">SAIMEX, </w:t>
      </w:r>
      <w:r w:rsidRPr="001C5AE2">
        <w:rPr>
          <w:rFonts w:ascii="Palatino Linotype" w:eastAsia="Palatino Linotype" w:hAnsi="Palatino Linotype" w:cs="Palatino Linotype"/>
        </w:rPr>
        <w:t>en donde se manifestó de la siguiente manera:</w:t>
      </w:r>
    </w:p>
    <w:p w14:paraId="3CC15E50" w14:textId="77777777" w:rsidR="00A656A7" w:rsidRPr="001C5AE2" w:rsidRDefault="001C5AE2">
      <w:pPr>
        <w:tabs>
          <w:tab w:val="left" w:pos="2745"/>
        </w:tabs>
        <w:spacing w:before="240" w:after="240" w:line="360" w:lineRule="auto"/>
        <w:jc w:val="both"/>
        <w:rPr>
          <w:rFonts w:ascii="Palatino Linotype" w:eastAsia="Palatino Linotype" w:hAnsi="Palatino Linotype" w:cs="Palatino Linotype"/>
          <w:b/>
        </w:rPr>
      </w:pPr>
      <w:r w:rsidRPr="001C5AE2">
        <w:rPr>
          <w:rFonts w:ascii="Palatino Linotype" w:eastAsia="Palatino Linotype" w:hAnsi="Palatino Linotype" w:cs="Palatino Linotype"/>
          <w:b/>
        </w:rPr>
        <w:t xml:space="preserve">Acto impugnado: </w:t>
      </w:r>
      <w:r w:rsidRPr="001C5AE2">
        <w:rPr>
          <w:rFonts w:ascii="Palatino Linotype" w:eastAsia="Palatino Linotype" w:hAnsi="Palatino Linotype" w:cs="Palatino Linotype"/>
          <w:b/>
        </w:rPr>
        <w:tab/>
      </w:r>
    </w:p>
    <w:p w14:paraId="614BF867" w14:textId="77777777" w:rsidR="00A656A7" w:rsidRPr="001C5AE2" w:rsidRDefault="001C5AE2">
      <w:pPr>
        <w:ind w:left="851"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“no </w:t>
      </w:r>
      <w:proofErr w:type="spellStart"/>
      <w:r w:rsidRPr="001C5AE2">
        <w:rPr>
          <w:rFonts w:ascii="Palatino Linotype" w:eastAsia="Palatino Linotype" w:hAnsi="Palatino Linotype" w:cs="Palatino Linotype"/>
          <w:i/>
          <w:sz w:val="22"/>
          <w:szCs w:val="22"/>
        </w:rPr>
        <w:t>esta</w:t>
      </w:r>
      <w:proofErr w:type="spellEnd"/>
      <w:r w:rsidRPr="001C5AE2">
        <w:rPr>
          <w:rFonts w:ascii="Palatino Linotype" w:eastAsia="Palatino Linotype" w:hAnsi="Palatino Linotype" w:cs="Palatino Linotype"/>
          <w:i/>
          <w:sz w:val="22"/>
          <w:szCs w:val="22"/>
        </w:rPr>
        <w:t xml:space="preserve"> clara” (Sic)</w:t>
      </w:r>
    </w:p>
    <w:p w14:paraId="3A85835A" w14:textId="77777777" w:rsidR="00A656A7" w:rsidRPr="001C5AE2" w:rsidRDefault="00A656A7">
      <w:pPr>
        <w:ind w:left="851" w:right="902"/>
        <w:jc w:val="both"/>
        <w:rPr>
          <w:rFonts w:ascii="Palatino Linotype" w:eastAsia="Palatino Linotype" w:hAnsi="Palatino Linotype" w:cs="Palatino Linotype"/>
          <w:i/>
          <w:sz w:val="22"/>
          <w:szCs w:val="22"/>
        </w:rPr>
      </w:pPr>
    </w:p>
    <w:p w14:paraId="2F0CD7CE"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Y Razones o motivos de inconformidad</w:t>
      </w:r>
      <w:r w:rsidRPr="001C5AE2">
        <w:rPr>
          <w:rFonts w:ascii="Palatino Linotype" w:eastAsia="Palatino Linotype" w:hAnsi="Palatino Linotype" w:cs="Palatino Linotype"/>
        </w:rPr>
        <w:t>:</w:t>
      </w:r>
    </w:p>
    <w:p w14:paraId="1ABFD7F3" w14:textId="77777777" w:rsidR="00A656A7" w:rsidRPr="001C5AE2" w:rsidRDefault="001C5AE2">
      <w:pPr>
        <w:ind w:left="851" w:right="902"/>
        <w:jc w:val="both"/>
        <w:rPr>
          <w:rFonts w:ascii="Palatino Linotype" w:eastAsia="Palatino Linotype" w:hAnsi="Palatino Linotype" w:cs="Palatino Linotype"/>
          <w:i/>
          <w:sz w:val="22"/>
          <w:szCs w:val="22"/>
        </w:rPr>
      </w:pPr>
      <w:bookmarkStart w:id="1" w:name="_heading=h.30j0zll" w:colFirst="0" w:colLast="0"/>
      <w:bookmarkEnd w:id="1"/>
      <w:r w:rsidRPr="001C5AE2">
        <w:rPr>
          <w:rFonts w:ascii="Palatino Linotype" w:eastAsia="Palatino Linotype" w:hAnsi="Palatino Linotype" w:cs="Palatino Linotype"/>
          <w:i/>
          <w:sz w:val="22"/>
          <w:szCs w:val="22"/>
        </w:rPr>
        <w:t xml:space="preserve"> “Como </w:t>
      </w:r>
      <w:proofErr w:type="spellStart"/>
      <w:r w:rsidRPr="001C5AE2">
        <w:rPr>
          <w:rFonts w:ascii="Palatino Linotype" w:eastAsia="Palatino Linotype" w:hAnsi="Palatino Linotype" w:cs="Palatino Linotype"/>
          <w:i/>
          <w:sz w:val="22"/>
          <w:szCs w:val="22"/>
        </w:rPr>
        <w:t>envia</w:t>
      </w:r>
      <w:proofErr w:type="spellEnd"/>
      <w:r w:rsidRPr="001C5AE2">
        <w:rPr>
          <w:rFonts w:ascii="Palatino Linotype" w:eastAsia="Palatino Linotype" w:hAnsi="Palatino Linotype" w:cs="Palatino Linotype"/>
          <w:i/>
          <w:sz w:val="22"/>
          <w:szCs w:val="22"/>
        </w:rPr>
        <w:t xml:space="preserve"> sus </w:t>
      </w:r>
      <w:proofErr w:type="spellStart"/>
      <w:r w:rsidRPr="001C5AE2">
        <w:rPr>
          <w:rFonts w:ascii="Palatino Linotype" w:eastAsia="Palatino Linotype" w:hAnsi="Palatino Linotype" w:cs="Palatino Linotype"/>
          <w:i/>
          <w:sz w:val="22"/>
          <w:szCs w:val="22"/>
        </w:rPr>
        <w:t>respuetas</w:t>
      </w:r>
      <w:proofErr w:type="spellEnd"/>
      <w:r w:rsidRPr="001C5AE2">
        <w:rPr>
          <w:rFonts w:ascii="Palatino Linotype" w:eastAsia="Palatino Linotype" w:hAnsi="Palatino Linotype" w:cs="Palatino Linotype"/>
          <w:i/>
          <w:sz w:val="22"/>
          <w:szCs w:val="22"/>
        </w:rPr>
        <w:t xml:space="preserve"> no son claras me piden que yo lo </w:t>
      </w:r>
      <w:proofErr w:type="spellStart"/>
      <w:r w:rsidRPr="001C5AE2">
        <w:rPr>
          <w:rFonts w:ascii="Palatino Linotype" w:eastAsia="Palatino Linotype" w:hAnsi="Palatino Linotype" w:cs="Palatino Linotype"/>
          <w:i/>
          <w:sz w:val="22"/>
          <w:szCs w:val="22"/>
        </w:rPr>
        <w:t>bsuqe</w:t>
      </w:r>
      <w:proofErr w:type="spellEnd"/>
      <w:r w:rsidRPr="001C5AE2">
        <w:rPr>
          <w:rFonts w:ascii="Palatino Linotype" w:eastAsia="Palatino Linotype" w:hAnsi="Palatino Linotype" w:cs="Palatino Linotype"/>
          <w:i/>
          <w:sz w:val="22"/>
          <w:szCs w:val="22"/>
        </w:rPr>
        <w:t xml:space="preserve"> con </w:t>
      </w:r>
      <w:proofErr w:type="spellStart"/>
      <w:r w:rsidRPr="001C5AE2">
        <w:rPr>
          <w:rFonts w:ascii="Palatino Linotype" w:eastAsia="Palatino Linotype" w:hAnsi="Palatino Linotype" w:cs="Palatino Linotype"/>
          <w:i/>
          <w:sz w:val="22"/>
          <w:szCs w:val="22"/>
        </w:rPr>
        <w:t>imagenes</w:t>
      </w:r>
      <w:proofErr w:type="spellEnd"/>
      <w:r w:rsidRPr="001C5AE2">
        <w:rPr>
          <w:rFonts w:ascii="Palatino Linotype" w:eastAsia="Palatino Linotype" w:hAnsi="Palatino Linotype" w:cs="Palatino Linotype"/>
          <w:i/>
          <w:sz w:val="22"/>
          <w:szCs w:val="22"/>
        </w:rPr>
        <w:t>, necesito las respuestas junto con el link no en imagen” (Sic)</w:t>
      </w:r>
    </w:p>
    <w:p w14:paraId="4CCC3E26" w14:textId="77777777" w:rsidR="00A656A7" w:rsidRPr="001C5AE2" w:rsidRDefault="00A656A7">
      <w:pPr>
        <w:ind w:left="851" w:right="902"/>
        <w:jc w:val="both"/>
        <w:rPr>
          <w:rFonts w:ascii="Palatino Linotype" w:eastAsia="Palatino Linotype" w:hAnsi="Palatino Linotype" w:cs="Palatino Linotype"/>
          <w:i/>
          <w:sz w:val="22"/>
          <w:szCs w:val="22"/>
        </w:rPr>
      </w:pPr>
    </w:p>
    <w:p w14:paraId="52790C79"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b/>
        </w:rPr>
        <w:lastRenderedPageBreak/>
        <w:t xml:space="preserve">4. Turno. </w:t>
      </w:r>
      <w:r w:rsidRPr="001C5AE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1C5AE2">
        <w:rPr>
          <w:rFonts w:ascii="Palatino Linotype" w:eastAsia="Palatino Linotype" w:hAnsi="Palatino Linotype" w:cs="Palatino Linotype"/>
          <w:b/>
        </w:rPr>
        <w:t xml:space="preserve">Guadalupe Ramírez Peña, </w:t>
      </w:r>
      <w:r w:rsidRPr="001C5AE2">
        <w:rPr>
          <w:rFonts w:ascii="Palatino Linotype" w:eastAsia="Palatino Linotype" w:hAnsi="Palatino Linotype" w:cs="Palatino Linotype"/>
        </w:rPr>
        <w:t xml:space="preserve">a efecto de que analizara sobre su admisión o su </w:t>
      </w:r>
      <w:proofErr w:type="spellStart"/>
      <w:r w:rsidRPr="001C5AE2">
        <w:rPr>
          <w:rFonts w:ascii="Palatino Linotype" w:eastAsia="Palatino Linotype" w:hAnsi="Palatino Linotype" w:cs="Palatino Linotype"/>
        </w:rPr>
        <w:t>desechamiento</w:t>
      </w:r>
      <w:proofErr w:type="spellEnd"/>
      <w:r w:rsidRPr="001C5AE2">
        <w:rPr>
          <w:rFonts w:ascii="Palatino Linotype" w:eastAsia="Palatino Linotype" w:hAnsi="Palatino Linotype" w:cs="Palatino Linotype"/>
        </w:rPr>
        <w:t>.</w:t>
      </w:r>
    </w:p>
    <w:p w14:paraId="08E0618A" w14:textId="77777777" w:rsidR="00A656A7" w:rsidRPr="001C5AE2" w:rsidRDefault="00A656A7">
      <w:pPr>
        <w:spacing w:line="360" w:lineRule="auto"/>
        <w:ind w:right="51"/>
        <w:jc w:val="both"/>
        <w:rPr>
          <w:rFonts w:ascii="Palatino Linotype" w:eastAsia="Palatino Linotype" w:hAnsi="Palatino Linotype" w:cs="Palatino Linotype"/>
        </w:rPr>
      </w:pPr>
    </w:p>
    <w:p w14:paraId="230AADF9" w14:textId="77777777" w:rsidR="00A656A7" w:rsidRPr="001C5AE2" w:rsidRDefault="001C5AE2">
      <w:pPr>
        <w:spacing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5. Admisión del Recurso de revisión.</w:t>
      </w:r>
      <w:r w:rsidRPr="001C5AE2">
        <w:rPr>
          <w:rFonts w:ascii="Palatino Linotype" w:eastAsia="Palatino Linotype" w:hAnsi="Palatino Linotype" w:cs="Palatino Linotype"/>
        </w:rPr>
        <w:t xml:space="preserve"> Con fecha</w:t>
      </w:r>
      <w:r w:rsidRPr="001C5AE2">
        <w:rPr>
          <w:rFonts w:ascii="Palatino Linotype" w:eastAsia="Palatino Linotype" w:hAnsi="Palatino Linotype" w:cs="Palatino Linotype"/>
          <w:b/>
        </w:rPr>
        <w:t xml:space="preserve"> quince de agosto de dos mil veintitrés, </w:t>
      </w:r>
      <w:r w:rsidRPr="001C5AE2">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presentara su informe justificado.</w:t>
      </w:r>
    </w:p>
    <w:p w14:paraId="6BC0DDD4" w14:textId="77777777" w:rsidR="00A656A7" w:rsidRPr="001C5AE2" w:rsidRDefault="001C5AE2">
      <w:pPr>
        <w:spacing w:before="240" w:after="240" w:line="360" w:lineRule="auto"/>
        <w:jc w:val="both"/>
      </w:pPr>
      <w:r w:rsidRPr="001C5AE2">
        <w:rPr>
          <w:rFonts w:ascii="Palatino Linotype" w:eastAsia="Palatino Linotype" w:hAnsi="Palatino Linotype" w:cs="Palatino Linotype"/>
          <w:b/>
        </w:rPr>
        <w:t>6. Manifestaciones</w:t>
      </w:r>
      <w:r w:rsidRPr="001C5AE2">
        <w:rPr>
          <w:rFonts w:ascii="Palatino Linotype" w:eastAsia="Palatino Linotype" w:hAnsi="Palatino Linotype" w:cs="Palatino Linotype"/>
        </w:rPr>
        <w:t xml:space="preserve">. De las constancias que obran en el expediente electrónico del SAIMEX se desprende que </w:t>
      </w:r>
      <w:r w:rsidRPr="001C5AE2">
        <w:rPr>
          <w:rFonts w:ascii="Palatino Linotype" w:eastAsia="Palatino Linotype" w:hAnsi="Palatino Linotype" w:cs="Palatino Linotype"/>
          <w:b/>
        </w:rPr>
        <w:t>la parte RECURRENTE</w:t>
      </w:r>
      <w:r w:rsidRPr="001C5AE2">
        <w:rPr>
          <w:rFonts w:ascii="Palatino Linotype" w:eastAsia="Palatino Linotype" w:hAnsi="Palatino Linotype" w:cs="Palatino Linotype"/>
        </w:rPr>
        <w:t xml:space="preserve"> omitió realizar manifestaciones. </w:t>
      </w:r>
    </w:p>
    <w:p w14:paraId="610B0CF1" w14:textId="77777777" w:rsidR="00A656A7" w:rsidRPr="001C5AE2" w:rsidRDefault="001C5AE2">
      <w:pPr>
        <w:spacing w:after="240" w:line="360" w:lineRule="auto"/>
        <w:jc w:val="both"/>
        <w:rPr>
          <w:rFonts w:ascii="Palatino Linotype" w:eastAsia="Palatino Linotype" w:hAnsi="Palatino Linotype" w:cs="Palatino Linotype"/>
        </w:rPr>
      </w:pPr>
      <w:bookmarkStart w:id="2" w:name="_heading=h.1fob9te" w:colFirst="0" w:colLast="0"/>
      <w:bookmarkEnd w:id="2"/>
      <w:r w:rsidRPr="001C5AE2">
        <w:rPr>
          <w:rFonts w:ascii="Palatino Linotype" w:eastAsia="Palatino Linotype" w:hAnsi="Palatino Linotype" w:cs="Palatino Linotype"/>
        </w:rPr>
        <w:t>En fecha veinticuatro de agosto de dos mil veintitrés</w:t>
      </w:r>
      <w:r w:rsidRPr="001C5AE2">
        <w:rPr>
          <w:rFonts w:ascii="Palatino Linotype" w:eastAsia="Palatino Linotype" w:hAnsi="Palatino Linotype" w:cs="Palatino Linotype"/>
          <w:b/>
        </w:rPr>
        <w:t xml:space="preserve">, </w:t>
      </w:r>
      <w:r w:rsidRPr="001C5AE2">
        <w:rPr>
          <w:rFonts w:ascii="Palatino Linotype" w:eastAsia="Palatino Linotype" w:hAnsi="Palatino Linotype" w:cs="Palatino Linotype"/>
        </w:rPr>
        <w:t xml:space="preserve">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remitió, a través del SAIMEX, el siguiente archivo electrónico:</w:t>
      </w:r>
    </w:p>
    <w:p w14:paraId="7FFC6E5C" w14:textId="77777777" w:rsidR="00A656A7" w:rsidRPr="001C5AE2" w:rsidRDefault="001C5AE2">
      <w:pPr>
        <w:spacing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hyperlink r:id="rId19">
        <w:r w:rsidRPr="001C5AE2">
          <w:rPr>
            <w:rFonts w:ascii="Palatino Linotype" w:eastAsia="Palatino Linotype" w:hAnsi="Palatino Linotype" w:cs="Palatino Linotype"/>
          </w:rPr>
          <w:t>04439.pdf</w:t>
        </w:r>
      </w:hyperlink>
      <w:r w:rsidRPr="001C5AE2">
        <w:rPr>
          <w:rFonts w:ascii="Palatino Linotype" w:eastAsia="Palatino Linotype" w:hAnsi="Palatino Linotype" w:cs="Palatino Linotype"/>
        </w:rPr>
        <w:t xml:space="preserve">”, el cual contiene el informe justificado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por medio del cual informó, que después de una búsqueda exhaustiva en los archivos del Centro de Conciliación Laboral del Estado de México, se hizo del conocimiento </w:t>
      </w:r>
      <w:r w:rsidRPr="001C5AE2">
        <w:rPr>
          <w:rFonts w:ascii="Palatino Linotype" w:eastAsia="Palatino Linotype" w:hAnsi="Palatino Linotype" w:cs="Palatino Linotype"/>
        </w:rPr>
        <w:lastRenderedPageBreak/>
        <w:t xml:space="preserve">a la solicitante de la información con la que cuenta el este Centro, ratificando en lo medular su respuesta primigenia. </w:t>
      </w:r>
    </w:p>
    <w:p w14:paraId="1222C672" w14:textId="77777777" w:rsidR="00A656A7" w:rsidRPr="001C5AE2" w:rsidRDefault="001C5AE2">
      <w:pPr>
        <w:spacing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Documento que, una vez analizado, se hizo del conocimiento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a efecto de que manifestara lo que a su derecho estimara conveniente, sin embargo, fue omiso en ejercer dicha prerrogativa en el plazo establecido para tal efecto.</w:t>
      </w:r>
    </w:p>
    <w:p w14:paraId="5B23C32D" w14:textId="77777777" w:rsidR="00A656A7" w:rsidRPr="001C5AE2" w:rsidRDefault="001C5AE2">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7. Ampliación del plazo.</w:t>
      </w:r>
      <w:r w:rsidRPr="001C5AE2">
        <w:rPr>
          <w:rFonts w:ascii="Palatino Linotype" w:eastAsia="Palatino Linotype" w:hAnsi="Palatino Linotype" w:cs="Palatino Linotype"/>
        </w:rPr>
        <w:t xml:space="preserve"> En fecha veinte de febrero del año dos mil veinticuatro, con fundamento en el artículo 181, párrafo tercero de la Ley de Transparencia y Acceso a la Información Pública del Estado de México y Municipios, se acordó la ampliación del plazo para su resolución.</w:t>
      </w:r>
    </w:p>
    <w:p w14:paraId="0603854B" w14:textId="77777777" w:rsidR="00A656A7" w:rsidRPr="001C5AE2" w:rsidRDefault="001C5AE2">
      <w:pPr>
        <w:widowControl w:val="0"/>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501D4FF5" w14:textId="77777777" w:rsidR="00A656A7" w:rsidRPr="001C5AE2" w:rsidRDefault="00A656A7">
      <w:pPr>
        <w:spacing w:line="360" w:lineRule="auto"/>
        <w:jc w:val="both"/>
        <w:rPr>
          <w:rFonts w:ascii="Palatino Linotype" w:eastAsia="Palatino Linotype" w:hAnsi="Palatino Linotype" w:cs="Palatino Linotype"/>
        </w:rPr>
      </w:pPr>
    </w:p>
    <w:p w14:paraId="0F914F4F"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49C535A"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C3692BE" w14:textId="77777777" w:rsidR="00A656A7" w:rsidRPr="001C5AE2" w:rsidRDefault="00A656A7">
      <w:pPr>
        <w:spacing w:line="360" w:lineRule="auto"/>
        <w:jc w:val="both"/>
        <w:rPr>
          <w:rFonts w:ascii="Palatino Linotype" w:eastAsia="Palatino Linotype" w:hAnsi="Palatino Linotype" w:cs="Palatino Linotype"/>
        </w:rPr>
      </w:pPr>
    </w:p>
    <w:p w14:paraId="24A83DD8"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6559517F" w14:textId="77777777" w:rsidR="00A656A7" w:rsidRPr="001C5AE2" w:rsidRDefault="00A656A7">
      <w:pPr>
        <w:spacing w:line="360" w:lineRule="auto"/>
        <w:jc w:val="both"/>
        <w:rPr>
          <w:rFonts w:ascii="Palatino Linotype" w:eastAsia="Palatino Linotype" w:hAnsi="Palatino Linotype" w:cs="Palatino Linotype"/>
        </w:rPr>
      </w:pPr>
    </w:p>
    <w:p w14:paraId="2E9860A9" w14:textId="77777777" w:rsidR="00A656A7" w:rsidRPr="001C5AE2" w:rsidRDefault="001C5AE2">
      <w:pPr>
        <w:spacing w:line="360" w:lineRule="auto"/>
        <w:jc w:val="both"/>
        <w:rPr>
          <w:rFonts w:ascii="Palatino Linotype" w:eastAsia="Palatino Linotype" w:hAnsi="Palatino Linotype" w:cs="Palatino Linotype"/>
          <w:strike/>
        </w:rPr>
      </w:pPr>
      <w:r w:rsidRPr="001C5AE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26C0FFF9" w14:textId="77777777" w:rsidR="00A656A7" w:rsidRPr="001C5AE2" w:rsidRDefault="00A656A7">
      <w:pPr>
        <w:spacing w:line="360" w:lineRule="auto"/>
        <w:jc w:val="both"/>
        <w:rPr>
          <w:rFonts w:ascii="Palatino Linotype" w:eastAsia="Palatino Linotype" w:hAnsi="Palatino Linotype" w:cs="Palatino Linotype"/>
        </w:rPr>
      </w:pPr>
    </w:p>
    <w:p w14:paraId="5528BF5C" w14:textId="77777777" w:rsidR="00A656A7" w:rsidRPr="001C5AE2" w:rsidRDefault="001C5AE2">
      <w:pPr>
        <w:numPr>
          <w:ilvl w:val="0"/>
          <w:numId w:val="2"/>
        </w:numPr>
        <w:ind w:left="8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17420657" w14:textId="77777777" w:rsidR="00A656A7" w:rsidRPr="001C5AE2" w:rsidRDefault="00A656A7">
      <w:pPr>
        <w:ind w:left="851" w:hanging="360"/>
        <w:jc w:val="both"/>
        <w:rPr>
          <w:rFonts w:ascii="Palatino Linotype" w:eastAsia="Palatino Linotype" w:hAnsi="Palatino Linotype" w:cs="Palatino Linotype"/>
        </w:rPr>
      </w:pPr>
    </w:p>
    <w:p w14:paraId="5AF9E9E2" w14:textId="77777777" w:rsidR="00A656A7" w:rsidRPr="001C5AE2" w:rsidRDefault="001C5AE2">
      <w:pPr>
        <w:numPr>
          <w:ilvl w:val="0"/>
          <w:numId w:val="2"/>
        </w:numPr>
        <w:ind w:left="851"/>
        <w:jc w:val="both"/>
        <w:rPr>
          <w:rFonts w:ascii="Palatino Linotype" w:eastAsia="Palatino Linotype" w:hAnsi="Palatino Linotype" w:cs="Palatino Linotype"/>
        </w:rPr>
      </w:pPr>
      <w:r w:rsidRPr="001C5AE2">
        <w:rPr>
          <w:rFonts w:ascii="Palatino Linotype" w:eastAsia="Palatino Linotype" w:hAnsi="Palatino Linotype" w:cs="Palatino Linotype"/>
        </w:rPr>
        <w:t>Actividad Procesal del interesado. Acciones u omisiones del interesado.</w:t>
      </w:r>
    </w:p>
    <w:p w14:paraId="408E585F" w14:textId="77777777" w:rsidR="00A656A7" w:rsidRPr="001C5AE2" w:rsidRDefault="00A656A7">
      <w:pPr>
        <w:ind w:left="851" w:hanging="360"/>
        <w:jc w:val="both"/>
        <w:rPr>
          <w:rFonts w:ascii="Palatino Linotype" w:eastAsia="Palatino Linotype" w:hAnsi="Palatino Linotype" w:cs="Palatino Linotype"/>
        </w:rPr>
      </w:pPr>
    </w:p>
    <w:p w14:paraId="2FE1031D" w14:textId="77777777" w:rsidR="00A656A7" w:rsidRPr="001C5AE2" w:rsidRDefault="001C5AE2">
      <w:pPr>
        <w:numPr>
          <w:ilvl w:val="0"/>
          <w:numId w:val="2"/>
        </w:numPr>
        <w:ind w:left="851"/>
        <w:jc w:val="both"/>
        <w:rPr>
          <w:rFonts w:ascii="Palatino Linotype" w:eastAsia="Palatino Linotype" w:hAnsi="Palatino Linotype" w:cs="Palatino Linotype"/>
        </w:rPr>
      </w:pPr>
      <w:r w:rsidRPr="001C5AE2">
        <w:rPr>
          <w:rFonts w:ascii="Palatino Linotype" w:eastAsia="Palatino Linotype" w:hAnsi="Palatino Linotype" w:cs="Palatino Linotype"/>
        </w:rPr>
        <w:t>Conducta de la Autoridad: Las Acciones u omisiones realizadas en el procedimiento. Así como si la autoridad actuó con la debida diligencia.</w:t>
      </w:r>
    </w:p>
    <w:p w14:paraId="664137C4" w14:textId="77777777" w:rsidR="00A656A7" w:rsidRPr="001C5AE2" w:rsidRDefault="00A656A7">
      <w:pPr>
        <w:ind w:left="851" w:hanging="360"/>
        <w:rPr>
          <w:rFonts w:ascii="Palatino Linotype" w:eastAsia="Palatino Linotype" w:hAnsi="Palatino Linotype" w:cs="Palatino Linotype"/>
        </w:rPr>
      </w:pPr>
    </w:p>
    <w:p w14:paraId="6F0537F0" w14:textId="77777777" w:rsidR="00A656A7" w:rsidRPr="001C5AE2" w:rsidRDefault="001C5AE2">
      <w:pPr>
        <w:ind w:left="851" w:hanging="360"/>
        <w:jc w:val="both"/>
        <w:rPr>
          <w:rFonts w:ascii="Palatino Linotype" w:eastAsia="Palatino Linotype" w:hAnsi="Palatino Linotype" w:cs="Palatino Linotype"/>
        </w:rPr>
      </w:pPr>
      <w:r w:rsidRPr="001C5AE2">
        <w:rPr>
          <w:rFonts w:ascii="Palatino Linotype" w:eastAsia="Palatino Linotype" w:hAnsi="Palatino Linotype" w:cs="Palatino Linotype"/>
        </w:rPr>
        <w:t>d) La afectación generada en la situación jurídica de la persona involucrada en el proceso: Violación a sus derechos humanos.</w:t>
      </w:r>
    </w:p>
    <w:p w14:paraId="363FD4F2" w14:textId="77777777" w:rsidR="00A656A7" w:rsidRPr="001C5AE2" w:rsidRDefault="00A656A7">
      <w:pPr>
        <w:spacing w:line="360" w:lineRule="auto"/>
        <w:jc w:val="both"/>
        <w:rPr>
          <w:rFonts w:ascii="Palatino Linotype" w:eastAsia="Palatino Linotype" w:hAnsi="Palatino Linotype" w:cs="Palatino Linotype"/>
        </w:rPr>
      </w:pPr>
    </w:p>
    <w:p w14:paraId="49D90AFA"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686E21A" w14:textId="77777777" w:rsidR="00A656A7" w:rsidRPr="001C5AE2" w:rsidRDefault="00A656A7">
      <w:pPr>
        <w:spacing w:line="360" w:lineRule="auto"/>
        <w:jc w:val="both"/>
        <w:rPr>
          <w:rFonts w:ascii="Palatino Linotype" w:eastAsia="Palatino Linotype" w:hAnsi="Palatino Linotype" w:cs="Palatino Linotype"/>
        </w:rPr>
      </w:pPr>
    </w:p>
    <w:p w14:paraId="1F9CCBA6" w14:textId="77777777" w:rsidR="00A656A7" w:rsidRPr="001C5AE2" w:rsidRDefault="001C5AE2">
      <w:pPr>
        <w:spacing w:line="360" w:lineRule="auto"/>
        <w:jc w:val="both"/>
        <w:rPr>
          <w:rFonts w:ascii="Palatino Linotype" w:eastAsia="Palatino Linotype" w:hAnsi="Palatino Linotype" w:cs="Palatino Linotype"/>
          <w:b/>
        </w:rPr>
      </w:pPr>
      <w:r w:rsidRPr="001C5AE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1C5AE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1C5AE2">
        <w:rPr>
          <w:rFonts w:ascii="Palatino Linotype" w:eastAsia="Palatino Linotype" w:hAnsi="Palatino Linotype" w:cs="Palatino Linotype"/>
        </w:rPr>
        <w:t>, visible en la Gaceta del Seminario Judicial de la Federación con el registro digital 205635.</w:t>
      </w:r>
    </w:p>
    <w:p w14:paraId="5D3D6EBA" w14:textId="77777777" w:rsidR="00A656A7" w:rsidRPr="001C5AE2" w:rsidRDefault="00A656A7">
      <w:pPr>
        <w:spacing w:line="360" w:lineRule="auto"/>
        <w:jc w:val="both"/>
        <w:rPr>
          <w:rFonts w:ascii="Palatino Linotype" w:eastAsia="Palatino Linotype" w:hAnsi="Palatino Linotype" w:cs="Palatino Linotype"/>
        </w:rPr>
      </w:pPr>
    </w:p>
    <w:p w14:paraId="18CDC418"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w:t>
      </w:r>
      <w:r w:rsidRPr="001C5AE2">
        <w:rPr>
          <w:rFonts w:ascii="Palatino Linotype" w:eastAsia="Palatino Linotype" w:hAnsi="Palatino Linotype" w:cs="Palatino Linotype"/>
        </w:rPr>
        <w:lastRenderedPageBreak/>
        <w:t>los términos legales previamente establecidos por la Ley, por tratarse de causas de fuerza mayor.</w:t>
      </w:r>
    </w:p>
    <w:p w14:paraId="28E87D20" w14:textId="77777777" w:rsidR="00A656A7" w:rsidRPr="001C5AE2" w:rsidRDefault="00A656A7">
      <w:pPr>
        <w:spacing w:line="360" w:lineRule="auto"/>
        <w:jc w:val="both"/>
        <w:rPr>
          <w:rFonts w:ascii="Palatino Linotype" w:eastAsia="Palatino Linotype" w:hAnsi="Palatino Linotype" w:cs="Palatino Linotype"/>
        </w:rPr>
      </w:pPr>
    </w:p>
    <w:p w14:paraId="7A14F523"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110D289E" w14:textId="77777777" w:rsidR="00A656A7" w:rsidRPr="001C5AE2" w:rsidRDefault="00A656A7">
      <w:pPr>
        <w:spacing w:line="360" w:lineRule="auto"/>
        <w:jc w:val="both"/>
        <w:rPr>
          <w:rFonts w:ascii="Palatino Linotype" w:eastAsia="Palatino Linotype" w:hAnsi="Palatino Linotype" w:cs="Palatino Linotype"/>
        </w:rPr>
      </w:pPr>
    </w:p>
    <w:p w14:paraId="40DBF443"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 </w:t>
      </w:r>
      <w:r w:rsidRPr="001C5AE2">
        <w:rPr>
          <w:rFonts w:ascii="Palatino Linotype" w:eastAsia="Palatino Linotype" w:hAnsi="Palatino Linotype" w:cs="Palatino Linotype"/>
          <w:i/>
        </w:rPr>
        <w:t>“PLAZO RAZONABLE PARA RESOLVER. DIMENSIÓN Y EFECTOS DE ESTE CONCEPTO CUANDO SE ADUCE EXCESIVA CARGA DE TRABAJO.”</w:t>
      </w:r>
      <w:r w:rsidRPr="001C5AE2">
        <w:rPr>
          <w:rFonts w:ascii="Palatino Linotype" w:eastAsia="Palatino Linotype" w:hAnsi="Palatino Linotype" w:cs="Palatino Linotype"/>
        </w:rPr>
        <w:t xml:space="preserve"> consultable en el Seminario Judicial de la Federación y su gaceta, con el registro digital 2002351.</w:t>
      </w:r>
    </w:p>
    <w:p w14:paraId="51369763" w14:textId="77777777" w:rsidR="00A656A7" w:rsidRPr="001C5AE2" w:rsidRDefault="00A656A7">
      <w:pPr>
        <w:spacing w:line="360" w:lineRule="auto"/>
        <w:jc w:val="both"/>
        <w:rPr>
          <w:rFonts w:ascii="Palatino Linotype" w:eastAsia="Palatino Linotype" w:hAnsi="Palatino Linotype" w:cs="Palatino Linotype"/>
          <w:b/>
        </w:rPr>
      </w:pPr>
    </w:p>
    <w:p w14:paraId="365AA421"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i/>
        </w:rPr>
        <w:t>“PLAZO RAZONABLE PARA RESOLVER. CONCEPTO Y ELEMENTOS QUE LO INTEGRAN A LA LUZ DEL DERECHO INTERNACIONAL DE LOS DERECHOS HUMANOS.”</w:t>
      </w:r>
      <w:r w:rsidRPr="001C5AE2">
        <w:rPr>
          <w:rFonts w:ascii="Palatino Linotype" w:eastAsia="Palatino Linotype" w:hAnsi="Palatino Linotype" w:cs="Palatino Linotype"/>
        </w:rPr>
        <w:t>, visible en el Seminario Judicial de la Federación y su gaceta, con el registro digital 2002350.</w:t>
      </w:r>
    </w:p>
    <w:p w14:paraId="4E5766CC" w14:textId="77777777" w:rsidR="00A656A7" w:rsidRPr="001C5AE2" w:rsidRDefault="00A656A7">
      <w:pPr>
        <w:spacing w:line="360" w:lineRule="auto"/>
        <w:jc w:val="both"/>
        <w:rPr>
          <w:rFonts w:ascii="Palatino Linotype" w:eastAsia="Palatino Linotype" w:hAnsi="Palatino Linotype" w:cs="Palatino Linotype"/>
        </w:rPr>
      </w:pPr>
    </w:p>
    <w:p w14:paraId="0A0F6DAA"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0CEEC629"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8. Cierre de instrucción. </w:t>
      </w:r>
      <w:r w:rsidRPr="001C5AE2">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Pr="001C5AE2">
        <w:rPr>
          <w:rFonts w:ascii="Palatino Linotype" w:eastAsia="Palatino Linotype" w:hAnsi="Palatino Linotype" w:cs="Palatino Linotype"/>
          <w:b/>
        </w:rPr>
        <w:t>veintiséis de febrero de dos mil veinticuatro,</w:t>
      </w:r>
      <w:r w:rsidRPr="001C5AE2">
        <w:rPr>
          <w:rFonts w:ascii="Palatino Linotype" w:eastAsia="Palatino Linotype" w:hAnsi="Palatino Linotype" w:cs="Palatino Linotype"/>
        </w:rPr>
        <w:t xml:space="preserve"> la Comisionada Ponente determinó el cierre de instrucción en términos de la fracción VI del artículo 185 de </w:t>
      </w:r>
      <w:r w:rsidRPr="001C5AE2">
        <w:rPr>
          <w:rFonts w:ascii="Palatino Linotype" w:eastAsia="Palatino Linotype" w:hAnsi="Palatino Linotype" w:cs="Palatino Linotype"/>
        </w:rPr>
        <w:lastRenderedPageBreak/>
        <w:t>la Ley de Transparencia y Acceso a la Información Pública del Estado de México y Municipios.</w:t>
      </w:r>
    </w:p>
    <w:p w14:paraId="3F34DD99"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A261417" w14:textId="77777777" w:rsidR="00A656A7" w:rsidRPr="001C5AE2" w:rsidRDefault="001C5AE2">
      <w:pPr>
        <w:widowControl w:val="0"/>
        <w:spacing w:line="360" w:lineRule="auto"/>
        <w:jc w:val="center"/>
        <w:rPr>
          <w:rFonts w:ascii="Palatino Linotype" w:eastAsia="Palatino Linotype" w:hAnsi="Palatino Linotype" w:cs="Palatino Linotype"/>
          <w:b/>
        </w:rPr>
      </w:pPr>
      <w:r w:rsidRPr="001C5AE2">
        <w:rPr>
          <w:rFonts w:ascii="Palatino Linotype" w:eastAsia="Palatino Linotype" w:hAnsi="Palatino Linotype" w:cs="Palatino Linotype"/>
          <w:b/>
        </w:rPr>
        <w:t>II. C O N S I D E R A N D O S</w:t>
      </w:r>
    </w:p>
    <w:p w14:paraId="51DDAA92" w14:textId="77777777" w:rsidR="00A656A7" w:rsidRPr="001C5AE2" w:rsidRDefault="00A656A7">
      <w:pPr>
        <w:widowControl w:val="0"/>
        <w:spacing w:line="360" w:lineRule="auto"/>
        <w:jc w:val="center"/>
        <w:rPr>
          <w:rFonts w:ascii="Palatino Linotype" w:eastAsia="Palatino Linotype" w:hAnsi="Palatino Linotype" w:cs="Palatino Linotype"/>
          <w:b/>
        </w:rPr>
      </w:pPr>
    </w:p>
    <w:p w14:paraId="3FE57250"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Primero. Competencia.</w:t>
      </w:r>
      <w:r w:rsidRPr="001C5AE2">
        <w:rPr>
          <w:rFonts w:ascii="Palatino Linotype" w:eastAsia="Palatino Linotype" w:hAnsi="Palatino Linotype" w:cs="Palatino Linotype"/>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05F47A5" w14:textId="77777777" w:rsidR="00A656A7" w:rsidRPr="001C5AE2" w:rsidRDefault="00A656A7">
      <w:pPr>
        <w:spacing w:line="360" w:lineRule="auto"/>
        <w:jc w:val="both"/>
        <w:rPr>
          <w:rFonts w:ascii="Palatino Linotype" w:eastAsia="Palatino Linotype" w:hAnsi="Palatino Linotype" w:cs="Palatino Linotype"/>
        </w:rPr>
      </w:pPr>
    </w:p>
    <w:p w14:paraId="424C63F3" w14:textId="77777777" w:rsidR="00A656A7" w:rsidRPr="001C5AE2" w:rsidRDefault="001C5AE2">
      <w:pPr>
        <w:spacing w:line="360" w:lineRule="auto"/>
        <w:jc w:val="both"/>
        <w:rPr>
          <w:rFonts w:ascii="Palatino Linotype" w:eastAsia="Palatino Linotype" w:hAnsi="Palatino Linotype" w:cs="Palatino Linotype"/>
        </w:rPr>
      </w:pPr>
      <w:bookmarkStart w:id="3" w:name="_heading=h.tyjcwt" w:colFirst="0" w:colLast="0"/>
      <w:bookmarkEnd w:id="3"/>
      <w:r w:rsidRPr="001C5AE2">
        <w:rPr>
          <w:rFonts w:ascii="Palatino Linotype" w:eastAsia="Palatino Linotype" w:hAnsi="Palatino Linotype" w:cs="Palatino Linotype"/>
          <w:b/>
        </w:rPr>
        <w:t xml:space="preserve">Segundo. Oportunidad y Procedibilidad del Recurso de Revisión. </w:t>
      </w:r>
      <w:r w:rsidRPr="001C5AE2">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w:t>
      </w:r>
      <w:r w:rsidRPr="001C5AE2">
        <w:rPr>
          <w:rFonts w:ascii="Palatino Linotype" w:eastAsia="Palatino Linotype" w:hAnsi="Palatino Linotype" w:cs="Palatino Linotype"/>
        </w:rPr>
        <w:lastRenderedPageBreak/>
        <w:t xml:space="preserve">Transparencia y Acceso a la Información Pública del Estado de México y Municipios; en la especie se advierte que el presente medio de impugnación fue interpuesto dentro del plazo de quince días previsto en el primer artículo de referencia; toda vez que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emitió su respuesta a la solicitud planteada por el solicitante el primero de agosto del año dos mil veintitrés y mientras que el recurso de revisión interpuesto por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se tuvo por presentado el día </w:t>
      </w:r>
      <w:r w:rsidRPr="001C5AE2">
        <w:rPr>
          <w:rFonts w:ascii="Palatino Linotype" w:eastAsia="Palatino Linotype" w:hAnsi="Palatino Linotype" w:cs="Palatino Linotype"/>
          <w:b/>
        </w:rPr>
        <w:t xml:space="preserve">diez de agosto del año dos mil veintitrés, </w:t>
      </w:r>
      <w:r w:rsidRPr="001C5AE2">
        <w:rPr>
          <w:rFonts w:ascii="Palatino Linotype" w:eastAsia="Palatino Linotype" w:hAnsi="Palatino Linotype" w:cs="Palatino Linotype"/>
        </w:rPr>
        <w:t xml:space="preserve">esto es, </w:t>
      </w:r>
      <w:r w:rsidRPr="001C5AE2">
        <w:rPr>
          <w:rFonts w:ascii="Palatino Linotype" w:eastAsia="Palatino Linotype" w:hAnsi="Palatino Linotype" w:cs="Palatino Linotype"/>
          <w:b/>
        </w:rPr>
        <w:t>séptimo día siguiente en</w:t>
      </w:r>
      <w:r w:rsidRPr="001C5AE2">
        <w:rPr>
          <w:rFonts w:ascii="Palatino Linotype" w:eastAsia="Palatino Linotype" w:hAnsi="Palatino Linotype" w:cs="Palatino Linotype"/>
        </w:rPr>
        <w:t xml:space="preserve"> que tuvo conocimiento de la respuesta impugnada.</w:t>
      </w:r>
    </w:p>
    <w:p w14:paraId="07A34769"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1DF72A5D"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IX de la ley de la materia, que a la letra dice:</w:t>
      </w:r>
    </w:p>
    <w:p w14:paraId="2E20F380" w14:textId="77777777" w:rsidR="00A656A7" w:rsidRPr="001C5AE2" w:rsidRDefault="001C5AE2">
      <w:pPr>
        <w:ind w:left="1276" w:right="175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 xml:space="preserve">Artículo 179. </w:t>
      </w:r>
      <w:r w:rsidRPr="001C5AE2">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412A3471" w14:textId="77777777" w:rsidR="00A656A7" w:rsidRPr="001C5AE2" w:rsidRDefault="001C5AE2">
      <w:pPr>
        <w:ind w:left="1276" w:right="175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p>
    <w:p w14:paraId="0B2A9CB5" w14:textId="77777777" w:rsidR="00A656A7" w:rsidRPr="001C5AE2" w:rsidRDefault="001C5AE2">
      <w:pPr>
        <w:ind w:left="1276" w:right="175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IX. La entrega o puesta a disposición de información en un formato incomprensible y/o no accesible para el solicitante;” (Sic) </w:t>
      </w:r>
    </w:p>
    <w:p w14:paraId="7CCA946E"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lastRenderedPageBreak/>
        <w:t>Tercero. Materia de Revisión</w:t>
      </w:r>
      <w:r w:rsidRPr="001C5AE2">
        <w:rPr>
          <w:rFonts w:ascii="Palatino Linotype" w:eastAsia="Palatino Linotype" w:hAnsi="Palatino Linotype" w:cs="Palatino Linotype"/>
        </w:rPr>
        <w:t xml:space="preserve">: De las constancias que integran el expediente electrónico se advierte que el tema sobre el que este Instituto se pronunciará será: </w:t>
      </w:r>
      <w:r w:rsidRPr="001C5AE2">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1C5AE2">
        <w:rPr>
          <w:rFonts w:ascii="Palatino Linotype" w:eastAsia="Palatino Linotype" w:hAnsi="Palatino Linotype" w:cs="Palatino Linotype"/>
        </w:rPr>
        <w:t xml:space="preserve">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o en su defecto, en caso de ser procedente, ordenar la entrega de información.</w:t>
      </w:r>
    </w:p>
    <w:p w14:paraId="02AD4783"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Cuarto. Estudio de fondo del asunto. </w:t>
      </w:r>
      <w:r w:rsidRPr="001C5AE2">
        <w:rPr>
          <w:rFonts w:ascii="Palatino Linotype" w:eastAsia="Palatino Linotype" w:hAnsi="Palatino Linotype" w:cs="Palatino Linotype"/>
        </w:rPr>
        <w:t xml:space="preserve">es conveniente analizar si la respuesta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4C9D1055" w14:textId="77777777" w:rsidR="00A656A7" w:rsidRPr="001C5AE2" w:rsidRDefault="001C5AE2">
      <w:pPr>
        <w:spacing w:before="240"/>
        <w:ind w:left="709" w:right="760"/>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 4.</w:t>
      </w:r>
      <w:r w:rsidRPr="001C5AE2">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0885902" w14:textId="77777777" w:rsidR="00A656A7" w:rsidRPr="001C5AE2" w:rsidRDefault="001C5AE2">
      <w:pPr>
        <w:ind w:left="709" w:right="760"/>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1C5AE2">
        <w:rPr>
          <w:rFonts w:ascii="Palatino Linotype" w:eastAsia="Palatino Linotype" w:hAnsi="Palatino Linotype" w:cs="Palatino Linotype"/>
          <w:i/>
          <w:sz w:val="22"/>
          <w:szCs w:val="22"/>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w:t>
      </w:r>
      <w:r w:rsidRPr="001C5AE2">
        <w:rPr>
          <w:rFonts w:ascii="Palatino Linotype" w:eastAsia="Palatino Linotype" w:hAnsi="Palatino Linotype" w:cs="Palatino Linotype"/>
          <w:i/>
          <w:sz w:val="22"/>
          <w:szCs w:val="22"/>
        </w:rPr>
        <w:lastRenderedPageBreak/>
        <w:t>público, en los términos de las causas legítimas y estrictamente necesarias previstas por esta Ley.</w:t>
      </w:r>
    </w:p>
    <w:p w14:paraId="49CB812F" w14:textId="77777777" w:rsidR="00A656A7" w:rsidRPr="001C5AE2" w:rsidRDefault="001C5AE2">
      <w:pPr>
        <w:ind w:left="709" w:right="760"/>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1F27D1A7"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De lo anterior, se desprende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55A2A485" w14:textId="77777777" w:rsidR="00A656A7" w:rsidRPr="001C5AE2" w:rsidRDefault="001C5AE2">
      <w:pPr>
        <w:ind w:left="567" w:right="758"/>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Artículo12.-</w:t>
      </w:r>
      <w:r w:rsidRPr="001C5AE2">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B8E6CA3" w14:textId="77777777" w:rsidR="00A656A7" w:rsidRPr="001C5AE2" w:rsidRDefault="001C5AE2">
      <w:pPr>
        <w:ind w:left="567" w:right="758"/>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01EA9FC1" w14:textId="77777777" w:rsidR="00A656A7" w:rsidRPr="001C5AE2" w:rsidRDefault="00A656A7">
      <w:pPr>
        <w:spacing w:line="360" w:lineRule="auto"/>
        <w:ind w:right="-93"/>
        <w:jc w:val="both"/>
        <w:rPr>
          <w:rFonts w:ascii="Palatino Linotype" w:eastAsia="Palatino Linotype" w:hAnsi="Palatino Linotype" w:cs="Palatino Linotype"/>
        </w:rPr>
      </w:pPr>
    </w:p>
    <w:p w14:paraId="20FF703A" w14:textId="77777777" w:rsidR="00A656A7" w:rsidRPr="001C5AE2" w:rsidRDefault="001C5AE2">
      <w:pPr>
        <w:spacing w:line="360" w:lineRule="auto"/>
        <w:ind w:right="-93"/>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Es decir, todo Sujeto Obligado que genere, recopile, administre, procese, archive, posea o conserve información es responsables de la misma, teniendo a su vez la obligación de proporcionarla cuando se le requiera, sin necesidad de resumirla, efectuar procedimientos para obtenerla, calcular y practicar investigaciones; es decir, los Sujetos Obligados sólo se concretarán a proporcionar la información solicitada </w:t>
      </w:r>
      <w:r w:rsidRPr="001C5AE2">
        <w:rPr>
          <w:rFonts w:ascii="Palatino Linotype" w:eastAsia="Palatino Linotype" w:hAnsi="Palatino Linotype" w:cs="Palatino Linotype"/>
        </w:rPr>
        <w:lastRenderedPageBreak/>
        <w:t xml:space="preserve">que tengan en su poder en el estado que se encuentran, sin necesidad de concretarse al interés o términos específicos del solicitante. </w:t>
      </w:r>
    </w:p>
    <w:p w14:paraId="028134FF" w14:textId="77777777" w:rsidR="00A656A7" w:rsidRPr="001C5AE2" w:rsidRDefault="00A656A7">
      <w:pPr>
        <w:spacing w:line="360" w:lineRule="auto"/>
        <w:jc w:val="both"/>
        <w:rPr>
          <w:rFonts w:ascii="Palatino Linotype" w:eastAsia="Palatino Linotype" w:hAnsi="Palatino Linotype" w:cs="Palatino Linotype"/>
        </w:rPr>
      </w:pPr>
    </w:p>
    <w:p w14:paraId="31DACF8A"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Sirve de apoyo a lo anterior, el criterio 03-17, expuesto por el Instituto Nacional de Transparencia, Acceso a la Información y Protección de Datos Personales, que dice:</w:t>
      </w:r>
    </w:p>
    <w:p w14:paraId="32589DC1" w14:textId="77777777" w:rsidR="00A656A7" w:rsidRPr="001C5AE2" w:rsidRDefault="001C5AE2">
      <w:pPr>
        <w:spacing w:line="360" w:lineRule="auto"/>
        <w:jc w:val="both"/>
        <w:rPr>
          <w:rFonts w:ascii="Palatino Linotype" w:eastAsia="Palatino Linotype" w:hAnsi="Palatino Linotype" w:cs="Palatino Linotype"/>
          <w:b/>
        </w:rPr>
      </w:pPr>
      <w:r w:rsidRPr="001C5AE2">
        <w:rPr>
          <w:rFonts w:ascii="Palatino Linotype" w:eastAsia="Palatino Linotype" w:hAnsi="Palatino Linotype" w:cs="Palatino Linotype"/>
          <w:b/>
        </w:rPr>
        <w:t xml:space="preserve"> </w:t>
      </w:r>
    </w:p>
    <w:p w14:paraId="0CA8BD93" w14:textId="77777777" w:rsidR="00A656A7" w:rsidRPr="001C5AE2" w:rsidRDefault="001C5AE2">
      <w:pPr>
        <w:ind w:left="851" w:right="90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No existe obligación de elaborar documentos ad hoc para atender las solicitudes de acceso a la información.</w:t>
      </w:r>
      <w:r w:rsidRPr="001C5AE2">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07D5651" w14:textId="77777777" w:rsidR="00A656A7" w:rsidRPr="001C5AE2" w:rsidRDefault="001C5AE2">
      <w:pPr>
        <w:ind w:left="851" w:right="90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Resoluciones: </w:t>
      </w:r>
    </w:p>
    <w:p w14:paraId="236537D2" w14:textId="77777777" w:rsidR="00A656A7" w:rsidRPr="001C5AE2" w:rsidRDefault="001C5AE2">
      <w:pPr>
        <w:ind w:left="851" w:right="901"/>
        <w:jc w:val="both"/>
        <w:rPr>
          <w:rFonts w:ascii="Palatino Linotype" w:eastAsia="Palatino Linotype" w:hAnsi="Palatino Linotype" w:cs="Palatino Linotype"/>
          <w:i/>
          <w:sz w:val="22"/>
          <w:szCs w:val="22"/>
        </w:rPr>
      </w:pPr>
      <w:r w:rsidRPr="001C5AE2">
        <w:rPr>
          <w:rFonts w:ascii="Noto Sans Symbols" w:eastAsia="Noto Sans Symbols" w:hAnsi="Noto Sans Symbols" w:cs="Noto Sans Symbols"/>
          <w:i/>
          <w:sz w:val="22"/>
          <w:szCs w:val="22"/>
        </w:rPr>
        <w:t>∙</w:t>
      </w:r>
      <w:r w:rsidRPr="001C5AE2">
        <w:rPr>
          <w:rFonts w:ascii="Palatino Linotype" w:eastAsia="Palatino Linotype" w:hAnsi="Palatino Linotype" w:cs="Palatino Linotype"/>
          <w:i/>
          <w:sz w:val="22"/>
          <w:szCs w:val="22"/>
        </w:rPr>
        <w:t xml:space="preserve"> RRA 0050/16. Instituto Nacional para la Evaluación de la Educación. 13 julio de 2016. Por unanimidad. Comisionado Ponente: Francisco Javier Acuña Llamas.</w:t>
      </w:r>
    </w:p>
    <w:p w14:paraId="7D1B3752" w14:textId="77777777" w:rsidR="00A656A7" w:rsidRPr="001C5AE2" w:rsidRDefault="001C5AE2">
      <w:pPr>
        <w:ind w:left="851" w:right="901"/>
        <w:jc w:val="both"/>
        <w:rPr>
          <w:rFonts w:ascii="Palatino Linotype" w:eastAsia="Palatino Linotype" w:hAnsi="Palatino Linotype" w:cs="Palatino Linotype"/>
          <w:i/>
          <w:sz w:val="22"/>
          <w:szCs w:val="22"/>
        </w:rPr>
      </w:pPr>
      <w:r w:rsidRPr="001C5AE2">
        <w:rPr>
          <w:rFonts w:ascii="Noto Sans Symbols" w:eastAsia="Noto Sans Symbols" w:hAnsi="Noto Sans Symbols" w:cs="Noto Sans Symbols"/>
          <w:i/>
          <w:sz w:val="22"/>
          <w:szCs w:val="22"/>
        </w:rPr>
        <w:t>∙</w:t>
      </w:r>
      <w:r w:rsidRPr="001C5AE2">
        <w:rPr>
          <w:rFonts w:ascii="Palatino Linotype" w:eastAsia="Palatino Linotype" w:hAnsi="Palatino Linotype" w:cs="Palatino Linotype"/>
          <w:i/>
          <w:sz w:val="22"/>
          <w:szCs w:val="22"/>
        </w:rPr>
        <w:t xml:space="preserve"> RRA 0310/16. Instituto Nacional de Transparencia, Acceso a la Información y Protección de Datos Personales. 10 de agosto de 2016. Por unanimidad. Comisionada Ponente. Areli Cano Guadiana. </w:t>
      </w:r>
    </w:p>
    <w:p w14:paraId="1826424C" w14:textId="77777777" w:rsidR="00A656A7" w:rsidRPr="001C5AE2" w:rsidRDefault="001C5AE2">
      <w:pPr>
        <w:ind w:left="851" w:right="901"/>
        <w:jc w:val="both"/>
        <w:rPr>
          <w:rFonts w:ascii="Palatino Linotype" w:eastAsia="Palatino Linotype" w:hAnsi="Palatino Linotype" w:cs="Palatino Linotype"/>
          <w:i/>
          <w:sz w:val="22"/>
          <w:szCs w:val="22"/>
        </w:rPr>
      </w:pPr>
      <w:r w:rsidRPr="001C5AE2">
        <w:rPr>
          <w:rFonts w:ascii="Noto Sans Symbols" w:eastAsia="Noto Sans Symbols" w:hAnsi="Noto Sans Symbols" w:cs="Noto Sans Symbols"/>
          <w:i/>
          <w:sz w:val="22"/>
          <w:szCs w:val="22"/>
        </w:rPr>
        <w:t>∙</w:t>
      </w:r>
      <w:r w:rsidRPr="001C5AE2">
        <w:rPr>
          <w:rFonts w:ascii="Palatino Linotype" w:eastAsia="Palatino Linotype" w:hAnsi="Palatino Linotype" w:cs="Palatino Linotype"/>
          <w:i/>
          <w:sz w:val="22"/>
          <w:szCs w:val="22"/>
        </w:rPr>
        <w:t xml:space="preserve"> RRA 1889/16. Secretaría de Hacienda y Crédito Público. 05 de octubre de 2016. Por unanimidad. Comisionada Ponente. Ximena Puente de la Mora</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0ECA1AAE" w14:textId="77777777" w:rsidR="00A656A7" w:rsidRPr="001C5AE2" w:rsidRDefault="00A656A7">
      <w:pPr>
        <w:spacing w:line="360" w:lineRule="auto"/>
        <w:jc w:val="both"/>
        <w:rPr>
          <w:rFonts w:ascii="Palatino Linotype" w:eastAsia="Palatino Linotype" w:hAnsi="Palatino Linotype" w:cs="Palatino Linotype"/>
        </w:rPr>
      </w:pPr>
    </w:p>
    <w:p w14:paraId="7A6E3A1B" w14:textId="77777777" w:rsidR="00A656A7" w:rsidRPr="001C5AE2" w:rsidRDefault="001C5AE2">
      <w:pPr>
        <w:spacing w:line="360" w:lineRule="auto"/>
        <w:jc w:val="both"/>
        <w:rPr>
          <w:rFonts w:ascii="Palatino Linotype" w:eastAsia="Palatino Linotype" w:hAnsi="Palatino Linotype" w:cs="Palatino Linotype"/>
          <w:strike/>
        </w:rPr>
      </w:pPr>
      <w:r w:rsidRPr="001C5AE2">
        <w:rPr>
          <w:rFonts w:ascii="Palatino Linotype" w:eastAsia="Palatino Linotype" w:hAnsi="Palatino Linotype" w:cs="Palatino Linotype"/>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w:t>
      </w:r>
      <w:r w:rsidRPr="001C5AE2">
        <w:rPr>
          <w:rFonts w:ascii="Palatino Linotype" w:eastAsia="Palatino Linotype" w:hAnsi="Palatino Linotype" w:cs="Palatino Linotype"/>
        </w:rPr>
        <w:lastRenderedPageBreak/>
        <w:t xml:space="preserve">que es deber de los Sujetos Obligados, garantizar el Derecho de Acceso a la Información Pública, circunstancia que aconteció en el presente asunto que se analiza.  </w:t>
      </w:r>
    </w:p>
    <w:p w14:paraId="71B82726" w14:textId="77777777" w:rsidR="00A656A7" w:rsidRPr="001C5AE2" w:rsidRDefault="00A656A7">
      <w:pPr>
        <w:spacing w:line="360" w:lineRule="auto"/>
        <w:jc w:val="both"/>
        <w:rPr>
          <w:rFonts w:ascii="Palatino Linotype" w:eastAsia="Palatino Linotype" w:hAnsi="Palatino Linotype" w:cs="Palatino Linotype"/>
        </w:rPr>
      </w:pPr>
    </w:p>
    <w:p w14:paraId="40C2DB0F" w14:textId="77777777" w:rsidR="00A656A7" w:rsidRPr="001C5AE2" w:rsidRDefault="001C5AE2">
      <w:pPr>
        <w:spacing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E5AAAD7" w14:textId="77777777" w:rsidR="00A656A7" w:rsidRPr="001C5AE2" w:rsidRDefault="00A656A7">
      <w:pPr>
        <w:spacing w:line="360" w:lineRule="auto"/>
        <w:ind w:right="49"/>
        <w:jc w:val="both"/>
        <w:rPr>
          <w:rFonts w:ascii="Palatino Linotype" w:eastAsia="Palatino Linotype" w:hAnsi="Palatino Linotype" w:cs="Palatino Linotype"/>
        </w:rPr>
      </w:pPr>
    </w:p>
    <w:p w14:paraId="4758AC28"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FD16142" w14:textId="77777777" w:rsidR="00A656A7" w:rsidRPr="001C5AE2" w:rsidRDefault="00A656A7">
      <w:pPr>
        <w:ind w:left="851" w:right="899"/>
        <w:jc w:val="both"/>
        <w:rPr>
          <w:rFonts w:ascii="Palatino Linotype" w:eastAsia="Palatino Linotype" w:hAnsi="Palatino Linotype" w:cs="Palatino Linotype"/>
          <w:i/>
          <w:sz w:val="22"/>
          <w:szCs w:val="22"/>
        </w:rPr>
      </w:pPr>
    </w:p>
    <w:p w14:paraId="0E8CFBF1"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 xml:space="preserve">Artículo 3. </w:t>
      </w:r>
      <w:r w:rsidRPr="001C5AE2">
        <w:rPr>
          <w:rFonts w:ascii="Palatino Linotype" w:eastAsia="Palatino Linotype" w:hAnsi="Palatino Linotype" w:cs="Palatino Linotype"/>
          <w:i/>
          <w:sz w:val="22"/>
          <w:szCs w:val="22"/>
        </w:rPr>
        <w:t>Para los efectos de la presente Ley se entenderá por:</w:t>
      </w:r>
    </w:p>
    <w:p w14:paraId="51AA13A8"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p>
    <w:p w14:paraId="04C0FC56"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lastRenderedPageBreak/>
        <w:t>XI. Documento:</w:t>
      </w:r>
      <w:r w:rsidRPr="001C5AE2">
        <w:rPr>
          <w:rFonts w:ascii="Palatino Linotype" w:eastAsia="Palatino Linotype" w:hAnsi="Palatino Linotype" w:cs="Palatino Linotype"/>
          <w:i/>
          <w:sz w:val="22"/>
          <w:szCs w:val="22"/>
        </w:rPr>
        <w:t xml:space="preserve"> Los expedientes, reportes, estudios, actas</w:t>
      </w:r>
      <w:r w:rsidRPr="001C5AE2">
        <w:rPr>
          <w:rFonts w:ascii="Palatino Linotype" w:eastAsia="Palatino Linotype" w:hAnsi="Palatino Linotype" w:cs="Palatino Linotype"/>
          <w:b/>
          <w:i/>
          <w:sz w:val="22"/>
          <w:szCs w:val="22"/>
        </w:rPr>
        <w:t>,</w:t>
      </w:r>
      <w:r w:rsidRPr="001C5AE2">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7A9D1CB8" w14:textId="77777777" w:rsidR="00A656A7" w:rsidRPr="001C5AE2" w:rsidRDefault="00A656A7">
      <w:pPr>
        <w:ind w:left="851" w:right="899"/>
        <w:jc w:val="both"/>
        <w:rPr>
          <w:rFonts w:ascii="Palatino Linotype" w:eastAsia="Palatino Linotype" w:hAnsi="Palatino Linotype" w:cs="Palatino Linotype"/>
          <w:sz w:val="22"/>
          <w:szCs w:val="22"/>
        </w:rPr>
      </w:pPr>
    </w:p>
    <w:p w14:paraId="7863C8DC"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271D903E" w14:textId="77777777" w:rsidR="00A656A7" w:rsidRPr="001C5AE2" w:rsidRDefault="001C5AE2">
      <w:pPr>
        <w:ind w:left="851" w:right="899"/>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sz w:val="22"/>
          <w:szCs w:val="22"/>
        </w:rPr>
        <w:t>“</w:t>
      </w:r>
      <w:r w:rsidRPr="001C5AE2">
        <w:rPr>
          <w:rFonts w:ascii="Palatino Linotype" w:eastAsia="Palatino Linotype" w:hAnsi="Palatino Linotype" w:cs="Palatino Linotype"/>
          <w:b/>
          <w:i/>
          <w:sz w:val="22"/>
          <w:szCs w:val="22"/>
        </w:rPr>
        <w:t>CRITERIO 0002-11</w:t>
      </w:r>
    </w:p>
    <w:p w14:paraId="343358CA"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1C5AE2">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30E2150D"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En </w:t>
      </w:r>
      <w:proofErr w:type="gramStart"/>
      <w:r w:rsidRPr="001C5AE2">
        <w:rPr>
          <w:rFonts w:ascii="Palatino Linotype" w:eastAsia="Palatino Linotype" w:hAnsi="Palatino Linotype" w:cs="Palatino Linotype"/>
          <w:i/>
          <w:sz w:val="22"/>
          <w:szCs w:val="22"/>
        </w:rPr>
        <w:t>consecuencia</w:t>
      </w:r>
      <w:proofErr w:type="gramEnd"/>
      <w:r w:rsidRPr="001C5AE2">
        <w:rPr>
          <w:rFonts w:ascii="Palatino Linotype" w:eastAsia="Palatino Linotype" w:hAnsi="Palatino Linotype" w:cs="Palatino Linotype"/>
          <w:i/>
          <w:sz w:val="22"/>
          <w:szCs w:val="22"/>
        </w:rPr>
        <w:t xml:space="preserve"> el acceso a la información se refiere a que se cumplan cualquiera de los siguientes tres supuestos:</w:t>
      </w:r>
    </w:p>
    <w:p w14:paraId="6C4E5B20"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1) Que se trate de información registrada en cualquier soporte documental, </w:t>
      </w:r>
      <w:proofErr w:type="gramStart"/>
      <w:r w:rsidRPr="001C5AE2">
        <w:rPr>
          <w:rFonts w:ascii="Palatino Linotype" w:eastAsia="Palatino Linotype" w:hAnsi="Palatino Linotype" w:cs="Palatino Linotype"/>
          <w:i/>
          <w:sz w:val="22"/>
          <w:szCs w:val="22"/>
        </w:rPr>
        <w:t>que</w:t>
      </w:r>
      <w:proofErr w:type="gramEnd"/>
      <w:r w:rsidRPr="001C5AE2">
        <w:rPr>
          <w:rFonts w:ascii="Palatino Linotype" w:eastAsia="Palatino Linotype" w:hAnsi="Palatino Linotype" w:cs="Palatino Linotype"/>
          <w:i/>
          <w:sz w:val="22"/>
          <w:szCs w:val="22"/>
        </w:rPr>
        <w:t xml:space="preserve"> en ejercicio de las atribuciones conferidas, sea generada por los Sujetos Obligados;</w:t>
      </w:r>
    </w:p>
    <w:p w14:paraId="150ADECD" w14:textId="77777777" w:rsidR="00A656A7" w:rsidRPr="001C5AE2" w:rsidRDefault="001C5AE2">
      <w:pPr>
        <w:ind w:left="851" w:right="899"/>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 xml:space="preserve">2) Que se trate de información registrada en cualquier soporte documental, </w:t>
      </w:r>
      <w:proofErr w:type="gramStart"/>
      <w:r w:rsidRPr="001C5AE2">
        <w:rPr>
          <w:rFonts w:ascii="Palatino Linotype" w:eastAsia="Palatino Linotype" w:hAnsi="Palatino Linotype" w:cs="Palatino Linotype"/>
          <w:b/>
          <w:i/>
          <w:sz w:val="22"/>
          <w:szCs w:val="22"/>
        </w:rPr>
        <w:t>que</w:t>
      </w:r>
      <w:proofErr w:type="gramEnd"/>
      <w:r w:rsidRPr="001C5AE2">
        <w:rPr>
          <w:rFonts w:ascii="Palatino Linotype" w:eastAsia="Palatino Linotype" w:hAnsi="Palatino Linotype" w:cs="Palatino Linotype"/>
          <w:b/>
          <w:i/>
          <w:sz w:val="22"/>
          <w:szCs w:val="22"/>
        </w:rPr>
        <w:t xml:space="preserve"> en ejercicio de las atribuciones conferidas, sea administrada por los Sujetos Obligados, y</w:t>
      </w:r>
    </w:p>
    <w:p w14:paraId="5D1221D5" w14:textId="77777777" w:rsidR="00A656A7" w:rsidRPr="001C5AE2" w:rsidRDefault="001C5AE2">
      <w:pPr>
        <w:ind w:left="851" w:right="899"/>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w:t>
      </w:r>
      <w:proofErr w:type="gramStart"/>
      <w:r w:rsidRPr="001C5AE2">
        <w:rPr>
          <w:rFonts w:ascii="Palatino Linotype" w:eastAsia="Palatino Linotype" w:hAnsi="Palatino Linotype" w:cs="Palatino Linotype"/>
          <w:b/>
          <w:i/>
          <w:sz w:val="22"/>
          <w:szCs w:val="22"/>
        </w:rPr>
        <w:t>.”(</w:t>
      </w:r>
      <w:proofErr w:type="gramEnd"/>
      <w:r w:rsidRPr="001C5AE2">
        <w:rPr>
          <w:rFonts w:ascii="Palatino Linotype" w:eastAsia="Palatino Linotype" w:hAnsi="Palatino Linotype" w:cs="Palatino Linotype"/>
          <w:b/>
          <w:i/>
          <w:sz w:val="22"/>
          <w:szCs w:val="22"/>
        </w:rPr>
        <w:t>Sic)</w:t>
      </w:r>
    </w:p>
    <w:p w14:paraId="1BA8CD89"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Ahora bien, del análisis de la solicitud de información pública que motivó el recurso de revisión que ahora se resuelve, se advierte que el particular requirió al </w:t>
      </w:r>
      <w:r w:rsidRPr="001C5AE2">
        <w:rPr>
          <w:rFonts w:ascii="Palatino Linotype" w:eastAsia="Palatino Linotype" w:hAnsi="Palatino Linotype" w:cs="Palatino Linotype"/>
          <w:b/>
          <w:sz w:val="22"/>
          <w:szCs w:val="22"/>
        </w:rPr>
        <w:t xml:space="preserve">Centro de </w:t>
      </w:r>
      <w:r w:rsidRPr="001C5AE2">
        <w:rPr>
          <w:rFonts w:ascii="Palatino Linotype" w:eastAsia="Palatino Linotype" w:hAnsi="Palatino Linotype" w:cs="Palatino Linotype"/>
        </w:rPr>
        <w:t>Conciliación Laboral del Estado de México, lo siguiente:</w:t>
      </w:r>
    </w:p>
    <w:p w14:paraId="35E1BC7D" w14:textId="77777777" w:rsidR="00A656A7" w:rsidRPr="001C5AE2" w:rsidRDefault="001C5AE2">
      <w:pPr>
        <w:numPr>
          <w:ilvl w:val="0"/>
          <w:numId w:val="3"/>
        </w:numPr>
        <w:pBdr>
          <w:top w:val="nil"/>
          <w:left w:val="nil"/>
          <w:bottom w:val="nil"/>
          <w:right w:val="nil"/>
          <w:between w:val="nil"/>
        </w:pBdr>
        <w:spacing w:before="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que</w:t>
      </w:r>
      <w:proofErr w:type="spellEnd"/>
      <w:r w:rsidRPr="001C5AE2">
        <w:rPr>
          <w:rFonts w:ascii="Palatino Linotype" w:eastAsia="Palatino Linotype" w:hAnsi="Palatino Linotype" w:cs="Palatino Linotype"/>
        </w:rPr>
        <w:t xml:space="preserve"> programas de capacitación y actualización para la renovación de la certificación tiene la </w:t>
      </w:r>
      <w:proofErr w:type="spellStart"/>
      <w:r w:rsidRPr="001C5AE2">
        <w:rPr>
          <w:rFonts w:ascii="Palatino Linotype" w:eastAsia="Palatino Linotype" w:hAnsi="Palatino Linotype" w:cs="Palatino Linotype"/>
        </w:rPr>
        <w:t>Lic</w:t>
      </w:r>
      <w:proofErr w:type="spellEnd"/>
      <w:r w:rsidRPr="001C5AE2">
        <w:rPr>
          <w:rFonts w:ascii="Palatino Linotype" w:eastAsia="Palatino Linotype" w:hAnsi="Palatino Linotype" w:cs="Palatino Linotype"/>
        </w:rPr>
        <w:t xml:space="preserve"> Rosa </w:t>
      </w:r>
      <w:proofErr w:type="spellStart"/>
      <w:r w:rsidRPr="001C5AE2">
        <w:rPr>
          <w:rFonts w:ascii="Palatino Linotype" w:eastAsia="Palatino Linotype" w:hAnsi="Palatino Linotype" w:cs="Palatino Linotype"/>
        </w:rPr>
        <w:t>Maria</w:t>
      </w:r>
      <w:proofErr w:type="spellEnd"/>
      <w:r w:rsidRPr="001C5AE2">
        <w:rPr>
          <w:rFonts w:ascii="Palatino Linotype" w:eastAsia="Palatino Linotype" w:hAnsi="Palatino Linotype" w:cs="Palatino Linotype"/>
        </w:rPr>
        <w:t xml:space="preserve"> Nava </w:t>
      </w:r>
      <w:proofErr w:type="gramStart"/>
      <w:r w:rsidRPr="001C5AE2">
        <w:rPr>
          <w:rFonts w:ascii="Palatino Linotype" w:eastAsia="Palatino Linotype" w:hAnsi="Palatino Linotype" w:cs="Palatino Linotype"/>
        </w:rPr>
        <w:t>Acuña ?</w:t>
      </w:r>
      <w:proofErr w:type="gramEnd"/>
      <w:r w:rsidRPr="001C5AE2">
        <w:rPr>
          <w:rFonts w:ascii="Palatino Linotype" w:eastAsia="Palatino Linotype" w:hAnsi="Palatino Linotype" w:cs="Palatino Linotype"/>
        </w:rPr>
        <w:t xml:space="preserve"> </w:t>
      </w:r>
    </w:p>
    <w:p w14:paraId="3008D856"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Que</w:t>
      </w:r>
      <w:proofErr w:type="spellEnd"/>
      <w:r w:rsidRPr="001C5AE2">
        <w:rPr>
          <w:rFonts w:ascii="Palatino Linotype" w:eastAsia="Palatino Linotype" w:hAnsi="Palatino Linotype" w:cs="Palatino Linotype"/>
        </w:rPr>
        <w:t xml:space="preserve"> grado de estudios tiene la </w:t>
      </w:r>
      <w:proofErr w:type="spellStart"/>
      <w:r w:rsidRPr="001C5AE2">
        <w:rPr>
          <w:rFonts w:ascii="Palatino Linotype" w:eastAsia="Palatino Linotype" w:hAnsi="Palatino Linotype" w:cs="Palatino Linotype"/>
        </w:rPr>
        <w:t>Lic</w:t>
      </w:r>
      <w:proofErr w:type="spellEnd"/>
      <w:r w:rsidRPr="001C5AE2">
        <w:rPr>
          <w:rFonts w:ascii="Palatino Linotype" w:eastAsia="Palatino Linotype" w:hAnsi="Palatino Linotype" w:cs="Palatino Linotype"/>
        </w:rPr>
        <w:t xml:space="preserve"> Rosa </w:t>
      </w:r>
      <w:proofErr w:type="spellStart"/>
      <w:r w:rsidRPr="001C5AE2">
        <w:rPr>
          <w:rFonts w:ascii="Palatino Linotype" w:eastAsia="Palatino Linotype" w:hAnsi="Palatino Linotype" w:cs="Palatino Linotype"/>
        </w:rPr>
        <w:t>MAria</w:t>
      </w:r>
      <w:proofErr w:type="spellEnd"/>
      <w:r w:rsidRPr="001C5AE2">
        <w:rPr>
          <w:rFonts w:ascii="Palatino Linotype" w:eastAsia="Palatino Linotype" w:hAnsi="Palatino Linotype" w:cs="Palatino Linotype"/>
        </w:rPr>
        <w:t xml:space="preserve"> Nava Acuña? </w:t>
      </w:r>
    </w:p>
    <w:p w14:paraId="5E60154F"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Cuantos</w:t>
      </w:r>
      <w:proofErr w:type="spellEnd"/>
      <w:r w:rsidRPr="001C5AE2">
        <w:rPr>
          <w:rFonts w:ascii="Palatino Linotype" w:eastAsia="Palatino Linotype" w:hAnsi="Palatino Linotype" w:cs="Palatino Linotype"/>
        </w:rPr>
        <w:t xml:space="preserve"> conciliadores tiene a su cargo? </w:t>
      </w:r>
    </w:p>
    <w:p w14:paraId="271E6F23"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Cual</w:t>
      </w:r>
      <w:proofErr w:type="spellEnd"/>
      <w:r w:rsidRPr="001C5AE2">
        <w:rPr>
          <w:rFonts w:ascii="Palatino Linotype" w:eastAsia="Palatino Linotype" w:hAnsi="Palatino Linotype" w:cs="Palatino Linotype"/>
        </w:rPr>
        <w:t xml:space="preserve"> es el proceso de </w:t>
      </w:r>
      <w:proofErr w:type="spellStart"/>
      <w:r w:rsidRPr="001C5AE2">
        <w:rPr>
          <w:rFonts w:ascii="Palatino Linotype" w:eastAsia="Palatino Linotype" w:hAnsi="Palatino Linotype" w:cs="Palatino Linotype"/>
        </w:rPr>
        <w:t>seleccion</w:t>
      </w:r>
      <w:proofErr w:type="spellEnd"/>
      <w:r w:rsidRPr="001C5AE2">
        <w:rPr>
          <w:rFonts w:ascii="Palatino Linotype" w:eastAsia="Palatino Linotype" w:hAnsi="Palatino Linotype" w:cs="Palatino Linotype"/>
        </w:rPr>
        <w:t xml:space="preserve"> que tienen los directores de </w:t>
      </w:r>
      <w:proofErr w:type="spellStart"/>
      <w:proofErr w:type="gramStart"/>
      <w:r w:rsidRPr="001C5AE2">
        <w:rPr>
          <w:rFonts w:ascii="Palatino Linotype" w:eastAsia="Palatino Linotype" w:hAnsi="Palatino Linotype" w:cs="Palatino Linotype"/>
        </w:rPr>
        <w:t>Conciliacion</w:t>
      </w:r>
      <w:proofErr w:type="spellEnd"/>
      <w:r w:rsidRPr="001C5AE2">
        <w:rPr>
          <w:rFonts w:ascii="Palatino Linotype" w:eastAsia="Palatino Linotype" w:hAnsi="Palatino Linotype" w:cs="Palatino Linotype"/>
        </w:rPr>
        <w:t xml:space="preserve"> ?</w:t>
      </w:r>
      <w:proofErr w:type="gramEnd"/>
    </w:p>
    <w:p w14:paraId="559A59B8"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Cual</w:t>
      </w:r>
      <w:proofErr w:type="spellEnd"/>
      <w:r w:rsidRPr="001C5AE2">
        <w:rPr>
          <w:rFonts w:ascii="Palatino Linotype" w:eastAsia="Palatino Linotype" w:hAnsi="Palatino Linotype" w:cs="Palatino Linotype"/>
        </w:rPr>
        <w:t xml:space="preserve"> es el sueldo de la </w:t>
      </w:r>
      <w:proofErr w:type="gramStart"/>
      <w:r w:rsidRPr="001C5AE2">
        <w:rPr>
          <w:rFonts w:ascii="Palatino Linotype" w:eastAsia="Palatino Linotype" w:hAnsi="Palatino Linotype" w:cs="Palatino Linotype"/>
        </w:rPr>
        <w:t>Directora</w:t>
      </w:r>
      <w:proofErr w:type="gramEnd"/>
      <w:r w:rsidRPr="001C5AE2">
        <w:rPr>
          <w:rFonts w:ascii="Palatino Linotype" w:eastAsia="Palatino Linotype" w:hAnsi="Palatino Linotype" w:cs="Palatino Linotype"/>
        </w:rPr>
        <w:t xml:space="preserve">? </w:t>
      </w:r>
    </w:p>
    <w:p w14:paraId="1D70D70A"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Que</w:t>
      </w:r>
      <w:proofErr w:type="spellEnd"/>
      <w:r w:rsidRPr="001C5AE2">
        <w:rPr>
          <w:rFonts w:ascii="Palatino Linotype" w:eastAsia="Palatino Linotype" w:hAnsi="Palatino Linotype" w:cs="Palatino Linotype"/>
        </w:rPr>
        <w:t xml:space="preserve"> mejoras ha promovido desde su ingreso? </w:t>
      </w:r>
    </w:p>
    <w:p w14:paraId="0CF66364"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Cual</w:t>
      </w:r>
      <w:proofErr w:type="spellEnd"/>
      <w:r w:rsidRPr="001C5AE2">
        <w:rPr>
          <w:rFonts w:ascii="Palatino Linotype" w:eastAsia="Palatino Linotype" w:hAnsi="Palatino Linotype" w:cs="Palatino Linotype"/>
        </w:rPr>
        <w:t xml:space="preserve"> es el presupuesto que tiene para capacitaciones? </w:t>
      </w:r>
    </w:p>
    <w:p w14:paraId="634FB51D" w14:textId="77777777" w:rsidR="00A656A7" w:rsidRPr="001C5AE2" w:rsidRDefault="001C5AE2">
      <w:pPr>
        <w:numPr>
          <w:ilvl w:val="0"/>
          <w:numId w:val="3"/>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Quien</w:t>
      </w:r>
      <w:proofErr w:type="spellEnd"/>
      <w:r w:rsidRPr="001C5AE2">
        <w:rPr>
          <w:rFonts w:ascii="Palatino Linotype" w:eastAsia="Palatino Linotype" w:hAnsi="Palatino Linotype" w:cs="Palatino Linotype"/>
        </w:rPr>
        <w:t xml:space="preserve"> les da las capacitaciones?</w:t>
      </w:r>
    </w:p>
    <w:p w14:paraId="03E405CF" w14:textId="77777777" w:rsidR="00A656A7" w:rsidRPr="001C5AE2" w:rsidRDefault="001C5AE2">
      <w:pPr>
        <w:numPr>
          <w:ilvl w:val="0"/>
          <w:numId w:val="3"/>
        </w:numPr>
        <w:pBdr>
          <w:top w:val="nil"/>
          <w:left w:val="nil"/>
          <w:bottom w:val="nil"/>
          <w:right w:val="nil"/>
          <w:between w:val="nil"/>
        </w:pBdr>
        <w:spacing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w:t>
      </w:r>
      <w:proofErr w:type="spellStart"/>
      <w:r w:rsidRPr="001C5AE2">
        <w:rPr>
          <w:rFonts w:ascii="Palatino Linotype" w:eastAsia="Palatino Linotype" w:hAnsi="Palatino Linotype" w:cs="Palatino Linotype"/>
        </w:rPr>
        <w:t>Cual</w:t>
      </w:r>
      <w:proofErr w:type="spellEnd"/>
      <w:r w:rsidRPr="001C5AE2">
        <w:rPr>
          <w:rFonts w:ascii="Palatino Linotype" w:eastAsia="Palatino Linotype" w:hAnsi="Palatino Linotype" w:cs="Palatino Linotype"/>
        </w:rPr>
        <w:t xml:space="preserve"> es el costo de cada </w:t>
      </w:r>
      <w:proofErr w:type="spellStart"/>
      <w:proofErr w:type="gramStart"/>
      <w:r w:rsidRPr="001C5AE2">
        <w:rPr>
          <w:rFonts w:ascii="Palatino Linotype" w:eastAsia="Palatino Linotype" w:hAnsi="Palatino Linotype" w:cs="Palatino Linotype"/>
        </w:rPr>
        <w:t>capacitacion</w:t>
      </w:r>
      <w:proofErr w:type="spellEnd"/>
      <w:r w:rsidRPr="001C5AE2">
        <w:rPr>
          <w:rFonts w:ascii="Palatino Linotype" w:eastAsia="Palatino Linotype" w:hAnsi="Palatino Linotype" w:cs="Palatino Linotype"/>
        </w:rPr>
        <w:t>?(</w:t>
      </w:r>
      <w:proofErr w:type="gramEnd"/>
      <w:r w:rsidRPr="001C5AE2">
        <w:rPr>
          <w:rFonts w:ascii="Palatino Linotype" w:eastAsia="Palatino Linotype" w:hAnsi="Palatino Linotype" w:cs="Palatino Linotype"/>
        </w:rPr>
        <w:t>Exhibir facturas)</w:t>
      </w:r>
    </w:p>
    <w:p w14:paraId="5DBF9BBB"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respuesta, 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a través de su Unidad de Apoyo Administrativo dio contestación a cada uno de los requerimientos.</w:t>
      </w:r>
    </w:p>
    <w:p w14:paraId="1AC6445B"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No conforme con la respuesta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interpuso el recurso de revisión que se analiza en el presente asunto, por medio del cual se inconformó por lo siguiente:</w:t>
      </w:r>
    </w:p>
    <w:p w14:paraId="43390E5B" w14:textId="77777777" w:rsidR="00A656A7" w:rsidRPr="001C5AE2" w:rsidRDefault="001C5AE2">
      <w:pPr>
        <w:ind w:left="851" w:right="89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“…sus </w:t>
      </w:r>
      <w:proofErr w:type="spellStart"/>
      <w:r w:rsidRPr="001C5AE2">
        <w:rPr>
          <w:rFonts w:ascii="Palatino Linotype" w:eastAsia="Palatino Linotype" w:hAnsi="Palatino Linotype" w:cs="Palatino Linotype"/>
          <w:i/>
          <w:sz w:val="22"/>
          <w:szCs w:val="22"/>
        </w:rPr>
        <w:t>respuetas</w:t>
      </w:r>
      <w:proofErr w:type="spellEnd"/>
      <w:r w:rsidRPr="001C5AE2">
        <w:rPr>
          <w:rFonts w:ascii="Palatino Linotype" w:eastAsia="Palatino Linotype" w:hAnsi="Palatino Linotype" w:cs="Palatino Linotype"/>
          <w:i/>
          <w:sz w:val="22"/>
          <w:szCs w:val="22"/>
        </w:rPr>
        <w:t xml:space="preserve"> no son claras me piden que yo lo </w:t>
      </w:r>
      <w:proofErr w:type="spellStart"/>
      <w:r w:rsidRPr="001C5AE2">
        <w:rPr>
          <w:rFonts w:ascii="Palatino Linotype" w:eastAsia="Palatino Linotype" w:hAnsi="Palatino Linotype" w:cs="Palatino Linotype"/>
          <w:i/>
          <w:sz w:val="22"/>
          <w:szCs w:val="22"/>
        </w:rPr>
        <w:t>bsuqe</w:t>
      </w:r>
      <w:proofErr w:type="spellEnd"/>
      <w:r w:rsidRPr="001C5AE2">
        <w:rPr>
          <w:rFonts w:ascii="Palatino Linotype" w:eastAsia="Palatino Linotype" w:hAnsi="Palatino Linotype" w:cs="Palatino Linotype"/>
          <w:i/>
          <w:sz w:val="22"/>
          <w:szCs w:val="22"/>
        </w:rPr>
        <w:t xml:space="preserve"> con </w:t>
      </w:r>
      <w:proofErr w:type="spellStart"/>
      <w:r w:rsidRPr="001C5AE2">
        <w:rPr>
          <w:rFonts w:ascii="Palatino Linotype" w:eastAsia="Palatino Linotype" w:hAnsi="Palatino Linotype" w:cs="Palatino Linotype"/>
          <w:i/>
          <w:sz w:val="22"/>
          <w:szCs w:val="22"/>
        </w:rPr>
        <w:t>imagenes</w:t>
      </w:r>
      <w:proofErr w:type="spellEnd"/>
      <w:r w:rsidRPr="001C5AE2">
        <w:rPr>
          <w:rFonts w:ascii="Palatino Linotype" w:eastAsia="Palatino Linotype" w:hAnsi="Palatino Linotype" w:cs="Palatino Linotype"/>
          <w:i/>
          <w:sz w:val="22"/>
          <w:szCs w:val="22"/>
        </w:rPr>
        <w:t xml:space="preserve">, necesito las respuestas junto con </w:t>
      </w:r>
      <w:r w:rsidRPr="001C5AE2">
        <w:rPr>
          <w:rFonts w:ascii="Palatino Linotype" w:eastAsia="Palatino Linotype" w:hAnsi="Palatino Linotype" w:cs="Palatino Linotype"/>
          <w:b/>
          <w:i/>
          <w:sz w:val="22"/>
          <w:szCs w:val="22"/>
          <w:u w:val="single"/>
        </w:rPr>
        <w:t>el link no en imagen</w:t>
      </w:r>
      <w:r w:rsidRPr="001C5AE2">
        <w:rPr>
          <w:rFonts w:ascii="Palatino Linotype" w:eastAsia="Palatino Linotype" w:hAnsi="Palatino Linotype" w:cs="Palatino Linotype"/>
          <w:i/>
          <w:sz w:val="22"/>
          <w:szCs w:val="22"/>
        </w:rPr>
        <w:t>” (Sic)</w:t>
      </w:r>
    </w:p>
    <w:p w14:paraId="7EE894D8" w14:textId="77777777" w:rsidR="00A656A7" w:rsidRPr="001C5AE2" w:rsidRDefault="00A656A7">
      <w:pPr>
        <w:ind w:left="851" w:right="899"/>
        <w:jc w:val="both"/>
        <w:rPr>
          <w:rFonts w:ascii="Palatino Linotype" w:eastAsia="Palatino Linotype" w:hAnsi="Palatino Linotype" w:cs="Palatino Linotype"/>
        </w:rPr>
      </w:pPr>
    </w:p>
    <w:p w14:paraId="3BA30FDD"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Ante la interposición del recurso de revisión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la rendir su informe justificado en lo medular ratificó su respuesta inicial. </w:t>
      </w:r>
    </w:p>
    <w:p w14:paraId="79A4729D"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Antes del estudio se fondo, es de señalar que el particular omitió mencionar el periodo temporal de la información solicitada, por lo que este Instituto con fundamento en lo dispuesto por el artículo 13 y 181, párrafo cuarto de la Ley de Transparencia y Acceso a la Información Pública de la entidad, procede a suplir la deficiencia señalada, para determinar el periodo temporal de la información solicitada, por lo que, considerando la fecha de la solicitud, se determina que la información requerida es la vigente a la solicitud de información; es decir, al veintisiete de junio del año dos mil veintitrés, discernimiento que encuentra apoyado en los Criterios 1/2010 y 2/2010,  emitidos por el “Comité de Acceso a la Información y Protección de Datos personales” de la Suprema Corte de Justicia de la Nación, que disponen: </w:t>
      </w:r>
    </w:p>
    <w:p w14:paraId="34CDEF5E"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rPr>
        <w:t xml:space="preserve"> </w:t>
      </w:r>
      <w:r w:rsidRPr="001C5AE2">
        <w:rPr>
          <w:rFonts w:ascii="Palatino Linotype" w:eastAsia="Palatino Linotype" w:hAnsi="Palatino Linotype" w:cs="Palatino Linotype"/>
          <w:i/>
          <w:sz w:val="22"/>
          <w:szCs w:val="22"/>
        </w:rPr>
        <w:t>“Criterio 1/2010</w:t>
      </w:r>
    </w:p>
    <w:p w14:paraId="5B64A637"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SOLICITUD DE ACCESO A LA INFORMACIÓN. SU OTORGAMIENTO ES RESPECTO DE AQUELLA QUE EXISTA Y SE HUBIESE GENERADO AL MOMENTO DE LA PETICIÓN.</w:t>
      </w:r>
    </w:p>
    <w:p w14:paraId="3F49673E"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El otorgamiento de la información procede respecto de aquella que sea existente y se encuentre en posesión del órgano de Estado, al momento de la solicitud; por lo que resulta inconducente otorgar la que se genere en fecha futura, en tanto ningún órgano de Estado puede verse vinculado en el otorgamiento de información de tal naturaleza, al tenor del artículo 6° constitucional, que dispone que la garantía del acceso a la información lo es respecto de aquella que se encuentre en posesión de cualquier autoridad, entidad, órgano y organismo federal, estatal y municipal, principio que se reitera en el artículo 1° de la Ley Federal de Transparencia y Acceso a la Información Pública Gubernamental.</w:t>
      </w:r>
    </w:p>
    <w:p w14:paraId="7E0A9880"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Clasificación de Información 69/2009-A. 30 de septiembre de 2009. Unanimidad de votos.”</w:t>
      </w:r>
    </w:p>
    <w:p w14:paraId="778964AD"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lastRenderedPageBreak/>
        <w:t>“Criterio 2/2010.</w:t>
      </w:r>
    </w:p>
    <w:p w14:paraId="6CE83C8D"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SOLICITUD DE ACCESO A LA INFORMACIÓN. ES MATERIA DE ANÁLISIS Y OTORGAMIENTO LA GENERADA HASTA LA FECHA DE LA SOLICITUD EN CASO DE IMPRECISIÓN TEMPORAL. </w:t>
      </w:r>
    </w:p>
    <w:p w14:paraId="2467E93B"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La información que en todo caso debe ser materia de análisis y pronunciamiento sobre su naturaleza, disponibilidad y acceso, es aquélla que en términos del artículo 6° constitucional y 1° de la Ley Federal de Transparencia y Acceso a la Información Pública Gubernamental, se encuentre en posesión de este Alto Tribunal; es decir, se hubiese ya generado y sea existente al momento del planteamiento de solicitud de acceso. Por ello, en caso de que se solicite información sin que se precise el término temporal, deberá entenderse que es aquella que se hubiese generado y se tenga en posesión al día de la fecha de la solicitud de acceso correspondiente.</w:t>
      </w:r>
    </w:p>
    <w:p w14:paraId="416B4796" w14:textId="77777777" w:rsidR="00A656A7" w:rsidRPr="001C5AE2" w:rsidRDefault="001C5AE2">
      <w:pPr>
        <w:ind w:left="567" w:right="616"/>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Clasificación de Información 69/2009-A. 30 de septiembre de 2009. Unanimidad de votos</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4BA62673" w14:textId="77777777" w:rsidR="00A656A7" w:rsidRPr="001C5AE2" w:rsidRDefault="00A656A7">
      <w:pPr>
        <w:spacing w:line="360" w:lineRule="auto"/>
        <w:jc w:val="both"/>
        <w:rPr>
          <w:rFonts w:ascii="Palatino Linotype" w:eastAsia="Palatino Linotype" w:hAnsi="Palatino Linotype" w:cs="Palatino Linotype"/>
        </w:rPr>
      </w:pPr>
    </w:p>
    <w:p w14:paraId="401DE544"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Además, es necesario precisar que de la respuesta proporcionada por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se advierte que en los requerimiento marcados con los incisos “b)” y “e)”, es donde proporcionó diversas imágenes y links electrónicos que guían a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para acceder a la información solicitada a través de la plataforma de la Información Pública de Oficio Mexiquense del Centro de Conciliación Laboral del Estado de México; luego entonces, se tiene que al inconformarse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sólo de los puntos en donde dice: “sus respuesta no son claras me piden que yo lo busque con imágenes, necesito las respuestas junto con el link no en imagen” (Sic), luego entonces los puntos marcados con los incisos “a)”, “c)”, “d)”, “f)”, “g)”, “h)” e “i)”, debe declararse actos consentidos; es decir, cuando la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w:t>
      </w:r>
      <w:r w:rsidRPr="001C5AE2">
        <w:rPr>
          <w:rFonts w:ascii="Palatino Linotype" w:eastAsia="Palatino Linotype" w:hAnsi="Palatino Linotype" w:cs="Palatino Linotype"/>
        </w:rPr>
        <w:lastRenderedPageBreak/>
        <w:t>Semanario Judicial de la Federación y su Gaceta bajo el número de registro 174,177, que establece lo siguiente:</w:t>
      </w:r>
    </w:p>
    <w:p w14:paraId="55F13339" w14:textId="77777777" w:rsidR="00A656A7" w:rsidRPr="001C5AE2" w:rsidRDefault="001C5AE2">
      <w:pPr>
        <w:spacing w:before="240" w:after="240" w:line="276" w:lineRule="auto"/>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sz w:val="22"/>
          <w:szCs w:val="22"/>
        </w:rPr>
        <w:t>“</w:t>
      </w:r>
      <w:r w:rsidRPr="001C5AE2">
        <w:rPr>
          <w:rFonts w:ascii="Palatino Linotype" w:eastAsia="Palatino Linotype" w:hAnsi="Palatino Linotype" w:cs="Palatino Linotype"/>
          <w:b/>
          <w:i/>
          <w:sz w:val="22"/>
          <w:szCs w:val="22"/>
        </w:rPr>
        <w:t>REVISIÓN EN AMPARO. LOS RESOLUTIVOS NO COMBATIDOS DEBEN DECLARARSE FIRMES</w:t>
      </w:r>
      <w:r w:rsidRPr="001C5AE2">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21470386"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Esto es, la parte de la solicitud sobre la que no se expresó inconformidad, debe declararse consentida por el hoy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ya que no pueden producirse efectos jurídicos tendentes a revocar, confirmar o modificar la parte de la respuesta con relación a la parte de la solicitud que no fue motivo de inconformidad ya que se infiere un consentimiento de la recurrente ante la falta de impugnación eficaz.</w:t>
      </w:r>
    </w:p>
    <w:p w14:paraId="3C5F0226"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Sirve de sustento a lo anterior, por analogía, la tesis jurisprudencial número VI.3o.C. J/60, publicada en el Semanario Judicial de la Federación y su Gaceta bajo el número de registro 176,608 que a la letra dice:</w:t>
      </w:r>
    </w:p>
    <w:p w14:paraId="23E236CF" w14:textId="77777777" w:rsidR="00A656A7" w:rsidRPr="001C5AE2" w:rsidRDefault="001C5AE2">
      <w:pPr>
        <w:spacing w:before="240" w:after="240" w:line="276" w:lineRule="auto"/>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ACTOS CONSENTIDOS. SON LOS QUE NO SE IMPUGNAN MEDIANTE EL RECURSO IDÓNEO</w:t>
      </w:r>
      <w:r w:rsidRPr="001C5AE2">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 (Sic)</w:t>
      </w:r>
    </w:p>
    <w:p w14:paraId="385D7638"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Ahora </w:t>
      </w:r>
      <w:proofErr w:type="gramStart"/>
      <w:r w:rsidRPr="001C5AE2">
        <w:rPr>
          <w:rFonts w:ascii="Palatino Linotype" w:eastAsia="Palatino Linotype" w:hAnsi="Palatino Linotype" w:cs="Palatino Linotype"/>
        </w:rPr>
        <w:t>bien</w:t>
      </w:r>
      <w:proofErr w:type="gramEnd"/>
      <w:r w:rsidRPr="001C5AE2">
        <w:rPr>
          <w:rFonts w:ascii="Palatino Linotype" w:eastAsia="Palatino Linotype" w:hAnsi="Palatino Linotype" w:cs="Palatino Linotype"/>
        </w:rPr>
        <w:t xml:space="preserve"> sobre la inconformidad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en donde señaló que “sus respuestas no son claras me piden que yo lo busque con imágenes, necesito las respuestas junto con el link no en imagen” (Sic), se procede analizar los incisos b) y e) para determinar si con la información entregada en respuesta por parte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se colma el derecho de acceso a la información, conforme a lo siguiente:</w:t>
      </w:r>
    </w:p>
    <w:p w14:paraId="748D2612" w14:textId="77777777" w:rsidR="00A656A7" w:rsidRPr="001C5AE2" w:rsidRDefault="00A656A7">
      <w:pPr>
        <w:spacing w:line="360" w:lineRule="auto"/>
        <w:jc w:val="both"/>
        <w:rPr>
          <w:rFonts w:ascii="Palatino Linotype" w:eastAsia="Palatino Linotype" w:hAnsi="Palatino Linotype" w:cs="Palatino Linotype"/>
        </w:rPr>
      </w:pPr>
    </w:p>
    <w:p w14:paraId="65FA77AC"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Inciso “b”, relativo a:</w:t>
      </w:r>
    </w:p>
    <w:p w14:paraId="54CDFA7E" w14:textId="77777777" w:rsidR="00A656A7" w:rsidRPr="001C5AE2" w:rsidRDefault="001C5AE2">
      <w:pPr>
        <w:spacing w:before="240" w:after="240" w:line="360" w:lineRule="auto"/>
        <w:ind w:left="360"/>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b). Grado de estudios de la servidora pública de la que se pide información.  </w:t>
      </w:r>
    </w:p>
    <w:p w14:paraId="7D0F9B05"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respuesta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a través de su Unidad de Apoyo Administrativo informó que se debería ingresar en el siguiente enlace electrónico: </w:t>
      </w:r>
    </w:p>
    <w:p w14:paraId="5ABB1A8E"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noProof/>
          <w:lang w:val="es-MX"/>
        </w:rPr>
        <w:drawing>
          <wp:inline distT="0" distB="0" distL="0" distR="0" wp14:anchorId="75D697E3" wp14:editId="448DD208">
            <wp:extent cx="5618262" cy="1673551"/>
            <wp:effectExtent l="0" t="0" r="0" b="0"/>
            <wp:docPr id="17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0"/>
                    <a:srcRect/>
                    <a:stretch>
                      <a:fillRect/>
                    </a:stretch>
                  </pic:blipFill>
                  <pic:spPr>
                    <a:xfrm>
                      <a:off x="0" y="0"/>
                      <a:ext cx="5618262" cy="1673551"/>
                    </a:xfrm>
                    <a:prstGeom prst="rect">
                      <a:avLst/>
                    </a:prstGeom>
                    <a:ln/>
                  </pic:spPr>
                </pic:pic>
              </a:graphicData>
            </a:graphic>
          </wp:inline>
        </w:drawing>
      </w:r>
    </w:p>
    <w:p w14:paraId="56F6B0A5"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Por otro lado, en cuanto al inciso “e”, relativo a:</w:t>
      </w:r>
    </w:p>
    <w:p w14:paraId="50E39BD5" w14:textId="77777777" w:rsidR="00A656A7" w:rsidRPr="001C5AE2" w:rsidRDefault="001C5AE2">
      <w:pPr>
        <w:spacing w:before="240" w:after="240" w:line="360" w:lineRule="auto"/>
        <w:ind w:left="360"/>
        <w:jc w:val="both"/>
        <w:rPr>
          <w:rFonts w:ascii="Palatino Linotype" w:eastAsia="Palatino Linotype" w:hAnsi="Palatino Linotype" w:cs="Palatino Linotype"/>
          <w:b/>
          <w:u w:val="single"/>
        </w:rPr>
      </w:pPr>
      <w:r w:rsidRPr="001C5AE2">
        <w:rPr>
          <w:rFonts w:ascii="Palatino Linotype" w:eastAsia="Palatino Linotype" w:hAnsi="Palatino Linotype" w:cs="Palatino Linotype"/>
          <w:b/>
          <w:u w:val="single"/>
        </w:rPr>
        <w:t>e).  Sueldo de la servidora pública referida en la solicitud de información</w:t>
      </w:r>
    </w:p>
    <w:p w14:paraId="46DE17D0"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respuesta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a través de su Unidad de Apoyo Administrativo informó que se debería ingresar en el siguiente enlace electrónico: </w:t>
      </w:r>
    </w:p>
    <w:p w14:paraId="514473CF"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noProof/>
          <w:lang w:val="es-MX"/>
        </w:rPr>
        <w:lastRenderedPageBreak/>
        <w:drawing>
          <wp:inline distT="0" distB="0" distL="0" distR="0" wp14:anchorId="0FBF4C69" wp14:editId="38E300E8">
            <wp:extent cx="5665334" cy="1864356"/>
            <wp:effectExtent l="0" t="0" r="0" b="0"/>
            <wp:docPr id="17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665334" cy="1864356"/>
                    </a:xfrm>
                    <a:prstGeom prst="rect">
                      <a:avLst/>
                    </a:prstGeom>
                    <a:ln/>
                  </pic:spPr>
                </pic:pic>
              </a:graphicData>
            </a:graphic>
          </wp:inline>
        </w:drawing>
      </w:r>
    </w:p>
    <w:p w14:paraId="4A1B9F98"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 lo anterior, se advierte que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manda una imagen del link en donde se puede localizar la información, de ahí el motivo de inconformidad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es fundado. </w:t>
      </w:r>
    </w:p>
    <w:p w14:paraId="20C66A6E"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Respecto a ello, este Organismo Garante considera que dichos enlaces no pueden tenerse por válidos, toda vez que los enlaces electrónicos deben ser precisos y directos, del caso concreto al corresponder a un documento PDF en formato de imagen no editable, pierde su característica de ser </w:t>
      </w:r>
      <w:r w:rsidRPr="001C5AE2">
        <w:rPr>
          <w:rFonts w:ascii="Palatino Linotype" w:eastAsia="Palatino Linotype" w:hAnsi="Palatino Linotype" w:cs="Palatino Linotype"/>
          <w:b/>
        </w:rPr>
        <w:t>directo</w:t>
      </w:r>
      <w:r w:rsidRPr="001C5AE2">
        <w:rPr>
          <w:rFonts w:ascii="Palatino Linotype" w:eastAsia="Palatino Linotype" w:hAnsi="Palatino Linotype" w:cs="Palatino Linotype"/>
        </w:rPr>
        <w:t>.</w:t>
      </w:r>
    </w:p>
    <w:p w14:paraId="76EDBA20"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Asimismo, al ser demasiado extenso el número de caracteres que conforman el enlace, por corresponder no sólo al </w:t>
      </w:r>
      <w:proofErr w:type="gramStart"/>
      <w:r w:rsidRPr="001C5AE2">
        <w:rPr>
          <w:rFonts w:ascii="Palatino Linotype" w:eastAsia="Palatino Linotype" w:hAnsi="Palatino Linotype" w:cs="Palatino Linotype"/>
        </w:rPr>
        <w:t>URL</w:t>
      </w:r>
      <w:proofErr w:type="gramEnd"/>
      <w:r w:rsidRPr="001C5AE2">
        <w:rPr>
          <w:rFonts w:ascii="Palatino Linotype" w:eastAsia="Palatino Linotype" w:hAnsi="Palatino Linotype" w:cs="Palatino Linotype"/>
        </w:rPr>
        <w:t xml:space="preserve"> sino que además está conformada por una </w:t>
      </w:r>
      <w:r w:rsidRPr="001C5AE2">
        <w:rPr>
          <w:rFonts w:ascii="Palatino Linotype" w:eastAsia="Palatino Linotype" w:hAnsi="Palatino Linotype" w:cs="Palatino Linotype"/>
          <w:b/>
        </w:rPr>
        <w:t>cadena de encriptación</w:t>
      </w:r>
      <w:r w:rsidRPr="001C5AE2">
        <w:rPr>
          <w:rFonts w:ascii="Palatino Linotype" w:eastAsia="Palatino Linotype" w:hAnsi="Palatino Linotype" w:cs="Palatino Linotype"/>
        </w:rPr>
        <w:t xml:space="preserve">, la cual corresponde a una serie de caracteres cifrados o codificados que se utilizan para proteger la información transmitida a través de una URL, en general, la encriptación de una URL se utiliza para proteger </w:t>
      </w:r>
      <w:r w:rsidRPr="001C5AE2">
        <w:rPr>
          <w:rFonts w:ascii="Palatino Linotype" w:eastAsia="Palatino Linotype" w:hAnsi="Palatino Linotype" w:cs="Palatino Linotype"/>
          <w:b/>
        </w:rPr>
        <w:t>datos sensibles</w:t>
      </w:r>
      <w:r w:rsidRPr="001C5AE2">
        <w:rPr>
          <w:rFonts w:ascii="Palatino Linotype" w:eastAsia="Palatino Linotype" w:hAnsi="Palatino Linotype" w:cs="Palatino Linotype"/>
        </w:rPr>
        <w:t>, como información de inicio de sesión, datos personales o cualquier otra información.</w:t>
      </w:r>
    </w:p>
    <w:p w14:paraId="190A585C" w14:textId="77777777" w:rsidR="00A656A7" w:rsidRPr="001C5AE2" w:rsidRDefault="00A656A7">
      <w:pPr>
        <w:spacing w:line="360" w:lineRule="auto"/>
        <w:ind w:left="360"/>
        <w:jc w:val="both"/>
        <w:rPr>
          <w:rFonts w:ascii="Palatino Linotype" w:eastAsia="Palatino Linotype" w:hAnsi="Palatino Linotype" w:cs="Palatino Linotype"/>
        </w:rPr>
      </w:pPr>
    </w:p>
    <w:p w14:paraId="3CEC8947"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Cuando se encripta una URL, los datos en la dirección web se convierten en una cadena de caracteres </w:t>
      </w:r>
      <w:r w:rsidRPr="001C5AE2">
        <w:rPr>
          <w:rFonts w:ascii="Palatino Linotype" w:eastAsia="Palatino Linotype" w:hAnsi="Palatino Linotype" w:cs="Palatino Linotype"/>
          <w:b/>
        </w:rPr>
        <w:t>que no es fácilmente comprensible para cualquier persona que intercepte la transmisión de datos</w:t>
      </w:r>
      <w:r w:rsidRPr="001C5AE2">
        <w:rPr>
          <w:rFonts w:ascii="Palatino Linotype" w:eastAsia="Palatino Linotype" w:hAnsi="Palatino Linotype" w:cs="Palatino Linotype"/>
        </w:rPr>
        <w:t xml:space="preserve"> ya que esto es para proteger la privacidad y la seguridad de la información transmitida, luego entonces intentar transcribir, carácter por carácter existe una alta posibilidad que dicha tarea no sea exitosa.</w:t>
      </w:r>
    </w:p>
    <w:p w14:paraId="595B4A0C" w14:textId="77777777" w:rsidR="00A656A7" w:rsidRPr="001C5AE2" w:rsidRDefault="00A656A7">
      <w:pPr>
        <w:spacing w:line="360" w:lineRule="auto"/>
        <w:jc w:val="both"/>
        <w:rPr>
          <w:rFonts w:ascii="Palatino Linotype" w:eastAsia="Palatino Linotype" w:hAnsi="Palatino Linotype" w:cs="Palatino Linotype"/>
        </w:rPr>
      </w:pPr>
    </w:p>
    <w:p w14:paraId="1E34A5B9"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Por </w:t>
      </w:r>
      <w:proofErr w:type="gramStart"/>
      <w:r w:rsidRPr="001C5AE2">
        <w:rPr>
          <w:rFonts w:ascii="Palatino Linotype" w:eastAsia="Palatino Linotype" w:hAnsi="Palatino Linotype" w:cs="Palatino Linotype"/>
        </w:rPr>
        <w:t>tanto</w:t>
      </w:r>
      <w:proofErr w:type="gramEnd"/>
      <w:r w:rsidRPr="001C5AE2">
        <w:rPr>
          <w:rFonts w:ascii="Palatino Linotype" w:eastAsia="Palatino Linotype" w:hAnsi="Palatino Linotype" w:cs="Palatino Linotype"/>
        </w:rPr>
        <w:t xml:space="preserve"> al corresponder a una tarea ardua su captura, para posteriormente insertarlo en el navegador de Internet de manera manual, sin ningún tipo de error en su captura, se colige que deja de ser</w:t>
      </w:r>
      <w:r w:rsidRPr="001C5AE2">
        <w:rPr>
          <w:rFonts w:ascii="Palatino Linotype" w:eastAsia="Palatino Linotype" w:hAnsi="Palatino Linotype" w:cs="Palatino Linotype"/>
          <w:b/>
        </w:rPr>
        <w:t xml:space="preserve"> preciso</w:t>
      </w:r>
      <w:r w:rsidRPr="001C5AE2">
        <w:rPr>
          <w:rFonts w:ascii="Palatino Linotype" w:eastAsia="Palatino Linotype" w:hAnsi="Palatino Linotype" w:cs="Palatino Linotype"/>
        </w:rPr>
        <w:t>, como lo establece la ley de la materia, por tanto son improcedentes, situación diferente acontece, cuando del mismo documento si es posible su captura mediante la selección del texto o mediante clic en el enlace cuando se remite en datos abierto, contexto que en el caso concreto no ocurre.</w:t>
      </w:r>
    </w:p>
    <w:p w14:paraId="64C66B3E" w14:textId="77777777" w:rsidR="00A656A7" w:rsidRPr="001C5AE2" w:rsidRDefault="00A656A7">
      <w:pPr>
        <w:spacing w:line="360" w:lineRule="auto"/>
        <w:jc w:val="both"/>
        <w:rPr>
          <w:rFonts w:ascii="Palatino Linotype" w:eastAsia="Palatino Linotype" w:hAnsi="Palatino Linotype" w:cs="Palatino Linotype"/>
        </w:rPr>
      </w:pPr>
    </w:p>
    <w:p w14:paraId="2B0D1CD7"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Por consiguiente, lo procedente es modificar la respuesta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y ordenar la entrega del documento en donde conste al veintisiete de junio del año dos mil veintitrés, lo siguiente:</w:t>
      </w:r>
    </w:p>
    <w:p w14:paraId="31182C7D" w14:textId="77777777" w:rsidR="00A656A7" w:rsidRPr="001C5AE2" w:rsidRDefault="00A656A7">
      <w:pPr>
        <w:spacing w:line="360" w:lineRule="auto"/>
        <w:jc w:val="both"/>
        <w:rPr>
          <w:rFonts w:ascii="Palatino Linotype" w:eastAsia="Palatino Linotype" w:hAnsi="Palatino Linotype" w:cs="Palatino Linotype"/>
        </w:rPr>
      </w:pPr>
    </w:p>
    <w:p w14:paraId="076F7CB9" w14:textId="77777777" w:rsidR="00A656A7" w:rsidRPr="001C5AE2" w:rsidRDefault="001C5AE2">
      <w:pPr>
        <w:numPr>
          <w:ilvl w:val="0"/>
          <w:numId w:val="4"/>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El grado de estudios y sueldo bruto y neto de la Servidora Pública referida en la solicitud de acceso a la información pública.</w:t>
      </w:r>
    </w:p>
    <w:p w14:paraId="5B10795B" w14:textId="77777777" w:rsidR="00A656A7" w:rsidRPr="001C5AE2" w:rsidRDefault="00A656A7">
      <w:pPr>
        <w:spacing w:line="360" w:lineRule="auto"/>
        <w:rPr>
          <w:rFonts w:ascii="Palatino Linotype" w:eastAsia="Palatino Linotype" w:hAnsi="Palatino Linotype" w:cs="Palatino Linotype"/>
        </w:rPr>
      </w:pPr>
    </w:p>
    <w:p w14:paraId="220C8216" w14:textId="77777777" w:rsidR="00A656A7" w:rsidRPr="001C5AE2" w:rsidRDefault="001C5AE2">
      <w:pPr>
        <w:spacing w:line="360" w:lineRule="auto"/>
        <w:rPr>
          <w:rFonts w:ascii="Palatino Linotype" w:eastAsia="Palatino Linotype" w:hAnsi="Palatino Linotype" w:cs="Palatino Linotype"/>
        </w:rPr>
      </w:pPr>
      <w:r w:rsidRPr="001C5AE2">
        <w:rPr>
          <w:rFonts w:ascii="Palatino Linotype" w:eastAsia="Palatino Linotype" w:hAnsi="Palatino Linotype" w:cs="Palatino Linotype"/>
        </w:rPr>
        <w:t xml:space="preserve">En versión pública conforme a lo señalado por el considerando quinto del presente fallo. </w:t>
      </w:r>
    </w:p>
    <w:p w14:paraId="54E73A4B"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Ahora bien, el documento en donde pudiera advertirse el grado de estudios, sería de manera enunciativa mas no limitada el </w:t>
      </w:r>
      <w:proofErr w:type="spellStart"/>
      <w:r w:rsidRPr="001C5AE2">
        <w:rPr>
          <w:rFonts w:ascii="Palatino Linotype" w:eastAsia="Palatino Linotype" w:hAnsi="Palatino Linotype" w:cs="Palatino Linotype"/>
        </w:rPr>
        <w:t>curriculum</w:t>
      </w:r>
      <w:proofErr w:type="spellEnd"/>
      <w:r w:rsidRPr="001C5AE2">
        <w:rPr>
          <w:rFonts w:ascii="Palatino Linotype" w:eastAsia="Palatino Linotype" w:hAnsi="Palatino Linotype" w:cs="Palatino Linotype"/>
        </w:rPr>
        <w:t xml:space="preserve"> vitae, en ese sentido, sobre </w:t>
      </w:r>
      <w:proofErr w:type="spellStart"/>
      <w:r w:rsidRPr="001C5AE2">
        <w:rPr>
          <w:rFonts w:ascii="Palatino Linotype" w:eastAsia="Palatino Linotype" w:hAnsi="Palatino Linotype" w:cs="Palatino Linotype"/>
        </w:rPr>
        <w:t>curriculum</w:t>
      </w:r>
      <w:proofErr w:type="spellEnd"/>
      <w:r w:rsidRPr="001C5AE2">
        <w:rPr>
          <w:rFonts w:ascii="Palatino Linotype" w:eastAsia="Palatino Linotype" w:hAnsi="Palatino Linotype" w:cs="Palatino Linotype"/>
        </w:rPr>
        <w:t xml:space="preserve"> vitae, debe precisarse en primer lugar, que el concepto “</w:t>
      </w:r>
      <w:proofErr w:type="spellStart"/>
      <w:r w:rsidRPr="001C5AE2">
        <w:rPr>
          <w:rFonts w:ascii="Palatino Linotype" w:eastAsia="Palatino Linotype" w:hAnsi="Palatino Linotype" w:cs="Palatino Linotype"/>
        </w:rPr>
        <w:t>curriculum</w:t>
      </w:r>
      <w:proofErr w:type="spellEnd"/>
      <w:r w:rsidRPr="001C5AE2">
        <w:rPr>
          <w:rFonts w:ascii="Palatino Linotype" w:eastAsia="Palatino Linotype" w:hAnsi="Palatino Linotype" w:cs="Palatino Linotype"/>
        </w:rPr>
        <w:t>” corresponde a una locución latina cuyo significado es “</w:t>
      </w:r>
      <w:r w:rsidRPr="001C5AE2">
        <w:rPr>
          <w:rFonts w:ascii="Palatino Linotype" w:eastAsia="Palatino Linotype" w:hAnsi="Palatino Linotype" w:cs="Palatino Linotype"/>
          <w:i/>
        </w:rPr>
        <w:t>carrera de vida”, Se usa como locución nominal masculina para designar la relación de los datos personales, formación académica, actividad laboral y méritos de una persona.”</w:t>
      </w:r>
      <w:r w:rsidRPr="001C5AE2">
        <w:rPr>
          <w:rFonts w:ascii="Palatino Linotype" w:eastAsia="Palatino Linotype" w:hAnsi="Palatino Linotype" w:cs="Palatino Linotype"/>
        </w:rPr>
        <w:t xml:space="preserve"> (Sic)</w:t>
      </w:r>
    </w:p>
    <w:p w14:paraId="45B420D8"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 la interpretación a esta definición se desprende que el currículum vitae está relacionado con la hoja de vida o carrera de vida de una persona, donde se podría apreciar la preparación académica y laboral que tiene, además de los méritos </w:t>
      </w:r>
      <w:r w:rsidRPr="001C5AE2">
        <w:rPr>
          <w:rFonts w:ascii="Palatino Linotype" w:eastAsia="Palatino Linotype" w:hAnsi="Palatino Linotype" w:cs="Palatino Linotype"/>
          <w:b/>
        </w:rPr>
        <w:t>obtenidos tal y como podrían ser cursos, certificaciones o capacitaciones</w:t>
      </w:r>
    </w:p>
    <w:p w14:paraId="2A5CD0E4" w14:textId="77777777" w:rsidR="00A656A7" w:rsidRPr="001C5AE2" w:rsidRDefault="00A656A7">
      <w:pPr>
        <w:spacing w:line="360" w:lineRule="auto"/>
        <w:ind w:right="51"/>
        <w:jc w:val="both"/>
      </w:pPr>
    </w:p>
    <w:p w14:paraId="45C68D2D"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Por su lado, la Real Academia Española, lo define como a continuación se cita: </w:t>
      </w:r>
    </w:p>
    <w:p w14:paraId="6D22C2B9" w14:textId="77777777" w:rsidR="00A656A7" w:rsidRPr="001C5AE2" w:rsidRDefault="001C5AE2">
      <w:pPr>
        <w:spacing w:before="240" w:after="240" w:line="276" w:lineRule="auto"/>
        <w:ind w:left="567" w:right="758"/>
        <w:jc w:val="both"/>
        <w:rPr>
          <w:rFonts w:ascii="Palatino Linotype" w:eastAsia="Palatino Linotype" w:hAnsi="Palatino Linotype" w:cs="Palatino Linotype"/>
          <w:sz w:val="22"/>
          <w:szCs w:val="22"/>
        </w:rPr>
      </w:pPr>
      <w:r w:rsidRPr="001C5AE2">
        <w:rPr>
          <w:rFonts w:ascii="Palatino Linotype" w:eastAsia="Palatino Linotype" w:hAnsi="Palatino Linotype" w:cs="Palatino Linotype"/>
          <w:sz w:val="22"/>
          <w:szCs w:val="22"/>
        </w:rPr>
        <w:t>“</w:t>
      </w:r>
      <w:r w:rsidRPr="001C5AE2">
        <w:rPr>
          <w:rFonts w:ascii="Palatino Linotype" w:eastAsia="Palatino Linotype" w:hAnsi="Palatino Linotype" w:cs="Palatino Linotype"/>
          <w:i/>
          <w:sz w:val="22"/>
          <w:szCs w:val="22"/>
        </w:rPr>
        <w:t xml:space="preserve">Relación de los títulos, honores, cargos, trabajos realizados, datos biográficos, </w:t>
      </w:r>
      <w:proofErr w:type="spellStart"/>
      <w:r w:rsidRPr="001C5AE2">
        <w:rPr>
          <w:rFonts w:ascii="Palatino Linotype" w:eastAsia="Palatino Linotype" w:hAnsi="Palatino Linotype" w:cs="Palatino Linotype"/>
          <w:i/>
          <w:sz w:val="22"/>
          <w:szCs w:val="22"/>
        </w:rPr>
        <w:t>etc</w:t>
      </w:r>
      <w:proofErr w:type="spellEnd"/>
      <w:r w:rsidRPr="001C5AE2">
        <w:rPr>
          <w:rFonts w:ascii="Palatino Linotype" w:eastAsia="Palatino Linotype" w:hAnsi="Palatino Linotype" w:cs="Palatino Linotype"/>
          <w:i/>
          <w:sz w:val="22"/>
          <w:szCs w:val="22"/>
        </w:rPr>
        <w:t>, que califican a una persona</w:t>
      </w:r>
      <w:r w:rsidRPr="001C5AE2">
        <w:rPr>
          <w:rFonts w:ascii="Palatino Linotype" w:eastAsia="Palatino Linotype" w:hAnsi="Palatino Linotype" w:cs="Palatino Linotype"/>
          <w:sz w:val="22"/>
          <w:szCs w:val="22"/>
        </w:rPr>
        <w:t>” (Sic)</w:t>
      </w:r>
    </w:p>
    <w:p w14:paraId="69952911" w14:textId="77777777" w:rsidR="00A656A7" w:rsidRPr="001C5AE2" w:rsidRDefault="001C5AE2">
      <w:pPr>
        <w:spacing w:before="240"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Desde esta perspectiva, a través del currículum vite la particular puede advertir los estudios realizados o bien el nivel académico, así como la experiencia laboral de los servidores públicos que se encuentran adscritos al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información que es de carácter público de conformidad con el criterio 03/2009, emitido por el entonces Instituto Federal de Acceso a la Información y Protección de Datos (IFAI), ahora Instituto Nacional de Transparencia Acceso a la Información Pública y Protección de Datos Personales (INAI), que establece que una de las formas en que los ciudadanos puedan evaluar las aptitudes de los servidores públicos para desempeñar el cargo público que les ha sido encomendado, es </w:t>
      </w:r>
      <w:r w:rsidRPr="001C5AE2">
        <w:rPr>
          <w:rFonts w:ascii="Palatino Linotype" w:eastAsia="Palatino Linotype" w:hAnsi="Palatino Linotype" w:cs="Palatino Linotype"/>
        </w:rPr>
        <w:lastRenderedPageBreak/>
        <w:t>mediante la publicidad de ciertos datos contenidos en los currículos, o bien en las solicitudes de empleo, el cual, para mayor ilustración se transcribe a continuación:</w:t>
      </w:r>
    </w:p>
    <w:p w14:paraId="1A5566BE" w14:textId="77777777" w:rsidR="00A656A7" w:rsidRPr="001C5AE2" w:rsidRDefault="001C5AE2">
      <w:pPr>
        <w:spacing w:before="240" w:after="240" w:line="276" w:lineRule="auto"/>
        <w:ind w:left="567" w:right="900"/>
        <w:jc w:val="both"/>
        <w:rPr>
          <w:rFonts w:ascii="Palatino Linotype" w:eastAsia="Palatino Linotype" w:hAnsi="Palatino Linotype" w:cs="Palatino Linotype"/>
          <w:sz w:val="22"/>
          <w:szCs w:val="22"/>
        </w:rPr>
      </w:pPr>
      <w:r w:rsidRPr="001C5AE2">
        <w:rPr>
          <w:rFonts w:ascii="Palatino Linotype" w:eastAsia="Palatino Linotype" w:hAnsi="Palatino Linotype" w:cs="Palatino Linotype"/>
          <w:i/>
          <w:sz w:val="22"/>
          <w:szCs w:val="22"/>
        </w:rPr>
        <w:t>“</w:t>
      </w:r>
      <w:proofErr w:type="spellStart"/>
      <w:r w:rsidRPr="001C5AE2">
        <w:rPr>
          <w:rFonts w:ascii="Palatino Linotype" w:eastAsia="Palatino Linotype" w:hAnsi="Palatino Linotype" w:cs="Palatino Linotype"/>
          <w:b/>
          <w:i/>
          <w:sz w:val="22"/>
          <w:szCs w:val="22"/>
        </w:rPr>
        <w:t>Curriculum</w:t>
      </w:r>
      <w:proofErr w:type="spellEnd"/>
      <w:r w:rsidRPr="001C5AE2">
        <w:rPr>
          <w:rFonts w:ascii="Palatino Linotype" w:eastAsia="Palatino Linotype" w:hAnsi="Palatino Linotype" w:cs="Palatino Linotype"/>
          <w:b/>
          <w:i/>
          <w:sz w:val="22"/>
          <w:szCs w:val="22"/>
        </w:rPr>
        <w:t xml:space="preserve"> Vitae de servidores públicos. Es obligación de los sujetos obligados otorgar acceso a versiones públicas de los mismos ante una solicitud de acceso</w:t>
      </w:r>
      <w:r w:rsidRPr="001C5AE2">
        <w:rPr>
          <w:rFonts w:ascii="Palatino Linotype" w:eastAsia="Palatino Linotype" w:hAnsi="Palatino Linotype" w:cs="Palatino Linotype"/>
          <w:i/>
          <w:sz w:val="22"/>
          <w:szCs w:val="22"/>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w:t>
      </w:r>
      <w:r w:rsidRPr="001C5AE2">
        <w:rPr>
          <w:rFonts w:ascii="Palatino Linotype" w:eastAsia="Palatino Linotype" w:hAnsi="Palatino Linotype" w:cs="Palatino Linotype"/>
          <w:b/>
          <w:i/>
          <w:sz w:val="22"/>
          <w:szCs w:val="22"/>
        </w:rPr>
        <w:t xml:space="preserve">Si bien en el </w:t>
      </w:r>
      <w:proofErr w:type="spellStart"/>
      <w:r w:rsidRPr="001C5AE2">
        <w:rPr>
          <w:rFonts w:ascii="Palatino Linotype" w:eastAsia="Palatino Linotype" w:hAnsi="Palatino Linotype" w:cs="Palatino Linotype"/>
          <w:b/>
          <w:i/>
          <w:sz w:val="22"/>
          <w:szCs w:val="22"/>
        </w:rPr>
        <w:t>curriculum</w:t>
      </w:r>
      <w:proofErr w:type="spellEnd"/>
      <w:r w:rsidRPr="001C5AE2">
        <w:rPr>
          <w:rFonts w:ascii="Palatino Linotype" w:eastAsia="Palatino Linotype" w:hAnsi="Palatino Linotype" w:cs="Palatino Linotype"/>
          <w:b/>
          <w:i/>
          <w:sz w:val="22"/>
          <w:szCs w:val="22"/>
        </w:rPr>
        <w:t xml:space="preserve"> vitae se describe información de una persona relacionada con su formación académica, trayectoria profesional, datos de contacto, datos biográficos, entre otros, los cuales constituyen datos personales</w:t>
      </w:r>
      <w:r w:rsidRPr="001C5AE2">
        <w:rPr>
          <w:rFonts w:ascii="Palatino Linotype" w:eastAsia="Palatino Linotype" w:hAnsi="Palatino Linotype" w:cs="Palatino Linotype"/>
          <w:i/>
          <w:sz w:val="22"/>
          <w:szCs w:val="22"/>
        </w:rPr>
        <w:t xml:space="preserve">,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w:t>
      </w:r>
      <w:r w:rsidRPr="001C5AE2">
        <w:rPr>
          <w:rFonts w:ascii="Palatino Linotype" w:eastAsia="Palatino Linotype" w:hAnsi="Palatino Linotype" w:cs="Palatino Linotype"/>
          <w:b/>
          <w:i/>
          <w:sz w:val="22"/>
          <w:szCs w:val="22"/>
        </w:rPr>
        <w:t xml:space="preserve">tratándose del </w:t>
      </w:r>
      <w:proofErr w:type="spellStart"/>
      <w:r w:rsidRPr="001C5AE2">
        <w:rPr>
          <w:rFonts w:ascii="Palatino Linotype" w:eastAsia="Palatino Linotype" w:hAnsi="Palatino Linotype" w:cs="Palatino Linotype"/>
          <w:b/>
          <w:i/>
          <w:sz w:val="22"/>
          <w:szCs w:val="22"/>
        </w:rPr>
        <w:t>curriculum</w:t>
      </w:r>
      <w:proofErr w:type="spellEnd"/>
      <w:r w:rsidRPr="001C5AE2">
        <w:rPr>
          <w:rFonts w:ascii="Palatino Linotype" w:eastAsia="Palatino Linotype" w:hAnsi="Palatino Linotype" w:cs="Palatino Linotype"/>
          <w:b/>
          <w:i/>
          <w:sz w:val="22"/>
          <w:szCs w:val="22"/>
        </w:rPr>
        <w:t xml:space="preserve"> vitae de un servidor público, una de las formas en que los ciudadanos pueden evaluar sus aptitudes para desempeñar el cargo público que le ha sido encomendado, es mediante la publicidad de ciertos datos de los ahí contenidos</w:t>
      </w:r>
      <w:r w:rsidRPr="001C5AE2">
        <w:rPr>
          <w:rFonts w:ascii="Palatino Linotype" w:eastAsia="Palatino Linotype" w:hAnsi="Palatino Linotype" w:cs="Palatino Linotype"/>
          <w:i/>
          <w:sz w:val="22"/>
          <w:szCs w:val="22"/>
        </w:rPr>
        <w:t xml:space="preserve">. En esa tesitura, entre los datos personales del </w:t>
      </w:r>
      <w:proofErr w:type="spellStart"/>
      <w:r w:rsidRPr="001C5AE2">
        <w:rPr>
          <w:rFonts w:ascii="Palatino Linotype" w:eastAsia="Palatino Linotype" w:hAnsi="Palatino Linotype" w:cs="Palatino Linotype"/>
          <w:i/>
          <w:sz w:val="22"/>
          <w:szCs w:val="22"/>
        </w:rPr>
        <w:t>curriculum</w:t>
      </w:r>
      <w:proofErr w:type="spellEnd"/>
      <w:r w:rsidRPr="001C5AE2">
        <w:rPr>
          <w:rFonts w:ascii="Palatino Linotype" w:eastAsia="Palatino Linotype" w:hAnsi="Palatino Linotype" w:cs="Palatino Linotype"/>
          <w:i/>
          <w:sz w:val="22"/>
          <w:szCs w:val="22"/>
        </w:rPr>
        <w:t xml:space="preserve"> vitae de un servidor público </w:t>
      </w:r>
      <w:r w:rsidRPr="001C5AE2">
        <w:rPr>
          <w:rFonts w:ascii="Palatino Linotype" w:eastAsia="Palatino Linotype" w:hAnsi="Palatino Linotype" w:cs="Palatino Linotype"/>
          <w:b/>
          <w:i/>
          <w:sz w:val="22"/>
          <w:szCs w:val="22"/>
        </w:rPr>
        <w:t>susceptibles de hacerse del conocimiento público, ante una solicitud de acceso, se encuentran los relativos a su trayectoria académica, profesional, laboral, así como todos aquellos que acrediten su capacidad, habilidades o pericia para ocupar el cargo público</w:t>
      </w: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sz w:val="22"/>
          <w:szCs w:val="22"/>
        </w:rPr>
        <w:t xml:space="preserve"> (Sic)</w:t>
      </w:r>
    </w:p>
    <w:p w14:paraId="59533A46"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Del cual se advierte que si bien en el currículum vitae se describe información de una persona relacionada con su formación académica, trayectoria profesional y datos de contacto entre otros que pudieran constituir datos personales; tratándose de servidores públicos, el conocimiento de los mismos por los gobernados contribuye a la evaluación de sus aptitudes de acuerdo a su nivel profesional y </w:t>
      </w:r>
      <w:r w:rsidRPr="001C5AE2">
        <w:rPr>
          <w:rFonts w:ascii="Palatino Linotype" w:eastAsia="Palatino Linotype" w:hAnsi="Palatino Linotype" w:cs="Palatino Linotype"/>
        </w:rPr>
        <w:lastRenderedPageBreak/>
        <w:t>laboral, para el desempeño de sus funciones en el cargo que ostenten, razón que resulta suficiente para que sean de conocimiento público y si bien es cierto que no existe disposición legal que ordene de manera expresa que el sujeto obligado, deba contar en sus archivos con un documento denominado “currículum vitae” de sus servidores públicos, también lo es que para el desempeño de un empleo, cargo o comisión en el servicio público sí es requisito, entre otros, presentar una solicitud del empleo, como se desprende del artículo 47 fracción I de la Ley del Trabajo para los Servidores Públicos del Estado y Municipios.</w:t>
      </w:r>
    </w:p>
    <w:p w14:paraId="68EF728F"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Por lo que es posible determinar que, el currículum vítae contienen información relacionada con la trayectoria académica, profesional y laboral, por medio del cual se acredita la capacidad, habilidades, experiencia o pericia de una persona para ocupar un cargo, puesto o comisión, que permitan realizar una comparación de las actividades que ha realizado con las que habrá de desarrollar, y determinar si cumple con el perfil del cargo a ocupar.</w:t>
      </w:r>
    </w:p>
    <w:p w14:paraId="450ABDB4" w14:textId="77777777" w:rsidR="00A656A7" w:rsidRPr="001C5AE2" w:rsidRDefault="00A656A7">
      <w:pPr>
        <w:spacing w:line="360" w:lineRule="auto"/>
        <w:ind w:right="51"/>
        <w:jc w:val="both"/>
        <w:rPr>
          <w:rFonts w:ascii="Palatino Linotype" w:eastAsia="Palatino Linotype" w:hAnsi="Palatino Linotype" w:cs="Palatino Linotype"/>
        </w:rPr>
      </w:pPr>
    </w:p>
    <w:p w14:paraId="481C6F7E"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esa tesitura, debe apuntarse que la información curricular constituye una obligación de transparencia, pues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se encuentra constreñido a poner a disposición del público en su portal de Información Pública de Oficio Mexiquense (IPOMEX), la información curricular de sus servidores públicos, ello con la finalidad de enaltecer los principios de máxima publicidad, transparencia y certeza, como lo estipula  el artículo 92, fracción XXI de la ley aplicable a la materia, que es del tenor literal siguiente: </w:t>
      </w:r>
    </w:p>
    <w:p w14:paraId="05EE0B18" w14:textId="77777777" w:rsidR="00A656A7" w:rsidRPr="001C5AE2" w:rsidRDefault="00A656A7">
      <w:pPr>
        <w:spacing w:line="360" w:lineRule="auto"/>
        <w:jc w:val="both"/>
        <w:rPr>
          <w:rFonts w:ascii="Palatino Linotype" w:eastAsia="Palatino Linotype" w:hAnsi="Palatino Linotype" w:cs="Palatino Linotype"/>
        </w:rPr>
      </w:pPr>
    </w:p>
    <w:p w14:paraId="182C54CA"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lastRenderedPageBreak/>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BD7E47"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p>
    <w:p w14:paraId="3BA27323"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XXI. La información curricular, desde el nivel de jefe de departamento o equivalente, hasta el titular del sujeto obligado</w:t>
      </w:r>
      <w:r w:rsidRPr="001C5AE2">
        <w:rPr>
          <w:rFonts w:ascii="Palatino Linotype" w:eastAsia="Palatino Linotype" w:hAnsi="Palatino Linotype" w:cs="Palatino Linotype"/>
          <w:i/>
          <w:sz w:val="22"/>
          <w:szCs w:val="22"/>
        </w:rPr>
        <w:t>, así como, en su caso, las sanciones administrativas de que haya sido objeto</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6227DD9B" w14:textId="77777777" w:rsidR="00A656A7" w:rsidRPr="001C5AE2" w:rsidRDefault="00A656A7">
      <w:pPr>
        <w:ind w:left="567" w:right="902"/>
        <w:jc w:val="both"/>
        <w:rPr>
          <w:rFonts w:ascii="Palatino Linotype" w:eastAsia="Palatino Linotype" w:hAnsi="Palatino Linotype" w:cs="Palatino Linotype"/>
          <w:i/>
          <w:sz w:val="22"/>
          <w:szCs w:val="22"/>
        </w:rPr>
      </w:pPr>
    </w:p>
    <w:p w14:paraId="2E6D5F9F" w14:textId="77777777" w:rsidR="00A656A7" w:rsidRPr="001C5AE2" w:rsidRDefault="001C5AE2">
      <w:pPr>
        <w:spacing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Asimismo, debe precisarse que la publicación de esta información se realizará conforme lo establecen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mismos que se insertan a continuación: </w:t>
      </w:r>
    </w:p>
    <w:p w14:paraId="34FA2836" w14:textId="77777777" w:rsidR="00A656A7" w:rsidRPr="001C5AE2" w:rsidRDefault="001C5AE2">
      <w:pPr>
        <w:spacing w:before="240"/>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“XVII. La información curricular desde el nivel de jefe de departamento o equivalente hasta el titular del sujeto obligado, así como, en su caso, las sanciones administrativas de que haya sido objeto. </w:t>
      </w:r>
    </w:p>
    <w:p w14:paraId="7BE56419"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La información que los sujetos obligados deberán publicar en cumplimiento a la presente fracción es la curricular no confidencial relacionada con todos los(as) servidores(as) públicos(as) y/o personas que desempeñen actualmente un empleo, cargo o comisión y/o ejerzan actos de autoridad en el sujeto obligado –desde nivel de jefe de departamento o equivalente y hasta el titular del sujeto obligado–, que permita conocer su trayectoria en el ámbito laboral y escolar</w:t>
      </w:r>
      <w:r w:rsidRPr="001C5AE2">
        <w:rPr>
          <w:rFonts w:ascii="Palatino Linotype" w:eastAsia="Palatino Linotype" w:hAnsi="Palatino Linotype" w:cs="Palatino Linotype"/>
          <w:i/>
          <w:sz w:val="22"/>
          <w:szCs w:val="22"/>
        </w:rPr>
        <w:t xml:space="preserve">. </w:t>
      </w:r>
    </w:p>
    <w:p w14:paraId="2A3E1409"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Por cada servidor(a) público(a) se deberá especificar si ha sido acreedor a sanciones administrativas definitivas y que hayan sido aplicadas por autoridad u organismo competente. </w:t>
      </w:r>
    </w:p>
    <w:p w14:paraId="2A9367FA" w14:textId="77777777" w:rsidR="00A656A7" w:rsidRPr="001C5AE2" w:rsidRDefault="001C5AE2">
      <w:pPr>
        <w:ind w:left="567" w:right="902"/>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 xml:space="preserve">Periodo de actualización: trimestral </w:t>
      </w:r>
    </w:p>
    <w:p w14:paraId="740898F7" w14:textId="77777777" w:rsidR="00A656A7" w:rsidRPr="001C5AE2" w:rsidRDefault="001C5AE2">
      <w:pPr>
        <w:ind w:left="567" w:right="902"/>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lastRenderedPageBreak/>
        <w:t>En su caso, 15 días hábiles después de alguna modificación a la información de los servidores públicos que integran el sujeto obligado, así como su información curricular.</w:t>
      </w:r>
    </w:p>
    <w:p w14:paraId="08E12FF3" w14:textId="77777777" w:rsidR="00A656A7" w:rsidRPr="001C5AE2" w:rsidRDefault="001C5AE2">
      <w:pPr>
        <w:ind w:left="567" w:right="902"/>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 xml:space="preserve">Conservar en el sitio de Internet: información vigente </w:t>
      </w:r>
    </w:p>
    <w:p w14:paraId="41F92643" w14:textId="77777777" w:rsidR="00A656A7" w:rsidRPr="001C5AE2" w:rsidRDefault="001C5AE2">
      <w:pPr>
        <w:ind w:left="567" w:right="902"/>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 xml:space="preserve">Aplica a: todos los sujetos </w:t>
      </w:r>
      <w:proofErr w:type="gramStart"/>
      <w:r w:rsidRPr="001C5AE2">
        <w:rPr>
          <w:rFonts w:ascii="Palatino Linotype" w:eastAsia="Palatino Linotype" w:hAnsi="Palatino Linotype" w:cs="Palatino Linotype"/>
          <w:b/>
          <w:i/>
          <w:sz w:val="22"/>
          <w:szCs w:val="22"/>
        </w:rPr>
        <w:t>obligados</w:t>
      </w:r>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0E3DBFE5" w14:textId="77777777" w:rsidR="00A656A7" w:rsidRPr="001C5AE2" w:rsidRDefault="001C5AE2">
      <w:pPr>
        <w:spacing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noProof/>
          <w:lang w:val="es-MX"/>
        </w:rPr>
        <w:drawing>
          <wp:inline distT="0" distB="0" distL="0" distR="0" wp14:anchorId="77A696ED" wp14:editId="4CF8E959">
            <wp:extent cx="5692790" cy="2855901"/>
            <wp:effectExtent l="0" t="0" r="0" b="0"/>
            <wp:docPr id="17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5692790" cy="2855901"/>
                    </a:xfrm>
                    <a:prstGeom prst="rect">
                      <a:avLst/>
                    </a:prstGeom>
                    <a:ln/>
                  </pic:spPr>
                </pic:pic>
              </a:graphicData>
            </a:graphic>
          </wp:inline>
        </w:drawing>
      </w:r>
    </w:p>
    <w:p w14:paraId="71F768B7" w14:textId="77777777" w:rsidR="00A656A7" w:rsidRPr="001C5AE2" w:rsidRDefault="001C5AE2">
      <w:pPr>
        <w:spacing w:before="240"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noProof/>
          <w:lang w:val="es-MX"/>
        </w:rPr>
        <w:drawing>
          <wp:inline distT="0" distB="0" distL="0" distR="0" wp14:anchorId="041CE0DD" wp14:editId="62EB367B">
            <wp:extent cx="5631724" cy="3083175"/>
            <wp:effectExtent l="0" t="0" r="0" b="0"/>
            <wp:docPr id="17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3"/>
                    <a:srcRect/>
                    <a:stretch>
                      <a:fillRect/>
                    </a:stretch>
                  </pic:blipFill>
                  <pic:spPr>
                    <a:xfrm>
                      <a:off x="0" y="0"/>
                      <a:ext cx="5631724" cy="3083175"/>
                    </a:xfrm>
                    <a:prstGeom prst="rect">
                      <a:avLst/>
                    </a:prstGeom>
                    <a:ln/>
                  </pic:spPr>
                </pic:pic>
              </a:graphicData>
            </a:graphic>
          </wp:inline>
        </w:drawing>
      </w:r>
    </w:p>
    <w:p w14:paraId="3B791AFC" w14:textId="77777777" w:rsidR="00A656A7" w:rsidRPr="001C5AE2" w:rsidRDefault="001C5AE2">
      <w:pPr>
        <w:spacing w:before="240"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Como se aprecia en el dispositivo legal citado, lo sujetos obligados deben publicar la información curricular desde el nivel del jefe de departamento o equivalente, hasta el titular del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como se apreció en la cita, respecto a la escolaridad mandata que se publique información referente al nivel máximo de estudios concluido y comprobable, mientras que respecto de la experiencia laboral, se requiere que se incluya información de últimos empleos, en los que se advierta el campo de experiencia que acredite sus habilidades, capacidades o pericia para desempeñar el cargo público.</w:t>
      </w:r>
    </w:p>
    <w:p w14:paraId="300CFB9B" w14:textId="77777777" w:rsidR="00A656A7" w:rsidRPr="001C5AE2" w:rsidRDefault="001C5AE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b/>
          <w:u w:val="single"/>
        </w:rPr>
        <w:t>Por último, en cuanto al sueldo bruto y neto</w:t>
      </w:r>
      <w:r w:rsidRPr="001C5AE2">
        <w:rPr>
          <w:rFonts w:ascii="Palatino Linotype" w:eastAsia="Palatino Linotype" w:hAnsi="Palatino Linotype" w:cs="Palatino Linotype"/>
        </w:rPr>
        <w:t>, debemos traer a colación que el artículo 147 de la Constitución Política del Estado Libre y Soberano de México, establece que los trabajadores al servicio del Estado, recibirán una remuneración adecuada e irrenunciable por el desempeño de su empleo, cargo o comisión, que será determinada en el presupuesto de egresos que corresponda.</w:t>
      </w:r>
    </w:p>
    <w:p w14:paraId="7D1D3CC6" w14:textId="77777777" w:rsidR="00A656A7" w:rsidRPr="001C5AE2" w:rsidRDefault="00A656A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65B18578" w14:textId="77777777" w:rsidR="00A656A7" w:rsidRPr="001C5AE2" w:rsidRDefault="001C5AE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En el mismo sentido, el Código Financiero del Estado de México y Municipios, en su artículo 3° fracción XXXXII estipula lo siguiente:</w:t>
      </w:r>
    </w:p>
    <w:p w14:paraId="665A2B14" w14:textId="77777777" w:rsidR="00A656A7" w:rsidRPr="001C5AE2" w:rsidRDefault="00A656A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2C3379FB" w14:textId="77777777" w:rsidR="00A656A7" w:rsidRPr="001C5AE2" w:rsidRDefault="001C5AE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 3.</w:t>
      </w:r>
      <w:r w:rsidRPr="001C5AE2">
        <w:rPr>
          <w:rFonts w:ascii="Palatino Linotype" w:eastAsia="Palatino Linotype" w:hAnsi="Palatino Linotype" w:cs="Palatino Linotype"/>
          <w:i/>
          <w:sz w:val="22"/>
          <w:szCs w:val="22"/>
        </w:rPr>
        <w:t xml:space="preserve"> </w:t>
      </w:r>
    </w:p>
    <w:p w14:paraId="4DDB523F" w14:textId="77777777" w:rsidR="00A656A7" w:rsidRPr="001C5AE2" w:rsidRDefault="001C5AE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p>
    <w:p w14:paraId="71EF2056" w14:textId="77777777" w:rsidR="00A656A7" w:rsidRPr="001C5AE2" w:rsidRDefault="001C5AE2">
      <w:pPr>
        <w:pBdr>
          <w:top w:val="nil"/>
          <w:left w:val="nil"/>
          <w:bottom w:val="nil"/>
          <w:right w:val="nil"/>
          <w:between w:val="nil"/>
        </w:pBdr>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XXXII. Remuneración:</w:t>
      </w:r>
      <w:r w:rsidRPr="001C5AE2">
        <w:rPr>
          <w:rFonts w:ascii="Palatino Linotype" w:eastAsia="Palatino Linotype" w:hAnsi="Palatino Linotype" w:cs="Palatino Linotype"/>
          <w:i/>
          <w:sz w:val="22"/>
          <w:szCs w:val="22"/>
        </w:rPr>
        <w:t xml:space="preserve">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w:t>
      </w:r>
      <w:proofErr w:type="gramStart"/>
      <w:r w:rsidRPr="001C5AE2">
        <w:rPr>
          <w:rFonts w:ascii="Palatino Linotype" w:eastAsia="Palatino Linotype" w:hAnsi="Palatino Linotype" w:cs="Palatino Linotype"/>
          <w:i/>
          <w:sz w:val="22"/>
          <w:szCs w:val="22"/>
        </w:rPr>
        <w:t>Personal(</w:t>
      </w:r>
      <w:proofErr w:type="gramEnd"/>
      <w:r w:rsidRPr="001C5AE2">
        <w:rPr>
          <w:rFonts w:ascii="Palatino Linotype" w:eastAsia="Palatino Linotype" w:hAnsi="Palatino Linotype" w:cs="Palatino Linotype"/>
          <w:i/>
          <w:sz w:val="22"/>
          <w:szCs w:val="22"/>
        </w:rPr>
        <w:t>…)”</w:t>
      </w:r>
    </w:p>
    <w:p w14:paraId="7DB88131" w14:textId="77777777" w:rsidR="00A656A7" w:rsidRPr="001C5AE2" w:rsidRDefault="001C5AE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Ahora bien, tratándose de servidores públicos del Estado, la Ley del Trabajo de los Servidores Públicos del Estado y Municipios, en sus artículos 71 y 220-K fracciones II y IV y su penúltimo párrafo establecen:</w:t>
      </w:r>
    </w:p>
    <w:p w14:paraId="2A41420B" w14:textId="77777777" w:rsidR="00A656A7" w:rsidRPr="001C5AE2" w:rsidRDefault="00A656A7">
      <w:pPr>
        <w:tabs>
          <w:tab w:val="left" w:pos="4962"/>
        </w:tabs>
        <w:ind w:left="567" w:right="567"/>
        <w:jc w:val="both"/>
        <w:rPr>
          <w:rFonts w:ascii="Palatino Linotype" w:eastAsia="Palatino Linotype" w:hAnsi="Palatino Linotype" w:cs="Palatino Linotype"/>
          <w:b/>
          <w:i/>
          <w:sz w:val="22"/>
          <w:szCs w:val="22"/>
        </w:rPr>
      </w:pPr>
    </w:p>
    <w:p w14:paraId="248F629C"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71.</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b/>
          <w:i/>
          <w:sz w:val="22"/>
          <w:szCs w:val="22"/>
          <w:u w:val="single"/>
        </w:rPr>
        <w:t>El sueldo es la retribución que la institución pública debe pagar al servidor público por los servicios prestados</w:t>
      </w:r>
      <w:r w:rsidRPr="001C5AE2">
        <w:rPr>
          <w:rFonts w:ascii="Palatino Linotype" w:eastAsia="Palatino Linotype" w:hAnsi="Palatino Linotype" w:cs="Palatino Linotype"/>
          <w:i/>
          <w:sz w:val="22"/>
          <w:szCs w:val="22"/>
        </w:rPr>
        <w:t>.</w:t>
      </w:r>
    </w:p>
    <w:p w14:paraId="2BC6C082" w14:textId="77777777" w:rsidR="00A656A7" w:rsidRPr="001C5AE2" w:rsidRDefault="00A656A7">
      <w:pPr>
        <w:tabs>
          <w:tab w:val="left" w:pos="4962"/>
        </w:tabs>
        <w:ind w:left="567" w:right="567"/>
        <w:jc w:val="both"/>
        <w:rPr>
          <w:rFonts w:ascii="Palatino Linotype" w:eastAsia="Palatino Linotype" w:hAnsi="Palatino Linotype" w:cs="Palatino Linotype"/>
          <w:i/>
          <w:sz w:val="8"/>
          <w:szCs w:val="8"/>
        </w:rPr>
      </w:pPr>
    </w:p>
    <w:p w14:paraId="02D3F9CC"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220 K.-</w:t>
      </w:r>
      <w:r w:rsidRPr="001C5AE2">
        <w:rPr>
          <w:rFonts w:ascii="Palatino Linotype" w:eastAsia="Palatino Linotype" w:hAnsi="Palatino Linotype" w:cs="Palatino Linotype"/>
          <w:i/>
          <w:sz w:val="22"/>
          <w:szCs w:val="22"/>
        </w:rPr>
        <w:t xml:space="preserve"> La institución o dependencia pública tiene la obligación de conservar y exhibir en el proceso los documentos que a continuación se precisan:</w:t>
      </w:r>
    </w:p>
    <w:p w14:paraId="1922ADED"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 Contratos, Nombramientos o Formato Único de Movimientos de Personal, cuando no exista Convenio de condiciones generales de trabajo aplicable;</w:t>
      </w:r>
    </w:p>
    <w:p w14:paraId="62771405" w14:textId="77777777" w:rsidR="00A656A7" w:rsidRPr="001C5AE2" w:rsidRDefault="001C5AE2">
      <w:pPr>
        <w:tabs>
          <w:tab w:val="left" w:pos="4962"/>
        </w:tabs>
        <w:ind w:left="567" w:right="567"/>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II. Recibos de pagos de salarios o las constancias documentales del pago de salario cuando sea por depósito o mediante información electrónica;</w:t>
      </w:r>
    </w:p>
    <w:p w14:paraId="0D47FA22"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Controles de asistencia o la información magnética o electrónica de asistencia de los servidores públicos;</w:t>
      </w:r>
    </w:p>
    <w:p w14:paraId="1D539690"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 xml:space="preserve">IV. Recibos o </w:t>
      </w:r>
      <w:r w:rsidRPr="001C5AE2">
        <w:rPr>
          <w:rFonts w:ascii="Palatino Linotype" w:eastAsia="Palatino Linotype" w:hAnsi="Palatino Linotype" w:cs="Palatino Linotype"/>
          <w:b/>
          <w:i/>
          <w:sz w:val="22"/>
          <w:szCs w:val="22"/>
          <w:u w:val="single"/>
        </w:rPr>
        <w:t>las constancias de depósito</w:t>
      </w:r>
      <w:r w:rsidRPr="001C5AE2">
        <w:rPr>
          <w:rFonts w:ascii="Palatino Linotype" w:eastAsia="Palatino Linotype" w:hAnsi="Palatino Linotype" w:cs="Palatino Linotype"/>
          <w:b/>
          <w:i/>
          <w:sz w:val="22"/>
          <w:szCs w:val="22"/>
        </w:rPr>
        <w:t xml:space="preserve"> o del medio de información magnética o electrónica que sean utilizadas para el pago de salarios, prima vacacional, aguinaldo y demás prestaciones establecidas en la presente ley;</w:t>
      </w:r>
      <w:r w:rsidRPr="001C5AE2">
        <w:rPr>
          <w:rFonts w:ascii="Palatino Linotype" w:eastAsia="Palatino Linotype" w:hAnsi="Palatino Linotype" w:cs="Palatino Linotype"/>
          <w:i/>
          <w:sz w:val="22"/>
          <w:szCs w:val="22"/>
        </w:rPr>
        <w:t xml:space="preserve"> y</w:t>
      </w:r>
    </w:p>
    <w:p w14:paraId="2AC3CC3C" w14:textId="77777777" w:rsidR="00A656A7" w:rsidRPr="001C5AE2" w:rsidRDefault="001C5AE2">
      <w:pPr>
        <w:tabs>
          <w:tab w:val="left" w:pos="4962"/>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V. Los demás que señalen las leyes.</w:t>
      </w:r>
    </w:p>
    <w:p w14:paraId="347EDCEF" w14:textId="77777777" w:rsidR="00A656A7" w:rsidRPr="001C5AE2" w:rsidRDefault="001C5AE2">
      <w:pPr>
        <w:tabs>
          <w:tab w:val="left" w:pos="8222"/>
          <w:tab w:val="left" w:pos="8789"/>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Los documentos señalados en la fracción I de este artículo, deberán conservarse mientras dure la relación laboral y hasta un año después; los señalados por las fracciones </w:t>
      </w:r>
      <w:r w:rsidRPr="001C5AE2">
        <w:rPr>
          <w:rFonts w:ascii="Palatino Linotype" w:eastAsia="Palatino Linotype" w:hAnsi="Palatino Linotype" w:cs="Palatino Linotype"/>
          <w:b/>
          <w:i/>
          <w:sz w:val="22"/>
          <w:szCs w:val="22"/>
        </w:rPr>
        <w:t>II, III, IV durante el último año y un año después de que se extinga la relación laboral,</w:t>
      </w:r>
      <w:r w:rsidRPr="001C5AE2">
        <w:rPr>
          <w:rFonts w:ascii="Palatino Linotype" w:eastAsia="Palatino Linotype" w:hAnsi="Palatino Linotype" w:cs="Palatino Linotype"/>
          <w:i/>
          <w:sz w:val="22"/>
          <w:szCs w:val="22"/>
        </w:rPr>
        <w:t xml:space="preserve"> y los mencionados en la fracción V, conforme lo señalen las leyes que los rijan. 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01EE8D14" w14:textId="77777777" w:rsidR="00A656A7" w:rsidRPr="001C5AE2" w:rsidRDefault="001C5AE2">
      <w:pPr>
        <w:tabs>
          <w:tab w:val="left" w:pos="8222"/>
          <w:tab w:val="left" w:pos="8789"/>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El incumplimiento por lo dispuesto por este artículo, establecerá la presunción de ser ciertos los hechos que el actor exprese en su demanda, en relación con tales documentos, salvo prueba en contrario</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37A6D9FC" w14:textId="77777777" w:rsidR="00A656A7" w:rsidRPr="001C5AE2" w:rsidRDefault="00A656A7">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p>
    <w:p w14:paraId="1705685A" w14:textId="77777777" w:rsidR="00A656A7" w:rsidRPr="001C5AE2" w:rsidRDefault="001C5AE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 lo anterior, se advierte que </w:t>
      </w:r>
      <w:r w:rsidRPr="001C5AE2">
        <w:rPr>
          <w:rFonts w:ascii="Palatino Linotype" w:eastAsia="Palatino Linotype" w:hAnsi="Palatino Linotype" w:cs="Palatino Linotype"/>
          <w:b/>
        </w:rPr>
        <w:t>toda institución pública o dependencia del Estado de México</w:t>
      </w:r>
      <w:r w:rsidRPr="001C5AE2">
        <w:rPr>
          <w:rFonts w:ascii="Palatino Linotype" w:eastAsia="Palatino Linotype" w:hAnsi="Palatino Linotype" w:cs="Palatino Linotype"/>
        </w:rPr>
        <w:t xml:space="preserve"> debe conservar las constancias documentales del </w:t>
      </w:r>
      <w:r w:rsidRPr="001C5AE2">
        <w:rPr>
          <w:rFonts w:ascii="Palatino Linotype" w:eastAsia="Palatino Linotype" w:hAnsi="Palatino Linotype" w:cs="Palatino Linotype"/>
          <w:b/>
        </w:rPr>
        <w:t>pago de salario</w:t>
      </w:r>
      <w:r w:rsidRPr="001C5AE2">
        <w:rPr>
          <w:rFonts w:ascii="Palatino Linotype" w:eastAsia="Palatino Linotype" w:hAnsi="Palatino Linotype" w:cs="Palatino Linotype"/>
        </w:rPr>
        <w:t xml:space="preserve">, prima vacacional, aguinaldo y demás prestaciones legales de acuerdo con la forma en que </w:t>
      </w:r>
      <w:r w:rsidRPr="001C5AE2">
        <w:rPr>
          <w:rFonts w:ascii="Palatino Linotype" w:eastAsia="Palatino Linotype" w:hAnsi="Palatino Linotype" w:cs="Palatino Linotype"/>
        </w:rPr>
        <w:lastRenderedPageBreak/>
        <w:t>se haya realizado, es decir, en efectivo, cheque, depósito, transferencia u otra, durante el último año y un año después de que se extingue la relación laboral a través de los sistemas de digitalización o de información magnética o electrónica.</w:t>
      </w:r>
    </w:p>
    <w:p w14:paraId="4580F9F8" w14:textId="77777777" w:rsidR="00A656A7" w:rsidRPr="001C5AE2" w:rsidRDefault="00A656A7">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p>
    <w:p w14:paraId="00027E8E" w14:textId="77777777" w:rsidR="00A656A7" w:rsidRPr="001C5AE2" w:rsidRDefault="001C5AE2">
      <w:p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el mismo sentido, la Ley del Trabajo de los Servidores Públicos del Estado y Municipios, al referirse a los comprobantes que las instituciones públicas realizan para documentar </w:t>
      </w:r>
      <w:r w:rsidRPr="001C5AE2">
        <w:rPr>
          <w:rFonts w:ascii="Palatino Linotype" w:eastAsia="Palatino Linotype" w:hAnsi="Palatino Linotype" w:cs="Palatino Linotype"/>
          <w:b/>
        </w:rPr>
        <w:t>el pago de salarios</w:t>
      </w:r>
      <w:r w:rsidRPr="001C5AE2">
        <w:rPr>
          <w:rFonts w:ascii="Palatino Linotype" w:eastAsia="Palatino Linotype" w:hAnsi="Palatino Linotype" w:cs="Palatino Linotype"/>
        </w:rPr>
        <w:t xml:space="preserve">, la prima vacacional, el aguinaldo o las demás prestaciones, son denominados </w:t>
      </w:r>
      <w:r w:rsidRPr="001C5AE2">
        <w:rPr>
          <w:rFonts w:ascii="Palatino Linotype" w:eastAsia="Palatino Linotype" w:hAnsi="Palatino Linotype" w:cs="Palatino Linotype"/>
          <w:u w:val="single"/>
        </w:rPr>
        <w:t>“recibos o comprobantes de pago”,</w:t>
      </w:r>
      <w:r w:rsidRPr="001C5AE2">
        <w:rPr>
          <w:rFonts w:ascii="Palatino Linotype" w:eastAsia="Palatino Linotype" w:hAnsi="Palatino Linotype" w:cs="Palatino Linotype"/>
        </w:rPr>
        <w:t xml:space="preserve"> los cuales constituyen un instrumento mediante el cual el</w:t>
      </w:r>
      <w:r w:rsidRPr="001C5AE2">
        <w:rPr>
          <w:rFonts w:ascii="Palatino Linotype" w:eastAsia="Palatino Linotype" w:hAnsi="Palatino Linotype" w:cs="Palatino Linotype"/>
          <w:b/>
        </w:rPr>
        <w:t xml:space="preserve"> SUJETO OBLIGADO </w:t>
      </w:r>
      <w:r w:rsidRPr="001C5AE2">
        <w:rPr>
          <w:rFonts w:ascii="Palatino Linotype" w:eastAsia="Palatino Linotype" w:hAnsi="Palatino Linotype" w:cs="Palatino Linotype"/>
        </w:rPr>
        <w:t>acredita las remuneraciones al personal.</w:t>
      </w:r>
    </w:p>
    <w:p w14:paraId="7ABDD0CB" w14:textId="77777777" w:rsidR="00A656A7" w:rsidRPr="001C5AE2" w:rsidRDefault="001C5AE2">
      <w:pPr>
        <w:spacing w:before="240"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En ese sentido, la Ley de Transparencia y Acceso a la Información Pública, en su artículo 92, enlista y reconoce a la información que, por su naturaleza, deberá ser publicada y difundida por los Sujetos Obligados, de manera permanente y actualizada, en los respectivos medios electrónicos; siendo de especial interés la semántica de la información reconocida en la fracción VIII, a saber:</w:t>
      </w:r>
    </w:p>
    <w:p w14:paraId="5EFFF953" w14:textId="77777777" w:rsidR="00A656A7" w:rsidRPr="001C5AE2" w:rsidRDefault="001C5AE2">
      <w:pPr>
        <w:pBdr>
          <w:top w:val="nil"/>
          <w:left w:val="nil"/>
          <w:bottom w:val="nil"/>
          <w:right w:val="nil"/>
          <w:between w:val="nil"/>
        </w:pBdr>
        <w:tabs>
          <w:tab w:val="left" w:pos="426"/>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 92.</w:t>
      </w:r>
      <w:r w:rsidRPr="001C5AE2">
        <w:rPr>
          <w:rFonts w:ascii="Palatino Linotype" w:eastAsia="Palatino Linotype" w:hAnsi="Palatino Linotype" w:cs="Palatino Linotype"/>
          <w:i/>
          <w:sz w:val="22"/>
          <w:szCs w:val="22"/>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D0CDD6A" w14:textId="77777777" w:rsidR="00A656A7" w:rsidRPr="001C5AE2" w:rsidRDefault="001C5AE2">
      <w:pPr>
        <w:pBdr>
          <w:top w:val="nil"/>
          <w:left w:val="nil"/>
          <w:bottom w:val="nil"/>
          <w:right w:val="nil"/>
          <w:between w:val="nil"/>
        </w:pBdr>
        <w:tabs>
          <w:tab w:val="left" w:pos="426"/>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p>
    <w:p w14:paraId="1196F371" w14:textId="77777777" w:rsidR="00A656A7" w:rsidRPr="001C5AE2" w:rsidRDefault="001C5AE2">
      <w:pPr>
        <w:pBdr>
          <w:top w:val="nil"/>
          <w:left w:val="nil"/>
          <w:bottom w:val="nil"/>
          <w:right w:val="nil"/>
          <w:between w:val="nil"/>
        </w:pBdr>
        <w:tabs>
          <w:tab w:val="left" w:pos="426"/>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VIII.</w:t>
      </w:r>
      <w:r w:rsidRPr="001C5AE2">
        <w:rPr>
          <w:rFonts w:ascii="Palatino Linotype" w:eastAsia="Palatino Linotype" w:hAnsi="Palatino Linotype" w:cs="Palatino Linotype"/>
          <w:i/>
          <w:sz w:val="22"/>
          <w:szCs w:val="22"/>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w:t>
      </w:r>
      <w:proofErr w:type="gramStart"/>
      <w:r w:rsidRPr="001C5AE2">
        <w:rPr>
          <w:rFonts w:ascii="Palatino Linotype" w:eastAsia="Palatino Linotype" w:hAnsi="Palatino Linotype" w:cs="Palatino Linotype"/>
          <w:i/>
          <w:sz w:val="22"/>
          <w:szCs w:val="22"/>
        </w:rPr>
        <w:t>remuneración(</w:t>
      </w:r>
      <w:proofErr w:type="gramEnd"/>
      <w:r w:rsidRPr="001C5AE2">
        <w:rPr>
          <w:rFonts w:ascii="Palatino Linotype" w:eastAsia="Palatino Linotype" w:hAnsi="Palatino Linotype" w:cs="Palatino Linotype"/>
          <w:i/>
          <w:sz w:val="22"/>
          <w:szCs w:val="22"/>
        </w:rPr>
        <w:t>…)”</w:t>
      </w:r>
    </w:p>
    <w:p w14:paraId="6705F7E9" w14:textId="77777777" w:rsidR="00A656A7" w:rsidRPr="001C5AE2" w:rsidRDefault="00A656A7">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p>
    <w:p w14:paraId="6B0498E2" w14:textId="77777777" w:rsidR="00A656A7" w:rsidRPr="001C5AE2" w:rsidRDefault="001C5AE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 xml:space="preserve">De lo anterior ser coligue que la Ley de la materia reconoce a </w:t>
      </w:r>
      <w:r w:rsidRPr="001C5AE2">
        <w:rPr>
          <w:rFonts w:ascii="Palatino Linotype" w:eastAsia="Palatino Linotype" w:hAnsi="Palatino Linotype" w:cs="Palatino Linotype"/>
          <w:b/>
        </w:rPr>
        <w:t>las remuneraciones que reciben los servidores públicos por la prestación de sus servicios</w:t>
      </w:r>
      <w:r w:rsidRPr="001C5AE2">
        <w:rPr>
          <w:rFonts w:ascii="Palatino Linotype" w:eastAsia="Palatino Linotype" w:hAnsi="Palatino Linotype" w:cs="Palatino Linotype"/>
        </w:rPr>
        <w:t xml:space="preserve"> ante una Institución Pública </w:t>
      </w:r>
      <w:r w:rsidRPr="001C5AE2">
        <w:rPr>
          <w:rFonts w:ascii="Palatino Linotype" w:eastAsia="Palatino Linotype" w:hAnsi="Palatino Linotype" w:cs="Palatino Linotype"/>
          <w:b/>
        </w:rPr>
        <w:t>como información de carácter pública</w:t>
      </w:r>
      <w:r w:rsidRPr="001C5AE2">
        <w:rPr>
          <w:rFonts w:ascii="Palatino Linotype" w:eastAsia="Palatino Linotype" w:hAnsi="Palatino Linotype" w:cs="Palatino Linotype"/>
        </w:rPr>
        <w:t>, aún y cuando pudiera tratarse de datos personales. Si bien es cierto, las personas físicas tienen derecho a la protección de sus datos personales, también lo es que, los servidores públicos al establecer una relación laboral con un ente público sujeto a la transparencia y rendición de cuentas que su último fin es servir a la ciudadanía, implica que la esfera de protección a sus datos personales sea reducida, en comparación a una persona ajena al quehacer gubernamental, ya que es imperante la obligación de la transparencia y rendición de cuentas en el Estado Mexicano y las percepciones reflejan el ejercicio de los recursos del erario público.</w:t>
      </w:r>
    </w:p>
    <w:p w14:paraId="2A69FDE1" w14:textId="77777777" w:rsidR="00A656A7" w:rsidRPr="001C5AE2" w:rsidRDefault="00A656A7">
      <w:pPr>
        <w:tabs>
          <w:tab w:val="left" w:pos="426"/>
        </w:tabs>
        <w:spacing w:line="360" w:lineRule="auto"/>
        <w:ind w:right="49"/>
        <w:jc w:val="both"/>
        <w:rPr>
          <w:rFonts w:ascii="Palatino Linotype" w:eastAsia="Palatino Linotype" w:hAnsi="Palatino Linotype" w:cs="Palatino Linotype"/>
        </w:rPr>
      </w:pPr>
    </w:p>
    <w:p w14:paraId="3F3D6A3E" w14:textId="77777777" w:rsidR="00A656A7" w:rsidRPr="001C5AE2" w:rsidRDefault="001C5AE2">
      <w:pPr>
        <w:tabs>
          <w:tab w:val="left" w:pos="426"/>
        </w:tabs>
        <w:spacing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Sirve de apoyo a lo anterior por analogía, los criterios 01/2003 y 02/2003 emitidos por el Comité de Acceso a la Información y Protección de Datos Personales de la Suprema Corte de Justicia de la Nación que a continuación se citan:</w:t>
      </w:r>
    </w:p>
    <w:p w14:paraId="3221ADA2" w14:textId="77777777" w:rsidR="00A656A7" w:rsidRPr="001C5AE2" w:rsidRDefault="00A656A7">
      <w:pPr>
        <w:spacing w:line="360" w:lineRule="auto"/>
        <w:ind w:right="49"/>
        <w:jc w:val="both"/>
        <w:rPr>
          <w:rFonts w:ascii="Palatino Linotype" w:eastAsia="Palatino Linotype" w:hAnsi="Palatino Linotype" w:cs="Palatino Linotype"/>
        </w:rPr>
      </w:pPr>
    </w:p>
    <w:p w14:paraId="510EE2E9" w14:textId="77777777" w:rsidR="00A656A7" w:rsidRPr="001C5AE2" w:rsidRDefault="001C5AE2">
      <w:pPr>
        <w:tabs>
          <w:tab w:val="left" w:pos="851"/>
        </w:tabs>
        <w:ind w:left="567" w:right="567"/>
        <w:jc w:val="center"/>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Criterio 01/2003.</w:t>
      </w:r>
    </w:p>
    <w:p w14:paraId="4323F44A" w14:textId="77777777" w:rsidR="00A656A7" w:rsidRPr="001C5AE2" w:rsidRDefault="001C5AE2">
      <w:pPr>
        <w:tabs>
          <w:tab w:val="left" w:pos="851"/>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INGRESOS DE LOS SERVIDORES PÚBLICOS. CONSTITUYEN INFORMACIÓN PÚBLICA AÚN CUANDO SU DIFUSIÓN PUEDE AFECTAR LA VIDA O LA SEGURIDAD DE AQUELLOS</w:t>
      </w:r>
      <w:r w:rsidRPr="001C5AE2">
        <w:rPr>
          <w:rFonts w:ascii="Palatino Linotype" w:eastAsia="Palatino Linotype" w:hAnsi="Palatino Linotype" w:cs="Palatino Linotype"/>
          <w:i/>
          <w:sz w:val="22"/>
          <w:szCs w:val="22"/>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deben publicarse en medios remotos o locales de comunicación electrónica, lo que se sustenta </w:t>
      </w:r>
      <w:r w:rsidRPr="001C5AE2">
        <w:rPr>
          <w:rFonts w:ascii="Palatino Linotype" w:eastAsia="Palatino Linotype" w:hAnsi="Palatino Linotype" w:cs="Palatino Linotype"/>
          <w:i/>
          <w:sz w:val="22"/>
          <w:szCs w:val="22"/>
        </w:rPr>
        <w:lastRenderedPageBreak/>
        <w:t>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p>
    <w:p w14:paraId="555F8715" w14:textId="77777777" w:rsidR="00A656A7" w:rsidRPr="001C5AE2" w:rsidRDefault="00A656A7">
      <w:pPr>
        <w:tabs>
          <w:tab w:val="left" w:pos="851"/>
        </w:tabs>
        <w:ind w:left="567" w:right="567"/>
        <w:jc w:val="both"/>
        <w:rPr>
          <w:rFonts w:ascii="Palatino Linotype" w:eastAsia="Palatino Linotype" w:hAnsi="Palatino Linotype" w:cs="Palatino Linotype"/>
          <w:i/>
          <w:sz w:val="22"/>
          <w:szCs w:val="22"/>
        </w:rPr>
      </w:pPr>
    </w:p>
    <w:p w14:paraId="4CCE266A" w14:textId="77777777" w:rsidR="00A656A7" w:rsidRPr="001C5AE2" w:rsidRDefault="001C5AE2">
      <w:pPr>
        <w:tabs>
          <w:tab w:val="left" w:pos="851"/>
        </w:tabs>
        <w:ind w:left="567" w:right="567"/>
        <w:jc w:val="center"/>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Criterio 02/2003.</w:t>
      </w:r>
    </w:p>
    <w:p w14:paraId="1BA49F08" w14:textId="77777777" w:rsidR="00A656A7" w:rsidRPr="001C5AE2" w:rsidRDefault="001C5AE2">
      <w:pPr>
        <w:tabs>
          <w:tab w:val="left" w:pos="851"/>
        </w:tabs>
        <w:ind w:left="567" w:right="567"/>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INGRESOS DE LOS SERVIDORES PÚBLICOS, SON INFORMACIÓN PÚBLICA AÚN CUANDO CONSTITUYEN DATOS PERSONALES QUE SE REFIEREN AL PATRIMONIO DE AQUÉLLOS.</w:t>
      </w:r>
      <w:r w:rsidRPr="001C5AE2">
        <w:rPr>
          <w:rFonts w:ascii="Palatino Linotype" w:eastAsia="Palatino Linotype" w:hAnsi="Palatino Linotype" w:cs="Palatino Linotype"/>
          <w:i/>
          <w:sz w:val="22"/>
          <w:szCs w:val="22"/>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 para su difusión no se requiere consentimiento de aquellos, 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 el sistema de compensación…”</w:t>
      </w:r>
    </w:p>
    <w:p w14:paraId="1575A650" w14:textId="77777777" w:rsidR="00A656A7" w:rsidRPr="001C5AE2" w:rsidRDefault="00A656A7">
      <w:pPr>
        <w:spacing w:line="360" w:lineRule="auto"/>
        <w:ind w:right="49"/>
        <w:jc w:val="both"/>
        <w:rPr>
          <w:rFonts w:ascii="Palatino Linotype" w:eastAsia="Palatino Linotype" w:hAnsi="Palatino Linotype" w:cs="Palatino Linotype"/>
        </w:rPr>
      </w:pPr>
    </w:p>
    <w:p w14:paraId="5D7A0B93" w14:textId="77777777" w:rsidR="00A656A7" w:rsidRPr="001C5AE2" w:rsidRDefault="001C5AE2">
      <w:pPr>
        <w:pBdr>
          <w:top w:val="nil"/>
          <w:left w:val="nil"/>
          <w:bottom w:val="nil"/>
          <w:right w:val="nil"/>
          <w:between w:val="nil"/>
        </w:pBdr>
        <w:tabs>
          <w:tab w:val="left" w:pos="426"/>
        </w:tabs>
        <w:spacing w:before="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Además, al ser una erogación que realiza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y al ser a cargo de fondos públicos, las mismas son fiscalizadas por la Legislatura, a través del Órgano Superior de Fiscalización. Bajo dicha tesitura es que resulta que dicha información debe ser </w:t>
      </w:r>
      <w:r w:rsidRPr="001C5AE2">
        <w:rPr>
          <w:rFonts w:ascii="Palatino Linotype" w:eastAsia="Palatino Linotype" w:hAnsi="Palatino Linotype" w:cs="Palatino Linotype"/>
          <w:b/>
        </w:rPr>
        <w:t>pública</w:t>
      </w:r>
      <w:r w:rsidRPr="001C5AE2">
        <w:rPr>
          <w:rFonts w:ascii="Palatino Linotype" w:eastAsia="Palatino Linotype" w:hAnsi="Palatino Linotype" w:cs="Palatino Linotype"/>
        </w:rPr>
        <w:t>.</w:t>
      </w:r>
    </w:p>
    <w:p w14:paraId="2E1AEF4E" w14:textId="77777777" w:rsidR="00A656A7" w:rsidRPr="001C5AE2" w:rsidRDefault="00A656A7">
      <w:pPr>
        <w:pBdr>
          <w:top w:val="nil"/>
          <w:left w:val="nil"/>
          <w:bottom w:val="nil"/>
          <w:right w:val="nil"/>
          <w:between w:val="nil"/>
        </w:pBdr>
        <w:tabs>
          <w:tab w:val="left" w:pos="567"/>
        </w:tabs>
        <w:spacing w:line="360" w:lineRule="auto"/>
        <w:jc w:val="both"/>
        <w:rPr>
          <w:rFonts w:ascii="Palatino Linotype" w:eastAsia="Palatino Linotype" w:hAnsi="Palatino Linotype" w:cs="Palatino Linotype"/>
        </w:rPr>
      </w:pPr>
      <w:bookmarkStart w:id="4" w:name="_heading=h.2et92p0" w:colFirst="0" w:colLast="0"/>
      <w:bookmarkEnd w:id="4"/>
    </w:p>
    <w:p w14:paraId="5A5B4233" w14:textId="77777777" w:rsidR="00A656A7" w:rsidRPr="001C5AE2" w:rsidRDefault="001C5AE2">
      <w:pPr>
        <w:pBdr>
          <w:top w:val="nil"/>
          <w:left w:val="nil"/>
          <w:bottom w:val="nil"/>
          <w:right w:val="nil"/>
          <w:between w:val="nil"/>
        </w:pBdr>
        <w:tabs>
          <w:tab w:val="left" w:pos="426"/>
        </w:tabs>
        <w:spacing w:after="240"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Una vez establecido lo anterior, conviene recordar que en el presente asunto se determinó que la información a entregar es la vigente al veintisiete de junio del año dos mil veintitrés. </w:t>
      </w:r>
    </w:p>
    <w:p w14:paraId="7A078793"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Quinto. Versión Pública. </w:t>
      </w:r>
      <w:r w:rsidRPr="001C5AE2">
        <w:rPr>
          <w:rFonts w:ascii="Palatino Linotype" w:eastAsia="Palatino Linotype" w:hAnsi="Palatino Linotype" w:cs="Palatino Linotype"/>
        </w:rPr>
        <w:t xml:space="preserve">Para la entrega de la información, en razón de que el derecho de acceso a la información pública no es absoluto, sino que encuentra como </w:t>
      </w:r>
      <w:r w:rsidRPr="001C5AE2">
        <w:rPr>
          <w:rFonts w:ascii="Palatino Linotype" w:eastAsia="Palatino Linotype" w:hAnsi="Palatino Linotype" w:cs="Palatino Linotype"/>
        </w:rPr>
        <w:lastRenderedPageBreak/>
        <w:t xml:space="preserve">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sin menoscabar el derecho a la protección de los datos personales de terceros.</w:t>
      </w:r>
    </w:p>
    <w:p w14:paraId="0DE90592" w14:textId="77777777" w:rsidR="00A656A7" w:rsidRPr="001C5AE2" w:rsidRDefault="001C5AE2">
      <w:pPr>
        <w:spacing w:before="240" w:after="240" w:line="360" w:lineRule="auto"/>
        <w:ind w:right="50"/>
        <w:jc w:val="both"/>
        <w:rPr>
          <w:rFonts w:ascii="Palatino Linotype" w:eastAsia="Palatino Linotype" w:hAnsi="Palatino Linotype" w:cs="Palatino Linotype"/>
        </w:rPr>
      </w:pPr>
      <w:r w:rsidRPr="001C5AE2">
        <w:rPr>
          <w:rFonts w:ascii="Palatino Linotype" w:eastAsia="Palatino Linotype" w:hAnsi="Palatino Linotype" w:cs="Palatino Linotype"/>
        </w:rPr>
        <w:t>Lo anterior, de conformidad a lo que señalan los artículos 3, fracciones IX, XX, XXXII, XLV; 6, 137 y 143 fracción I, de la Ley de Transparencia y Acceso a la Información Pública del Estado de México y Municipios vigente, que se leen como sigue:</w:t>
      </w:r>
    </w:p>
    <w:p w14:paraId="3F876C8F" w14:textId="77777777" w:rsidR="00A656A7" w:rsidRPr="001C5AE2" w:rsidRDefault="001C5AE2">
      <w:pPr>
        <w:ind w:left="993" w:right="1041"/>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 xml:space="preserve"> “Artículo 3. Para los efectos de la presente Ley se entenderá por:</w:t>
      </w:r>
    </w:p>
    <w:p w14:paraId="495C7E78"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IX. Datos personales:</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b/>
          <w:i/>
          <w:sz w:val="22"/>
          <w:szCs w:val="22"/>
        </w:rPr>
        <w:t>La información concerniente a una persona, identificada o identificable</w:t>
      </w:r>
      <w:r w:rsidRPr="001C5AE2">
        <w:rPr>
          <w:rFonts w:ascii="Palatino Linotype" w:eastAsia="Palatino Linotype" w:hAnsi="Palatino Linotype" w:cs="Palatino Linotype"/>
          <w:i/>
          <w:sz w:val="22"/>
          <w:szCs w:val="22"/>
        </w:rPr>
        <w:t xml:space="preserve"> según lo dispuesto por la Ley de Protección de Datos Personales del Estado de México;</w:t>
      </w:r>
    </w:p>
    <w:p w14:paraId="7C6C973C"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XX. Información clasificada:</w:t>
      </w:r>
      <w:r w:rsidRPr="001C5AE2">
        <w:rPr>
          <w:rFonts w:ascii="Palatino Linotype" w:eastAsia="Palatino Linotype" w:hAnsi="Palatino Linotype" w:cs="Palatino Linotype"/>
          <w:i/>
          <w:sz w:val="22"/>
          <w:szCs w:val="22"/>
        </w:rPr>
        <w:t xml:space="preserve"> Aquella considerada por la presente Ley como reservada o confidencial;</w:t>
      </w:r>
    </w:p>
    <w:p w14:paraId="6CF2CA3C"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XXXII. Protección de Datos Personales:</w:t>
      </w:r>
      <w:r w:rsidRPr="001C5AE2">
        <w:rPr>
          <w:rFonts w:ascii="Palatino Linotype" w:eastAsia="Palatino Linotype" w:hAnsi="Palatino Linotype" w:cs="Palatino Linotype"/>
          <w:i/>
          <w:sz w:val="22"/>
          <w:szCs w:val="22"/>
        </w:rPr>
        <w:t xml:space="preserve"> Derecho humano que tutela la privacidad de datos personales en poder de los sujetos obligados y sujetos particulares;</w:t>
      </w:r>
    </w:p>
    <w:p w14:paraId="3945604D"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XLV. Versión pública</w:t>
      </w:r>
      <w:r w:rsidRPr="001C5AE2">
        <w:rPr>
          <w:rFonts w:ascii="Palatino Linotype" w:eastAsia="Palatino Linotype" w:hAnsi="Palatino Linotype" w:cs="Palatino Linotype"/>
          <w:i/>
          <w:sz w:val="22"/>
          <w:szCs w:val="22"/>
        </w:rPr>
        <w:t>: Documento en el que se elimine, suprime o borra la información clasificada como reservada o confidencial para permitir su acceso.”</w:t>
      </w:r>
    </w:p>
    <w:p w14:paraId="358C313B" w14:textId="77777777" w:rsidR="00A656A7" w:rsidRPr="001C5AE2" w:rsidRDefault="00A656A7">
      <w:pPr>
        <w:ind w:left="993" w:right="1041"/>
        <w:jc w:val="both"/>
        <w:rPr>
          <w:rFonts w:ascii="Palatino Linotype" w:eastAsia="Palatino Linotype" w:hAnsi="Palatino Linotype" w:cs="Palatino Linotype"/>
          <w:i/>
          <w:sz w:val="22"/>
          <w:szCs w:val="22"/>
        </w:rPr>
      </w:pPr>
    </w:p>
    <w:p w14:paraId="5E49744E"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6.</w:t>
      </w:r>
      <w:r w:rsidRPr="001C5AE2">
        <w:rPr>
          <w:rFonts w:ascii="Palatino Linotype" w:eastAsia="Palatino Linotype" w:hAnsi="Palatino Linotype" w:cs="Palatino Linotype"/>
          <w:i/>
          <w:sz w:val="22"/>
          <w:szCs w:val="22"/>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w:t>
      </w:r>
      <w:r w:rsidRPr="001C5AE2">
        <w:rPr>
          <w:rFonts w:ascii="Palatino Linotype" w:eastAsia="Palatino Linotype" w:hAnsi="Palatino Linotype" w:cs="Palatino Linotype"/>
          <w:i/>
          <w:sz w:val="22"/>
          <w:szCs w:val="22"/>
        </w:rPr>
        <w:lastRenderedPageBreak/>
        <w:t>en materia de datos personales, se deberá estar a lo dispuesto en las leyes de la materia.”</w:t>
      </w:r>
    </w:p>
    <w:p w14:paraId="42FFC64D" w14:textId="77777777" w:rsidR="00A656A7" w:rsidRPr="001C5AE2" w:rsidRDefault="00A656A7">
      <w:pPr>
        <w:ind w:left="993" w:right="1041"/>
        <w:jc w:val="both"/>
        <w:rPr>
          <w:rFonts w:ascii="Palatino Linotype" w:eastAsia="Palatino Linotype" w:hAnsi="Palatino Linotype" w:cs="Palatino Linotype"/>
          <w:i/>
          <w:sz w:val="22"/>
          <w:szCs w:val="22"/>
        </w:rPr>
      </w:pPr>
    </w:p>
    <w:p w14:paraId="69675C60" w14:textId="77777777" w:rsidR="00A656A7" w:rsidRPr="001C5AE2" w:rsidRDefault="001C5AE2">
      <w:pPr>
        <w:ind w:left="993" w:right="1041"/>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“Artículo 137.</w:t>
      </w:r>
      <w:r w:rsidRPr="001C5AE2">
        <w:rPr>
          <w:rFonts w:ascii="Palatino Linotype" w:eastAsia="Palatino Linotype" w:hAnsi="Palatino Linotype" w:cs="Palatino Linotype"/>
          <w:i/>
          <w:sz w:val="22"/>
          <w:szCs w:val="22"/>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3D4FB800" w14:textId="77777777" w:rsidR="00A656A7" w:rsidRPr="001C5AE2" w:rsidRDefault="00A656A7">
      <w:pPr>
        <w:ind w:left="993" w:right="1041"/>
        <w:jc w:val="both"/>
        <w:rPr>
          <w:rFonts w:ascii="Palatino Linotype" w:eastAsia="Palatino Linotype" w:hAnsi="Palatino Linotype" w:cs="Palatino Linotype"/>
          <w:b/>
          <w:i/>
          <w:sz w:val="22"/>
          <w:szCs w:val="22"/>
        </w:rPr>
      </w:pPr>
    </w:p>
    <w:p w14:paraId="3652ABC5"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143</w:t>
      </w:r>
      <w:r w:rsidRPr="001C5AE2">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1C948141"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w:t>
      </w:r>
      <w:r w:rsidRPr="001C5AE2">
        <w:rPr>
          <w:rFonts w:ascii="Palatino Linotype" w:eastAsia="Palatino Linotype" w:hAnsi="Palatino Linotype" w:cs="Palatino Linotype"/>
          <w:i/>
          <w:sz w:val="22"/>
          <w:szCs w:val="22"/>
        </w:rPr>
        <w:t xml:space="preserve"> Se refiera a la información privada y los datos personales concernientes a una persona física o jurídica colectiva identificada o identificable;</w:t>
      </w:r>
    </w:p>
    <w:p w14:paraId="082F688B"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 Los secretos bancario, fiduciario, industrial, comercial, fiscal, bursátil y postal, cuya titularidad corresponda a particulares, sujetos de derecho internacional o a sujetos obligados cuando no involucren el ejercicio de recursos públicos; y</w:t>
      </w:r>
    </w:p>
    <w:p w14:paraId="1DCA4C61" w14:textId="77777777" w:rsidR="00A656A7" w:rsidRPr="001C5AE2" w:rsidRDefault="001C5AE2">
      <w:pPr>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La que presenten los particulares a los sujetos obligados, de conformidad con lo dispuesto por las leyes o los tratados internacionales.” (Sic)</w:t>
      </w:r>
    </w:p>
    <w:p w14:paraId="74E0DB55" w14:textId="77777777" w:rsidR="00A656A7" w:rsidRPr="001C5AE2" w:rsidRDefault="00A656A7">
      <w:pPr>
        <w:ind w:left="993" w:right="1041"/>
        <w:jc w:val="both"/>
        <w:rPr>
          <w:rFonts w:ascii="Palatino Linotype" w:eastAsia="Palatino Linotype" w:hAnsi="Palatino Linotype" w:cs="Palatino Linotype"/>
          <w:i/>
          <w:sz w:val="22"/>
          <w:szCs w:val="22"/>
        </w:rPr>
      </w:pPr>
    </w:p>
    <w:p w14:paraId="714B51A0"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Sujeto Obligado deberá proceder a testar los datos personales que se encuentren contenidos en los documentos a entregar por parte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para satisfacer el derecho de acceso a la información pública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w:t>
      </w:r>
      <w:r w:rsidRPr="001C5AE2">
        <w:rPr>
          <w:rFonts w:ascii="Palatino Linotype" w:eastAsia="Palatino Linotype" w:hAnsi="Palatino Linotype" w:cs="Palatino Linotype"/>
        </w:rPr>
        <w:lastRenderedPageBreak/>
        <w:t>o conlleven un riesgo grave para aquel de acuerdo a lo que señala la fracción XII del artículo 4 de la Ley de Protección de Datos Personales en Posesión de Sujetos Obligados del Estado de México.</w:t>
      </w:r>
    </w:p>
    <w:p w14:paraId="718749CE" w14:textId="77777777" w:rsidR="00A656A7" w:rsidRPr="001C5AE2" w:rsidRDefault="00A656A7">
      <w:pPr>
        <w:spacing w:line="360" w:lineRule="auto"/>
        <w:ind w:right="51"/>
        <w:jc w:val="both"/>
        <w:rPr>
          <w:rFonts w:ascii="Palatino Linotype" w:eastAsia="Palatino Linotype" w:hAnsi="Palatino Linotype" w:cs="Palatino Linotype"/>
        </w:rPr>
      </w:pPr>
    </w:p>
    <w:p w14:paraId="6E274637" w14:textId="77777777" w:rsidR="00A656A7" w:rsidRPr="001C5AE2" w:rsidRDefault="001C5AE2">
      <w:pPr>
        <w:spacing w:line="360" w:lineRule="auto"/>
        <w:ind w:right="50"/>
        <w:jc w:val="both"/>
        <w:rPr>
          <w:rFonts w:ascii="Palatino Linotype" w:eastAsia="Palatino Linotype" w:hAnsi="Palatino Linotype" w:cs="Palatino Linotype"/>
        </w:rPr>
      </w:pPr>
      <w:r w:rsidRPr="001C5AE2">
        <w:rPr>
          <w:rFonts w:ascii="Palatino Linotype" w:eastAsia="Palatino Linotype" w:hAnsi="Palatino Linotype" w:cs="Palatino Linotype"/>
        </w:rPr>
        <w:t>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p>
    <w:p w14:paraId="73BD98D9" w14:textId="77777777" w:rsidR="00A656A7" w:rsidRPr="001C5AE2" w:rsidRDefault="00A656A7">
      <w:pPr>
        <w:spacing w:line="360" w:lineRule="auto"/>
        <w:ind w:right="50"/>
        <w:jc w:val="both"/>
        <w:rPr>
          <w:rFonts w:ascii="Palatino Linotype" w:eastAsia="Palatino Linotype" w:hAnsi="Palatino Linotype" w:cs="Palatino Linotype"/>
        </w:rPr>
      </w:pPr>
    </w:p>
    <w:p w14:paraId="4B9DBA30"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ese contexto, la clasificación de la información no opera con la simple supresión de datos que se haga en los documentos de que se trate o con la simple decisión que tome el Servidor Público Habilitado o el </w:t>
      </w:r>
      <w:proofErr w:type="gramStart"/>
      <w:r w:rsidRPr="001C5AE2">
        <w:rPr>
          <w:rFonts w:ascii="Palatino Linotype" w:eastAsia="Palatino Linotype" w:hAnsi="Palatino Linotype" w:cs="Palatino Linotype"/>
        </w:rPr>
        <w:t>Responsable</w:t>
      </w:r>
      <w:proofErr w:type="gramEnd"/>
      <w:r w:rsidRPr="001C5AE2">
        <w:rPr>
          <w:rFonts w:ascii="Palatino Linotype" w:eastAsia="Palatino Linotype" w:hAnsi="Palatino Linotype" w:cs="Palatino Linotype"/>
        </w:rPr>
        <w:t xml:space="preserve"> de la Unidad de Transparencia del Sujeto Obligado, sino que ello deberá realizarse en términos de lo que disponen los artículos 49 fracción VIII, 53, fracción X y 59, fracción V, de la Ley en consulta, cuyo sentido literal es el siguiente:</w:t>
      </w:r>
    </w:p>
    <w:p w14:paraId="7CFC98ED" w14:textId="77777777" w:rsidR="00A656A7" w:rsidRPr="001C5AE2" w:rsidRDefault="00A656A7">
      <w:pPr>
        <w:spacing w:line="360" w:lineRule="auto"/>
        <w:ind w:right="51"/>
        <w:jc w:val="both"/>
        <w:rPr>
          <w:rFonts w:ascii="Palatino Linotype" w:eastAsia="Palatino Linotype" w:hAnsi="Palatino Linotype" w:cs="Palatino Linotype"/>
        </w:rPr>
      </w:pPr>
    </w:p>
    <w:p w14:paraId="0183C5F8"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49.</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b/>
          <w:i/>
          <w:sz w:val="22"/>
          <w:szCs w:val="22"/>
        </w:rPr>
        <w:t>Los Comités de Transparencia</w:t>
      </w:r>
      <w:r w:rsidRPr="001C5AE2">
        <w:rPr>
          <w:rFonts w:ascii="Palatino Linotype" w:eastAsia="Palatino Linotype" w:hAnsi="Palatino Linotype" w:cs="Palatino Linotype"/>
          <w:i/>
          <w:sz w:val="22"/>
          <w:szCs w:val="22"/>
        </w:rPr>
        <w:t xml:space="preserve"> tendrán las siguientes atribuciones:</w:t>
      </w:r>
    </w:p>
    <w:p w14:paraId="374E76F6"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VIII. Aprobar, modificar o revocar la clasificación de la información</w:t>
      </w:r>
      <w:r w:rsidRPr="001C5AE2">
        <w:rPr>
          <w:rFonts w:ascii="Palatino Linotype" w:eastAsia="Palatino Linotype" w:hAnsi="Palatino Linotype" w:cs="Palatino Linotype"/>
          <w:i/>
          <w:sz w:val="22"/>
          <w:szCs w:val="22"/>
        </w:rPr>
        <w:t>…”</w:t>
      </w:r>
    </w:p>
    <w:p w14:paraId="58369A3A"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 53.</w:t>
      </w:r>
      <w:r w:rsidRPr="001C5AE2">
        <w:rPr>
          <w:rFonts w:ascii="Palatino Linotype" w:eastAsia="Palatino Linotype" w:hAnsi="Palatino Linotype" w:cs="Palatino Linotype"/>
          <w:i/>
          <w:sz w:val="22"/>
          <w:szCs w:val="22"/>
        </w:rPr>
        <w:t xml:space="preserve"> Las </w:t>
      </w:r>
      <w:r w:rsidRPr="001C5AE2">
        <w:rPr>
          <w:rFonts w:ascii="Palatino Linotype" w:eastAsia="Palatino Linotype" w:hAnsi="Palatino Linotype" w:cs="Palatino Linotype"/>
          <w:b/>
          <w:i/>
          <w:sz w:val="22"/>
          <w:szCs w:val="22"/>
        </w:rPr>
        <w:t>Unidades de Transparencia</w:t>
      </w:r>
      <w:r w:rsidRPr="001C5AE2">
        <w:rPr>
          <w:rFonts w:ascii="Palatino Linotype" w:eastAsia="Palatino Linotype" w:hAnsi="Palatino Linotype" w:cs="Palatino Linotype"/>
          <w:i/>
          <w:sz w:val="22"/>
          <w:szCs w:val="22"/>
        </w:rPr>
        <w:t xml:space="preserve"> tendrán las siguientes </w:t>
      </w:r>
      <w:r w:rsidRPr="001C5AE2">
        <w:rPr>
          <w:rFonts w:ascii="Palatino Linotype" w:eastAsia="Palatino Linotype" w:hAnsi="Palatino Linotype" w:cs="Palatino Linotype"/>
          <w:b/>
          <w:i/>
          <w:sz w:val="22"/>
          <w:szCs w:val="22"/>
        </w:rPr>
        <w:t>funciones</w:t>
      </w:r>
      <w:r w:rsidRPr="001C5AE2">
        <w:rPr>
          <w:rFonts w:ascii="Palatino Linotype" w:eastAsia="Palatino Linotype" w:hAnsi="Palatino Linotype" w:cs="Palatino Linotype"/>
          <w:i/>
          <w:sz w:val="22"/>
          <w:szCs w:val="22"/>
        </w:rPr>
        <w:t>:</w:t>
      </w:r>
    </w:p>
    <w:p w14:paraId="41C786BA"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X. Presentar ante el Comité, el proyecto de clasificación de información</w:t>
      </w:r>
      <w:r w:rsidRPr="001C5AE2">
        <w:rPr>
          <w:rFonts w:ascii="Palatino Linotype" w:eastAsia="Palatino Linotype" w:hAnsi="Palatino Linotype" w:cs="Palatino Linotype"/>
          <w:i/>
          <w:sz w:val="22"/>
          <w:szCs w:val="22"/>
        </w:rPr>
        <w:t xml:space="preserve">…” </w:t>
      </w:r>
    </w:p>
    <w:p w14:paraId="1E885761"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“Artículo 59.</w:t>
      </w:r>
      <w:r w:rsidRPr="001C5AE2">
        <w:rPr>
          <w:rFonts w:ascii="Palatino Linotype" w:eastAsia="Palatino Linotype" w:hAnsi="Palatino Linotype" w:cs="Palatino Linotype"/>
          <w:i/>
          <w:sz w:val="22"/>
          <w:szCs w:val="22"/>
        </w:rPr>
        <w:t xml:space="preserve"> Los </w:t>
      </w:r>
      <w:r w:rsidRPr="001C5AE2">
        <w:rPr>
          <w:rFonts w:ascii="Palatino Linotype" w:eastAsia="Palatino Linotype" w:hAnsi="Palatino Linotype" w:cs="Palatino Linotype"/>
          <w:b/>
          <w:i/>
          <w:sz w:val="22"/>
          <w:szCs w:val="22"/>
        </w:rPr>
        <w:t>servidores públicos habilitados</w:t>
      </w:r>
      <w:r w:rsidRPr="001C5AE2">
        <w:rPr>
          <w:rFonts w:ascii="Palatino Linotype" w:eastAsia="Palatino Linotype" w:hAnsi="Palatino Linotype" w:cs="Palatino Linotype"/>
          <w:i/>
          <w:sz w:val="22"/>
          <w:szCs w:val="22"/>
        </w:rPr>
        <w:t xml:space="preserve"> tendrán las </w:t>
      </w:r>
      <w:r w:rsidRPr="001C5AE2">
        <w:rPr>
          <w:rFonts w:ascii="Palatino Linotype" w:eastAsia="Palatino Linotype" w:hAnsi="Palatino Linotype" w:cs="Palatino Linotype"/>
          <w:b/>
          <w:i/>
          <w:sz w:val="22"/>
          <w:szCs w:val="22"/>
        </w:rPr>
        <w:t>funciones</w:t>
      </w:r>
      <w:r w:rsidRPr="001C5AE2">
        <w:rPr>
          <w:rFonts w:ascii="Palatino Linotype" w:eastAsia="Palatino Linotype" w:hAnsi="Palatino Linotype" w:cs="Palatino Linotype"/>
          <w:i/>
          <w:sz w:val="22"/>
          <w:szCs w:val="22"/>
        </w:rPr>
        <w:t xml:space="preserve"> siguientes:</w:t>
      </w:r>
    </w:p>
    <w:p w14:paraId="6F8CD47D" w14:textId="77777777" w:rsidR="00A656A7" w:rsidRPr="001C5AE2" w:rsidRDefault="001C5AE2">
      <w:pPr>
        <w:ind w:left="992" w:right="1043"/>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lastRenderedPageBreak/>
        <w:t>V. Integrar y presentar al responsable de la Unidad de Transparencia la propuesta de clasificación de información</w:t>
      </w:r>
      <w:r w:rsidRPr="001C5AE2">
        <w:rPr>
          <w:rFonts w:ascii="Palatino Linotype" w:eastAsia="Palatino Linotype" w:hAnsi="Palatino Linotype" w:cs="Palatino Linotype"/>
          <w:i/>
          <w:sz w:val="22"/>
          <w:szCs w:val="22"/>
        </w:rPr>
        <w:t>, la cual tendrá los fundamentos y argumentos en que se basa dicha propuesta</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08C0BEB8" w14:textId="77777777" w:rsidR="00A656A7" w:rsidRPr="001C5AE2" w:rsidRDefault="00A656A7">
      <w:pPr>
        <w:ind w:left="992" w:right="1043"/>
        <w:jc w:val="both"/>
        <w:rPr>
          <w:rFonts w:ascii="Palatino Linotype" w:eastAsia="Palatino Linotype" w:hAnsi="Palatino Linotype" w:cs="Palatino Linotype"/>
          <w:i/>
          <w:sz w:val="22"/>
          <w:szCs w:val="22"/>
        </w:rPr>
      </w:pPr>
    </w:p>
    <w:p w14:paraId="65613D55"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p>
    <w:p w14:paraId="5E7AD153" w14:textId="77777777" w:rsidR="00A656A7" w:rsidRPr="001C5AE2" w:rsidRDefault="00A656A7">
      <w:pPr>
        <w:spacing w:line="360" w:lineRule="auto"/>
        <w:jc w:val="both"/>
        <w:rPr>
          <w:rFonts w:ascii="Palatino Linotype" w:eastAsia="Palatino Linotype" w:hAnsi="Palatino Linotype" w:cs="Palatino Linotype"/>
        </w:rPr>
      </w:pPr>
    </w:p>
    <w:p w14:paraId="28BD4920"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Para lo cual, a su vez en el caso de información de carácter confidencial, se debe atender a lo que señala el artículo 149 de la Ley de Transparencia Local vigente, que se lee como sigue:</w:t>
      </w:r>
    </w:p>
    <w:p w14:paraId="00AB20A7" w14:textId="77777777" w:rsidR="00A656A7" w:rsidRPr="001C5AE2" w:rsidRDefault="00A656A7">
      <w:pPr>
        <w:spacing w:line="360" w:lineRule="auto"/>
        <w:jc w:val="both"/>
        <w:rPr>
          <w:rFonts w:ascii="Palatino Linotype" w:eastAsia="Palatino Linotype" w:hAnsi="Palatino Linotype" w:cs="Palatino Linotype"/>
        </w:rPr>
      </w:pPr>
    </w:p>
    <w:p w14:paraId="401059D8" w14:textId="77777777" w:rsidR="00A656A7" w:rsidRPr="001C5AE2" w:rsidRDefault="001C5AE2">
      <w:pPr>
        <w:spacing w:after="240"/>
        <w:ind w:left="993" w:right="104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w:t>
      </w:r>
      <w:r w:rsidRPr="001C5AE2">
        <w:rPr>
          <w:rFonts w:ascii="Palatino Linotype" w:eastAsia="Palatino Linotype" w:hAnsi="Palatino Linotype" w:cs="Palatino Linotype"/>
          <w:b/>
          <w:i/>
          <w:sz w:val="22"/>
          <w:szCs w:val="22"/>
        </w:rPr>
        <w:t>Artículo 149.</w:t>
      </w:r>
      <w:r w:rsidRPr="001C5AE2">
        <w:rPr>
          <w:rFonts w:ascii="Palatino Linotype" w:eastAsia="Palatino Linotype" w:hAnsi="Palatino Linotype" w:cs="Palatino Linotype"/>
          <w:i/>
          <w:sz w:val="22"/>
          <w:szCs w:val="22"/>
        </w:rPr>
        <w:t xml:space="preserve"> El </w:t>
      </w:r>
      <w:r w:rsidRPr="001C5AE2">
        <w:rPr>
          <w:rFonts w:ascii="Palatino Linotype" w:eastAsia="Palatino Linotype" w:hAnsi="Palatino Linotype" w:cs="Palatino Linotype"/>
          <w:b/>
          <w:i/>
          <w:sz w:val="22"/>
          <w:szCs w:val="22"/>
        </w:rPr>
        <w:t>acuerdo que clasifique la información como confidencial</w:t>
      </w:r>
      <w:r w:rsidRPr="001C5AE2">
        <w:rPr>
          <w:rFonts w:ascii="Palatino Linotype" w:eastAsia="Palatino Linotype" w:hAnsi="Palatino Linotype" w:cs="Palatino Linotype"/>
          <w:i/>
          <w:sz w:val="22"/>
          <w:szCs w:val="22"/>
        </w:rPr>
        <w:t xml:space="preserve"> deberá contener un razonamiento lógico en el que demuestre que la información se encuentra en alguna o algunas de las hipótesis previstas en la presente Ley</w:t>
      </w:r>
      <w:proofErr w:type="gramStart"/>
      <w:r w:rsidRPr="001C5AE2">
        <w:rPr>
          <w:rFonts w:ascii="Palatino Linotype" w:eastAsia="Palatino Linotype" w:hAnsi="Palatino Linotype" w:cs="Palatino Linotype"/>
          <w:i/>
          <w:sz w:val="22"/>
          <w:szCs w:val="22"/>
        </w:rPr>
        <w:t>.”(</w:t>
      </w:r>
      <w:proofErr w:type="gramEnd"/>
      <w:r w:rsidRPr="001C5AE2">
        <w:rPr>
          <w:rFonts w:ascii="Palatino Linotype" w:eastAsia="Palatino Linotype" w:hAnsi="Palatino Linotype" w:cs="Palatino Linotype"/>
          <w:i/>
          <w:sz w:val="22"/>
          <w:szCs w:val="22"/>
        </w:rPr>
        <w:t>Sic)</w:t>
      </w:r>
    </w:p>
    <w:p w14:paraId="4E538FA2" w14:textId="77777777" w:rsidR="00A656A7" w:rsidRPr="001C5AE2" w:rsidRDefault="00A656A7">
      <w:pPr>
        <w:spacing w:before="240" w:line="360" w:lineRule="auto"/>
        <w:ind w:right="51"/>
        <w:jc w:val="both"/>
        <w:rPr>
          <w:rFonts w:ascii="Palatino Linotype" w:eastAsia="Palatino Linotype" w:hAnsi="Palatino Linotype" w:cs="Palatino Linotype"/>
          <w:i/>
          <w:sz w:val="22"/>
          <w:szCs w:val="22"/>
        </w:rPr>
      </w:pPr>
    </w:p>
    <w:p w14:paraId="76BA08D3" w14:textId="77777777" w:rsidR="00A656A7" w:rsidRPr="001C5AE2" w:rsidRDefault="001C5AE2">
      <w:pPr>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Es decir,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w:t>
      </w:r>
      <w:r w:rsidRPr="001C5AE2">
        <w:rPr>
          <w:rFonts w:ascii="Palatino Linotype" w:eastAsia="Palatino Linotype" w:hAnsi="Palatino Linotype" w:cs="Palatino Linotype"/>
        </w:rPr>
        <w:lastRenderedPageBreak/>
        <w:t>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14:paraId="59F171B9" w14:textId="77777777" w:rsidR="00A656A7" w:rsidRPr="001C5AE2" w:rsidRDefault="00A656A7">
      <w:pPr>
        <w:spacing w:line="360" w:lineRule="auto"/>
        <w:ind w:right="51"/>
        <w:jc w:val="both"/>
        <w:rPr>
          <w:rFonts w:ascii="Palatino Linotype" w:eastAsia="Palatino Linotype" w:hAnsi="Palatino Linotype" w:cs="Palatino Linotype"/>
        </w:rPr>
      </w:pPr>
    </w:p>
    <w:p w14:paraId="1EA4B5C7"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el caso específico, es criterio reiterado de este Instituto que además de los datos especificados en la Ley de Transparencia y Acceso a la Información Pública del Estado de México y Municipios, se consideran confidenciales y por tanto deben testarse al momento de la elaboración de versiones públicas el </w:t>
      </w:r>
      <w:r w:rsidRPr="001C5AE2">
        <w:rPr>
          <w:rFonts w:ascii="Palatino Linotype" w:eastAsia="Palatino Linotype" w:hAnsi="Palatino Linotype" w:cs="Palatino Linotype"/>
          <w:b/>
        </w:rPr>
        <w:t>Registro Federal de Contribuyentes</w:t>
      </w:r>
      <w:r w:rsidRPr="001C5AE2">
        <w:rPr>
          <w:rFonts w:ascii="Palatino Linotype" w:eastAsia="Palatino Linotype" w:hAnsi="Palatino Linotype" w:cs="Palatino Linotype"/>
        </w:rPr>
        <w:t xml:space="preserve"> (RFC), la </w:t>
      </w:r>
      <w:r w:rsidRPr="001C5AE2">
        <w:rPr>
          <w:rFonts w:ascii="Palatino Linotype" w:eastAsia="Palatino Linotype" w:hAnsi="Palatino Linotype" w:cs="Palatino Linotype"/>
          <w:b/>
        </w:rPr>
        <w:t>Clave Única de Registro de Población</w:t>
      </w:r>
      <w:r w:rsidRPr="001C5AE2">
        <w:rPr>
          <w:rFonts w:ascii="Palatino Linotype" w:eastAsia="Palatino Linotype" w:hAnsi="Palatino Linotype" w:cs="Palatino Linotype"/>
        </w:rPr>
        <w:t xml:space="preserve"> (CURP) y la </w:t>
      </w:r>
      <w:r w:rsidRPr="001C5AE2">
        <w:rPr>
          <w:rFonts w:ascii="Palatino Linotype" w:eastAsia="Palatino Linotype" w:hAnsi="Palatino Linotype" w:cs="Palatino Linotype"/>
          <w:b/>
        </w:rPr>
        <w:t>Clave de cualquier tipo de seguridad social</w:t>
      </w:r>
      <w:r w:rsidRPr="001C5AE2">
        <w:rPr>
          <w:rFonts w:ascii="Palatino Linotype" w:eastAsia="Palatino Linotype" w:hAnsi="Palatino Linotype" w:cs="Palatino Linotype"/>
        </w:rPr>
        <w:t xml:space="preserve"> (ISSEMYM, u otros), así como, los </w:t>
      </w:r>
      <w:r w:rsidRPr="001C5AE2">
        <w:rPr>
          <w:rFonts w:ascii="Palatino Linotype" w:eastAsia="Palatino Linotype" w:hAnsi="Palatino Linotype" w:cs="Palatino Linotype"/>
          <w:b/>
        </w:rPr>
        <w:t>préstamos o descuentos</w:t>
      </w:r>
      <w:r w:rsidRPr="001C5AE2">
        <w:rPr>
          <w:rFonts w:ascii="Palatino Linotype" w:eastAsia="Palatino Linotype" w:hAnsi="Palatino Linotype" w:cs="Palatino Linotype"/>
        </w:rPr>
        <w:t xml:space="preserve"> que se le hagan a la persona y que no tengan relación con los impuestos o la cuota por seguridad social, así el</w:t>
      </w:r>
      <w:r w:rsidRPr="001C5AE2">
        <w:rPr>
          <w:rFonts w:ascii="Palatino Linotype" w:eastAsia="Palatino Linotype" w:hAnsi="Palatino Linotype" w:cs="Palatino Linotype"/>
          <w:b/>
        </w:rPr>
        <w:t xml:space="preserve"> número de empleado, </w:t>
      </w:r>
      <w:r w:rsidRPr="001C5AE2">
        <w:rPr>
          <w:rFonts w:ascii="Palatino Linotype" w:eastAsia="Palatino Linotype" w:hAnsi="Palatino Linotype" w:cs="Palatino Linotype"/>
        </w:rPr>
        <w:t xml:space="preserve">así como de ser el caso, el </w:t>
      </w:r>
      <w:r w:rsidRPr="001C5AE2">
        <w:rPr>
          <w:rFonts w:ascii="Palatino Linotype" w:eastAsia="Palatino Linotype" w:hAnsi="Palatino Linotype" w:cs="Palatino Linotype"/>
          <w:b/>
        </w:rPr>
        <w:t>folio fiscal</w:t>
      </w:r>
      <w:r w:rsidRPr="001C5AE2">
        <w:rPr>
          <w:rFonts w:ascii="Palatino Linotype" w:eastAsia="Palatino Linotype" w:hAnsi="Palatino Linotype" w:cs="Palatino Linotype"/>
        </w:rPr>
        <w:t xml:space="preserve">, la  </w:t>
      </w:r>
      <w:r w:rsidRPr="001C5AE2">
        <w:rPr>
          <w:rFonts w:ascii="Palatino Linotype" w:eastAsia="Palatino Linotype" w:hAnsi="Palatino Linotype" w:cs="Palatino Linotype"/>
          <w:b/>
        </w:rPr>
        <w:t xml:space="preserve">cadena original, </w:t>
      </w:r>
      <w:r w:rsidRPr="001C5AE2">
        <w:rPr>
          <w:rFonts w:ascii="Palatino Linotype" w:eastAsia="Palatino Linotype" w:hAnsi="Palatino Linotype" w:cs="Palatino Linotype"/>
        </w:rPr>
        <w:t>los</w:t>
      </w:r>
      <w:r w:rsidRPr="001C5AE2">
        <w:rPr>
          <w:rFonts w:ascii="Palatino Linotype" w:eastAsia="Palatino Linotype" w:hAnsi="Palatino Linotype" w:cs="Palatino Linotype"/>
          <w:b/>
        </w:rPr>
        <w:t xml:space="preserve"> códigos bidimensionales o códigos QR,</w:t>
      </w:r>
      <w:r w:rsidRPr="001C5AE2">
        <w:rPr>
          <w:rFonts w:ascii="Palatino Linotype" w:eastAsia="Palatino Linotype" w:hAnsi="Palatino Linotype" w:cs="Palatino Linotype"/>
        </w:rPr>
        <w:t xml:space="preserve"> y cualquier información de carácter fiscal, bajo las siguientes consideraciones. </w:t>
      </w:r>
    </w:p>
    <w:p w14:paraId="2FDE5887" w14:textId="77777777" w:rsidR="00A656A7" w:rsidRPr="001C5AE2" w:rsidRDefault="001C5AE2">
      <w:pPr>
        <w:spacing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En cuanto al RFC, este constituye un dato personal, ya que para su obtención es necesario acreditar ante la autoridad fiscal previamente la identidad de la persona, su fecha de nacimiento, entre otros aspectos.</w:t>
      </w:r>
    </w:p>
    <w:p w14:paraId="7FF70696"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Ahora bien, las personas físicas tramitan su inscripción en el registro con el propósito de realizar —mediante esa clave de identificación— operaciones o </w:t>
      </w:r>
      <w:r w:rsidRPr="001C5AE2">
        <w:rPr>
          <w:rFonts w:ascii="Palatino Linotype" w:eastAsia="Palatino Linotype" w:hAnsi="Palatino Linotype" w:cs="Palatino Linotype"/>
        </w:rPr>
        <w:lastRenderedPageBreak/>
        <w:t>actividades de naturaleza fiscal, la cual, les permite hacerse identificables respecto de una situación fiscal determinada.</w:t>
      </w:r>
    </w:p>
    <w:p w14:paraId="42C496A3"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Lo anterior es compartido por el Instituto Nacional de Transparencia, Acceso a la Información y Protección de Datos (INAI) a través del Criterio 19/17, el cual es del tenor literal siguiente:</w:t>
      </w:r>
    </w:p>
    <w:p w14:paraId="0AD3C5A8" w14:textId="77777777" w:rsidR="00A656A7" w:rsidRPr="001C5AE2" w:rsidRDefault="001C5AE2">
      <w:pPr>
        <w:spacing w:after="120"/>
        <w:ind w:left="851" w:right="902"/>
        <w:jc w:val="both"/>
        <w:rPr>
          <w:rFonts w:ascii="Arial" w:eastAsia="Arial" w:hAnsi="Arial" w:cs="Arial"/>
        </w:rPr>
      </w:pPr>
      <w:r w:rsidRPr="001C5AE2">
        <w:rPr>
          <w:rFonts w:ascii="Palatino Linotype" w:eastAsia="Palatino Linotype" w:hAnsi="Palatino Linotype" w:cs="Palatino Linotype"/>
          <w:b/>
          <w:i/>
          <w:sz w:val="20"/>
          <w:szCs w:val="20"/>
        </w:rPr>
        <w:t xml:space="preserve">“Registro Federal de Contribuyentes (RFC) de personas físicas. </w:t>
      </w:r>
      <w:r w:rsidRPr="001C5AE2">
        <w:rPr>
          <w:rFonts w:ascii="Palatino Linotype" w:eastAsia="Palatino Linotype" w:hAnsi="Palatino Linotype" w:cs="Palatino Linotype"/>
          <w:i/>
          <w:sz w:val="20"/>
          <w:szCs w:val="20"/>
        </w:rPr>
        <w:t>El RFC es una clave de carácter fiscal, única e irrepetible, que permite identificar al titular, su edad y fecha de nacimiento, por lo que es un dato personal de carácter confidencial.” (Sic)</w:t>
      </w:r>
    </w:p>
    <w:p w14:paraId="79527AB8"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Así, el RFC se vincula al nombre de su titular y permite identificar la edad de la persona, su fecha de nacimiento, así como su </w:t>
      </w:r>
      <w:proofErr w:type="spellStart"/>
      <w:r w:rsidRPr="001C5AE2">
        <w:rPr>
          <w:rFonts w:ascii="Palatino Linotype" w:eastAsia="Palatino Linotype" w:hAnsi="Palatino Linotype" w:cs="Palatino Linotype"/>
        </w:rPr>
        <w:t>homoclave</w:t>
      </w:r>
      <w:proofErr w:type="spellEnd"/>
      <w:r w:rsidRPr="001C5AE2">
        <w:rPr>
          <w:rFonts w:ascii="Palatino Linotype" w:eastAsia="Palatino Linotype" w:hAnsi="Palatino Linotype" w:cs="Palatino Linotype"/>
        </w:rPr>
        <w:t>, la cual es única e irrepetible y determina la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14:paraId="6C3AE9FD"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En cuanto al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2B2F8692"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Argumento que es compartido por el Instituto Nacional de Transparencia, Acceso a la Información y Protección de Datos (INAI)</w:t>
      </w:r>
      <w:r w:rsidRPr="001C5AE2">
        <w:rPr>
          <w:rFonts w:ascii="Palatino Linotype" w:eastAsia="Palatino Linotype" w:hAnsi="Palatino Linotype" w:cs="Palatino Linotype"/>
          <w:b/>
        </w:rPr>
        <w:t xml:space="preserve">, conforme al </w:t>
      </w:r>
      <w:r w:rsidRPr="001C5AE2">
        <w:rPr>
          <w:rFonts w:ascii="Palatino Linotype" w:eastAsia="Palatino Linotype" w:hAnsi="Palatino Linotype" w:cs="Palatino Linotype"/>
        </w:rPr>
        <w:t xml:space="preserve">criterio número 18/17, el cual refiere: </w:t>
      </w:r>
    </w:p>
    <w:p w14:paraId="594A6C06" w14:textId="77777777" w:rsidR="00A656A7" w:rsidRPr="001C5AE2" w:rsidRDefault="001C5AE2">
      <w:pPr>
        <w:pBdr>
          <w:top w:val="nil"/>
          <w:left w:val="nil"/>
          <w:bottom w:val="nil"/>
          <w:right w:val="nil"/>
          <w:between w:val="nil"/>
        </w:pBdr>
        <w:spacing w:after="120"/>
        <w:ind w:left="851" w:right="902"/>
        <w:jc w:val="both"/>
        <w:rPr>
          <w:rFonts w:ascii="Arial" w:eastAsia="Arial" w:hAnsi="Arial" w:cs="Arial"/>
          <w:b/>
        </w:rPr>
      </w:pPr>
      <w:r w:rsidRPr="001C5AE2">
        <w:rPr>
          <w:rFonts w:ascii="Palatino Linotype" w:eastAsia="Palatino Linotype" w:hAnsi="Palatino Linotype" w:cs="Palatino Linotype"/>
          <w:b/>
          <w:i/>
          <w:sz w:val="20"/>
          <w:szCs w:val="20"/>
        </w:rPr>
        <w:lastRenderedPageBreak/>
        <w:t xml:space="preserve">“Clave Única de Registro de Población (CURP). </w:t>
      </w:r>
      <w:r w:rsidRPr="001C5AE2">
        <w:rPr>
          <w:rFonts w:ascii="Palatino Linotype" w:eastAsia="Palatino Linotype" w:hAnsi="Palatino Linotype" w:cs="Palatino Linotype"/>
          <w:i/>
          <w:sz w:val="20"/>
          <w:szCs w:val="20"/>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171F0BFB"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Por otra parte y respecto a la clave de seguridad social y en su caso clave o número del servidor público –trabajador-, en virtud de que su divulgación no aporta a la transparencia o a la rendición de cuentas y sí provoca una transgresión a la vida privada e intimidad de la persona, esta información también resulta ser de carácter confidencial; siendo aplicable como orientador el criterio número 15/10 emitido por el entonces Instituto Federal de Transparencia y Acceso a la Información (INAI, cuyo texto y sentido literal es el siguiente:</w:t>
      </w:r>
    </w:p>
    <w:p w14:paraId="1D1B61F2" w14:textId="77777777" w:rsidR="00A656A7" w:rsidRPr="001C5AE2" w:rsidRDefault="001C5AE2">
      <w:pPr>
        <w:spacing w:before="240" w:after="240"/>
        <w:ind w:left="567" w:right="900"/>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“El número de ficha de identificación única de los trabajadores es información de carácter confidencial.</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i/>
          <w:sz w:val="22"/>
          <w:szCs w:val="22"/>
          <w:u w:val="single"/>
        </w:rPr>
        <w:t>En los casos en que el número de trabajador o ficha de identificación única constituya un elemento por medio del cual los trabajadores puedan acceder a un sistema de datos o información de la dependencia o entidad, para hacer uso de diversos servicios, como la presentación de consultas relacionadas con su situación laboral particular</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i/>
          <w:sz w:val="22"/>
          <w:szCs w:val="22"/>
          <w:u w:val="single"/>
        </w:rPr>
        <w:t>dicha información es susceptible de clasificarse con el carácter de confidencial</w:t>
      </w:r>
      <w:r w:rsidRPr="001C5AE2">
        <w:rPr>
          <w:rFonts w:ascii="Palatino Linotype" w:eastAsia="Palatino Linotype" w:hAnsi="Palatino Linotype" w:cs="Palatino Linotype"/>
          <w:i/>
          <w:sz w:val="22"/>
          <w:szCs w:val="22"/>
        </w:rPr>
        <w:t>, en términos de lo establecido en el artículo 18, fracción II de la Ley Federal de Transparencia y Acceso a la Información Pública Gubernamental, en virtud de que a través de la misma es posible conocer información personal de su titular.” (Sic)</w:t>
      </w:r>
    </w:p>
    <w:p w14:paraId="3E893883"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Respecto de los </w:t>
      </w:r>
      <w:r w:rsidRPr="001C5AE2">
        <w:rPr>
          <w:rFonts w:ascii="Palatino Linotype" w:eastAsia="Palatino Linotype" w:hAnsi="Palatino Linotype" w:cs="Palatino Linotype"/>
          <w:b/>
        </w:rPr>
        <w:t>préstamos o descuentos</w:t>
      </w:r>
      <w:r w:rsidRPr="001C5AE2">
        <w:rPr>
          <w:rFonts w:ascii="Palatino Linotype" w:eastAsia="Palatino Linotype" w:hAnsi="Palatino Linotype" w:cs="Palatino Linotype"/>
        </w:rPr>
        <w:t xml:space="preserve"> </w:t>
      </w:r>
      <w:r w:rsidRPr="001C5AE2">
        <w:rPr>
          <w:rFonts w:ascii="Palatino Linotype" w:eastAsia="Palatino Linotype" w:hAnsi="Palatino Linotype" w:cs="Palatino Linotype"/>
          <w:b/>
        </w:rPr>
        <w:t>de carácter personal</w:t>
      </w:r>
      <w:r w:rsidRPr="001C5AE2">
        <w:rPr>
          <w:rFonts w:ascii="Palatino Linotype" w:eastAsia="Palatino Linotype" w:hAnsi="Palatino Linotype" w:cs="Palatino Linotype"/>
        </w:rPr>
        <w:t xml:space="preserve">, éstos no deben tener relación con la prestación del servicio; es decir, son confidenciales los préstamos o descuentos que se le hagan a la persona en los que no se involucren instituciones públicas, en virtud de no favorecer en la transparencia y rendición de cuentas, sino, </w:t>
      </w:r>
      <w:r w:rsidRPr="001C5AE2">
        <w:rPr>
          <w:rFonts w:ascii="Palatino Linotype" w:eastAsia="Palatino Linotype" w:hAnsi="Palatino Linotype" w:cs="Palatino Linotype"/>
        </w:rPr>
        <w:lastRenderedPageBreak/>
        <w:t>por el contrario, con ello se violentaría la protección de información confidencial, porque incide en la intimidad de un individuo identificado.</w:t>
      </w:r>
    </w:p>
    <w:p w14:paraId="3149CAE3"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1C5AE2">
        <w:rPr>
          <w:rFonts w:ascii="Palatino Linotype" w:eastAsia="Palatino Linotype" w:hAnsi="Palatino Linotype" w:cs="Palatino Linotype"/>
          <w:sz w:val="22"/>
          <w:szCs w:val="22"/>
        </w:rPr>
        <w:t>Por cuanto hace a las deducciones, para entender los límites y alcances de esta restricción, es oportuno recurrir al artículo 84 de la Ley del Trabajo de los Servidores Públicos del Estado y Municipios:</w:t>
      </w:r>
    </w:p>
    <w:p w14:paraId="76F9435F" w14:textId="77777777" w:rsidR="00A656A7" w:rsidRPr="001C5AE2" w:rsidRDefault="001C5AE2">
      <w:pPr>
        <w:ind w:left="851" w:right="851"/>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 xml:space="preserve">“ARTÍCULO 84. </w:t>
      </w:r>
      <w:r w:rsidRPr="001C5AE2">
        <w:rPr>
          <w:rFonts w:ascii="Palatino Linotype" w:eastAsia="Palatino Linotype" w:hAnsi="Palatino Linotype" w:cs="Palatino Linotype"/>
          <w:i/>
          <w:sz w:val="22"/>
          <w:szCs w:val="22"/>
        </w:rPr>
        <w:t>Sólo podrán hacerse retenciones, descuentos o deducciones al sueldo de los servidores públicos por concepto de:</w:t>
      </w:r>
    </w:p>
    <w:p w14:paraId="539A9CB4"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 Gravámenes fiscales relacionados con el sueldo;</w:t>
      </w:r>
    </w:p>
    <w:p w14:paraId="6D7A95B5" w14:textId="77777777" w:rsidR="00A656A7" w:rsidRPr="001C5AE2" w:rsidRDefault="001C5AE2">
      <w:pPr>
        <w:ind w:left="851" w:right="851"/>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II. Deudas contraídas con las instituciones públicas o dependencias por concepto de anticipos de sueldo, pagos hechos con exceso, errores o pérdidas debidamente comprobados;</w:t>
      </w:r>
    </w:p>
    <w:p w14:paraId="12CE2550"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Cuotas sindicales;</w:t>
      </w:r>
    </w:p>
    <w:p w14:paraId="097A188D"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2C0C8C53"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V. Descuentos ordenados por el Instituto de Seguridad Social del Estado de México y Municipios, con motivo de cuotas y obligaciones contraídas con éste por los servidores públicos;</w:t>
      </w:r>
    </w:p>
    <w:p w14:paraId="78702158"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VI. Obligaciones a cargo del servidor público con las que haya consentido, derivadas de la adquisición o del uso de habitaciones consideradas como de interés social;</w:t>
      </w:r>
    </w:p>
    <w:p w14:paraId="00BC1AF8"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VII. Faltas de puntualidad o de asistencia injustificadas;</w:t>
      </w:r>
    </w:p>
    <w:p w14:paraId="4B634215" w14:textId="77777777" w:rsidR="00A656A7" w:rsidRPr="001C5AE2" w:rsidRDefault="001C5AE2">
      <w:pPr>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VIII. Pensiones alimenticias ordenadas por la autoridad judicial;</w:t>
      </w:r>
      <w:r w:rsidRPr="001C5AE2">
        <w:rPr>
          <w:rFonts w:ascii="Palatino Linotype" w:eastAsia="Palatino Linotype" w:hAnsi="Palatino Linotype" w:cs="Palatino Linotype"/>
          <w:i/>
          <w:sz w:val="22"/>
          <w:szCs w:val="22"/>
        </w:rPr>
        <w:t xml:space="preserve"> o</w:t>
      </w:r>
    </w:p>
    <w:p w14:paraId="39EAFCFE" w14:textId="77777777" w:rsidR="00A656A7" w:rsidRPr="001C5AE2" w:rsidRDefault="001C5AE2">
      <w:pPr>
        <w:ind w:left="851" w:right="851"/>
        <w:jc w:val="both"/>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IX. Cualquier otro convenido con instituciones de servicios y aceptado por el servidor público.</w:t>
      </w:r>
    </w:p>
    <w:p w14:paraId="06F867A8" w14:textId="77777777" w:rsidR="00A656A7" w:rsidRPr="001C5AE2" w:rsidRDefault="001C5AE2">
      <w:pPr>
        <w:spacing w:after="120"/>
        <w:ind w:left="851" w:right="8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 (Sic)</w:t>
      </w:r>
    </w:p>
    <w:p w14:paraId="02AD412C"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lastRenderedPageBreak/>
        <w:t>Como se puede observar, la Ley del Trabajo de mérito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que no se relacionen con el gasto público, son información que debe clasificarse como confidencial.</w:t>
      </w:r>
    </w:p>
    <w:p w14:paraId="4BA9DDBF" w14:textId="77777777" w:rsidR="00A656A7" w:rsidRPr="001C5AE2" w:rsidRDefault="001C5AE2">
      <w:p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En conclusión, los préstamos o descuentos de carácter personal, en virtud de no tener relación con la prestación del servicio y al no involucrar instituciones públicas, se consideran datos confidenciales.</w:t>
      </w:r>
    </w:p>
    <w:p w14:paraId="4EACBB09"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De la información fiscal</w:t>
      </w:r>
      <w:r w:rsidRPr="001C5AE2">
        <w:rPr>
          <w:rFonts w:ascii="Palatino Linotype" w:eastAsia="Palatino Linotype" w:hAnsi="Palatino Linotype" w:cs="Palatino Linotype"/>
        </w:rPr>
        <w:t xml:space="preserve">: </w:t>
      </w:r>
    </w:p>
    <w:p w14:paraId="53902029"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La </w:t>
      </w:r>
      <w:r w:rsidRPr="001C5AE2">
        <w:rPr>
          <w:rFonts w:ascii="Palatino Linotype" w:eastAsia="Palatino Linotype" w:hAnsi="Palatino Linotype" w:cs="Palatino Linotype"/>
          <w:b/>
        </w:rPr>
        <w:t>Cadena Original</w:t>
      </w:r>
      <w:r w:rsidRPr="001C5AE2">
        <w:rPr>
          <w:rFonts w:ascii="Palatino Linotype" w:eastAsia="Palatino Linotype" w:hAnsi="Palatino Linotype" w:cs="Palatino Linotype"/>
        </w:rPr>
        <w:t xml:space="preserve"> es la secuencia de datos formada con la información contenida dentro de los comprobantes fiscales, entre los que podría encontrarse de manera enunciativa, más no limitativa, el RFC del receptor, es decir del servidor público. En dicho supuesto, la cadena original constituiría información que únicamente atañe al contribuyente, siendo tarea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analizar dicha circunstancia con la finalidad de proteger, de ser el caso, la información a través de su clasificación por actualizarse el supuesto de confidencialidad.</w:t>
      </w:r>
    </w:p>
    <w:p w14:paraId="5B2EA134"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Los </w:t>
      </w:r>
      <w:r w:rsidRPr="001C5AE2">
        <w:rPr>
          <w:rFonts w:ascii="Palatino Linotype" w:eastAsia="Palatino Linotype" w:hAnsi="Palatino Linotype" w:cs="Palatino Linotype"/>
          <w:b/>
        </w:rPr>
        <w:t>códigos bidimensionales</w:t>
      </w:r>
      <w:r w:rsidRPr="001C5AE2">
        <w:rPr>
          <w:rFonts w:ascii="Palatino Linotype" w:eastAsia="Palatino Linotype" w:hAnsi="Palatino Linotype" w:cs="Palatino Linotype"/>
        </w:rPr>
        <w:t xml:space="preserve"> o </w:t>
      </w:r>
      <w:r w:rsidRPr="001C5AE2">
        <w:rPr>
          <w:rFonts w:ascii="Palatino Linotype" w:eastAsia="Palatino Linotype" w:hAnsi="Palatino Linotype" w:cs="Palatino Linotype"/>
          <w:b/>
        </w:rPr>
        <w:t xml:space="preserve">códigos QR, </w:t>
      </w:r>
      <w:r w:rsidRPr="001C5AE2">
        <w:rPr>
          <w:rFonts w:ascii="Palatino Linotype" w:eastAsia="Palatino Linotype" w:hAnsi="Palatino Linotype" w:cs="Palatino Linotype"/>
        </w:rPr>
        <w:t xml:space="preserve">al corresponder a barras en dos dimensiones que, al igual que los códigos de barras o códigos unidimensionales, son utilizados para almacenar diversos tipos de datos de manera codificada, los cuales a través de lectores que pueden ser obtenidos por cualquier persona, pueden </w:t>
      </w:r>
      <w:r w:rsidRPr="001C5AE2">
        <w:rPr>
          <w:rFonts w:ascii="Palatino Linotype" w:eastAsia="Palatino Linotype" w:hAnsi="Palatino Linotype" w:cs="Palatino Linotype"/>
        </w:rPr>
        <w:lastRenderedPageBreak/>
        <w:t xml:space="preserve">contener datos personales, no susceptibles de conocimiento público, debiendo el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analizar dicha circunstancia con la finalidad de determinar si se actualiza algún supuesto de confidencialidad.</w:t>
      </w:r>
    </w:p>
    <w:p w14:paraId="26EB3FB4"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En tal sentido, si derivado del análisis efectuado por </w:t>
      </w:r>
      <w:r w:rsidRPr="001C5AE2">
        <w:rPr>
          <w:rFonts w:ascii="Palatino Linotype" w:eastAsia="Palatino Linotype" w:hAnsi="Palatino Linotype" w:cs="Palatino Linotype"/>
          <w:b/>
        </w:rPr>
        <w:t xml:space="preserve">Sujeto Obligado </w:t>
      </w:r>
      <w:r w:rsidRPr="001C5AE2">
        <w:rPr>
          <w:rFonts w:ascii="Palatino Linotype" w:eastAsia="Palatino Linotype" w:hAnsi="Palatino Linotype" w:cs="Palatino Linotype"/>
        </w:rPr>
        <w:t>en el presente caso, se desprende que, de la información fiscal contenida en los comprobantes fiscales digitales por internet, tales como cadenas, sellos digitales y/o códigos bidimensionales, se pueden obtener datos personales como el Registro Federal de Contribuyentes, la Clave Única del Registro de Población, entre otros no susceptibles de conocimiento público que, de difundirse, pudieran hacer identificable a una persona, deberá clasificarla como confidencial, de manera fundada y motivada en términos del artículo 143, fracción I de la Ley de Transparencia y Acceso a la Información Pública del Estado de México y Municipios.</w:t>
      </w:r>
    </w:p>
    <w:p w14:paraId="29F7A0E0"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Al respecto, se destaca que la versión pública que elabore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RPr="001C5AE2">
        <w:rPr>
          <w:rFonts w:ascii="Palatino Linotype" w:eastAsia="Palatino Linotype" w:hAnsi="Palatino Linotype" w:cs="Palatino Linotype"/>
          <w:b/>
        </w:rPr>
        <w:t>LINEAMIENTOS GENERALES EN MATERIA DE CLASIFICACIÓN Y DESCLASIFICACIÓN DE LA INFORMACIÓN, ASÍ COMO PARA LA ELABORACIÓN DE VERSIONES PÚBLICAS</w:t>
      </w:r>
      <w:r w:rsidRPr="001C5AE2">
        <w:rPr>
          <w:rFonts w:ascii="Palatino Linotype" w:eastAsia="Palatino Linotype" w:hAnsi="Palatino Linotype" w:cs="Palatino Linotype"/>
        </w:rPr>
        <w:t xml:space="preserve">, publicados en el Diario Oficial de </w:t>
      </w:r>
      <w:r w:rsidRPr="001C5AE2">
        <w:rPr>
          <w:rFonts w:ascii="Palatino Linotype" w:eastAsia="Palatino Linotype" w:hAnsi="Palatino Linotype" w:cs="Palatino Linotype"/>
        </w:rPr>
        <w:lastRenderedPageBreak/>
        <w:t>la Federación en fecha dieciocho de noviembre del año dos mil veintidós, mediante Acuerdo del Consejo Nacional del Sistema Nacional de Transparencia, Acceso a la Información Pública y Protección de Datos Personales, que literalmente expresan:</w:t>
      </w:r>
    </w:p>
    <w:p w14:paraId="1BE38BF7" w14:textId="77777777" w:rsidR="00A656A7" w:rsidRPr="001C5AE2" w:rsidRDefault="00A656A7">
      <w:pPr>
        <w:ind w:left="709" w:right="709"/>
        <w:jc w:val="both"/>
        <w:rPr>
          <w:rFonts w:ascii="Palatino Linotype" w:eastAsia="Palatino Linotype" w:hAnsi="Palatino Linotype" w:cs="Palatino Linotype"/>
          <w:b/>
          <w:i/>
          <w:sz w:val="22"/>
          <w:szCs w:val="22"/>
        </w:rPr>
      </w:pPr>
    </w:p>
    <w:p w14:paraId="037D4D5D"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790D98F6"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w:t>
      </w:r>
      <w:proofErr w:type="gramStart"/>
      <w:r w:rsidRPr="001C5AE2">
        <w:rPr>
          <w:rFonts w:ascii="Palatino Linotype" w:eastAsia="Palatino Linotype" w:hAnsi="Palatino Linotype" w:cs="Palatino Linotype"/>
          <w:b/>
          <w:i/>
          <w:sz w:val="22"/>
          <w:szCs w:val="22"/>
        </w:rPr>
        <w:t>Segundo.-</w:t>
      </w:r>
      <w:proofErr w:type="gramEnd"/>
      <w:r w:rsidRPr="001C5AE2">
        <w:rPr>
          <w:rFonts w:ascii="Palatino Linotype" w:eastAsia="Palatino Linotype" w:hAnsi="Palatino Linotype" w:cs="Palatino Linotype"/>
          <w:i/>
          <w:sz w:val="22"/>
          <w:szCs w:val="22"/>
        </w:rPr>
        <w:t xml:space="preserve"> Para efectos de los presentes Lineamientos Generales, se entenderá por:</w:t>
      </w:r>
    </w:p>
    <w:p w14:paraId="19B20DB4"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XVIII.</w:t>
      </w:r>
      <w:r w:rsidRPr="001C5AE2">
        <w:rPr>
          <w:rFonts w:ascii="Palatino Linotype" w:eastAsia="Palatino Linotype" w:hAnsi="Palatino Linotype" w:cs="Palatino Linotype"/>
          <w:i/>
          <w:sz w:val="22"/>
          <w:szCs w:val="22"/>
        </w:rPr>
        <w:t xml:space="preserve"> </w:t>
      </w:r>
      <w:r w:rsidRPr="001C5AE2">
        <w:rPr>
          <w:rFonts w:ascii="Palatino Linotype" w:eastAsia="Palatino Linotype" w:hAnsi="Palatino Linotype" w:cs="Palatino Linotype"/>
          <w:b/>
          <w:i/>
          <w:sz w:val="22"/>
          <w:szCs w:val="22"/>
        </w:rPr>
        <w:t>Versión pública:</w:t>
      </w:r>
      <w:r w:rsidRPr="001C5AE2">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w:t>
      </w:r>
      <w:r w:rsidRPr="001C5AE2">
        <w:rPr>
          <w:rFonts w:ascii="Palatino Linotype" w:eastAsia="Palatino Linotype" w:hAnsi="Palatino Linotype" w:cs="Palatino Linotype"/>
          <w:b/>
          <w:i/>
          <w:sz w:val="22"/>
          <w:szCs w:val="22"/>
          <w:u w:val="single"/>
        </w:rPr>
        <w:t>fundando y motivando la</w:t>
      </w:r>
      <w:r w:rsidRPr="001C5AE2">
        <w:rPr>
          <w:rFonts w:ascii="Palatino Linotype" w:eastAsia="Palatino Linotype" w:hAnsi="Palatino Linotype" w:cs="Palatino Linotype"/>
          <w:i/>
          <w:sz w:val="22"/>
          <w:szCs w:val="22"/>
        </w:rPr>
        <w:t xml:space="preserve"> reserva o </w:t>
      </w:r>
      <w:r w:rsidRPr="001C5AE2">
        <w:rPr>
          <w:rFonts w:ascii="Palatino Linotype" w:eastAsia="Palatino Linotype" w:hAnsi="Palatino Linotype" w:cs="Palatino Linotype"/>
          <w:b/>
          <w:i/>
          <w:sz w:val="22"/>
          <w:szCs w:val="22"/>
          <w:u w:val="single"/>
        </w:rPr>
        <w:t>confidencialidad</w:t>
      </w:r>
      <w:r w:rsidRPr="001C5AE2">
        <w:rPr>
          <w:rFonts w:ascii="Palatino Linotype" w:eastAsia="Palatino Linotype" w:hAnsi="Palatino Linotype" w:cs="Palatino Linotype"/>
          <w:i/>
          <w:sz w:val="22"/>
          <w:szCs w:val="22"/>
        </w:rPr>
        <w:t>, a través de la resolución que para tal efecto emita el Comité de Transparencia.</w:t>
      </w:r>
    </w:p>
    <w:p w14:paraId="5EC48170"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Cuarto.</w:t>
      </w:r>
      <w:r w:rsidRPr="001C5AE2">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33A697BB"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1917A5F2"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Quinto.</w:t>
      </w:r>
      <w:r w:rsidRPr="001C5AE2">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3B45F38E"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w:t>
      </w:r>
    </w:p>
    <w:p w14:paraId="059D62BC"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Séptimo.</w:t>
      </w:r>
      <w:r w:rsidRPr="001C5AE2">
        <w:rPr>
          <w:rFonts w:ascii="Palatino Linotype" w:eastAsia="Palatino Linotype" w:hAnsi="Palatino Linotype" w:cs="Palatino Linotype"/>
          <w:i/>
          <w:sz w:val="22"/>
          <w:szCs w:val="22"/>
        </w:rPr>
        <w:t xml:space="preserve"> La clasificación de la información se llevará a cabo en el momento en que:</w:t>
      </w:r>
    </w:p>
    <w:p w14:paraId="01E1791A"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I.</w:t>
      </w:r>
      <w:r w:rsidRPr="001C5AE2">
        <w:rPr>
          <w:rFonts w:ascii="Palatino Linotype" w:eastAsia="Palatino Linotype" w:hAnsi="Palatino Linotype" w:cs="Palatino Linotype"/>
          <w:i/>
          <w:sz w:val="22"/>
          <w:szCs w:val="22"/>
        </w:rPr>
        <w:t xml:space="preserve"> Se reciba una solicitud de acceso a la información;</w:t>
      </w:r>
    </w:p>
    <w:p w14:paraId="41EF93C4" w14:textId="77777777" w:rsidR="00A656A7" w:rsidRPr="001C5AE2" w:rsidRDefault="001C5A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II.</w:t>
      </w:r>
      <w:r w:rsidRPr="001C5AE2">
        <w:rPr>
          <w:rFonts w:ascii="Palatino Linotype" w:eastAsia="Palatino Linotype" w:hAnsi="Palatino Linotype" w:cs="Palatino Linotype"/>
          <w:i/>
          <w:sz w:val="22"/>
          <w:szCs w:val="22"/>
        </w:rPr>
        <w:t xml:space="preserve"> </w:t>
      </w:r>
      <w:proofErr w:type="gramStart"/>
      <w:r w:rsidRPr="001C5AE2">
        <w:rPr>
          <w:rFonts w:ascii="Palatino Linotype" w:eastAsia="Palatino Linotype" w:hAnsi="Palatino Linotype" w:cs="Palatino Linotype"/>
          <w:i/>
          <w:sz w:val="22"/>
          <w:szCs w:val="22"/>
        </w:rPr>
        <w:t>Se  determine</w:t>
      </w:r>
      <w:proofErr w:type="gramEnd"/>
      <w:r w:rsidRPr="001C5AE2">
        <w:rPr>
          <w:rFonts w:ascii="Palatino Linotype" w:eastAsia="Palatino Linotype" w:hAnsi="Palatino Linotype" w:cs="Palatino Linotype"/>
          <w:i/>
          <w:sz w:val="22"/>
          <w:szCs w:val="22"/>
        </w:rPr>
        <w:t xml:space="preserve"> mediante resolución del Comité de Transparencia, el órgano garante </w:t>
      </w:r>
    </w:p>
    <w:p w14:paraId="1F049E53"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competente, o en cumplimiento a una sentencia del Poder Judicial; o</w:t>
      </w:r>
    </w:p>
    <w:p w14:paraId="0F3A91A6"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III.</w:t>
      </w:r>
      <w:r w:rsidRPr="001C5AE2">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54F24952"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lastRenderedPageBreak/>
        <w:t>Los titulares de las áreas deberán revisar la clasificación al momento de la recepción de una solicitud de acceso a la información, para verificar si encuadra en una causal de reserva o de confidencialidad.</w:t>
      </w:r>
    </w:p>
    <w:p w14:paraId="6DF3BB95"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Octavo.</w:t>
      </w:r>
      <w:r w:rsidRPr="001C5AE2">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703971"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E5876B1" w14:textId="77777777" w:rsidR="00A656A7" w:rsidRPr="001C5AE2" w:rsidRDefault="001C5A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14:paraId="22CE71EB"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Noveno.</w:t>
      </w:r>
      <w:r w:rsidRPr="001C5AE2">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64F50389"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b/>
          <w:i/>
          <w:sz w:val="22"/>
          <w:szCs w:val="22"/>
        </w:rPr>
        <w:t>Décimo.</w:t>
      </w:r>
      <w:r w:rsidRPr="001C5AE2">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p>
    <w:p w14:paraId="26957D55"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4FF5E232" w14:textId="77777777" w:rsidR="00A656A7" w:rsidRPr="001C5AE2" w:rsidRDefault="001C5AE2">
      <w:pPr>
        <w:pBdr>
          <w:top w:val="nil"/>
          <w:left w:val="nil"/>
          <w:bottom w:val="nil"/>
          <w:right w:val="nil"/>
          <w:between w:val="nil"/>
        </w:pBdr>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Décimo primero.</w:t>
      </w:r>
      <w:r w:rsidRPr="001C5AE2">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26F37A79" w14:textId="77777777" w:rsidR="00A656A7" w:rsidRPr="001C5AE2" w:rsidRDefault="00A656A7">
      <w:pPr>
        <w:pBdr>
          <w:top w:val="nil"/>
          <w:left w:val="nil"/>
          <w:bottom w:val="nil"/>
          <w:right w:val="nil"/>
          <w:between w:val="nil"/>
        </w:pBdr>
        <w:ind w:right="709"/>
        <w:jc w:val="both"/>
      </w:pPr>
    </w:p>
    <w:p w14:paraId="65AE336B" w14:textId="77777777" w:rsidR="00A656A7" w:rsidRPr="001C5AE2" w:rsidRDefault="001C5AE2">
      <w:pPr>
        <w:pBdr>
          <w:top w:val="nil"/>
          <w:left w:val="nil"/>
          <w:bottom w:val="nil"/>
          <w:right w:val="nil"/>
          <w:between w:val="nil"/>
        </w:pBdr>
        <w:ind w:left="709" w:right="709"/>
        <w:jc w:val="both"/>
      </w:pPr>
      <w:r w:rsidRPr="001C5AE2">
        <w:rPr>
          <w:rFonts w:ascii="Palatino Linotype" w:eastAsia="Palatino Linotype" w:hAnsi="Palatino Linotype" w:cs="Palatino Linotype"/>
          <w:i/>
          <w:sz w:val="22"/>
          <w:szCs w:val="22"/>
        </w:rPr>
        <w:t>[…]</w:t>
      </w:r>
    </w:p>
    <w:p w14:paraId="66F78A4D" w14:textId="77777777" w:rsidR="00A656A7" w:rsidRPr="001C5AE2" w:rsidRDefault="001C5AE2">
      <w:pPr>
        <w:pBdr>
          <w:top w:val="nil"/>
          <w:left w:val="nil"/>
          <w:bottom w:val="nil"/>
          <w:right w:val="nil"/>
          <w:between w:val="nil"/>
        </w:pBdr>
        <w:ind w:left="709" w:right="709"/>
        <w:jc w:val="center"/>
      </w:pPr>
      <w:r w:rsidRPr="001C5AE2">
        <w:rPr>
          <w:rFonts w:ascii="Palatino Linotype" w:eastAsia="Palatino Linotype" w:hAnsi="Palatino Linotype" w:cs="Palatino Linotype"/>
          <w:b/>
          <w:i/>
          <w:sz w:val="22"/>
          <w:szCs w:val="22"/>
        </w:rPr>
        <w:t>CAPÍTULO VIII</w:t>
      </w:r>
    </w:p>
    <w:p w14:paraId="4181A488" w14:textId="77777777" w:rsidR="00A656A7" w:rsidRPr="001C5AE2" w:rsidRDefault="001C5AE2">
      <w:pPr>
        <w:pBdr>
          <w:top w:val="nil"/>
          <w:left w:val="nil"/>
          <w:bottom w:val="nil"/>
          <w:right w:val="nil"/>
          <w:between w:val="nil"/>
        </w:pBdr>
        <w:spacing w:after="160"/>
        <w:ind w:left="709" w:right="709"/>
        <w:jc w:val="center"/>
        <w:rPr>
          <w:rFonts w:ascii="Palatino Linotype" w:eastAsia="Palatino Linotype" w:hAnsi="Palatino Linotype" w:cs="Palatino Linotype"/>
          <w:b/>
          <w:i/>
          <w:sz w:val="22"/>
          <w:szCs w:val="22"/>
        </w:rPr>
      </w:pPr>
      <w:r w:rsidRPr="001C5AE2">
        <w:rPr>
          <w:rFonts w:ascii="Palatino Linotype" w:eastAsia="Palatino Linotype" w:hAnsi="Palatino Linotype" w:cs="Palatino Linotype"/>
          <w:b/>
          <w:i/>
          <w:sz w:val="22"/>
          <w:szCs w:val="22"/>
        </w:rPr>
        <w:t>DE LOS ELEMENTOS PARA LA CLASIFICACIÓN</w:t>
      </w:r>
    </w:p>
    <w:p w14:paraId="2591D936"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lastRenderedPageBreak/>
        <w:t>Quincuagésimo</w:t>
      </w:r>
      <w:r w:rsidRPr="001C5AE2">
        <w:rPr>
          <w:rFonts w:ascii="Palatino Linotype" w:eastAsia="Palatino Linotype" w:hAnsi="Palatino Linotype" w:cs="Palatino Linotype"/>
          <w:i/>
          <w:sz w:val="22"/>
          <w:szCs w:val="22"/>
        </w:rPr>
        <w:t>.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14:paraId="6746C45B"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Quincuagésimo primero</w:t>
      </w:r>
      <w:r w:rsidRPr="001C5AE2">
        <w:rPr>
          <w:rFonts w:ascii="Palatino Linotype" w:eastAsia="Palatino Linotype" w:hAnsi="Palatino Linotype" w:cs="Palatino Linotype"/>
          <w:i/>
          <w:sz w:val="22"/>
          <w:szCs w:val="22"/>
        </w:rPr>
        <w:t>. Toda acta del Comité de Transparencia deberá contener:</w:t>
      </w:r>
    </w:p>
    <w:p w14:paraId="20E7CBCD"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I. El número de sesión y fecha; </w:t>
      </w:r>
    </w:p>
    <w:p w14:paraId="77822ACC"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 El nombre del área que solicitó la clasificación de información;</w:t>
      </w:r>
    </w:p>
    <w:p w14:paraId="57B0BE35"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La fundamentación legal y motivación correspondiente;</w:t>
      </w:r>
    </w:p>
    <w:p w14:paraId="327DD8E3"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IV. La resolución o resoluciones aprobadas; y</w:t>
      </w:r>
    </w:p>
    <w:p w14:paraId="20F649F1"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V. La rúbrica o firma digital de cada integrante del Comité de Transparencia. </w:t>
      </w:r>
    </w:p>
    <w:p w14:paraId="237F7559"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Las resoluciones del Comité en las que se haya determinado confirmar o modificar la clasificación de información pública como reservada, deberán incluir, cuando menos:</w:t>
      </w:r>
    </w:p>
    <w:p w14:paraId="6BC5A627"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 Los motivos y razonamientos que sustenten la confirmación o modificación de la prueba de daño;</w:t>
      </w:r>
    </w:p>
    <w:p w14:paraId="188429AB"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 Descripción de las partes o secciones reservadas, en caso de clasificación parcial;</w:t>
      </w:r>
    </w:p>
    <w:p w14:paraId="213F5692"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El periodo por el que mantendrá su clasificación y fecha de expiración; y</w:t>
      </w:r>
    </w:p>
    <w:p w14:paraId="15E8E387"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IV. El nombre del titular y área encargada de realizar la versión pública del documento, en su caso.</w:t>
      </w:r>
    </w:p>
    <w:p w14:paraId="226D6645"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59F92FB2"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47A79635"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b/>
          <w:i/>
          <w:sz w:val="22"/>
          <w:szCs w:val="22"/>
        </w:rPr>
        <w:t>Quincuagésimo segundo</w:t>
      </w:r>
      <w:r w:rsidRPr="001C5AE2">
        <w:rPr>
          <w:rFonts w:ascii="Palatino Linotype" w:eastAsia="Palatino Linotype" w:hAnsi="Palatino Linotype" w:cs="Palatino Linotype"/>
          <w:i/>
          <w:sz w:val="22"/>
          <w:szCs w:val="22"/>
        </w:rPr>
        <w:t>.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33A413B"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lastRenderedPageBreak/>
        <w:t>En el caso específico de la clasificación y elaboración de versiones públicas de documentos que contengan información confidencial, las áreas de los sujetos obligados deberán:</w:t>
      </w:r>
    </w:p>
    <w:p w14:paraId="6CE51CF8"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 Fijar la fecha en que se elaboró la versión pública y la fecha en la cual el Comité de Transparencia confirmó dicha versión;</w:t>
      </w:r>
    </w:p>
    <w:p w14:paraId="2C953A34"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73E69ADA"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III. Señalar las personas o instancias autorizadas a acceder a la información clasificada.</w:t>
      </w:r>
    </w:p>
    <w:p w14:paraId="70CFA5B6"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69153585" w14:textId="77777777" w:rsidR="00A656A7" w:rsidRPr="001C5AE2" w:rsidRDefault="001C5AE2">
      <w:pPr>
        <w:pBdr>
          <w:top w:val="nil"/>
          <w:left w:val="nil"/>
          <w:bottom w:val="nil"/>
          <w:right w:val="nil"/>
          <w:between w:val="nil"/>
        </w:pBdr>
        <w:spacing w:after="160"/>
        <w:ind w:left="709" w:right="709"/>
        <w:jc w:val="both"/>
      </w:pPr>
      <w:r w:rsidRPr="001C5AE2">
        <w:rPr>
          <w:rFonts w:ascii="Palatino Linotype" w:eastAsia="Palatino Linotype" w:hAnsi="Palatino Linotype" w:cs="Palatino Linotype"/>
          <w:b/>
          <w:i/>
          <w:sz w:val="22"/>
          <w:szCs w:val="22"/>
        </w:rPr>
        <w:t xml:space="preserve">Quincuagésimo tercero. </w:t>
      </w:r>
      <w:r w:rsidRPr="001C5AE2">
        <w:rPr>
          <w:rFonts w:ascii="Palatino Linotype" w:eastAsia="Palatino Linotype" w:hAnsi="Palatino Linotype" w:cs="Palatino Linotype"/>
          <w:b/>
          <w:i/>
          <w:sz w:val="22"/>
          <w:szCs w:val="22"/>
          <w:u w:val="single"/>
        </w:rPr>
        <w:t xml:space="preserve">El formato para señalar la clasificación de un documento o expediente que contenga información reservada, es el </w:t>
      </w:r>
      <w:proofErr w:type="gramStart"/>
      <w:r w:rsidRPr="001C5AE2">
        <w:rPr>
          <w:rFonts w:ascii="Palatino Linotype" w:eastAsia="Palatino Linotype" w:hAnsi="Palatino Linotype" w:cs="Palatino Linotype"/>
          <w:b/>
          <w:i/>
          <w:sz w:val="22"/>
          <w:szCs w:val="22"/>
          <w:u w:val="single"/>
        </w:rPr>
        <w:t>siguiente:</w:t>
      </w:r>
      <w:r w:rsidRPr="001C5AE2">
        <w:rPr>
          <w:rFonts w:ascii="Palatino Linotype" w:eastAsia="Palatino Linotype" w:hAnsi="Palatino Linotype" w:cs="Palatino Linotype"/>
          <w:i/>
          <w:sz w:val="22"/>
          <w:szCs w:val="22"/>
        </w:rPr>
        <w:t>:</w:t>
      </w:r>
      <w:proofErr w:type="gramEnd"/>
    </w:p>
    <w:tbl>
      <w:tblPr>
        <w:tblStyle w:val="a8"/>
        <w:tblW w:w="8833" w:type="dxa"/>
        <w:jc w:val="center"/>
        <w:tblInd w:w="0" w:type="dxa"/>
        <w:tblLayout w:type="fixed"/>
        <w:tblLook w:val="0400" w:firstRow="0" w:lastRow="0" w:firstColumn="0" w:lastColumn="0" w:noHBand="0" w:noVBand="1"/>
      </w:tblPr>
      <w:tblGrid>
        <w:gridCol w:w="1660"/>
        <w:gridCol w:w="1980"/>
        <w:gridCol w:w="5193"/>
      </w:tblGrid>
      <w:tr w:rsidR="001C5AE2" w:rsidRPr="001C5AE2" w14:paraId="1B6655BC" w14:textId="77777777">
        <w:trPr>
          <w:jc w:val="center"/>
        </w:trPr>
        <w:tc>
          <w:tcPr>
            <w:tcW w:w="1660" w:type="dxa"/>
            <w:tcBorders>
              <w:bottom w:val="single" w:sz="4" w:space="0" w:color="000000"/>
              <w:right w:val="single" w:sz="4" w:space="0" w:color="000000"/>
            </w:tcBorders>
            <w:tcMar>
              <w:top w:w="0" w:type="dxa"/>
              <w:left w:w="115" w:type="dxa"/>
              <w:bottom w:w="0" w:type="dxa"/>
              <w:right w:w="115" w:type="dxa"/>
            </w:tcMar>
          </w:tcPr>
          <w:p w14:paraId="6DB319A3" w14:textId="77777777" w:rsidR="00A656A7" w:rsidRPr="001C5AE2" w:rsidRDefault="00A656A7"/>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AEB78C1"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b/>
                <w:i/>
              </w:rPr>
              <w:t>Concepto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844561"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b/>
                <w:i/>
              </w:rPr>
              <w:t>Dónde:</w:t>
            </w:r>
          </w:p>
        </w:tc>
      </w:tr>
      <w:tr w:rsidR="001C5AE2" w:rsidRPr="001C5AE2" w14:paraId="27B86696" w14:textId="77777777">
        <w:trPr>
          <w:jc w:val="center"/>
        </w:trPr>
        <w:tc>
          <w:tcPr>
            <w:tcW w:w="1660" w:type="dxa"/>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FF3C951"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b/>
                <w:i/>
              </w:rPr>
              <w:t>Sello oficial o logotipo del sujeto obligado</w:t>
            </w: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67EEEDD"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Fecha de 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9E3DDF"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anotará la fecha en la que el Comité de Transparencia confirmó la clasificación del documento o expediente, en su caso.</w:t>
            </w:r>
          </w:p>
        </w:tc>
      </w:tr>
      <w:tr w:rsidR="001C5AE2" w:rsidRPr="001C5AE2" w14:paraId="576718E1"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8444269"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B49FA5"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5D4D31"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señalará el nombre del área del cual es titular quien clasifica.</w:t>
            </w:r>
          </w:p>
        </w:tc>
      </w:tr>
      <w:tr w:rsidR="001C5AE2" w:rsidRPr="001C5AE2" w14:paraId="614EB82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93265E7"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D7C138E"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Información reservada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06F0BF"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indicarán las partes o páginas del documento que se clasifican como reservadas, o, en su caso, se precisará que se ha reservado el documento o expediente en su totalidad.</w:t>
            </w:r>
          </w:p>
        </w:tc>
      </w:tr>
      <w:tr w:rsidR="001C5AE2" w:rsidRPr="001C5AE2" w14:paraId="1982D7F6"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3FAEE28"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C8F4D65"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09905DD"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anotará el número de años o meses por los que se mantendrá reservado el documento, el expediente o, en su caso, las partes o secciones reservadas.</w:t>
            </w:r>
          </w:p>
        </w:tc>
      </w:tr>
      <w:tr w:rsidR="001C5AE2" w:rsidRPr="001C5AE2" w14:paraId="676CF4E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BA3C8B1"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56FD59"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Fundamento legal</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542315F"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señalará el nombre del ordenamiento, el o los artículos, fracción(es), párrafo(s) con base en los cuales se sustente la reserva.</w:t>
            </w:r>
          </w:p>
        </w:tc>
      </w:tr>
      <w:tr w:rsidR="001C5AE2" w:rsidRPr="001C5AE2" w14:paraId="76F7FD84"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9FB671B"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CAF4AF5"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Ampliación del periodo de reserva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DB4BCF"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 xml:space="preserve">En caso de haber solicitado la ampliación del periodo de reserva originalmente establecido, se deberá </w:t>
            </w:r>
            <w:r w:rsidRPr="001C5AE2">
              <w:rPr>
                <w:rFonts w:ascii="Palatino Linotype" w:eastAsia="Palatino Linotype" w:hAnsi="Palatino Linotype" w:cs="Palatino Linotype"/>
                <w:i/>
              </w:rPr>
              <w:lastRenderedPageBreak/>
              <w:t>anotar el número de años o meses por los que se amplía la reserva.</w:t>
            </w:r>
          </w:p>
        </w:tc>
      </w:tr>
      <w:tr w:rsidR="001C5AE2" w:rsidRPr="001C5AE2" w14:paraId="0E8DBCB9"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2C5AF6F"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4E8002E"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Rúbrica del titular del área</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5BA9CC"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Rúbrica autógrafa o firma digital de quien clasifica.</w:t>
            </w:r>
          </w:p>
        </w:tc>
      </w:tr>
      <w:tr w:rsidR="001C5AE2" w:rsidRPr="001C5AE2" w14:paraId="736D6453"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E8DAEDD"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C7A5430"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Fecha de desclasificación</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BFC91AD"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Se anotará la fecha en que se desclasifica el documento.</w:t>
            </w:r>
          </w:p>
        </w:tc>
      </w:tr>
      <w:tr w:rsidR="001C5AE2" w:rsidRPr="001C5AE2" w14:paraId="53B584A2" w14:textId="77777777">
        <w:trPr>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6AEB31F" w14:textId="77777777" w:rsidR="00A656A7" w:rsidRPr="001C5AE2" w:rsidRDefault="00A656A7">
            <w:pPr>
              <w:widowControl w:val="0"/>
              <w:pBdr>
                <w:top w:val="nil"/>
                <w:left w:val="nil"/>
                <w:bottom w:val="nil"/>
                <w:right w:val="nil"/>
                <w:between w:val="nil"/>
              </w:pBdr>
              <w:spacing w:line="276" w:lineRule="auto"/>
            </w:pPr>
          </w:p>
        </w:tc>
        <w:tc>
          <w:tcPr>
            <w:tcW w:w="198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1A868D" w14:textId="77777777" w:rsidR="00A656A7" w:rsidRPr="001C5AE2" w:rsidRDefault="001C5AE2">
            <w:pPr>
              <w:pBdr>
                <w:top w:val="nil"/>
                <w:left w:val="nil"/>
                <w:bottom w:val="nil"/>
                <w:right w:val="nil"/>
                <w:between w:val="nil"/>
              </w:pBdr>
              <w:jc w:val="center"/>
            </w:pPr>
            <w:r w:rsidRPr="001C5AE2">
              <w:rPr>
                <w:rFonts w:ascii="Palatino Linotype" w:eastAsia="Palatino Linotype" w:hAnsi="Palatino Linotype" w:cs="Palatino Linotype"/>
                <w:i/>
              </w:rPr>
              <w:t>Rúbrica y cargo del servidor público</w:t>
            </w:r>
          </w:p>
        </w:tc>
        <w:tc>
          <w:tcPr>
            <w:tcW w:w="519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FA8A458" w14:textId="77777777" w:rsidR="00A656A7" w:rsidRPr="001C5AE2" w:rsidRDefault="001C5AE2">
            <w:pPr>
              <w:pBdr>
                <w:top w:val="nil"/>
                <w:left w:val="nil"/>
                <w:bottom w:val="nil"/>
                <w:right w:val="nil"/>
                <w:between w:val="nil"/>
              </w:pBdr>
              <w:jc w:val="both"/>
            </w:pPr>
            <w:r w:rsidRPr="001C5AE2">
              <w:rPr>
                <w:rFonts w:ascii="Palatino Linotype" w:eastAsia="Palatino Linotype" w:hAnsi="Palatino Linotype" w:cs="Palatino Linotype"/>
                <w:i/>
              </w:rPr>
              <w:t>Rúbrica autógrafa o firma digital de quien desclasifica.</w:t>
            </w:r>
          </w:p>
        </w:tc>
      </w:tr>
      <w:tr w:rsidR="001C5AE2" w:rsidRPr="001C5AE2" w14:paraId="30F54C24" w14:textId="77777777">
        <w:trPr>
          <w:gridAfter w:val="2"/>
          <w:wAfter w:w="7173" w:type="dxa"/>
          <w:trHeight w:val="317"/>
          <w:jc w:val="center"/>
        </w:trPr>
        <w:tc>
          <w:tcPr>
            <w:tcW w:w="1660" w:type="dxa"/>
            <w:vMerge/>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5AE0B52" w14:textId="77777777" w:rsidR="00A656A7" w:rsidRPr="001C5AE2" w:rsidRDefault="00A656A7">
            <w:pPr>
              <w:widowControl w:val="0"/>
              <w:pBdr>
                <w:top w:val="nil"/>
                <w:left w:val="nil"/>
                <w:bottom w:val="nil"/>
                <w:right w:val="nil"/>
                <w:between w:val="nil"/>
              </w:pBdr>
              <w:spacing w:line="276" w:lineRule="auto"/>
            </w:pPr>
          </w:p>
        </w:tc>
      </w:tr>
    </w:tbl>
    <w:p w14:paraId="4D76C497" w14:textId="77777777" w:rsidR="00A656A7" w:rsidRPr="001C5AE2" w:rsidRDefault="001C5AE2">
      <w:pPr>
        <w:pBdr>
          <w:top w:val="nil"/>
          <w:left w:val="nil"/>
          <w:bottom w:val="nil"/>
          <w:right w:val="nil"/>
          <w:between w:val="nil"/>
        </w:pBdr>
        <w:spacing w:after="160"/>
        <w:ind w:left="709" w:right="709"/>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6060A195" w14:textId="77777777" w:rsidR="00A656A7" w:rsidRPr="001C5AE2" w:rsidRDefault="001C5AE2">
      <w:pPr>
        <w:pBdr>
          <w:top w:val="nil"/>
          <w:left w:val="nil"/>
          <w:bottom w:val="nil"/>
          <w:right w:val="nil"/>
          <w:between w:val="nil"/>
        </w:pBdr>
        <w:spacing w:after="160"/>
        <w:ind w:left="709" w:right="709"/>
        <w:jc w:val="both"/>
      </w:pPr>
      <w:r w:rsidRPr="001C5AE2">
        <w:rPr>
          <w:rFonts w:ascii="Palatino Linotype" w:eastAsia="Palatino Linotype" w:hAnsi="Palatino Linotype" w:cs="Palatino Linotype"/>
          <w:i/>
          <w:sz w:val="22"/>
          <w:szCs w:val="22"/>
        </w:rPr>
        <w:t xml:space="preserve">Quincuagésimo quinto. Cada área del sujeto obligado podrá designar formalmente a una o más personas como responsables del </w:t>
      </w:r>
      <w:proofErr w:type="spellStart"/>
      <w:r w:rsidRPr="001C5AE2">
        <w:rPr>
          <w:rFonts w:ascii="Palatino Linotype" w:eastAsia="Palatino Linotype" w:hAnsi="Palatino Linotype" w:cs="Palatino Linotype"/>
          <w:i/>
          <w:sz w:val="22"/>
          <w:szCs w:val="22"/>
        </w:rPr>
        <w:t>testado</w:t>
      </w:r>
      <w:proofErr w:type="spellEnd"/>
      <w:r w:rsidRPr="001C5AE2">
        <w:rPr>
          <w:rFonts w:ascii="Palatino Linotype" w:eastAsia="Palatino Linotype" w:hAnsi="Palatino Linotype" w:cs="Palatino Linotype"/>
          <w:i/>
          <w:sz w:val="22"/>
          <w:szCs w:val="22"/>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(Sic)</w:t>
      </w:r>
    </w:p>
    <w:p w14:paraId="7623AAF7" w14:textId="77777777" w:rsidR="00A656A7" w:rsidRPr="001C5AE2" w:rsidRDefault="00A656A7">
      <w:pPr>
        <w:jc w:val="both"/>
      </w:pPr>
    </w:p>
    <w:p w14:paraId="5162BDC4" w14:textId="77777777" w:rsidR="00A656A7" w:rsidRPr="001C5AE2" w:rsidRDefault="00A656A7"/>
    <w:p w14:paraId="5416E1BE" w14:textId="77777777" w:rsidR="00A656A7" w:rsidRPr="001C5AE2" w:rsidRDefault="001C5AE2">
      <w:pP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Efectivamente, cuando se clasifica información como confidencial es importante someterlo al Comité de Transparencia, quien debe confirmar, modificar o revocar la clasificación.</w:t>
      </w:r>
    </w:p>
    <w:p w14:paraId="0CDF1230" w14:textId="77777777" w:rsidR="00A656A7" w:rsidRPr="001C5AE2" w:rsidRDefault="00A656A7">
      <w:pPr>
        <w:spacing w:line="360" w:lineRule="auto"/>
        <w:jc w:val="both"/>
        <w:rPr>
          <w:rFonts w:ascii="Palatino Linotype" w:eastAsia="Palatino Linotype" w:hAnsi="Palatino Linotype" w:cs="Palatino Linotype"/>
        </w:rPr>
      </w:pPr>
    </w:p>
    <w:p w14:paraId="64C97EF2" w14:textId="77777777" w:rsidR="00A656A7" w:rsidRPr="001C5AE2" w:rsidRDefault="001C5AE2">
      <w:pPr>
        <w:shd w:val="clear" w:color="auto" w:fill="FFFFFF"/>
        <w:spacing w:line="360" w:lineRule="auto"/>
        <w:ind w:right="51"/>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w:t>
      </w:r>
      <w:r w:rsidRPr="001C5AE2">
        <w:rPr>
          <w:rFonts w:ascii="Palatino Linotype" w:eastAsia="Palatino Linotype" w:hAnsi="Palatino Linotype" w:cs="Palatino Linotype"/>
        </w:rPr>
        <w:lastRenderedPageBreak/>
        <w:t xml:space="preserve">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w:t>
      </w:r>
    </w:p>
    <w:p w14:paraId="2117FD02" w14:textId="77777777" w:rsidR="00A656A7" w:rsidRPr="001C5AE2" w:rsidRDefault="001C5AE2">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14:paraId="3051E934" w14:textId="77777777" w:rsidR="00A656A7" w:rsidRPr="001C5AE2" w:rsidRDefault="001C5AE2">
      <w:p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C5AE2">
        <w:rPr>
          <w:rFonts w:ascii="Palatino Linotype" w:eastAsia="Palatino Linotype" w:hAnsi="Palatino Linotype" w:cs="Palatino Linotype"/>
          <w:b/>
        </w:rPr>
        <w:t>III. R E S U E L V E:</w:t>
      </w:r>
    </w:p>
    <w:p w14:paraId="516C4190" w14:textId="77777777" w:rsidR="00A656A7" w:rsidRPr="001C5AE2" w:rsidRDefault="001C5AE2">
      <w:pPr>
        <w:spacing w:before="240" w:after="240" w:line="360" w:lineRule="auto"/>
        <w:jc w:val="both"/>
        <w:rPr>
          <w:rFonts w:ascii="Palatino Linotype" w:eastAsia="Palatino Linotype" w:hAnsi="Palatino Linotype" w:cs="Palatino Linotype"/>
        </w:rPr>
      </w:pPr>
      <w:bookmarkStart w:id="5" w:name="_heading=h.3dy6vkm" w:colFirst="0" w:colLast="0"/>
      <w:bookmarkEnd w:id="5"/>
      <w:r w:rsidRPr="001C5AE2">
        <w:rPr>
          <w:rFonts w:ascii="Palatino Linotype" w:eastAsia="Palatino Linotype" w:hAnsi="Palatino Linotype" w:cs="Palatino Linotype"/>
          <w:b/>
        </w:rPr>
        <w:t xml:space="preserve">Primero. </w:t>
      </w:r>
      <w:r w:rsidRPr="001C5AE2">
        <w:rPr>
          <w:rFonts w:ascii="Palatino Linotype" w:eastAsia="Palatino Linotype" w:hAnsi="Palatino Linotype" w:cs="Palatino Linotype"/>
        </w:rPr>
        <w:t xml:space="preserve">Resultan fundados los motivos de inconformidad hechos valer por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en el Recurso de Revisión </w:t>
      </w:r>
      <w:r w:rsidRPr="001C5AE2">
        <w:rPr>
          <w:rFonts w:ascii="Palatino Linotype" w:eastAsia="Palatino Linotype" w:hAnsi="Palatino Linotype" w:cs="Palatino Linotype"/>
          <w:b/>
        </w:rPr>
        <w:t xml:space="preserve">04439/INFOEM/IP/RR/2023; </w:t>
      </w:r>
      <w:r w:rsidRPr="001C5AE2">
        <w:rPr>
          <w:rFonts w:ascii="Palatino Linotype" w:eastAsia="Palatino Linotype" w:hAnsi="Palatino Linotype" w:cs="Palatino Linotype"/>
        </w:rPr>
        <w:t xml:space="preserve">por lo que, en términos del considerando </w:t>
      </w:r>
      <w:r w:rsidRPr="001C5AE2">
        <w:rPr>
          <w:rFonts w:ascii="Palatino Linotype" w:eastAsia="Palatino Linotype" w:hAnsi="Palatino Linotype" w:cs="Palatino Linotype"/>
          <w:b/>
        </w:rPr>
        <w:t xml:space="preserve">Cuarto </w:t>
      </w:r>
      <w:r w:rsidRPr="001C5AE2">
        <w:rPr>
          <w:rFonts w:ascii="Palatino Linotype" w:eastAsia="Palatino Linotype" w:hAnsi="Palatino Linotype" w:cs="Palatino Linotype"/>
        </w:rPr>
        <w:t xml:space="preserve">de esta resolución, se </w:t>
      </w:r>
      <w:r w:rsidRPr="001C5AE2">
        <w:rPr>
          <w:rFonts w:ascii="Palatino Linotype" w:eastAsia="Palatino Linotype" w:hAnsi="Palatino Linotype" w:cs="Palatino Linotype"/>
          <w:b/>
        </w:rPr>
        <w:t xml:space="preserve">MODIFICA </w:t>
      </w:r>
      <w:r w:rsidRPr="001C5AE2">
        <w:rPr>
          <w:rFonts w:ascii="Palatino Linotype" w:eastAsia="Palatino Linotype" w:hAnsi="Palatino Linotype" w:cs="Palatino Linotype"/>
        </w:rPr>
        <w:t xml:space="preserve">la respuesta emitida por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w:t>
      </w:r>
    </w:p>
    <w:p w14:paraId="411C0AB4" w14:textId="77777777" w:rsidR="00A656A7" w:rsidRPr="001C5AE2" w:rsidRDefault="001C5AE2">
      <w:pPr>
        <w:spacing w:before="240" w:after="240"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Segundo. </w:t>
      </w:r>
      <w:r w:rsidRPr="001C5AE2">
        <w:rPr>
          <w:rFonts w:ascii="Palatino Linotype" w:eastAsia="Palatino Linotype" w:hAnsi="Palatino Linotype" w:cs="Palatino Linotype"/>
        </w:rPr>
        <w:t>Se</w:t>
      </w:r>
      <w:r w:rsidRPr="001C5AE2">
        <w:rPr>
          <w:rFonts w:ascii="Palatino Linotype" w:eastAsia="Palatino Linotype" w:hAnsi="Palatino Linotype" w:cs="Palatino Linotype"/>
          <w:b/>
        </w:rPr>
        <w:t xml:space="preserve"> ORDENA </w:t>
      </w:r>
      <w:r w:rsidRPr="001C5AE2">
        <w:rPr>
          <w:rFonts w:ascii="Palatino Linotype" w:eastAsia="Palatino Linotype" w:hAnsi="Palatino Linotype" w:cs="Palatino Linotype"/>
        </w:rPr>
        <w:t xml:space="preserve">al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a que,</w:t>
      </w:r>
      <w:r w:rsidRPr="001C5AE2">
        <w:rPr>
          <w:rFonts w:ascii="Palatino Linotype" w:eastAsia="Palatino Linotype" w:hAnsi="Palatino Linotype" w:cs="Palatino Linotype"/>
          <w:b/>
        </w:rPr>
        <w:t xml:space="preserve"> </w:t>
      </w:r>
      <w:r w:rsidRPr="001C5AE2">
        <w:rPr>
          <w:rFonts w:ascii="Palatino Linotype" w:eastAsia="Palatino Linotype" w:hAnsi="Palatino Linotype" w:cs="Palatino Linotype"/>
        </w:rPr>
        <w:t xml:space="preserve">en términos de los Considerandos Cuarto y Quinto, haga entrega vía SAIMEX, en versión pública, del </w:t>
      </w:r>
      <w:r w:rsidRPr="001C5AE2">
        <w:rPr>
          <w:rFonts w:ascii="Palatino Linotype" w:eastAsia="Palatino Linotype" w:hAnsi="Palatino Linotype" w:cs="Palatino Linotype"/>
        </w:rPr>
        <w:lastRenderedPageBreak/>
        <w:t>documento o documentos en donde conste lo siguiente, de la Servidora Pública referida en la solicitud de acceso a la información pública:</w:t>
      </w:r>
    </w:p>
    <w:p w14:paraId="6BD3699D" w14:textId="77777777" w:rsidR="00A656A7" w:rsidRPr="001C5AE2" w:rsidRDefault="001C5AE2">
      <w:pPr>
        <w:numPr>
          <w:ilvl w:val="0"/>
          <w:numId w:val="1"/>
        </w:numPr>
        <w:pBdr>
          <w:top w:val="nil"/>
          <w:left w:val="nil"/>
          <w:bottom w:val="nil"/>
          <w:right w:val="nil"/>
          <w:between w:val="nil"/>
        </w:pBdr>
        <w:spacing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El grado de estudios.</w:t>
      </w:r>
    </w:p>
    <w:p w14:paraId="28879E27" w14:textId="77777777" w:rsidR="00A656A7" w:rsidRPr="001C5AE2" w:rsidRDefault="001C5AE2">
      <w:pPr>
        <w:numPr>
          <w:ilvl w:val="0"/>
          <w:numId w:val="1"/>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rPr>
        <w:t>Sueldo bruto y neto mensual vigente al veintisiete de junio del año dos mil veintitrés.</w:t>
      </w:r>
    </w:p>
    <w:p w14:paraId="75CB0A38" w14:textId="77777777" w:rsidR="00A656A7" w:rsidRPr="001C5AE2" w:rsidRDefault="00A656A7">
      <w:pPr>
        <w:pBdr>
          <w:top w:val="nil"/>
          <w:left w:val="nil"/>
          <w:bottom w:val="nil"/>
          <w:right w:val="nil"/>
          <w:between w:val="nil"/>
        </w:pBdr>
        <w:spacing w:line="360" w:lineRule="auto"/>
        <w:ind w:left="720" w:right="49"/>
        <w:jc w:val="both"/>
        <w:rPr>
          <w:rFonts w:ascii="Palatino Linotype" w:eastAsia="Palatino Linotype" w:hAnsi="Palatino Linotype" w:cs="Palatino Linotype"/>
          <w:b/>
        </w:rPr>
      </w:pPr>
    </w:p>
    <w:p w14:paraId="0953EE33" w14:textId="77777777" w:rsidR="00A656A7" w:rsidRPr="001C5AE2" w:rsidRDefault="001C5AE2">
      <w:pPr>
        <w:pBdr>
          <w:top w:val="nil"/>
          <w:left w:val="nil"/>
          <w:bottom w:val="nil"/>
          <w:right w:val="nil"/>
          <w:between w:val="nil"/>
        </w:pBdr>
        <w:ind w:left="360" w:right="51"/>
        <w:jc w:val="both"/>
        <w:rPr>
          <w:rFonts w:ascii="Palatino Linotype" w:eastAsia="Palatino Linotype" w:hAnsi="Palatino Linotype" w:cs="Palatino Linotype"/>
          <w:i/>
          <w:sz w:val="22"/>
          <w:szCs w:val="22"/>
        </w:rPr>
      </w:pPr>
      <w:r w:rsidRPr="001C5AE2">
        <w:rPr>
          <w:rFonts w:ascii="Palatino Linotype" w:eastAsia="Palatino Linotype" w:hAnsi="Palatino Linotype" w:cs="Palatino Linotype"/>
          <w:i/>
          <w:sz w:val="22"/>
          <w:szCs w:val="22"/>
        </w:rPr>
        <w:t xml:space="preserve">Debiendo emitir el Acuerdo del Comité de Transparencia de conformidad a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del </w:t>
      </w:r>
      <w:r w:rsidRPr="001C5AE2">
        <w:rPr>
          <w:rFonts w:ascii="Palatino Linotype" w:eastAsia="Palatino Linotype" w:hAnsi="Palatino Linotype" w:cs="Palatino Linotype"/>
          <w:b/>
          <w:i/>
          <w:sz w:val="22"/>
          <w:szCs w:val="22"/>
        </w:rPr>
        <w:t>RECURRENTE</w:t>
      </w:r>
      <w:r w:rsidRPr="001C5AE2">
        <w:rPr>
          <w:rFonts w:ascii="Palatino Linotype" w:eastAsia="Palatino Linotype" w:hAnsi="Palatino Linotype" w:cs="Palatino Linotype"/>
          <w:i/>
          <w:sz w:val="22"/>
          <w:szCs w:val="22"/>
        </w:rPr>
        <w:t>, mismo que igualmente hará de su conocimiento.</w:t>
      </w:r>
    </w:p>
    <w:p w14:paraId="73E5C4B6" w14:textId="77777777" w:rsidR="00A656A7" w:rsidRPr="001C5AE2" w:rsidRDefault="00A656A7">
      <w:pPr>
        <w:spacing w:line="360" w:lineRule="auto"/>
        <w:ind w:left="360" w:right="49"/>
        <w:jc w:val="both"/>
        <w:rPr>
          <w:rFonts w:ascii="Palatino Linotype" w:eastAsia="Palatino Linotype" w:hAnsi="Palatino Linotype" w:cs="Palatino Linotype"/>
          <w:b/>
        </w:rPr>
      </w:pPr>
    </w:p>
    <w:p w14:paraId="50B85E12" w14:textId="77777777" w:rsidR="00A656A7" w:rsidRPr="001C5AE2" w:rsidRDefault="001C5AE2">
      <w:pPr>
        <w:spacing w:line="360" w:lineRule="auto"/>
        <w:ind w:right="49"/>
        <w:jc w:val="both"/>
        <w:rPr>
          <w:rFonts w:ascii="Palatino Linotype" w:eastAsia="Palatino Linotype" w:hAnsi="Palatino Linotype" w:cs="Palatino Linotype"/>
        </w:rPr>
      </w:pPr>
      <w:r w:rsidRPr="001C5AE2">
        <w:rPr>
          <w:rFonts w:ascii="Palatino Linotype" w:eastAsia="Palatino Linotype" w:hAnsi="Palatino Linotype" w:cs="Palatino Linotype"/>
          <w:b/>
        </w:rPr>
        <w:t xml:space="preserve">Tercero. Notifíquese, </w:t>
      </w:r>
      <w:r w:rsidRPr="001C5AE2">
        <w:rPr>
          <w:rFonts w:ascii="Palatino Linotype" w:eastAsia="Palatino Linotype" w:hAnsi="Palatino Linotype" w:cs="Palatino Linotype"/>
        </w:rPr>
        <w:t xml:space="preserve">vía </w:t>
      </w:r>
      <w:r w:rsidRPr="001C5AE2">
        <w:rPr>
          <w:rFonts w:ascii="Palatino Linotype" w:eastAsia="Palatino Linotype" w:hAnsi="Palatino Linotype" w:cs="Palatino Linotype"/>
          <w:b/>
        </w:rPr>
        <w:t>SAIMEX</w:t>
      </w:r>
      <w:r w:rsidRPr="001C5AE2">
        <w:rPr>
          <w:rFonts w:ascii="Palatino Linotype" w:eastAsia="Palatino Linotype" w:hAnsi="Palatino Linotype" w:cs="Palatino Linotype"/>
        </w:rPr>
        <w:t xml:space="preserve">, al Titular de la Unidad de Transparencia del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4BFDBE5E" w14:textId="77777777" w:rsidR="00A656A7" w:rsidRPr="001C5AE2" w:rsidRDefault="00A656A7">
      <w:pPr>
        <w:spacing w:line="360" w:lineRule="auto"/>
        <w:ind w:right="49"/>
        <w:jc w:val="both"/>
        <w:rPr>
          <w:rFonts w:ascii="Palatino Linotype" w:eastAsia="Palatino Linotype" w:hAnsi="Palatino Linotype" w:cs="Palatino Linotype"/>
        </w:rPr>
      </w:pPr>
      <w:bookmarkStart w:id="6" w:name="_heading=h.3znysh7" w:colFirst="0" w:colLast="0"/>
      <w:bookmarkEnd w:id="6"/>
    </w:p>
    <w:p w14:paraId="607CF037" w14:textId="77777777" w:rsidR="00A656A7" w:rsidRPr="001C5AE2" w:rsidRDefault="001C5AE2">
      <w:pPr>
        <w:spacing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lastRenderedPageBreak/>
        <w:t xml:space="preserve">Cuarto. </w:t>
      </w:r>
      <w:r w:rsidRPr="001C5AE2">
        <w:rPr>
          <w:rFonts w:ascii="Palatino Linotype" w:eastAsia="Palatino Linotype" w:hAnsi="Palatino Linotype" w:cs="Palatino Linotype"/>
        </w:rPr>
        <w:t xml:space="preserve">Notifíquese, vía </w:t>
      </w:r>
      <w:r w:rsidRPr="001C5AE2">
        <w:rPr>
          <w:rFonts w:ascii="Palatino Linotype" w:eastAsia="Palatino Linotype" w:hAnsi="Palatino Linotype" w:cs="Palatino Linotype"/>
          <w:b/>
        </w:rPr>
        <w:t>SAIMEX</w:t>
      </w:r>
      <w:r w:rsidRPr="001C5AE2">
        <w:rPr>
          <w:rFonts w:ascii="Palatino Linotype" w:eastAsia="Palatino Linotype" w:hAnsi="Palatino Linotype" w:cs="Palatino Linotype"/>
        </w:rPr>
        <w:t xml:space="preserve">, a la parte </w:t>
      </w:r>
      <w:r w:rsidRPr="001C5AE2">
        <w:rPr>
          <w:rFonts w:ascii="Palatino Linotype" w:eastAsia="Palatino Linotype" w:hAnsi="Palatino Linotype" w:cs="Palatino Linotype"/>
          <w:b/>
        </w:rPr>
        <w:t>RECURRENTE</w:t>
      </w:r>
      <w:r w:rsidRPr="001C5AE2">
        <w:rPr>
          <w:rFonts w:ascii="Palatino Linotype" w:eastAsia="Palatino Linotype" w:hAnsi="Palatino Linotype" w:cs="Palatino Linotype"/>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3418668B"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b/>
        </w:rPr>
        <w:t>Quinto.</w:t>
      </w:r>
      <w:r w:rsidRPr="001C5AE2">
        <w:rPr>
          <w:rFonts w:ascii="Palatino Linotype" w:eastAsia="Palatino Linotype" w:hAnsi="Palatino Linotype" w:cs="Palatino Linotype"/>
        </w:rPr>
        <w:t xml:space="preserve"> De conformidad con el artículo 198 de la Ley de Transparencia y Acceso a la Información Pública del Estado de México y Municipios, de considerarlo procedente, el </w:t>
      </w:r>
      <w:r w:rsidRPr="001C5AE2">
        <w:rPr>
          <w:rFonts w:ascii="Palatino Linotype" w:eastAsia="Palatino Linotype" w:hAnsi="Palatino Linotype" w:cs="Palatino Linotype"/>
          <w:b/>
        </w:rPr>
        <w:t>SUJETO OBLIGADO</w:t>
      </w:r>
      <w:r w:rsidRPr="001C5AE2">
        <w:rPr>
          <w:rFonts w:ascii="Palatino Linotype" w:eastAsia="Palatino Linotype" w:hAnsi="Palatino Linotype" w:cs="Palatino Linotype"/>
        </w:rPr>
        <w:t xml:space="preserve"> de manera fundada y motivada, podrá solicitar una ampliación de plazo para el cumplimiento de la presente resolución.</w:t>
      </w:r>
    </w:p>
    <w:p w14:paraId="27229FF0" w14:textId="77777777" w:rsidR="00A656A7" w:rsidRPr="001C5AE2" w:rsidRDefault="001C5AE2">
      <w:pPr>
        <w:spacing w:before="240" w:after="240" w:line="360" w:lineRule="auto"/>
        <w:jc w:val="both"/>
        <w:rPr>
          <w:rFonts w:ascii="Palatino Linotype" w:eastAsia="Palatino Linotype" w:hAnsi="Palatino Linotype" w:cs="Palatino Linotype"/>
        </w:rPr>
      </w:pPr>
      <w:r w:rsidRPr="001C5AE2">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SÉPTIMA SESIÓN ORDINARIA CELEBRADA EL VEINTIOCHO DE FEBRERO DE DOS MIL VEINTICUATRO, ANTE EL SECRETARIO TÉCNICO DEL PLENO ALEXIS TAPIA RAMÍREZ. </w:t>
      </w:r>
    </w:p>
    <w:p w14:paraId="765E91ED" w14:textId="77777777" w:rsidR="001C5AE2" w:rsidRPr="001C5AE2" w:rsidRDefault="001C5AE2">
      <w:pPr>
        <w:spacing w:before="240" w:after="240" w:line="360" w:lineRule="auto"/>
        <w:jc w:val="both"/>
        <w:rPr>
          <w:rFonts w:ascii="Palatino Linotype" w:eastAsia="Palatino Linotype" w:hAnsi="Palatino Linotype" w:cs="Palatino Linotype"/>
        </w:rPr>
      </w:pPr>
    </w:p>
    <w:p w14:paraId="251125D7" w14:textId="77777777" w:rsidR="001C5AE2" w:rsidRPr="001C5AE2" w:rsidRDefault="001C5AE2">
      <w:pPr>
        <w:spacing w:before="240" w:after="240" w:line="360" w:lineRule="auto"/>
        <w:jc w:val="both"/>
        <w:rPr>
          <w:rFonts w:ascii="Palatino Linotype" w:eastAsia="Palatino Linotype" w:hAnsi="Palatino Linotype" w:cs="Palatino Linotype"/>
        </w:rPr>
      </w:pPr>
    </w:p>
    <w:p w14:paraId="1DE55C95" w14:textId="77777777" w:rsidR="001C5AE2" w:rsidRPr="001C5AE2" w:rsidRDefault="001C5AE2">
      <w:pPr>
        <w:spacing w:before="240" w:after="240" w:line="360" w:lineRule="auto"/>
        <w:jc w:val="both"/>
        <w:rPr>
          <w:rFonts w:ascii="Palatino Linotype" w:eastAsia="Palatino Linotype" w:hAnsi="Palatino Linotype" w:cs="Palatino Linotype"/>
        </w:rPr>
      </w:pPr>
    </w:p>
    <w:p w14:paraId="031D91CE" w14:textId="77777777" w:rsidR="001C5AE2" w:rsidRPr="001C5AE2" w:rsidRDefault="001C5AE2">
      <w:pPr>
        <w:spacing w:before="240" w:after="240" w:line="360" w:lineRule="auto"/>
        <w:jc w:val="both"/>
        <w:rPr>
          <w:rFonts w:ascii="Palatino Linotype" w:eastAsia="Palatino Linotype" w:hAnsi="Palatino Linotype" w:cs="Palatino Linotype"/>
        </w:rPr>
      </w:pPr>
    </w:p>
    <w:p w14:paraId="206F3EDD" w14:textId="77777777" w:rsidR="001C5AE2" w:rsidRPr="001C5AE2" w:rsidRDefault="001C5AE2">
      <w:pPr>
        <w:spacing w:before="240" w:after="240" w:line="360" w:lineRule="auto"/>
        <w:jc w:val="both"/>
        <w:rPr>
          <w:rFonts w:ascii="Palatino Linotype" w:eastAsia="Palatino Linotype" w:hAnsi="Palatino Linotype" w:cs="Palatino Linotype"/>
        </w:rPr>
      </w:pPr>
    </w:p>
    <w:p w14:paraId="66CB7283" w14:textId="77777777" w:rsidR="001C5AE2" w:rsidRPr="001C5AE2" w:rsidRDefault="001C5AE2">
      <w:pPr>
        <w:spacing w:before="240" w:after="240" w:line="360" w:lineRule="auto"/>
        <w:jc w:val="both"/>
        <w:rPr>
          <w:rFonts w:ascii="Palatino Linotype" w:eastAsia="Palatino Linotype" w:hAnsi="Palatino Linotype" w:cs="Palatino Linotype"/>
        </w:rPr>
      </w:pPr>
    </w:p>
    <w:p w14:paraId="25F4EE59" w14:textId="77777777" w:rsidR="001C5AE2" w:rsidRPr="001C5AE2" w:rsidRDefault="001C5AE2">
      <w:pPr>
        <w:spacing w:before="240" w:after="240" w:line="360" w:lineRule="auto"/>
        <w:jc w:val="both"/>
        <w:rPr>
          <w:rFonts w:ascii="Palatino Linotype" w:eastAsia="Palatino Linotype" w:hAnsi="Palatino Linotype" w:cs="Palatino Linotype"/>
        </w:rPr>
      </w:pPr>
    </w:p>
    <w:p w14:paraId="40688F3E" w14:textId="77777777" w:rsidR="001C5AE2" w:rsidRPr="001C5AE2" w:rsidRDefault="001C5AE2">
      <w:pPr>
        <w:spacing w:before="240" w:after="240" w:line="360" w:lineRule="auto"/>
        <w:jc w:val="both"/>
        <w:rPr>
          <w:rFonts w:ascii="Palatino Linotype" w:eastAsia="Palatino Linotype" w:hAnsi="Palatino Linotype" w:cs="Palatino Linotype"/>
        </w:rPr>
      </w:pPr>
    </w:p>
    <w:sectPr w:rsidR="001C5AE2" w:rsidRPr="001C5AE2">
      <w:headerReference w:type="default" r:id="rId24"/>
      <w:footerReference w:type="default" r:id="rId25"/>
      <w:headerReference w:type="first" r:id="rId26"/>
      <w:footerReference w:type="first" r:id="rId27"/>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58B1C9" w14:textId="77777777" w:rsidR="003A5F49" w:rsidRDefault="003A5F49">
      <w:r>
        <w:separator/>
      </w:r>
    </w:p>
  </w:endnote>
  <w:endnote w:type="continuationSeparator" w:id="0">
    <w:p w14:paraId="7D7ED156" w14:textId="77777777" w:rsidR="003A5F49" w:rsidRDefault="003A5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Liberation Serif">
    <w:panose1 w:val="00000000000000000000"/>
    <w:charset w:val="00"/>
    <w:family w:val="roman"/>
    <w:notTrueType/>
    <w:pitch w:val="default"/>
  </w:font>
  <w:font w:name="DejaVu Sans">
    <w:panose1 w:val="00000000000000000000"/>
    <w:charset w:val="00"/>
    <w:family w:val="roman"/>
    <w:notTrueType/>
    <w:pitch w:val="default"/>
  </w:font>
  <w:font w:name="Lohit Hindi">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Myriad Pro">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87D108" w14:textId="77777777" w:rsidR="00A656A7" w:rsidRDefault="001C5A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68C3">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68C3">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0B6AE5F8" w14:textId="77777777" w:rsidR="00A656A7" w:rsidRDefault="00A656A7">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E29F0B" w14:textId="77777777" w:rsidR="00A656A7" w:rsidRDefault="001C5AE2">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668C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668C3">
      <w:rPr>
        <w:rFonts w:ascii="Palatino Linotype" w:eastAsia="Palatino Linotype" w:hAnsi="Palatino Linotype" w:cs="Palatino Linotype"/>
        <w:b/>
        <w:noProof/>
        <w:color w:val="000000"/>
        <w:sz w:val="20"/>
        <w:szCs w:val="20"/>
      </w:rPr>
      <w:t>59</w:t>
    </w:r>
    <w:r>
      <w:rPr>
        <w:rFonts w:ascii="Palatino Linotype" w:eastAsia="Palatino Linotype" w:hAnsi="Palatino Linotype" w:cs="Palatino Linotype"/>
        <w:b/>
        <w:color w:val="000000"/>
        <w:sz w:val="20"/>
        <w:szCs w:val="20"/>
      </w:rPr>
      <w:fldChar w:fldCharType="end"/>
    </w:r>
  </w:p>
  <w:p w14:paraId="3EFC17D4" w14:textId="77777777" w:rsidR="00A656A7" w:rsidRDefault="00A656A7">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95EF5C" w14:textId="77777777" w:rsidR="003A5F49" w:rsidRDefault="003A5F49">
      <w:r>
        <w:separator/>
      </w:r>
    </w:p>
  </w:footnote>
  <w:footnote w:type="continuationSeparator" w:id="0">
    <w:p w14:paraId="7B26492E" w14:textId="77777777" w:rsidR="003A5F49" w:rsidRDefault="003A5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E4986" w14:textId="77777777" w:rsidR="00A656A7" w:rsidRDefault="001C5AE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5E97E564" wp14:editId="0448139C">
          <wp:simplePos x="0" y="0"/>
          <wp:positionH relativeFrom="column">
            <wp:posOffset>-1080131</wp:posOffset>
          </wp:positionH>
          <wp:positionV relativeFrom="paragraph">
            <wp:posOffset>-488311</wp:posOffset>
          </wp:positionV>
          <wp:extent cx="7809865" cy="10165715"/>
          <wp:effectExtent l="0" t="0" r="0" b="0"/>
          <wp:wrapNone/>
          <wp:docPr id="16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a"/>
      <w:tblW w:w="5953" w:type="dxa"/>
      <w:tblInd w:w="3261" w:type="dxa"/>
      <w:tblLayout w:type="fixed"/>
      <w:tblLook w:val="0400" w:firstRow="0" w:lastRow="0" w:firstColumn="0" w:lastColumn="0" w:noHBand="0" w:noVBand="1"/>
    </w:tblPr>
    <w:tblGrid>
      <w:gridCol w:w="2489"/>
      <w:gridCol w:w="3464"/>
    </w:tblGrid>
    <w:tr w:rsidR="00A656A7" w14:paraId="36323393" w14:textId="77777777">
      <w:tc>
        <w:tcPr>
          <w:tcW w:w="2489" w:type="dxa"/>
          <w:shd w:val="clear" w:color="auto" w:fill="auto"/>
        </w:tcPr>
        <w:p w14:paraId="44D783C7"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1AE74AED" w14:textId="77777777" w:rsidR="00A656A7" w:rsidRDefault="001C5A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04439/INFOEM/IP/RR/2023</w:t>
          </w:r>
        </w:p>
      </w:tc>
    </w:tr>
    <w:tr w:rsidR="00A656A7" w14:paraId="79BC49D4" w14:textId="77777777">
      <w:trPr>
        <w:trHeight w:val="228"/>
      </w:trPr>
      <w:tc>
        <w:tcPr>
          <w:tcW w:w="2489" w:type="dxa"/>
          <w:shd w:val="clear" w:color="auto" w:fill="auto"/>
          <w:vAlign w:val="center"/>
        </w:tcPr>
        <w:p w14:paraId="3EF16133"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4D2AB05A" w14:textId="77777777" w:rsidR="00A656A7" w:rsidRDefault="001C5AE2">
          <w:pPr>
            <w:ind w:right="310"/>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Centro de Conciliación Laboral del Estado de México.</w:t>
          </w:r>
        </w:p>
      </w:tc>
    </w:tr>
    <w:tr w:rsidR="00A656A7" w14:paraId="6E042CF0" w14:textId="77777777">
      <w:tc>
        <w:tcPr>
          <w:tcW w:w="2489" w:type="dxa"/>
          <w:shd w:val="clear" w:color="auto" w:fill="auto"/>
          <w:vAlign w:val="center"/>
        </w:tcPr>
        <w:p w14:paraId="476941C0" w14:textId="77777777" w:rsidR="00A656A7" w:rsidRDefault="001C5AE2">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2C0C46C8" w14:textId="77777777" w:rsidR="00A656A7" w:rsidRDefault="001C5AE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13CDB90" w14:textId="77777777" w:rsidR="00A656A7" w:rsidRDefault="001C5AE2">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873B5" w14:textId="77777777" w:rsidR="00A656A7" w:rsidRDefault="00A656A7">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9"/>
      <w:tblW w:w="5670" w:type="dxa"/>
      <w:tblInd w:w="3261" w:type="dxa"/>
      <w:tblLayout w:type="fixed"/>
      <w:tblLook w:val="0400" w:firstRow="0" w:lastRow="0" w:firstColumn="0" w:lastColumn="0" w:noHBand="0" w:noVBand="1"/>
    </w:tblPr>
    <w:tblGrid>
      <w:gridCol w:w="2551"/>
      <w:gridCol w:w="3119"/>
    </w:tblGrid>
    <w:tr w:rsidR="00A656A7" w14:paraId="142A6F88" w14:textId="77777777">
      <w:tc>
        <w:tcPr>
          <w:tcW w:w="2551" w:type="dxa"/>
          <w:shd w:val="clear" w:color="auto" w:fill="auto"/>
          <w:vAlign w:val="center"/>
        </w:tcPr>
        <w:p w14:paraId="081B9ECE"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26A7F338" w14:textId="77777777" w:rsidR="00A656A7" w:rsidRDefault="001C5AE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04439/INFOEM/IP/RR/2023</w:t>
          </w:r>
        </w:p>
      </w:tc>
    </w:tr>
    <w:tr w:rsidR="00A656A7" w14:paraId="33A502EB" w14:textId="77777777">
      <w:trPr>
        <w:trHeight w:val="130"/>
      </w:trPr>
      <w:tc>
        <w:tcPr>
          <w:tcW w:w="2551" w:type="dxa"/>
          <w:shd w:val="clear" w:color="auto" w:fill="auto"/>
          <w:vAlign w:val="center"/>
        </w:tcPr>
        <w:p w14:paraId="3B05731F"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5B1E4760" w14:textId="4E0FB865" w:rsidR="00A656A7" w:rsidRDefault="00D63783">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 XXXXXXX XXXXX </w:t>
          </w:r>
        </w:p>
      </w:tc>
    </w:tr>
    <w:tr w:rsidR="00A656A7" w14:paraId="632E4D32" w14:textId="77777777">
      <w:trPr>
        <w:trHeight w:val="228"/>
      </w:trPr>
      <w:tc>
        <w:tcPr>
          <w:tcW w:w="2551" w:type="dxa"/>
          <w:shd w:val="clear" w:color="auto" w:fill="auto"/>
          <w:vAlign w:val="center"/>
        </w:tcPr>
        <w:p w14:paraId="5C6DD16E"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7C083D8D" w14:textId="77777777" w:rsidR="00A656A7" w:rsidRDefault="001C5AE2">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Centro de Conciliación Laboral del Estado de México.</w:t>
          </w:r>
        </w:p>
      </w:tc>
    </w:tr>
    <w:tr w:rsidR="00A656A7" w14:paraId="5E186F3B" w14:textId="77777777">
      <w:tc>
        <w:tcPr>
          <w:tcW w:w="2551" w:type="dxa"/>
          <w:shd w:val="clear" w:color="auto" w:fill="auto"/>
          <w:vAlign w:val="center"/>
        </w:tcPr>
        <w:p w14:paraId="0254647D" w14:textId="77777777" w:rsidR="00A656A7" w:rsidRDefault="001C5AE2">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7A9FC368" w14:textId="77777777" w:rsidR="00A656A7" w:rsidRDefault="001C5AE2">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A702457" w14:textId="77777777" w:rsidR="00A656A7" w:rsidRDefault="001C5AE2">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5C24F8D3" wp14:editId="116A967D">
          <wp:simplePos x="0" y="0"/>
          <wp:positionH relativeFrom="column">
            <wp:posOffset>-1089656</wp:posOffset>
          </wp:positionH>
          <wp:positionV relativeFrom="paragraph">
            <wp:posOffset>-1169666</wp:posOffset>
          </wp:positionV>
          <wp:extent cx="7809865" cy="10165715"/>
          <wp:effectExtent l="0" t="0" r="0" b="0"/>
          <wp:wrapNone/>
          <wp:docPr id="16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57052"/>
    <w:multiLevelType w:val="multilevel"/>
    <w:tmpl w:val="B3ECE5B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6261F45"/>
    <w:multiLevelType w:val="multilevel"/>
    <w:tmpl w:val="94C4A0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5B6B5922"/>
    <w:multiLevelType w:val="multilevel"/>
    <w:tmpl w:val="866E9BF2"/>
    <w:lvl w:ilvl="0">
      <w:start w:val="1"/>
      <w:numFmt w:val="lowerLetter"/>
      <w:pStyle w:val="Listaconvietas3"/>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7F885292"/>
    <w:multiLevelType w:val="multilevel"/>
    <w:tmpl w:val="D220B6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56A7"/>
    <w:rsid w:val="00111766"/>
    <w:rsid w:val="001C5AE2"/>
    <w:rsid w:val="00201D40"/>
    <w:rsid w:val="002668C3"/>
    <w:rsid w:val="003A5F49"/>
    <w:rsid w:val="00A656A7"/>
    <w:rsid w:val="00D63783"/>
    <w:rsid w:val="00E15B3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301D0E"/>
  <w15:docId w15:val="{DBAC8608-9D24-4AB7-A4DC-5C8AA5C20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2902"/>
  </w:style>
  <w:style w:type="paragraph" w:styleId="Ttulo1">
    <w:name w:val="heading 1"/>
    <w:basedOn w:val="Normal"/>
    <w:next w:val="Normal"/>
    <w:link w:val="Ttulo1Car"/>
    <w:uiPriority w:val="9"/>
    <w:qFormat/>
    <w:rsid w:val="00603D72"/>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603D7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3B73CD"/>
    <w:pPr>
      <w:keepNext/>
      <w:tabs>
        <w:tab w:val="num" w:pos="2160"/>
      </w:tabs>
      <w:spacing w:before="240" w:after="60"/>
      <w:ind w:left="2160" w:hanging="720"/>
      <w:outlineLvl w:val="2"/>
    </w:pPr>
    <w:rPr>
      <w:rFonts w:asciiTheme="majorHAnsi" w:eastAsiaTheme="majorEastAsia" w:hAnsiTheme="majorHAnsi" w:cstheme="majorBidi"/>
      <w:b/>
      <w:bCs/>
      <w:sz w:val="26"/>
      <w:szCs w:val="26"/>
      <w:lang w:val="en-US" w:eastAsia="en-US"/>
    </w:rPr>
  </w:style>
  <w:style w:type="paragraph" w:styleId="Ttulo4">
    <w:name w:val="heading 4"/>
    <w:basedOn w:val="Normal"/>
    <w:next w:val="Normal"/>
    <w:link w:val="Ttulo4Car"/>
    <w:uiPriority w:val="9"/>
    <w:semiHidden/>
    <w:unhideWhenUsed/>
    <w:qFormat/>
    <w:rsid w:val="003B73CD"/>
    <w:pPr>
      <w:keepNext/>
      <w:tabs>
        <w:tab w:val="num" w:pos="2880"/>
      </w:tabs>
      <w:spacing w:before="240" w:after="60"/>
      <w:ind w:left="2880" w:hanging="720"/>
      <w:outlineLvl w:val="3"/>
    </w:pPr>
    <w:rPr>
      <w:rFonts w:asciiTheme="minorHAnsi" w:eastAsiaTheme="minorEastAsia" w:hAnsiTheme="minorHAnsi" w:cstheme="minorBidi"/>
      <w:b/>
      <w:bCs/>
      <w:sz w:val="28"/>
      <w:szCs w:val="28"/>
      <w:lang w:val="en-US" w:eastAsia="en-US"/>
    </w:rPr>
  </w:style>
  <w:style w:type="paragraph" w:styleId="Ttulo5">
    <w:name w:val="heading 5"/>
    <w:basedOn w:val="Normal"/>
    <w:next w:val="Normal"/>
    <w:link w:val="Ttulo5Car"/>
    <w:uiPriority w:val="9"/>
    <w:semiHidden/>
    <w:unhideWhenUsed/>
    <w:qFormat/>
    <w:rsid w:val="003B73CD"/>
    <w:pPr>
      <w:tabs>
        <w:tab w:val="num" w:pos="3600"/>
      </w:tabs>
      <w:spacing w:before="240" w:after="60"/>
      <w:ind w:left="3600" w:hanging="720"/>
      <w:outlineLvl w:val="4"/>
    </w:pPr>
    <w:rPr>
      <w:rFonts w:asciiTheme="minorHAnsi" w:eastAsiaTheme="minorEastAsia" w:hAnsiTheme="minorHAnsi" w:cstheme="minorBidi"/>
      <w:b/>
      <w:bCs/>
      <w:i/>
      <w:iCs/>
      <w:sz w:val="26"/>
      <w:szCs w:val="26"/>
      <w:lang w:val="en-US" w:eastAsia="en-US"/>
    </w:rPr>
  </w:style>
  <w:style w:type="paragraph" w:styleId="Ttulo6">
    <w:name w:val="heading 6"/>
    <w:basedOn w:val="Normal"/>
    <w:next w:val="Normal"/>
    <w:link w:val="Ttulo6Car"/>
    <w:uiPriority w:val="9"/>
    <w:semiHidden/>
    <w:unhideWhenUsed/>
    <w:qFormat/>
    <w:rsid w:val="003B73CD"/>
    <w:pPr>
      <w:tabs>
        <w:tab w:val="num" w:pos="4320"/>
      </w:tabs>
      <w:spacing w:before="240" w:after="60"/>
      <w:ind w:left="4320" w:hanging="720"/>
      <w:outlineLvl w:val="5"/>
    </w:pPr>
    <w:rPr>
      <w:b/>
      <w:bCs/>
      <w:sz w:val="22"/>
      <w:szCs w:val="22"/>
      <w:lang w:val="en-US" w:eastAsia="en-US"/>
    </w:rPr>
  </w:style>
  <w:style w:type="paragraph" w:styleId="Ttulo7">
    <w:name w:val="heading 7"/>
    <w:basedOn w:val="Normal"/>
    <w:next w:val="Normal"/>
    <w:link w:val="Ttulo7Car"/>
    <w:uiPriority w:val="9"/>
    <w:semiHidden/>
    <w:unhideWhenUsed/>
    <w:qFormat/>
    <w:rsid w:val="003B73CD"/>
    <w:pPr>
      <w:tabs>
        <w:tab w:val="num" w:pos="5040"/>
      </w:tabs>
      <w:spacing w:before="240" w:after="60"/>
      <w:ind w:left="5040" w:hanging="720"/>
      <w:outlineLvl w:val="6"/>
    </w:pPr>
    <w:rPr>
      <w:rFonts w:asciiTheme="minorHAnsi" w:eastAsiaTheme="minorEastAsia" w:hAnsiTheme="minorHAnsi" w:cstheme="minorBidi"/>
      <w:lang w:val="en-US" w:eastAsia="en-US"/>
    </w:rPr>
  </w:style>
  <w:style w:type="paragraph" w:styleId="Ttulo8">
    <w:name w:val="heading 8"/>
    <w:basedOn w:val="Normal"/>
    <w:next w:val="Normal"/>
    <w:link w:val="Ttulo8Car"/>
    <w:uiPriority w:val="9"/>
    <w:semiHidden/>
    <w:unhideWhenUsed/>
    <w:qFormat/>
    <w:rsid w:val="003B73CD"/>
    <w:pPr>
      <w:tabs>
        <w:tab w:val="num" w:pos="5760"/>
      </w:tabs>
      <w:spacing w:before="240" w:after="60"/>
      <w:ind w:left="5760" w:hanging="720"/>
      <w:outlineLvl w:val="7"/>
    </w:pPr>
    <w:rPr>
      <w:rFonts w:asciiTheme="minorHAnsi" w:eastAsiaTheme="minorEastAsia" w:hAnsiTheme="minorHAnsi" w:cstheme="minorBidi"/>
      <w:i/>
      <w:iCs/>
      <w:lang w:val="en-US" w:eastAsia="en-US"/>
    </w:rPr>
  </w:style>
  <w:style w:type="paragraph" w:styleId="Ttulo9">
    <w:name w:val="heading 9"/>
    <w:basedOn w:val="Normal"/>
    <w:next w:val="Normal"/>
    <w:link w:val="Ttulo9Car"/>
    <w:uiPriority w:val="9"/>
    <w:semiHidden/>
    <w:unhideWhenUsed/>
    <w:qFormat/>
    <w:rsid w:val="003B73C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Fundamentos,INAI"/>
    <w:link w:val="SinespaciadoCar"/>
    <w:qFormat/>
    <w:rsid w:val="002944C8"/>
    <w:rPr>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Fundamentos Car,INAI Car"/>
    <w:link w:val="Sinespaciado"/>
    <w:uiPriority w:val="1"/>
    <w:locked/>
    <w:rsid w:val="00270539"/>
    <w:rPr>
      <w:rFonts w:ascii="Times New Roman" w:eastAsia="Times New Roman" w:hAnsi="Times New Roman" w:cs="Times New Roman"/>
      <w:lang w:val="es-MX"/>
    </w:rPr>
  </w:style>
  <w:style w:type="character" w:customStyle="1" w:styleId="medium">
    <w:name w:val="medium"/>
    <w:basedOn w:val="Fuentedeprrafopredeter"/>
    <w:rsid w:val="00354DB7"/>
  </w:style>
  <w:style w:type="table" w:styleId="Tablaconcuadrcula">
    <w:name w:val="Table Grid"/>
    <w:basedOn w:val="Tablanormal"/>
    <w:uiPriority w:val="59"/>
    <w:rsid w:val="00BB3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umeroconsecutivo">
    <w:name w:val="numeroconsecutivo"/>
    <w:basedOn w:val="Fuentedeprrafopredeter"/>
    <w:rsid w:val="00615060"/>
  </w:style>
  <w:style w:type="character" w:customStyle="1" w:styleId="titulorubrolgt">
    <w:name w:val="titulorubrolgt"/>
    <w:basedOn w:val="Fuentedeprrafopredeter"/>
    <w:rsid w:val="00615060"/>
  </w:style>
  <w:style w:type="character" w:customStyle="1" w:styleId="ctr">
    <w:name w:val="ctr"/>
    <w:basedOn w:val="Fuentedeprrafopredeter"/>
    <w:rsid w:val="00615060"/>
  </w:style>
  <w:style w:type="paragraph" w:styleId="Textonotaalfinal">
    <w:name w:val="endnote text"/>
    <w:basedOn w:val="Normal"/>
    <w:link w:val="TextonotaalfinalCar"/>
    <w:uiPriority w:val="99"/>
    <w:semiHidden/>
    <w:unhideWhenUsed/>
    <w:rsid w:val="00D25E88"/>
    <w:rPr>
      <w:sz w:val="20"/>
      <w:szCs w:val="20"/>
    </w:rPr>
  </w:style>
  <w:style w:type="character" w:customStyle="1" w:styleId="TextonotaalfinalCar">
    <w:name w:val="Texto nota al final Car"/>
    <w:basedOn w:val="Fuentedeprrafopredeter"/>
    <w:link w:val="Textonotaalfinal"/>
    <w:uiPriority w:val="99"/>
    <w:semiHidden/>
    <w:rsid w:val="00D25E88"/>
    <w:rPr>
      <w:rFonts w:ascii="Times New Roman" w:eastAsia="Times New Roman" w:hAnsi="Times New Roman" w:cs="Times New Roman"/>
      <w:sz w:val="20"/>
      <w:szCs w:val="20"/>
      <w:lang w:val="es-ES"/>
    </w:rPr>
  </w:style>
  <w:style w:type="character" w:styleId="Refdenotaalfinal">
    <w:name w:val="endnote reference"/>
    <w:basedOn w:val="Fuentedeprrafopredeter"/>
    <w:uiPriority w:val="99"/>
    <w:semiHidden/>
    <w:unhideWhenUsed/>
    <w:rsid w:val="00D25E88"/>
    <w:rPr>
      <w:vertAlign w:val="superscript"/>
    </w:rPr>
  </w:style>
  <w:style w:type="character" w:customStyle="1" w:styleId="A1">
    <w:name w:val="A1"/>
    <w:uiPriority w:val="99"/>
    <w:rsid w:val="00EC4ECD"/>
    <w:rPr>
      <w:rFonts w:ascii="Myriad Pro" w:hAnsi="Myriad Pro" w:cs="Myriad Pro" w:hint="default"/>
      <w:color w:val="000000"/>
      <w:sz w:val="22"/>
      <w:szCs w:val="22"/>
    </w:rPr>
  </w:style>
  <w:style w:type="paragraph" w:customStyle="1" w:styleId="Pa9">
    <w:name w:val="Pa9"/>
    <w:basedOn w:val="Normal"/>
    <w:next w:val="Normal"/>
    <w:uiPriority w:val="99"/>
    <w:rsid w:val="00EC4ECD"/>
    <w:pPr>
      <w:autoSpaceDE w:val="0"/>
      <w:autoSpaceDN w:val="0"/>
      <w:adjustRightInd w:val="0"/>
      <w:spacing w:line="241" w:lineRule="atLeast"/>
    </w:pPr>
    <w:rPr>
      <w:rFonts w:ascii="Myriad Pro" w:eastAsiaTheme="minorHAnsi" w:hAnsi="Myriad Pro" w:cstheme="minorBidi"/>
      <w:lang w:val="es-MX" w:eastAsia="en-US"/>
    </w:rPr>
  </w:style>
  <w:style w:type="paragraph" w:customStyle="1" w:styleId="Pa5">
    <w:name w:val="Pa5"/>
    <w:basedOn w:val="Normal"/>
    <w:next w:val="Normal"/>
    <w:uiPriority w:val="99"/>
    <w:rsid w:val="00EC4ECD"/>
    <w:pPr>
      <w:autoSpaceDE w:val="0"/>
      <w:autoSpaceDN w:val="0"/>
      <w:adjustRightInd w:val="0"/>
      <w:spacing w:line="201" w:lineRule="atLeast"/>
    </w:pPr>
    <w:rPr>
      <w:rFonts w:ascii="Myriad Pro" w:eastAsiaTheme="minorHAnsi" w:hAnsi="Myriad Pro" w:cstheme="minorBidi"/>
      <w:lang w:val="es-MX" w:eastAsia="en-US"/>
    </w:rPr>
  </w:style>
  <w:style w:type="paragraph" w:customStyle="1" w:styleId="m5127500252372250437gmail-paragraph">
    <w:name w:val="m_5127500252372250437gmail-paragraph"/>
    <w:basedOn w:val="Normal"/>
    <w:rsid w:val="00980B7E"/>
    <w:pPr>
      <w:spacing w:before="100" w:beforeAutospacing="1" w:after="100" w:afterAutospacing="1"/>
    </w:pPr>
    <w:rPr>
      <w:lang w:val="es-MX"/>
    </w:rPr>
  </w:style>
  <w:style w:type="character" w:customStyle="1" w:styleId="nombrefraccder">
    <w:name w:val="nombrefraccder"/>
    <w:basedOn w:val="Fuentedeprrafopredeter"/>
    <w:rsid w:val="009B4A68"/>
  </w:style>
  <w:style w:type="character" w:customStyle="1" w:styleId="numberfraccder">
    <w:name w:val="numberfraccder"/>
    <w:basedOn w:val="Fuentedeprrafopredeter"/>
    <w:rsid w:val="009B4A68"/>
  </w:style>
  <w:style w:type="character" w:customStyle="1" w:styleId="TextoCar">
    <w:name w:val="Texto Car"/>
    <w:link w:val="Texto"/>
    <w:locked/>
    <w:rsid w:val="002B0963"/>
    <w:rPr>
      <w:rFonts w:ascii="Arial" w:eastAsia="Times New Roman" w:hAnsi="Arial" w:cs="Arial"/>
      <w:sz w:val="18"/>
      <w:szCs w:val="18"/>
      <w:lang w:val="es-MX"/>
    </w:rPr>
  </w:style>
  <w:style w:type="character" w:styleId="nfasis">
    <w:name w:val="Emphasis"/>
    <w:basedOn w:val="Fuentedeprrafopredeter"/>
    <w:uiPriority w:val="20"/>
    <w:qFormat/>
    <w:rsid w:val="00C536F2"/>
    <w:rPr>
      <w:i/>
      <w:iCs/>
    </w:rPr>
  </w:style>
  <w:style w:type="character" w:customStyle="1" w:styleId="normaltextrun">
    <w:name w:val="normaltextrun"/>
    <w:basedOn w:val="Fuentedeprrafopredeter"/>
    <w:rsid w:val="0011437B"/>
  </w:style>
  <w:style w:type="character" w:customStyle="1" w:styleId="m5127500252372250437gmail-normaltextrun">
    <w:name w:val="m_5127500252372250437gmail-normaltextrun"/>
    <w:basedOn w:val="Fuentedeprrafopredeter"/>
    <w:rsid w:val="0011437B"/>
  </w:style>
  <w:style w:type="paragraph" w:customStyle="1" w:styleId="m-60081275284358516gmail-msolistparagraph">
    <w:name w:val="m_-60081275284358516gmail-msolistparagraph"/>
    <w:basedOn w:val="Normal"/>
    <w:rsid w:val="00207C90"/>
    <w:pPr>
      <w:spacing w:before="100" w:beforeAutospacing="1" w:after="100" w:afterAutospacing="1"/>
    </w:pPr>
    <w:rPr>
      <w:lang w:val="es-MX"/>
    </w:rPr>
  </w:style>
  <w:style w:type="paragraph" w:customStyle="1" w:styleId="ANOTACION">
    <w:name w:val="ANOTACION"/>
    <w:basedOn w:val="Normal"/>
    <w:link w:val="ANOTACIONCar"/>
    <w:rsid w:val="001B5A73"/>
    <w:pPr>
      <w:spacing w:before="101" w:after="101" w:line="216" w:lineRule="atLeast"/>
      <w:jc w:val="center"/>
    </w:pPr>
    <w:rPr>
      <w:b/>
      <w:sz w:val="18"/>
      <w:szCs w:val="20"/>
      <w:lang w:val="es-ES_tradnl"/>
    </w:rPr>
  </w:style>
  <w:style w:type="character" w:customStyle="1" w:styleId="ANOTACIONCar">
    <w:name w:val="ANOTACION Car"/>
    <w:link w:val="ANOTACION"/>
    <w:locked/>
    <w:rsid w:val="001B5A73"/>
    <w:rPr>
      <w:rFonts w:ascii="Times New Roman" w:eastAsia="Times New Roman" w:hAnsi="Times New Roman" w:cs="Times New Roman"/>
      <w:b/>
      <w:sz w:val="18"/>
      <w:szCs w:val="20"/>
    </w:rPr>
  </w:style>
  <w:style w:type="paragraph" w:customStyle="1" w:styleId="j">
    <w:name w:val="j"/>
    <w:basedOn w:val="Normal"/>
    <w:rsid w:val="007B00BD"/>
    <w:pPr>
      <w:spacing w:before="100" w:beforeAutospacing="1" w:after="100" w:afterAutospacing="1"/>
    </w:pPr>
    <w:rPr>
      <w:lang w:val="es-MX"/>
    </w:rPr>
  </w:style>
  <w:style w:type="character" w:customStyle="1" w:styleId="nacep">
    <w:name w:val="n_acep"/>
    <w:basedOn w:val="Fuentedeprrafopredeter"/>
    <w:rsid w:val="007B00BD"/>
  </w:style>
  <w:style w:type="paragraph" w:customStyle="1" w:styleId="k5">
    <w:name w:val="k5"/>
    <w:basedOn w:val="Normal"/>
    <w:rsid w:val="007B00BD"/>
    <w:pPr>
      <w:spacing w:before="100" w:beforeAutospacing="1" w:after="100" w:afterAutospacing="1"/>
    </w:pPr>
    <w:rPr>
      <w:lang w:val="es-MX"/>
    </w:rPr>
  </w:style>
  <w:style w:type="paragraph" w:customStyle="1" w:styleId="m">
    <w:name w:val="m"/>
    <w:basedOn w:val="Normal"/>
    <w:rsid w:val="007B00BD"/>
    <w:pPr>
      <w:spacing w:before="100" w:beforeAutospacing="1" w:after="100" w:afterAutospacing="1"/>
    </w:pPr>
    <w:rPr>
      <w:lang w:val="es-MX"/>
    </w:rPr>
  </w:style>
  <w:style w:type="character" w:styleId="Refdecomentario">
    <w:name w:val="annotation reference"/>
    <w:basedOn w:val="Fuentedeprrafopredeter"/>
    <w:uiPriority w:val="99"/>
    <w:semiHidden/>
    <w:unhideWhenUsed/>
    <w:rsid w:val="003219FE"/>
    <w:rPr>
      <w:sz w:val="16"/>
      <w:szCs w:val="16"/>
    </w:rPr>
  </w:style>
  <w:style w:type="paragraph" w:styleId="Textocomentario">
    <w:name w:val="annotation text"/>
    <w:basedOn w:val="Normal"/>
    <w:link w:val="TextocomentarioCar"/>
    <w:uiPriority w:val="99"/>
    <w:semiHidden/>
    <w:unhideWhenUsed/>
    <w:rsid w:val="003219FE"/>
    <w:rPr>
      <w:sz w:val="20"/>
      <w:szCs w:val="20"/>
    </w:rPr>
  </w:style>
  <w:style w:type="character" w:customStyle="1" w:styleId="TextocomentarioCar">
    <w:name w:val="Texto comentario Car"/>
    <w:basedOn w:val="Fuentedeprrafopredeter"/>
    <w:link w:val="Textocomentario"/>
    <w:uiPriority w:val="99"/>
    <w:semiHidden/>
    <w:rsid w:val="003219FE"/>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3219FE"/>
    <w:rPr>
      <w:b/>
      <w:bCs/>
    </w:rPr>
  </w:style>
  <w:style w:type="character" w:customStyle="1" w:styleId="AsuntodelcomentarioCar">
    <w:name w:val="Asunto del comentario Car"/>
    <w:basedOn w:val="TextocomentarioCar"/>
    <w:link w:val="Asuntodelcomentario"/>
    <w:uiPriority w:val="99"/>
    <w:semiHidden/>
    <w:rsid w:val="003219FE"/>
    <w:rPr>
      <w:rFonts w:ascii="Times New Roman" w:eastAsia="Times New Roman" w:hAnsi="Times New Roman" w:cs="Times New Roman"/>
      <w:b/>
      <w:bCs/>
      <w:sz w:val="20"/>
      <w:szCs w:val="20"/>
      <w:lang w:val="es-ES"/>
    </w:rPr>
  </w:style>
  <w:style w:type="paragraph" w:customStyle="1" w:styleId="FAFunotente1">
    <w:name w:val="FA Fu?notente1"/>
    <w:basedOn w:val="Normal"/>
    <w:next w:val="Textonotapie"/>
    <w:uiPriority w:val="99"/>
    <w:unhideWhenUsed/>
    <w:rsid w:val="00A403D3"/>
    <w:rPr>
      <w:rFonts w:asciiTheme="minorHAnsi" w:eastAsia="Cambria" w:hAnsiTheme="minorHAnsi" w:cstheme="minorBidi"/>
      <w:sz w:val="20"/>
      <w:szCs w:val="20"/>
      <w:lang w:val="es-MX" w:eastAsia="en-US"/>
    </w:rPr>
  </w:style>
  <w:style w:type="character" w:customStyle="1" w:styleId="Ttulo1Car">
    <w:name w:val="Título 1 Car"/>
    <w:basedOn w:val="Fuentedeprrafopredeter"/>
    <w:link w:val="Ttulo1"/>
    <w:uiPriority w:val="9"/>
    <w:rsid w:val="00603D72"/>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603D72"/>
    <w:rPr>
      <w:rFonts w:asciiTheme="majorHAnsi" w:eastAsiaTheme="majorEastAsia" w:hAnsiTheme="majorHAnsi" w:cstheme="majorBidi"/>
      <w:color w:val="365F91" w:themeColor="accent1" w:themeShade="BF"/>
      <w:sz w:val="26"/>
      <w:szCs w:val="26"/>
      <w:lang w:val="es-ES"/>
    </w:rPr>
  </w:style>
  <w:style w:type="paragraph" w:styleId="Lista">
    <w:name w:val="List"/>
    <w:basedOn w:val="Normal"/>
    <w:uiPriority w:val="99"/>
    <w:unhideWhenUsed/>
    <w:rsid w:val="00603D72"/>
    <w:pPr>
      <w:ind w:left="283" w:hanging="283"/>
      <w:contextualSpacing/>
    </w:pPr>
  </w:style>
  <w:style w:type="paragraph" w:styleId="Lista2">
    <w:name w:val="List 2"/>
    <w:basedOn w:val="Normal"/>
    <w:uiPriority w:val="99"/>
    <w:unhideWhenUsed/>
    <w:rsid w:val="00603D72"/>
    <w:pPr>
      <w:ind w:left="566" w:hanging="283"/>
      <w:contextualSpacing/>
    </w:pPr>
  </w:style>
  <w:style w:type="paragraph" w:styleId="Lista3">
    <w:name w:val="List 3"/>
    <w:basedOn w:val="Normal"/>
    <w:uiPriority w:val="99"/>
    <w:unhideWhenUsed/>
    <w:rsid w:val="00603D72"/>
    <w:pPr>
      <w:ind w:left="849" w:hanging="283"/>
      <w:contextualSpacing/>
    </w:pPr>
  </w:style>
  <w:style w:type="paragraph" w:styleId="Listaconvietas3">
    <w:name w:val="List Bullet 3"/>
    <w:basedOn w:val="Normal"/>
    <w:uiPriority w:val="99"/>
    <w:unhideWhenUsed/>
    <w:rsid w:val="00603D72"/>
    <w:pPr>
      <w:numPr>
        <w:numId w:val="2"/>
      </w:numPr>
      <w:contextualSpacing/>
    </w:pPr>
  </w:style>
  <w:style w:type="paragraph" w:styleId="Continuarlista">
    <w:name w:val="List Continue"/>
    <w:basedOn w:val="Normal"/>
    <w:uiPriority w:val="99"/>
    <w:unhideWhenUsed/>
    <w:rsid w:val="00603D72"/>
    <w:pPr>
      <w:spacing w:after="120"/>
      <w:ind w:left="283"/>
      <w:contextualSpacing/>
    </w:pPr>
  </w:style>
  <w:style w:type="paragraph" w:styleId="Continuarlista2">
    <w:name w:val="List Continue 2"/>
    <w:basedOn w:val="Normal"/>
    <w:uiPriority w:val="99"/>
    <w:unhideWhenUsed/>
    <w:rsid w:val="00603D72"/>
    <w:pPr>
      <w:spacing w:after="120"/>
      <w:ind w:left="566"/>
      <w:contextualSpacing/>
    </w:pPr>
  </w:style>
  <w:style w:type="paragraph" w:styleId="Textoindependiente">
    <w:name w:val="Body Text"/>
    <w:basedOn w:val="Normal"/>
    <w:link w:val="TextoindependienteCar"/>
    <w:uiPriority w:val="99"/>
    <w:unhideWhenUsed/>
    <w:rsid w:val="00603D72"/>
    <w:pPr>
      <w:spacing w:after="120"/>
    </w:pPr>
  </w:style>
  <w:style w:type="character" w:customStyle="1" w:styleId="TextoindependienteCar">
    <w:name w:val="Texto independiente Car"/>
    <w:basedOn w:val="Fuentedeprrafopredeter"/>
    <w:link w:val="Textoindependiente"/>
    <w:uiPriority w:val="99"/>
    <w:rsid w:val="00603D72"/>
    <w:rPr>
      <w:rFonts w:ascii="Times New Roman" w:eastAsia="Times New Roman" w:hAnsi="Times New Roman" w:cs="Times New Roman"/>
      <w:lang w:val="es-ES"/>
    </w:rPr>
  </w:style>
  <w:style w:type="paragraph" w:styleId="Sangradetextonormal">
    <w:name w:val="Body Text Indent"/>
    <w:basedOn w:val="Normal"/>
    <w:link w:val="SangradetextonormalCar"/>
    <w:uiPriority w:val="99"/>
    <w:semiHidden/>
    <w:unhideWhenUsed/>
    <w:rsid w:val="00603D72"/>
    <w:pPr>
      <w:spacing w:after="120"/>
      <w:ind w:left="283"/>
    </w:pPr>
  </w:style>
  <w:style w:type="character" w:customStyle="1" w:styleId="SangradetextonormalCar">
    <w:name w:val="Sangría de texto normal Car"/>
    <w:basedOn w:val="Fuentedeprrafopredeter"/>
    <w:link w:val="Sangradetextonormal"/>
    <w:uiPriority w:val="99"/>
    <w:semiHidden/>
    <w:rsid w:val="00603D72"/>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603D7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603D72"/>
    <w:rPr>
      <w:rFonts w:ascii="Times New Roman" w:eastAsia="Times New Roman" w:hAnsi="Times New Roman" w:cs="Times New Roman"/>
      <w:lang w:val="es-ES"/>
    </w:rPr>
  </w:style>
  <w:style w:type="paragraph" w:customStyle="1" w:styleId="paragraph">
    <w:name w:val="paragraph"/>
    <w:basedOn w:val="Normal"/>
    <w:rsid w:val="00E34821"/>
    <w:pPr>
      <w:spacing w:before="100" w:beforeAutospacing="1" w:after="100" w:afterAutospacing="1"/>
    </w:pPr>
    <w:rPr>
      <w:lang w:val="es-MX"/>
    </w:rPr>
  </w:style>
  <w:style w:type="paragraph" w:customStyle="1" w:styleId="n2">
    <w:name w:val="n2"/>
    <w:basedOn w:val="Normal"/>
    <w:rsid w:val="009D307C"/>
    <w:pPr>
      <w:spacing w:before="100" w:beforeAutospacing="1" w:after="100" w:afterAutospacing="1"/>
    </w:pPr>
    <w:rPr>
      <w:lang w:val="es-MX"/>
    </w:rPr>
  </w:style>
  <w:style w:type="character" w:customStyle="1" w:styleId="u">
    <w:name w:val="u"/>
    <w:basedOn w:val="Fuentedeprrafopredeter"/>
    <w:rsid w:val="009D307C"/>
  </w:style>
  <w:style w:type="paragraph" w:customStyle="1" w:styleId="j1">
    <w:name w:val="j1"/>
    <w:basedOn w:val="Normal"/>
    <w:rsid w:val="009D307C"/>
    <w:pPr>
      <w:spacing w:before="100" w:beforeAutospacing="1" w:after="100" w:afterAutospacing="1"/>
    </w:pPr>
    <w:rPr>
      <w:lang w:val="es-MX"/>
    </w:rPr>
  </w:style>
  <w:style w:type="paragraph" w:customStyle="1" w:styleId="j2">
    <w:name w:val="j2"/>
    <w:basedOn w:val="Normal"/>
    <w:rsid w:val="009D307C"/>
    <w:pPr>
      <w:spacing w:before="100" w:beforeAutospacing="1" w:after="100" w:afterAutospacing="1"/>
    </w:pPr>
    <w:rPr>
      <w:lang w:val="es-MX"/>
    </w:rPr>
  </w:style>
  <w:style w:type="table" w:styleId="Tabladelista1clara-nfasis1">
    <w:name w:val="List Table 1 Light Accent 1"/>
    <w:basedOn w:val="Tablanormal"/>
    <w:uiPriority w:val="46"/>
    <w:rsid w:val="00A01B91"/>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Mencinsinresolver1">
    <w:name w:val="Mención sin resolver1"/>
    <w:basedOn w:val="Fuentedeprrafopredeter"/>
    <w:uiPriority w:val="99"/>
    <w:semiHidden/>
    <w:unhideWhenUsed/>
    <w:rsid w:val="00457753"/>
    <w:rPr>
      <w:color w:val="605E5C"/>
      <w:shd w:val="clear" w:color="auto" w:fill="E1DFDD"/>
    </w:rPr>
  </w:style>
  <w:style w:type="character" w:customStyle="1" w:styleId="Mencinsinresolver2">
    <w:name w:val="Mención sin resolver2"/>
    <w:basedOn w:val="Fuentedeprrafopredeter"/>
    <w:uiPriority w:val="99"/>
    <w:semiHidden/>
    <w:unhideWhenUsed/>
    <w:rsid w:val="00CE48D4"/>
    <w:rPr>
      <w:color w:val="605E5C"/>
      <w:shd w:val="clear" w:color="auto" w:fill="E1DFDD"/>
    </w:rPr>
  </w:style>
  <w:style w:type="table" w:customStyle="1" w:styleId="Tabladelista1clara-nfasis11">
    <w:name w:val="Tabla de lista 1 clara - Énfasis 11"/>
    <w:basedOn w:val="Tablanormal"/>
    <w:uiPriority w:val="46"/>
    <w:rsid w:val="008F79FD"/>
    <w:rPr>
      <w:rFonts w:eastAsia="MS Mincho"/>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Ttulo3Car">
    <w:name w:val="Título 3 Car"/>
    <w:basedOn w:val="Fuentedeprrafopredeter"/>
    <w:link w:val="Ttulo3"/>
    <w:uiPriority w:val="9"/>
    <w:semiHidden/>
    <w:rsid w:val="003B73CD"/>
    <w:rPr>
      <w:rFonts w:asciiTheme="majorHAnsi" w:eastAsiaTheme="majorEastAsia" w:hAnsiTheme="majorHAnsi" w:cstheme="majorBidi"/>
      <w:b/>
      <w:bCs/>
      <w:sz w:val="26"/>
      <w:szCs w:val="26"/>
      <w:lang w:val="en-US" w:eastAsia="en-US"/>
    </w:rPr>
  </w:style>
  <w:style w:type="character" w:customStyle="1" w:styleId="Ttulo4Car">
    <w:name w:val="Título 4 Car"/>
    <w:basedOn w:val="Fuentedeprrafopredeter"/>
    <w:link w:val="Ttulo4"/>
    <w:uiPriority w:val="9"/>
    <w:semiHidden/>
    <w:rsid w:val="003B73CD"/>
    <w:rPr>
      <w:b/>
      <w:bCs/>
      <w:sz w:val="28"/>
      <w:szCs w:val="28"/>
      <w:lang w:val="en-US" w:eastAsia="en-US"/>
    </w:rPr>
  </w:style>
  <w:style w:type="character" w:customStyle="1" w:styleId="Ttulo5Car">
    <w:name w:val="Título 5 Car"/>
    <w:basedOn w:val="Fuentedeprrafopredeter"/>
    <w:link w:val="Ttulo5"/>
    <w:uiPriority w:val="9"/>
    <w:semiHidden/>
    <w:rsid w:val="003B73CD"/>
    <w:rPr>
      <w:b/>
      <w:bCs/>
      <w:i/>
      <w:iCs/>
      <w:sz w:val="26"/>
      <w:szCs w:val="26"/>
      <w:lang w:val="en-US" w:eastAsia="en-US"/>
    </w:rPr>
  </w:style>
  <w:style w:type="character" w:customStyle="1" w:styleId="Ttulo6Car">
    <w:name w:val="Título 6 Car"/>
    <w:basedOn w:val="Fuentedeprrafopredeter"/>
    <w:link w:val="Ttulo6"/>
    <w:semiHidden/>
    <w:rsid w:val="003B73CD"/>
    <w:rPr>
      <w:rFonts w:ascii="Times New Roman" w:eastAsia="Times New Roman" w:hAnsi="Times New Roman" w:cs="Times New Roman"/>
      <w:b/>
      <w:bCs/>
      <w:sz w:val="22"/>
      <w:szCs w:val="22"/>
      <w:lang w:val="en-US" w:eastAsia="en-US"/>
    </w:rPr>
  </w:style>
  <w:style w:type="character" w:customStyle="1" w:styleId="Ttulo7Car">
    <w:name w:val="Título 7 Car"/>
    <w:basedOn w:val="Fuentedeprrafopredeter"/>
    <w:link w:val="Ttulo7"/>
    <w:uiPriority w:val="9"/>
    <w:semiHidden/>
    <w:rsid w:val="003B73CD"/>
    <w:rPr>
      <w:lang w:val="en-US" w:eastAsia="en-US"/>
    </w:rPr>
  </w:style>
  <w:style w:type="character" w:customStyle="1" w:styleId="Ttulo8Car">
    <w:name w:val="Título 8 Car"/>
    <w:basedOn w:val="Fuentedeprrafopredeter"/>
    <w:link w:val="Ttulo8"/>
    <w:uiPriority w:val="9"/>
    <w:semiHidden/>
    <w:rsid w:val="003B73CD"/>
    <w:rPr>
      <w:i/>
      <w:iCs/>
      <w:lang w:val="en-US" w:eastAsia="en-US"/>
    </w:rPr>
  </w:style>
  <w:style w:type="character" w:customStyle="1" w:styleId="Ttulo9Car">
    <w:name w:val="Título 9 Car"/>
    <w:basedOn w:val="Fuentedeprrafopredeter"/>
    <w:link w:val="Ttulo9"/>
    <w:uiPriority w:val="9"/>
    <w:semiHidden/>
    <w:rsid w:val="003B73CD"/>
    <w:rPr>
      <w:rFonts w:asciiTheme="majorHAnsi" w:eastAsiaTheme="majorEastAsia" w:hAnsiTheme="majorHAnsi" w:cstheme="majorBidi"/>
      <w:sz w:val="22"/>
      <w:szCs w:val="22"/>
      <w:lang w:val="en-US" w:eastAsia="en-US"/>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08" w:type="dxa"/>
        <w:right w:w="108" w:type="dxa"/>
      </w:tblCellMar>
    </w:tblPr>
    <w:tblStylePr w:type="firstRow">
      <w:rPr>
        <w:b/>
      </w:rPr>
      <w:tblPr/>
      <w:tcPr>
        <w:tcBorders>
          <w:bottom w:val="single" w:sz="4" w:space="0" w:color="95B3D7"/>
        </w:tcBorders>
      </w:tcPr>
    </w:tblStylePr>
    <w:tblStylePr w:type="lastRow">
      <w:rPr>
        <w:b/>
      </w:rPr>
      <w:tblPr/>
      <w:tcPr>
        <w:tcBorders>
          <w:top w:val="single" w:sz="4" w:space="0" w:color="95B3D7"/>
        </w:tcBorders>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2"/>
    <w:tblPr>
      <w:tblStyleRowBandSize w:val="1"/>
      <w:tblStyleColBandSize w:val="1"/>
      <w:tblCellMar>
        <w:left w:w="115" w:type="dxa"/>
        <w:right w:w="115" w:type="dxa"/>
      </w:tblCellMar>
    </w:tblPr>
  </w:style>
  <w:style w:type="table" w:customStyle="1" w:styleId="a4">
    <w:basedOn w:val="TableNormal2"/>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1"/>
    <w:tblPr>
      <w:tblStyleRowBandSize w:val="1"/>
      <w:tblStyleColBandSize w:val="1"/>
      <w:tblCellMar>
        <w:left w:w="115"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1848468.pag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saimex.org.mx/saimex/solicitud/downloadAttach/1871540.page"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d/+cmsKD05ZSStPvcKU4NsDAdQ==">CgMxLjAyCGguZ2pkZ3hzMgloLjMwajB6bGwyCWguMWZvYjl0ZTIIaC50eWpjd3QyCWguMmV0OTJwMDIJaC4zZHk2dmttMgloLjN6bnlzaDc4AHIhMVoyNHBYNUltYUIyRFRYOVFmRno5em4xelpUMXlIalc3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1174</TotalTime>
  <Pages>59</Pages>
  <Words>12580</Words>
  <Characters>69196</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iMac</dc:creator>
  <cp:lastModifiedBy>Maricela Villagómez Martínez</cp:lastModifiedBy>
  <cp:revision>2</cp:revision>
  <cp:lastPrinted>2024-03-04T17:05:00Z</cp:lastPrinted>
  <dcterms:created xsi:type="dcterms:W3CDTF">2024-03-08T17:02:00Z</dcterms:created>
  <dcterms:modified xsi:type="dcterms:W3CDTF">2024-03-08T17:02:00Z</dcterms:modified>
</cp:coreProperties>
</file>