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B7FA" w14:textId="77777777" w:rsidR="005F614A" w:rsidRPr="00B911F2" w:rsidRDefault="005F614A">
      <w:pPr>
        <w:widowControl w:val="0"/>
        <w:pBdr>
          <w:top w:val="nil"/>
          <w:left w:val="nil"/>
          <w:bottom w:val="nil"/>
          <w:right w:val="nil"/>
          <w:between w:val="nil"/>
        </w:pBdr>
        <w:spacing w:line="276" w:lineRule="auto"/>
      </w:pPr>
    </w:p>
    <w:p w14:paraId="74CBE967" w14:textId="77777777" w:rsidR="005F614A" w:rsidRPr="00B911F2" w:rsidRDefault="000153B3">
      <w:pPr>
        <w:shd w:val="clear" w:color="auto" w:fill="FFFFFF"/>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veintiuno de febrero de dos mil veinticuatro.</w:t>
      </w:r>
    </w:p>
    <w:p w14:paraId="4DC610B9" w14:textId="77777777" w:rsidR="005F614A" w:rsidRPr="00B911F2" w:rsidRDefault="005F614A">
      <w:pPr>
        <w:tabs>
          <w:tab w:val="left" w:pos="1701"/>
        </w:tabs>
        <w:spacing w:line="360" w:lineRule="auto"/>
        <w:jc w:val="both"/>
        <w:rPr>
          <w:rFonts w:ascii="Palatino Linotype" w:eastAsia="Palatino Linotype" w:hAnsi="Palatino Linotype" w:cs="Palatino Linotype"/>
        </w:rPr>
      </w:pPr>
    </w:p>
    <w:p w14:paraId="427C703C" w14:textId="77777777" w:rsidR="005F614A" w:rsidRPr="00B911F2" w:rsidRDefault="000153B3">
      <w:pPr>
        <w:tabs>
          <w:tab w:val="left" w:pos="1701"/>
        </w:tabs>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VISTOS</w:t>
      </w:r>
      <w:r w:rsidRPr="00B911F2">
        <w:rPr>
          <w:rFonts w:ascii="Palatino Linotype" w:eastAsia="Palatino Linotype" w:hAnsi="Palatino Linotype" w:cs="Palatino Linotype"/>
        </w:rPr>
        <w:t xml:space="preserve"> los expedientes electrónicos formados con motivo de los recursos de revisión números </w:t>
      </w:r>
      <w:r w:rsidRPr="00B911F2">
        <w:rPr>
          <w:rFonts w:ascii="Palatino Linotype" w:eastAsia="Palatino Linotype" w:hAnsi="Palatino Linotype" w:cs="Palatino Linotype"/>
          <w:b/>
        </w:rPr>
        <w:t>08374/INFOEM/IP/RR/2023 y 08442/INFOEM/IP/RR/2023 acumulados</w:t>
      </w:r>
      <w:r w:rsidRPr="00B911F2">
        <w:rPr>
          <w:rFonts w:ascii="Palatino Linotype" w:eastAsia="Palatino Linotype" w:hAnsi="Palatino Linotype" w:cs="Palatino Linotype"/>
        </w:rPr>
        <w:t>, interpuestos por</w:t>
      </w:r>
      <w:r w:rsidRPr="00B911F2">
        <w:rPr>
          <w:rFonts w:ascii="Palatino Linotype" w:eastAsia="Palatino Linotype" w:hAnsi="Palatino Linotype" w:cs="Palatino Linotype"/>
          <w:b/>
        </w:rPr>
        <w:t xml:space="preserve"> un particular que no proporcionó su nombre</w:t>
      </w:r>
      <w:r w:rsidRPr="00B911F2">
        <w:rPr>
          <w:rFonts w:ascii="Palatino Linotype" w:eastAsia="Palatino Linotype" w:hAnsi="Palatino Linotype" w:cs="Palatino Linotype"/>
        </w:rPr>
        <w:t xml:space="preserve">, en lo sucesivo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en contra de las respuestas a las solicitudes de información con números de folio </w:t>
      </w:r>
      <w:r w:rsidRPr="00B911F2">
        <w:rPr>
          <w:rFonts w:ascii="Palatino Linotype" w:eastAsia="Palatino Linotype" w:hAnsi="Palatino Linotype" w:cs="Palatino Linotype"/>
          <w:b/>
        </w:rPr>
        <w:t>02081/ZINACANT/IP/2023</w:t>
      </w:r>
      <w:r w:rsidRPr="00B911F2">
        <w:rPr>
          <w:rFonts w:ascii="Palatino Linotype" w:eastAsia="Palatino Linotype" w:hAnsi="Palatino Linotype" w:cs="Palatino Linotype"/>
        </w:rPr>
        <w:t xml:space="preserve"> y </w:t>
      </w:r>
      <w:r w:rsidRPr="00B911F2">
        <w:rPr>
          <w:rFonts w:ascii="Palatino Linotype" w:eastAsia="Palatino Linotype" w:hAnsi="Palatino Linotype" w:cs="Palatino Linotype"/>
          <w:b/>
        </w:rPr>
        <w:t xml:space="preserve">02040/ZINACANT/IP/2023, </w:t>
      </w:r>
      <w:r w:rsidRPr="00B911F2">
        <w:rPr>
          <w:rFonts w:ascii="Palatino Linotype" w:eastAsia="Palatino Linotype" w:hAnsi="Palatino Linotype" w:cs="Palatino Linotype"/>
        </w:rPr>
        <w:t xml:space="preserve">por parte del </w:t>
      </w:r>
      <w:r w:rsidRPr="00B911F2">
        <w:rPr>
          <w:rFonts w:ascii="Palatino Linotype" w:eastAsia="Palatino Linotype" w:hAnsi="Palatino Linotype" w:cs="Palatino Linotype"/>
          <w:b/>
        </w:rPr>
        <w:t xml:space="preserve">Ayuntamiento de Zinacantepec, </w:t>
      </w:r>
      <w:r w:rsidRPr="00B911F2">
        <w:rPr>
          <w:rFonts w:ascii="Palatino Linotype" w:eastAsia="Palatino Linotype" w:hAnsi="Palatino Linotype" w:cs="Palatino Linotype"/>
        </w:rPr>
        <w:t>en lo subsecuente</w:t>
      </w:r>
      <w:r w:rsidRPr="00B911F2">
        <w:rPr>
          <w:rFonts w:ascii="Palatino Linotype" w:eastAsia="Palatino Linotype" w:hAnsi="Palatino Linotype" w:cs="Palatino Linotype"/>
          <w:b/>
        </w:rPr>
        <w:t xml:space="preserve"> el SUJETO OBLIGADO, </w:t>
      </w:r>
      <w:r w:rsidRPr="00B911F2">
        <w:rPr>
          <w:rFonts w:ascii="Palatino Linotype" w:eastAsia="Palatino Linotype" w:hAnsi="Palatino Linotype" w:cs="Palatino Linotype"/>
        </w:rPr>
        <w:t>se procede a dictar la presente resolución con base en lo siguiente.</w:t>
      </w:r>
    </w:p>
    <w:p w14:paraId="3AEA7E45" w14:textId="77777777" w:rsidR="005F614A" w:rsidRPr="00B911F2" w:rsidRDefault="005F614A">
      <w:pPr>
        <w:tabs>
          <w:tab w:val="left" w:pos="1701"/>
        </w:tabs>
        <w:spacing w:line="360" w:lineRule="auto"/>
        <w:jc w:val="both"/>
        <w:rPr>
          <w:rFonts w:ascii="Palatino Linotype" w:eastAsia="Palatino Linotype" w:hAnsi="Palatino Linotype" w:cs="Palatino Linotype"/>
          <w:b/>
        </w:rPr>
      </w:pPr>
    </w:p>
    <w:p w14:paraId="50FAFA0D" w14:textId="77777777" w:rsidR="005F614A" w:rsidRPr="00B911F2" w:rsidRDefault="000153B3">
      <w:pPr>
        <w:spacing w:line="360" w:lineRule="auto"/>
        <w:jc w:val="center"/>
        <w:rPr>
          <w:rFonts w:ascii="Palatino Linotype" w:eastAsia="Palatino Linotype" w:hAnsi="Palatino Linotype" w:cs="Palatino Linotype"/>
          <w:b/>
        </w:rPr>
      </w:pPr>
      <w:r w:rsidRPr="00B911F2">
        <w:rPr>
          <w:rFonts w:ascii="Palatino Linotype" w:eastAsia="Palatino Linotype" w:hAnsi="Palatino Linotype" w:cs="Palatino Linotype"/>
          <w:b/>
        </w:rPr>
        <w:t>A N T E C E D E N T E S</w:t>
      </w:r>
    </w:p>
    <w:p w14:paraId="4757AE85" w14:textId="77777777" w:rsidR="005F614A" w:rsidRPr="00B911F2" w:rsidRDefault="005F614A">
      <w:pPr>
        <w:spacing w:line="360" w:lineRule="auto"/>
        <w:jc w:val="center"/>
        <w:rPr>
          <w:rFonts w:ascii="Palatino Linotype" w:eastAsia="Palatino Linotype" w:hAnsi="Palatino Linotype" w:cs="Palatino Linotype"/>
          <w:b/>
        </w:rPr>
      </w:pPr>
    </w:p>
    <w:p w14:paraId="09CF1071"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t xml:space="preserve">1. Solicitudes de acceso a la información. </w:t>
      </w:r>
      <w:r w:rsidRPr="00B911F2">
        <w:rPr>
          <w:rFonts w:ascii="Palatino Linotype" w:eastAsia="Palatino Linotype" w:hAnsi="Palatino Linotype" w:cs="Palatino Linotype"/>
        </w:rPr>
        <w:t xml:space="preserve">En fechas </w:t>
      </w:r>
      <w:r w:rsidRPr="00B911F2">
        <w:rPr>
          <w:rFonts w:ascii="Palatino Linotype" w:eastAsia="Palatino Linotype" w:hAnsi="Palatino Linotype" w:cs="Palatino Linotype"/>
          <w:b/>
        </w:rPr>
        <w:t>seis y trece de noviembre de dos mil veintitrés,</w:t>
      </w:r>
      <w:r w:rsidRPr="00B911F2">
        <w:rPr>
          <w:rFonts w:ascii="Palatino Linotype" w:eastAsia="Palatino Linotype" w:hAnsi="Palatino Linotype" w:cs="Palatino Linotype"/>
        </w:rPr>
        <w:t xml:space="preserv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presentó a través del Sistema de Acceso a la Información Mexiquense </w:t>
      </w:r>
      <w:r w:rsidRPr="00B911F2">
        <w:rPr>
          <w:rFonts w:ascii="Palatino Linotype" w:eastAsia="Palatino Linotype" w:hAnsi="Palatino Linotype" w:cs="Palatino Linotype"/>
          <w:b/>
        </w:rPr>
        <w:t>(SAIMEX),</w:t>
      </w:r>
      <w:r w:rsidRPr="00B911F2">
        <w:rPr>
          <w:rFonts w:ascii="Palatino Linotype" w:eastAsia="Palatino Linotype" w:hAnsi="Palatino Linotype" w:cs="Palatino Linotype"/>
        </w:rPr>
        <w:t xml:space="preserve"> ante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las solicitudes  de acceso a la información pública mediante las cuales solicitó lo siguiente:</w:t>
      </w:r>
    </w:p>
    <w:tbl>
      <w:tblPr>
        <w:tblStyle w:val="a"/>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B911F2" w:rsidRPr="00B911F2" w14:paraId="3D7BE3DB" w14:textId="77777777">
        <w:trPr>
          <w:trHeight w:val="1352"/>
        </w:trPr>
        <w:tc>
          <w:tcPr>
            <w:tcW w:w="4446" w:type="dxa"/>
          </w:tcPr>
          <w:p w14:paraId="67B676A5" w14:textId="77777777" w:rsidR="005F614A" w:rsidRPr="00B911F2" w:rsidRDefault="000153B3">
            <w:pPr>
              <w:pBdr>
                <w:top w:val="nil"/>
                <w:left w:val="nil"/>
                <w:bottom w:val="nil"/>
                <w:right w:val="nil"/>
                <w:between w:val="nil"/>
              </w:pBdr>
              <w:rPr>
                <w:rFonts w:ascii="Palatino Linotype" w:eastAsia="Palatino Linotype" w:hAnsi="Palatino Linotype" w:cs="Palatino Linotype"/>
                <w:b/>
                <w:sz w:val="22"/>
                <w:szCs w:val="22"/>
              </w:rPr>
            </w:pPr>
            <w:r w:rsidRPr="00B911F2">
              <w:rPr>
                <w:rFonts w:ascii="Palatino Linotype" w:eastAsia="Palatino Linotype" w:hAnsi="Palatino Linotype" w:cs="Palatino Linotype"/>
                <w:b/>
                <w:sz w:val="22"/>
                <w:szCs w:val="22"/>
              </w:rPr>
              <w:t>02081/ZINACANT/IP/2023</w:t>
            </w:r>
            <w:r w:rsidRPr="00B911F2">
              <w:rPr>
                <w:rFonts w:ascii="Palatino Linotype" w:eastAsia="Palatino Linotype" w:hAnsi="Palatino Linotype" w:cs="Palatino Linotype"/>
                <w:sz w:val="22"/>
                <w:szCs w:val="22"/>
              </w:rPr>
              <w:t xml:space="preserve"> </w:t>
            </w:r>
          </w:p>
        </w:tc>
        <w:tc>
          <w:tcPr>
            <w:tcW w:w="4447" w:type="dxa"/>
          </w:tcPr>
          <w:p w14:paraId="5DF28F9A" w14:textId="77777777" w:rsidR="005F614A" w:rsidRPr="00B911F2" w:rsidRDefault="000153B3">
            <w:pPr>
              <w:pBdr>
                <w:top w:val="nil"/>
                <w:left w:val="nil"/>
                <w:bottom w:val="nil"/>
                <w:right w:val="nil"/>
                <w:between w:val="nil"/>
              </w:pBd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SOLICITO TODAS LAS FACTURAS PAGADAS POR EL IMCUFIDEZ DEL AÑO 2023</w:t>
            </w:r>
          </w:p>
        </w:tc>
      </w:tr>
      <w:tr w:rsidR="005F614A" w:rsidRPr="00B911F2" w14:paraId="0A197FD8" w14:textId="77777777">
        <w:trPr>
          <w:trHeight w:val="1379"/>
        </w:trPr>
        <w:tc>
          <w:tcPr>
            <w:tcW w:w="4446" w:type="dxa"/>
          </w:tcPr>
          <w:p w14:paraId="54E12B63" w14:textId="77777777" w:rsidR="005F614A" w:rsidRPr="00B911F2" w:rsidRDefault="000153B3">
            <w:pPr>
              <w:pBdr>
                <w:top w:val="nil"/>
                <w:left w:val="nil"/>
                <w:bottom w:val="nil"/>
                <w:right w:val="nil"/>
                <w:between w:val="nil"/>
              </w:pBdr>
              <w:rPr>
                <w:rFonts w:ascii="Palatino Linotype" w:eastAsia="Palatino Linotype" w:hAnsi="Palatino Linotype" w:cs="Palatino Linotype"/>
                <w:b/>
                <w:sz w:val="22"/>
                <w:szCs w:val="22"/>
              </w:rPr>
            </w:pPr>
            <w:r w:rsidRPr="00B911F2">
              <w:rPr>
                <w:rFonts w:ascii="Palatino Linotype" w:eastAsia="Palatino Linotype" w:hAnsi="Palatino Linotype" w:cs="Palatino Linotype"/>
                <w:b/>
                <w:sz w:val="22"/>
                <w:szCs w:val="22"/>
              </w:rPr>
              <w:lastRenderedPageBreak/>
              <w:t>02040/ZINACANT/IP/2023</w:t>
            </w:r>
          </w:p>
        </w:tc>
        <w:tc>
          <w:tcPr>
            <w:tcW w:w="4447" w:type="dxa"/>
          </w:tcPr>
          <w:p w14:paraId="5D4A6535" w14:textId="77777777" w:rsidR="005F614A" w:rsidRPr="00B911F2" w:rsidRDefault="000153B3">
            <w:pPr>
              <w:pBdr>
                <w:top w:val="nil"/>
                <w:left w:val="nil"/>
                <w:bottom w:val="nil"/>
                <w:right w:val="nil"/>
                <w:between w:val="nil"/>
              </w:pBd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SOLICITO LAS FACTURAS DE PAGO DE LAS VELADORAS ENTREGADAS EN EL PANTEÓN MUNICIPAL DE ZINACANTEPEC 2023</w:t>
            </w:r>
          </w:p>
        </w:tc>
      </w:tr>
    </w:tbl>
    <w:p w14:paraId="0F4A2FED" w14:textId="77777777" w:rsidR="005F614A" w:rsidRPr="00B911F2" w:rsidRDefault="005F614A">
      <w:pPr>
        <w:pBdr>
          <w:top w:val="nil"/>
          <w:left w:val="nil"/>
          <w:bottom w:val="nil"/>
          <w:right w:val="nil"/>
          <w:between w:val="nil"/>
        </w:pBdr>
        <w:rPr>
          <w:sz w:val="16"/>
          <w:szCs w:val="16"/>
        </w:rPr>
      </w:pPr>
    </w:p>
    <w:p w14:paraId="2C1D6241" w14:textId="77777777" w:rsidR="005F614A" w:rsidRPr="00B911F2" w:rsidRDefault="005F614A">
      <w:pPr>
        <w:pBdr>
          <w:top w:val="nil"/>
          <w:left w:val="nil"/>
          <w:bottom w:val="nil"/>
          <w:right w:val="nil"/>
          <w:between w:val="nil"/>
        </w:pBdr>
        <w:rPr>
          <w:sz w:val="16"/>
          <w:szCs w:val="16"/>
        </w:rPr>
      </w:pPr>
    </w:p>
    <w:p w14:paraId="7E4F1234" w14:textId="77777777" w:rsidR="005F614A" w:rsidRPr="00B911F2" w:rsidRDefault="000153B3">
      <w:pPr>
        <w:tabs>
          <w:tab w:val="left" w:pos="5647"/>
        </w:tabs>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b/>
        </w:rPr>
        <w:t>MODALIDAD DE ENTREGA EN AMBAS SOLICITUDES:</w:t>
      </w:r>
      <w:r w:rsidRPr="00B911F2">
        <w:rPr>
          <w:rFonts w:ascii="Palatino Linotype" w:eastAsia="Palatino Linotype" w:hAnsi="Palatino Linotype" w:cs="Palatino Linotype"/>
        </w:rPr>
        <w:t xml:space="preserve"> A través del </w:t>
      </w:r>
      <w:r w:rsidRPr="00B911F2">
        <w:rPr>
          <w:rFonts w:ascii="Palatino Linotype" w:eastAsia="Palatino Linotype" w:hAnsi="Palatino Linotype" w:cs="Palatino Linotype"/>
          <w:b/>
        </w:rPr>
        <w:t>SAIMEX</w:t>
      </w:r>
      <w:r w:rsidRPr="00B911F2">
        <w:rPr>
          <w:rFonts w:ascii="Palatino Linotype" w:eastAsia="Palatino Linotype" w:hAnsi="Palatino Linotype" w:cs="Palatino Linotype"/>
        </w:rPr>
        <w:t>.</w:t>
      </w:r>
    </w:p>
    <w:p w14:paraId="3A7A56BE" w14:textId="77777777" w:rsidR="005F614A" w:rsidRPr="00B911F2" w:rsidRDefault="005F614A">
      <w:pPr>
        <w:spacing w:line="360" w:lineRule="auto"/>
        <w:jc w:val="both"/>
        <w:rPr>
          <w:rFonts w:ascii="Palatino Linotype" w:eastAsia="Palatino Linotype" w:hAnsi="Palatino Linotype" w:cs="Palatino Linotype"/>
          <w:b/>
        </w:rPr>
      </w:pPr>
    </w:p>
    <w:p w14:paraId="025E88A0"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2. Respuesta. </w:t>
      </w:r>
      <w:r w:rsidRPr="00B911F2">
        <w:rPr>
          <w:rFonts w:ascii="Palatino Linotype" w:eastAsia="Palatino Linotype" w:hAnsi="Palatino Linotype" w:cs="Palatino Linotype"/>
        </w:rPr>
        <w:t xml:space="preserve">De las constancias que obran en el sistema </w:t>
      </w:r>
      <w:r w:rsidRPr="00B911F2">
        <w:rPr>
          <w:rFonts w:ascii="Palatino Linotype" w:eastAsia="Palatino Linotype" w:hAnsi="Palatino Linotype" w:cs="Palatino Linotype"/>
          <w:b/>
        </w:rPr>
        <w:t>SAIMEX,</w:t>
      </w:r>
      <w:r w:rsidRPr="00B911F2">
        <w:rPr>
          <w:rFonts w:ascii="Palatino Linotype" w:eastAsia="Palatino Linotype" w:hAnsi="Palatino Linotype" w:cs="Palatino Linotype"/>
        </w:rPr>
        <w:t xml:space="preserve"> se advierte que el </w:t>
      </w:r>
      <w:r w:rsidRPr="00B911F2">
        <w:rPr>
          <w:rFonts w:ascii="Palatino Linotype" w:eastAsia="Palatino Linotype" w:hAnsi="Palatino Linotype" w:cs="Palatino Linotype"/>
          <w:b/>
        </w:rPr>
        <w:t>veintiocho de noviembre</w:t>
      </w:r>
      <w:r w:rsidRPr="00B911F2">
        <w:rPr>
          <w:rFonts w:ascii="Palatino Linotype" w:eastAsia="Palatino Linotype" w:hAnsi="Palatino Linotype" w:cs="Palatino Linotype"/>
        </w:rPr>
        <w:t xml:space="preserve"> y </w:t>
      </w:r>
      <w:r w:rsidRPr="00B911F2">
        <w:rPr>
          <w:rFonts w:ascii="Palatino Linotype" w:eastAsia="Palatino Linotype" w:hAnsi="Palatino Linotype" w:cs="Palatino Linotype"/>
          <w:b/>
        </w:rPr>
        <w:t>cinco de diciembre, del año dos mil veintitrés</w:t>
      </w:r>
      <w:r w:rsidRPr="00B911F2">
        <w:rPr>
          <w:rFonts w:ascii="Palatino Linotype" w:eastAsia="Palatino Linotype" w:hAnsi="Palatino Linotype" w:cs="Palatino Linotype"/>
        </w:rPr>
        <w:t xml:space="preserve">, </w:t>
      </w:r>
      <w:r w:rsidRPr="00B911F2">
        <w:rPr>
          <w:rFonts w:ascii="Palatino Linotype" w:eastAsia="Palatino Linotype" w:hAnsi="Palatino Linotype" w:cs="Palatino Linotype"/>
          <w:b/>
        </w:rPr>
        <w:t>El SUJETO OBLIGADO</w:t>
      </w:r>
      <w:r w:rsidRPr="00B911F2">
        <w:rPr>
          <w:rFonts w:ascii="Palatino Linotype" w:eastAsia="Palatino Linotype" w:hAnsi="Palatino Linotype" w:cs="Palatino Linotype"/>
        </w:rPr>
        <w:t xml:space="preserve"> emitió las respuestas en los siguientes términos:</w:t>
      </w:r>
    </w:p>
    <w:tbl>
      <w:tblPr>
        <w:tblStyle w:val="a0"/>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B911F2" w:rsidRPr="00B911F2" w14:paraId="42E29D33" w14:textId="77777777">
        <w:tc>
          <w:tcPr>
            <w:tcW w:w="4555" w:type="dxa"/>
          </w:tcPr>
          <w:p w14:paraId="7FAC0E2E"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sz w:val="22"/>
                <w:szCs w:val="22"/>
              </w:rPr>
              <w:t>02081/ZINACANT/IP/2023</w:t>
            </w:r>
          </w:p>
        </w:tc>
        <w:tc>
          <w:tcPr>
            <w:tcW w:w="4556" w:type="dxa"/>
          </w:tcPr>
          <w:p w14:paraId="06A8F36D"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02081/ZINACANT/IP/2023, recibida a través del Sistema SAIMEX, en donde se solicita textualmente lo siguiente: “SOLICITO TODAS LAS FACTURAS PAGADAS POR EL IMCUFIDEZ DEL AÑO 2023” (sic). En apego a lo establecido </w:t>
            </w:r>
            <w:r w:rsidRPr="00B911F2">
              <w:rPr>
                <w:rFonts w:ascii="Palatino Linotype" w:eastAsia="Palatino Linotype" w:hAnsi="Palatino Linotype" w:cs="Palatino Linotype"/>
                <w:b/>
                <w:sz w:val="22"/>
                <w:szCs w:val="22"/>
                <w:u w:val="single"/>
              </w:rPr>
              <w:t>su solicitud fue analizada y turnada al área poseedora de la información, en este caso a el Instituto Municipal de Cultura Física y Deporte,</w:t>
            </w:r>
            <w:r w:rsidRPr="00B911F2">
              <w:rPr>
                <w:rFonts w:ascii="Palatino Linotype" w:eastAsia="Palatino Linotype" w:hAnsi="Palatino Linotype" w:cs="Palatino Linotype"/>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w:t>
            </w:r>
            <w:r w:rsidRPr="00B911F2">
              <w:rPr>
                <w:rFonts w:ascii="Palatino Linotype" w:eastAsia="Palatino Linotype" w:hAnsi="Palatino Linotype" w:cs="Palatino Linotype"/>
                <w:sz w:val="22"/>
                <w:szCs w:val="22"/>
              </w:rPr>
              <w:lastRenderedPageBreak/>
              <w:t>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órdenes…”(Sic)</w:t>
            </w:r>
          </w:p>
          <w:p w14:paraId="1A8F589E" w14:textId="77777777" w:rsidR="005F614A" w:rsidRPr="00B911F2" w:rsidRDefault="005F614A">
            <w:pPr>
              <w:jc w:val="both"/>
              <w:rPr>
                <w:rFonts w:ascii="Palatino Linotype" w:eastAsia="Palatino Linotype" w:hAnsi="Palatino Linotype" w:cs="Palatino Linotype"/>
                <w:sz w:val="22"/>
                <w:szCs w:val="22"/>
              </w:rPr>
            </w:pPr>
          </w:p>
          <w:p w14:paraId="08476BD6"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 xml:space="preserve">El </w:t>
            </w:r>
            <w:r w:rsidRPr="00B911F2">
              <w:rPr>
                <w:rFonts w:ascii="Palatino Linotype" w:eastAsia="Palatino Linotype" w:hAnsi="Palatino Linotype" w:cs="Palatino Linotype"/>
                <w:b/>
                <w:sz w:val="22"/>
                <w:szCs w:val="22"/>
              </w:rPr>
              <w:t>SUJETO OBLIGADO</w:t>
            </w:r>
            <w:r w:rsidRPr="00B911F2">
              <w:rPr>
                <w:rFonts w:ascii="Palatino Linotype" w:eastAsia="Palatino Linotype" w:hAnsi="Palatino Linotype" w:cs="Palatino Linotype"/>
                <w:sz w:val="22"/>
                <w:szCs w:val="22"/>
              </w:rPr>
              <w:t xml:space="preserve">, adjuntó a su respuesta el archivo denominado: </w:t>
            </w:r>
          </w:p>
          <w:p w14:paraId="37009A54" w14:textId="77777777" w:rsidR="005F614A" w:rsidRPr="00B911F2" w:rsidRDefault="005F614A">
            <w:pPr>
              <w:jc w:val="both"/>
              <w:rPr>
                <w:rFonts w:ascii="Palatino Linotype" w:eastAsia="Palatino Linotype" w:hAnsi="Palatino Linotype" w:cs="Palatino Linotype"/>
                <w:sz w:val="22"/>
                <w:szCs w:val="22"/>
              </w:rPr>
            </w:pPr>
          </w:p>
          <w:p w14:paraId="2D2D5B17"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w:t>
            </w:r>
            <w:hyperlink r:id="rId8">
              <w:r w:rsidRPr="00B911F2">
                <w:rPr>
                  <w:rFonts w:ascii="Palatino Linotype" w:eastAsia="Palatino Linotype" w:hAnsi="Palatino Linotype" w:cs="Palatino Linotype"/>
                  <w:sz w:val="22"/>
                  <w:szCs w:val="22"/>
                </w:rPr>
                <w:t>02081.pdf</w:t>
              </w:r>
            </w:hyperlink>
            <w:r w:rsidRPr="00B911F2">
              <w:rPr>
                <w:rFonts w:ascii="Palatino Linotype" w:eastAsia="Palatino Linotype" w:hAnsi="Palatino Linotype" w:cs="Palatino Linotype"/>
                <w:sz w:val="22"/>
                <w:szCs w:val="22"/>
              </w:rPr>
              <w:t>”, el cual contiene el oficio número ZIN/IMCUFIDEZ/DG/0590/2023, por medio del cual el Director General del Instituto Municipal de Cultura Física y Deporte del Ayuntamiento de Zinacantepec, informó que al comparar la información solicitada con la información que se encuentra en las ligas de CONAC del Instituto Municipal de Cultura Física y Deporte de Zinacantepec, tienen similitud de acuerdo al interés público, ya que dicha información al ser de carácter público se encuentra publicada en la página del IMCUFIDEZ, en la parte de Transparencia, Consejo Nacional de Amortización Contable (CONAC) en el siguiente enlace:</w:t>
            </w:r>
          </w:p>
          <w:p w14:paraId="400C3B46" w14:textId="77777777" w:rsidR="005F614A" w:rsidRPr="00B911F2" w:rsidRDefault="005F614A">
            <w:pPr>
              <w:jc w:val="both"/>
              <w:rPr>
                <w:rFonts w:ascii="Palatino Linotype" w:eastAsia="Palatino Linotype" w:hAnsi="Palatino Linotype" w:cs="Palatino Linotype"/>
                <w:sz w:val="22"/>
                <w:szCs w:val="22"/>
              </w:rPr>
            </w:pPr>
          </w:p>
          <w:p w14:paraId="304AD5EE" w14:textId="77777777" w:rsidR="005F614A" w:rsidRPr="00B911F2" w:rsidRDefault="00C96126">
            <w:pPr>
              <w:jc w:val="both"/>
              <w:rPr>
                <w:rFonts w:ascii="Palatino Linotype" w:eastAsia="Palatino Linotype" w:hAnsi="Palatino Linotype" w:cs="Palatino Linotype"/>
                <w:sz w:val="22"/>
                <w:szCs w:val="22"/>
              </w:rPr>
            </w:pPr>
            <w:hyperlink r:id="rId9">
              <w:r w:rsidR="000153B3" w:rsidRPr="00B911F2">
                <w:rPr>
                  <w:rFonts w:ascii="Palatino Linotype" w:eastAsia="Palatino Linotype" w:hAnsi="Palatino Linotype" w:cs="Palatino Linotype"/>
                  <w:sz w:val="22"/>
                  <w:szCs w:val="22"/>
                  <w:u w:val="single"/>
                </w:rPr>
                <w:t>https://imcufidez.zinacantepec.gob.mx/conac_imcufidez.php</w:t>
              </w:r>
            </w:hyperlink>
          </w:p>
          <w:p w14:paraId="41FDDBB6" w14:textId="77777777" w:rsidR="005F614A" w:rsidRPr="00B911F2" w:rsidRDefault="005F614A">
            <w:pPr>
              <w:jc w:val="both"/>
              <w:rPr>
                <w:rFonts w:ascii="Palatino Linotype" w:eastAsia="Palatino Linotype" w:hAnsi="Palatino Linotype" w:cs="Palatino Linotype"/>
                <w:sz w:val="22"/>
                <w:szCs w:val="22"/>
              </w:rPr>
            </w:pPr>
          </w:p>
        </w:tc>
      </w:tr>
      <w:tr w:rsidR="005F614A" w:rsidRPr="00B911F2" w14:paraId="4DE0308A" w14:textId="77777777">
        <w:tc>
          <w:tcPr>
            <w:tcW w:w="4555" w:type="dxa"/>
          </w:tcPr>
          <w:p w14:paraId="0AB57D54" w14:textId="77777777" w:rsidR="005F614A" w:rsidRPr="00B911F2" w:rsidRDefault="000153B3">
            <w:pPr>
              <w:spacing w:line="360" w:lineRule="auto"/>
              <w:jc w:val="both"/>
              <w:rPr>
                <w:rFonts w:ascii="Palatino Linotype" w:eastAsia="Palatino Linotype" w:hAnsi="Palatino Linotype" w:cs="Palatino Linotype"/>
                <w:b/>
                <w:sz w:val="22"/>
                <w:szCs w:val="22"/>
              </w:rPr>
            </w:pPr>
            <w:r w:rsidRPr="00B911F2">
              <w:rPr>
                <w:rFonts w:ascii="Palatino Linotype" w:eastAsia="Palatino Linotype" w:hAnsi="Palatino Linotype" w:cs="Palatino Linotype"/>
                <w:b/>
                <w:sz w:val="22"/>
                <w:szCs w:val="22"/>
              </w:rPr>
              <w:lastRenderedPageBreak/>
              <w:t>02040/ZINACANT/IP/2023</w:t>
            </w:r>
          </w:p>
        </w:tc>
        <w:tc>
          <w:tcPr>
            <w:tcW w:w="4556" w:type="dxa"/>
          </w:tcPr>
          <w:p w14:paraId="6F95C426"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02040/ZINACANT/IP/2023, recibida a través del Sistema SAIMEX, en donde se solicita textualmente lo siguiente: “SOLICITO LAS FACTURAS DE PAGO DE LAS VELADORAS ENTREGADAS EN EL PANTEÓN MUNICIPAL DE ZINACANTEPEC 2023.” (sic). En apego a lo establecido </w:t>
            </w:r>
            <w:r w:rsidRPr="00B911F2">
              <w:rPr>
                <w:rFonts w:ascii="Palatino Linotype" w:eastAsia="Palatino Linotype" w:hAnsi="Palatino Linotype" w:cs="Palatino Linotype"/>
                <w:b/>
                <w:sz w:val="22"/>
                <w:szCs w:val="22"/>
                <w:u w:val="single"/>
              </w:rPr>
              <w:t>su solicitud fue analizada y turnada al área poseedora de la información, en este caso a la Tesorería Municipal</w:t>
            </w:r>
            <w:r w:rsidRPr="00B911F2">
              <w:rPr>
                <w:rFonts w:ascii="Palatino Linotype" w:eastAsia="Palatino Linotype" w:hAnsi="Palatino Linotype" w:cs="Palatino Linotype"/>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w:t>
            </w:r>
            <w:r w:rsidRPr="00B911F2">
              <w:rPr>
                <w:rFonts w:ascii="Palatino Linotype" w:eastAsia="Palatino Linotype" w:hAnsi="Palatino Linotype" w:cs="Palatino Linotype"/>
                <w:sz w:val="22"/>
                <w:szCs w:val="22"/>
              </w:rPr>
              <w:lastRenderedPageBreak/>
              <w:t>días hábiles a partir de la notificación de esta. Sin más por el momento me reitero a sus órdenes…”(Sic)</w:t>
            </w:r>
          </w:p>
          <w:p w14:paraId="5F92CE54" w14:textId="77777777" w:rsidR="005F614A" w:rsidRPr="00B911F2" w:rsidRDefault="005F614A">
            <w:pPr>
              <w:jc w:val="both"/>
              <w:rPr>
                <w:rFonts w:ascii="Palatino Linotype" w:eastAsia="Palatino Linotype" w:hAnsi="Palatino Linotype" w:cs="Palatino Linotype"/>
                <w:sz w:val="22"/>
                <w:szCs w:val="22"/>
              </w:rPr>
            </w:pPr>
          </w:p>
          <w:p w14:paraId="1E025558"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 xml:space="preserve">El </w:t>
            </w:r>
            <w:r w:rsidRPr="00B911F2">
              <w:rPr>
                <w:rFonts w:ascii="Palatino Linotype" w:eastAsia="Palatino Linotype" w:hAnsi="Palatino Linotype" w:cs="Palatino Linotype"/>
                <w:b/>
                <w:sz w:val="22"/>
                <w:szCs w:val="22"/>
              </w:rPr>
              <w:t>SUJETO OBLIGADO</w:t>
            </w:r>
            <w:r w:rsidRPr="00B911F2">
              <w:rPr>
                <w:rFonts w:ascii="Palatino Linotype" w:eastAsia="Palatino Linotype" w:hAnsi="Palatino Linotype" w:cs="Palatino Linotype"/>
                <w:sz w:val="22"/>
                <w:szCs w:val="22"/>
              </w:rPr>
              <w:t xml:space="preserve">, adjuntó a su respuesta los archivos electrónicos denominados: </w:t>
            </w:r>
          </w:p>
          <w:p w14:paraId="5A90C8DD" w14:textId="77777777" w:rsidR="005F614A" w:rsidRPr="00B911F2" w:rsidRDefault="005F614A">
            <w:pPr>
              <w:jc w:val="both"/>
              <w:rPr>
                <w:rFonts w:ascii="Palatino Linotype" w:eastAsia="Palatino Linotype" w:hAnsi="Palatino Linotype" w:cs="Palatino Linotype"/>
                <w:sz w:val="22"/>
                <w:szCs w:val="22"/>
              </w:rPr>
            </w:pPr>
          </w:p>
          <w:p w14:paraId="7F76B374"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w:t>
            </w:r>
            <w:hyperlink r:id="rId10">
              <w:r w:rsidRPr="00B911F2">
                <w:rPr>
                  <w:rFonts w:ascii="Palatino Linotype" w:eastAsia="Palatino Linotype" w:hAnsi="Palatino Linotype" w:cs="Palatino Linotype"/>
                  <w:sz w:val="22"/>
                  <w:szCs w:val="22"/>
                </w:rPr>
                <w:t>Solicitud 2040 Oficio.pdf</w:t>
              </w:r>
            </w:hyperlink>
            <w:r w:rsidRPr="00B911F2">
              <w:rPr>
                <w:rFonts w:ascii="Palatino Linotype" w:eastAsia="Palatino Linotype" w:hAnsi="Palatino Linotype" w:cs="Palatino Linotype"/>
                <w:sz w:val="22"/>
                <w:szCs w:val="22"/>
              </w:rPr>
              <w:t xml:space="preserve">”, el cual contiene el oficio número ZIN/TM/2014/2023, por medio del cual el Tesorero Municipal del Ayuntamiento de Zinacantepec dice adjuntar en formato </w:t>
            </w:r>
            <w:proofErr w:type="spellStart"/>
            <w:r w:rsidRPr="00B911F2">
              <w:rPr>
                <w:rFonts w:ascii="Palatino Linotype" w:eastAsia="Palatino Linotype" w:hAnsi="Palatino Linotype" w:cs="Palatino Linotype"/>
                <w:sz w:val="22"/>
                <w:szCs w:val="22"/>
              </w:rPr>
              <w:t>pdf</w:t>
            </w:r>
            <w:proofErr w:type="spellEnd"/>
            <w:r w:rsidRPr="00B911F2">
              <w:rPr>
                <w:rFonts w:ascii="Palatino Linotype" w:eastAsia="Palatino Linotype" w:hAnsi="Palatino Linotype" w:cs="Palatino Linotype"/>
                <w:sz w:val="22"/>
                <w:szCs w:val="22"/>
              </w:rPr>
              <w:t>, la factura de pago de las veladoras entregadas al panteón municipal de Zinacantepec 2023.</w:t>
            </w:r>
          </w:p>
          <w:p w14:paraId="07CF5BEF" w14:textId="77777777" w:rsidR="005F614A" w:rsidRPr="00B911F2" w:rsidRDefault="005F614A">
            <w:pPr>
              <w:jc w:val="both"/>
              <w:rPr>
                <w:rFonts w:ascii="Palatino Linotype" w:eastAsia="Palatino Linotype" w:hAnsi="Palatino Linotype" w:cs="Palatino Linotype"/>
                <w:sz w:val="22"/>
                <w:szCs w:val="22"/>
              </w:rPr>
            </w:pPr>
          </w:p>
          <w:p w14:paraId="39069DCA" w14:textId="77777777" w:rsidR="005F614A" w:rsidRPr="00B911F2" w:rsidRDefault="000153B3">
            <w:pPr>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sz w:val="22"/>
                <w:szCs w:val="22"/>
              </w:rPr>
              <w:t>“</w:t>
            </w:r>
            <w:hyperlink r:id="rId11">
              <w:r w:rsidRPr="00B911F2">
                <w:rPr>
                  <w:rFonts w:ascii="Palatino Linotype" w:eastAsia="Palatino Linotype" w:hAnsi="Palatino Linotype" w:cs="Palatino Linotype"/>
                  <w:sz w:val="22"/>
                  <w:szCs w:val="22"/>
                </w:rPr>
                <w:t>Solicitud 2040.pdf</w:t>
              </w:r>
            </w:hyperlink>
            <w:r w:rsidRPr="00B911F2">
              <w:rPr>
                <w:rFonts w:ascii="Palatino Linotype" w:eastAsia="Palatino Linotype" w:hAnsi="Palatino Linotype" w:cs="Palatino Linotype"/>
                <w:sz w:val="22"/>
                <w:szCs w:val="22"/>
              </w:rPr>
              <w:t>”, el cual contiene la factura del pago de las veladoras entregadas al panteón municipal de Zinacantepec 2023.</w:t>
            </w:r>
          </w:p>
        </w:tc>
      </w:tr>
    </w:tbl>
    <w:p w14:paraId="2CB2F606" w14:textId="77777777" w:rsidR="005F614A" w:rsidRPr="00B911F2" w:rsidRDefault="005F614A">
      <w:pPr>
        <w:ind w:right="567"/>
        <w:jc w:val="both"/>
        <w:rPr>
          <w:rFonts w:ascii="Palatino Linotype" w:eastAsia="Palatino Linotype" w:hAnsi="Palatino Linotype" w:cs="Palatino Linotype"/>
          <w:i/>
          <w:sz w:val="14"/>
          <w:szCs w:val="14"/>
        </w:rPr>
      </w:pPr>
    </w:p>
    <w:p w14:paraId="6895207D" w14:textId="77777777" w:rsidR="005F614A" w:rsidRPr="00B911F2" w:rsidRDefault="005F614A">
      <w:pPr>
        <w:pBdr>
          <w:top w:val="nil"/>
          <w:left w:val="nil"/>
          <w:bottom w:val="nil"/>
          <w:right w:val="nil"/>
          <w:between w:val="nil"/>
        </w:pBdr>
      </w:pPr>
    </w:p>
    <w:p w14:paraId="3C0C5339" w14:textId="77777777" w:rsidR="005F614A" w:rsidRPr="00B911F2" w:rsidRDefault="000153B3">
      <w:pPr>
        <w:spacing w:line="360" w:lineRule="auto"/>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rPr>
        <w:t xml:space="preserve">                           </w:t>
      </w:r>
    </w:p>
    <w:p w14:paraId="3FE17631"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t xml:space="preserve">3. Interposición de los recursos de revisión. </w:t>
      </w:r>
      <w:r w:rsidRPr="00B911F2">
        <w:rPr>
          <w:rFonts w:ascii="Palatino Linotype" w:eastAsia="Palatino Linotype" w:hAnsi="Palatino Linotype" w:cs="Palatino Linotype"/>
        </w:rPr>
        <w:t xml:space="preserve">Inconforme la persona solicitante con las respuestas por parte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el </w:t>
      </w:r>
      <w:r w:rsidRPr="00B911F2">
        <w:rPr>
          <w:rFonts w:ascii="Palatino Linotype" w:eastAsia="Palatino Linotype" w:hAnsi="Palatino Linotype" w:cs="Palatino Linotype"/>
          <w:b/>
        </w:rPr>
        <w:t>cinco y ocho de diciembre  dos mil veintitrés interpuso los recursos de revisión,</w:t>
      </w:r>
      <w:r w:rsidRPr="00B911F2">
        <w:rPr>
          <w:rFonts w:ascii="Palatino Linotype" w:eastAsia="Palatino Linotype" w:hAnsi="Palatino Linotype" w:cs="Palatino Linotype"/>
        </w:rPr>
        <w:t xml:space="preserve"> los cuales fueron registrados</w:t>
      </w:r>
      <w:r w:rsidRPr="00B911F2">
        <w:rPr>
          <w:rFonts w:ascii="Palatino Linotype" w:eastAsia="Palatino Linotype" w:hAnsi="Palatino Linotype" w:cs="Palatino Linotype"/>
          <w:b/>
        </w:rPr>
        <w:t xml:space="preserve"> </w:t>
      </w:r>
      <w:r w:rsidRPr="00B911F2">
        <w:rPr>
          <w:rFonts w:ascii="Palatino Linotype" w:eastAsia="Palatino Linotype" w:hAnsi="Palatino Linotype" w:cs="Palatino Linotype"/>
        </w:rPr>
        <w:t xml:space="preserve">en el sistema electrónico con el expediente número </w:t>
      </w:r>
      <w:r w:rsidRPr="00B911F2">
        <w:rPr>
          <w:rFonts w:ascii="Palatino Linotype" w:eastAsia="Palatino Linotype" w:hAnsi="Palatino Linotype" w:cs="Palatino Linotype"/>
          <w:b/>
        </w:rPr>
        <w:t>08374/INFOEM/IP/RR/2023 y 08442/INFOEM/IP/RR/2023</w:t>
      </w:r>
      <w:r w:rsidRPr="00B911F2">
        <w:rPr>
          <w:rFonts w:ascii="Palatino Linotype" w:eastAsia="Palatino Linotype" w:hAnsi="Palatino Linotype" w:cs="Palatino Linotype"/>
        </w:rPr>
        <w:t>, en los cual aduce, en ambos recursos las siguientes manifestaciones:</w:t>
      </w:r>
    </w:p>
    <w:p w14:paraId="47801064" w14:textId="77777777" w:rsidR="005F614A" w:rsidRPr="00B911F2" w:rsidRDefault="005F614A">
      <w:pPr>
        <w:pBdr>
          <w:top w:val="nil"/>
          <w:left w:val="nil"/>
          <w:bottom w:val="nil"/>
          <w:right w:val="nil"/>
          <w:between w:val="nil"/>
        </w:pBdr>
      </w:pPr>
    </w:p>
    <w:p w14:paraId="170196F6" w14:textId="77777777" w:rsidR="005F614A" w:rsidRPr="00B911F2" w:rsidRDefault="005F614A">
      <w:pPr>
        <w:rPr>
          <w:sz w:val="4"/>
          <w:szCs w:val="4"/>
        </w:rPr>
      </w:pPr>
    </w:p>
    <w:tbl>
      <w:tblPr>
        <w:tblStyle w:val="a1"/>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B911F2" w:rsidRPr="00B911F2" w14:paraId="33DD7CF9" w14:textId="77777777">
        <w:tc>
          <w:tcPr>
            <w:tcW w:w="3119" w:type="dxa"/>
            <w:shd w:val="clear" w:color="auto" w:fill="D9D9D9"/>
          </w:tcPr>
          <w:p w14:paraId="33090B8C" w14:textId="77777777" w:rsidR="005F614A" w:rsidRPr="00B911F2" w:rsidRDefault="000153B3">
            <w:pPr>
              <w:jc w:val="center"/>
              <w:rPr>
                <w:rFonts w:ascii="Palatino Linotype" w:eastAsia="Palatino Linotype" w:hAnsi="Palatino Linotype" w:cs="Palatino Linotype"/>
                <w:b/>
                <w:sz w:val="20"/>
                <w:szCs w:val="20"/>
              </w:rPr>
            </w:pPr>
            <w:r w:rsidRPr="00B911F2">
              <w:rPr>
                <w:rFonts w:ascii="Palatino Linotype" w:eastAsia="Palatino Linotype" w:hAnsi="Palatino Linotype" w:cs="Palatino Linotype"/>
                <w:b/>
                <w:sz w:val="20"/>
                <w:szCs w:val="20"/>
              </w:rPr>
              <w:t>Número de solicitud</w:t>
            </w:r>
          </w:p>
        </w:tc>
        <w:tc>
          <w:tcPr>
            <w:tcW w:w="3119" w:type="dxa"/>
            <w:shd w:val="clear" w:color="auto" w:fill="D9D9D9"/>
            <w:vAlign w:val="center"/>
          </w:tcPr>
          <w:p w14:paraId="7D0CCBD4" w14:textId="77777777" w:rsidR="005F614A" w:rsidRPr="00B911F2" w:rsidRDefault="000153B3">
            <w:pPr>
              <w:jc w:val="center"/>
              <w:rPr>
                <w:rFonts w:ascii="Palatino Linotype" w:eastAsia="Palatino Linotype" w:hAnsi="Palatino Linotype" w:cs="Palatino Linotype"/>
                <w:b/>
                <w:sz w:val="20"/>
                <w:szCs w:val="20"/>
              </w:rPr>
            </w:pPr>
            <w:r w:rsidRPr="00B911F2">
              <w:rPr>
                <w:rFonts w:ascii="Palatino Linotype" w:eastAsia="Palatino Linotype" w:hAnsi="Palatino Linotype" w:cs="Palatino Linotype"/>
                <w:b/>
                <w:sz w:val="20"/>
                <w:szCs w:val="20"/>
              </w:rPr>
              <w:t>Acto impugnado.</w:t>
            </w:r>
          </w:p>
        </w:tc>
        <w:tc>
          <w:tcPr>
            <w:tcW w:w="3021" w:type="dxa"/>
            <w:shd w:val="clear" w:color="auto" w:fill="D9D9D9"/>
            <w:vAlign w:val="center"/>
          </w:tcPr>
          <w:p w14:paraId="6EF47947" w14:textId="77777777" w:rsidR="005F614A" w:rsidRPr="00B911F2" w:rsidRDefault="000153B3">
            <w:pPr>
              <w:jc w:val="center"/>
              <w:rPr>
                <w:rFonts w:ascii="Palatino Linotype" w:eastAsia="Palatino Linotype" w:hAnsi="Palatino Linotype" w:cs="Palatino Linotype"/>
                <w:b/>
                <w:sz w:val="20"/>
                <w:szCs w:val="20"/>
              </w:rPr>
            </w:pPr>
            <w:r w:rsidRPr="00B911F2">
              <w:rPr>
                <w:rFonts w:ascii="Palatino Linotype" w:eastAsia="Palatino Linotype" w:hAnsi="Palatino Linotype" w:cs="Palatino Linotype"/>
                <w:b/>
                <w:sz w:val="20"/>
                <w:szCs w:val="20"/>
              </w:rPr>
              <w:t>Motivos de inconformidad.</w:t>
            </w:r>
          </w:p>
        </w:tc>
      </w:tr>
      <w:tr w:rsidR="00B911F2" w:rsidRPr="00B911F2" w14:paraId="1B6AF571" w14:textId="77777777">
        <w:tc>
          <w:tcPr>
            <w:tcW w:w="3119" w:type="dxa"/>
            <w:vAlign w:val="center"/>
          </w:tcPr>
          <w:p w14:paraId="531030C0" w14:textId="77777777" w:rsidR="005F614A" w:rsidRPr="00B911F2" w:rsidRDefault="000153B3">
            <w:pPr>
              <w:spacing w:before="120" w:after="120"/>
              <w:jc w:val="center"/>
              <w:rPr>
                <w:rFonts w:ascii="Palatino Linotype" w:eastAsia="Palatino Linotype" w:hAnsi="Palatino Linotype" w:cs="Palatino Linotype"/>
                <w:b/>
                <w:sz w:val="20"/>
                <w:szCs w:val="20"/>
                <w:lang w:val="en-US"/>
              </w:rPr>
            </w:pPr>
            <w:r w:rsidRPr="00B911F2">
              <w:rPr>
                <w:rFonts w:ascii="Palatino Linotype" w:eastAsia="Palatino Linotype" w:hAnsi="Palatino Linotype" w:cs="Palatino Linotype"/>
                <w:b/>
                <w:sz w:val="20"/>
                <w:szCs w:val="20"/>
                <w:lang w:val="en-US"/>
              </w:rPr>
              <w:t>02081/ZINACANT/IP/2023</w:t>
            </w:r>
          </w:p>
          <w:p w14:paraId="2F2B1CDA" w14:textId="77777777" w:rsidR="005F614A" w:rsidRPr="00B911F2" w:rsidRDefault="000153B3">
            <w:pPr>
              <w:spacing w:before="120" w:after="120"/>
              <w:jc w:val="center"/>
              <w:rPr>
                <w:rFonts w:ascii="Palatino Linotype" w:eastAsia="Palatino Linotype" w:hAnsi="Palatino Linotype" w:cs="Palatino Linotype"/>
                <w:b/>
                <w:sz w:val="20"/>
                <w:szCs w:val="20"/>
                <w:lang w:val="en-US"/>
              </w:rPr>
            </w:pPr>
            <w:r w:rsidRPr="00B911F2">
              <w:rPr>
                <w:rFonts w:ascii="Palatino Linotype" w:eastAsia="Palatino Linotype" w:hAnsi="Palatino Linotype" w:cs="Palatino Linotype"/>
                <w:b/>
                <w:sz w:val="20"/>
                <w:szCs w:val="20"/>
                <w:lang w:val="en-US"/>
              </w:rPr>
              <w:t>08374/INFOEM/IP/RR/2023</w:t>
            </w:r>
          </w:p>
        </w:tc>
        <w:tc>
          <w:tcPr>
            <w:tcW w:w="3119" w:type="dxa"/>
            <w:shd w:val="clear" w:color="auto" w:fill="auto"/>
          </w:tcPr>
          <w:p w14:paraId="23FEAEA3" w14:textId="77777777" w:rsidR="005F614A" w:rsidRPr="00B911F2" w:rsidRDefault="000153B3">
            <w:pPr>
              <w:rPr>
                <w:rFonts w:ascii="Palatino Linotype" w:eastAsia="Palatino Linotype" w:hAnsi="Palatino Linotype" w:cs="Palatino Linotype"/>
                <w:i/>
                <w:sz w:val="20"/>
                <w:szCs w:val="20"/>
              </w:rPr>
            </w:pPr>
            <w:r w:rsidRPr="00B911F2">
              <w:rPr>
                <w:rFonts w:ascii="Palatino Linotype" w:eastAsia="Palatino Linotype" w:hAnsi="Palatino Linotype" w:cs="Palatino Linotype"/>
                <w:i/>
                <w:sz w:val="20"/>
                <w:szCs w:val="20"/>
              </w:rPr>
              <w:t>no entregan la información solicitada</w:t>
            </w:r>
          </w:p>
        </w:tc>
        <w:tc>
          <w:tcPr>
            <w:tcW w:w="3021" w:type="dxa"/>
            <w:shd w:val="clear" w:color="auto" w:fill="auto"/>
          </w:tcPr>
          <w:p w14:paraId="7C7E7C14" w14:textId="77777777" w:rsidR="005F614A" w:rsidRPr="00B911F2" w:rsidRDefault="000153B3">
            <w:r w:rsidRPr="00B911F2">
              <w:rPr>
                <w:rFonts w:ascii="Palatino Linotype" w:eastAsia="Palatino Linotype" w:hAnsi="Palatino Linotype" w:cs="Palatino Linotype"/>
                <w:i/>
                <w:sz w:val="20"/>
                <w:szCs w:val="20"/>
              </w:rPr>
              <w:t>NO ENTREGA INFORMACIÓN</w:t>
            </w:r>
          </w:p>
        </w:tc>
      </w:tr>
      <w:tr w:rsidR="00B911F2" w:rsidRPr="00B911F2" w14:paraId="00A1B3FA" w14:textId="77777777">
        <w:tc>
          <w:tcPr>
            <w:tcW w:w="3119" w:type="dxa"/>
            <w:vAlign w:val="center"/>
          </w:tcPr>
          <w:p w14:paraId="7156B25C" w14:textId="77777777" w:rsidR="005F614A" w:rsidRPr="00B911F2" w:rsidRDefault="000153B3">
            <w:pPr>
              <w:spacing w:before="120" w:after="120"/>
              <w:jc w:val="center"/>
              <w:rPr>
                <w:rFonts w:ascii="Palatino Linotype" w:eastAsia="Palatino Linotype" w:hAnsi="Palatino Linotype" w:cs="Palatino Linotype"/>
                <w:b/>
                <w:sz w:val="20"/>
                <w:szCs w:val="20"/>
                <w:lang w:val="en-US"/>
              </w:rPr>
            </w:pPr>
            <w:r w:rsidRPr="00B911F2">
              <w:rPr>
                <w:rFonts w:ascii="Palatino Linotype" w:eastAsia="Palatino Linotype" w:hAnsi="Palatino Linotype" w:cs="Palatino Linotype"/>
                <w:b/>
                <w:sz w:val="20"/>
                <w:szCs w:val="20"/>
                <w:lang w:val="en-US"/>
              </w:rPr>
              <w:t>02040/ZINACANT/IP/2023</w:t>
            </w:r>
          </w:p>
          <w:p w14:paraId="26056A1C" w14:textId="77777777" w:rsidR="005F614A" w:rsidRPr="00B911F2" w:rsidRDefault="000153B3">
            <w:pPr>
              <w:spacing w:before="120" w:after="120"/>
              <w:jc w:val="center"/>
              <w:rPr>
                <w:rFonts w:ascii="Palatino Linotype" w:eastAsia="Palatino Linotype" w:hAnsi="Palatino Linotype" w:cs="Palatino Linotype"/>
                <w:b/>
                <w:sz w:val="20"/>
                <w:szCs w:val="20"/>
                <w:lang w:val="en-US"/>
              </w:rPr>
            </w:pPr>
            <w:r w:rsidRPr="00B911F2">
              <w:rPr>
                <w:rFonts w:ascii="Palatino Linotype" w:eastAsia="Palatino Linotype" w:hAnsi="Palatino Linotype" w:cs="Palatino Linotype"/>
                <w:b/>
                <w:sz w:val="20"/>
                <w:szCs w:val="20"/>
                <w:lang w:val="en-US"/>
              </w:rPr>
              <w:t>08442/INFOEM/IP/RR/2023</w:t>
            </w:r>
          </w:p>
        </w:tc>
        <w:tc>
          <w:tcPr>
            <w:tcW w:w="3119" w:type="dxa"/>
            <w:shd w:val="clear" w:color="auto" w:fill="auto"/>
          </w:tcPr>
          <w:p w14:paraId="38C48339" w14:textId="77777777" w:rsidR="005F614A" w:rsidRPr="00B911F2" w:rsidRDefault="000153B3">
            <w:pPr>
              <w:rPr>
                <w:rFonts w:ascii="Palatino Linotype" w:eastAsia="Palatino Linotype" w:hAnsi="Palatino Linotype" w:cs="Palatino Linotype"/>
                <w:i/>
                <w:sz w:val="20"/>
                <w:szCs w:val="20"/>
              </w:rPr>
            </w:pPr>
            <w:r w:rsidRPr="00B911F2">
              <w:rPr>
                <w:rFonts w:ascii="Palatino Linotype" w:eastAsia="Palatino Linotype" w:hAnsi="Palatino Linotype" w:cs="Palatino Linotype"/>
                <w:i/>
                <w:sz w:val="20"/>
                <w:szCs w:val="20"/>
              </w:rPr>
              <w:t>no entregan la información solicitada</w:t>
            </w:r>
          </w:p>
        </w:tc>
        <w:tc>
          <w:tcPr>
            <w:tcW w:w="3021" w:type="dxa"/>
            <w:shd w:val="clear" w:color="auto" w:fill="auto"/>
          </w:tcPr>
          <w:p w14:paraId="65EAED62" w14:textId="77777777" w:rsidR="005F614A" w:rsidRPr="00B911F2" w:rsidRDefault="000153B3">
            <w:r w:rsidRPr="00B911F2">
              <w:rPr>
                <w:rFonts w:ascii="Palatino Linotype" w:eastAsia="Palatino Linotype" w:hAnsi="Palatino Linotype" w:cs="Palatino Linotype"/>
                <w:i/>
                <w:sz w:val="20"/>
                <w:szCs w:val="20"/>
              </w:rPr>
              <w:t>NO ES VISIBLE LA INFORMACIÓN</w:t>
            </w:r>
          </w:p>
        </w:tc>
      </w:tr>
    </w:tbl>
    <w:p w14:paraId="56823C76"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lastRenderedPageBreak/>
        <w:t xml:space="preserve">4. Turno. </w:t>
      </w:r>
      <w:r w:rsidRPr="00B911F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w:t>
      </w:r>
      <w:r w:rsidRPr="00B911F2">
        <w:rPr>
          <w:rFonts w:ascii="Palatino Linotype" w:eastAsia="Palatino Linotype" w:hAnsi="Palatino Linotype" w:cs="Palatino Linotype"/>
          <w:b/>
        </w:rPr>
        <w:t xml:space="preserve">08374/INFOEM/IP/RR/2023  </w:t>
      </w:r>
      <w:r w:rsidRPr="00B911F2">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B911F2">
        <w:rPr>
          <w:rFonts w:ascii="Palatino Linotype" w:eastAsia="Palatino Linotype" w:hAnsi="Palatino Linotype" w:cs="Palatino Linotype"/>
          <w:b/>
        </w:rPr>
        <w:t xml:space="preserve">Comisionada Guadalupe Ramírez Peña, </w:t>
      </w:r>
      <w:r w:rsidRPr="00B911F2">
        <w:rPr>
          <w:rFonts w:ascii="Palatino Linotype" w:eastAsia="Palatino Linotype" w:hAnsi="Palatino Linotype" w:cs="Palatino Linotype"/>
        </w:rPr>
        <w:t xml:space="preserve">por lo que hace al recurso </w:t>
      </w:r>
      <w:r w:rsidRPr="00B911F2">
        <w:rPr>
          <w:rFonts w:ascii="Palatino Linotype" w:eastAsia="Palatino Linotype" w:hAnsi="Palatino Linotype" w:cs="Palatino Linotype"/>
          <w:b/>
        </w:rPr>
        <w:t xml:space="preserve">08442/INFOEM/IP/RR/2023 </w:t>
      </w:r>
      <w:r w:rsidRPr="00B911F2">
        <w:rPr>
          <w:rFonts w:ascii="Palatino Linotype" w:eastAsia="Palatino Linotype" w:hAnsi="Palatino Linotype" w:cs="Palatino Linotype"/>
        </w:rPr>
        <w:t xml:space="preserve">se turnó a la </w:t>
      </w:r>
      <w:r w:rsidRPr="00B911F2">
        <w:rPr>
          <w:rFonts w:ascii="Palatino Linotype" w:eastAsia="Palatino Linotype" w:hAnsi="Palatino Linotype" w:cs="Palatino Linotype"/>
          <w:b/>
        </w:rPr>
        <w:t xml:space="preserve">Comisionada Sharon Cristina Morales Martínez. </w:t>
      </w:r>
    </w:p>
    <w:p w14:paraId="5D564F03" w14:textId="77777777" w:rsidR="005F614A" w:rsidRPr="00B911F2" w:rsidRDefault="005F614A">
      <w:pPr>
        <w:spacing w:line="360" w:lineRule="auto"/>
        <w:jc w:val="both"/>
        <w:rPr>
          <w:rFonts w:ascii="Palatino Linotype" w:eastAsia="Palatino Linotype" w:hAnsi="Palatino Linotype" w:cs="Palatino Linotype"/>
          <w:b/>
        </w:rPr>
      </w:pPr>
    </w:p>
    <w:p w14:paraId="53220AB8"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5. Admisión de los recursos de revisión.</w:t>
      </w:r>
      <w:r w:rsidRPr="00B911F2">
        <w:rPr>
          <w:rFonts w:ascii="Palatino Linotype" w:eastAsia="Palatino Linotype" w:hAnsi="Palatino Linotype" w:cs="Palatino Linotype"/>
        </w:rPr>
        <w:t xml:space="preserve"> Con fechas </w:t>
      </w:r>
      <w:r w:rsidRPr="00B911F2">
        <w:rPr>
          <w:rFonts w:ascii="Palatino Linotype" w:eastAsia="Palatino Linotype" w:hAnsi="Palatino Linotype" w:cs="Palatino Linotype"/>
          <w:b/>
        </w:rPr>
        <w:t xml:space="preserve">ocho y once de diciembre de dos mil veintitrés, </w:t>
      </w:r>
      <w:r w:rsidRPr="00B911F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B911F2">
        <w:rPr>
          <w:rFonts w:ascii="Palatino Linotype" w:eastAsia="Palatino Linotype" w:hAnsi="Palatino Linotype" w:cs="Palatino Linotype"/>
          <w:b/>
        </w:rPr>
        <w:t xml:space="preserve">el SUJETO OBLIGADO </w:t>
      </w:r>
      <w:r w:rsidRPr="00B911F2">
        <w:rPr>
          <w:rFonts w:ascii="Palatino Linotype" w:eastAsia="Palatino Linotype" w:hAnsi="Palatino Linotype" w:cs="Palatino Linotype"/>
        </w:rPr>
        <w:t>presentara su informe justificado.</w:t>
      </w:r>
    </w:p>
    <w:p w14:paraId="5C020C82" w14:textId="77777777" w:rsidR="005F614A" w:rsidRPr="00B911F2" w:rsidRDefault="005F614A">
      <w:pPr>
        <w:spacing w:line="360" w:lineRule="auto"/>
        <w:jc w:val="both"/>
        <w:rPr>
          <w:rFonts w:ascii="Palatino Linotype" w:eastAsia="Palatino Linotype" w:hAnsi="Palatino Linotype" w:cs="Palatino Linotype"/>
        </w:rPr>
      </w:pPr>
    </w:p>
    <w:p w14:paraId="55A6C4FF" w14:textId="77777777" w:rsidR="005F614A" w:rsidRPr="00B911F2" w:rsidRDefault="000153B3">
      <w:pPr>
        <w:spacing w:before="240" w:after="240" w:line="360" w:lineRule="auto"/>
        <w:jc w:val="both"/>
      </w:pPr>
      <w:r w:rsidRPr="00B911F2">
        <w:rPr>
          <w:rFonts w:ascii="Palatino Linotype" w:eastAsia="Palatino Linotype" w:hAnsi="Palatino Linotype" w:cs="Palatino Linotype"/>
          <w:b/>
        </w:rPr>
        <w:t>6. Manifestaciones.</w:t>
      </w:r>
      <w:r w:rsidRPr="00B911F2">
        <w:rPr>
          <w:rFonts w:ascii="Palatino Linotype" w:eastAsia="Palatino Linotype" w:hAnsi="Palatino Linotype" w:cs="Palatino Linotype"/>
          <w:b/>
          <w:sz w:val="22"/>
          <w:szCs w:val="22"/>
        </w:rPr>
        <w:t xml:space="preserve"> </w:t>
      </w:r>
      <w:r w:rsidRPr="00B911F2">
        <w:rPr>
          <w:rFonts w:ascii="Palatino Linotype" w:eastAsia="Palatino Linotype" w:hAnsi="Palatino Linotype" w:cs="Palatino Linotype"/>
        </w:rPr>
        <w:t xml:space="preserve">De las constancias que obran en los expedientes electrónicos del SAIMEX se desprende que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no rindió sus informes justificados, del mismo modo la parte</w:t>
      </w:r>
      <w:r w:rsidRPr="00B911F2">
        <w:rPr>
          <w:rFonts w:ascii="Palatino Linotype" w:eastAsia="Palatino Linotype" w:hAnsi="Palatino Linotype" w:cs="Palatino Linotype"/>
          <w:b/>
        </w:rPr>
        <w:t xml:space="preserve"> RECURRENTE</w:t>
      </w:r>
      <w:r w:rsidRPr="00B911F2">
        <w:rPr>
          <w:rFonts w:ascii="Palatino Linotype" w:eastAsia="Palatino Linotype" w:hAnsi="Palatino Linotype" w:cs="Palatino Linotype"/>
        </w:rPr>
        <w:t xml:space="preserve"> omitió realizar manifestaciones, como se observa a continuación:</w:t>
      </w:r>
    </w:p>
    <w:p w14:paraId="79E04872"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noProof/>
          <w:lang w:val="es-MX" w:eastAsia="es-MX"/>
        </w:rPr>
        <w:lastRenderedPageBreak/>
        <w:drawing>
          <wp:inline distT="0" distB="0" distL="0" distR="0" wp14:anchorId="4781A413" wp14:editId="5380550D">
            <wp:extent cx="5791835" cy="15144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91835" cy="1514475"/>
                    </a:xfrm>
                    <a:prstGeom prst="rect">
                      <a:avLst/>
                    </a:prstGeom>
                    <a:ln/>
                  </pic:spPr>
                </pic:pic>
              </a:graphicData>
            </a:graphic>
          </wp:inline>
        </w:drawing>
      </w:r>
    </w:p>
    <w:p w14:paraId="2C482724" w14:textId="77777777" w:rsidR="005F614A" w:rsidRPr="00B911F2" w:rsidRDefault="005F614A">
      <w:pPr>
        <w:spacing w:line="360" w:lineRule="auto"/>
        <w:jc w:val="both"/>
        <w:rPr>
          <w:rFonts w:ascii="Palatino Linotype" w:eastAsia="Palatino Linotype" w:hAnsi="Palatino Linotype" w:cs="Palatino Linotype"/>
          <w:b/>
        </w:rPr>
      </w:pPr>
    </w:p>
    <w:p w14:paraId="67124EF1"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noProof/>
          <w:lang w:val="es-MX" w:eastAsia="es-MX"/>
        </w:rPr>
        <w:drawing>
          <wp:inline distT="0" distB="0" distL="0" distR="0" wp14:anchorId="7D4BBFFE" wp14:editId="5E115F2B">
            <wp:extent cx="5791835" cy="149733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91835" cy="1497330"/>
                    </a:xfrm>
                    <a:prstGeom prst="rect">
                      <a:avLst/>
                    </a:prstGeom>
                    <a:ln/>
                  </pic:spPr>
                </pic:pic>
              </a:graphicData>
            </a:graphic>
          </wp:inline>
        </w:drawing>
      </w:r>
    </w:p>
    <w:p w14:paraId="446B5C9A" w14:textId="77777777" w:rsidR="005F614A" w:rsidRPr="00B911F2" w:rsidRDefault="000153B3">
      <w:pPr>
        <w:pBdr>
          <w:top w:val="nil"/>
          <w:left w:val="nil"/>
          <w:bottom w:val="nil"/>
          <w:right w:val="nil"/>
          <w:between w:val="nil"/>
        </w:pBdr>
        <w:spacing w:before="240" w:after="240" w:line="360" w:lineRule="auto"/>
        <w:jc w:val="both"/>
      </w:pPr>
      <w:r w:rsidRPr="00B911F2">
        <w:rPr>
          <w:rFonts w:ascii="Palatino Linotype" w:eastAsia="Palatino Linotype" w:hAnsi="Palatino Linotype" w:cs="Palatino Linotype"/>
          <w:b/>
        </w:rPr>
        <w:t>7. Acumulación de los recursos de revisión.</w:t>
      </w:r>
      <w:r w:rsidRPr="00B911F2">
        <w:rPr>
          <w:rFonts w:ascii="Palatino Linotype" w:eastAsia="Palatino Linotype" w:hAnsi="Palatino Linotype" w:cs="Palatino Linotype"/>
        </w:rPr>
        <w:t xml:space="preserve"> Al respecto cabe señalar, que el Pleno de este Instituto, en la</w:t>
      </w:r>
      <w:r w:rsidRPr="00B911F2">
        <w:t xml:space="preserve"> </w:t>
      </w:r>
      <w:r w:rsidRPr="00B911F2">
        <w:rPr>
          <w:rFonts w:ascii="Palatino Linotype" w:eastAsia="Palatino Linotype" w:hAnsi="Palatino Linotype" w:cs="Palatino Linotype"/>
          <w:b/>
        </w:rPr>
        <w:t>Primera Sesión Ordinaria, celebrada el diecisiete de enero de dos mil veinticuatro,</w:t>
      </w:r>
      <w:r w:rsidRPr="00B911F2">
        <w:rPr>
          <w:rFonts w:ascii="Palatino Linotype" w:eastAsia="Palatino Linotype" w:hAnsi="Palatino Linotype" w:cs="Palatino Linotype"/>
        </w:rPr>
        <w:t xml:space="preserve"> ordenó la acumulación de los expedientes citados, a efecto de que la </w:t>
      </w:r>
      <w:r w:rsidRPr="00B911F2">
        <w:rPr>
          <w:rFonts w:ascii="Palatino Linotype" w:eastAsia="Palatino Linotype" w:hAnsi="Palatino Linotype" w:cs="Palatino Linotype"/>
          <w:b/>
        </w:rPr>
        <w:t xml:space="preserve">Comisionada Guadalupe Ramírez Peña </w:t>
      </w:r>
      <w:r w:rsidRPr="00B911F2">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65CC4CBF" w14:textId="77777777" w:rsidR="005F614A" w:rsidRPr="00B911F2" w:rsidRDefault="000153B3">
      <w:pPr>
        <w:spacing w:before="120" w:after="120"/>
        <w:ind w:left="851" w:right="902"/>
        <w:jc w:val="both"/>
      </w:pPr>
      <w:r w:rsidRPr="00B911F2">
        <w:rPr>
          <w:rFonts w:ascii="Palatino Linotype" w:eastAsia="Palatino Linotype" w:hAnsi="Palatino Linotype" w:cs="Palatino Linotype"/>
          <w:b/>
          <w:i/>
          <w:sz w:val="22"/>
          <w:szCs w:val="22"/>
        </w:rPr>
        <w:t>Código de Procedimientos Administrativos del Estado de México</w:t>
      </w:r>
    </w:p>
    <w:p w14:paraId="69A91C31" w14:textId="77777777" w:rsidR="005F614A" w:rsidRPr="00B911F2" w:rsidRDefault="000153B3">
      <w:pPr>
        <w:spacing w:before="120" w:after="120"/>
        <w:ind w:left="851" w:right="902"/>
        <w:jc w:val="both"/>
      </w:pPr>
      <w:r w:rsidRPr="00B911F2">
        <w:rPr>
          <w:rFonts w:ascii="Palatino Linotype" w:eastAsia="Palatino Linotype" w:hAnsi="Palatino Linotype" w:cs="Palatino Linotype"/>
          <w:b/>
          <w:i/>
          <w:sz w:val="22"/>
          <w:szCs w:val="22"/>
        </w:rPr>
        <w:t>“Artículo 18.-</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B911F2">
        <w:rPr>
          <w:rFonts w:ascii="Palatino Linotype" w:eastAsia="Palatino Linotype" w:hAnsi="Palatino Linotype" w:cs="Palatino Linotype"/>
          <w:i/>
          <w:sz w:val="22"/>
          <w:szCs w:val="22"/>
        </w:rPr>
        <w:t xml:space="preserve"> o a petición de parte, </w:t>
      </w:r>
      <w:r w:rsidRPr="00B911F2">
        <w:rPr>
          <w:rFonts w:ascii="Palatino Linotype" w:eastAsia="Palatino Linotype" w:hAnsi="Palatino Linotype" w:cs="Palatino Linotype"/>
          <w:b/>
          <w:i/>
          <w:sz w:val="22"/>
          <w:szCs w:val="22"/>
        </w:rPr>
        <w:t>cuando las partes</w:t>
      </w:r>
      <w:r w:rsidRPr="00B911F2">
        <w:rPr>
          <w:rFonts w:ascii="Palatino Linotype" w:eastAsia="Palatino Linotype" w:hAnsi="Palatino Linotype" w:cs="Palatino Linotype"/>
          <w:i/>
          <w:sz w:val="22"/>
          <w:szCs w:val="22"/>
        </w:rPr>
        <w:t xml:space="preserve"> o los actos administrativos sean iguales, se trate de actos conexos o </w:t>
      </w:r>
      <w:r w:rsidRPr="00B911F2">
        <w:rPr>
          <w:rFonts w:ascii="Palatino Linotype" w:eastAsia="Palatino Linotype" w:hAnsi="Palatino Linotype" w:cs="Palatino Linotype"/>
          <w:b/>
          <w:i/>
          <w:sz w:val="22"/>
          <w:szCs w:val="22"/>
        </w:rPr>
        <w:t xml:space="preserve">resulte conveniente el trámite unificado de los asuntos, para evitar la emisión de resoluciones </w:t>
      </w:r>
      <w:r w:rsidRPr="00B911F2">
        <w:rPr>
          <w:rFonts w:ascii="Palatino Linotype" w:eastAsia="Palatino Linotype" w:hAnsi="Palatino Linotype" w:cs="Palatino Linotype"/>
          <w:b/>
          <w:i/>
          <w:sz w:val="22"/>
          <w:szCs w:val="22"/>
        </w:rPr>
        <w:lastRenderedPageBreak/>
        <w:t>contradictorias</w:t>
      </w:r>
      <w:r w:rsidRPr="00B911F2">
        <w:rPr>
          <w:rFonts w:ascii="Palatino Linotype" w:eastAsia="Palatino Linotype" w:hAnsi="Palatino Linotype" w:cs="Palatino Linotype"/>
          <w:i/>
          <w:sz w:val="22"/>
          <w:szCs w:val="22"/>
        </w:rPr>
        <w:t>. La misma regla se aplicará, en lo conducente, para la separación de los expedientes.”</w:t>
      </w:r>
    </w:p>
    <w:p w14:paraId="17AB77B8" w14:textId="77777777" w:rsidR="005F614A" w:rsidRPr="00B911F2" w:rsidRDefault="000153B3">
      <w:pPr>
        <w:spacing w:before="120" w:after="120"/>
        <w:ind w:left="851" w:right="902"/>
        <w:jc w:val="both"/>
      </w:pPr>
      <w:r w:rsidRPr="00B911F2">
        <w:rPr>
          <w:rFonts w:ascii="Palatino Linotype" w:eastAsia="Palatino Linotype" w:hAnsi="Palatino Linotype" w:cs="Palatino Linotype"/>
          <w:b/>
          <w:i/>
          <w:sz w:val="22"/>
          <w:szCs w:val="22"/>
        </w:rPr>
        <w:t>Ley de Transparencia y Acceso a la Información Pública del Estado de México y Municipios</w:t>
      </w:r>
    </w:p>
    <w:p w14:paraId="281C813F" w14:textId="77777777" w:rsidR="005F614A" w:rsidRPr="00B911F2" w:rsidRDefault="000153B3">
      <w:pPr>
        <w:spacing w:before="120" w:after="120"/>
        <w:ind w:left="851" w:right="902"/>
        <w:jc w:val="both"/>
      </w:pPr>
      <w:r w:rsidRPr="00B911F2">
        <w:rPr>
          <w:rFonts w:ascii="Palatino Linotype" w:eastAsia="Palatino Linotype" w:hAnsi="Palatino Linotype" w:cs="Palatino Linotype"/>
          <w:b/>
          <w:i/>
          <w:sz w:val="22"/>
          <w:szCs w:val="22"/>
        </w:rPr>
        <w:t>“Artículo 195.-</w:t>
      </w:r>
      <w:r w:rsidRPr="00B911F2">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68971897" w14:textId="77777777" w:rsidR="005F614A" w:rsidRPr="00B911F2" w:rsidRDefault="005F614A">
      <w:pPr>
        <w:spacing w:line="360" w:lineRule="auto"/>
        <w:jc w:val="both"/>
        <w:rPr>
          <w:rFonts w:ascii="Palatino Linotype" w:eastAsia="Palatino Linotype" w:hAnsi="Palatino Linotype" w:cs="Palatino Linotype"/>
          <w:b/>
        </w:rPr>
      </w:pPr>
    </w:p>
    <w:p w14:paraId="0797365F" w14:textId="77777777" w:rsidR="005F614A" w:rsidRPr="00B911F2" w:rsidRDefault="000153B3">
      <w:pPr>
        <w:spacing w:line="360" w:lineRule="auto"/>
        <w:jc w:val="both"/>
        <w:rPr>
          <w:rFonts w:ascii="Palatino Linotype" w:eastAsia="Palatino Linotype" w:hAnsi="Palatino Linotype" w:cs="Palatino Linotype"/>
          <w:b/>
        </w:rPr>
      </w:pPr>
      <w:bookmarkStart w:id="0" w:name="_heading=h.gjdgxs" w:colFirst="0" w:colLast="0"/>
      <w:bookmarkEnd w:id="0"/>
      <w:r w:rsidRPr="00B911F2">
        <w:rPr>
          <w:rFonts w:ascii="Palatino Linotype" w:eastAsia="Palatino Linotype" w:hAnsi="Palatino Linotype" w:cs="Palatino Linotype"/>
          <w:b/>
        </w:rPr>
        <w:t xml:space="preserve">8. Ampliación del término para resolver. </w:t>
      </w:r>
      <w:r w:rsidRPr="00B911F2">
        <w:rPr>
          <w:rFonts w:ascii="Palatino Linotype" w:eastAsia="Palatino Linotype" w:hAnsi="Palatino Linotype" w:cs="Palatino Linotype"/>
        </w:rPr>
        <w:t xml:space="preserve">En fecha </w:t>
      </w:r>
      <w:r w:rsidRPr="00B911F2">
        <w:rPr>
          <w:rFonts w:ascii="Palatino Linotype" w:eastAsia="Palatino Linotype" w:hAnsi="Palatino Linotype" w:cs="Palatino Linotype"/>
          <w:b/>
        </w:rPr>
        <w:t>quince de febrero de dos mil veinticuatro</w:t>
      </w:r>
      <w:r w:rsidRPr="00B911F2">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 por un plazo de quince días hábiles.</w:t>
      </w:r>
    </w:p>
    <w:p w14:paraId="4F0D8200" w14:textId="77777777" w:rsidR="005F614A" w:rsidRPr="00B911F2" w:rsidRDefault="005F614A">
      <w:pPr>
        <w:spacing w:line="360" w:lineRule="auto"/>
        <w:jc w:val="both"/>
        <w:rPr>
          <w:rFonts w:ascii="Palatino Linotype" w:eastAsia="Palatino Linotype" w:hAnsi="Palatino Linotype" w:cs="Palatino Linotype"/>
        </w:rPr>
      </w:pPr>
    </w:p>
    <w:p w14:paraId="54410946" w14:textId="77777777" w:rsidR="005F614A" w:rsidRPr="00B911F2" w:rsidRDefault="000153B3">
      <w:pPr>
        <w:tabs>
          <w:tab w:val="left" w:pos="3206"/>
        </w:tabs>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9. Cierre de instrucción. </w:t>
      </w:r>
      <w:r w:rsidRPr="00B911F2">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B911F2">
        <w:rPr>
          <w:rFonts w:ascii="Palatino Linotype" w:eastAsia="Palatino Linotype" w:hAnsi="Palatino Linotype" w:cs="Palatino Linotype"/>
          <w:b/>
        </w:rPr>
        <w:t>quince de febrero de dos mil veinticuatro</w:t>
      </w:r>
      <w:r w:rsidRPr="00B911F2">
        <w:rPr>
          <w:rFonts w:ascii="Palatino Linotype" w:eastAsia="Palatino Linotype" w:hAnsi="Palatino Linotype" w:cs="Palatino Linotype"/>
        </w:rPr>
        <w:t xml:space="preserve">, la </w:t>
      </w:r>
      <w:r w:rsidRPr="00B911F2">
        <w:rPr>
          <w:rFonts w:ascii="Palatino Linotype" w:eastAsia="Palatino Linotype" w:hAnsi="Palatino Linotype" w:cs="Palatino Linotype"/>
          <w:b/>
        </w:rPr>
        <w:t>Comisionada Ponente</w:t>
      </w:r>
      <w:r w:rsidRPr="00B911F2">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5E0DA303" w14:textId="77777777" w:rsidR="005F614A" w:rsidRPr="00B911F2" w:rsidRDefault="005F614A">
      <w:pPr>
        <w:tabs>
          <w:tab w:val="left" w:pos="3206"/>
        </w:tabs>
        <w:spacing w:line="360" w:lineRule="auto"/>
        <w:jc w:val="both"/>
        <w:rPr>
          <w:rFonts w:ascii="Palatino Linotype" w:eastAsia="Palatino Linotype" w:hAnsi="Palatino Linotype" w:cs="Palatino Linotype"/>
        </w:rPr>
      </w:pPr>
    </w:p>
    <w:p w14:paraId="4C338919" w14:textId="77777777" w:rsidR="005F614A" w:rsidRPr="00B911F2" w:rsidRDefault="000153B3">
      <w:pPr>
        <w:spacing w:line="360" w:lineRule="auto"/>
        <w:jc w:val="center"/>
        <w:rPr>
          <w:rFonts w:ascii="Palatino Linotype" w:eastAsia="Palatino Linotype" w:hAnsi="Palatino Linotype" w:cs="Palatino Linotype"/>
          <w:b/>
          <w:sz w:val="28"/>
          <w:szCs w:val="28"/>
        </w:rPr>
      </w:pPr>
      <w:r w:rsidRPr="00B911F2">
        <w:rPr>
          <w:rFonts w:ascii="Palatino Linotype" w:eastAsia="Palatino Linotype" w:hAnsi="Palatino Linotype" w:cs="Palatino Linotype"/>
          <w:b/>
          <w:sz w:val="28"/>
          <w:szCs w:val="28"/>
        </w:rPr>
        <w:t xml:space="preserve">C O N S I D E R A N D O </w:t>
      </w:r>
    </w:p>
    <w:p w14:paraId="701F6A35" w14:textId="77777777" w:rsidR="005F614A" w:rsidRPr="00B911F2" w:rsidRDefault="005F614A">
      <w:pPr>
        <w:spacing w:line="360" w:lineRule="auto"/>
        <w:jc w:val="center"/>
        <w:rPr>
          <w:rFonts w:ascii="Palatino Linotype" w:eastAsia="Palatino Linotype" w:hAnsi="Palatino Linotype" w:cs="Palatino Linotype"/>
          <w:b/>
          <w:sz w:val="16"/>
          <w:szCs w:val="16"/>
        </w:rPr>
      </w:pPr>
    </w:p>
    <w:p w14:paraId="003A6333"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t>PRIMERO. Competencia</w:t>
      </w:r>
      <w:r w:rsidRPr="00B911F2">
        <w:rPr>
          <w:rFonts w:ascii="Palatino Linotype" w:eastAsia="Palatino Linotype" w:hAnsi="Palatino Linotype" w:cs="Palatino Linotype"/>
        </w:rPr>
        <w:t>.</w:t>
      </w:r>
      <w:r w:rsidRPr="00B911F2">
        <w:rPr>
          <w:rFonts w:ascii="Palatino Linotype" w:eastAsia="Palatino Linotype" w:hAnsi="Palatino Linotype" w:cs="Palatino Linotype"/>
          <w:b/>
        </w:rPr>
        <w:t xml:space="preserve"> </w:t>
      </w:r>
      <w:r w:rsidRPr="00B911F2">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los presentes recursos de revisión interpuesto por </w:t>
      </w:r>
      <w:r w:rsidRPr="00B911F2">
        <w:rPr>
          <w:rFonts w:ascii="Palatino Linotype" w:eastAsia="Palatino Linotype" w:hAnsi="Palatino Linotype" w:cs="Palatino Linotype"/>
          <w:b/>
        </w:rPr>
        <w:t>LA PARTE RECURRENTE</w:t>
      </w:r>
      <w:r w:rsidRPr="00B911F2">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w:t>
      </w:r>
      <w:r w:rsidRPr="00B911F2">
        <w:rPr>
          <w:rFonts w:ascii="Palatino Linotype" w:eastAsia="Palatino Linotype" w:hAnsi="Palatino Linotype" w:cs="Palatino Linotype"/>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XXIII y XXIII y 11 del Reglamento Interior del Instituto de Transparencia, Acceso a la Información Pública y Protección de Datos Personales del Estado de México y Municipios.</w:t>
      </w:r>
    </w:p>
    <w:p w14:paraId="5AFC5D63" w14:textId="77777777" w:rsidR="005F614A" w:rsidRPr="00B911F2" w:rsidRDefault="005F614A">
      <w:pPr>
        <w:spacing w:line="360" w:lineRule="auto"/>
        <w:jc w:val="both"/>
        <w:rPr>
          <w:rFonts w:ascii="Palatino Linotype" w:eastAsia="Palatino Linotype" w:hAnsi="Palatino Linotype" w:cs="Palatino Linotype"/>
          <w:b/>
        </w:rPr>
      </w:pPr>
    </w:p>
    <w:p w14:paraId="1E979235" w14:textId="77777777" w:rsidR="005F614A" w:rsidRPr="00B911F2" w:rsidRDefault="000153B3">
      <w:pPr>
        <w:spacing w:line="360" w:lineRule="auto"/>
        <w:ind w:right="-234"/>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SEGUNDO. OPORTUNIDAD Y PROCEDIBILIDAD DE LOS RECURSOS DE REVISIÓN.  </w:t>
      </w:r>
      <w:r w:rsidRPr="00B911F2">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7D0CB0E" w14:textId="77777777" w:rsidR="005F614A" w:rsidRPr="00B911F2" w:rsidRDefault="005F614A">
      <w:pPr>
        <w:spacing w:line="360" w:lineRule="auto"/>
        <w:jc w:val="both"/>
        <w:rPr>
          <w:rFonts w:ascii="Palatino Linotype" w:eastAsia="Palatino Linotype" w:hAnsi="Palatino Linotype" w:cs="Palatino Linotype"/>
        </w:rPr>
      </w:pPr>
    </w:p>
    <w:p w14:paraId="600A9CB8"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B911F2">
        <w:rPr>
          <w:rFonts w:ascii="Palatino Linotype" w:eastAsia="Palatino Linotype" w:hAnsi="Palatino Linotype" w:cs="Palatino Linotype"/>
          <w:b/>
        </w:rPr>
        <w:t xml:space="preserve"> EL SUJETO OBLIGADO </w:t>
      </w:r>
      <w:r w:rsidRPr="00B911F2">
        <w:rPr>
          <w:rFonts w:ascii="Palatino Linotype" w:eastAsia="Palatino Linotype" w:hAnsi="Palatino Linotype" w:cs="Palatino Linotype"/>
        </w:rPr>
        <w:t xml:space="preserve">emitió las respuestas, toda vez que estas fueron pronunciadas el día  </w:t>
      </w:r>
      <w:r w:rsidRPr="00B911F2">
        <w:rPr>
          <w:rFonts w:ascii="Palatino Linotype" w:eastAsia="Palatino Linotype" w:hAnsi="Palatino Linotype" w:cs="Palatino Linotype"/>
          <w:b/>
        </w:rPr>
        <w:t>veintiocho de noviembre</w:t>
      </w:r>
      <w:r w:rsidRPr="00B911F2">
        <w:rPr>
          <w:rFonts w:ascii="Palatino Linotype" w:eastAsia="Palatino Linotype" w:hAnsi="Palatino Linotype" w:cs="Palatino Linotype"/>
        </w:rPr>
        <w:t xml:space="preserve"> y </w:t>
      </w:r>
      <w:r w:rsidRPr="00B911F2">
        <w:rPr>
          <w:rFonts w:ascii="Palatino Linotype" w:eastAsia="Palatino Linotype" w:hAnsi="Palatino Linotype" w:cs="Palatino Linotype"/>
          <w:b/>
        </w:rPr>
        <w:t xml:space="preserve">cinco de diciembre ambas fechas del año dos mil veintitrés, </w:t>
      </w:r>
      <w:r w:rsidRPr="00B911F2">
        <w:rPr>
          <w:rFonts w:ascii="Palatino Linotype" w:eastAsia="Palatino Linotype" w:hAnsi="Palatino Linotype" w:cs="Palatino Linotype"/>
        </w:rPr>
        <w:t xml:space="preserve">mientras que </w:t>
      </w:r>
      <w:r w:rsidRPr="00B911F2">
        <w:rPr>
          <w:rFonts w:ascii="Palatino Linotype" w:eastAsia="Palatino Linotype" w:hAnsi="Palatino Linotype" w:cs="Palatino Linotype"/>
          <w:b/>
        </w:rPr>
        <w:t>la parte</w:t>
      </w:r>
      <w:r w:rsidRPr="00B911F2">
        <w:rPr>
          <w:rFonts w:ascii="Palatino Linotype" w:eastAsia="Palatino Linotype" w:hAnsi="Palatino Linotype" w:cs="Palatino Linotype"/>
        </w:rPr>
        <w:t xml:space="preserv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interpuso los recursos de revisión en fechas </w:t>
      </w:r>
      <w:r w:rsidRPr="00B911F2">
        <w:rPr>
          <w:rFonts w:ascii="Palatino Linotype" w:eastAsia="Palatino Linotype" w:hAnsi="Palatino Linotype" w:cs="Palatino Linotype"/>
          <w:b/>
        </w:rPr>
        <w:t xml:space="preserve">cinco y ocho de diciembre  dos mil veintitrés; </w:t>
      </w:r>
      <w:r w:rsidRPr="00B911F2">
        <w:rPr>
          <w:rFonts w:ascii="Palatino Linotype" w:eastAsia="Palatino Linotype" w:hAnsi="Palatino Linotype" w:cs="Palatino Linotype"/>
        </w:rPr>
        <w:t xml:space="preserve"> esto es al octavo día hábil siguiente de haber recibido las respuestas y el mismo día de haber conocida la respuesta, respectivamente.</w:t>
      </w:r>
    </w:p>
    <w:p w14:paraId="122B275F" w14:textId="77777777" w:rsidR="005F614A" w:rsidRPr="00B911F2" w:rsidRDefault="005F614A">
      <w:pPr>
        <w:spacing w:line="360" w:lineRule="auto"/>
        <w:jc w:val="both"/>
        <w:rPr>
          <w:rFonts w:ascii="Palatino Linotype" w:eastAsia="Palatino Linotype" w:hAnsi="Palatino Linotype" w:cs="Palatino Linotype"/>
        </w:rPr>
      </w:pPr>
    </w:p>
    <w:p w14:paraId="1C9229E7"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E5E33D9" w14:textId="77777777" w:rsidR="005F614A" w:rsidRPr="00B911F2" w:rsidRDefault="000153B3">
      <w:pPr>
        <w:spacing w:before="120" w:after="120"/>
        <w:ind w:left="851" w:right="902"/>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B911F2">
        <w:rPr>
          <w:rFonts w:ascii="Palatino Linotype" w:eastAsia="Palatino Linotype" w:hAnsi="Palatino Linotype" w:cs="Palatino Linotype"/>
          <w:i/>
          <w:sz w:val="22"/>
          <w:szCs w:val="22"/>
        </w:rPr>
        <w:t>.</w:t>
      </w:r>
    </w:p>
    <w:p w14:paraId="6EF7D6C2" w14:textId="77777777" w:rsidR="005F614A" w:rsidRPr="00B911F2" w:rsidRDefault="000153B3">
      <w:pPr>
        <w:spacing w:before="120" w:after="120"/>
        <w:ind w:left="851" w:right="902"/>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34F6C2E5" w14:textId="77777777" w:rsidR="005F614A" w:rsidRPr="00B911F2" w:rsidRDefault="005F614A">
      <w:pPr>
        <w:spacing w:line="360" w:lineRule="auto"/>
        <w:jc w:val="both"/>
        <w:rPr>
          <w:rFonts w:ascii="Palatino Linotype" w:eastAsia="Palatino Linotype" w:hAnsi="Palatino Linotype" w:cs="Palatino Linotype"/>
        </w:rPr>
      </w:pPr>
    </w:p>
    <w:p w14:paraId="799F8CC0"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Además, por cuanto hace a la procedibilidad de los recurso de revisión, es de suma importancia señalar que </w:t>
      </w:r>
      <w:r w:rsidRPr="00B911F2">
        <w:rPr>
          <w:rFonts w:ascii="Palatino Linotype" w:eastAsia="Palatino Linotype" w:hAnsi="Palatino Linotype" w:cs="Palatino Linotype"/>
          <w:b/>
        </w:rPr>
        <w:t>la PARTE</w:t>
      </w:r>
      <w:r w:rsidRPr="00B911F2">
        <w:rPr>
          <w:rFonts w:ascii="Palatino Linotype" w:eastAsia="Palatino Linotype" w:hAnsi="Palatino Linotype" w:cs="Palatino Linotype"/>
        </w:rPr>
        <w:t xml:space="preserv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no proporcionó su nombre</w:t>
      </w:r>
      <w:r w:rsidRPr="00B911F2">
        <w:rPr>
          <w:rFonts w:ascii="Palatino Linotype" w:eastAsia="Palatino Linotype" w:hAnsi="Palatino Linotype" w:cs="Palatino Linotype"/>
          <w:sz w:val="44"/>
          <w:szCs w:val="44"/>
        </w:rPr>
        <w:t xml:space="preserve"> </w:t>
      </w:r>
      <w:r w:rsidRPr="00B911F2">
        <w:rPr>
          <w:rFonts w:ascii="Palatino Linotype" w:eastAsia="Palatino Linotype" w:hAnsi="Palatino Linotype" w:cs="Palatino Linotype"/>
        </w:rPr>
        <w:t>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8E79F7A" w14:textId="77777777" w:rsidR="005F614A" w:rsidRPr="00B911F2" w:rsidRDefault="005F614A">
      <w:pPr>
        <w:spacing w:line="360" w:lineRule="auto"/>
        <w:jc w:val="both"/>
        <w:rPr>
          <w:rFonts w:ascii="Palatino Linotype" w:eastAsia="Palatino Linotype" w:hAnsi="Palatino Linotype" w:cs="Palatino Linotype"/>
        </w:rPr>
      </w:pPr>
    </w:p>
    <w:p w14:paraId="68DE03BA" w14:textId="77777777" w:rsidR="005F614A" w:rsidRPr="00B911F2" w:rsidRDefault="000153B3">
      <w:pPr>
        <w:spacing w:line="276" w:lineRule="auto"/>
        <w:ind w:left="851" w:right="902"/>
        <w:jc w:val="both"/>
        <w:rPr>
          <w:rFonts w:ascii="Palatino Linotype" w:eastAsia="Palatino Linotype" w:hAnsi="Palatino Linotype" w:cs="Palatino Linotype"/>
          <w:b/>
          <w:i/>
        </w:rPr>
      </w:pPr>
      <w:r w:rsidRPr="00B911F2">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solicitante."(Sic)</w:t>
      </w:r>
    </w:p>
    <w:p w14:paraId="2841F2E1" w14:textId="77777777" w:rsidR="005F614A" w:rsidRPr="00B911F2" w:rsidRDefault="005F614A">
      <w:pPr>
        <w:spacing w:line="360" w:lineRule="auto"/>
        <w:ind w:left="851" w:right="902"/>
        <w:jc w:val="both"/>
        <w:rPr>
          <w:rFonts w:ascii="Palatino Linotype" w:eastAsia="Palatino Linotype" w:hAnsi="Palatino Linotype" w:cs="Palatino Linotype"/>
        </w:rPr>
      </w:pPr>
    </w:p>
    <w:p w14:paraId="050F6255"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911F2">
        <w:rPr>
          <w:rFonts w:ascii="Palatino Linotype" w:eastAsia="Palatino Linotype" w:hAnsi="Palatino Linotype" w:cs="Palatino Linotype"/>
          <w:b/>
        </w:rPr>
        <w:t xml:space="preserve">EL SAIMEX.  </w:t>
      </w:r>
    </w:p>
    <w:p w14:paraId="3A3BFA05" w14:textId="77777777" w:rsidR="005F614A" w:rsidRPr="00B911F2" w:rsidRDefault="005F614A">
      <w:pPr>
        <w:spacing w:line="360" w:lineRule="auto"/>
        <w:jc w:val="both"/>
        <w:rPr>
          <w:rFonts w:ascii="Palatino Linotype" w:eastAsia="Palatino Linotype" w:hAnsi="Palatino Linotype" w:cs="Palatino Linotype"/>
        </w:rPr>
      </w:pPr>
    </w:p>
    <w:p w14:paraId="29F372ED" w14:textId="77777777" w:rsidR="005F614A" w:rsidRPr="00B911F2" w:rsidRDefault="000153B3">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Finalmente, resulta procedente la interposición de los recursos, según lo aducido por </w:t>
      </w:r>
      <w:r w:rsidRPr="00B911F2">
        <w:rPr>
          <w:rFonts w:ascii="Palatino Linotype" w:eastAsia="Palatino Linotype" w:hAnsi="Palatino Linotype" w:cs="Palatino Linotype"/>
          <w:b/>
        </w:rPr>
        <w:t>la parte RECURRENTE</w:t>
      </w:r>
      <w:r w:rsidRPr="00B911F2">
        <w:rPr>
          <w:rFonts w:ascii="Palatino Linotype" w:eastAsia="Palatino Linotype" w:hAnsi="Palatino Linotype" w:cs="Palatino Linotype"/>
        </w:rPr>
        <w:t xml:space="preserve"> en sus razones o motivos de inconformidad, de acuerdo al artículo 179, fracción I y IV de la Ley de Transparencia y Acceso a la Información Pública del Estado de México y Municipios; que a la letra dice:</w:t>
      </w:r>
    </w:p>
    <w:p w14:paraId="7B8CB128" w14:textId="77777777" w:rsidR="005F614A" w:rsidRPr="00B911F2" w:rsidRDefault="005F614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5F753B2C" w14:textId="77777777" w:rsidR="005F614A" w:rsidRPr="00B911F2" w:rsidRDefault="000153B3">
      <w:pPr>
        <w:pBdr>
          <w:top w:val="nil"/>
          <w:left w:val="nil"/>
          <w:bottom w:val="nil"/>
          <w:right w:val="nil"/>
          <w:between w:val="nil"/>
        </w:pBdr>
        <w:ind w:left="992" w:right="1043"/>
        <w:jc w:val="both"/>
        <w:rPr>
          <w:rFonts w:ascii="Palatino Linotype" w:eastAsia="Palatino Linotype" w:hAnsi="Palatino Linotype" w:cs="Palatino Linotype"/>
          <w:i/>
        </w:rPr>
      </w:pPr>
      <w:r w:rsidRPr="00B911F2">
        <w:rPr>
          <w:rFonts w:ascii="Palatino Linotype" w:eastAsia="Palatino Linotype" w:hAnsi="Palatino Linotype" w:cs="Palatino Linotype"/>
          <w:b/>
          <w:i/>
        </w:rPr>
        <w:t>“Artículo 179</w:t>
      </w:r>
      <w:r w:rsidRPr="00B911F2">
        <w:rPr>
          <w:rFonts w:ascii="Palatino Linotype" w:eastAsia="Palatino Linotype" w:hAnsi="Palatino Linotype" w:cs="Palatino Linotype"/>
          <w:i/>
        </w:rPr>
        <w:t xml:space="preserve">. </w:t>
      </w:r>
      <w:r w:rsidRPr="00B911F2">
        <w:rPr>
          <w:rFonts w:ascii="Palatino Linotype" w:eastAsia="Palatino Linotype" w:hAnsi="Palatino Linotype" w:cs="Palatino Linotype"/>
          <w:b/>
          <w:i/>
        </w:rPr>
        <w:t>El recurso de revisión</w:t>
      </w:r>
      <w:r w:rsidRPr="00B911F2">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2F6BF9B3" w14:textId="77777777" w:rsidR="005F614A" w:rsidRPr="00B911F2" w:rsidRDefault="000153B3">
      <w:pPr>
        <w:pBdr>
          <w:top w:val="nil"/>
          <w:left w:val="nil"/>
          <w:bottom w:val="nil"/>
          <w:right w:val="nil"/>
          <w:between w:val="nil"/>
        </w:pBdr>
        <w:ind w:left="992" w:right="1043"/>
        <w:jc w:val="both"/>
        <w:rPr>
          <w:rFonts w:ascii="Palatino Linotype" w:eastAsia="Palatino Linotype" w:hAnsi="Palatino Linotype" w:cs="Palatino Linotype"/>
          <w:i/>
        </w:rPr>
      </w:pPr>
      <w:r w:rsidRPr="00B911F2">
        <w:rPr>
          <w:rFonts w:ascii="Palatino Linotype" w:eastAsia="Palatino Linotype" w:hAnsi="Palatino Linotype" w:cs="Palatino Linotype"/>
          <w:i/>
        </w:rPr>
        <w:t>I. La negativa a la información solicitada;</w:t>
      </w:r>
    </w:p>
    <w:p w14:paraId="5C572563" w14:textId="77777777" w:rsidR="005F614A" w:rsidRPr="00B911F2" w:rsidRDefault="000153B3">
      <w:pPr>
        <w:pBdr>
          <w:top w:val="nil"/>
          <w:left w:val="nil"/>
          <w:bottom w:val="nil"/>
          <w:right w:val="nil"/>
          <w:between w:val="nil"/>
        </w:pBdr>
        <w:ind w:left="992" w:right="1043"/>
        <w:jc w:val="both"/>
        <w:rPr>
          <w:rFonts w:ascii="Palatino Linotype" w:eastAsia="Palatino Linotype" w:hAnsi="Palatino Linotype" w:cs="Palatino Linotype"/>
          <w:i/>
        </w:rPr>
      </w:pPr>
      <w:r w:rsidRPr="00B911F2">
        <w:rPr>
          <w:rFonts w:ascii="Palatino Linotype" w:eastAsia="Palatino Linotype" w:hAnsi="Palatino Linotype" w:cs="Palatino Linotype"/>
          <w:i/>
        </w:rPr>
        <w:t>(…)</w:t>
      </w:r>
    </w:p>
    <w:p w14:paraId="16422D3F" w14:textId="77777777" w:rsidR="005F614A" w:rsidRPr="00B911F2" w:rsidRDefault="000153B3">
      <w:pPr>
        <w:pBdr>
          <w:top w:val="nil"/>
          <w:left w:val="nil"/>
          <w:bottom w:val="nil"/>
          <w:right w:val="nil"/>
          <w:between w:val="nil"/>
        </w:pBdr>
        <w:ind w:left="992" w:right="1043"/>
        <w:jc w:val="both"/>
        <w:rPr>
          <w:rFonts w:ascii="Palatino Linotype" w:eastAsia="Palatino Linotype" w:hAnsi="Palatino Linotype" w:cs="Palatino Linotype"/>
          <w:i/>
        </w:rPr>
      </w:pPr>
      <w:r w:rsidRPr="00B911F2">
        <w:rPr>
          <w:rFonts w:ascii="Palatino Linotype" w:eastAsia="Palatino Linotype" w:hAnsi="Palatino Linotype" w:cs="Palatino Linotype"/>
          <w:i/>
          <w:sz w:val="22"/>
          <w:szCs w:val="22"/>
        </w:rPr>
        <w:t>IX. La entrega o puesta a disposición de información en un formato incomprensible y/o no accesible para el solicitante…” (Sic)</w:t>
      </w:r>
    </w:p>
    <w:p w14:paraId="03CE7B0B" w14:textId="77777777" w:rsidR="005F614A" w:rsidRPr="00B911F2" w:rsidRDefault="005F614A">
      <w:pPr>
        <w:spacing w:before="240" w:after="240" w:line="360" w:lineRule="auto"/>
        <w:jc w:val="both"/>
        <w:rPr>
          <w:rFonts w:ascii="Palatino Linotype" w:eastAsia="Palatino Linotype" w:hAnsi="Palatino Linotype" w:cs="Palatino Linotype"/>
          <w:b/>
        </w:rPr>
      </w:pPr>
    </w:p>
    <w:p w14:paraId="23530E78"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Tercero. Materia de Revisión</w:t>
      </w:r>
      <w:r w:rsidRPr="00B911F2">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B911F2">
        <w:rPr>
          <w:rFonts w:ascii="Palatino Linotype" w:eastAsia="Palatino Linotype" w:hAnsi="Palatino Linotype" w:cs="Palatino Linotype"/>
          <w:b/>
        </w:rPr>
        <w:lastRenderedPageBreak/>
        <w:t xml:space="preserve">verificar si las respuestas otorgadas por el SUJETO OBLIGADO son adecuadas y suficientes para satisfacer el derecho de acceso a la información pública </w:t>
      </w:r>
      <w:r w:rsidRPr="00B911F2">
        <w:rPr>
          <w:rFonts w:ascii="Palatino Linotype" w:eastAsia="Palatino Linotype" w:hAnsi="Palatino Linotype" w:cs="Palatino Linotype"/>
        </w:rPr>
        <w:t xml:space="preserve">de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o en su defecto, en caso de ser procedente, ordenar la entrega de información.</w:t>
      </w:r>
    </w:p>
    <w:p w14:paraId="445ED148"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Cuarto. Estudio de fondo del asunto. </w:t>
      </w:r>
      <w:r w:rsidRPr="00B911F2">
        <w:rPr>
          <w:rFonts w:ascii="Palatino Linotype" w:eastAsia="Palatino Linotype" w:hAnsi="Palatino Linotype" w:cs="Palatino Linotype"/>
        </w:rPr>
        <w:t xml:space="preserve">es conveniente analizar si las respuestas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cumplen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48FA022" w14:textId="77777777" w:rsidR="005F614A" w:rsidRPr="00B911F2" w:rsidRDefault="000153B3">
      <w:pPr>
        <w:spacing w:before="240"/>
        <w:ind w:left="709" w:right="76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Artículo 4.</w:t>
      </w:r>
      <w:r w:rsidRPr="00B911F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4FEFE30" w14:textId="77777777" w:rsidR="005F614A" w:rsidRPr="00B911F2" w:rsidRDefault="000153B3">
      <w:pPr>
        <w:ind w:left="709" w:right="76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911F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6A3601" w14:textId="77777777" w:rsidR="005F614A" w:rsidRPr="00B911F2" w:rsidRDefault="000153B3">
      <w:pPr>
        <w:ind w:left="709" w:right="76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911F2">
        <w:rPr>
          <w:rFonts w:ascii="Palatino Linotype" w:eastAsia="Palatino Linotype" w:hAnsi="Palatino Linotype" w:cs="Palatino Linotype"/>
          <w:i/>
          <w:sz w:val="22"/>
          <w:szCs w:val="22"/>
        </w:rPr>
        <w:t>.”(Sic)</w:t>
      </w:r>
    </w:p>
    <w:p w14:paraId="26A6918B"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F2A386B" w14:textId="77777777" w:rsidR="005F614A" w:rsidRPr="00B911F2" w:rsidRDefault="000153B3">
      <w:pPr>
        <w:ind w:left="567" w:right="758"/>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Artículo12.-</w:t>
      </w:r>
      <w:r w:rsidRPr="00B911F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1C3402D" w14:textId="77777777" w:rsidR="005F614A" w:rsidRPr="00B911F2" w:rsidRDefault="000153B3">
      <w:pPr>
        <w:ind w:left="567" w:right="758"/>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6A820059" w14:textId="77777777" w:rsidR="005F614A" w:rsidRPr="00B911F2" w:rsidRDefault="005F614A">
      <w:pPr>
        <w:spacing w:line="360" w:lineRule="auto"/>
        <w:ind w:right="-93"/>
        <w:jc w:val="both"/>
        <w:rPr>
          <w:rFonts w:ascii="Palatino Linotype" w:eastAsia="Palatino Linotype" w:hAnsi="Palatino Linotype" w:cs="Palatino Linotype"/>
        </w:rPr>
      </w:pPr>
    </w:p>
    <w:p w14:paraId="185435DE" w14:textId="77777777" w:rsidR="005F614A" w:rsidRPr="00B911F2" w:rsidRDefault="000153B3">
      <w:pPr>
        <w:spacing w:line="360" w:lineRule="auto"/>
        <w:ind w:right="-93"/>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1A34FD3" w14:textId="77777777" w:rsidR="005F614A" w:rsidRPr="00B911F2" w:rsidRDefault="005F614A">
      <w:pPr>
        <w:spacing w:line="360" w:lineRule="auto"/>
        <w:jc w:val="both"/>
        <w:rPr>
          <w:rFonts w:ascii="Palatino Linotype" w:eastAsia="Palatino Linotype" w:hAnsi="Palatino Linotype" w:cs="Palatino Linotype"/>
        </w:rPr>
      </w:pPr>
    </w:p>
    <w:p w14:paraId="213A4B1D"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54605BF2" w14:textId="77777777" w:rsidR="005F614A" w:rsidRPr="00B911F2" w:rsidRDefault="000153B3">
      <w:pPr>
        <w:spacing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t xml:space="preserve"> </w:t>
      </w:r>
    </w:p>
    <w:p w14:paraId="0FB4268A" w14:textId="77777777" w:rsidR="005F614A" w:rsidRPr="00B911F2" w:rsidRDefault="000153B3">
      <w:pPr>
        <w:ind w:left="851" w:right="90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w:t>
      </w:r>
      <w:r w:rsidRPr="00B911F2">
        <w:rPr>
          <w:rFonts w:ascii="Palatino Linotype" w:eastAsia="Palatino Linotype" w:hAnsi="Palatino Linotype" w:cs="Palatino Linotype"/>
          <w:b/>
          <w:i/>
          <w:sz w:val="22"/>
          <w:szCs w:val="22"/>
        </w:rPr>
        <w:t>No existe obligación de elaborar documentos ad hoc para atender las solicitudes de acceso a la información.</w:t>
      </w:r>
      <w:r w:rsidRPr="00B911F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D372486" w14:textId="77777777" w:rsidR="005F614A" w:rsidRPr="00B911F2" w:rsidRDefault="000153B3">
      <w:pPr>
        <w:ind w:left="851" w:right="90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Resoluciones: </w:t>
      </w:r>
    </w:p>
    <w:p w14:paraId="1780D87D" w14:textId="77777777" w:rsidR="005F614A" w:rsidRPr="00B911F2" w:rsidRDefault="000153B3">
      <w:pPr>
        <w:ind w:left="851" w:right="901"/>
        <w:jc w:val="both"/>
        <w:rPr>
          <w:rFonts w:ascii="Palatino Linotype" w:eastAsia="Palatino Linotype" w:hAnsi="Palatino Linotype" w:cs="Palatino Linotype"/>
          <w:i/>
          <w:sz w:val="22"/>
          <w:szCs w:val="22"/>
        </w:rPr>
      </w:pPr>
      <w:r w:rsidRPr="00B911F2">
        <w:rPr>
          <w:rFonts w:ascii="Noto Sans Symbols" w:eastAsia="Noto Sans Symbols" w:hAnsi="Noto Sans Symbols" w:cs="Noto Sans Symbols"/>
          <w:i/>
          <w:sz w:val="22"/>
          <w:szCs w:val="22"/>
        </w:rPr>
        <w:t>∙</w:t>
      </w:r>
      <w:r w:rsidRPr="00B911F2">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44FDE28A" w14:textId="77777777" w:rsidR="005F614A" w:rsidRPr="00B911F2" w:rsidRDefault="000153B3">
      <w:pPr>
        <w:ind w:left="851" w:right="901"/>
        <w:jc w:val="both"/>
        <w:rPr>
          <w:rFonts w:ascii="Palatino Linotype" w:eastAsia="Palatino Linotype" w:hAnsi="Palatino Linotype" w:cs="Palatino Linotype"/>
          <w:i/>
          <w:sz w:val="22"/>
          <w:szCs w:val="22"/>
        </w:rPr>
      </w:pPr>
      <w:r w:rsidRPr="00B911F2">
        <w:rPr>
          <w:rFonts w:ascii="Noto Sans Symbols" w:eastAsia="Noto Sans Symbols" w:hAnsi="Noto Sans Symbols" w:cs="Noto Sans Symbols"/>
          <w:i/>
          <w:sz w:val="22"/>
          <w:szCs w:val="22"/>
        </w:rPr>
        <w:t>∙</w:t>
      </w:r>
      <w:r w:rsidRPr="00B911F2">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AE8ABA3" w14:textId="77777777" w:rsidR="005F614A" w:rsidRPr="00B911F2" w:rsidRDefault="000153B3">
      <w:pPr>
        <w:ind w:left="851" w:right="901"/>
        <w:jc w:val="both"/>
        <w:rPr>
          <w:rFonts w:ascii="Palatino Linotype" w:eastAsia="Palatino Linotype" w:hAnsi="Palatino Linotype" w:cs="Palatino Linotype"/>
          <w:i/>
          <w:sz w:val="22"/>
          <w:szCs w:val="22"/>
        </w:rPr>
      </w:pPr>
      <w:r w:rsidRPr="00B911F2">
        <w:rPr>
          <w:rFonts w:ascii="Noto Sans Symbols" w:eastAsia="Noto Sans Symbols" w:hAnsi="Noto Sans Symbols" w:cs="Noto Sans Symbols"/>
          <w:i/>
          <w:sz w:val="22"/>
          <w:szCs w:val="22"/>
        </w:rPr>
        <w:t>∙</w:t>
      </w:r>
      <w:r w:rsidRPr="00B911F2">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2B0D6E73" w14:textId="77777777" w:rsidR="005F614A" w:rsidRPr="00B911F2" w:rsidRDefault="005F614A">
      <w:pPr>
        <w:spacing w:line="360" w:lineRule="auto"/>
        <w:jc w:val="both"/>
        <w:rPr>
          <w:rFonts w:ascii="Palatino Linotype" w:eastAsia="Palatino Linotype" w:hAnsi="Palatino Linotype" w:cs="Palatino Linotype"/>
        </w:rPr>
      </w:pPr>
    </w:p>
    <w:p w14:paraId="3D52EA46" w14:textId="77777777" w:rsidR="005F614A" w:rsidRPr="00B911F2" w:rsidRDefault="000153B3">
      <w:pPr>
        <w:spacing w:line="360" w:lineRule="auto"/>
        <w:jc w:val="both"/>
        <w:rPr>
          <w:rFonts w:ascii="Palatino Linotype" w:eastAsia="Palatino Linotype" w:hAnsi="Palatino Linotype" w:cs="Palatino Linotype"/>
          <w:strike/>
        </w:rPr>
      </w:pPr>
      <w:r w:rsidRPr="00B911F2">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30F2579F" w14:textId="77777777" w:rsidR="005F614A" w:rsidRPr="00B911F2" w:rsidRDefault="005F614A">
      <w:pPr>
        <w:spacing w:line="360" w:lineRule="auto"/>
        <w:jc w:val="both"/>
        <w:rPr>
          <w:rFonts w:ascii="Palatino Linotype" w:eastAsia="Palatino Linotype" w:hAnsi="Palatino Linotype" w:cs="Palatino Linotype"/>
        </w:rPr>
      </w:pPr>
    </w:p>
    <w:p w14:paraId="5C184095"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w:t>
      </w:r>
      <w:r w:rsidRPr="00B911F2">
        <w:rPr>
          <w:rFonts w:ascii="Palatino Linotype" w:eastAsia="Palatino Linotype" w:hAnsi="Palatino Linotype" w:cs="Palatino Linotype"/>
        </w:rPr>
        <w:lastRenderedPageBreak/>
        <w:t>público habilitado de cada Sujeto Obligado; como así se establece en la Ley de Transparencia y Acceso a la Información Pública del Estado de México y Municipios.</w:t>
      </w:r>
    </w:p>
    <w:p w14:paraId="29727B75" w14:textId="77777777" w:rsidR="005F614A" w:rsidRPr="00B911F2" w:rsidRDefault="005F614A">
      <w:pPr>
        <w:spacing w:line="360" w:lineRule="auto"/>
        <w:ind w:right="49"/>
        <w:jc w:val="both"/>
        <w:rPr>
          <w:rFonts w:ascii="Palatino Linotype" w:eastAsia="Palatino Linotype" w:hAnsi="Palatino Linotype" w:cs="Palatino Linotype"/>
        </w:rPr>
      </w:pPr>
    </w:p>
    <w:p w14:paraId="27F6FD7D"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96770E9" w14:textId="77777777" w:rsidR="005F614A" w:rsidRPr="00B911F2" w:rsidRDefault="005F614A">
      <w:pPr>
        <w:ind w:left="851" w:right="899"/>
        <w:jc w:val="both"/>
        <w:rPr>
          <w:rFonts w:ascii="Palatino Linotype" w:eastAsia="Palatino Linotype" w:hAnsi="Palatino Linotype" w:cs="Palatino Linotype"/>
          <w:i/>
          <w:sz w:val="22"/>
          <w:szCs w:val="22"/>
        </w:rPr>
      </w:pPr>
    </w:p>
    <w:p w14:paraId="206385F2"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 xml:space="preserve">Artículo 3. </w:t>
      </w:r>
      <w:r w:rsidRPr="00B911F2">
        <w:rPr>
          <w:rFonts w:ascii="Palatino Linotype" w:eastAsia="Palatino Linotype" w:hAnsi="Palatino Linotype" w:cs="Palatino Linotype"/>
          <w:i/>
          <w:sz w:val="22"/>
          <w:szCs w:val="22"/>
        </w:rPr>
        <w:t>Para los efectos de la presente Ley se entenderá por:</w:t>
      </w:r>
    </w:p>
    <w:p w14:paraId="25164C96"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p>
    <w:p w14:paraId="6384EEC2"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XI. Documento:</w:t>
      </w:r>
      <w:r w:rsidRPr="00B911F2">
        <w:rPr>
          <w:rFonts w:ascii="Palatino Linotype" w:eastAsia="Palatino Linotype" w:hAnsi="Palatino Linotype" w:cs="Palatino Linotype"/>
          <w:i/>
          <w:sz w:val="22"/>
          <w:szCs w:val="22"/>
        </w:rPr>
        <w:t xml:space="preserve"> Los expedientes, reportes, estudios, actas</w:t>
      </w:r>
      <w:r w:rsidRPr="00B911F2">
        <w:rPr>
          <w:rFonts w:ascii="Palatino Linotype" w:eastAsia="Palatino Linotype" w:hAnsi="Palatino Linotype" w:cs="Palatino Linotype"/>
          <w:b/>
          <w:i/>
          <w:sz w:val="22"/>
          <w:szCs w:val="22"/>
        </w:rPr>
        <w:t>,</w:t>
      </w:r>
      <w:r w:rsidRPr="00B911F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DC86143" w14:textId="77777777" w:rsidR="005F614A" w:rsidRPr="00B911F2" w:rsidRDefault="005F614A">
      <w:pPr>
        <w:ind w:left="851" w:right="899"/>
        <w:jc w:val="both"/>
        <w:rPr>
          <w:rFonts w:ascii="Palatino Linotype" w:eastAsia="Palatino Linotype" w:hAnsi="Palatino Linotype" w:cs="Palatino Linotype"/>
          <w:sz w:val="22"/>
          <w:szCs w:val="22"/>
        </w:rPr>
      </w:pPr>
    </w:p>
    <w:p w14:paraId="0B4850E9"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054C100" w14:textId="77777777" w:rsidR="005F614A" w:rsidRPr="00B911F2" w:rsidRDefault="005F614A">
      <w:pPr>
        <w:ind w:left="851" w:right="899"/>
        <w:jc w:val="both"/>
        <w:rPr>
          <w:rFonts w:ascii="Palatino Linotype" w:eastAsia="Palatino Linotype" w:hAnsi="Palatino Linotype" w:cs="Palatino Linotype"/>
        </w:rPr>
      </w:pPr>
    </w:p>
    <w:p w14:paraId="7E7D0C57"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sz w:val="22"/>
          <w:szCs w:val="22"/>
        </w:rPr>
        <w:lastRenderedPageBreak/>
        <w:t>“</w:t>
      </w:r>
      <w:r w:rsidRPr="00B911F2">
        <w:rPr>
          <w:rFonts w:ascii="Palatino Linotype" w:eastAsia="Palatino Linotype" w:hAnsi="Palatino Linotype" w:cs="Palatino Linotype"/>
          <w:b/>
          <w:i/>
          <w:sz w:val="22"/>
          <w:szCs w:val="22"/>
        </w:rPr>
        <w:t>CRITERIO 0002-11</w:t>
      </w:r>
    </w:p>
    <w:p w14:paraId="1E4F62D0"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911F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68E8D1E"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5C8A3A6"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D3AD26B"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4A75F23"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33F99CC1"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Precisado lo anterior se procede analizar los recursos de revisión anotados al rubro por separado, ya que si bien es cierto los dos corresponden a un tema igual porque en ambos se solicitados facturas; pero, de acuerdo a las respuestas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es que se analizan de la siguiente manera:</w:t>
      </w:r>
    </w:p>
    <w:p w14:paraId="09FF6631" w14:textId="77777777" w:rsidR="005F614A" w:rsidRPr="00B911F2" w:rsidRDefault="000153B3">
      <w:pPr>
        <w:spacing w:before="240" w:after="240"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rPr>
        <w:t xml:space="preserve"> </w:t>
      </w:r>
      <w:r w:rsidRPr="00B911F2">
        <w:rPr>
          <w:rFonts w:ascii="Palatino Linotype" w:eastAsia="Palatino Linotype" w:hAnsi="Palatino Linotype" w:cs="Palatino Linotype"/>
          <w:b/>
        </w:rPr>
        <w:t>RECURSO DE REVISIÓN 08374/INFOEM/IP/RR/2023.</w:t>
      </w:r>
    </w:p>
    <w:p w14:paraId="2600239E"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Del análisis de la solicitud de información pública que motivó el recurso de revisión que ahora se resuelve, se advierte que el particular requirió al Ayuntamiento de Zinacantepec, lo siguiente</w:t>
      </w:r>
    </w:p>
    <w:p w14:paraId="6E63389E" w14:textId="77777777" w:rsidR="005F614A" w:rsidRPr="00B911F2" w:rsidRDefault="000153B3">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i/>
          <w:sz w:val="22"/>
          <w:szCs w:val="22"/>
        </w:rPr>
        <w:t>TODAS LAS FACTURAS PAGADAS POR EL IMCUFIDEZ DEL AÑO 2023.</w:t>
      </w:r>
    </w:p>
    <w:p w14:paraId="6F7FE587" w14:textId="77777777" w:rsidR="005F614A" w:rsidRPr="00B911F2" w:rsidRDefault="000153B3">
      <w:pPr>
        <w:spacing w:before="240" w:after="240" w:line="360" w:lineRule="auto"/>
        <w:ind w:right="49"/>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rPr>
        <w:lastRenderedPageBreak/>
        <w:t xml:space="preserve">En respuesta, el </w:t>
      </w:r>
      <w:r w:rsidRPr="00B911F2">
        <w:rPr>
          <w:rFonts w:ascii="Palatino Linotype" w:eastAsia="Palatino Linotype" w:hAnsi="Palatino Linotype" w:cs="Palatino Linotype"/>
          <w:b/>
        </w:rPr>
        <w:t xml:space="preserve">SUJETO OBLIGADO, </w:t>
      </w:r>
      <w:r w:rsidRPr="00B911F2">
        <w:rPr>
          <w:rFonts w:ascii="Palatino Linotype" w:eastAsia="Palatino Linotype" w:hAnsi="Palatino Linotype" w:cs="Palatino Linotype"/>
        </w:rPr>
        <w:t>del Director General del Instituto Municipal de Cultura Física y Deporte del Ayuntamiento de Zinacantepec, informó que al comparar la información solicitada con la información que se encuentra en las ligas de CONAC del Instituto Municipal de Cultura Física y Deporte de Zinacantepec, tienen similitud de acuerdo al interés público, ya que dicha información al ser de carácter público se encuentra publicada en la página del IMCUFIDEZ, en la parte de Transparencia, Consejo Nacional de Amortización Contable (CONAC) en el siguiente enlace:</w:t>
      </w:r>
    </w:p>
    <w:p w14:paraId="18956E0C" w14:textId="77777777" w:rsidR="005F614A" w:rsidRPr="00B911F2" w:rsidRDefault="00C96126">
      <w:pPr>
        <w:jc w:val="both"/>
        <w:rPr>
          <w:rFonts w:ascii="Palatino Linotype" w:eastAsia="Palatino Linotype" w:hAnsi="Palatino Linotype" w:cs="Palatino Linotype"/>
          <w:sz w:val="22"/>
          <w:szCs w:val="22"/>
        </w:rPr>
      </w:pPr>
      <w:hyperlink r:id="rId14">
        <w:r w:rsidR="000153B3" w:rsidRPr="00B911F2">
          <w:rPr>
            <w:rFonts w:ascii="Palatino Linotype" w:eastAsia="Palatino Linotype" w:hAnsi="Palatino Linotype" w:cs="Palatino Linotype"/>
            <w:sz w:val="22"/>
            <w:szCs w:val="22"/>
            <w:u w:val="single"/>
          </w:rPr>
          <w:t>https://imcufidez.zinacantepec.gob.mx/conac_imcufidez.php</w:t>
        </w:r>
      </w:hyperlink>
    </w:p>
    <w:p w14:paraId="37AB7B88" w14:textId="77777777" w:rsidR="005F614A" w:rsidRPr="00B911F2" w:rsidRDefault="000153B3">
      <w:pPr>
        <w:spacing w:before="240" w:after="240" w:line="360" w:lineRule="auto"/>
        <w:ind w:right="4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rPr>
        <w:t xml:space="preserve">Una vez conocida la respuesta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se inconforma en lo medular por la negativa de la información solicitada. </w:t>
      </w:r>
    </w:p>
    <w:p w14:paraId="48AEDA96" w14:textId="77777777" w:rsidR="005F614A" w:rsidRPr="00B911F2" w:rsidRDefault="000153B3">
      <w:pPr>
        <w:spacing w:before="240" w:after="240"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Ante la interposición del recurso de revisión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fue omiso en rendir su informe justificado. </w:t>
      </w:r>
    </w:p>
    <w:p w14:paraId="77047F96" w14:textId="77777777" w:rsidR="005F614A" w:rsidRPr="00B911F2" w:rsidRDefault="000153B3">
      <w:pPr>
        <w:spacing w:line="360" w:lineRule="auto"/>
        <w:ind w:right="49"/>
        <w:jc w:val="both"/>
        <w:rPr>
          <w:rFonts w:ascii="Palatino Linotype" w:eastAsia="Palatino Linotype" w:hAnsi="Palatino Linotype" w:cs="Palatino Linotype"/>
          <w:b/>
          <w:i/>
        </w:rPr>
      </w:pPr>
      <w:r w:rsidRPr="00B911F2">
        <w:rPr>
          <w:rFonts w:ascii="Palatino Linotype" w:eastAsia="Palatino Linotype" w:hAnsi="Palatino Linotype" w:cs="Palatino Linotype"/>
        </w:rPr>
        <w:t xml:space="preserve">Sobre la información en principio, resulta importante traer a colación lo que establece el Glosario de Términos Hacendarios que emite el Instituto Hacendario del Estado de México, el cual define como </w:t>
      </w:r>
      <w:r w:rsidRPr="00B911F2">
        <w:rPr>
          <w:rFonts w:ascii="Palatino Linotype" w:eastAsia="Palatino Linotype" w:hAnsi="Palatino Linotype" w:cs="Palatino Linotype"/>
          <w:i/>
        </w:rPr>
        <w:t>“factura” al</w:t>
      </w:r>
      <w:r w:rsidRPr="00B911F2">
        <w:rPr>
          <w:rFonts w:ascii="Palatino Linotype" w:eastAsia="Palatino Linotype" w:hAnsi="Palatino Linotype" w:cs="Palatino Linotype"/>
          <w:b/>
          <w:i/>
        </w:rPr>
        <w:t xml:space="preserve"> documento fiscal que emite la persona física o moral para comprobar la venta o adquisición de un bien y/o servicio.</w:t>
      </w:r>
    </w:p>
    <w:p w14:paraId="029F8832"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w:t>
      </w:r>
      <w:r w:rsidRPr="00B911F2">
        <w:rPr>
          <w:rFonts w:ascii="Palatino Linotype" w:eastAsia="Palatino Linotype" w:hAnsi="Palatino Linotype" w:cs="Palatino Linotype"/>
        </w:rPr>
        <w:lastRenderedPageBreak/>
        <w:t xml:space="preserve">de los Organismos Autónomos, se administrarán con eficiencia, eficacia y honradez, para cumplir con los objetivos y programas a los que estén destinados. </w:t>
      </w:r>
    </w:p>
    <w:p w14:paraId="3D388C74"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En tal contexto, el Código Financiero del Estado de México, establece en su artículo 344 lo siguiente: </w:t>
      </w:r>
    </w:p>
    <w:p w14:paraId="3D711104" w14:textId="77777777" w:rsidR="005F614A" w:rsidRPr="00B911F2" w:rsidRDefault="005F614A">
      <w:pPr>
        <w:spacing w:line="360" w:lineRule="auto"/>
        <w:ind w:right="49"/>
        <w:jc w:val="both"/>
        <w:rPr>
          <w:rFonts w:ascii="Palatino Linotype" w:eastAsia="Palatino Linotype" w:hAnsi="Palatino Linotype" w:cs="Palatino Linotype"/>
        </w:rPr>
      </w:pPr>
    </w:p>
    <w:p w14:paraId="35A68CE3" w14:textId="77777777" w:rsidR="005F614A" w:rsidRPr="00B911F2" w:rsidRDefault="000153B3">
      <w:pPr>
        <w:spacing w:line="276" w:lineRule="auto"/>
        <w:ind w:left="567" w:right="843"/>
        <w:jc w:val="both"/>
        <w:rPr>
          <w:rFonts w:ascii="Palatino Linotype" w:eastAsia="Palatino Linotype" w:hAnsi="Palatino Linotype" w:cs="Palatino Linotype"/>
          <w:i/>
        </w:rPr>
      </w:pPr>
      <w:r w:rsidRPr="00B911F2">
        <w:rPr>
          <w:rFonts w:ascii="Palatino Linotype" w:eastAsia="Palatino Linotype" w:hAnsi="Palatino Linotype" w:cs="Palatino Linotype"/>
          <w:b/>
          <w:i/>
        </w:rPr>
        <w:t>Artículo 344.-</w:t>
      </w:r>
      <w:r w:rsidRPr="00B911F2">
        <w:rPr>
          <w:rFonts w:ascii="Palatino Linotype" w:eastAsia="Palatino Linotype" w:hAnsi="Palatino Linotype" w:cs="Palatino Linotype"/>
          <w:i/>
        </w:rPr>
        <w:t xml:space="preserve"> </w:t>
      </w:r>
      <w:r w:rsidRPr="00B911F2">
        <w:rPr>
          <w:rFonts w:ascii="Palatino Linotype" w:eastAsia="Palatino Linotype" w:hAnsi="Palatino Linotype" w:cs="Palatino Linotype"/>
          <w:b/>
          <w:i/>
          <w:u w:val="single"/>
        </w:rPr>
        <w:t>Los Entes Públicos, a través de cualquiera de sus unidades administrativas</w:t>
      </w:r>
      <w:r w:rsidRPr="00B911F2">
        <w:rPr>
          <w:rFonts w:ascii="Palatino Linotype" w:eastAsia="Palatino Linotype" w:hAnsi="Palatino Linotype" w:cs="Palatino Linotype"/>
          <w:i/>
        </w:rPr>
        <w:t xml:space="preserve">, de acuerdo con su naturaleza jurídica y según corresponda, </w:t>
      </w:r>
      <w:r w:rsidRPr="00B911F2">
        <w:rPr>
          <w:rFonts w:ascii="Palatino Linotype" w:eastAsia="Palatino Linotype" w:hAnsi="Palatino Linotype" w:cs="Palatino Linotype"/>
          <w:b/>
          <w:i/>
          <w:u w:val="single"/>
        </w:rPr>
        <w:t>registrarán contablemente el efecto patrimonial y presupuestal de las operaciones financieras que realicen, en el momento en que ocurran, con base en el sistema y políticas de registro establecidas</w:t>
      </w:r>
      <w:r w:rsidRPr="00B911F2">
        <w:rPr>
          <w:rFonts w:ascii="Palatino Linotype" w:eastAsia="Palatino Linotype" w:hAnsi="Palatino Linotype" w:cs="Palatino Linotype"/>
          <w:i/>
        </w:rPr>
        <w:t xml:space="preserve">, en el caso de los Municipios, se hará por la Tesorería. </w:t>
      </w:r>
    </w:p>
    <w:p w14:paraId="5177B06A" w14:textId="77777777" w:rsidR="005F614A" w:rsidRPr="00B911F2" w:rsidRDefault="005F614A">
      <w:pPr>
        <w:spacing w:line="276" w:lineRule="auto"/>
        <w:ind w:left="567" w:right="843"/>
        <w:jc w:val="both"/>
        <w:rPr>
          <w:rFonts w:ascii="Palatino Linotype" w:eastAsia="Palatino Linotype" w:hAnsi="Palatino Linotype" w:cs="Palatino Linotype"/>
          <w:i/>
        </w:rPr>
      </w:pPr>
    </w:p>
    <w:p w14:paraId="77B7A513" w14:textId="77777777" w:rsidR="005F614A" w:rsidRPr="00B911F2" w:rsidRDefault="000153B3">
      <w:pPr>
        <w:spacing w:line="276" w:lineRule="auto"/>
        <w:ind w:left="567" w:right="843"/>
        <w:jc w:val="both"/>
        <w:rPr>
          <w:rFonts w:ascii="Palatino Linotype" w:eastAsia="Palatino Linotype" w:hAnsi="Palatino Linotype" w:cs="Palatino Linotype"/>
          <w:i/>
        </w:rPr>
      </w:pPr>
      <w:r w:rsidRPr="00B911F2">
        <w:rPr>
          <w:rFonts w:ascii="Palatino Linotype" w:eastAsia="Palatino Linotype" w:hAnsi="Palatino Linotype" w:cs="Palatino Linotype"/>
          <w:b/>
          <w:i/>
          <w:u w:val="single"/>
        </w:rPr>
        <w:t>Todo registro contable y presupuestal deberá estar soportado con los documentos comprobatorios originales o en medios electrónicos, los que deberán permanecer en custodia y conservación</w:t>
      </w:r>
      <w:r w:rsidRPr="00B911F2">
        <w:rPr>
          <w:rFonts w:ascii="Palatino Linotype" w:eastAsia="Palatino Linotype" w:hAnsi="Palatino Linotype" w:cs="Palatino Linotype"/>
          <w:i/>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5B44D08C" w14:textId="77777777" w:rsidR="005F614A" w:rsidRPr="00B911F2" w:rsidRDefault="005F614A">
      <w:pPr>
        <w:spacing w:line="276" w:lineRule="auto"/>
        <w:ind w:left="567" w:right="843"/>
        <w:jc w:val="both"/>
        <w:rPr>
          <w:rFonts w:ascii="Palatino Linotype" w:eastAsia="Palatino Linotype" w:hAnsi="Palatino Linotype" w:cs="Palatino Linotype"/>
          <w:i/>
        </w:rPr>
      </w:pPr>
    </w:p>
    <w:p w14:paraId="7A01746E" w14:textId="77777777" w:rsidR="005F614A" w:rsidRPr="00B911F2" w:rsidRDefault="000153B3">
      <w:pPr>
        <w:spacing w:line="276" w:lineRule="auto"/>
        <w:ind w:left="567" w:right="843"/>
        <w:jc w:val="both"/>
        <w:rPr>
          <w:rFonts w:ascii="Palatino Linotype" w:eastAsia="Palatino Linotype" w:hAnsi="Palatino Linotype" w:cs="Palatino Linotype"/>
          <w:i/>
        </w:rPr>
      </w:pPr>
      <w:r w:rsidRPr="00B911F2">
        <w:rPr>
          <w:rFonts w:ascii="Palatino Linotype" w:eastAsia="Palatino Linotype" w:hAnsi="Palatino Linotype" w:cs="Palatino Linotype"/>
          <w:i/>
        </w:rPr>
        <w:t>Tratándose de documentos de carácter histórico, se estará a lo dispuesto por la legislación de la materia.</w:t>
      </w:r>
    </w:p>
    <w:p w14:paraId="24DC9D8B" w14:textId="77777777" w:rsidR="005F614A" w:rsidRPr="00B911F2" w:rsidRDefault="005F614A">
      <w:pPr>
        <w:spacing w:line="360" w:lineRule="auto"/>
        <w:ind w:right="49"/>
        <w:jc w:val="both"/>
      </w:pPr>
    </w:p>
    <w:p w14:paraId="3E94A175"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w:t>
      </w:r>
      <w:r w:rsidRPr="00B911F2">
        <w:rPr>
          <w:rFonts w:ascii="Palatino Linotype" w:eastAsia="Palatino Linotype" w:hAnsi="Palatino Linotype" w:cs="Palatino Linotype"/>
        </w:rPr>
        <w:lastRenderedPageBreak/>
        <w:t xml:space="preserve">registros contables y presupuestales, también lo es que no define qué se debe entender por estos, por lo que, de conformidad con el </w:t>
      </w:r>
      <w:r w:rsidRPr="00B911F2">
        <w:rPr>
          <w:rFonts w:ascii="Palatino Linotype" w:eastAsia="Palatino Linotype" w:hAnsi="Palatino Linotype" w:cs="Palatino Linotype"/>
          <w:i/>
        </w:rPr>
        <w:t>Glosario de Términos Administrativos</w:t>
      </w:r>
      <w:r w:rsidRPr="00B911F2">
        <w:rPr>
          <w:rFonts w:ascii="Palatino Linotype" w:eastAsia="Palatino Linotype" w:hAnsi="Palatino Linotype" w:cs="Palatino Linotype"/>
        </w:rPr>
        <w:t xml:space="preserve"> y el </w:t>
      </w:r>
      <w:r w:rsidRPr="00B911F2">
        <w:rPr>
          <w:rFonts w:ascii="Palatino Linotype" w:eastAsia="Palatino Linotype" w:hAnsi="Palatino Linotype" w:cs="Palatino Linotype"/>
          <w:i/>
        </w:rPr>
        <w:t>Glosario de Términos para el Proceso de Planeación, Programación, Presupuestación y Evaluación en la Administración Pública</w:t>
      </w:r>
      <w:r w:rsidRPr="00B911F2">
        <w:rPr>
          <w:rFonts w:ascii="Palatino Linotype" w:eastAsia="Palatino Linotype" w:hAnsi="Palatino Linotype" w:cs="Palatino Linotype"/>
        </w:rPr>
        <w:t xml:space="preserve">, definen los registros como: </w:t>
      </w:r>
    </w:p>
    <w:p w14:paraId="6702D5AD" w14:textId="77777777" w:rsidR="005F614A" w:rsidRPr="00B911F2" w:rsidRDefault="005F614A">
      <w:pPr>
        <w:spacing w:line="360" w:lineRule="auto"/>
        <w:ind w:left="567" w:right="560"/>
        <w:jc w:val="both"/>
        <w:rPr>
          <w:rFonts w:ascii="Palatino Linotype" w:eastAsia="Palatino Linotype" w:hAnsi="Palatino Linotype" w:cs="Palatino Linotype"/>
          <w:i/>
        </w:rPr>
      </w:pPr>
    </w:p>
    <w:p w14:paraId="72CC3552" w14:textId="77777777" w:rsidR="005F614A" w:rsidRPr="00B911F2" w:rsidRDefault="000153B3">
      <w:pPr>
        <w:spacing w:line="276" w:lineRule="auto"/>
        <w:ind w:left="567" w:right="56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 xml:space="preserve">Registro contable. </w:t>
      </w:r>
      <w:r w:rsidRPr="00B911F2">
        <w:rPr>
          <w:rFonts w:ascii="Palatino Linotype" w:eastAsia="Palatino Linotype" w:hAnsi="Palatino Linotype" w:cs="Palatino Linotype"/>
          <w:i/>
          <w:sz w:val="22"/>
          <w:szCs w:val="22"/>
        </w:rPr>
        <w:t xml:space="preserve">Asiento que se realiza en los libros de contabilidad de las actividades relacionadas con el ingreso y egreso de un ente económico. </w:t>
      </w:r>
    </w:p>
    <w:p w14:paraId="1F268513" w14:textId="77777777" w:rsidR="005F614A" w:rsidRPr="00B911F2" w:rsidRDefault="005F614A">
      <w:pPr>
        <w:spacing w:line="276" w:lineRule="auto"/>
        <w:ind w:left="567" w:right="560"/>
        <w:jc w:val="both"/>
        <w:rPr>
          <w:rFonts w:ascii="Palatino Linotype" w:eastAsia="Palatino Linotype" w:hAnsi="Palatino Linotype" w:cs="Palatino Linotype"/>
          <w:i/>
          <w:sz w:val="22"/>
          <w:szCs w:val="22"/>
        </w:rPr>
      </w:pPr>
    </w:p>
    <w:p w14:paraId="23CBEE2A" w14:textId="77777777" w:rsidR="005F614A" w:rsidRPr="00B911F2" w:rsidRDefault="000153B3">
      <w:pPr>
        <w:spacing w:line="276" w:lineRule="auto"/>
        <w:ind w:left="567" w:right="56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 xml:space="preserve">Registro Presupuestario. </w:t>
      </w:r>
      <w:r w:rsidRPr="00B911F2">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617C86F0" w14:textId="77777777" w:rsidR="005F614A" w:rsidRPr="00B911F2" w:rsidRDefault="005F614A">
      <w:pPr>
        <w:spacing w:line="360" w:lineRule="auto"/>
        <w:ind w:right="49"/>
        <w:jc w:val="both"/>
        <w:rPr>
          <w:rFonts w:ascii="Palatino Linotype" w:eastAsia="Palatino Linotype" w:hAnsi="Palatino Linotype" w:cs="Palatino Linotype"/>
        </w:rPr>
      </w:pPr>
    </w:p>
    <w:p w14:paraId="0151A28C"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De los preceptos citados, se colige que los entes fiscalizables</w:t>
      </w:r>
      <w:r w:rsidRPr="00B911F2">
        <w:rPr>
          <w:rFonts w:ascii="Palatino Linotype" w:eastAsia="Palatino Linotype" w:hAnsi="Palatino Linotype" w:cs="Palatino Linotype"/>
          <w:b/>
          <w:u w:val="single"/>
        </w:rPr>
        <w:t xml:space="preserve"> deben contar con una unidad administrativa que registra contablemente el efecto patrimonial y presupuestal de las operaciones financieras</w:t>
      </w:r>
      <w:r w:rsidRPr="00B911F2">
        <w:rPr>
          <w:rFonts w:ascii="Palatino Linotype" w:eastAsia="Palatino Linotype" w:hAnsi="Palatino Linotype" w:cs="Palatino Linotype"/>
        </w:rPr>
        <w:t xml:space="preserve"> que realizan y por lo general, se encuentran en las denominadas </w:t>
      </w:r>
      <w:r w:rsidRPr="00B911F2">
        <w:rPr>
          <w:rFonts w:ascii="Palatino Linotype" w:eastAsia="Palatino Linotype" w:hAnsi="Palatino Linotype" w:cs="Palatino Linotype"/>
          <w:i/>
        </w:rPr>
        <w:t xml:space="preserve">pólizas contables </w:t>
      </w:r>
      <w:r w:rsidRPr="00B911F2">
        <w:rPr>
          <w:rFonts w:ascii="Palatino Linotype" w:eastAsia="Palatino Linotype" w:hAnsi="Palatino Linotype" w:cs="Palatino Linotype"/>
        </w:rPr>
        <w:t xml:space="preserve">las cuales son aquellos documentos en los que se asientan en forma individual todas y cada una de las operaciones desarrolladas por una institución, así como la información necesaria para la identificación de estas. </w:t>
      </w:r>
    </w:p>
    <w:p w14:paraId="33D583EA"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Correlativo a lo anterior, es preciso referir una definición de </w:t>
      </w:r>
      <w:r w:rsidRPr="00B911F2">
        <w:rPr>
          <w:rFonts w:ascii="Palatino Linotype" w:eastAsia="Palatino Linotype" w:hAnsi="Palatino Linotype" w:cs="Palatino Linotype"/>
          <w:i/>
        </w:rPr>
        <w:t>póliza contable</w:t>
      </w:r>
      <w:r w:rsidRPr="00B911F2">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2132848C" w14:textId="77777777" w:rsidR="005F614A" w:rsidRPr="00B911F2" w:rsidRDefault="000153B3">
      <w:pPr>
        <w:spacing w:before="120" w:after="120" w:line="276" w:lineRule="auto"/>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PÓLIZA CONTABLE</w:t>
      </w:r>
    </w:p>
    <w:p w14:paraId="2A13BA5A" w14:textId="77777777" w:rsidR="005F614A" w:rsidRPr="00B911F2" w:rsidRDefault="000153B3">
      <w:pPr>
        <w:spacing w:before="120" w:after="120" w:line="276" w:lineRule="auto"/>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51E0D577"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 xml:space="preserve">Así, se advierte que la </w:t>
      </w:r>
      <w:r w:rsidRPr="00B911F2">
        <w:rPr>
          <w:rFonts w:ascii="Palatino Linotype" w:eastAsia="Palatino Linotype" w:hAnsi="Palatino Linotype" w:cs="Palatino Linotype"/>
          <w:i/>
        </w:rPr>
        <w:t>póliza contable</w:t>
      </w:r>
      <w:r w:rsidRPr="00B911F2">
        <w:rPr>
          <w:rFonts w:ascii="Palatino Linotype" w:eastAsia="Palatino Linotype" w:hAnsi="Palatino Linotype" w:cs="Palatino Linotype"/>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396A125B"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B911F2">
        <w:rPr>
          <w:rFonts w:ascii="Palatino Linotype" w:eastAsia="Palatino Linotype" w:hAnsi="Palatino Linotype" w:cs="Palatino Linotype"/>
          <w:i/>
        </w:rPr>
        <w:t>pólizas de egresos</w:t>
      </w:r>
      <w:r w:rsidRPr="00B911F2">
        <w:rPr>
          <w:rFonts w:ascii="Palatino Linotype" w:eastAsia="Palatino Linotype" w:hAnsi="Palatino Linotype" w:cs="Palatino Linotype"/>
        </w:rPr>
        <w:t xml:space="preserve">, son aquellas en las cuales se anotan diariamente las operaciones que representan gastos, es decir, salidas de dinero para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las que, además, deben encontrarse acompañadas de las documentales que sirven de soporte de dicho movimiento como por ejemplo las facturas.</w:t>
      </w:r>
    </w:p>
    <w:p w14:paraId="354F003B" w14:textId="77777777" w:rsidR="005F614A" w:rsidRPr="00B911F2" w:rsidRDefault="000153B3">
      <w:pPr>
        <w:spacing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este modo, </w:t>
      </w:r>
      <w:r w:rsidRPr="00B911F2">
        <w:rPr>
          <w:rFonts w:ascii="Palatino Linotype" w:eastAsia="Palatino Linotype" w:hAnsi="Palatino Linotype" w:cs="Palatino Linotype"/>
          <w:b/>
        </w:rPr>
        <w:t>el SUJETO OBLIGADO</w:t>
      </w:r>
      <w:r w:rsidRPr="00B911F2">
        <w:rPr>
          <w:rFonts w:ascii="Palatino Linotype" w:eastAsia="Palatino Linotype" w:hAnsi="Palatino Linotype" w:cs="Palatino Linotype"/>
        </w:rPr>
        <w:t xml:space="preserve"> debe tener registro de la expedición de las pólizas de egresos; ya que con tales documentales acredita y soporta el gasto realizado. </w:t>
      </w:r>
    </w:p>
    <w:p w14:paraId="32C8A2BD" w14:textId="77777777" w:rsidR="005F614A" w:rsidRPr="00B911F2" w:rsidRDefault="005F614A">
      <w:pPr>
        <w:spacing w:line="360" w:lineRule="auto"/>
        <w:ind w:right="49"/>
        <w:jc w:val="both"/>
        <w:rPr>
          <w:rFonts w:ascii="Palatino Linotype" w:eastAsia="Palatino Linotype" w:hAnsi="Palatino Linotype" w:cs="Palatino Linotype"/>
        </w:rPr>
      </w:pPr>
    </w:p>
    <w:p w14:paraId="5617F531" w14:textId="77777777" w:rsidR="005F614A" w:rsidRPr="00B911F2" w:rsidRDefault="000153B3">
      <w:pPr>
        <w:spacing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70262C0B" w14:textId="77777777" w:rsidR="005F614A" w:rsidRPr="00B911F2" w:rsidRDefault="005F614A">
      <w:pPr>
        <w:ind w:right="50"/>
        <w:jc w:val="both"/>
        <w:rPr>
          <w:rFonts w:ascii="Palatino Linotype" w:eastAsia="Palatino Linotype" w:hAnsi="Palatino Linotype" w:cs="Palatino Linotype"/>
        </w:rPr>
      </w:pPr>
    </w:p>
    <w:p w14:paraId="03749AA2" w14:textId="77777777" w:rsidR="005F614A" w:rsidRPr="00B911F2" w:rsidRDefault="000153B3">
      <w:pPr>
        <w:spacing w:line="276" w:lineRule="auto"/>
        <w:ind w:left="851" w:right="901"/>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“Artículo 23…</w:t>
      </w:r>
    </w:p>
    <w:p w14:paraId="2B5CFD6A" w14:textId="77777777" w:rsidR="005F614A" w:rsidRPr="00B911F2" w:rsidRDefault="000153B3">
      <w:pPr>
        <w:spacing w:line="276" w:lineRule="auto"/>
        <w:ind w:left="851" w:right="90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recursos…(Sic)”</w:t>
      </w:r>
    </w:p>
    <w:p w14:paraId="297286B4" w14:textId="77777777" w:rsidR="005F614A" w:rsidRPr="00B911F2" w:rsidRDefault="005F614A">
      <w:pPr>
        <w:spacing w:line="360" w:lineRule="auto"/>
        <w:ind w:right="49"/>
        <w:jc w:val="both"/>
        <w:rPr>
          <w:rFonts w:ascii="Palatino Linotype" w:eastAsia="Palatino Linotype" w:hAnsi="Palatino Linotype" w:cs="Palatino Linotype"/>
        </w:rPr>
      </w:pPr>
    </w:p>
    <w:p w14:paraId="29A66DE6" w14:textId="77777777" w:rsidR="005F614A" w:rsidRPr="00B911F2" w:rsidRDefault="000153B3">
      <w:pPr>
        <w:spacing w:line="360" w:lineRule="auto"/>
        <w:ind w:right="-7"/>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Asimismo, el Reglamento Interno Instituto Municipal de Cultura Física y Deporte de Zinacantepec, en su artículo 23 refiere que: </w:t>
      </w:r>
    </w:p>
    <w:p w14:paraId="70D2E778" w14:textId="77777777" w:rsidR="005F614A" w:rsidRPr="00B911F2" w:rsidRDefault="005F614A">
      <w:pPr>
        <w:spacing w:line="360" w:lineRule="auto"/>
        <w:ind w:left="567" w:right="843"/>
        <w:jc w:val="both"/>
        <w:rPr>
          <w:rFonts w:ascii="Palatino Linotype" w:eastAsia="Palatino Linotype" w:hAnsi="Palatino Linotype" w:cs="Palatino Linotype"/>
          <w:i/>
        </w:rPr>
      </w:pPr>
    </w:p>
    <w:p w14:paraId="6606DB68"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“Artículo 23.- Corresponde a la </w:t>
      </w:r>
      <w:r w:rsidRPr="00B911F2">
        <w:rPr>
          <w:rFonts w:ascii="Palatino Linotype" w:eastAsia="Palatino Linotype" w:hAnsi="Palatino Linotype" w:cs="Palatino Linotype"/>
          <w:b/>
          <w:i/>
          <w:sz w:val="22"/>
          <w:szCs w:val="22"/>
          <w:u w:val="single"/>
        </w:rPr>
        <w:t>Coordinación de Administración y Finanzas, además de las atribuciones generales, las siguientes:</w:t>
      </w:r>
      <w:r w:rsidRPr="00B911F2">
        <w:rPr>
          <w:rFonts w:ascii="Palatino Linotype" w:eastAsia="Palatino Linotype" w:hAnsi="Palatino Linotype" w:cs="Palatino Linotype"/>
          <w:i/>
          <w:sz w:val="22"/>
          <w:szCs w:val="22"/>
        </w:rPr>
        <w:t xml:space="preserve"> </w:t>
      </w:r>
    </w:p>
    <w:p w14:paraId="301C0584"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I. Administrar y custodiar los fondos y valores del Instituto, provenientes de los recursos federales, estatales y municipales, en términos de la normatividad aplicable; II. Regular, sistematizar y estandarizar los procesos y procedimientos administrativos llevados a cabo por el Instituto para mejorar su operación; </w:t>
      </w:r>
    </w:p>
    <w:p w14:paraId="3E0C5F89"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III. Elaborar planes y estrategias que permitan la administración y optimización de los recursos del Instituto; </w:t>
      </w:r>
    </w:p>
    <w:p w14:paraId="7BB9E8A7"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 xml:space="preserve">IV. Controlar </w:t>
      </w:r>
      <w:r w:rsidRPr="00B911F2">
        <w:rPr>
          <w:rFonts w:ascii="Palatino Linotype" w:eastAsia="Palatino Linotype" w:hAnsi="Palatino Linotype" w:cs="Palatino Linotype"/>
          <w:i/>
          <w:sz w:val="22"/>
          <w:szCs w:val="22"/>
        </w:rPr>
        <w:t>los ingresos</w:t>
      </w:r>
      <w:r w:rsidRPr="00B911F2">
        <w:rPr>
          <w:rFonts w:ascii="Palatino Linotype" w:eastAsia="Palatino Linotype" w:hAnsi="Palatino Linotype" w:cs="Palatino Linotype"/>
          <w:b/>
          <w:i/>
          <w:sz w:val="22"/>
          <w:szCs w:val="22"/>
        </w:rPr>
        <w:t xml:space="preserve"> y egresos del Instituto, por medio de la administración de los recursos financieros, </w:t>
      </w:r>
      <w:r w:rsidRPr="00B911F2">
        <w:rPr>
          <w:rFonts w:ascii="Palatino Linotype" w:eastAsia="Palatino Linotype" w:hAnsi="Palatino Linotype" w:cs="Palatino Linotype"/>
          <w:i/>
          <w:sz w:val="22"/>
          <w:szCs w:val="22"/>
        </w:rPr>
        <w:t xml:space="preserve">humanos y materiales; </w:t>
      </w:r>
    </w:p>
    <w:p w14:paraId="261F3F5D"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V. Coordinar la programación, solicitud oportuna y eficiente de los requerimientos en materia de servicios generales, materiales y suministros que se requieran para las diversas unidades que conforman el Instituto; V</w:t>
      </w:r>
    </w:p>
    <w:p w14:paraId="17CE8D75"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I. Instalar el Comité que se encargará de solicitar y aprobar las adquisiciones propias del Instituto; </w:t>
      </w:r>
    </w:p>
    <w:p w14:paraId="6A157D98"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VII. Elaborar y presentar los informes de desempeño de las diferentes unidades administrativas que conforman el Instituto;</w:t>
      </w:r>
    </w:p>
    <w:p w14:paraId="558023FB"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VIII. Aplicar las normas, políticas, sistemas y procedimientos para la programación, presupuestación y administración integral de los recursos humanos, materiales y financieros del Instituto; </w:t>
      </w:r>
    </w:p>
    <w:p w14:paraId="2FF14660"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IX. Diseñar e instrumentar mecanismos de control</w:t>
      </w:r>
      <w:r w:rsidRPr="00B911F2">
        <w:rPr>
          <w:rFonts w:ascii="Palatino Linotype" w:eastAsia="Palatino Linotype" w:hAnsi="Palatino Linotype" w:cs="Palatino Linotype"/>
          <w:i/>
          <w:sz w:val="22"/>
          <w:szCs w:val="22"/>
        </w:rPr>
        <w:t xml:space="preserve"> de ingresos y autorizar </w:t>
      </w:r>
      <w:r w:rsidRPr="00B911F2">
        <w:rPr>
          <w:rFonts w:ascii="Palatino Linotype" w:eastAsia="Palatino Linotype" w:hAnsi="Palatino Linotype" w:cs="Palatino Linotype"/>
          <w:b/>
          <w:i/>
          <w:sz w:val="22"/>
          <w:szCs w:val="22"/>
        </w:rPr>
        <w:t>los pagos conforme al presupuesto de egresos del Instituto</w:t>
      </w:r>
      <w:r w:rsidRPr="00B911F2">
        <w:rPr>
          <w:rFonts w:ascii="Palatino Linotype" w:eastAsia="Palatino Linotype" w:hAnsi="Palatino Linotype" w:cs="Palatino Linotype"/>
          <w:i/>
          <w:sz w:val="22"/>
          <w:szCs w:val="22"/>
        </w:rPr>
        <w:t xml:space="preserve">; </w:t>
      </w:r>
    </w:p>
    <w:p w14:paraId="5625A3D2"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X. Proponer adecuaciones al presupuesto de egresos del Instituto al titular de la dirección, para ponerlos a consideración del Consejo Municipal para su aprobación; considerando prioridades y requerimientos en construcción y rehabilitación de instalaciones deportivas; </w:t>
      </w:r>
    </w:p>
    <w:p w14:paraId="7D0A8C0C"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XI. Coordinar la elaboración del anteproyecto del presupuesto anual de egresos del Instituto, así como del programa operativo anual; </w:t>
      </w:r>
    </w:p>
    <w:p w14:paraId="18ABA39F"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 xml:space="preserve">XII. Llevar el control del ejercicio del presupuesto mensual, con el fin de cumplir con los programas y acciones del Instituto; </w:t>
      </w:r>
    </w:p>
    <w:p w14:paraId="0BB0B699"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XIII. Proponer a la dirección proyectos para la construcción, remodelación o mantenimiento de las instalaciones deportivas del Instituto; </w:t>
      </w:r>
    </w:p>
    <w:p w14:paraId="1559C907"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 xml:space="preserve">XIV. Tramitar, operar y controlar el ejercicio del presupuesto de egresos de las unidades administrativas del Instituto y vigilar su aplicación; </w:t>
      </w:r>
    </w:p>
    <w:p w14:paraId="3081C2EC"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 xml:space="preserve">XV. Llevar la contabilidad del Instituto, manteniendo un estricto control del manejo de recursos del mismo; </w:t>
      </w:r>
    </w:p>
    <w:p w14:paraId="7D1FA61B" w14:textId="77777777" w:rsidR="005F614A" w:rsidRPr="00B911F2" w:rsidRDefault="000153B3">
      <w:pPr>
        <w:ind w:left="851" w:right="899"/>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i/>
          <w:sz w:val="22"/>
          <w:szCs w:val="22"/>
        </w:rPr>
        <w:t xml:space="preserve">XVI. Procesar la información contable y elaborar estados financieros del Instituto; </w:t>
      </w:r>
      <w:r w:rsidRPr="00B911F2">
        <w:rPr>
          <w:rFonts w:ascii="Palatino Linotype" w:eastAsia="Palatino Linotype" w:hAnsi="Palatino Linotype" w:cs="Palatino Linotype"/>
          <w:b/>
          <w:i/>
          <w:sz w:val="22"/>
          <w:szCs w:val="22"/>
        </w:rPr>
        <w:t>XVII. Realizar el pago</w:t>
      </w:r>
      <w:r w:rsidRPr="00B911F2">
        <w:rPr>
          <w:rFonts w:ascii="Palatino Linotype" w:eastAsia="Palatino Linotype" w:hAnsi="Palatino Linotype" w:cs="Palatino Linotype"/>
          <w:i/>
          <w:sz w:val="22"/>
          <w:szCs w:val="22"/>
        </w:rPr>
        <w:t xml:space="preserve"> de impuestos y </w:t>
      </w:r>
      <w:r w:rsidRPr="00B911F2">
        <w:rPr>
          <w:rFonts w:ascii="Palatino Linotype" w:eastAsia="Palatino Linotype" w:hAnsi="Palatino Linotype" w:cs="Palatino Linotype"/>
          <w:b/>
          <w:i/>
          <w:sz w:val="22"/>
          <w:szCs w:val="22"/>
        </w:rPr>
        <w:t xml:space="preserve">servicios que deriven de la operación del Instituto; </w:t>
      </w:r>
    </w:p>
    <w:p w14:paraId="423459DC"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XVIII. Presentar en tiempo y forma los reportes que sean requeridos por el Órgano Superior de Fiscalización del Estado de México; </w:t>
      </w:r>
    </w:p>
    <w:p w14:paraId="6D683718" w14:textId="77777777" w:rsidR="005F614A" w:rsidRPr="00B911F2" w:rsidRDefault="000153B3">
      <w:pPr>
        <w:ind w:left="851" w:right="89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XIX. Controlar y administrar los servicios profesionales requeridos por el Instituto, para…(Sic)</w:t>
      </w:r>
    </w:p>
    <w:p w14:paraId="52167C51" w14:textId="77777777" w:rsidR="005F614A" w:rsidRPr="00B911F2" w:rsidRDefault="005F614A">
      <w:pPr>
        <w:spacing w:line="360" w:lineRule="auto"/>
        <w:ind w:right="49"/>
        <w:jc w:val="both"/>
        <w:rPr>
          <w:rFonts w:ascii="Palatino Linotype" w:eastAsia="Palatino Linotype" w:hAnsi="Palatino Linotype" w:cs="Palatino Linotype"/>
          <w:i/>
        </w:rPr>
      </w:pPr>
    </w:p>
    <w:p w14:paraId="43AC1F25"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lo anterior, se colige que, el Instituto Municipal de Cultura Física y Deporte de Zinacantepec, tiene la atribución llevar la contabilidad, realizar los pagos de servicios, Diseñar e instrumentar mecanismos de control de los pagos conforme al presupuesto de egresos del Instituto  </w:t>
      </w:r>
    </w:p>
    <w:p w14:paraId="3D33A19D" w14:textId="77777777" w:rsidR="005F614A" w:rsidRPr="00B911F2" w:rsidRDefault="005F614A">
      <w:pPr>
        <w:spacing w:line="360" w:lineRule="auto"/>
        <w:ind w:right="49"/>
        <w:jc w:val="both"/>
        <w:rPr>
          <w:rFonts w:ascii="Palatino Linotype" w:eastAsia="Palatino Linotype" w:hAnsi="Palatino Linotype" w:cs="Palatino Linotype"/>
        </w:rPr>
      </w:pPr>
    </w:p>
    <w:p w14:paraId="00CBCF58"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ahí que,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cuenta con las competencias, facultades y atribuciones para conocer, administrar y generar la información relacionada con las facturas pagadas por el Instituto Municipal de Cultura Física y Deporte de Zinacantepec, referidos por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en su solicitud de información.</w:t>
      </w:r>
    </w:p>
    <w:p w14:paraId="25DE0523" w14:textId="77777777" w:rsidR="005F614A" w:rsidRPr="00B911F2" w:rsidRDefault="005F614A">
      <w:pPr>
        <w:spacing w:line="360" w:lineRule="auto"/>
        <w:ind w:right="49"/>
        <w:jc w:val="both"/>
        <w:rPr>
          <w:rFonts w:ascii="Palatino Linotype" w:eastAsia="Palatino Linotype" w:hAnsi="Palatino Linotype" w:cs="Palatino Linotype"/>
        </w:rPr>
      </w:pPr>
    </w:p>
    <w:p w14:paraId="5177E2F6"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Establecido lo anterior, se procede a analizar la respuesta el Director General del Instituto Municipal de Cultura Física y Deporte del Ayuntamiento de Zinacantepec, quien informó que al comparar la información solicitada con la información que se encuentra en las ligas de CONAC del Instituto Municipal de Cultura Física y Deporte </w:t>
      </w:r>
      <w:r w:rsidRPr="00B911F2">
        <w:rPr>
          <w:rFonts w:ascii="Palatino Linotype" w:eastAsia="Palatino Linotype" w:hAnsi="Palatino Linotype" w:cs="Palatino Linotype"/>
        </w:rPr>
        <w:lastRenderedPageBreak/>
        <w:t>de Zinacantepec, tienen similitud de acuerdo al interés público, ya que dicha información al ser de carácter público se encuentra publicada en la página del IMCUFIDEZ, en la parte de Transparencia, Consejo Nacional de Amortización Contable (CONAC) en el siguiente enlace:</w:t>
      </w:r>
    </w:p>
    <w:p w14:paraId="7F4AD523" w14:textId="77777777" w:rsidR="005F614A" w:rsidRPr="00B911F2" w:rsidRDefault="005F614A">
      <w:pPr>
        <w:spacing w:line="360" w:lineRule="auto"/>
        <w:ind w:right="49"/>
        <w:jc w:val="both"/>
        <w:rPr>
          <w:rFonts w:ascii="Palatino Linotype" w:eastAsia="Palatino Linotype" w:hAnsi="Palatino Linotype" w:cs="Palatino Linotype"/>
        </w:rPr>
      </w:pPr>
    </w:p>
    <w:p w14:paraId="74DF9919" w14:textId="77777777" w:rsidR="005F614A" w:rsidRPr="00B911F2" w:rsidRDefault="00C96126">
      <w:pPr>
        <w:spacing w:line="360" w:lineRule="auto"/>
        <w:ind w:right="49"/>
        <w:jc w:val="both"/>
        <w:rPr>
          <w:rFonts w:ascii="Palatino Linotype" w:eastAsia="Palatino Linotype" w:hAnsi="Palatino Linotype" w:cs="Palatino Linotype"/>
        </w:rPr>
      </w:pPr>
      <w:hyperlink r:id="rId15">
        <w:r w:rsidR="000153B3" w:rsidRPr="00B911F2">
          <w:rPr>
            <w:rFonts w:ascii="Palatino Linotype" w:eastAsia="Palatino Linotype" w:hAnsi="Palatino Linotype" w:cs="Palatino Linotype"/>
          </w:rPr>
          <w:t>https://imcufidez.zinacantepec.gob.mx/conac_imcufidez.php</w:t>
        </w:r>
      </w:hyperlink>
      <w:r w:rsidR="000153B3" w:rsidRPr="00B911F2">
        <w:rPr>
          <w:rFonts w:ascii="Palatino Linotype" w:eastAsia="Palatino Linotype" w:hAnsi="Palatino Linotype" w:cs="Palatino Linotype"/>
        </w:rPr>
        <w:t xml:space="preserve"> </w:t>
      </w:r>
    </w:p>
    <w:p w14:paraId="410137D0" w14:textId="77777777" w:rsidR="005F614A" w:rsidRPr="00B911F2" w:rsidRDefault="005F614A">
      <w:pPr>
        <w:spacing w:line="360" w:lineRule="auto"/>
        <w:ind w:right="49"/>
        <w:jc w:val="both"/>
        <w:rPr>
          <w:rFonts w:ascii="Palatino Linotype" w:eastAsia="Palatino Linotype" w:hAnsi="Palatino Linotype" w:cs="Palatino Linotype"/>
        </w:rPr>
      </w:pPr>
    </w:p>
    <w:p w14:paraId="66C6F768"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En este sentido, este Instituto procedió al análisis de la información contenida en la liga electrónica proporcionada por el Sujeto Obligado, de la cual se pudo advertir lo siguiente:</w:t>
      </w:r>
    </w:p>
    <w:p w14:paraId="7A0E509B" w14:textId="77777777" w:rsidR="005F614A" w:rsidRPr="00B911F2" w:rsidRDefault="000153B3">
      <w:pPr>
        <w:spacing w:line="360" w:lineRule="auto"/>
        <w:jc w:val="both"/>
      </w:pPr>
      <w:r w:rsidRPr="00B911F2">
        <w:rPr>
          <w:noProof/>
          <w:lang w:val="es-MX" w:eastAsia="es-MX"/>
        </w:rPr>
        <w:drawing>
          <wp:inline distT="0" distB="0" distL="0" distR="0" wp14:anchorId="5B7CE40A" wp14:editId="6145314B">
            <wp:extent cx="5791835" cy="24733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91835" cy="2473325"/>
                    </a:xfrm>
                    <a:prstGeom prst="rect">
                      <a:avLst/>
                    </a:prstGeom>
                    <a:ln/>
                  </pic:spPr>
                </pic:pic>
              </a:graphicData>
            </a:graphic>
          </wp:inline>
        </w:drawing>
      </w:r>
    </w:p>
    <w:p w14:paraId="123745DE" w14:textId="77777777" w:rsidR="005F614A" w:rsidRPr="00B911F2" w:rsidRDefault="005F614A">
      <w:pPr>
        <w:spacing w:line="360" w:lineRule="auto"/>
        <w:jc w:val="both"/>
      </w:pPr>
    </w:p>
    <w:p w14:paraId="6D801D5A"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La cual corresponde a la información contable del  Instituto Municipal de Cultura Física y Deporte de Zinacantepec de todo el año 2023, que incluye los cuatro trimestres del año, presupuesto y del programa anual de evaluación de los cuales se advierte que tiene un cumulo de información y el particular sólo requirió en concreto las facturas; lo que implica que el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haga una búsqueda dentro de toda la información </w:t>
      </w:r>
      <w:r w:rsidRPr="00B911F2">
        <w:rPr>
          <w:rFonts w:ascii="Palatino Linotype" w:eastAsia="Palatino Linotype" w:hAnsi="Palatino Linotype" w:cs="Palatino Linotype"/>
        </w:rPr>
        <w:lastRenderedPageBreak/>
        <w:t xml:space="preserve">que yace en dicha liga electrónica; por consiguiente, no se colmó la pretensión de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w:t>
      </w:r>
    </w:p>
    <w:p w14:paraId="66F2FF60" w14:textId="77777777" w:rsidR="005F614A" w:rsidRPr="00B911F2" w:rsidRDefault="005F614A">
      <w:pPr>
        <w:spacing w:line="360" w:lineRule="auto"/>
        <w:jc w:val="both"/>
        <w:rPr>
          <w:rFonts w:ascii="Palatino Linotype" w:eastAsia="Palatino Linotype" w:hAnsi="Palatino Linotype" w:cs="Palatino Linotype"/>
        </w:rPr>
      </w:pPr>
    </w:p>
    <w:p w14:paraId="133C057B"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00AAFFFA"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3B2AC774" w14:textId="77777777" w:rsidR="005F614A" w:rsidRPr="00B911F2" w:rsidRDefault="000153B3">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“Artículo 11.</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B911F2">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7332785E" w14:textId="77777777" w:rsidR="005F614A" w:rsidRPr="00B911F2" w:rsidRDefault="000153B3">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p>
    <w:p w14:paraId="7240A189" w14:textId="77777777" w:rsidR="005F614A" w:rsidRPr="00B911F2" w:rsidRDefault="005F614A">
      <w:pPr>
        <w:pBdr>
          <w:top w:val="nil"/>
          <w:left w:val="nil"/>
          <w:bottom w:val="nil"/>
          <w:right w:val="nil"/>
          <w:between w:val="nil"/>
        </w:pBdr>
        <w:ind w:left="567" w:right="567"/>
        <w:jc w:val="both"/>
        <w:rPr>
          <w:rFonts w:ascii="Palatino Linotype" w:eastAsia="Palatino Linotype" w:hAnsi="Palatino Linotype" w:cs="Palatino Linotype"/>
          <w:i/>
          <w:sz w:val="22"/>
          <w:szCs w:val="22"/>
        </w:rPr>
      </w:pPr>
    </w:p>
    <w:p w14:paraId="3481FA7C" w14:textId="77777777" w:rsidR="005F614A" w:rsidRPr="00B911F2" w:rsidRDefault="000153B3">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B911F2">
        <w:rPr>
          <w:rFonts w:ascii="Palatino Linotype" w:eastAsia="Palatino Linotype" w:hAnsi="Palatino Linotype" w:cs="Palatino Linotype"/>
          <w:b/>
          <w:i/>
          <w:sz w:val="22"/>
          <w:szCs w:val="22"/>
        </w:rPr>
        <w:t>Artículo 161.</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u w:val="single"/>
        </w:rPr>
        <w:t>Cuando la información requerida por el solicitante ya esté disponible al público</w:t>
      </w:r>
      <w:r w:rsidRPr="00B911F2">
        <w:rPr>
          <w:rFonts w:ascii="Palatino Linotype" w:eastAsia="Palatino Linotype" w:hAnsi="Palatino Linotype" w:cs="Palatino Linotype"/>
          <w:i/>
          <w:sz w:val="22"/>
          <w:szCs w:val="22"/>
        </w:rPr>
        <w:t xml:space="preserve"> en medios impresos, tales como libros, compendios, trípticos, registros públicos, </w:t>
      </w:r>
      <w:r w:rsidRPr="00B911F2">
        <w:rPr>
          <w:rFonts w:ascii="Palatino Linotype" w:eastAsia="Palatino Linotype" w:hAnsi="Palatino Linotype" w:cs="Palatino Linotype"/>
          <w:b/>
          <w:i/>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7973284E"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51DE408E"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para informar a los solicitantes sobre información que se encuentre disponible en libros, </w:t>
      </w:r>
      <w:r w:rsidRPr="00B911F2">
        <w:rPr>
          <w:rFonts w:ascii="Palatino Linotype" w:eastAsia="Palatino Linotype" w:hAnsi="Palatino Linotype" w:cs="Palatino Linotype"/>
        </w:rPr>
        <w:lastRenderedPageBreak/>
        <w:t>compendios, formatos electrónicos, entre otros, haciéndole saber al solicitante como podrá consultar, reproducir o adquirir la información, en un plazo no mayor a cinco días hábiles, comprendiendo:</w:t>
      </w:r>
    </w:p>
    <w:p w14:paraId="565F6A1E"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2576D545" w14:textId="77777777" w:rsidR="005F614A" w:rsidRPr="00B911F2" w:rsidRDefault="000153B3">
      <w:pPr>
        <w:numPr>
          <w:ilvl w:val="0"/>
          <w:numId w:val="5"/>
        </w:numPr>
        <w:pBdr>
          <w:top w:val="nil"/>
          <w:left w:val="nil"/>
          <w:bottom w:val="nil"/>
          <w:right w:val="nil"/>
          <w:between w:val="nil"/>
        </w:pBdr>
        <w:ind w:left="1134" w:hanging="567"/>
        <w:jc w:val="both"/>
        <w:rPr>
          <w:rFonts w:ascii="Palatino Linotype" w:eastAsia="Palatino Linotype" w:hAnsi="Palatino Linotype" w:cs="Palatino Linotype"/>
        </w:rPr>
      </w:pPr>
      <w:r w:rsidRPr="00B911F2">
        <w:rPr>
          <w:rFonts w:ascii="Palatino Linotype" w:eastAsia="Palatino Linotype" w:hAnsi="Palatino Linotype" w:cs="Palatino Linotype"/>
        </w:rPr>
        <w:t>La fuente</w:t>
      </w:r>
    </w:p>
    <w:p w14:paraId="5AE07FC5" w14:textId="77777777" w:rsidR="005F614A" w:rsidRPr="00B911F2" w:rsidRDefault="000153B3">
      <w:pPr>
        <w:numPr>
          <w:ilvl w:val="0"/>
          <w:numId w:val="5"/>
        </w:numPr>
        <w:pBdr>
          <w:top w:val="nil"/>
          <w:left w:val="nil"/>
          <w:bottom w:val="nil"/>
          <w:right w:val="nil"/>
          <w:between w:val="nil"/>
        </w:pBdr>
        <w:ind w:left="1134" w:hanging="567"/>
        <w:jc w:val="both"/>
        <w:rPr>
          <w:rFonts w:ascii="Palatino Linotype" w:eastAsia="Palatino Linotype" w:hAnsi="Palatino Linotype" w:cs="Palatino Linotype"/>
        </w:rPr>
      </w:pPr>
      <w:r w:rsidRPr="00B911F2">
        <w:rPr>
          <w:rFonts w:ascii="Palatino Linotype" w:eastAsia="Palatino Linotype" w:hAnsi="Palatino Linotype" w:cs="Palatino Linotype"/>
        </w:rPr>
        <w:t>El lugar y</w:t>
      </w:r>
    </w:p>
    <w:p w14:paraId="7192A23F" w14:textId="77777777" w:rsidR="005F614A" w:rsidRPr="00B911F2" w:rsidRDefault="000153B3">
      <w:pPr>
        <w:numPr>
          <w:ilvl w:val="0"/>
          <w:numId w:val="5"/>
        </w:numPr>
        <w:pBdr>
          <w:top w:val="nil"/>
          <w:left w:val="nil"/>
          <w:bottom w:val="nil"/>
          <w:right w:val="nil"/>
          <w:between w:val="nil"/>
        </w:pBdr>
        <w:ind w:left="1134" w:hanging="567"/>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La forma </w:t>
      </w:r>
    </w:p>
    <w:p w14:paraId="21674A7E"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12A18424"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Asimismo, se establece que la fuente de la información deberá ser:</w:t>
      </w:r>
    </w:p>
    <w:p w14:paraId="59570DAD" w14:textId="77777777" w:rsidR="005F614A" w:rsidRPr="00B911F2" w:rsidRDefault="000153B3">
      <w:pPr>
        <w:numPr>
          <w:ilvl w:val="0"/>
          <w:numId w:val="2"/>
        </w:numPr>
        <w:pBdr>
          <w:top w:val="nil"/>
          <w:left w:val="nil"/>
          <w:bottom w:val="nil"/>
          <w:right w:val="nil"/>
          <w:between w:val="nil"/>
        </w:pBdr>
        <w:ind w:left="1134" w:hanging="556"/>
        <w:jc w:val="both"/>
        <w:rPr>
          <w:rFonts w:ascii="Palatino Linotype" w:eastAsia="Palatino Linotype" w:hAnsi="Palatino Linotype" w:cs="Palatino Linotype"/>
        </w:rPr>
      </w:pPr>
      <w:r w:rsidRPr="00B911F2">
        <w:rPr>
          <w:rFonts w:ascii="Palatino Linotype" w:eastAsia="Palatino Linotype" w:hAnsi="Palatino Linotype" w:cs="Palatino Linotype"/>
        </w:rPr>
        <w:t>Precisa</w:t>
      </w:r>
    </w:p>
    <w:p w14:paraId="7BB49351" w14:textId="77777777" w:rsidR="005F614A" w:rsidRPr="00B911F2" w:rsidRDefault="000153B3">
      <w:pPr>
        <w:numPr>
          <w:ilvl w:val="0"/>
          <w:numId w:val="2"/>
        </w:numPr>
        <w:pBdr>
          <w:top w:val="nil"/>
          <w:left w:val="nil"/>
          <w:bottom w:val="nil"/>
          <w:right w:val="nil"/>
          <w:between w:val="nil"/>
        </w:pBdr>
        <w:ind w:left="1134" w:hanging="556"/>
        <w:jc w:val="both"/>
        <w:rPr>
          <w:rFonts w:ascii="Palatino Linotype" w:eastAsia="Palatino Linotype" w:hAnsi="Palatino Linotype" w:cs="Palatino Linotype"/>
        </w:rPr>
      </w:pPr>
      <w:r w:rsidRPr="00B911F2">
        <w:rPr>
          <w:rFonts w:ascii="Palatino Linotype" w:eastAsia="Palatino Linotype" w:hAnsi="Palatino Linotype" w:cs="Palatino Linotype"/>
        </w:rPr>
        <w:t>Concreta</w:t>
      </w:r>
    </w:p>
    <w:p w14:paraId="598472BA" w14:textId="77777777" w:rsidR="005F614A" w:rsidRPr="00B911F2" w:rsidRDefault="000153B3">
      <w:pPr>
        <w:numPr>
          <w:ilvl w:val="0"/>
          <w:numId w:val="2"/>
        </w:numPr>
        <w:pBdr>
          <w:top w:val="nil"/>
          <w:left w:val="nil"/>
          <w:bottom w:val="nil"/>
          <w:right w:val="nil"/>
          <w:between w:val="nil"/>
        </w:pBdr>
        <w:ind w:left="1134" w:hanging="556"/>
        <w:jc w:val="both"/>
        <w:rPr>
          <w:rFonts w:ascii="Palatino Linotype" w:eastAsia="Palatino Linotype" w:hAnsi="Palatino Linotype" w:cs="Palatino Linotype"/>
        </w:rPr>
      </w:pPr>
      <w:r w:rsidRPr="00B911F2">
        <w:rPr>
          <w:rFonts w:ascii="Palatino Linotype" w:eastAsia="Palatino Linotype" w:hAnsi="Palatino Linotype" w:cs="Palatino Linotype"/>
          <w:b/>
        </w:rPr>
        <w:t>Y no debe implicar que el solicitante realice una búsqueda en toda la información que se encuentre disponible</w:t>
      </w:r>
      <w:r w:rsidRPr="00B911F2">
        <w:rPr>
          <w:rFonts w:ascii="Palatino Linotype" w:eastAsia="Palatino Linotype" w:hAnsi="Palatino Linotype" w:cs="Palatino Linotype"/>
        </w:rPr>
        <w:t>.</w:t>
      </w:r>
    </w:p>
    <w:p w14:paraId="49321D6A"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229F4F2A"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Imperativos legales que establecen el procedimiento que debe seguir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para que pueda tomarse como válida su orientación sobre la forma en que puede consultar la información requerida, y que, en el caso en concreto, no acontece; ello porque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se limitó a indicar la dirección electrónica de su CONAC del Instituto Municipal de Cultura Física y Deporte de Zinacantepec, sin que señalara puntualmente el procedimiento que el particular debe seguir para acceder a la información requerida, lo que implica que  la fuente no es precisa y no es concreta, sino por el contrario esta resulta abstracta y genera incertidumbre entre el cúmulo de información que se observa en la página; y por último, su fuente implica que el solicitante realice una búsqueda en toda la información que se encuentra disponible  a fin de localizar únicamente las correspondientes a las licencias de funcionamiento, lo que a todas luces transgrede el numeral citado.</w:t>
      </w:r>
    </w:p>
    <w:p w14:paraId="54ACC810"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0383E46F"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 xml:space="preserve">Además, que de la solicitud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fue claro en solicitar las facturas pagadas por el IMCUFIDEZ en el año 2023, lo que transgredió el derecho de acceso a la información pública de la parte </w:t>
      </w:r>
      <w:r w:rsidRPr="00B911F2">
        <w:rPr>
          <w:rFonts w:ascii="Palatino Linotype" w:eastAsia="Palatino Linotype" w:hAnsi="Palatino Linotype" w:cs="Palatino Linotype"/>
          <w:b/>
        </w:rPr>
        <w:t>RECURRENTE.</w:t>
      </w:r>
    </w:p>
    <w:p w14:paraId="75DF28E6" w14:textId="77777777" w:rsidR="005F614A" w:rsidRPr="00B911F2" w:rsidRDefault="005F614A">
      <w:pPr>
        <w:pBdr>
          <w:top w:val="nil"/>
          <w:left w:val="nil"/>
          <w:bottom w:val="nil"/>
          <w:right w:val="nil"/>
          <w:between w:val="nil"/>
        </w:pBdr>
        <w:spacing w:line="360" w:lineRule="auto"/>
        <w:jc w:val="both"/>
        <w:rPr>
          <w:rFonts w:ascii="Palatino Linotype" w:eastAsia="Palatino Linotype" w:hAnsi="Palatino Linotype" w:cs="Palatino Linotype"/>
        </w:rPr>
      </w:pPr>
    </w:p>
    <w:p w14:paraId="0D30F0B3" w14:textId="77777777" w:rsidR="005F614A" w:rsidRPr="00B911F2" w:rsidRDefault="000153B3">
      <w:pPr>
        <w:pBdr>
          <w:top w:val="nil"/>
          <w:left w:val="nil"/>
          <w:bottom w:val="nil"/>
          <w:right w:val="nil"/>
          <w:between w:val="nil"/>
        </w:pBd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Por todo lo anterior, lo procedente es ordenar al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haga entrega de todas las facturas pagadas por el Instituto Municipal de Cultura Física y Deporte de Zinacantepec del primero de enero al trece de noviembre del año dos mil veintitrés, de ser el caso en versión pública conforme a lo señalado por el considerando quinto del presente fallo. </w:t>
      </w:r>
    </w:p>
    <w:p w14:paraId="298EC14B" w14:textId="77777777" w:rsidR="005F614A" w:rsidRPr="00B911F2" w:rsidRDefault="000153B3">
      <w:pPr>
        <w:spacing w:before="240" w:after="240" w:line="360" w:lineRule="auto"/>
        <w:jc w:val="both"/>
        <w:rPr>
          <w:rFonts w:ascii="Palatino Linotype" w:eastAsia="Palatino Linotype" w:hAnsi="Palatino Linotype" w:cs="Palatino Linotype"/>
          <w:b/>
        </w:rPr>
      </w:pPr>
      <w:r w:rsidRPr="00B911F2">
        <w:rPr>
          <w:rFonts w:ascii="Palatino Linotype" w:eastAsia="Palatino Linotype" w:hAnsi="Palatino Linotype" w:cs="Palatino Linotype"/>
          <w:b/>
        </w:rPr>
        <w:t>RECURSO DE REVISIÓN 08442/INFOEM/IP/RR/2023.</w:t>
      </w:r>
    </w:p>
    <w:p w14:paraId="649A31E9"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Del análisis de la solicitud de información pública que motivó el recurso de revisión que ahora se resuelve, se advierte que el particular requirió al Ayuntamiento de Zinacantepec, lo siguiente</w:t>
      </w:r>
    </w:p>
    <w:p w14:paraId="0A79A56B" w14:textId="77777777" w:rsidR="005F614A" w:rsidRPr="00B911F2" w:rsidRDefault="000153B3">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LAS FACTURAS DE PAGO DE LAS VELADORAS ENTREGADAS EN EL PANTEÓN MUNICIPAL DE ZINACANTEPEC 2023</w:t>
      </w:r>
      <w:r w:rsidRPr="00B911F2">
        <w:rPr>
          <w:rFonts w:ascii="Palatino Linotype" w:eastAsia="Palatino Linotype" w:hAnsi="Palatino Linotype" w:cs="Palatino Linotype"/>
          <w:i/>
          <w:sz w:val="22"/>
          <w:szCs w:val="22"/>
        </w:rPr>
        <w:t>.</w:t>
      </w:r>
    </w:p>
    <w:p w14:paraId="77CBB151" w14:textId="77777777" w:rsidR="005F614A" w:rsidRPr="00B911F2" w:rsidRDefault="000153B3">
      <w:pPr>
        <w:spacing w:before="240" w:after="240"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En respuesta, el </w:t>
      </w:r>
      <w:r w:rsidRPr="00B911F2">
        <w:rPr>
          <w:rFonts w:ascii="Palatino Linotype" w:eastAsia="Palatino Linotype" w:hAnsi="Palatino Linotype" w:cs="Palatino Linotype"/>
          <w:b/>
        </w:rPr>
        <w:t xml:space="preserve">SUJETO OBLIGADO, </w:t>
      </w:r>
      <w:r w:rsidRPr="00B911F2">
        <w:rPr>
          <w:rFonts w:ascii="Palatino Linotype" w:eastAsia="Palatino Linotype" w:hAnsi="Palatino Linotype" w:cs="Palatino Linotype"/>
        </w:rPr>
        <w:t>a través de su Tesorero Municipal del Ayuntamiento de Zinacantepec hizo entrega de la factura del pago de las veladoras entregadas al panteón municipal de Zinacantepec 2023.</w:t>
      </w:r>
    </w:p>
    <w:p w14:paraId="5C5E5A26" w14:textId="77777777" w:rsidR="005F614A" w:rsidRPr="00B911F2" w:rsidRDefault="000153B3">
      <w:pPr>
        <w:spacing w:before="240" w:after="240" w:line="360" w:lineRule="auto"/>
        <w:ind w:right="4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rPr>
        <w:t xml:space="preserve">Una vez conocida la respuesta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se inconforma en lo medular por la información entregada en respuesta no es visible. </w:t>
      </w:r>
    </w:p>
    <w:p w14:paraId="2AB54909" w14:textId="77777777" w:rsidR="005F614A" w:rsidRPr="00B911F2" w:rsidRDefault="000153B3">
      <w:pPr>
        <w:spacing w:before="240" w:after="240"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 xml:space="preserve">Ante la interposición del recurso de revisión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fue omiso en rendir su informe justificado. </w:t>
      </w:r>
    </w:p>
    <w:p w14:paraId="07BFA0F6"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En atención a los motivos de inconformidad hechos valer por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se procedió analizar la factura entregada en respuesta, de la cual se advierte lo siguiente:</w:t>
      </w:r>
    </w:p>
    <w:p w14:paraId="5D8EA3CE"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noProof/>
          <w:lang w:val="es-MX" w:eastAsia="es-MX"/>
        </w:rPr>
        <w:drawing>
          <wp:inline distT="0" distB="0" distL="0" distR="0" wp14:anchorId="3680E609" wp14:editId="0A05AE4E">
            <wp:extent cx="5813944" cy="5535576"/>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813944" cy="5535576"/>
                    </a:xfrm>
                    <a:prstGeom prst="rect">
                      <a:avLst/>
                    </a:prstGeom>
                    <a:ln/>
                  </pic:spPr>
                </pic:pic>
              </a:graphicData>
            </a:graphic>
          </wp:inline>
        </w:drawing>
      </w:r>
    </w:p>
    <w:p w14:paraId="442EF6A5"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 xml:space="preserve">De la imagen antes inserta se logra visualizar la información del nombre del proveedor, el monto de la factura, RFC del Proveedor, fecha de la factura, el concepto de pago que fue por veladoras y el sello del área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que operó la factura; luego entonces, se determina que la factura remitida en respuesta cumple con lo dispuesto por el artículo 11 de la Ley de Transparencia y Acceso a la Información Pública del Estado de México y Municipios, el cual dispone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es decir, la información documental que entregue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debe ser clara, entendible y legible, esto con la finalidad de que pueda ser verificada la información contenida en los documentos proporcionados, lo que aconteció en el presente asunto. </w:t>
      </w:r>
    </w:p>
    <w:p w14:paraId="58B8E57E"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Asimismo, se advierte que el área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que proporcionó la información es el área competente para conocer de la información, ya que fue la Tesorería Municipal, quien en términos de lo señalado por el artículo 95 fracciones IV la Ley Orgánica Municipal del Estado de México, tiene las siguientes atribuciones:</w:t>
      </w:r>
    </w:p>
    <w:p w14:paraId="4848EC8A"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Artículo 95.- Son atribuciones del tesorero municipal:</w:t>
      </w:r>
    </w:p>
    <w:p w14:paraId="30A734D6"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p>
    <w:p w14:paraId="19A2D341"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IV. </w:t>
      </w:r>
      <w:r w:rsidRPr="00B911F2">
        <w:rPr>
          <w:rFonts w:ascii="Palatino Linotype" w:eastAsia="Palatino Linotype" w:hAnsi="Palatino Linotype" w:cs="Palatino Linotype"/>
          <w:b/>
          <w:i/>
          <w:sz w:val="22"/>
          <w:szCs w:val="22"/>
        </w:rPr>
        <w:t>Llevar los registros contables, financieros y administrativos</w:t>
      </w:r>
      <w:r w:rsidRPr="00B911F2">
        <w:rPr>
          <w:rFonts w:ascii="Palatino Linotype" w:eastAsia="Palatino Linotype" w:hAnsi="Palatino Linotype" w:cs="Palatino Linotype"/>
          <w:i/>
          <w:sz w:val="22"/>
          <w:szCs w:val="22"/>
        </w:rPr>
        <w:t xml:space="preserve"> de los ingresos, </w:t>
      </w:r>
      <w:r w:rsidRPr="00B911F2">
        <w:rPr>
          <w:rFonts w:ascii="Palatino Linotype" w:eastAsia="Palatino Linotype" w:hAnsi="Palatino Linotype" w:cs="Palatino Linotype"/>
          <w:b/>
          <w:i/>
          <w:sz w:val="22"/>
          <w:szCs w:val="22"/>
        </w:rPr>
        <w:t>egresos</w:t>
      </w:r>
      <w:r w:rsidRPr="00B911F2">
        <w:rPr>
          <w:rFonts w:ascii="Palatino Linotype" w:eastAsia="Palatino Linotype" w:hAnsi="Palatino Linotype" w:cs="Palatino Linotype"/>
          <w:i/>
          <w:sz w:val="22"/>
          <w:szCs w:val="22"/>
        </w:rPr>
        <w:t>, e inventarios.</w:t>
      </w:r>
    </w:p>
    <w:p w14:paraId="168F3277"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Lo que se robustece con lo señalado por el artículo 47 fracción XXIII del Reglamento Orgánico Municipal de Zinacantepec 2022-2024, que señala:</w:t>
      </w:r>
    </w:p>
    <w:p w14:paraId="0E8FCE82" w14:textId="77777777" w:rsidR="005F614A" w:rsidRPr="00B911F2" w:rsidRDefault="005F614A">
      <w:pPr>
        <w:spacing w:line="360" w:lineRule="auto"/>
        <w:jc w:val="both"/>
        <w:rPr>
          <w:rFonts w:ascii="Palatino Linotype" w:eastAsia="Palatino Linotype" w:hAnsi="Palatino Linotype" w:cs="Palatino Linotype"/>
        </w:rPr>
      </w:pPr>
    </w:p>
    <w:p w14:paraId="3DF20B72"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“Artículo 47. Además de las previstas en las disposiciones normativas y administrativas en la materia, la Tesorería Municipal tiene las siguientes funciones y atribuciones: </w:t>
      </w:r>
    </w:p>
    <w:p w14:paraId="09ADF36D"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p>
    <w:p w14:paraId="71605C5C" w14:textId="77777777" w:rsidR="005F614A" w:rsidRPr="00B911F2" w:rsidRDefault="000153B3">
      <w:pPr>
        <w:ind w:left="596"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XXIII. 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(Sic)</w:t>
      </w:r>
    </w:p>
    <w:p w14:paraId="18C4255E" w14:textId="77777777" w:rsidR="005F614A" w:rsidRPr="00B911F2" w:rsidRDefault="005F614A">
      <w:pPr>
        <w:spacing w:line="360" w:lineRule="auto"/>
        <w:jc w:val="both"/>
        <w:rPr>
          <w:rFonts w:ascii="Palatino Linotype" w:eastAsia="Palatino Linotype" w:hAnsi="Palatino Linotype" w:cs="Palatino Linotype"/>
        </w:rPr>
      </w:pPr>
    </w:p>
    <w:p w14:paraId="37DA4903"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Colmando con ello el derecho de acceso a la información pública de la parte </w:t>
      </w:r>
      <w:r w:rsidRPr="00B911F2">
        <w:rPr>
          <w:rFonts w:ascii="Palatino Linotype" w:eastAsia="Palatino Linotype" w:hAnsi="Palatino Linotype" w:cs="Palatino Linotype"/>
          <w:b/>
        </w:rPr>
        <w:t>RECURRENT</w:t>
      </w:r>
      <w:r w:rsidRPr="00B911F2">
        <w:rPr>
          <w:rFonts w:ascii="Palatino Linotype" w:eastAsia="Palatino Linotype" w:hAnsi="Palatino Linotype" w:cs="Palatino Linotype"/>
        </w:rPr>
        <w:t>E, además,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4C2FC4F7" w14:textId="77777777" w:rsidR="005F614A" w:rsidRPr="00B911F2" w:rsidRDefault="000153B3">
      <w:pPr>
        <w:spacing w:before="120" w:after="120"/>
        <w:ind w:left="851" w:right="85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911F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5FA41F81" w14:textId="77777777" w:rsidR="005F614A" w:rsidRPr="00B911F2" w:rsidRDefault="005F614A">
      <w:pPr>
        <w:spacing w:line="360" w:lineRule="auto"/>
        <w:jc w:val="both"/>
        <w:rPr>
          <w:rFonts w:ascii="Palatino Linotype" w:eastAsia="Palatino Linotype" w:hAnsi="Palatino Linotype" w:cs="Palatino Linotype"/>
        </w:rPr>
      </w:pPr>
    </w:p>
    <w:p w14:paraId="365987A8" w14:textId="77777777" w:rsidR="005F614A" w:rsidRPr="00B911F2" w:rsidRDefault="000153B3">
      <w:pPr>
        <w:spacing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De lo anterior, este Organismo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23B6122C" w14:textId="77777777" w:rsidR="005F614A" w:rsidRPr="00B911F2" w:rsidRDefault="000153B3">
      <w:pPr>
        <w:spacing w:before="240" w:after="240" w:line="360" w:lineRule="auto"/>
        <w:ind w:right="51"/>
        <w:jc w:val="both"/>
        <w:rPr>
          <w:rFonts w:ascii="Palatino Linotype" w:eastAsia="Palatino Linotype" w:hAnsi="Palatino Linotype" w:cs="Palatino Linotype"/>
          <w:b/>
        </w:rPr>
      </w:pPr>
      <w:r w:rsidRPr="00B911F2">
        <w:rPr>
          <w:rFonts w:ascii="Palatino Linotype" w:eastAsia="Palatino Linotype" w:hAnsi="Palatino Linotype" w:cs="Palatino Linotype"/>
        </w:rPr>
        <w:t xml:space="preserve">En consecuencia de todo lo anterior, y una vez analizada las constancias que integran el expediente en que se actúa, lo </w:t>
      </w:r>
      <w:r w:rsidRPr="00B911F2">
        <w:rPr>
          <w:rFonts w:ascii="Palatino Linotype" w:eastAsia="Palatino Linotype" w:hAnsi="Palatino Linotype" w:cs="Palatino Linotype"/>
          <w:b/>
        </w:rPr>
        <w:t>PROCEDENTE</w:t>
      </w:r>
      <w:r w:rsidRPr="00B911F2">
        <w:rPr>
          <w:rFonts w:ascii="Palatino Linotype" w:eastAsia="Palatino Linotype" w:hAnsi="Palatino Linotype" w:cs="Palatino Linotype"/>
        </w:rPr>
        <w:t xml:space="preserve"> es </w:t>
      </w:r>
      <w:r w:rsidRPr="00B911F2">
        <w:rPr>
          <w:rFonts w:ascii="Palatino Linotype" w:eastAsia="Palatino Linotype" w:hAnsi="Palatino Linotype" w:cs="Palatino Linotype"/>
          <w:b/>
        </w:rPr>
        <w:t>CONFIRMAR</w:t>
      </w:r>
      <w:r w:rsidRPr="00B911F2">
        <w:rPr>
          <w:rFonts w:ascii="Palatino Linotype" w:eastAsia="Palatino Linotype" w:hAnsi="Palatino Linotype" w:cs="Palatino Linotype"/>
        </w:rPr>
        <w:t xml:space="preserve"> la respuesta del </w:t>
      </w:r>
      <w:r w:rsidRPr="00B911F2">
        <w:rPr>
          <w:rFonts w:ascii="Palatino Linotype" w:eastAsia="Palatino Linotype" w:hAnsi="Palatino Linotype" w:cs="Palatino Linotype"/>
          <w:b/>
        </w:rPr>
        <w:t>SUJETO OBLIGADO.</w:t>
      </w:r>
    </w:p>
    <w:p w14:paraId="1AE3E92B" w14:textId="77777777" w:rsidR="005F614A" w:rsidRPr="00B911F2" w:rsidRDefault="000153B3">
      <w:pPr>
        <w:spacing w:before="240" w:after="240"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Quinto. Versión Pública. </w:t>
      </w:r>
      <w:r w:rsidRPr="00B911F2">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sin menoscabar el derecho a la protección de los datos personales de terceros.</w:t>
      </w:r>
    </w:p>
    <w:p w14:paraId="3474DF87" w14:textId="77777777" w:rsidR="005F614A" w:rsidRPr="00B911F2" w:rsidRDefault="000153B3">
      <w:pPr>
        <w:spacing w:after="240"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02B00DC5" w14:textId="77777777" w:rsidR="005F614A" w:rsidRPr="00B911F2" w:rsidRDefault="000153B3">
      <w:pPr>
        <w:ind w:left="993" w:right="1041"/>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 xml:space="preserve"> “Artículo 3. Para los efectos de la presente Ley se entenderá por:</w:t>
      </w:r>
    </w:p>
    <w:p w14:paraId="370CFC3C"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IX. Datos personales:</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rPr>
        <w:t>La información concerniente a una persona, identificada o identificable</w:t>
      </w:r>
      <w:r w:rsidRPr="00B911F2">
        <w:rPr>
          <w:rFonts w:ascii="Palatino Linotype" w:eastAsia="Palatino Linotype" w:hAnsi="Palatino Linotype" w:cs="Palatino Linotype"/>
          <w:i/>
          <w:sz w:val="22"/>
          <w:szCs w:val="22"/>
        </w:rPr>
        <w:t xml:space="preserve"> según lo dispuesto por la Ley de Protección de Datos Personales del Estado de México;</w:t>
      </w:r>
    </w:p>
    <w:p w14:paraId="08355016"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lastRenderedPageBreak/>
        <w:t>XX. Información clasificada:</w:t>
      </w:r>
      <w:r w:rsidRPr="00B911F2">
        <w:rPr>
          <w:rFonts w:ascii="Palatino Linotype" w:eastAsia="Palatino Linotype" w:hAnsi="Palatino Linotype" w:cs="Palatino Linotype"/>
          <w:i/>
          <w:sz w:val="22"/>
          <w:szCs w:val="22"/>
        </w:rPr>
        <w:t xml:space="preserve"> Aquella considerada por la presente Ley como reservada o confidencial;</w:t>
      </w:r>
    </w:p>
    <w:p w14:paraId="004E0EA6"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XXXII. Protección de Datos Personales:</w:t>
      </w:r>
      <w:r w:rsidRPr="00B911F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D94A1B0"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XLV. Versión pública</w:t>
      </w:r>
      <w:r w:rsidRPr="00B911F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A0BBD4C" w14:textId="77777777" w:rsidR="005F614A" w:rsidRPr="00B911F2" w:rsidRDefault="005F614A">
      <w:pPr>
        <w:ind w:left="993" w:right="1041"/>
        <w:jc w:val="both"/>
        <w:rPr>
          <w:rFonts w:ascii="Palatino Linotype" w:eastAsia="Palatino Linotype" w:hAnsi="Palatino Linotype" w:cs="Palatino Linotype"/>
          <w:i/>
          <w:sz w:val="22"/>
          <w:szCs w:val="22"/>
        </w:rPr>
      </w:pPr>
    </w:p>
    <w:p w14:paraId="0F69E51A"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“Artículo 6.</w:t>
      </w:r>
      <w:r w:rsidRPr="00B911F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C86DDC6" w14:textId="77777777" w:rsidR="005F614A" w:rsidRPr="00B911F2" w:rsidRDefault="005F614A">
      <w:pPr>
        <w:ind w:left="993" w:right="1041"/>
        <w:jc w:val="both"/>
        <w:rPr>
          <w:rFonts w:ascii="Palatino Linotype" w:eastAsia="Palatino Linotype" w:hAnsi="Palatino Linotype" w:cs="Palatino Linotype"/>
          <w:i/>
          <w:sz w:val="22"/>
          <w:szCs w:val="22"/>
        </w:rPr>
      </w:pPr>
    </w:p>
    <w:p w14:paraId="0CF6F223" w14:textId="77777777" w:rsidR="005F614A" w:rsidRPr="00B911F2" w:rsidRDefault="000153B3">
      <w:pPr>
        <w:ind w:left="993" w:right="1041"/>
        <w:jc w:val="both"/>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“Artículo 137.</w:t>
      </w:r>
      <w:r w:rsidRPr="00B911F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8B3F045" w14:textId="77777777" w:rsidR="005F614A" w:rsidRPr="00B911F2" w:rsidRDefault="005F614A">
      <w:pPr>
        <w:ind w:left="993" w:right="1041"/>
        <w:jc w:val="both"/>
        <w:rPr>
          <w:rFonts w:ascii="Palatino Linotype" w:eastAsia="Palatino Linotype" w:hAnsi="Palatino Linotype" w:cs="Palatino Linotype"/>
          <w:b/>
          <w:i/>
          <w:sz w:val="22"/>
          <w:szCs w:val="22"/>
        </w:rPr>
      </w:pPr>
    </w:p>
    <w:p w14:paraId="2A1572D1"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“Artículo 143</w:t>
      </w:r>
      <w:r w:rsidRPr="00B911F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3E27732"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I.</w:t>
      </w:r>
      <w:r w:rsidRPr="00B911F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20386A3"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C511461" w14:textId="77777777" w:rsidR="005F614A" w:rsidRPr="00B911F2" w:rsidRDefault="000153B3">
      <w:pPr>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D8775C7" w14:textId="77777777" w:rsidR="005F614A" w:rsidRPr="00B911F2" w:rsidRDefault="005F614A">
      <w:pPr>
        <w:ind w:left="993" w:right="1041"/>
        <w:jc w:val="both"/>
        <w:rPr>
          <w:rFonts w:ascii="Palatino Linotype" w:eastAsia="Palatino Linotype" w:hAnsi="Palatino Linotype" w:cs="Palatino Linotype"/>
          <w:i/>
          <w:sz w:val="22"/>
          <w:szCs w:val="22"/>
        </w:rPr>
      </w:pPr>
    </w:p>
    <w:p w14:paraId="70BE1108" w14:textId="77777777" w:rsidR="005F614A" w:rsidRPr="00B911F2" w:rsidRDefault="000153B3">
      <w:pPr>
        <w:spacing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w:t>
      </w:r>
      <w:r w:rsidRPr="00B911F2">
        <w:rPr>
          <w:rFonts w:ascii="Palatino Linotype" w:eastAsia="Palatino Linotype" w:hAnsi="Palatino Linotype" w:cs="Palatino Linotype"/>
        </w:rPr>
        <w:lastRenderedPageBreak/>
        <w:t xml:space="preserve">deberá proceder a testar los datos personales que se encuentren contenidos en los documentos a entregar por parte del Sujeto Obligado para satisfacer el derecho de acceso a la información pública de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6A05385" w14:textId="77777777" w:rsidR="005F614A" w:rsidRPr="00B911F2" w:rsidRDefault="005F614A">
      <w:pPr>
        <w:spacing w:line="360" w:lineRule="auto"/>
        <w:ind w:right="51"/>
        <w:jc w:val="both"/>
        <w:rPr>
          <w:rFonts w:ascii="Palatino Linotype" w:eastAsia="Palatino Linotype" w:hAnsi="Palatino Linotype" w:cs="Palatino Linotype"/>
        </w:rPr>
      </w:pPr>
    </w:p>
    <w:p w14:paraId="0FB0F9A6" w14:textId="77777777" w:rsidR="005F614A" w:rsidRPr="00B911F2" w:rsidRDefault="000153B3">
      <w:pPr>
        <w:spacing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366111A" w14:textId="77777777" w:rsidR="005F614A" w:rsidRPr="00B911F2" w:rsidRDefault="005F614A">
      <w:pPr>
        <w:spacing w:line="360" w:lineRule="auto"/>
        <w:ind w:right="51"/>
        <w:jc w:val="both"/>
        <w:rPr>
          <w:rFonts w:ascii="Palatino Linotype" w:eastAsia="Palatino Linotype" w:hAnsi="Palatino Linotype" w:cs="Palatino Linotype"/>
        </w:rPr>
      </w:pPr>
    </w:p>
    <w:p w14:paraId="4DAAC3F9" w14:textId="77777777" w:rsidR="005F614A" w:rsidRPr="00B911F2" w:rsidRDefault="000153B3">
      <w:pPr>
        <w:spacing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2B2D03C5" w14:textId="77777777" w:rsidR="005F614A" w:rsidRPr="00B911F2" w:rsidRDefault="005F614A">
      <w:pPr>
        <w:spacing w:line="360" w:lineRule="auto"/>
        <w:ind w:right="51"/>
        <w:jc w:val="both"/>
        <w:rPr>
          <w:rFonts w:ascii="Palatino Linotype" w:eastAsia="Palatino Linotype" w:hAnsi="Palatino Linotype" w:cs="Palatino Linotype"/>
        </w:rPr>
      </w:pPr>
    </w:p>
    <w:p w14:paraId="78F66E03"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“Artículo 49.</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rPr>
        <w:t>Los Comités de Transparencia</w:t>
      </w:r>
      <w:r w:rsidRPr="00B911F2">
        <w:rPr>
          <w:rFonts w:ascii="Palatino Linotype" w:eastAsia="Palatino Linotype" w:hAnsi="Palatino Linotype" w:cs="Palatino Linotype"/>
          <w:i/>
          <w:sz w:val="22"/>
          <w:szCs w:val="22"/>
        </w:rPr>
        <w:t xml:space="preserve"> tendrán las siguientes atribuciones:</w:t>
      </w:r>
    </w:p>
    <w:p w14:paraId="20E753F1"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VIII. Aprobar, modificar o revocar la clasificación de la información</w:t>
      </w:r>
      <w:r w:rsidRPr="00B911F2">
        <w:rPr>
          <w:rFonts w:ascii="Palatino Linotype" w:eastAsia="Palatino Linotype" w:hAnsi="Palatino Linotype" w:cs="Palatino Linotype"/>
          <w:i/>
          <w:sz w:val="22"/>
          <w:szCs w:val="22"/>
        </w:rPr>
        <w:t>…”</w:t>
      </w:r>
    </w:p>
    <w:p w14:paraId="658BF8EC"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w:t>
      </w:r>
      <w:r w:rsidRPr="00B911F2">
        <w:rPr>
          <w:rFonts w:ascii="Palatino Linotype" w:eastAsia="Palatino Linotype" w:hAnsi="Palatino Linotype" w:cs="Palatino Linotype"/>
          <w:b/>
          <w:i/>
          <w:sz w:val="22"/>
          <w:szCs w:val="22"/>
        </w:rPr>
        <w:t>Artículo 53.</w:t>
      </w:r>
      <w:r w:rsidRPr="00B911F2">
        <w:rPr>
          <w:rFonts w:ascii="Palatino Linotype" w:eastAsia="Palatino Linotype" w:hAnsi="Palatino Linotype" w:cs="Palatino Linotype"/>
          <w:i/>
          <w:sz w:val="22"/>
          <w:szCs w:val="22"/>
        </w:rPr>
        <w:t xml:space="preserve"> Las </w:t>
      </w:r>
      <w:r w:rsidRPr="00B911F2">
        <w:rPr>
          <w:rFonts w:ascii="Palatino Linotype" w:eastAsia="Palatino Linotype" w:hAnsi="Palatino Linotype" w:cs="Palatino Linotype"/>
          <w:b/>
          <w:i/>
          <w:sz w:val="22"/>
          <w:szCs w:val="22"/>
        </w:rPr>
        <w:t>Unidades de Transparencia</w:t>
      </w:r>
      <w:r w:rsidRPr="00B911F2">
        <w:rPr>
          <w:rFonts w:ascii="Palatino Linotype" w:eastAsia="Palatino Linotype" w:hAnsi="Palatino Linotype" w:cs="Palatino Linotype"/>
          <w:i/>
          <w:sz w:val="22"/>
          <w:szCs w:val="22"/>
        </w:rPr>
        <w:t xml:space="preserve"> tendrán las siguientes </w:t>
      </w:r>
      <w:r w:rsidRPr="00B911F2">
        <w:rPr>
          <w:rFonts w:ascii="Palatino Linotype" w:eastAsia="Palatino Linotype" w:hAnsi="Palatino Linotype" w:cs="Palatino Linotype"/>
          <w:b/>
          <w:i/>
          <w:sz w:val="22"/>
          <w:szCs w:val="22"/>
        </w:rPr>
        <w:t>funciones</w:t>
      </w:r>
      <w:r w:rsidRPr="00B911F2">
        <w:rPr>
          <w:rFonts w:ascii="Palatino Linotype" w:eastAsia="Palatino Linotype" w:hAnsi="Palatino Linotype" w:cs="Palatino Linotype"/>
          <w:i/>
          <w:sz w:val="22"/>
          <w:szCs w:val="22"/>
        </w:rPr>
        <w:t>:</w:t>
      </w:r>
    </w:p>
    <w:p w14:paraId="45D974AA"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X. Presentar ante el Comité, el proyecto de clasificación de información</w:t>
      </w:r>
      <w:r w:rsidRPr="00B911F2">
        <w:rPr>
          <w:rFonts w:ascii="Palatino Linotype" w:eastAsia="Palatino Linotype" w:hAnsi="Palatino Linotype" w:cs="Palatino Linotype"/>
          <w:i/>
          <w:sz w:val="22"/>
          <w:szCs w:val="22"/>
        </w:rPr>
        <w:t xml:space="preserve">…” </w:t>
      </w:r>
    </w:p>
    <w:p w14:paraId="425D6C0F"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“Artículo 59.</w:t>
      </w:r>
      <w:r w:rsidRPr="00B911F2">
        <w:rPr>
          <w:rFonts w:ascii="Palatino Linotype" w:eastAsia="Palatino Linotype" w:hAnsi="Palatino Linotype" w:cs="Palatino Linotype"/>
          <w:i/>
          <w:sz w:val="22"/>
          <w:szCs w:val="22"/>
        </w:rPr>
        <w:t xml:space="preserve"> Los </w:t>
      </w:r>
      <w:r w:rsidRPr="00B911F2">
        <w:rPr>
          <w:rFonts w:ascii="Palatino Linotype" w:eastAsia="Palatino Linotype" w:hAnsi="Palatino Linotype" w:cs="Palatino Linotype"/>
          <w:b/>
          <w:i/>
          <w:sz w:val="22"/>
          <w:szCs w:val="22"/>
        </w:rPr>
        <w:t>servidores públicos habilitados</w:t>
      </w:r>
      <w:r w:rsidRPr="00B911F2">
        <w:rPr>
          <w:rFonts w:ascii="Palatino Linotype" w:eastAsia="Palatino Linotype" w:hAnsi="Palatino Linotype" w:cs="Palatino Linotype"/>
          <w:i/>
          <w:sz w:val="22"/>
          <w:szCs w:val="22"/>
        </w:rPr>
        <w:t xml:space="preserve"> tendrán las </w:t>
      </w:r>
      <w:r w:rsidRPr="00B911F2">
        <w:rPr>
          <w:rFonts w:ascii="Palatino Linotype" w:eastAsia="Palatino Linotype" w:hAnsi="Palatino Linotype" w:cs="Palatino Linotype"/>
          <w:b/>
          <w:i/>
          <w:sz w:val="22"/>
          <w:szCs w:val="22"/>
        </w:rPr>
        <w:t>funciones</w:t>
      </w:r>
      <w:r w:rsidRPr="00B911F2">
        <w:rPr>
          <w:rFonts w:ascii="Palatino Linotype" w:eastAsia="Palatino Linotype" w:hAnsi="Palatino Linotype" w:cs="Palatino Linotype"/>
          <w:i/>
          <w:sz w:val="22"/>
          <w:szCs w:val="22"/>
        </w:rPr>
        <w:t xml:space="preserve"> siguientes:</w:t>
      </w:r>
    </w:p>
    <w:p w14:paraId="15074E2C" w14:textId="77777777" w:rsidR="005F614A" w:rsidRPr="00B911F2" w:rsidRDefault="000153B3">
      <w:pPr>
        <w:ind w:left="992" w:right="1043"/>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911F2">
        <w:rPr>
          <w:rFonts w:ascii="Palatino Linotype" w:eastAsia="Palatino Linotype" w:hAnsi="Palatino Linotype" w:cs="Palatino Linotype"/>
          <w:i/>
          <w:sz w:val="22"/>
          <w:szCs w:val="22"/>
        </w:rPr>
        <w:t>, la cual tendrá los fundamentos y argumentos en que se basa dicha propuesta…” (Sic)</w:t>
      </w:r>
    </w:p>
    <w:p w14:paraId="544EB5D7" w14:textId="77777777" w:rsidR="005F614A" w:rsidRPr="00B911F2" w:rsidRDefault="005F614A">
      <w:pPr>
        <w:ind w:left="992" w:right="1043"/>
        <w:jc w:val="both"/>
        <w:rPr>
          <w:rFonts w:ascii="Palatino Linotype" w:eastAsia="Palatino Linotype" w:hAnsi="Palatino Linotype" w:cs="Palatino Linotype"/>
          <w:i/>
          <w:sz w:val="22"/>
          <w:szCs w:val="22"/>
        </w:rPr>
      </w:pPr>
    </w:p>
    <w:p w14:paraId="6AA2DA5C"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49FF2C9" w14:textId="77777777" w:rsidR="005F614A" w:rsidRPr="00B911F2" w:rsidRDefault="005F614A">
      <w:pPr>
        <w:spacing w:line="360" w:lineRule="auto"/>
        <w:jc w:val="both"/>
        <w:rPr>
          <w:rFonts w:ascii="Palatino Linotype" w:eastAsia="Palatino Linotype" w:hAnsi="Palatino Linotype" w:cs="Palatino Linotype"/>
        </w:rPr>
      </w:pPr>
    </w:p>
    <w:p w14:paraId="0731CA10"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C216E67" w14:textId="77777777" w:rsidR="005F614A" w:rsidRPr="00B911F2" w:rsidRDefault="005F614A">
      <w:pPr>
        <w:spacing w:line="360" w:lineRule="auto"/>
        <w:jc w:val="both"/>
        <w:rPr>
          <w:rFonts w:ascii="Palatino Linotype" w:eastAsia="Palatino Linotype" w:hAnsi="Palatino Linotype" w:cs="Palatino Linotype"/>
        </w:rPr>
      </w:pPr>
    </w:p>
    <w:p w14:paraId="49952DCC" w14:textId="77777777" w:rsidR="005F614A" w:rsidRPr="00B911F2" w:rsidRDefault="000153B3">
      <w:pPr>
        <w:spacing w:after="240"/>
        <w:ind w:left="993" w:right="1041"/>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Artículo 149.</w:t>
      </w:r>
      <w:r w:rsidRPr="00B911F2">
        <w:rPr>
          <w:rFonts w:ascii="Palatino Linotype" w:eastAsia="Palatino Linotype" w:hAnsi="Palatino Linotype" w:cs="Palatino Linotype"/>
          <w:i/>
          <w:sz w:val="22"/>
          <w:szCs w:val="22"/>
        </w:rPr>
        <w:t xml:space="preserve"> El </w:t>
      </w:r>
      <w:r w:rsidRPr="00B911F2">
        <w:rPr>
          <w:rFonts w:ascii="Palatino Linotype" w:eastAsia="Palatino Linotype" w:hAnsi="Palatino Linotype" w:cs="Palatino Linotype"/>
          <w:b/>
          <w:i/>
          <w:sz w:val="22"/>
          <w:szCs w:val="22"/>
        </w:rPr>
        <w:t>acuerdo que clasifique la información como confidencial</w:t>
      </w:r>
      <w:r w:rsidRPr="00B911F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7B0AD6C7" w14:textId="77777777" w:rsidR="005F614A" w:rsidRPr="00B911F2" w:rsidRDefault="005F614A">
      <w:pPr>
        <w:spacing w:before="240" w:line="360" w:lineRule="auto"/>
        <w:ind w:right="51"/>
        <w:jc w:val="both"/>
        <w:rPr>
          <w:rFonts w:ascii="Palatino Linotype" w:eastAsia="Palatino Linotype" w:hAnsi="Palatino Linotype" w:cs="Palatino Linotype"/>
          <w:i/>
          <w:sz w:val="22"/>
          <w:szCs w:val="22"/>
        </w:rPr>
      </w:pPr>
    </w:p>
    <w:p w14:paraId="69DE912B" w14:textId="77777777" w:rsidR="005F614A" w:rsidRPr="00B911F2" w:rsidRDefault="000153B3">
      <w:pPr>
        <w:spacing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 xml:space="preserve">Es decir,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A7408A6" w14:textId="77777777" w:rsidR="005F614A" w:rsidRPr="00B911F2" w:rsidRDefault="005F614A">
      <w:pPr>
        <w:spacing w:line="360" w:lineRule="auto"/>
        <w:ind w:right="51"/>
        <w:jc w:val="both"/>
        <w:rPr>
          <w:rFonts w:ascii="Palatino Linotype" w:eastAsia="Palatino Linotype" w:hAnsi="Palatino Linotype" w:cs="Palatino Linotype"/>
        </w:rPr>
      </w:pPr>
    </w:p>
    <w:p w14:paraId="707C7C9A"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Es así,</w:t>
      </w:r>
      <w:r w:rsidRPr="00B911F2">
        <w:rPr>
          <w:rFonts w:ascii="Palatino Linotype" w:eastAsia="Palatino Linotype" w:hAnsi="Palatino Linotype" w:cs="Palatino Linotype"/>
          <w:sz w:val="22"/>
          <w:szCs w:val="22"/>
        </w:rPr>
        <w:t xml:space="preserve"> que </w:t>
      </w:r>
      <w:r w:rsidRPr="00B911F2">
        <w:rPr>
          <w:rFonts w:ascii="Palatino Linotype" w:eastAsia="Palatino Linotype" w:hAnsi="Palatino Linotype" w:cs="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2C517E7" w14:textId="77777777" w:rsidR="005F614A" w:rsidRPr="00B911F2" w:rsidRDefault="005F614A">
      <w:pPr>
        <w:spacing w:line="360" w:lineRule="auto"/>
        <w:ind w:right="50"/>
        <w:jc w:val="both"/>
        <w:rPr>
          <w:rFonts w:ascii="Palatino Linotype" w:eastAsia="Palatino Linotype" w:hAnsi="Palatino Linotype" w:cs="Palatino Linotype"/>
        </w:rPr>
      </w:pPr>
    </w:p>
    <w:p w14:paraId="0E32F1C8" w14:textId="77777777" w:rsidR="005F614A" w:rsidRPr="00B911F2" w:rsidRDefault="000153B3">
      <w:pPr>
        <w:spacing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37238AE" w14:textId="77777777" w:rsidR="005F614A" w:rsidRPr="00B911F2" w:rsidRDefault="005F614A">
      <w:pPr>
        <w:spacing w:line="360" w:lineRule="auto"/>
        <w:ind w:right="51"/>
        <w:jc w:val="both"/>
        <w:rPr>
          <w:rFonts w:ascii="Palatino Linotype" w:eastAsia="Palatino Linotype" w:hAnsi="Palatino Linotype" w:cs="Palatino Linotype"/>
        </w:rPr>
      </w:pPr>
    </w:p>
    <w:p w14:paraId="5FF55FCC" w14:textId="77777777" w:rsidR="005F614A" w:rsidRPr="00B911F2" w:rsidRDefault="000153B3">
      <w:pPr>
        <w:spacing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lastRenderedPageBreak/>
        <w:t>Lo anterior encuentra sustento en el criterio 10/17 emitido por el Instituto Nacional de Transparencia y Acceso a la Información Pública del Estado de México y Municipios, que a la letra dicen:</w:t>
      </w:r>
    </w:p>
    <w:p w14:paraId="63690739" w14:textId="77777777" w:rsidR="005F614A" w:rsidRPr="00B911F2" w:rsidRDefault="005F614A">
      <w:pPr>
        <w:ind w:right="50"/>
        <w:jc w:val="both"/>
        <w:rPr>
          <w:rFonts w:ascii="Palatino Linotype" w:eastAsia="Palatino Linotype" w:hAnsi="Palatino Linotype" w:cs="Palatino Linotype"/>
        </w:rPr>
      </w:pPr>
    </w:p>
    <w:p w14:paraId="4F47080C"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“Cuentas bancarias y/o CLABE interbancaria de personas físicas y morales privadas.</w:t>
      </w:r>
      <w:r w:rsidRPr="00B911F2">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Pública.”(Sic)</w:t>
      </w:r>
    </w:p>
    <w:p w14:paraId="730C953D" w14:textId="77777777" w:rsidR="005F614A" w:rsidRPr="00B911F2" w:rsidRDefault="005F614A">
      <w:pPr>
        <w:ind w:left="851" w:right="899"/>
        <w:jc w:val="center"/>
        <w:rPr>
          <w:rFonts w:ascii="Palatino Linotype" w:eastAsia="Palatino Linotype" w:hAnsi="Palatino Linotype" w:cs="Palatino Linotype"/>
          <w:b/>
          <w:i/>
          <w:sz w:val="22"/>
          <w:szCs w:val="22"/>
        </w:rPr>
      </w:pPr>
    </w:p>
    <w:p w14:paraId="44C6400B" w14:textId="77777777" w:rsidR="005F614A" w:rsidRPr="00B911F2" w:rsidRDefault="000153B3">
      <w:pPr>
        <w:spacing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493BBA5" w14:textId="77777777" w:rsidR="005F614A" w:rsidRPr="00B911F2" w:rsidRDefault="005F614A">
      <w:pPr>
        <w:ind w:right="50"/>
        <w:jc w:val="both"/>
        <w:rPr>
          <w:rFonts w:ascii="Palatino Linotype" w:eastAsia="Palatino Linotype" w:hAnsi="Palatino Linotype" w:cs="Palatino Linotype"/>
        </w:rPr>
      </w:pPr>
    </w:p>
    <w:p w14:paraId="32924DA8"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B911F2">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“(Sic)</w:t>
      </w:r>
    </w:p>
    <w:p w14:paraId="31BA0005" w14:textId="77777777" w:rsidR="005F614A" w:rsidRPr="00B911F2" w:rsidRDefault="000153B3">
      <w:pPr>
        <w:spacing w:before="240" w:after="240"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Sobre el RFC,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w:t>
      </w:r>
      <w:r w:rsidRPr="00B911F2">
        <w:rPr>
          <w:rFonts w:ascii="Palatino Linotype" w:eastAsia="Palatino Linotype" w:hAnsi="Palatino Linotype" w:cs="Palatino Linotype"/>
        </w:rPr>
        <w:lastRenderedPageBreak/>
        <w:t>es que tratándose de proveedores, prestadores de servicios o contratistas, dichos datos no deben ser suprimidos de las facturas y contratos que vayan a ser entregados.</w:t>
      </w:r>
    </w:p>
    <w:p w14:paraId="479F9F6D" w14:textId="77777777" w:rsidR="005F614A" w:rsidRPr="00B911F2" w:rsidRDefault="000153B3">
      <w:pPr>
        <w:spacing w:before="240" w:after="240"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1B3E9BF" w14:textId="77777777" w:rsidR="005F614A" w:rsidRPr="00B911F2" w:rsidRDefault="000153B3">
      <w:pPr>
        <w:spacing w:before="240" w:after="240"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7E1B135C" w14:textId="77777777" w:rsidR="005F614A" w:rsidRPr="00B911F2" w:rsidRDefault="000153B3">
      <w:pPr>
        <w:spacing w:before="240" w:after="240" w:line="360" w:lineRule="auto"/>
        <w:ind w:right="50"/>
        <w:jc w:val="both"/>
        <w:rPr>
          <w:rFonts w:ascii="Palatino Linotype" w:eastAsia="Palatino Linotype" w:hAnsi="Palatino Linotype" w:cs="Palatino Linotype"/>
        </w:rPr>
      </w:pPr>
      <w:r w:rsidRPr="00B911F2">
        <w:rPr>
          <w:rFonts w:ascii="Palatino Linotype" w:eastAsia="Palatino Linotype" w:hAnsi="Palatino Linotype" w:cs="Palatino Linotype"/>
        </w:rPr>
        <w:t>Lo que se robustece con el criterio número 04/2021 emitido por el Instituto Nacional de Transparencia, Acceso a la Información y Protección de Datos Personales, que señala:</w:t>
      </w:r>
    </w:p>
    <w:p w14:paraId="6FC29B7E"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“Registro Federal de Contribuyentes (RFC) de personas físicas proveedores o contratistas.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17D42058" w14:textId="77777777" w:rsidR="005F614A" w:rsidRPr="00B911F2" w:rsidRDefault="005F614A">
      <w:pPr>
        <w:ind w:left="851" w:right="1134"/>
        <w:jc w:val="both"/>
        <w:rPr>
          <w:rFonts w:ascii="Palatino Linotype" w:eastAsia="Palatino Linotype" w:hAnsi="Palatino Linotype" w:cs="Palatino Linotype"/>
          <w:i/>
          <w:sz w:val="22"/>
          <w:szCs w:val="22"/>
        </w:rPr>
      </w:pPr>
    </w:p>
    <w:p w14:paraId="3FE99547"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Precedentes:</w:t>
      </w:r>
    </w:p>
    <w:p w14:paraId="7F109F4E"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sidRPr="00B911F2">
        <w:rPr>
          <w:rFonts w:ascii="Palatino Linotype" w:eastAsia="Palatino Linotype" w:hAnsi="Palatino Linotype" w:cs="Palatino Linotype"/>
          <w:i/>
          <w:sz w:val="22"/>
          <w:szCs w:val="22"/>
        </w:rPr>
        <w:t>Kurczyn</w:t>
      </w:r>
      <w:proofErr w:type="spellEnd"/>
      <w:r w:rsidRPr="00B911F2">
        <w:rPr>
          <w:rFonts w:ascii="Palatino Linotype" w:eastAsia="Palatino Linotype" w:hAnsi="Palatino Linotype" w:cs="Palatino Linotype"/>
          <w:i/>
          <w:sz w:val="22"/>
          <w:szCs w:val="22"/>
        </w:rPr>
        <w:t xml:space="preserve"> Villalobos.</w:t>
      </w:r>
    </w:p>
    <w:p w14:paraId="3BBC5D5C"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Acceso a la información Pública. RRA 7709/19. Sesión del 13 de agosto de 2019. Votación por unanimidad. Con voto particular de la Comisionada Josefina Román Vergara. Suprema Corte de Justicia de la Nación. Comisionada Ponente Josefina Román Vergara.</w:t>
      </w:r>
    </w:p>
    <w:p w14:paraId="44566D29" w14:textId="77777777" w:rsidR="005F614A" w:rsidRPr="00B911F2" w:rsidRDefault="000153B3">
      <w:pPr>
        <w:ind w:left="851" w:right="1134"/>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Acceso a la información Pública. RRA 5774/19. Sesión del 21 de agosto de 2019. Votación por mayoría. Con voto disidente del Comisionado Joel Salas Suárez. Secretaría de Marina. Comisionada Ponente Blanca Lilia Ibarra Cadena</w:t>
      </w:r>
      <w:proofErr w:type="gramStart"/>
      <w:r w:rsidRPr="00B911F2">
        <w:rPr>
          <w:rFonts w:ascii="Palatino Linotype" w:eastAsia="Palatino Linotype" w:hAnsi="Palatino Linotype" w:cs="Palatino Linotype"/>
          <w:i/>
          <w:sz w:val="22"/>
          <w:szCs w:val="22"/>
        </w:rPr>
        <w:t>…”(</w:t>
      </w:r>
      <w:proofErr w:type="gramEnd"/>
      <w:r w:rsidRPr="00B911F2">
        <w:rPr>
          <w:rFonts w:ascii="Palatino Linotype" w:eastAsia="Palatino Linotype" w:hAnsi="Palatino Linotype" w:cs="Palatino Linotype"/>
          <w:i/>
          <w:sz w:val="22"/>
          <w:szCs w:val="22"/>
        </w:rPr>
        <w:t>Sic)</w:t>
      </w:r>
    </w:p>
    <w:p w14:paraId="42A69676" w14:textId="77777777" w:rsidR="005F614A" w:rsidRPr="00B911F2" w:rsidRDefault="005F614A">
      <w:pPr>
        <w:spacing w:line="360" w:lineRule="auto"/>
        <w:jc w:val="both"/>
        <w:rPr>
          <w:rFonts w:ascii="Palatino Linotype" w:eastAsia="Palatino Linotype" w:hAnsi="Palatino Linotype" w:cs="Palatino Linotype"/>
        </w:rPr>
      </w:pPr>
    </w:p>
    <w:p w14:paraId="0BE6FB2C"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Al respecto, se destaca que la versión pública que elabore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911F2">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B911F2">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3E7358" w14:textId="77777777" w:rsidR="005F614A" w:rsidRPr="00B911F2" w:rsidRDefault="005F614A">
      <w:pPr>
        <w:ind w:left="709" w:right="709"/>
        <w:jc w:val="both"/>
        <w:rPr>
          <w:rFonts w:ascii="Palatino Linotype" w:eastAsia="Palatino Linotype" w:hAnsi="Palatino Linotype" w:cs="Palatino Linotype"/>
          <w:b/>
          <w:i/>
          <w:sz w:val="22"/>
          <w:szCs w:val="22"/>
        </w:rPr>
      </w:pPr>
    </w:p>
    <w:p w14:paraId="71DBBED3"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63485EA"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w:t>
      </w:r>
      <w:r w:rsidRPr="00B911F2">
        <w:rPr>
          <w:rFonts w:ascii="Palatino Linotype" w:eastAsia="Palatino Linotype" w:hAnsi="Palatino Linotype" w:cs="Palatino Linotype"/>
          <w:b/>
          <w:i/>
          <w:sz w:val="22"/>
          <w:szCs w:val="22"/>
        </w:rPr>
        <w:t>Segundo.-</w:t>
      </w:r>
      <w:r w:rsidRPr="00B911F2">
        <w:rPr>
          <w:rFonts w:ascii="Palatino Linotype" w:eastAsia="Palatino Linotype" w:hAnsi="Palatino Linotype" w:cs="Palatino Linotype"/>
          <w:i/>
          <w:sz w:val="22"/>
          <w:szCs w:val="22"/>
        </w:rPr>
        <w:t xml:space="preserve"> Para efectos de los presentes Lineamientos Generales, se entenderá por:</w:t>
      </w:r>
    </w:p>
    <w:p w14:paraId="78020CCA"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lastRenderedPageBreak/>
        <w:t>XVIII.</w:t>
      </w:r>
      <w:r w:rsidRPr="00B911F2">
        <w:rPr>
          <w:rFonts w:ascii="Palatino Linotype" w:eastAsia="Palatino Linotype" w:hAnsi="Palatino Linotype" w:cs="Palatino Linotype"/>
          <w:i/>
          <w:sz w:val="22"/>
          <w:szCs w:val="22"/>
        </w:rPr>
        <w:t xml:space="preserve"> </w:t>
      </w:r>
      <w:r w:rsidRPr="00B911F2">
        <w:rPr>
          <w:rFonts w:ascii="Palatino Linotype" w:eastAsia="Palatino Linotype" w:hAnsi="Palatino Linotype" w:cs="Palatino Linotype"/>
          <w:b/>
          <w:i/>
          <w:sz w:val="22"/>
          <w:szCs w:val="22"/>
        </w:rPr>
        <w:t>Versión pública:</w:t>
      </w:r>
      <w:r w:rsidRPr="00B911F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911F2">
        <w:rPr>
          <w:rFonts w:ascii="Palatino Linotype" w:eastAsia="Palatino Linotype" w:hAnsi="Palatino Linotype" w:cs="Palatino Linotype"/>
          <w:b/>
          <w:i/>
          <w:sz w:val="22"/>
          <w:szCs w:val="22"/>
          <w:u w:val="single"/>
        </w:rPr>
        <w:t>fundando y motivando la</w:t>
      </w:r>
      <w:r w:rsidRPr="00B911F2">
        <w:rPr>
          <w:rFonts w:ascii="Palatino Linotype" w:eastAsia="Palatino Linotype" w:hAnsi="Palatino Linotype" w:cs="Palatino Linotype"/>
          <w:i/>
          <w:sz w:val="22"/>
          <w:szCs w:val="22"/>
        </w:rPr>
        <w:t xml:space="preserve"> reserva o </w:t>
      </w:r>
      <w:r w:rsidRPr="00B911F2">
        <w:rPr>
          <w:rFonts w:ascii="Palatino Linotype" w:eastAsia="Palatino Linotype" w:hAnsi="Palatino Linotype" w:cs="Palatino Linotype"/>
          <w:b/>
          <w:i/>
          <w:sz w:val="22"/>
          <w:szCs w:val="22"/>
          <w:u w:val="single"/>
        </w:rPr>
        <w:t>confidencialidad</w:t>
      </w:r>
      <w:r w:rsidRPr="00B911F2">
        <w:rPr>
          <w:rFonts w:ascii="Palatino Linotype" w:eastAsia="Palatino Linotype" w:hAnsi="Palatino Linotype" w:cs="Palatino Linotype"/>
          <w:i/>
          <w:sz w:val="22"/>
          <w:szCs w:val="22"/>
        </w:rPr>
        <w:t>, a través de la resolución que para tal efecto emita el Comité de Transparencia.</w:t>
      </w:r>
    </w:p>
    <w:p w14:paraId="01B196BA"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Cuarto.</w:t>
      </w:r>
      <w:r w:rsidRPr="00B911F2">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4EFFC12"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5A5EF3E"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Quinto.</w:t>
      </w:r>
      <w:r w:rsidRPr="00B911F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D810E9"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w:t>
      </w:r>
    </w:p>
    <w:p w14:paraId="510DB05B"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Séptimo.</w:t>
      </w:r>
      <w:r w:rsidRPr="00B911F2">
        <w:rPr>
          <w:rFonts w:ascii="Palatino Linotype" w:eastAsia="Palatino Linotype" w:hAnsi="Palatino Linotype" w:cs="Palatino Linotype"/>
          <w:i/>
          <w:sz w:val="22"/>
          <w:szCs w:val="22"/>
        </w:rPr>
        <w:t xml:space="preserve"> La clasificación de la información se llevará a cabo en el momento en que:</w:t>
      </w:r>
    </w:p>
    <w:p w14:paraId="15337A9D"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I.</w:t>
      </w:r>
      <w:r w:rsidRPr="00B911F2">
        <w:rPr>
          <w:rFonts w:ascii="Palatino Linotype" w:eastAsia="Palatino Linotype" w:hAnsi="Palatino Linotype" w:cs="Palatino Linotype"/>
          <w:i/>
          <w:sz w:val="22"/>
          <w:szCs w:val="22"/>
        </w:rPr>
        <w:t xml:space="preserve"> Se reciba una solicitud de acceso a la información;</w:t>
      </w:r>
    </w:p>
    <w:p w14:paraId="72F38D8F" w14:textId="77777777" w:rsidR="005F614A" w:rsidRPr="00B911F2" w:rsidRDefault="000153B3">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II.</w:t>
      </w:r>
      <w:r w:rsidRPr="00B911F2">
        <w:rPr>
          <w:rFonts w:ascii="Palatino Linotype" w:eastAsia="Palatino Linotype" w:hAnsi="Palatino Linotype" w:cs="Palatino Linotype"/>
          <w:i/>
          <w:sz w:val="22"/>
          <w:szCs w:val="22"/>
        </w:rPr>
        <w:t xml:space="preserve"> Se  determine mediante resolución del Comité de Transparencia, el órgano garante </w:t>
      </w:r>
    </w:p>
    <w:p w14:paraId="048A8D74"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competente, o en cumplimiento a una sentencia del Poder Judicial; o</w:t>
      </w:r>
    </w:p>
    <w:p w14:paraId="52616133"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III.</w:t>
      </w:r>
      <w:r w:rsidRPr="00B911F2">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CDAB4FE"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D5E81CF"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Octavo.</w:t>
      </w:r>
      <w:r w:rsidRPr="00B911F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A6E70C"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6FA9325" w14:textId="77777777" w:rsidR="005F614A" w:rsidRPr="00B911F2" w:rsidRDefault="000153B3">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w:t>
      </w:r>
      <w:r w:rsidRPr="00B911F2">
        <w:rPr>
          <w:rFonts w:ascii="Palatino Linotype" w:eastAsia="Palatino Linotype" w:hAnsi="Palatino Linotype" w:cs="Palatino Linotype"/>
          <w:i/>
          <w:sz w:val="22"/>
          <w:szCs w:val="22"/>
        </w:rPr>
        <w:lastRenderedPageBreak/>
        <w:t xml:space="preserve">así como las circunstancias que justifican el establecimiento de determinado plazo de reserva. </w:t>
      </w:r>
    </w:p>
    <w:p w14:paraId="35EBDFD6"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Noveno.</w:t>
      </w:r>
      <w:r w:rsidRPr="00B911F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4F6F613"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b/>
          <w:i/>
          <w:sz w:val="22"/>
          <w:szCs w:val="22"/>
        </w:rPr>
        <w:t>Décimo.</w:t>
      </w:r>
      <w:r w:rsidRPr="00B911F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14B0EDF"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7863DEE" w14:textId="77777777" w:rsidR="005F614A" w:rsidRPr="00B911F2" w:rsidRDefault="000153B3">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Décimo primero.</w:t>
      </w:r>
      <w:r w:rsidRPr="00B911F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402A0CA" w14:textId="77777777" w:rsidR="005F614A" w:rsidRPr="00B911F2" w:rsidRDefault="005F614A">
      <w:pPr>
        <w:pBdr>
          <w:top w:val="nil"/>
          <w:left w:val="nil"/>
          <w:bottom w:val="nil"/>
          <w:right w:val="nil"/>
          <w:between w:val="nil"/>
        </w:pBdr>
        <w:ind w:right="709"/>
        <w:jc w:val="both"/>
      </w:pPr>
    </w:p>
    <w:p w14:paraId="63DF35B4" w14:textId="77777777" w:rsidR="005F614A" w:rsidRPr="00B911F2" w:rsidRDefault="000153B3">
      <w:pPr>
        <w:pBdr>
          <w:top w:val="nil"/>
          <w:left w:val="nil"/>
          <w:bottom w:val="nil"/>
          <w:right w:val="nil"/>
          <w:between w:val="nil"/>
        </w:pBdr>
        <w:ind w:left="709" w:right="709"/>
        <w:jc w:val="both"/>
      </w:pPr>
      <w:r w:rsidRPr="00B911F2">
        <w:rPr>
          <w:rFonts w:ascii="Palatino Linotype" w:eastAsia="Palatino Linotype" w:hAnsi="Palatino Linotype" w:cs="Palatino Linotype"/>
          <w:i/>
          <w:sz w:val="22"/>
          <w:szCs w:val="22"/>
        </w:rPr>
        <w:t>[…]</w:t>
      </w:r>
    </w:p>
    <w:p w14:paraId="051C2FCF" w14:textId="77777777" w:rsidR="005F614A" w:rsidRPr="00B911F2" w:rsidRDefault="000153B3">
      <w:pPr>
        <w:pBdr>
          <w:top w:val="nil"/>
          <w:left w:val="nil"/>
          <w:bottom w:val="nil"/>
          <w:right w:val="nil"/>
          <w:between w:val="nil"/>
        </w:pBdr>
        <w:ind w:left="709" w:right="709"/>
        <w:jc w:val="center"/>
      </w:pPr>
      <w:r w:rsidRPr="00B911F2">
        <w:rPr>
          <w:rFonts w:ascii="Palatino Linotype" w:eastAsia="Palatino Linotype" w:hAnsi="Palatino Linotype" w:cs="Palatino Linotype"/>
          <w:b/>
          <w:i/>
          <w:sz w:val="22"/>
          <w:szCs w:val="22"/>
        </w:rPr>
        <w:t>CAPÍTULO VIII</w:t>
      </w:r>
    </w:p>
    <w:p w14:paraId="2562BD84" w14:textId="77777777" w:rsidR="005F614A" w:rsidRPr="00B911F2" w:rsidRDefault="000153B3">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B911F2">
        <w:rPr>
          <w:rFonts w:ascii="Palatino Linotype" w:eastAsia="Palatino Linotype" w:hAnsi="Palatino Linotype" w:cs="Palatino Linotype"/>
          <w:b/>
          <w:i/>
          <w:sz w:val="22"/>
          <w:szCs w:val="22"/>
        </w:rPr>
        <w:t>DE LOS ELEMENTOS PARA LA CLASIFICACIÓN</w:t>
      </w:r>
    </w:p>
    <w:p w14:paraId="580D35F6"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Quincuagésimo</w:t>
      </w:r>
      <w:r w:rsidRPr="00B911F2">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DDC0360"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Quincuagésimo primero</w:t>
      </w:r>
      <w:r w:rsidRPr="00B911F2">
        <w:rPr>
          <w:rFonts w:ascii="Palatino Linotype" w:eastAsia="Palatino Linotype" w:hAnsi="Palatino Linotype" w:cs="Palatino Linotype"/>
          <w:i/>
          <w:sz w:val="22"/>
          <w:szCs w:val="22"/>
        </w:rPr>
        <w:t>. Toda acta del Comité de Transparencia deberá contener:</w:t>
      </w:r>
    </w:p>
    <w:p w14:paraId="4C7A27A8"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I. El número de sesión y fecha; </w:t>
      </w:r>
    </w:p>
    <w:p w14:paraId="05503133"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 El nombre del área que solicitó la clasificación de información;</w:t>
      </w:r>
    </w:p>
    <w:p w14:paraId="707C2AD8"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III. La fundamentación legal y motivación correspondiente;</w:t>
      </w:r>
    </w:p>
    <w:p w14:paraId="66849EF2"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IV. La resolución o resoluciones aprobadas; y</w:t>
      </w:r>
    </w:p>
    <w:p w14:paraId="08D29B22"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V. La rúbrica o firma digital de cada integrante del Comité de Transparencia. </w:t>
      </w:r>
    </w:p>
    <w:p w14:paraId="12962C70"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6338A4C"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224D55A3"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 Descripción de las partes o secciones reservadas, en caso de clasificación parcial;</w:t>
      </w:r>
    </w:p>
    <w:p w14:paraId="0BDB0165"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III. El periodo por el que mantendrá su clasificación y fecha de expiración; y</w:t>
      </w:r>
    </w:p>
    <w:p w14:paraId="6BD1357D"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IV. El nombre del titular y área encargada de realizar la versión pública del documento, en su caso.</w:t>
      </w:r>
    </w:p>
    <w:p w14:paraId="53FDE648"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E784B52"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7EE6998"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b/>
          <w:i/>
          <w:sz w:val="22"/>
          <w:szCs w:val="22"/>
        </w:rPr>
        <w:t>Quincuagésimo segundo</w:t>
      </w:r>
      <w:r w:rsidRPr="00B911F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055E023"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9845231"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451F378"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6F6425A"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III. Señalar las personas o instancias autorizadas a acceder a la información clasificada.</w:t>
      </w:r>
    </w:p>
    <w:p w14:paraId="305C1EA2"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90FFF92" w14:textId="77777777" w:rsidR="005F614A" w:rsidRPr="00B911F2" w:rsidRDefault="000153B3">
      <w:pPr>
        <w:pBdr>
          <w:top w:val="nil"/>
          <w:left w:val="nil"/>
          <w:bottom w:val="nil"/>
          <w:right w:val="nil"/>
          <w:between w:val="nil"/>
        </w:pBdr>
        <w:spacing w:after="160"/>
        <w:ind w:left="709" w:right="709"/>
        <w:jc w:val="both"/>
      </w:pPr>
      <w:r w:rsidRPr="00B911F2">
        <w:rPr>
          <w:rFonts w:ascii="Palatino Linotype" w:eastAsia="Palatino Linotype" w:hAnsi="Palatino Linotype" w:cs="Palatino Linotype"/>
          <w:b/>
          <w:i/>
          <w:sz w:val="22"/>
          <w:szCs w:val="22"/>
        </w:rPr>
        <w:t xml:space="preserve">Quincuagésimo tercero. </w:t>
      </w:r>
      <w:r w:rsidRPr="00B911F2">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sidRPr="00B911F2">
        <w:rPr>
          <w:rFonts w:ascii="Palatino Linotype" w:eastAsia="Palatino Linotype" w:hAnsi="Palatino Linotype" w:cs="Palatino Linotype"/>
          <w:b/>
          <w:i/>
          <w:sz w:val="22"/>
          <w:szCs w:val="22"/>
          <w:u w:val="single"/>
        </w:rPr>
        <w:t>siguiente:</w:t>
      </w:r>
      <w:r w:rsidRPr="00B911F2">
        <w:rPr>
          <w:rFonts w:ascii="Palatino Linotype" w:eastAsia="Palatino Linotype" w:hAnsi="Palatino Linotype" w:cs="Palatino Linotype"/>
          <w:i/>
          <w:sz w:val="22"/>
          <w:szCs w:val="22"/>
        </w:rPr>
        <w:t>:</w:t>
      </w:r>
      <w:proofErr w:type="gramEnd"/>
    </w:p>
    <w:tbl>
      <w:tblPr>
        <w:tblStyle w:val="a2"/>
        <w:tblW w:w="8833" w:type="dxa"/>
        <w:jc w:val="center"/>
        <w:tblInd w:w="0" w:type="dxa"/>
        <w:tblLayout w:type="fixed"/>
        <w:tblLook w:val="0400" w:firstRow="0" w:lastRow="0" w:firstColumn="0" w:lastColumn="0" w:noHBand="0" w:noVBand="1"/>
      </w:tblPr>
      <w:tblGrid>
        <w:gridCol w:w="1660"/>
        <w:gridCol w:w="1980"/>
        <w:gridCol w:w="5193"/>
      </w:tblGrid>
      <w:tr w:rsidR="00B911F2" w:rsidRPr="00B911F2" w14:paraId="1A0B1026"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55CC7242" w14:textId="77777777" w:rsidR="005F614A" w:rsidRPr="00B911F2" w:rsidRDefault="005F614A"/>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82F3C"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48E1CC"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b/>
                <w:i/>
              </w:rPr>
              <w:t>Dónde:</w:t>
            </w:r>
          </w:p>
        </w:tc>
      </w:tr>
      <w:tr w:rsidR="00B911F2" w:rsidRPr="00B911F2" w14:paraId="2ED40AF3"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774EC2"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b/>
                <w:i/>
              </w:rPr>
              <w:t xml:space="preserve">Sello oficial o logotipo </w:t>
            </w:r>
            <w:r w:rsidRPr="00B911F2">
              <w:rPr>
                <w:rFonts w:ascii="Palatino Linotype" w:eastAsia="Palatino Linotype" w:hAnsi="Palatino Linotype" w:cs="Palatino Linotype"/>
                <w:b/>
                <w:i/>
              </w:rPr>
              <w:lastRenderedPageBreak/>
              <w:t>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530DC"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lastRenderedPageBreak/>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02D3A"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anotará la fecha en la que el Comité de Transparencia confirmó la clasificación del documento o expediente, en su caso.</w:t>
            </w:r>
          </w:p>
        </w:tc>
      </w:tr>
      <w:tr w:rsidR="00B911F2" w:rsidRPr="00B911F2" w14:paraId="62FA6E2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B4CFF1"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A04DB"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8F0CB"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señalará el nombre del área del cual es titular quien clasifica.</w:t>
            </w:r>
          </w:p>
        </w:tc>
      </w:tr>
      <w:tr w:rsidR="00B911F2" w:rsidRPr="00B911F2" w14:paraId="31AA5EB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139F8"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9AA78"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DB375"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B911F2" w:rsidRPr="00B911F2" w14:paraId="26A2210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FFF901"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07E7E"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18D9B"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B911F2" w:rsidRPr="00B911F2" w14:paraId="7F90106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D968A7"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08C1D"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E5EA"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señalará el nombre del ordenamiento, el o los artículos, fracción(es), párrafo(s) con base en los cuales se sustente la reserva.</w:t>
            </w:r>
          </w:p>
        </w:tc>
      </w:tr>
      <w:tr w:rsidR="00B911F2" w:rsidRPr="00B911F2" w14:paraId="77F50C4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D1594A"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B560D"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13FB0"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B911F2" w:rsidRPr="00B911F2" w14:paraId="7CB89CC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56C6B"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D1054"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8169E"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Rúbrica autógrafa o firma digital de quien clasifica.</w:t>
            </w:r>
          </w:p>
        </w:tc>
      </w:tr>
      <w:tr w:rsidR="00B911F2" w:rsidRPr="00B911F2" w14:paraId="4FFCCA5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2DE39"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4146F"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C0DD76"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Se anotará la fecha en que se desclasifica el documento.</w:t>
            </w:r>
          </w:p>
        </w:tc>
      </w:tr>
      <w:tr w:rsidR="00B911F2" w:rsidRPr="00B911F2" w14:paraId="25A8E44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EC2B1A" w14:textId="77777777" w:rsidR="005F614A" w:rsidRPr="00B911F2" w:rsidRDefault="005F614A">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3E4BB5" w14:textId="77777777" w:rsidR="005F614A" w:rsidRPr="00B911F2" w:rsidRDefault="000153B3">
            <w:pPr>
              <w:pBdr>
                <w:top w:val="nil"/>
                <w:left w:val="nil"/>
                <w:bottom w:val="nil"/>
                <w:right w:val="nil"/>
                <w:between w:val="nil"/>
              </w:pBdr>
              <w:jc w:val="center"/>
            </w:pPr>
            <w:r w:rsidRPr="00B911F2">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EB0843" w14:textId="77777777" w:rsidR="005F614A" w:rsidRPr="00B911F2" w:rsidRDefault="000153B3">
            <w:pPr>
              <w:pBdr>
                <w:top w:val="nil"/>
                <w:left w:val="nil"/>
                <w:bottom w:val="nil"/>
                <w:right w:val="nil"/>
                <w:between w:val="nil"/>
              </w:pBdr>
              <w:jc w:val="both"/>
            </w:pPr>
            <w:r w:rsidRPr="00B911F2">
              <w:rPr>
                <w:rFonts w:ascii="Palatino Linotype" w:eastAsia="Palatino Linotype" w:hAnsi="Palatino Linotype" w:cs="Palatino Linotype"/>
                <w:i/>
              </w:rPr>
              <w:t>Rúbrica autógrafa o firma digital de quien desclasifica.</w:t>
            </w:r>
          </w:p>
        </w:tc>
      </w:tr>
      <w:tr w:rsidR="00B911F2" w:rsidRPr="00B911F2" w14:paraId="7700E3A7" w14:textId="77777777">
        <w:trPr>
          <w:gridAfter w:val="2"/>
          <w:wAfter w:w="7173" w:type="dxa"/>
          <w:trHeight w:val="33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4B68D0" w14:textId="77777777" w:rsidR="005F614A" w:rsidRPr="00B911F2" w:rsidRDefault="005F614A">
            <w:pPr>
              <w:widowControl w:val="0"/>
              <w:pBdr>
                <w:top w:val="nil"/>
                <w:left w:val="nil"/>
                <w:bottom w:val="nil"/>
                <w:right w:val="nil"/>
                <w:between w:val="nil"/>
              </w:pBdr>
              <w:spacing w:line="276" w:lineRule="auto"/>
            </w:pPr>
          </w:p>
        </w:tc>
      </w:tr>
    </w:tbl>
    <w:p w14:paraId="782A73AD" w14:textId="77777777" w:rsidR="005F614A" w:rsidRPr="00B911F2" w:rsidRDefault="000153B3">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FA4B75A" w14:textId="77777777" w:rsidR="005F614A" w:rsidRPr="00B911F2" w:rsidRDefault="000153B3">
      <w:pPr>
        <w:pBdr>
          <w:top w:val="nil"/>
          <w:left w:val="nil"/>
          <w:bottom w:val="nil"/>
          <w:right w:val="nil"/>
          <w:between w:val="nil"/>
        </w:pBdr>
        <w:spacing w:after="160"/>
        <w:ind w:left="709" w:right="709"/>
        <w:jc w:val="both"/>
      </w:pPr>
      <w:r w:rsidRPr="00B911F2">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B911F2">
        <w:rPr>
          <w:rFonts w:ascii="Palatino Linotype" w:eastAsia="Palatino Linotype" w:hAnsi="Palatino Linotype" w:cs="Palatino Linotype"/>
          <w:i/>
          <w:sz w:val="22"/>
          <w:szCs w:val="22"/>
        </w:rPr>
        <w:t>testado</w:t>
      </w:r>
      <w:proofErr w:type="spellEnd"/>
      <w:r w:rsidRPr="00B911F2">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3D1AA2C8" w14:textId="77777777" w:rsidR="005F614A" w:rsidRPr="00B911F2" w:rsidRDefault="005F614A">
      <w:pPr>
        <w:jc w:val="both"/>
      </w:pPr>
    </w:p>
    <w:p w14:paraId="41E39724" w14:textId="77777777" w:rsidR="005F614A" w:rsidRPr="00B911F2" w:rsidRDefault="005F614A"/>
    <w:p w14:paraId="532A1AAA" w14:textId="77777777"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114DDCC1" w14:textId="77777777" w:rsidR="005F614A" w:rsidRPr="00B911F2" w:rsidRDefault="005F614A">
      <w:pPr>
        <w:spacing w:line="360" w:lineRule="auto"/>
        <w:jc w:val="both"/>
        <w:rPr>
          <w:rFonts w:ascii="Palatino Linotype" w:eastAsia="Palatino Linotype" w:hAnsi="Palatino Linotype" w:cs="Palatino Linotype"/>
        </w:rPr>
      </w:pPr>
    </w:p>
    <w:p w14:paraId="731A884A" w14:textId="77777777" w:rsidR="005F614A" w:rsidRPr="00B911F2" w:rsidRDefault="000153B3">
      <w:pPr>
        <w:shd w:val="clear" w:color="auto" w:fill="FFFFFF"/>
        <w:spacing w:line="360" w:lineRule="auto"/>
        <w:ind w:right="51"/>
        <w:jc w:val="both"/>
        <w:rPr>
          <w:rFonts w:ascii="Palatino Linotype" w:eastAsia="Palatino Linotype" w:hAnsi="Palatino Linotype" w:cs="Palatino Linotype"/>
        </w:rPr>
      </w:pPr>
      <w:r w:rsidRPr="00B911F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w:t>
      </w:r>
    </w:p>
    <w:p w14:paraId="5BEB7737" w14:textId="5589386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C45B5F6" w14:textId="696246E7" w:rsidR="00B911F2" w:rsidRPr="00B911F2" w:rsidRDefault="00B911F2">
      <w:pPr>
        <w:spacing w:before="240" w:after="240" w:line="360" w:lineRule="auto"/>
        <w:jc w:val="both"/>
        <w:rPr>
          <w:rFonts w:ascii="Palatino Linotype" w:eastAsia="Palatino Linotype" w:hAnsi="Palatino Linotype" w:cs="Palatino Linotype"/>
        </w:rPr>
      </w:pPr>
    </w:p>
    <w:p w14:paraId="73496E64" w14:textId="77777777" w:rsidR="005F614A" w:rsidRPr="00B911F2" w:rsidRDefault="000153B3">
      <w:pPr>
        <w:numPr>
          <w:ilvl w:val="0"/>
          <w:numId w:val="3"/>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911F2">
        <w:rPr>
          <w:rFonts w:ascii="Palatino Linotype" w:eastAsia="Palatino Linotype" w:hAnsi="Palatino Linotype" w:cs="Palatino Linotype"/>
          <w:b/>
        </w:rPr>
        <w:lastRenderedPageBreak/>
        <w:t>R E S U E L V E:</w:t>
      </w:r>
    </w:p>
    <w:p w14:paraId="631CE45E" w14:textId="77777777" w:rsidR="005F614A" w:rsidRPr="00B911F2" w:rsidRDefault="000153B3">
      <w:pPr>
        <w:spacing w:before="240"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Primero. </w:t>
      </w:r>
      <w:r w:rsidRPr="00B911F2">
        <w:rPr>
          <w:rFonts w:ascii="Palatino Linotype" w:eastAsia="Palatino Linotype" w:hAnsi="Palatino Linotype" w:cs="Palatino Linotype"/>
        </w:rPr>
        <w:t xml:space="preserve">Resultan fundados los motivos de inconformidad hechos valer por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en el Recurso de Revisión </w:t>
      </w:r>
      <w:r w:rsidRPr="00B911F2">
        <w:rPr>
          <w:rFonts w:ascii="Palatino Linotype" w:eastAsia="Palatino Linotype" w:hAnsi="Palatino Linotype" w:cs="Palatino Linotype"/>
          <w:b/>
        </w:rPr>
        <w:t xml:space="preserve">08374/INFOEM/IP/RR/2023; </w:t>
      </w:r>
      <w:r w:rsidRPr="00B911F2">
        <w:rPr>
          <w:rFonts w:ascii="Palatino Linotype" w:eastAsia="Palatino Linotype" w:hAnsi="Palatino Linotype" w:cs="Palatino Linotype"/>
        </w:rPr>
        <w:t xml:space="preserve">por lo que, en términos del considerando </w:t>
      </w:r>
      <w:r w:rsidRPr="00B911F2">
        <w:rPr>
          <w:rFonts w:ascii="Palatino Linotype" w:eastAsia="Palatino Linotype" w:hAnsi="Palatino Linotype" w:cs="Palatino Linotype"/>
          <w:b/>
        </w:rPr>
        <w:t xml:space="preserve">Cuarto </w:t>
      </w:r>
      <w:r w:rsidRPr="00B911F2">
        <w:rPr>
          <w:rFonts w:ascii="Palatino Linotype" w:eastAsia="Palatino Linotype" w:hAnsi="Palatino Linotype" w:cs="Palatino Linotype"/>
        </w:rPr>
        <w:t xml:space="preserve">de esta resolución, se </w:t>
      </w:r>
      <w:r w:rsidRPr="00B911F2">
        <w:rPr>
          <w:rFonts w:ascii="Palatino Linotype" w:eastAsia="Palatino Linotype" w:hAnsi="Palatino Linotype" w:cs="Palatino Linotype"/>
          <w:b/>
        </w:rPr>
        <w:t xml:space="preserve">MODIFICA </w:t>
      </w:r>
      <w:r w:rsidRPr="00B911F2">
        <w:rPr>
          <w:rFonts w:ascii="Palatino Linotype" w:eastAsia="Palatino Linotype" w:hAnsi="Palatino Linotype" w:cs="Palatino Linotype"/>
        </w:rPr>
        <w:t xml:space="preserve">la respuesta emitida por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w:t>
      </w:r>
    </w:p>
    <w:p w14:paraId="6671D5AB" w14:textId="77777777" w:rsidR="005F614A" w:rsidRPr="00B911F2" w:rsidRDefault="000153B3">
      <w:pPr>
        <w:spacing w:before="240" w:after="240"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Segundo. </w:t>
      </w:r>
      <w:r w:rsidRPr="00B911F2">
        <w:rPr>
          <w:rFonts w:ascii="Palatino Linotype" w:eastAsia="Palatino Linotype" w:hAnsi="Palatino Linotype" w:cs="Palatino Linotype"/>
        </w:rPr>
        <w:t>Se</w:t>
      </w:r>
      <w:r w:rsidRPr="00B911F2">
        <w:rPr>
          <w:rFonts w:ascii="Palatino Linotype" w:eastAsia="Palatino Linotype" w:hAnsi="Palatino Linotype" w:cs="Palatino Linotype"/>
          <w:b/>
        </w:rPr>
        <w:t xml:space="preserve"> ORDENA </w:t>
      </w:r>
      <w:r w:rsidRPr="00B911F2">
        <w:rPr>
          <w:rFonts w:ascii="Palatino Linotype" w:eastAsia="Palatino Linotype" w:hAnsi="Palatino Linotype" w:cs="Palatino Linotype"/>
        </w:rPr>
        <w:t xml:space="preserve">al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a que,</w:t>
      </w:r>
      <w:r w:rsidRPr="00B911F2">
        <w:rPr>
          <w:rFonts w:ascii="Palatino Linotype" w:eastAsia="Palatino Linotype" w:hAnsi="Palatino Linotype" w:cs="Palatino Linotype"/>
          <w:b/>
        </w:rPr>
        <w:t xml:space="preserve"> </w:t>
      </w:r>
      <w:r w:rsidRPr="00B911F2">
        <w:rPr>
          <w:rFonts w:ascii="Palatino Linotype" w:eastAsia="Palatino Linotype" w:hAnsi="Palatino Linotype" w:cs="Palatino Linotype"/>
        </w:rPr>
        <w:t>en términos de los Considerandos Cuarto y Quinto, haga entrega vía SAIMEX,  en versión pública de ser procedente, de lo siguiente:</w:t>
      </w:r>
    </w:p>
    <w:p w14:paraId="381EF410" w14:textId="77777777" w:rsidR="005F614A" w:rsidRPr="00B911F2" w:rsidRDefault="000153B3">
      <w:pPr>
        <w:numPr>
          <w:ilvl w:val="0"/>
          <w:numId w:val="4"/>
        </w:numPr>
        <w:pBdr>
          <w:top w:val="nil"/>
          <w:left w:val="nil"/>
          <w:bottom w:val="nil"/>
          <w:right w:val="nil"/>
          <w:between w:val="nil"/>
        </w:pBdr>
        <w:spacing w:before="28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rPr>
        <w:t>Las  facturas pagadas por el Instituto Municipal de Cultura Física y Deporte de Zinacantepec del primero de enero al trece de noviembre del año dos mil veintitrés.</w:t>
      </w:r>
    </w:p>
    <w:p w14:paraId="1685D5B8" w14:textId="77777777" w:rsidR="005F614A" w:rsidRPr="00B911F2" w:rsidRDefault="000153B3">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B911F2">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2764A765" w14:textId="77777777" w:rsidR="005F614A" w:rsidRPr="00B911F2" w:rsidRDefault="005F614A">
      <w:pPr>
        <w:spacing w:line="360" w:lineRule="auto"/>
        <w:ind w:right="49"/>
        <w:jc w:val="both"/>
        <w:rPr>
          <w:rFonts w:ascii="Palatino Linotype" w:eastAsia="Palatino Linotype" w:hAnsi="Palatino Linotype" w:cs="Palatino Linotype"/>
          <w:b/>
        </w:rPr>
      </w:pPr>
    </w:p>
    <w:p w14:paraId="5B76A655" w14:textId="77777777" w:rsidR="005F614A" w:rsidRPr="00B911F2" w:rsidRDefault="000153B3">
      <w:pPr>
        <w:spacing w:line="360" w:lineRule="auto"/>
        <w:ind w:right="49"/>
        <w:jc w:val="both"/>
        <w:rPr>
          <w:rFonts w:ascii="Palatino Linotype" w:eastAsia="Palatino Linotype" w:hAnsi="Palatino Linotype" w:cs="Palatino Linotype"/>
          <w:b/>
        </w:rPr>
      </w:pPr>
      <w:r w:rsidRPr="00B911F2">
        <w:rPr>
          <w:rFonts w:ascii="Palatino Linotype" w:eastAsia="Palatino Linotype" w:hAnsi="Palatino Linotype" w:cs="Palatino Linotype"/>
          <w:b/>
        </w:rPr>
        <w:t xml:space="preserve">Tercero. </w:t>
      </w:r>
      <w:r w:rsidRPr="00B911F2">
        <w:rPr>
          <w:rFonts w:ascii="Palatino Linotype" w:eastAsia="Palatino Linotype" w:hAnsi="Palatino Linotype" w:cs="Palatino Linotype"/>
        </w:rPr>
        <w:t xml:space="preserve">Resulta infundado el motivo de inconformidad aducido por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en el recurso de revisión </w:t>
      </w:r>
      <w:r w:rsidRPr="00B911F2">
        <w:rPr>
          <w:rFonts w:ascii="Palatino Linotype" w:eastAsia="Palatino Linotype" w:hAnsi="Palatino Linotype" w:cs="Palatino Linotype"/>
          <w:b/>
        </w:rPr>
        <w:t>08442/INFOEM/IP/RR/2023</w:t>
      </w:r>
      <w:r w:rsidRPr="00B911F2">
        <w:rPr>
          <w:rFonts w:ascii="Palatino Linotype" w:eastAsia="Palatino Linotype" w:hAnsi="Palatino Linotype" w:cs="Palatino Linotype"/>
        </w:rPr>
        <w:t xml:space="preserve">; por lo que, en términos de los argumentos señalados en el Considerando Cuarto se </w:t>
      </w:r>
      <w:r w:rsidRPr="00B911F2">
        <w:rPr>
          <w:rFonts w:ascii="Palatino Linotype" w:eastAsia="Palatino Linotype" w:hAnsi="Palatino Linotype" w:cs="Palatino Linotype"/>
          <w:b/>
        </w:rPr>
        <w:t>CONFIRMA</w:t>
      </w:r>
      <w:r w:rsidRPr="00B911F2">
        <w:rPr>
          <w:rFonts w:ascii="Palatino Linotype" w:eastAsia="Palatino Linotype" w:hAnsi="Palatino Linotype" w:cs="Palatino Linotype"/>
        </w:rPr>
        <w:t xml:space="preserve"> la respuesta emitida por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w:t>
      </w:r>
    </w:p>
    <w:p w14:paraId="71D7E025" w14:textId="77777777" w:rsidR="005F614A" w:rsidRPr="00B911F2" w:rsidRDefault="005F614A">
      <w:pPr>
        <w:spacing w:line="360" w:lineRule="auto"/>
        <w:ind w:right="49"/>
        <w:jc w:val="both"/>
        <w:rPr>
          <w:rFonts w:ascii="Palatino Linotype" w:eastAsia="Palatino Linotype" w:hAnsi="Palatino Linotype" w:cs="Palatino Linotype"/>
          <w:b/>
        </w:rPr>
      </w:pPr>
    </w:p>
    <w:p w14:paraId="01BEE069" w14:textId="77777777" w:rsidR="005F614A" w:rsidRPr="00B911F2" w:rsidRDefault="000153B3">
      <w:pPr>
        <w:spacing w:line="360" w:lineRule="auto"/>
        <w:ind w:right="49"/>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Cuarto. Notifíquese, </w:t>
      </w:r>
      <w:r w:rsidRPr="00B911F2">
        <w:rPr>
          <w:rFonts w:ascii="Palatino Linotype" w:eastAsia="Palatino Linotype" w:hAnsi="Palatino Linotype" w:cs="Palatino Linotype"/>
        </w:rPr>
        <w:t xml:space="preserve">vía </w:t>
      </w:r>
      <w:r w:rsidRPr="00B911F2">
        <w:rPr>
          <w:rFonts w:ascii="Palatino Linotype" w:eastAsia="Palatino Linotype" w:hAnsi="Palatino Linotype" w:cs="Palatino Linotype"/>
          <w:b/>
        </w:rPr>
        <w:t>SAIMEX</w:t>
      </w:r>
      <w:r w:rsidRPr="00B911F2">
        <w:rPr>
          <w:rFonts w:ascii="Palatino Linotype" w:eastAsia="Palatino Linotype" w:hAnsi="Palatino Linotype" w:cs="Palatino Linotype"/>
        </w:rPr>
        <w:t xml:space="preserve">, al Titular de la Unidad de Transparencia del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w:t>
      </w:r>
      <w:r w:rsidRPr="00B911F2">
        <w:rPr>
          <w:rFonts w:ascii="Palatino Linotype" w:eastAsia="Palatino Linotype" w:hAnsi="Palatino Linotype" w:cs="Palatino Linotype"/>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B3BE17" w14:textId="77777777" w:rsidR="005F614A" w:rsidRPr="00B911F2" w:rsidRDefault="005F614A">
      <w:pPr>
        <w:spacing w:line="360" w:lineRule="auto"/>
        <w:ind w:right="49"/>
        <w:jc w:val="both"/>
        <w:rPr>
          <w:rFonts w:ascii="Palatino Linotype" w:eastAsia="Palatino Linotype" w:hAnsi="Palatino Linotype" w:cs="Palatino Linotype"/>
        </w:rPr>
      </w:pPr>
    </w:p>
    <w:p w14:paraId="149036B3" w14:textId="00101ED1" w:rsidR="005F614A" w:rsidRPr="00B911F2" w:rsidRDefault="000153B3">
      <w:pPr>
        <w:spacing w:after="240"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 xml:space="preserve">Cuarto. </w:t>
      </w:r>
      <w:r w:rsidRPr="00B911F2">
        <w:rPr>
          <w:rFonts w:ascii="Palatino Linotype" w:eastAsia="Palatino Linotype" w:hAnsi="Palatino Linotype" w:cs="Palatino Linotype"/>
        </w:rPr>
        <w:t xml:space="preserve">Notifíquese, vía </w:t>
      </w:r>
      <w:r w:rsidRPr="00B911F2">
        <w:rPr>
          <w:rFonts w:ascii="Palatino Linotype" w:eastAsia="Palatino Linotype" w:hAnsi="Palatino Linotype" w:cs="Palatino Linotype"/>
          <w:b/>
        </w:rPr>
        <w:t>SAIMEX</w:t>
      </w:r>
      <w:r w:rsidRPr="00B911F2">
        <w:rPr>
          <w:rFonts w:ascii="Palatino Linotype" w:eastAsia="Palatino Linotype" w:hAnsi="Palatino Linotype" w:cs="Palatino Linotype"/>
        </w:rPr>
        <w:t xml:space="preserve">, a la parte </w:t>
      </w:r>
      <w:r w:rsidRPr="00B911F2">
        <w:rPr>
          <w:rFonts w:ascii="Palatino Linotype" w:eastAsia="Palatino Linotype" w:hAnsi="Palatino Linotype" w:cs="Palatino Linotype"/>
          <w:b/>
        </w:rPr>
        <w:t>RECURRENTE</w:t>
      </w:r>
      <w:r w:rsidRPr="00B911F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B8F404C" w14:textId="57CF140A" w:rsidR="005F614A" w:rsidRPr="00B911F2" w:rsidRDefault="000153B3">
      <w:pPr>
        <w:spacing w:line="360" w:lineRule="auto"/>
        <w:jc w:val="both"/>
        <w:rPr>
          <w:rFonts w:ascii="Palatino Linotype" w:eastAsia="Palatino Linotype" w:hAnsi="Palatino Linotype" w:cs="Palatino Linotype"/>
        </w:rPr>
      </w:pPr>
      <w:r w:rsidRPr="00B911F2">
        <w:rPr>
          <w:rFonts w:ascii="Palatino Linotype" w:eastAsia="Palatino Linotype" w:hAnsi="Palatino Linotype" w:cs="Palatino Linotype"/>
          <w:b/>
        </w:rPr>
        <w:t>Quinto.</w:t>
      </w:r>
      <w:r w:rsidRPr="00B911F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B911F2">
        <w:rPr>
          <w:rFonts w:ascii="Palatino Linotype" w:eastAsia="Palatino Linotype" w:hAnsi="Palatino Linotype" w:cs="Palatino Linotype"/>
          <w:b/>
        </w:rPr>
        <w:t>SUJETO OBLIGADO</w:t>
      </w:r>
      <w:r w:rsidRPr="00B911F2">
        <w:rPr>
          <w:rFonts w:ascii="Palatino Linotype" w:eastAsia="Palatino Linotype" w:hAnsi="Palatino Linotype" w:cs="Palatino Linotype"/>
        </w:rPr>
        <w:t xml:space="preserve"> de manera fundada y motivada, podrá solicitar una ampliación de plazo para el cumplimiento de la presente resolución.</w:t>
      </w:r>
    </w:p>
    <w:p w14:paraId="3E409B86" w14:textId="77777777" w:rsidR="00B911F2" w:rsidRPr="00B911F2" w:rsidRDefault="00B911F2">
      <w:pPr>
        <w:spacing w:line="360" w:lineRule="auto"/>
        <w:jc w:val="both"/>
        <w:rPr>
          <w:rFonts w:ascii="Palatino Linotype" w:eastAsia="Palatino Linotype" w:hAnsi="Palatino Linotype" w:cs="Palatino Linotype"/>
        </w:rPr>
      </w:pPr>
    </w:p>
    <w:p w14:paraId="7E939D8D" w14:textId="77777777" w:rsidR="00B911F2" w:rsidRPr="00B911F2" w:rsidRDefault="00B911F2">
      <w:pPr>
        <w:spacing w:line="360" w:lineRule="auto"/>
        <w:jc w:val="both"/>
        <w:rPr>
          <w:rFonts w:ascii="Palatino Linotype" w:eastAsia="Palatino Linotype" w:hAnsi="Palatino Linotype" w:cs="Palatino Linotype"/>
        </w:rPr>
      </w:pPr>
    </w:p>
    <w:p w14:paraId="1875E8AC" w14:textId="688BD74A" w:rsidR="005F614A" w:rsidRPr="00B911F2" w:rsidRDefault="000153B3">
      <w:pPr>
        <w:spacing w:line="360" w:lineRule="auto"/>
        <w:jc w:val="both"/>
        <w:rPr>
          <w:rFonts w:ascii="Palatino Linotype" w:eastAsia="Palatino Linotype" w:hAnsi="Palatino Linotype" w:cs="Palatino Linotype"/>
          <w:sz w:val="8"/>
          <w:szCs w:val="8"/>
        </w:rPr>
      </w:pPr>
      <w:bookmarkStart w:id="1" w:name="_heading=h.1fob9te" w:colFirst="0" w:colLast="0"/>
      <w:bookmarkEnd w:id="1"/>
      <w:r w:rsidRPr="00B911F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B911F2">
        <w:rPr>
          <w:rFonts w:ascii="Palatino Linotype" w:eastAsia="Palatino Linotype" w:hAnsi="Palatino Linotype" w:cs="Palatino Linotype"/>
        </w:rPr>
        <w:lastRenderedPageBreak/>
        <w:t xml:space="preserve">GUSTAVO PARRA NORIEGA Y GUADALUPE RAMÍREZ PEÑA; EN LA </w:t>
      </w:r>
      <w:r w:rsidR="00B911F2" w:rsidRPr="00B911F2">
        <w:rPr>
          <w:rFonts w:ascii="Palatino Linotype" w:eastAsia="Palatino Linotype" w:hAnsi="Palatino Linotype" w:cs="Palatino Linotype"/>
        </w:rPr>
        <w:t>SEXTA SESIÓN</w:t>
      </w:r>
      <w:r w:rsidRPr="00B911F2">
        <w:rPr>
          <w:rFonts w:ascii="Palatino Linotype" w:eastAsia="Palatino Linotype" w:hAnsi="Palatino Linotype" w:cs="Palatino Linotype"/>
        </w:rPr>
        <w:t xml:space="preserve"> ORDINARIA CELEBRADA EL VEINTIUNO DE FEBRERO DE DOS MIL VEINTICUATRO, ANTE EL SECRETARIO TÉCNICO, ALEXIS TAPIA RAMÍREZ.</w:t>
      </w:r>
    </w:p>
    <w:bookmarkStart w:id="2" w:name="_heading=h.30j0zll" w:colFirst="0" w:colLast="0"/>
    <w:bookmarkEnd w:id="2"/>
    <w:p w14:paraId="7E6BD537" w14:textId="418EA0ED" w:rsidR="005F614A" w:rsidRPr="00B911F2" w:rsidRDefault="00E43F66">
      <w:r>
        <w:rPr>
          <w:noProof/>
          <w:lang w:val="es-MX" w:eastAsia="es-MX"/>
        </w:rPr>
        <mc:AlternateContent>
          <mc:Choice Requires="wps">
            <w:drawing>
              <wp:anchor distT="0" distB="0" distL="114300" distR="114300" simplePos="0" relativeHeight="251659264" behindDoc="0" locked="0" layoutInCell="1" allowOverlap="1" wp14:anchorId="17C06AE8" wp14:editId="1990FFEA">
                <wp:simplePos x="0" y="0"/>
                <wp:positionH relativeFrom="column">
                  <wp:posOffset>145991</wp:posOffset>
                </wp:positionH>
                <wp:positionV relativeFrom="paragraph">
                  <wp:posOffset>151361</wp:posOffset>
                </wp:positionV>
                <wp:extent cx="5361709" cy="6172200"/>
                <wp:effectExtent l="0" t="0" r="29845" b="19050"/>
                <wp:wrapNone/>
                <wp:docPr id="1" name="Conector recto 1"/>
                <wp:cNvGraphicFramePr/>
                <a:graphic xmlns:a="http://schemas.openxmlformats.org/drawingml/2006/main">
                  <a:graphicData uri="http://schemas.microsoft.com/office/word/2010/wordprocessingShape">
                    <wps:wsp>
                      <wps:cNvCnPr/>
                      <wps:spPr>
                        <a:xfrm>
                          <a:off x="0" y="0"/>
                          <a:ext cx="5361709" cy="617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6290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1.9pt" to="433.7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" strokecolor="#5b9bd5 [3204]" strokeweight=".5pt">
                <v:stroke joinstyle="miter"/>
              </v:line>
            </w:pict>
          </mc:Fallback>
        </mc:AlternateContent>
      </w:r>
    </w:p>
    <w:p w14:paraId="09DF8ACE" w14:textId="77777777" w:rsidR="005F614A" w:rsidRPr="00B911F2" w:rsidRDefault="005F614A"/>
    <w:p w14:paraId="5FDCC2FF" w14:textId="77777777" w:rsidR="005F614A" w:rsidRPr="00B911F2" w:rsidRDefault="005F614A"/>
    <w:p w14:paraId="33319963" w14:textId="77777777" w:rsidR="005F614A" w:rsidRPr="00B911F2" w:rsidRDefault="005F614A"/>
    <w:p w14:paraId="10D64242" w14:textId="77777777" w:rsidR="005F614A" w:rsidRPr="00B911F2" w:rsidRDefault="005F614A"/>
    <w:p w14:paraId="06B8A8E9" w14:textId="77777777" w:rsidR="005F614A" w:rsidRPr="00B911F2" w:rsidRDefault="005F614A"/>
    <w:p w14:paraId="75349855" w14:textId="77777777" w:rsidR="005F614A" w:rsidRPr="00B911F2" w:rsidRDefault="005F614A"/>
    <w:p w14:paraId="7DC4DCBA" w14:textId="77777777" w:rsidR="005F614A" w:rsidRPr="00B911F2" w:rsidRDefault="005F614A"/>
    <w:p w14:paraId="0454C27C" w14:textId="77777777" w:rsidR="005F614A" w:rsidRPr="00B911F2" w:rsidRDefault="005F614A"/>
    <w:p w14:paraId="42B5CCB7" w14:textId="77777777" w:rsidR="005F614A" w:rsidRPr="00B911F2" w:rsidRDefault="005F614A"/>
    <w:p w14:paraId="537B4EC3" w14:textId="77777777" w:rsidR="005F614A" w:rsidRPr="00B911F2" w:rsidRDefault="005F614A"/>
    <w:p w14:paraId="3C897737" w14:textId="77777777" w:rsidR="005F614A" w:rsidRPr="00B911F2" w:rsidRDefault="005F614A"/>
    <w:p w14:paraId="00AF53CC" w14:textId="77777777" w:rsidR="005F614A" w:rsidRPr="00B911F2" w:rsidRDefault="005F614A"/>
    <w:p w14:paraId="612E7247" w14:textId="77777777" w:rsidR="005F614A" w:rsidRPr="00B911F2" w:rsidRDefault="005F614A"/>
    <w:p w14:paraId="4DE2FE56" w14:textId="77777777" w:rsidR="005F614A" w:rsidRPr="00B911F2" w:rsidRDefault="005F614A"/>
    <w:p w14:paraId="184407CE" w14:textId="77777777" w:rsidR="005F614A" w:rsidRPr="00B911F2" w:rsidRDefault="005F614A"/>
    <w:p w14:paraId="04EC2628" w14:textId="77777777" w:rsidR="005F614A" w:rsidRPr="00B911F2" w:rsidRDefault="005F614A"/>
    <w:p w14:paraId="72808879" w14:textId="77777777" w:rsidR="005F614A" w:rsidRPr="00B911F2" w:rsidRDefault="005F614A"/>
    <w:p w14:paraId="48006FC9" w14:textId="77777777" w:rsidR="005F614A" w:rsidRPr="00B911F2" w:rsidRDefault="005F614A"/>
    <w:p w14:paraId="53CD462A" w14:textId="77777777" w:rsidR="005F614A" w:rsidRPr="00B911F2" w:rsidRDefault="005F614A"/>
    <w:p w14:paraId="0509926D" w14:textId="77777777" w:rsidR="005F614A" w:rsidRPr="00B911F2" w:rsidRDefault="005F614A"/>
    <w:p w14:paraId="5B4318EB" w14:textId="77777777" w:rsidR="005F614A" w:rsidRPr="00B911F2" w:rsidRDefault="005F614A"/>
    <w:p w14:paraId="381FC77D" w14:textId="77777777" w:rsidR="005F614A" w:rsidRPr="00B911F2" w:rsidRDefault="005F614A"/>
    <w:p w14:paraId="3634D144" w14:textId="77777777" w:rsidR="005F614A" w:rsidRPr="00B911F2" w:rsidRDefault="005F614A"/>
    <w:p w14:paraId="234CE2CA" w14:textId="77777777" w:rsidR="005F614A" w:rsidRPr="00B911F2" w:rsidRDefault="005F614A"/>
    <w:p w14:paraId="57A524FD" w14:textId="4F9B3FFE" w:rsidR="005F614A" w:rsidRPr="00B911F2" w:rsidRDefault="005F614A"/>
    <w:p w14:paraId="11F2C4B9" w14:textId="2971B1B1" w:rsidR="00B911F2" w:rsidRPr="00B911F2" w:rsidRDefault="00B911F2"/>
    <w:p w14:paraId="09BAADE5" w14:textId="59ADCE75" w:rsidR="00B911F2" w:rsidRPr="00B911F2" w:rsidRDefault="00B911F2"/>
    <w:p w14:paraId="7BD6350B" w14:textId="63BDDF54" w:rsidR="00B911F2" w:rsidRPr="00B911F2" w:rsidRDefault="00B911F2"/>
    <w:p w14:paraId="062D8EEF" w14:textId="1CD10C24" w:rsidR="00B911F2" w:rsidRPr="00B911F2" w:rsidRDefault="00B911F2"/>
    <w:p w14:paraId="1ACB8617" w14:textId="0CE3DF00" w:rsidR="00B911F2" w:rsidRPr="00B911F2" w:rsidRDefault="00B911F2"/>
    <w:p w14:paraId="1CEEB0C9" w14:textId="0C00C1D3" w:rsidR="00B911F2" w:rsidRPr="00B911F2" w:rsidRDefault="00B911F2"/>
    <w:p w14:paraId="141874FA" w14:textId="094C4C94" w:rsidR="00B911F2" w:rsidRPr="00B911F2" w:rsidRDefault="00B911F2"/>
    <w:p w14:paraId="4F226E41" w14:textId="76EC9F0F" w:rsidR="00B911F2" w:rsidRPr="00B911F2" w:rsidRDefault="00B911F2"/>
    <w:p w14:paraId="6E9EEE6B" w14:textId="622D7555" w:rsidR="00B911F2" w:rsidRPr="00B911F2" w:rsidRDefault="00B911F2"/>
    <w:p w14:paraId="04FB1E77" w14:textId="30CC73E1" w:rsidR="00B911F2" w:rsidRPr="00B911F2" w:rsidRDefault="00B911F2"/>
    <w:p w14:paraId="2E863E81" w14:textId="6F18A471" w:rsidR="00B911F2" w:rsidRPr="00B911F2" w:rsidRDefault="00B911F2"/>
    <w:p w14:paraId="1F696B21" w14:textId="2A3F9001" w:rsidR="00B911F2" w:rsidRPr="00B911F2" w:rsidRDefault="00B911F2"/>
    <w:p w14:paraId="638446FC" w14:textId="64A41C78" w:rsidR="00B911F2" w:rsidRPr="00B911F2" w:rsidRDefault="00B911F2"/>
    <w:p w14:paraId="06E50927" w14:textId="1B9CE3AE" w:rsidR="00B911F2" w:rsidRPr="00B911F2" w:rsidRDefault="00B911F2"/>
    <w:p w14:paraId="6CD73AC3" w14:textId="17F63FA8" w:rsidR="00B911F2" w:rsidRPr="00B911F2" w:rsidRDefault="00B911F2"/>
    <w:p w14:paraId="5CF4CA66" w14:textId="36059800" w:rsidR="00B911F2" w:rsidRPr="00B911F2" w:rsidRDefault="00B911F2"/>
    <w:p w14:paraId="0FA515E3" w14:textId="4B456FCB" w:rsidR="00B911F2" w:rsidRPr="00B911F2" w:rsidRDefault="00B911F2"/>
    <w:p w14:paraId="41DE9FC7" w14:textId="14A477C0" w:rsidR="00B911F2" w:rsidRPr="00B911F2" w:rsidRDefault="00B911F2"/>
    <w:p w14:paraId="0492CE28" w14:textId="0EFB7A00" w:rsidR="00B911F2" w:rsidRPr="00B911F2" w:rsidRDefault="00B911F2"/>
    <w:p w14:paraId="6083FE95" w14:textId="42CA76E4" w:rsidR="00B911F2" w:rsidRPr="00B911F2" w:rsidRDefault="00B911F2"/>
    <w:p w14:paraId="6C3FDDB8" w14:textId="77777777" w:rsidR="00B911F2" w:rsidRPr="00B911F2" w:rsidRDefault="00B911F2"/>
    <w:p w14:paraId="7588F44B" w14:textId="77777777" w:rsidR="005F614A" w:rsidRPr="00B911F2" w:rsidRDefault="005F614A"/>
    <w:p w14:paraId="2210E127" w14:textId="77777777" w:rsidR="005F614A" w:rsidRPr="00B911F2" w:rsidRDefault="005F614A"/>
    <w:p w14:paraId="7C9A4B0A" w14:textId="77777777" w:rsidR="005F614A" w:rsidRPr="00B911F2" w:rsidRDefault="005F614A"/>
    <w:p w14:paraId="463DAF7A" w14:textId="77777777" w:rsidR="005F614A" w:rsidRPr="00B911F2" w:rsidRDefault="005F614A"/>
    <w:sectPr w:rsidR="005F614A" w:rsidRPr="00B911F2">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E94C" w14:textId="77777777" w:rsidR="00AA31A1" w:rsidRDefault="00AA31A1">
      <w:r>
        <w:separator/>
      </w:r>
    </w:p>
  </w:endnote>
  <w:endnote w:type="continuationSeparator" w:id="0">
    <w:p w14:paraId="265F4181" w14:textId="77777777" w:rsidR="00AA31A1" w:rsidRDefault="00AA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961" w14:textId="77777777" w:rsidR="005F614A" w:rsidRDefault="000153B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D63DA">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D63DA">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E090" w14:textId="77777777" w:rsidR="005F614A" w:rsidRDefault="000153B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D63D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D63DA">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1D90" w14:textId="77777777" w:rsidR="00AA31A1" w:rsidRDefault="00AA31A1">
      <w:r>
        <w:separator/>
      </w:r>
    </w:p>
  </w:footnote>
  <w:footnote w:type="continuationSeparator" w:id="0">
    <w:p w14:paraId="02F7B6A2" w14:textId="77777777" w:rsidR="00AA31A1" w:rsidRDefault="00AA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06EC" w14:textId="77777777" w:rsidR="005F614A" w:rsidRDefault="00C96126">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26557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2C3" w14:textId="77777777" w:rsidR="005F614A" w:rsidRDefault="005F614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3"/>
      <w:tblW w:w="6667" w:type="dxa"/>
      <w:tblInd w:w="2547" w:type="dxa"/>
      <w:tblLayout w:type="fixed"/>
      <w:tblLook w:val="0400" w:firstRow="0" w:lastRow="0" w:firstColumn="0" w:lastColumn="0" w:noHBand="0" w:noVBand="1"/>
    </w:tblPr>
    <w:tblGrid>
      <w:gridCol w:w="2551"/>
      <w:gridCol w:w="4116"/>
    </w:tblGrid>
    <w:tr w:rsidR="005F614A" w14:paraId="3B7B14AC" w14:textId="77777777">
      <w:tc>
        <w:tcPr>
          <w:tcW w:w="2551" w:type="dxa"/>
          <w:shd w:val="clear" w:color="auto" w:fill="auto"/>
          <w:vAlign w:val="center"/>
        </w:tcPr>
        <w:p w14:paraId="795707CE"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1AD3694B"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08374/INFOEM/IP/RR/2023 y acumulado</w:t>
          </w:r>
        </w:p>
      </w:tc>
    </w:tr>
    <w:tr w:rsidR="005F614A" w14:paraId="0DDBCD74" w14:textId="77777777">
      <w:trPr>
        <w:trHeight w:val="228"/>
      </w:trPr>
      <w:tc>
        <w:tcPr>
          <w:tcW w:w="2551" w:type="dxa"/>
          <w:shd w:val="clear" w:color="auto" w:fill="auto"/>
          <w:vAlign w:val="center"/>
        </w:tcPr>
        <w:p w14:paraId="7BD4EDB0"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32AF65A9"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5F614A" w14:paraId="79C54559" w14:textId="77777777">
      <w:tc>
        <w:tcPr>
          <w:tcW w:w="2551" w:type="dxa"/>
          <w:shd w:val="clear" w:color="auto" w:fill="auto"/>
          <w:vAlign w:val="center"/>
        </w:tcPr>
        <w:p w14:paraId="44659270"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07AFAE7A" w14:textId="77777777" w:rsidR="005F614A" w:rsidRDefault="000153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026F08" w14:textId="77777777" w:rsidR="005F614A" w:rsidRDefault="00C96126">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37079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96.95pt;margin-top:-125.7pt;width:649.35pt;height:845.8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65A5" w14:textId="77777777" w:rsidR="005F614A" w:rsidRDefault="005F614A">
    <w:pPr>
      <w:widowControl w:val="0"/>
      <w:pBdr>
        <w:top w:val="nil"/>
        <w:left w:val="nil"/>
        <w:bottom w:val="nil"/>
        <w:right w:val="nil"/>
        <w:between w:val="nil"/>
      </w:pBdr>
      <w:spacing w:line="276" w:lineRule="auto"/>
      <w:rPr>
        <w:rFonts w:ascii="Calibri" w:eastAsia="Calibri" w:hAnsi="Calibri" w:cs="Calibri"/>
        <w:color w:val="000000"/>
      </w:rPr>
    </w:pPr>
  </w:p>
  <w:tbl>
    <w:tblPr>
      <w:tblStyle w:val="a4"/>
      <w:tblW w:w="6667" w:type="dxa"/>
      <w:tblInd w:w="2547" w:type="dxa"/>
      <w:tblLayout w:type="fixed"/>
      <w:tblLook w:val="0400" w:firstRow="0" w:lastRow="0" w:firstColumn="0" w:lastColumn="0" w:noHBand="0" w:noVBand="1"/>
    </w:tblPr>
    <w:tblGrid>
      <w:gridCol w:w="2551"/>
      <w:gridCol w:w="4116"/>
    </w:tblGrid>
    <w:tr w:rsidR="005F614A" w14:paraId="7BE3EA49" w14:textId="77777777">
      <w:tc>
        <w:tcPr>
          <w:tcW w:w="2551" w:type="dxa"/>
          <w:shd w:val="clear" w:color="auto" w:fill="auto"/>
          <w:vAlign w:val="center"/>
        </w:tcPr>
        <w:p w14:paraId="3A4F64DA"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12DCC6FB" w14:textId="77777777" w:rsidR="005F614A" w:rsidRDefault="000153B3">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08374/INFOEM/IP/RR/2023 y</w:t>
          </w:r>
        </w:p>
        <w:p w14:paraId="3ACA3F1C" w14:textId="77777777" w:rsidR="005F614A" w:rsidRDefault="000153B3">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08442/INFOEM/IP/RR/2023           </w:t>
          </w:r>
        </w:p>
      </w:tc>
    </w:tr>
    <w:tr w:rsidR="005F614A" w14:paraId="280F61D5" w14:textId="77777777">
      <w:tc>
        <w:tcPr>
          <w:tcW w:w="2551" w:type="dxa"/>
          <w:shd w:val="clear" w:color="auto" w:fill="auto"/>
          <w:vAlign w:val="center"/>
        </w:tcPr>
        <w:p w14:paraId="719FFFE8"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22295E32" w14:textId="77777777" w:rsidR="005F614A" w:rsidRDefault="000153B3">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tc>
    </w:tr>
    <w:tr w:rsidR="005F614A" w14:paraId="47A8AD74" w14:textId="77777777">
      <w:trPr>
        <w:trHeight w:val="228"/>
      </w:trPr>
      <w:tc>
        <w:tcPr>
          <w:tcW w:w="2551" w:type="dxa"/>
          <w:shd w:val="clear" w:color="auto" w:fill="auto"/>
          <w:vAlign w:val="center"/>
        </w:tcPr>
        <w:p w14:paraId="7128EEA9"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4A58B1C5"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Ayuntamiento de Zinacantepec</w:t>
          </w:r>
        </w:p>
      </w:tc>
    </w:tr>
    <w:tr w:rsidR="005F614A" w14:paraId="2B0E3C79" w14:textId="77777777">
      <w:tc>
        <w:tcPr>
          <w:tcW w:w="2551" w:type="dxa"/>
          <w:shd w:val="clear" w:color="auto" w:fill="auto"/>
          <w:vAlign w:val="center"/>
        </w:tcPr>
        <w:p w14:paraId="2D1321A5"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51FE7D00" w14:textId="77777777" w:rsidR="005F614A" w:rsidRDefault="000153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Guadalupe Ramírez Peña</w:t>
          </w:r>
        </w:p>
      </w:tc>
    </w:tr>
  </w:tbl>
  <w:p w14:paraId="5C32AEC5" w14:textId="77777777" w:rsidR="005F614A" w:rsidRDefault="00C96126">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394EE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93.8pt;margin-top:-135.95pt;width:628.7pt;height:818.9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BA"/>
    <w:multiLevelType w:val="multilevel"/>
    <w:tmpl w:val="0784A3B6"/>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5AD6A98"/>
    <w:multiLevelType w:val="multilevel"/>
    <w:tmpl w:val="117AD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A80CBE"/>
    <w:multiLevelType w:val="multilevel"/>
    <w:tmpl w:val="2FECC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F61563"/>
    <w:multiLevelType w:val="multilevel"/>
    <w:tmpl w:val="469C4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9A4E67"/>
    <w:multiLevelType w:val="multilevel"/>
    <w:tmpl w:val="0748D5E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A"/>
    <w:rsid w:val="000153B3"/>
    <w:rsid w:val="005F614A"/>
    <w:rsid w:val="007D63DA"/>
    <w:rsid w:val="00A90982"/>
    <w:rsid w:val="00AA31A1"/>
    <w:rsid w:val="00B911F2"/>
    <w:rsid w:val="00C96126"/>
    <w:rsid w:val="00CC2A8C"/>
    <w:rsid w:val="00E43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8A3C7F"/>
  <w15:docId w15:val="{BF0E8D8F-1D4C-4B0F-BDAF-7FA19400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D2"/>
    <w:rPr>
      <w:lang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D7E06"/>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2"/>
    <w:rsid w:val="009D7E06"/>
    <w:tblPr>
      <w:tblStyleRowBandSize w:val="1"/>
      <w:tblStyleColBandSize w:val="1"/>
      <w:tblCellMar>
        <w:left w:w="115" w:type="dxa"/>
        <w:right w:w="115" w:type="dxa"/>
      </w:tblCellMar>
    </w:tblPr>
  </w:style>
  <w:style w:type="table" w:customStyle="1" w:styleId="7">
    <w:name w:val="7"/>
    <w:basedOn w:val="TableNormal2"/>
    <w:rsid w:val="009D7E06"/>
    <w:tblPr>
      <w:tblStyleRowBandSize w:val="1"/>
      <w:tblStyleColBandSize w:val="1"/>
      <w:tblCellMar>
        <w:left w:w="115" w:type="dxa"/>
        <w:right w:w="115" w:type="dxa"/>
      </w:tblCellMar>
    </w:tblPr>
  </w:style>
  <w:style w:type="table" w:customStyle="1" w:styleId="6">
    <w:name w:val="6"/>
    <w:basedOn w:val="TableNormal2"/>
    <w:rsid w:val="009D7E06"/>
    <w:tblPr>
      <w:tblStyleRowBandSize w:val="1"/>
      <w:tblStyleColBandSize w:val="1"/>
      <w:tblCellMar>
        <w:left w:w="115" w:type="dxa"/>
        <w:right w:w="115" w:type="dxa"/>
      </w:tblCellMar>
    </w:tblPr>
  </w:style>
  <w:style w:type="table" w:customStyle="1" w:styleId="5">
    <w:name w:val="5"/>
    <w:basedOn w:val="TableNormal2"/>
    <w:rsid w:val="009D7E06"/>
    <w:tblPr>
      <w:tblStyleRowBandSize w:val="1"/>
      <w:tblStyleColBandSize w:val="1"/>
      <w:tblCellMar>
        <w:left w:w="115" w:type="dxa"/>
        <w:right w:w="115" w:type="dxa"/>
      </w:tblCellMar>
    </w:tblPr>
  </w:style>
  <w:style w:type="table" w:customStyle="1" w:styleId="4">
    <w:name w:val="4"/>
    <w:basedOn w:val="TableNormal2"/>
    <w:rsid w:val="009D7E06"/>
    <w:tblPr>
      <w:tblStyleRowBandSize w:val="1"/>
      <w:tblStyleColBandSize w:val="1"/>
      <w:tblCellMar>
        <w:left w:w="115" w:type="dxa"/>
        <w:right w:w="115" w:type="dxa"/>
      </w:tblCellMar>
    </w:tblPr>
  </w:style>
  <w:style w:type="table" w:customStyle="1" w:styleId="3">
    <w:name w:val="3"/>
    <w:basedOn w:val="TableNormal2"/>
    <w:rsid w:val="009D7E06"/>
    <w:tblPr>
      <w:tblStyleRowBandSize w:val="1"/>
      <w:tblStyleColBandSize w:val="1"/>
      <w:tblCellMar>
        <w:left w:w="115" w:type="dxa"/>
        <w:right w:w="115" w:type="dxa"/>
      </w:tblCellMar>
    </w:tblPr>
  </w:style>
  <w:style w:type="table" w:customStyle="1" w:styleId="2">
    <w:name w:val="2"/>
    <w:basedOn w:val="TableNormal2"/>
    <w:rsid w:val="009D7E06"/>
    <w:tblPr>
      <w:tblStyleRowBandSize w:val="1"/>
      <w:tblStyleColBandSize w:val="1"/>
      <w:tblCellMar>
        <w:left w:w="115" w:type="dxa"/>
        <w:right w:w="115" w:type="dxa"/>
      </w:tblCellMar>
    </w:tblPr>
  </w:style>
  <w:style w:type="table" w:customStyle="1" w:styleId="1">
    <w:name w:val="1"/>
    <w:basedOn w:val="TableNormal2"/>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tblPr>
      <w:tblCellMar>
        <w:top w:w="0" w:type="dxa"/>
        <w:left w:w="0" w:type="dxa"/>
        <w:bottom w:w="0" w:type="dxa"/>
        <w:right w:w="0" w:type="dxa"/>
      </w:tblCellMar>
    </w:tblPr>
  </w:style>
  <w:style w:type="table" w:customStyle="1" w:styleId="81">
    <w:name w:val="81"/>
    <w:basedOn w:val="TableNormal2"/>
    <w:rsid w:val="009D7E06"/>
    <w:tblPr>
      <w:tblStyleRowBandSize w:val="1"/>
      <w:tblStyleColBandSize w:val="1"/>
      <w:tblCellMar>
        <w:left w:w="115" w:type="dxa"/>
        <w:right w:w="115" w:type="dxa"/>
      </w:tblCellMar>
    </w:tblPr>
  </w:style>
  <w:style w:type="table" w:customStyle="1" w:styleId="71">
    <w:name w:val="71"/>
    <w:basedOn w:val="TableNormal2"/>
    <w:rsid w:val="009D7E06"/>
    <w:tblPr>
      <w:tblStyleRowBandSize w:val="1"/>
      <w:tblStyleColBandSize w:val="1"/>
      <w:tblCellMar>
        <w:left w:w="115" w:type="dxa"/>
        <w:right w:w="115" w:type="dxa"/>
      </w:tblCellMar>
    </w:tblPr>
  </w:style>
  <w:style w:type="table" w:customStyle="1" w:styleId="61">
    <w:name w:val="61"/>
    <w:basedOn w:val="TableNormal2"/>
    <w:rsid w:val="009D7E06"/>
    <w:tblPr>
      <w:tblStyleRowBandSize w:val="1"/>
      <w:tblStyleColBandSize w:val="1"/>
      <w:tblCellMar>
        <w:left w:w="115" w:type="dxa"/>
        <w:right w:w="115" w:type="dxa"/>
      </w:tblCellMar>
    </w:tblPr>
  </w:style>
  <w:style w:type="table" w:customStyle="1" w:styleId="51">
    <w:name w:val="51"/>
    <w:basedOn w:val="TableNormal2"/>
    <w:rsid w:val="009D7E06"/>
    <w:tblPr>
      <w:tblStyleRowBandSize w:val="1"/>
      <w:tblStyleColBandSize w:val="1"/>
      <w:tblCellMar>
        <w:left w:w="115" w:type="dxa"/>
        <w:right w:w="115" w:type="dxa"/>
      </w:tblCellMar>
    </w:tblPr>
  </w:style>
  <w:style w:type="table" w:customStyle="1" w:styleId="41">
    <w:name w:val="41"/>
    <w:basedOn w:val="TableNormal2"/>
    <w:rsid w:val="009D7E06"/>
    <w:tblPr>
      <w:tblStyleRowBandSize w:val="1"/>
      <w:tblStyleColBandSize w:val="1"/>
      <w:tblCellMar>
        <w:left w:w="115" w:type="dxa"/>
        <w:right w:w="115" w:type="dxa"/>
      </w:tblCellMar>
    </w:tblPr>
  </w:style>
  <w:style w:type="table" w:customStyle="1" w:styleId="31">
    <w:name w:val="31"/>
    <w:basedOn w:val="TableNormal2"/>
    <w:rsid w:val="009D7E06"/>
    <w:tblPr>
      <w:tblStyleRowBandSize w:val="1"/>
      <w:tblStyleColBandSize w:val="1"/>
      <w:tblCellMar>
        <w:left w:w="115" w:type="dxa"/>
        <w:right w:w="115" w:type="dxa"/>
      </w:tblCellMar>
    </w:tblPr>
  </w:style>
  <w:style w:type="table" w:customStyle="1" w:styleId="21">
    <w:name w:val="21"/>
    <w:basedOn w:val="TableNormal2"/>
    <w:rsid w:val="009D7E06"/>
    <w:tblPr>
      <w:tblStyleRowBandSize w:val="1"/>
      <w:tblStyleColBandSize w:val="1"/>
      <w:tblCellMar>
        <w:left w:w="115" w:type="dxa"/>
        <w:right w:w="115" w:type="dxa"/>
      </w:tblCellMar>
    </w:tblPr>
  </w:style>
  <w:style w:type="table" w:customStyle="1" w:styleId="11">
    <w:name w:val="11"/>
    <w:basedOn w:val="TableNormal2"/>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20">
    <w:name w:val="2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14">
    <w:name w:val="14"/>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0">
    <w:name w:val="10"/>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9">
    <w:name w:val="9"/>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59824.page"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59935.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cufidez.zinacantepec.gob.mx/conac_imcufidez.php" TargetMode="External"/><Relationship Id="rId23" Type="http://schemas.openxmlformats.org/officeDocument/2006/relationships/fontTable" Target="fontTable.xml"/><Relationship Id="rId10" Type="http://schemas.openxmlformats.org/officeDocument/2006/relationships/hyperlink" Target="https://saimex.org.mx/saimex/solicitud/downloadAttach/1959934.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mcufidez.zinacantepec.gob.mx/conac_imcufidez.php" TargetMode="External"/><Relationship Id="rId14" Type="http://schemas.openxmlformats.org/officeDocument/2006/relationships/hyperlink" Target="https://imcufidez.zinacantepec.gob.mx/conac_imcufidez.ph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yFNFvOsaaYtuPvbTiSuGPAXew==">CgMxLjAyCGguZ2pkZ3hzMgloLjFmb2I5dGUyCWguMzBqMHpsbDgAciExM2hjeEpZQlR2QXhlRVExYzJ0NWhTZVphbW9zdFFlR24=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11694</Words>
  <Characters>64320</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2024-02-23T16:10:00Z</cp:lastPrinted>
  <dcterms:created xsi:type="dcterms:W3CDTF">2024-03-07T17:25:00Z</dcterms:created>
  <dcterms:modified xsi:type="dcterms:W3CDTF">2024-03-07T17:25:00Z</dcterms:modified>
</cp:coreProperties>
</file>