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0C" w:rsidRPr="002C3EC8" w:rsidRDefault="00B8450C" w:rsidP="00B8450C">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160A6F">
        <w:rPr>
          <w:rFonts w:ascii="Palatino Linotype" w:eastAsia="Times New Roman" w:hAnsi="Palatino Linotype" w:cs="Arial"/>
          <w:color w:val="000000"/>
          <w:sz w:val="24"/>
          <w:szCs w:val="24"/>
          <w:lang w:eastAsia="es-MX"/>
        </w:rPr>
        <w:t>seis de noviembre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B8450C" w:rsidRPr="002C3EC8" w:rsidRDefault="00B8450C" w:rsidP="00B8450C">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bookmarkStart w:id="0" w:name="_GoBack"/>
      <w:r w:rsidR="00A85C4F">
        <w:rPr>
          <w:rFonts w:ascii="Palatino Linotype" w:hAnsi="Palatino Linotype" w:cs="Arial"/>
          <w:b/>
          <w:sz w:val="24"/>
        </w:rPr>
        <w:t>0</w:t>
      </w:r>
      <w:r>
        <w:rPr>
          <w:rFonts w:ascii="Palatino Linotype" w:hAnsi="Palatino Linotype" w:cs="Arial"/>
          <w:b/>
          <w:bCs/>
          <w:sz w:val="24"/>
          <w:lang w:eastAsia="es-MX"/>
        </w:rPr>
        <w:t>5855/INFOEM/IP/RR/2024</w:t>
      </w:r>
      <w:bookmarkEnd w:id="0"/>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 xml:space="preserve">por </w:t>
      </w:r>
      <w:r w:rsidR="005C7EAF">
        <w:rPr>
          <w:rFonts w:ascii="Palatino Linotype" w:hAnsi="Palatino Linotype"/>
          <w:sz w:val="24"/>
        </w:rPr>
        <w:t>“</w:t>
      </w:r>
      <w:r w:rsidR="005B7AAA">
        <w:rPr>
          <w:rFonts w:ascii="Palatino Linotype" w:hAnsi="Palatino Linotype"/>
          <w:b/>
          <w:sz w:val="24"/>
        </w:rPr>
        <w:t>XXXXXXXXXXXXXXXXXXXXXX</w:t>
      </w:r>
      <w:r w:rsidR="005C7EAF">
        <w:rPr>
          <w:rFonts w:ascii="Palatino Linotype" w:hAnsi="Palatino Linotype"/>
          <w:b/>
          <w:sz w:val="24"/>
        </w:rPr>
        <w:t>”</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256F6D">
        <w:rPr>
          <w:rFonts w:ascii="Palatino Linotype" w:hAnsi="Palatino Linotype"/>
          <w:b/>
          <w:sz w:val="24"/>
        </w:rPr>
        <w:t>Secretaría de Finanzas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B8450C" w:rsidRPr="002C3EC8" w:rsidRDefault="00B8450C" w:rsidP="00B8450C">
      <w:pPr>
        <w:tabs>
          <w:tab w:val="left" w:pos="1701"/>
        </w:tabs>
        <w:spacing w:before="240" w:line="360" w:lineRule="auto"/>
        <w:jc w:val="both"/>
        <w:rPr>
          <w:rFonts w:ascii="Palatino Linotype" w:hAnsi="Palatino Linotype" w:cs="Arial"/>
          <w:b/>
          <w:sz w:val="24"/>
        </w:rPr>
      </w:pPr>
    </w:p>
    <w:p w:rsidR="00B8450C" w:rsidRPr="002C3EC8" w:rsidRDefault="00B8450C" w:rsidP="00B8450C">
      <w:pPr>
        <w:pStyle w:val="infoemcitas"/>
        <w:jc w:val="center"/>
        <w:rPr>
          <w:b/>
          <w:bCs/>
          <w:i w:val="0"/>
          <w:iCs/>
          <w:sz w:val="28"/>
          <w:szCs w:val="28"/>
        </w:rPr>
      </w:pPr>
      <w:r w:rsidRPr="002C3EC8">
        <w:rPr>
          <w:b/>
          <w:bCs/>
          <w:i w:val="0"/>
          <w:iCs/>
          <w:sz w:val="28"/>
          <w:szCs w:val="28"/>
        </w:rPr>
        <w:t>A N T E C E D E N T E S   D E L   A S U N T O</w:t>
      </w:r>
    </w:p>
    <w:p w:rsidR="00B8450C" w:rsidRPr="002C3EC8" w:rsidRDefault="00B8450C" w:rsidP="00B8450C">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B8450C" w:rsidRPr="00D705FF" w:rsidRDefault="00B8450C" w:rsidP="00B8450C">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b/>
          <w:sz w:val="24"/>
        </w:rPr>
        <w:t>tre</w:t>
      </w:r>
      <w:r w:rsidRPr="00256F6D">
        <w:rPr>
          <w:rFonts w:ascii="Palatino Linotype" w:hAnsi="Palatino Linotype" w:cs="Arial"/>
          <w:b/>
          <w:sz w:val="24"/>
        </w:rPr>
        <w:t>s de septiembre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Pr>
          <w:rFonts w:ascii="Palatino Linotype" w:hAnsi="Palatino Linotype" w:cs="Arial"/>
          <w:b/>
          <w:sz w:val="24"/>
        </w:rPr>
        <w:t>00586/SF/IP/2024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B8450C" w:rsidRPr="001C7F6F" w:rsidRDefault="00B8450C" w:rsidP="00B8450C">
      <w:pPr>
        <w:pStyle w:val="INFOEM"/>
        <w:rPr>
          <w:lang w:val="es-ES_tradnl" w:eastAsia="es-ES"/>
        </w:rPr>
      </w:pPr>
      <w:r w:rsidRPr="00D705FF">
        <w:rPr>
          <w:lang w:val="es-ES_tradnl" w:eastAsia="es-ES"/>
        </w:rPr>
        <w:t>“</w:t>
      </w:r>
      <w:r w:rsidRPr="00B8450C">
        <w:rPr>
          <w:lang w:val="es-ES_tradnl" w:eastAsia="es-ES"/>
        </w:rPr>
        <w:t>Se solicita conocer los cambios de personal que realizo la C. Luz María Cuero Hernández en su Dirección de Área, en su anterior contratación en la Dirección General de Evaluación del Desempeño Institucional, adscrita a la Secretaría de Finanzas, mediante documentales que acrediten dichos movimientos.</w:t>
      </w:r>
      <w:r w:rsidRPr="00D705FF">
        <w:rPr>
          <w:lang w:val="es-ES_tradnl" w:eastAsia="es-ES"/>
        </w:rPr>
        <w:t>” (</w:t>
      </w:r>
      <w:proofErr w:type="gramStart"/>
      <w:r w:rsidRPr="00D705FF">
        <w:rPr>
          <w:lang w:val="es-ES_tradnl" w:eastAsia="es-ES"/>
        </w:rPr>
        <w:t>sic</w:t>
      </w:r>
      <w:proofErr w:type="gramEnd"/>
      <w:r w:rsidRPr="00D705FF">
        <w:rPr>
          <w:lang w:val="es-ES_tradnl" w:eastAsia="es-ES"/>
        </w:rPr>
        <w:t>)</w:t>
      </w:r>
    </w:p>
    <w:p w:rsidR="00B8450C" w:rsidRPr="000D6D97" w:rsidRDefault="00B8450C" w:rsidP="00B8450C">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rsidR="00B8450C" w:rsidRDefault="00B8450C" w:rsidP="00B8450C">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Pr="00256F6D">
        <w:rPr>
          <w:rFonts w:ascii="Palatino Linotype" w:hAnsi="Palatino Linotype" w:cs="Arial"/>
          <w:b/>
          <w:sz w:val="28"/>
        </w:rPr>
        <w:t xml:space="preserve"> </w:t>
      </w:r>
      <w:r>
        <w:rPr>
          <w:rFonts w:ascii="Palatino Linotype" w:hAnsi="Palatino Linotype" w:cs="Arial"/>
          <w:b/>
          <w:sz w:val="28"/>
        </w:rPr>
        <w:t>D</w:t>
      </w:r>
      <w:r>
        <w:rPr>
          <w:rFonts w:ascii="Palatino Linotype" w:hAnsi="Palatino Linotype" w:cs="Arial"/>
          <w:b/>
          <w:sz w:val="28"/>
          <w:szCs w:val="20"/>
        </w:rPr>
        <w:t>e la respuesta a la solicitud de información.</w:t>
      </w:r>
      <w:r>
        <w:rPr>
          <w:rFonts w:ascii="Palatino Linotype" w:hAnsi="Palatino Linotype" w:cs="Arial"/>
          <w:b/>
          <w:sz w:val="28"/>
        </w:rPr>
        <w:t xml:space="preserve"> </w:t>
      </w:r>
    </w:p>
    <w:p w:rsidR="00B8450C" w:rsidRPr="00256F6D" w:rsidRDefault="00B8450C" w:rsidP="00B8450C">
      <w:pPr>
        <w:spacing w:before="240" w:line="360" w:lineRule="auto"/>
        <w:jc w:val="both"/>
        <w:rPr>
          <w:rFonts w:ascii="Palatino Linotype" w:hAnsi="Palatino Linotype" w:cs="Arial"/>
          <w:sz w:val="24"/>
        </w:rPr>
      </w:pPr>
      <w:r w:rsidRPr="00256F6D">
        <w:rPr>
          <w:rFonts w:ascii="Palatino Linotype" w:hAnsi="Palatino Linotype"/>
          <w:sz w:val="24"/>
        </w:rPr>
        <w:t xml:space="preserve">De las constancias que obran en el expediente electrónico, se advierte que el </w:t>
      </w:r>
      <w:r w:rsidRPr="00256F6D">
        <w:rPr>
          <w:rFonts w:ascii="Palatino Linotype" w:hAnsi="Palatino Linotype" w:cs="Arial"/>
          <w:sz w:val="24"/>
        </w:rPr>
        <w:t xml:space="preserve">día </w:t>
      </w:r>
      <w:r>
        <w:rPr>
          <w:rFonts w:ascii="Palatino Linotype" w:hAnsi="Palatino Linotype" w:cs="Arial"/>
          <w:b/>
          <w:sz w:val="24"/>
        </w:rPr>
        <w:t>veinticinco de septiembre</w:t>
      </w:r>
      <w:r w:rsidRPr="00256F6D">
        <w:rPr>
          <w:rFonts w:ascii="Palatino Linotype" w:hAnsi="Palatino Linotype" w:cs="Arial"/>
          <w:b/>
          <w:sz w:val="24"/>
        </w:rPr>
        <w:t xml:space="preserve"> de dos mil veinticuatro</w:t>
      </w:r>
      <w:r w:rsidRPr="00256F6D">
        <w:rPr>
          <w:rFonts w:ascii="Palatino Linotype" w:hAnsi="Palatino Linotype" w:cs="Arial"/>
          <w:sz w:val="24"/>
        </w:rPr>
        <w:t xml:space="preserve">, el </w:t>
      </w:r>
      <w:r w:rsidRPr="00256F6D">
        <w:rPr>
          <w:rFonts w:ascii="Palatino Linotype" w:hAnsi="Palatino Linotype" w:cs="Arial"/>
          <w:b/>
          <w:sz w:val="24"/>
        </w:rPr>
        <w:t>Sujeto Obligado</w:t>
      </w:r>
      <w:r w:rsidRPr="00256F6D">
        <w:rPr>
          <w:rFonts w:ascii="Palatino Linotype" w:hAnsi="Palatino Linotype" w:cs="Arial"/>
          <w:sz w:val="24"/>
        </w:rPr>
        <w:t xml:space="preserve"> dio respuesta a la solicitud de información en los siguientes términos: </w:t>
      </w:r>
    </w:p>
    <w:p w:rsidR="00B8450C" w:rsidRPr="00B8450C" w:rsidRDefault="00B8450C" w:rsidP="00B8450C">
      <w:pPr>
        <w:spacing w:after="0" w:line="276" w:lineRule="auto"/>
        <w:ind w:left="567" w:right="567"/>
        <w:jc w:val="both"/>
        <w:rPr>
          <w:rFonts w:ascii="Palatino Linotype" w:hAnsi="Palatino Linotype" w:cs="Arial"/>
          <w:i/>
        </w:rPr>
      </w:pPr>
      <w:r>
        <w:rPr>
          <w:rFonts w:ascii="Palatino Linotype" w:hAnsi="Palatino Linotype" w:cs="Arial"/>
          <w:i/>
        </w:rPr>
        <w:t>“</w:t>
      </w:r>
      <w:r w:rsidRPr="00B8450C">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8450C" w:rsidRDefault="00B8450C" w:rsidP="00B8450C">
      <w:pPr>
        <w:spacing w:after="0" w:line="240" w:lineRule="auto"/>
        <w:ind w:left="567" w:right="567"/>
        <w:jc w:val="both"/>
        <w:rPr>
          <w:rFonts w:ascii="Palatino Linotype" w:hAnsi="Palatino Linotype" w:cs="Arial"/>
          <w:i/>
        </w:rPr>
      </w:pPr>
      <w:r w:rsidRPr="00B8450C">
        <w:rPr>
          <w:rFonts w:ascii="Palatino Linotype" w:hAnsi="Palatino Linotype" w:cs="Arial"/>
          <w:i/>
        </w:rPr>
        <w:t xml:space="preserve">Sobre el particular, sírvase encontrar en archivo adjunto copia del oficio de notificación número 20700004S/UT-1793/2024, mediante el cual se detalla lo referente a su solicitud. </w:t>
      </w:r>
      <w:r w:rsidRPr="00667998">
        <w:rPr>
          <w:rFonts w:ascii="Palatino Linotype" w:hAnsi="Palatino Linotype" w:cs="Arial"/>
          <w:i/>
        </w:rPr>
        <w:t>“(Sic).</w:t>
      </w:r>
    </w:p>
    <w:p w:rsidR="00B8450C" w:rsidRDefault="00B8450C" w:rsidP="00B8450C">
      <w:pPr>
        <w:spacing w:after="0" w:line="360" w:lineRule="auto"/>
        <w:ind w:right="567"/>
        <w:jc w:val="both"/>
        <w:rPr>
          <w:rFonts w:ascii="Palatino Linotype" w:hAnsi="Palatino Linotype" w:cs="Arial"/>
          <w:sz w:val="24"/>
        </w:rPr>
      </w:pPr>
    </w:p>
    <w:p w:rsidR="00B8450C" w:rsidRDefault="00B8450C" w:rsidP="000D6D97">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adjuntó los archivos electrónicos denominados “</w:t>
      </w:r>
      <w:r w:rsidRPr="00B8450C">
        <w:rPr>
          <w:rFonts w:ascii="Palatino Linotype" w:hAnsi="Palatino Linotype" w:cs="Arial"/>
          <w:b/>
          <w:i/>
          <w:sz w:val="24"/>
        </w:rPr>
        <w:t>00586 SSPYP.pdf</w:t>
      </w:r>
      <w:r>
        <w:rPr>
          <w:rFonts w:ascii="Palatino Linotype" w:hAnsi="Palatino Linotype" w:cs="Arial"/>
          <w:b/>
          <w:i/>
          <w:sz w:val="24"/>
        </w:rPr>
        <w:t>” y “</w:t>
      </w:r>
      <w:r w:rsidRPr="00B8450C">
        <w:rPr>
          <w:rFonts w:ascii="Palatino Linotype" w:hAnsi="Palatino Linotype" w:cs="Arial"/>
          <w:b/>
          <w:i/>
          <w:sz w:val="24"/>
        </w:rPr>
        <w:t>00586 SOLICITANTE.pdf</w:t>
      </w:r>
      <w:r>
        <w:rPr>
          <w:rFonts w:ascii="Palatino Linotype" w:hAnsi="Palatino Linotype" w:cs="Arial"/>
          <w:b/>
          <w:i/>
          <w:sz w:val="24"/>
        </w:rPr>
        <w:t xml:space="preserve">”, </w:t>
      </w:r>
      <w:r>
        <w:rPr>
          <w:rFonts w:ascii="Palatino Linotype" w:hAnsi="Palatino Linotype" w:cs="Arial"/>
          <w:sz w:val="24"/>
        </w:rPr>
        <w:t xml:space="preserve">mismos que no se reproducen por ser del conocimiento de las partes, sin embargo, serán materia de estudio en el considerando respectivo. </w:t>
      </w:r>
    </w:p>
    <w:p w:rsidR="000D6D97" w:rsidRPr="000D6D97" w:rsidRDefault="000D6D97" w:rsidP="000D6D97">
      <w:pPr>
        <w:spacing w:after="0" w:line="360" w:lineRule="auto"/>
        <w:jc w:val="both"/>
        <w:rPr>
          <w:rFonts w:ascii="Palatino Linotype" w:hAnsi="Palatino Linotype" w:cs="Arial"/>
          <w:sz w:val="24"/>
        </w:rPr>
      </w:pPr>
    </w:p>
    <w:p w:rsidR="00B8450C" w:rsidRPr="002C3EC8" w:rsidRDefault="00B8450C" w:rsidP="00B8450C">
      <w:pPr>
        <w:pStyle w:val="Sinespaciado"/>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B8450C" w:rsidRDefault="00B8450C" w:rsidP="00B8450C">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veinticinco de septiembre</w:t>
      </w:r>
      <w:r w:rsidRPr="00256F6D">
        <w:rPr>
          <w:rFonts w:ascii="Palatino Linotype" w:hAnsi="Palatino Linotype" w:cs="Arial"/>
          <w:b/>
          <w:sz w:val="24"/>
        </w:rPr>
        <w:t xml:space="preserve"> </w:t>
      </w:r>
      <w:r w:rsidRPr="000D6209">
        <w:rPr>
          <w:rFonts w:ascii="Palatino Linotype" w:hAnsi="Palatino Linotype" w:cs="Arial"/>
          <w:b/>
          <w:sz w:val="24"/>
        </w:rPr>
        <w:t>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A85C4F">
        <w:rPr>
          <w:rFonts w:ascii="Palatino Linotype" w:hAnsi="Palatino Linotype" w:cs="Arial"/>
          <w:b/>
          <w:sz w:val="24"/>
          <w:szCs w:val="24"/>
        </w:rPr>
        <w:t>0</w:t>
      </w:r>
      <w:r>
        <w:rPr>
          <w:rFonts w:ascii="Palatino Linotype" w:hAnsi="Palatino Linotype" w:cs="Arial"/>
          <w:b/>
          <w:sz w:val="24"/>
          <w:szCs w:val="24"/>
        </w:rPr>
        <w:t>5855/INFOEM/IP/RR/2024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B8450C" w:rsidRDefault="00B8450C" w:rsidP="00B8450C">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B8450C" w:rsidRPr="007E4713" w:rsidRDefault="00B8450C" w:rsidP="00B8450C">
      <w:pPr>
        <w:pStyle w:val="Prrafodelista"/>
        <w:spacing w:before="240"/>
        <w:ind w:left="720"/>
        <w:jc w:val="both"/>
        <w:rPr>
          <w:rFonts w:ascii="Palatino Linotype" w:hAnsi="Palatino Linotype" w:cs="Arial"/>
          <w:i/>
        </w:rPr>
      </w:pPr>
      <w:r w:rsidRPr="007E4713">
        <w:rPr>
          <w:rFonts w:ascii="Palatino Linotype" w:hAnsi="Palatino Linotype" w:cs="Arial"/>
          <w:i/>
        </w:rPr>
        <w:lastRenderedPageBreak/>
        <w:t>“</w:t>
      </w:r>
      <w:r w:rsidRPr="00B8450C">
        <w:rPr>
          <w:rFonts w:ascii="Palatino Linotype" w:hAnsi="Palatino Linotype" w:cs="Arial"/>
          <w:i/>
        </w:rPr>
        <w:t>No se proporciona la información completa, se realizaron dos cambios importantes de sus amigos antes de que dejara la dirección, por lo cual se pide se realice la búsqueda exhaustiva tal como refiere la solicitud.</w:t>
      </w:r>
      <w:r>
        <w:rPr>
          <w:rFonts w:ascii="Palatino Linotype" w:hAnsi="Palatino Linotype" w:cs="Arial"/>
          <w:i/>
        </w:rPr>
        <w:t>” (</w:t>
      </w:r>
      <w:proofErr w:type="gramStart"/>
      <w:r>
        <w:rPr>
          <w:rFonts w:ascii="Palatino Linotype" w:hAnsi="Palatino Linotype" w:cs="Arial"/>
          <w:i/>
        </w:rPr>
        <w:t>sic</w:t>
      </w:r>
      <w:proofErr w:type="gramEnd"/>
      <w:r>
        <w:rPr>
          <w:rFonts w:ascii="Palatino Linotype" w:hAnsi="Palatino Linotype" w:cs="Arial"/>
          <w:i/>
        </w:rPr>
        <w:t>)</w:t>
      </w:r>
    </w:p>
    <w:p w:rsidR="00B8450C" w:rsidRPr="0033050B" w:rsidRDefault="00B8450C" w:rsidP="00B8450C">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B8450C" w:rsidRPr="000D6D97" w:rsidRDefault="00B8450C" w:rsidP="000D6D97">
      <w:pPr>
        <w:pStyle w:val="INFOEM"/>
      </w:pPr>
      <w:r>
        <w:t>“</w:t>
      </w:r>
      <w:r w:rsidRPr="00B8450C">
        <w:t>No se proporciona la información completa, se realizaron dos cambios importantes de sus amigos antes de que dejara la dirección, por lo cual se pide se realice la búsqueda exhaustiva tal como refiere la solicitud.</w:t>
      </w:r>
      <w:r>
        <w:rPr>
          <w:rFonts w:cs="Arial"/>
        </w:rPr>
        <w:t>” (</w:t>
      </w:r>
      <w:proofErr w:type="gramStart"/>
      <w:r>
        <w:rPr>
          <w:rFonts w:cs="Arial"/>
        </w:rPr>
        <w:t>sic</w:t>
      </w:r>
      <w:proofErr w:type="gramEnd"/>
      <w:r>
        <w:rPr>
          <w:rFonts w:cs="Arial"/>
        </w:rPr>
        <w:t>)</w:t>
      </w:r>
    </w:p>
    <w:p w:rsidR="00B8450C" w:rsidRPr="002C3EC8" w:rsidRDefault="00B8450C" w:rsidP="00B8450C">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8"/>
        </w:rPr>
        <w:t>.</w:t>
      </w:r>
      <w:r>
        <w:rPr>
          <w:rFonts w:ascii="Palatino Linotype" w:hAnsi="Palatino Linotype" w:cs="Arial"/>
          <w:b/>
          <w:sz w:val="28"/>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B8450C" w:rsidRPr="000D6D97" w:rsidRDefault="00B8450C" w:rsidP="00B8450C">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8300A1">
        <w:rPr>
          <w:rFonts w:ascii="Palatino Linotype" w:hAnsi="Palatino Linotype"/>
          <w:b/>
          <w:sz w:val="24"/>
        </w:rPr>
        <w:t>veintiséis de septiembre</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B8450C" w:rsidRPr="002C5D52" w:rsidRDefault="00B8450C" w:rsidP="00B8450C">
      <w:pPr>
        <w:spacing w:line="360" w:lineRule="auto"/>
        <w:ind w:right="49"/>
        <w:jc w:val="both"/>
        <w:rPr>
          <w:rFonts w:ascii="Palatino Linotype" w:eastAsia="Calibri" w:hAnsi="Palatino Linotype" w:cs="Arial"/>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8300A1" w:rsidRPr="008300A1" w:rsidRDefault="008300A1" w:rsidP="008300A1">
      <w:pPr>
        <w:spacing w:line="360" w:lineRule="auto"/>
        <w:jc w:val="both"/>
        <w:rPr>
          <w:rFonts w:ascii="Palatino Linotype" w:hAnsi="Palatino Linotype"/>
          <w:sz w:val="24"/>
        </w:rPr>
      </w:pPr>
      <w:r w:rsidRPr="008300A1">
        <w:rPr>
          <w:rFonts w:ascii="Palatino Linotype" w:hAnsi="Palatino Linotype" w:cs="Arial"/>
          <w:sz w:val="24"/>
        </w:rPr>
        <w:t xml:space="preserve">De las constancias que obran en el expediente electrónico del SAIMEX, se advierte que el </w:t>
      </w:r>
      <w:r w:rsidRPr="008300A1">
        <w:rPr>
          <w:rFonts w:ascii="Palatino Linotype" w:hAnsi="Palatino Linotype" w:cs="Arial"/>
          <w:b/>
          <w:sz w:val="24"/>
        </w:rPr>
        <w:t>Sujeto Obligado</w:t>
      </w:r>
      <w:r w:rsidRPr="008300A1">
        <w:rPr>
          <w:rFonts w:ascii="Palatino Linotype" w:hAnsi="Palatino Linotype" w:cs="Arial"/>
          <w:sz w:val="24"/>
        </w:rPr>
        <w:t xml:space="preserve"> rindió su informe justificado en fecha </w:t>
      </w:r>
      <w:r w:rsidRPr="008300A1">
        <w:rPr>
          <w:rFonts w:ascii="Palatino Linotype" w:hAnsi="Palatino Linotype" w:cs="Arial"/>
          <w:b/>
          <w:sz w:val="24"/>
        </w:rPr>
        <w:t>nueve de octubre</w:t>
      </w:r>
      <w:r w:rsidRPr="008300A1">
        <w:rPr>
          <w:rFonts w:ascii="Palatino Linotype" w:hAnsi="Palatino Linotype" w:cs="Arial"/>
          <w:sz w:val="24"/>
        </w:rPr>
        <w:t xml:space="preserve"> de dos mil veinticuatro, por medio del archivo electrónico “</w:t>
      </w:r>
      <w:r w:rsidRPr="008300A1">
        <w:rPr>
          <w:rFonts w:ascii="Palatino Linotype" w:hAnsi="Palatino Linotype" w:cs="Arial"/>
          <w:b/>
          <w:i/>
          <w:sz w:val="24"/>
        </w:rPr>
        <w:t>RR 05855-2024 SPP.pdf”</w:t>
      </w:r>
      <w:r>
        <w:rPr>
          <w:rFonts w:ascii="Palatino Linotype" w:hAnsi="Palatino Linotype" w:cs="Arial"/>
          <w:b/>
          <w:i/>
          <w:sz w:val="24"/>
        </w:rPr>
        <w:t xml:space="preserve"> y “</w:t>
      </w:r>
      <w:r w:rsidRPr="008300A1">
        <w:rPr>
          <w:rFonts w:ascii="Palatino Linotype" w:hAnsi="Palatino Linotype" w:cs="Arial"/>
          <w:b/>
          <w:i/>
          <w:sz w:val="24"/>
        </w:rPr>
        <w:t>RR 05855-2024 INFORME JUSTIFICADO.pdf</w:t>
      </w:r>
      <w:r>
        <w:rPr>
          <w:rFonts w:ascii="Palatino Linotype" w:hAnsi="Palatino Linotype" w:cs="Arial"/>
          <w:b/>
          <w:i/>
          <w:sz w:val="24"/>
        </w:rPr>
        <w:t>”</w:t>
      </w:r>
      <w:r w:rsidRPr="008300A1">
        <w:rPr>
          <w:rFonts w:ascii="Palatino Linotype" w:hAnsi="Palatino Linotype" w:cs="Arial"/>
          <w:sz w:val="24"/>
        </w:rPr>
        <w:t xml:space="preserve">, el cual fue puesto a la vista en fecha </w:t>
      </w:r>
      <w:r w:rsidR="00FF07F4">
        <w:rPr>
          <w:rFonts w:ascii="Palatino Linotype" w:hAnsi="Palatino Linotype" w:cs="Arial"/>
          <w:sz w:val="24"/>
        </w:rPr>
        <w:t>dieciocho</w:t>
      </w:r>
      <w:r>
        <w:rPr>
          <w:rFonts w:ascii="Palatino Linotype" w:hAnsi="Palatino Linotype" w:cs="Arial"/>
          <w:sz w:val="24"/>
        </w:rPr>
        <w:t xml:space="preserve"> de octubre </w:t>
      </w:r>
      <w:r w:rsidRPr="008300A1">
        <w:rPr>
          <w:rFonts w:ascii="Palatino Linotype" w:hAnsi="Palatino Linotype" w:cs="Arial"/>
          <w:sz w:val="24"/>
        </w:rPr>
        <w:t>del mismo año</w:t>
      </w:r>
      <w:r w:rsidRPr="008300A1">
        <w:rPr>
          <w:rFonts w:ascii="Palatino Linotype" w:hAnsi="Palatino Linotype" w:cs="Arial"/>
          <w:b/>
          <w:i/>
          <w:sz w:val="24"/>
        </w:rPr>
        <w:t>.</w:t>
      </w:r>
    </w:p>
    <w:p w:rsidR="008300A1" w:rsidRPr="008300A1" w:rsidRDefault="008300A1" w:rsidP="008300A1">
      <w:pPr>
        <w:spacing w:line="360" w:lineRule="auto"/>
        <w:jc w:val="both"/>
        <w:rPr>
          <w:rFonts w:ascii="Palatino Linotype" w:hAnsi="Palatino Linotype"/>
          <w:sz w:val="24"/>
        </w:rPr>
      </w:pPr>
    </w:p>
    <w:p w:rsidR="00B8450C" w:rsidRPr="000D6D97" w:rsidRDefault="008300A1" w:rsidP="00B8450C">
      <w:pPr>
        <w:spacing w:line="360" w:lineRule="auto"/>
        <w:jc w:val="both"/>
        <w:rPr>
          <w:rFonts w:ascii="Palatino Linotype" w:hAnsi="Palatino Linotype" w:cs="Arial"/>
          <w:sz w:val="24"/>
        </w:rPr>
      </w:pPr>
      <w:r w:rsidRPr="008300A1">
        <w:rPr>
          <w:rFonts w:ascii="Palatino Linotype" w:hAnsi="Palatino Linotype" w:cs="Arial"/>
          <w:sz w:val="24"/>
        </w:rPr>
        <w:lastRenderedPageBreak/>
        <w:t xml:space="preserve">Así mismo, se aprecia que no se llevaron a cabo audiencias durante la sustanciación del recurso de revisión, ni se ofrecieron pruebas por parte del </w:t>
      </w:r>
      <w:r w:rsidRPr="008300A1">
        <w:rPr>
          <w:rFonts w:ascii="Palatino Linotype" w:hAnsi="Palatino Linotype" w:cs="Arial"/>
          <w:b/>
          <w:sz w:val="24"/>
        </w:rPr>
        <w:t>Recurrente</w:t>
      </w:r>
      <w:r w:rsidRPr="008300A1">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B8450C" w:rsidRDefault="00B8450C" w:rsidP="00B8450C">
      <w:pPr>
        <w:spacing w:line="360" w:lineRule="auto"/>
        <w:jc w:val="both"/>
        <w:rPr>
          <w:rFonts w:ascii="Palatino Linotype" w:hAnsi="Palatino Linotype" w:cs="Arial"/>
          <w:b/>
          <w:sz w:val="28"/>
          <w:szCs w:val="28"/>
        </w:rPr>
      </w:pPr>
      <w:r>
        <w:rPr>
          <w:rFonts w:ascii="Palatino Linotype" w:eastAsia="Calibri" w:hAnsi="Palatino Linotype" w:cs="Arial"/>
          <w:b/>
          <w:sz w:val="28"/>
          <w:szCs w:val="28"/>
        </w:rPr>
        <w:t>SEXTO</w:t>
      </w:r>
      <w:r w:rsidRPr="00E3454E">
        <w:rPr>
          <w:rFonts w:ascii="Palatino Linotype" w:eastAsia="Calibri" w:hAnsi="Palatino Linotype" w:cs="Arial"/>
          <w:b/>
          <w:sz w:val="28"/>
          <w:szCs w:val="28"/>
        </w:rPr>
        <w:t xml:space="preserve">. </w:t>
      </w:r>
      <w:r w:rsidRPr="002C3EC8">
        <w:rPr>
          <w:rFonts w:ascii="Palatino Linotype" w:hAnsi="Palatino Linotype" w:cs="Arial"/>
          <w:b/>
          <w:sz w:val="28"/>
          <w:szCs w:val="28"/>
        </w:rPr>
        <w:t>Del Cierre de Instrucción.</w:t>
      </w:r>
    </w:p>
    <w:p w:rsidR="00B8450C" w:rsidRPr="00256F6D" w:rsidRDefault="00B8450C" w:rsidP="00B8450C">
      <w:pPr>
        <w:spacing w:line="360" w:lineRule="auto"/>
        <w:jc w:val="both"/>
        <w:rPr>
          <w:rFonts w:ascii="Palatino Linotype" w:eastAsia="Calibri" w:hAnsi="Palatino Linotype" w:cs="Arial"/>
          <w:sz w:val="24"/>
        </w:rPr>
      </w:pPr>
      <w:r w:rsidRPr="00256F6D">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56F6D">
        <w:rPr>
          <w:rFonts w:ascii="Palatino Linotype" w:eastAsia="Calibri" w:hAnsi="Palatino Linotype" w:cs="Arial"/>
          <w:b/>
          <w:sz w:val="24"/>
        </w:rPr>
        <w:t>cierre de instrucción</w:t>
      </w:r>
      <w:r w:rsidRPr="00256F6D">
        <w:rPr>
          <w:rFonts w:ascii="Palatino Linotype" w:eastAsia="Calibri" w:hAnsi="Palatino Linotype" w:cs="Arial"/>
          <w:sz w:val="24"/>
        </w:rPr>
        <w:t xml:space="preserve"> en fecha </w:t>
      </w:r>
      <w:r w:rsidR="00FF07F4">
        <w:rPr>
          <w:rFonts w:ascii="Palatino Linotype" w:eastAsia="Calibri" w:hAnsi="Palatino Linotype" w:cs="Arial"/>
          <w:b/>
          <w:sz w:val="24"/>
        </w:rPr>
        <w:t>veinticuatro</w:t>
      </w:r>
      <w:r>
        <w:rPr>
          <w:rFonts w:ascii="Palatino Linotype" w:eastAsia="Calibri" w:hAnsi="Palatino Linotype" w:cs="Arial"/>
          <w:b/>
          <w:sz w:val="24"/>
        </w:rPr>
        <w:t xml:space="preserve"> de octubre</w:t>
      </w:r>
      <w:r w:rsidRPr="00256F6D">
        <w:rPr>
          <w:rFonts w:ascii="Palatino Linotype" w:eastAsia="Calibri" w:hAnsi="Palatino Linotype" w:cs="Arial"/>
          <w:b/>
          <w:sz w:val="24"/>
        </w:rPr>
        <w:t xml:space="preserve"> de dos mil veinticuatro</w:t>
      </w:r>
      <w:r w:rsidRPr="00256F6D">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rsidR="00B8450C" w:rsidRDefault="00B8450C" w:rsidP="00B8450C">
      <w:pPr>
        <w:spacing w:before="240" w:line="360" w:lineRule="auto"/>
        <w:rPr>
          <w:rFonts w:ascii="Palatino Linotype" w:hAnsi="Palatino Linotype" w:cs="Arial"/>
          <w:b/>
          <w:sz w:val="28"/>
        </w:rPr>
      </w:pPr>
    </w:p>
    <w:p w:rsidR="00B8450C" w:rsidRPr="002C3EC8" w:rsidRDefault="00B8450C" w:rsidP="00B8450C">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B8450C" w:rsidRPr="002C3EC8" w:rsidRDefault="00B8450C" w:rsidP="00B8450C">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B8450C" w:rsidRPr="000D6D97" w:rsidRDefault="00B8450C" w:rsidP="00B8450C">
      <w:pPr>
        <w:spacing w:before="240" w:line="360" w:lineRule="auto"/>
        <w:jc w:val="both"/>
        <w:rPr>
          <w:rFonts w:ascii="Palatino Linotype" w:eastAsia="Calibri" w:hAnsi="Palatino Linotype" w:cs="Arial"/>
          <w:color w:val="000000" w:themeColor="text1"/>
          <w:sz w:val="24"/>
        </w:rPr>
      </w:pPr>
      <w:r w:rsidRPr="00DC782A">
        <w:rPr>
          <w:rFonts w:ascii="Palatino Linotype" w:hAnsi="Palatino Linotype" w:cs="Arial"/>
          <w:sz w:val="24"/>
        </w:rPr>
        <w:t xml:space="preserve">Este Instituto de Transparencia, Acceso a la Información Pública y Protección de Datos Personales del Estado de México, es competente para conocer y resolver el presente recurso de revisión interpuesto por </w:t>
      </w:r>
      <w:r w:rsidRPr="00DC782A">
        <w:rPr>
          <w:rFonts w:ascii="Palatino Linotype" w:hAnsi="Palatino Linotype" w:cs="Arial"/>
          <w:b/>
          <w:sz w:val="24"/>
        </w:rPr>
        <w:t xml:space="preserve">la parte recurrente </w:t>
      </w:r>
      <w:r w:rsidRPr="00DC782A">
        <w:rPr>
          <w:rFonts w:ascii="Palatino Linotype" w:hAnsi="Palatino Linotype" w:cs="Arial"/>
          <w:sz w:val="24"/>
        </w:rPr>
        <w:t xml:space="preserve">conforme a lo dispuesto en los artículos </w:t>
      </w:r>
      <w:r w:rsidRPr="00DC782A">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w:t>
      </w:r>
      <w:r w:rsidRPr="00DC782A">
        <w:rPr>
          <w:rFonts w:ascii="Palatino Linotype" w:eastAsia="Calibri" w:hAnsi="Palatino Linotype"/>
          <w:color w:val="000000" w:themeColor="text1"/>
          <w:sz w:val="24"/>
        </w:rPr>
        <w:lastRenderedPageBreak/>
        <w:t xml:space="preserve">13, 29, 36 fracciones I y II, 176, 178, 179, 181 párrafo tercero y 185 </w:t>
      </w:r>
      <w:r w:rsidRPr="00DC782A">
        <w:rPr>
          <w:rFonts w:ascii="Palatino Linotype" w:eastAsia="Calibri" w:hAnsi="Palatino Linotype" w:cs="Arial"/>
          <w:color w:val="000000" w:themeColor="text1"/>
          <w:sz w:val="24"/>
        </w:rPr>
        <w:t xml:space="preserve">de la Ley de Transparencia y Acceso a la Información Pública del Estado de México y Municipios; y </w:t>
      </w:r>
      <w:r w:rsidRPr="00DC782A">
        <w:rPr>
          <w:rFonts w:ascii="Palatino Linotype" w:hAnsi="Palatino Linotype"/>
          <w:sz w:val="24"/>
        </w:rPr>
        <w:t>6, 9 fracciones I y XXIII</w:t>
      </w:r>
      <w:r w:rsidRPr="00DC782A">
        <w:rPr>
          <w:rFonts w:ascii="Palatino Linotype" w:eastAsia="Calibri" w:hAnsi="Palatino Linotype" w:cs="Arial"/>
          <w:color w:val="000000" w:themeColor="text1"/>
          <w:sz w:val="24"/>
        </w:rPr>
        <w:t>, y 11 del Reglamento Interior del Instituto de Transparencia, Acceso a la Información Pública y Protección de Datos Personales del Estado de México y Municipios.</w:t>
      </w:r>
    </w:p>
    <w:p w:rsidR="00B8450C" w:rsidRPr="002C3EC8" w:rsidRDefault="00B8450C" w:rsidP="00B8450C">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8300A1" w:rsidRPr="008300A1" w:rsidRDefault="00B8450C" w:rsidP="00B8450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B8450C" w:rsidRPr="002C3EC8" w:rsidRDefault="00B8450C" w:rsidP="00B8450C">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B8450C" w:rsidRPr="002C3EC8" w:rsidRDefault="00B8450C" w:rsidP="00B8450C">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B8450C" w:rsidRPr="002C3EC8" w:rsidRDefault="00B8450C" w:rsidP="00B8450C">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B8450C" w:rsidRDefault="00B8450C" w:rsidP="00B8450C">
      <w:pPr>
        <w:tabs>
          <w:tab w:val="left" w:pos="709"/>
        </w:tabs>
        <w:spacing w:before="240" w:line="360" w:lineRule="auto"/>
        <w:ind w:right="51"/>
        <w:jc w:val="both"/>
        <w:rPr>
          <w:rFonts w:ascii="Palatino Linotype" w:hAnsi="Palatino Linotype"/>
          <w:b/>
          <w:sz w:val="28"/>
          <w:szCs w:val="28"/>
        </w:rPr>
      </w:pPr>
    </w:p>
    <w:p w:rsidR="00B8450C" w:rsidRPr="002C3EC8" w:rsidRDefault="00B8450C" w:rsidP="00B8450C">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B8450C" w:rsidRPr="007379EE" w:rsidRDefault="00B8450C" w:rsidP="00B8450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473DD1" w:rsidRDefault="00473DD1" w:rsidP="00B8450C">
      <w:pPr>
        <w:autoSpaceDE w:val="0"/>
        <w:autoSpaceDN w:val="0"/>
        <w:adjustRightInd w:val="0"/>
        <w:ind w:right="567"/>
        <w:rPr>
          <w:rFonts w:ascii="Palatino Linotype" w:eastAsia="Calibri" w:hAnsi="Palatino Linotype" w:cs="Arial"/>
        </w:rPr>
      </w:pPr>
    </w:p>
    <w:p w:rsidR="00B8450C" w:rsidRPr="000D6D97" w:rsidRDefault="00473DD1" w:rsidP="00473DD1">
      <w:pPr>
        <w:autoSpaceDE w:val="0"/>
        <w:autoSpaceDN w:val="0"/>
        <w:adjustRightInd w:val="0"/>
        <w:spacing w:line="360" w:lineRule="auto"/>
        <w:ind w:right="567"/>
        <w:jc w:val="both"/>
        <w:rPr>
          <w:rFonts w:ascii="Palatino Linotype" w:eastAsia="Calibri" w:hAnsi="Palatino Linotype" w:cs="Arial"/>
          <w:sz w:val="24"/>
        </w:rPr>
      </w:pPr>
      <w:r w:rsidRPr="000D6D97">
        <w:rPr>
          <w:rFonts w:ascii="Palatino Linotype" w:eastAsia="Calibri" w:hAnsi="Palatino Linotype" w:cs="Arial"/>
          <w:sz w:val="24"/>
        </w:rPr>
        <w:t>La Ley de Transparencia y Acceso a la Información Pública del Estado de México, establece en el artículo 179 los supuestos en los que procede el recurso de revisión.</w:t>
      </w:r>
    </w:p>
    <w:p w:rsidR="00473DD1" w:rsidRPr="000D6D97" w:rsidRDefault="00473DD1" w:rsidP="00473DD1">
      <w:pPr>
        <w:pStyle w:val="INFOEM"/>
        <w:spacing w:line="240" w:lineRule="auto"/>
      </w:pPr>
      <w:r w:rsidRPr="000D6D97">
        <w:t xml:space="preserve">Artículo 179. El recurso de revisión es un medio de protección que la Ley otorga a los particulares, para hacer valer su derecho de acceso a la información pública, y procederá en contra de las siguientes causas: </w:t>
      </w:r>
    </w:p>
    <w:p w:rsidR="00473DD1" w:rsidRPr="000D6D97" w:rsidRDefault="00473DD1" w:rsidP="00473DD1">
      <w:pPr>
        <w:pStyle w:val="INFOEM"/>
        <w:numPr>
          <w:ilvl w:val="0"/>
          <w:numId w:val="10"/>
        </w:numPr>
        <w:spacing w:line="240" w:lineRule="auto"/>
        <w:rPr>
          <w:b/>
        </w:rPr>
      </w:pPr>
      <w:r w:rsidRPr="000D6D97">
        <w:rPr>
          <w:b/>
        </w:rPr>
        <w:t xml:space="preserve">La negativa a la información solicitada; </w:t>
      </w:r>
    </w:p>
    <w:p w:rsidR="00473DD1" w:rsidRPr="000D6D97" w:rsidRDefault="00473DD1" w:rsidP="00473DD1">
      <w:pPr>
        <w:pStyle w:val="INFOEM"/>
        <w:numPr>
          <w:ilvl w:val="0"/>
          <w:numId w:val="10"/>
        </w:numPr>
        <w:spacing w:line="240" w:lineRule="auto"/>
      </w:pPr>
      <w:r w:rsidRPr="000D6D97">
        <w:t xml:space="preserve">La clasificación de la información; </w:t>
      </w:r>
    </w:p>
    <w:p w:rsidR="00473DD1" w:rsidRPr="000D6D97" w:rsidRDefault="00473DD1" w:rsidP="00473DD1">
      <w:pPr>
        <w:pStyle w:val="INFOEM"/>
        <w:numPr>
          <w:ilvl w:val="0"/>
          <w:numId w:val="10"/>
        </w:numPr>
        <w:spacing w:line="240" w:lineRule="auto"/>
      </w:pPr>
      <w:r w:rsidRPr="000D6D97">
        <w:t>La declaración de inexistencia de la información;</w:t>
      </w:r>
    </w:p>
    <w:p w:rsidR="00473DD1" w:rsidRPr="000D6D97" w:rsidRDefault="00473DD1" w:rsidP="00473DD1">
      <w:pPr>
        <w:pStyle w:val="INFOEM"/>
        <w:numPr>
          <w:ilvl w:val="0"/>
          <w:numId w:val="10"/>
        </w:numPr>
        <w:spacing w:line="240" w:lineRule="auto"/>
      </w:pPr>
      <w:r w:rsidRPr="000D6D97">
        <w:t xml:space="preserve">La declaración de incompetencia por el sujeto obligado; </w:t>
      </w:r>
    </w:p>
    <w:p w:rsidR="00473DD1" w:rsidRPr="000D6D97" w:rsidRDefault="00473DD1" w:rsidP="00473DD1">
      <w:pPr>
        <w:pStyle w:val="INFOEM"/>
        <w:numPr>
          <w:ilvl w:val="0"/>
          <w:numId w:val="10"/>
        </w:numPr>
        <w:spacing w:line="240" w:lineRule="auto"/>
      </w:pPr>
      <w:r w:rsidRPr="000D6D97">
        <w:t xml:space="preserve">La entrega de información incompleta; </w:t>
      </w:r>
    </w:p>
    <w:p w:rsidR="00473DD1" w:rsidRPr="000D6D97" w:rsidRDefault="00473DD1" w:rsidP="00473DD1">
      <w:pPr>
        <w:pStyle w:val="INFOEM"/>
        <w:numPr>
          <w:ilvl w:val="0"/>
          <w:numId w:val="10"/>
        </w:numPr>
        <w:spacing w:line="240" w:lineRule="auto"/>
      </w:pPr>
      <w:r w:rsidRPr="000D6D97">
        <w:t xml:space="preserve">La entrega de información que no corresponda con lo solicitado; </w:t>
      </w:r>
    </w:p>
    <w:p w:rsidR="00473DD1" w:rsidRPr="000D6D97" w:rsidRDefault="00473DD1" w:rsidP="00473DD1">
      <w:pPr>
        <w:pStyle w:val="INFOEM"/>
        <w:numPr>
          <w:ilvl w:val="0"/>
          <w:numId w:val="10"/>
        </w:numPr>
        <w:spacing w:line="240" w:lineRule="auto"/>
      </w:pPr>
      <w:r w:rsidRPr="000D6D97">
        <w:t xml:space="preserve">La falta de respuesta a una solicitud de acceso a la información; </w:t>
      </w:r>
    </w:p>
    <w:p w:rsidR="00473DD1" w:rsidRPr="000D6D97" w:rsidRDefault="00473DD1" w:rsidP="00473DD1">
      <w:pPr>
        <w:pStyle w:val="INFOEM"/>
        <w:numPr>
          <w:ilvl w:val="0"/>
          <w:numId w:val="10"/>
        </w:numPr>
        <w:spacing w:line="240" w:lineRule="auto"/>
      </w:pPr>
      <w:r w:rsidRPr="000D6D97">
        <w:lastRenderedPageBreak/>
        <w:t xml:space="preserve">La notificación, entrega o puesta a disposición de información en una modalidad o formato distinto al solicitado; </w:t>
      </w:r>
    </w:p>
    <w:p w:rsidR="00473DD1" w:rsidRPr="000D6D97" w:rsidRDefault="00473DD1" w:rsidP="00473DD1">
      <w:pPr>
        <w:pStyle w:val="INFOEM"/>
        <w:numPr>
          <w:ilvl w:val="0"/>
          <w:numId w:val="10"/>
        </w:numPr>
        <w:spacing w:line="240" w:lineRule="auto"/>
      </w:pPr>
      <w:r w:rsidRPr="000D6D97">
        <w:t xml:space="preserve">La entrega o puesta a disposición de información en un formato incomprensible y/o no accesible para el solicitante; X. Los costos o tiempos de entrega de la información; </w:t>
      </w:r>
    </w:p>
    <w:p w:rsidR="00473DD1" w:rsidRPr="000D6D97" w:rsidRDefault="00473DD1" w:rsidP="00473DD1">
      <w:pPr>
        <w:pStyle w:val="INFOEM"/>
        <w:numPr>
          <w:ilvl w:val="0"/>
          <w:numId w:val="10"/>
        </w:numPr>
        <w:spacing w:line="240" w:lineRule="auto"/>
      </w:pPr>
      <w:r w:rsidRPr="000D6D97">
        <w:t xml:space="preserve">La falta de trámite a una solicitud; </w:t>
      </w:r>
    </w:p>
    <w:p w:rsidR="00473DD1" w:rsidRPr="000D6D97" w:rsidRDefault="00473DD1" w:rsidP="00473DD1">
      <w:pPr>
        <w:pStyle w:val="INFOEM"/>
        <w:numPr>
          <w:ilvl w:val="0"/>
          <w:numId w:val="10"/>
        </w:numPr>
        <w:spacing w:line="240" w:lineRule="auto"/>
      </w:pPr>
      <w:r w:rsidRPr="000D6D97">
        <w:t xml:space="preserve">La negativa a permitir la consulta directa de la información; </w:t>
      </w:r>
    </w:p>
    <w:p w:rsidR="00473DD1" w:rsidRPr="000D6D97" w:rsidRDefault="00473DD1" w:rsidP="00473DD1">
      <w:pPr>
        <w:pStyle w:val="INFOEM"/>
        <w:numPr>
          <w:ilvl w:val="0"/>
          <w:numId w:val="10"/>
        </w:numPr>
        <w:spacing w:line="240" w:lineRule="auto"/>
      </w:pPr>
      <w:r w:rsidRPr="000D6D97">
        <w:t xml:space="preserve">La falta, deficiencia o insuficiencia de la fundamentación y/o motivación en la respuesta; y </w:t>
      </w:r>
    </w:p>
    <w:p w:rsidR="00473DD1" w:rsidRPr="000D6D97" w:rsidRDefault="00473DD1" w:rsidP="00473DD1">
      <w:pPr>
        <w:pStyle w:val="INFOEM"/>
        <w:numPr>
          <w:ilvl w:val="0"/>
          <w:numId w:val="10"/>
        </w:numPr>
        <w:spacing w:line="240" w:lineRule="auto"/>
      </w:pPr>
      <w:r w:rsidRPr="000D6D97">
        <w:t>La orientación a un trámite específico.</w:t>
      </w:r>
    </w:p>
    <w:p w:rsidR="00473DD1" w:rsidRDefault="00473DD1" w:rsidP="00B8450C">
      <w:pPr>
        <w:autoSpaceDE w:val="0"/>
        <w:autoSpaceDN w:val="0"/>
        <w:adjustRightInd w:val="0"/>
        <w:ind w:right="567"/>
        <w:rPr>
          <w:rFonts w:ascii="Palatino Linotype" w:eastAsia="Calibri" w:hAnsi="Palatino Linotype" w:cs="Arial"/>
        </w:rPr>
      </w:pPr>
    </w:p>
    <w:p w:rsidR="00473DD1" w:rsidRDefault="00473DD1" w:rsidP="00B8450C">
      <w:pPr>
        <w:autoSpaceDE w:val="0"/>
        <w:autoSpaceDN w:val="0"/>
        <w:adjustRightInd w:val="0"/>
        <w:ind w:right="567"/>
        <w:rPr>
          <w:rFonts w:ascii="Palatino Linotype" w:eastAsia="Calibri" w:hAnsi="Palatino Linotype" w:cs="Arial"/>
        </w:rPr>
      </w:pPr>
    </w:p>
    <w:p w:rsidR="00B8450C" w:rsidRPr="00A779C7" w:rsidRDefault="00B8450C" w:rsidP="00B8450C">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B8450C" w:rsidRPr="002952BC" w:rsidRDefault="008300A1" w:rsidP="008300A1">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L</w:t>
      </w:r>
      <w:r w:rsidRPr="008300A1">
        <w:rPr>
          <w:rFonts w:ascii="Palatino Linotype" w:hAnsi="Palatino Linotype" w:cs="Tahoma"/>
          <w:bCs/>
        </w:rPr>
        <w:t>os cambios de personal que realizo la C. Luz María Cuero Hernández en su Dirección de Área, en su anterior contratación en la Dirección General de Evaluación del Desempeño Institucional, adscrita a la Secretaría de Finanzas, mediante documentales q</w:t>
      </w:r>
      <w:r>
        <w:rPr>
          <w:rFonts w:ascii="Palatino Linotype" w:hAnsi="Palatino Linotype" w:cs="Tahoma"/>
          <w:bCs/>
        </w:rPr>
        <w:t>ue acrediten dichos movimientos</w:t>
      </w:r>
      <w:r w:rsidR="00B8450C">
        <w:rPr>
          <w:rFonts w:ascii="Palatino Linotype" w:hAnsi="Palatino Linotype" w:cs="Tahoma"/>
          <w:bCs/>
        </w:rPr>
        <w:t xml:space="preserve">. </w:t>
      </w:r>
    </w:p>
    <w:p w:rsidR="00B8450C" w:rsidRDefault="00B8450C" w:rsidP="00B8450C">
      <w:pPr>
        <w:tabs>
          <w:tab w:val="left" w:pos="1828"/>
        </w:tabs>
        <w:spacing w:before="240" w:line="360" w:lineRule="auto"/>
        <w:jc w:val="both"/>
        <w:rPr>
          <w:rFonts w:ascii="Palatino Linotype" w:hAnsi="Palatino Linotype" w:cs="Arial"/>
          <w:sz w:val="24"/>
        </w:rPr>
      </w:pPr>
    </w:p>
    <w:p w:rsidR="00B8450C" w:rsidRDefault="00B8450C" w:rsidP="00B8450C">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Pr>
          <w:rFonts w:ascii="Palatino Linotype" w:hAnsi="Palatino Linotype" w:cs="Arial"/>
          <w:b/>
          <w:sz w:val="24"/>
        </w:rPr>
        <w:t>00586/SF/IP/2024</w:t>
      </w:r>
      <w:r w:rsidRPr="00806096">
        <w:rPr>
          <w:rFonts w:ascii="Palatino Linotype" w:hAnsi="Palatino Linotype" w:cs="Arial"/>
          <w:b/>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rsidR="008300A1" w:rsidRPr="00CA03C5" w:rsidRDefault="008300A1" w:rsidP="008300A1">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8300A1">
        <w:rPr>
          <w:rFonts w:ascii="Palatino Linotype" w:eastAsia="Palatino Linotype" w:hAnsi="Palatino Linotype" w:cs="Palatino Linotype"/>
          <w:b/>
          <w:i/>
          <w:color w:val="000000"/>
        </w:rPr>
        <w:lastRenderedPageBreak/>
        <w:t>00586 SSPYP.pdf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 xml:space="preserve">constante de una foja,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contiene el oficio número 20704000020000S/400/2024, de fecha dieciocho de</w:t>
      </w:r>
      <w:r w:rsidR="00CA03C5">
        <w:rPr>
          <w:rFonts w:ascii="Palatino Linotype" w:eastAsia="Palatino Linotype" w:hAnsi="Palatino Linotype" w:cs="Palatino Linotype"/>
          <w:color w:val="000000"/>
        </w:rPr>
        <w:t xml:space="preserve"> septiembre de dos mil veinticuatro, firmado por el Servidor Público Habilitado Suplente de la Subsecretaría de Planeación y Presupuesto, en el que refiere lo siguiente:</w:t>
      </w:r>
    </w:p>
    <w:p w:rsidR="00623507" w:rsidRDefault="00623507" w:rsidP="00623507">
      <w:pPr>
        <w:pStyle w:val="INFOEM"/>
      </w:pPr>
      <w:r>
        <w:t xml:space="preserve">“… le informo que </w:t>
      </w:r>
      <w:r w:rsidRPr="00A76FF8">
        <w:rPr>
          <w:b/>
        </w:rPr>
        <w:t>no se localizó documentación relacionada con cambios de personal que haya realizado la C. Luz María Cuero Hernández, por no corresponder a sus funciones</w:t>
      </w:r>
      <w:r>
        <w:t xml:space="preserve"> establecidas tanto en el Reglamento Interno de la Secretaría de Finanzas como en el Manual General de Organización de la misma. </w:t>
      </w:r>
    </w:p>
    <w:p w:rsidR="00623507" w:rsidRPr="00CA03C5" w:rsidRDefault="00623507" w:rsidP="00623507">
      <w:pPr>
        <w:pStyle w:val="INFOEM"/>
      </w:pPr>
      <w:r>
        <w:t>(…)” (Sic)</w:t>
      </w:r>
    </w:p>
    <w:p w:rsidR="00B8450C" w:rsidRPr="003A48AB" w:rsidRDefault="008300A1" w:rsidP="008300A1">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8300A1">
        <w:rPr>
          <w:rFonts w:ascii="Palatino Linotype" w:eastAsia="Palatino Linotype" w:hAnsi="Palatino Linotype" w:cs="Palatino Linotype"/>
          <w:b/>
          <w:i/>
          <w:color w:val="000000"/>
        </w:rPr>
        <w:t>00586 SOLICITANTE.pdf</w:t>
      </w:r>
      <w:r w:rsidR="00B8450C">
        <w:rPr>
          <w:rFonts w:ascii="Palatino Linotype" w:eastAsia="Palatino Linotype" w:hAnsi="Palatino Linotype" w:cs="Palatino Linotype"/>
          <w:b/>
          <w:i/>
          <w:color w:val="000000"/>
        </w:rPr>
        <w:t xml:space="preserve">: </w:t>
      </w:r>
      <w:r w:rsidR="00A76FF8">
        <w:rPr>
          <w:rFonts w:ascii="Palatino Linotype" w:eastAsia="Palatino Linotype" w:hAnsi="Palatino Linotype" w:cs="Palatino Linotype"/>
          <w:color w:val="000000"/>
        </w:rPr>
        <w:t xml:space="preserve">constante de una foja, en formato </w:t>
      </w:r>
      <w:proofErr w:type="spellStart"/>
      <w:r w:rsidR="00A76FF8">
        <w:rPr>
          <w:rFonts w:ascii="Palatino Linotype" w:eastAsia="Palatino Linotype" w:hAnsi="Palatino Linotype" w:cs="Palatino Linotype"/>
          <w:color w:val="000000"/>
        </w:rPr>
        <w:t>pdf</w:t>
      </w:r>
      <w:proofErr w:type="spellEnd"/>
      <w:r w:rsidR="00A76FF8">
        <w:rPr>
          <w:rFonts w:ascii="Palatino Linotype" w:eastAsia="Palatino Linotype" w:hAnsi="Palatino Linotype" w:cs="Palatino Linotype"/>
          <w:color w:val="000000"/>
        </w:rPr>
        <w:t>, contiene el oficio número 20700004S/UT.1793/2024, de fecha veintitrés de septiembre de dos mil veinticuatro, firmado por el Jefe de la UIPPE y Titular de la Unidad de Transparencia, en el que sustancialmente notifica respuesta al solicitante.</w:t>
      </w:r>
    </w:p>
    <w:p w:rsidR="00B8450C" w:rsidRPr="001D602A" w:rsidRDefault="00B8450C" w:rsidP="00B8450C">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rsidR="00B8450C" w:rsidRDefault="00B8450C" w:rsidP="00B8450C">
      <w:pPr>
        <w:pBdr>
          <w:top w:val="nil"/>
          <w:left w:val="nil"/>
          <w:bottom w:val="nil"/>
          <w:right w:val="nil"/>
          <w:between w:val="nil"/>
        </w:pBdr>
        <w:spacing w:line="360" w:lineRule="auto"/>
        <w:contextualSpacing/>
        <w:jc w:val="both"/>
        <w:rPr>
          <w:rFonts w:eastAsia="Palatino Linotype" w:cs="Palatino Linotype"/>
          <w:color w:val="000000"/>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 xml:space="preserve">razones o motivos de inconformidad </w:t>
      </w:r>
      <w:r w:rsidRPr="0047562A">
        <w:rPr>
          <w:rFonts w:ascii="Palatino Linotype" w:hAnsi="Palatino Linotype"/>
          <w:i/>
        </w:rPr>
        <w:t>“</w:t>
      </w:r>
      <w:r w:rsidR="00A76FF8" w:rsidRPr="00A76FF8">
        <w:rPr>
          <w:rFonts w:ascii="Palatino Linotype" w:hAnsi="Palatino Linotype"/>
          <w:i/>
        </w:rPr>
        <w:t>No se proporciona la información completa, se realizaron dos cambios importantes de sus amigos antes de que dejara la dirección, por lo cual se pide se realice la búsqueda exhaustiva tal como refiere la solicitud.</w:t>
      </w:r>
      <w:r w:rsidRPr="0047562A">
        <w:rPr>
          <w:rFonts w:ascii="Palatino Linotype" w:hAnsi="Palatino Linotype"/>
          <w:i/>
        </w:rPr>
        <w:t>” (Sic)</w:t>
      </w:r>
      <w:r w:rsidRPr="0047562A">
        <w:rPr>
          <w:rFonts w:ascii="Palatino Linotype" w:hAnsi="Palatino Linotype" w:cs="Arial"/>
          <w:bCs/>
          <w:i/>
        </w:rPr>
        <w:t>.</w:t>
      </w:r>
      <w:r w:rsidRPr="00142AE4">
        <w:rPr>
          <w:rFonts w:cs="Arial"/>
          <w:bCs/>
        </w:rPr>
        <w:t xml:space="preserve"> </w:t>
      </w:r>
    </w:p>
    <w:p w:rsidR="00B8450C" w:rsidRDefault="00B8450C" w:rsidP="00B8450C">
      <w:pPr>
        <w:spacing w:line="360" w:lineRule="auto"/>
        <w:jc w:val="both"/>
        <w:rPr>
          <w:rFonts w:ascii="Palatino Linotype" w:hAnsi="Palatino Linotype"/>
          <w:sz w:val="24"/>
          <w:lang w:val="es-ES_tradnl"/>
        </w:rPr>
      </w:pPr>
    </w:p>
    <w:p w:rsidR="00A76FF8" w:rsidRPr="00A76FF8" w:rsidRDefault="00A76FF8" w:rsidP="00A76FF8">
      <w:pPr>
        <w:spacing w:line="360" w:lineRule="auto"/>
        <w:jc w:val="both"/>
        <w:rPr>
          <w:rFonts w:ascii="Palatino Linotype" w:hAnsi="Palatino Linotype"/>
          <w:sz w:val="24"/>
        </w:rPr>
      </w:pPr>
      <w:r w:rsidRPr="00A76FF8">
        <w:rPr>
          <w:rFonts w:ascii="Palatino Linotype" w:hAnsi="Palatino Linotype"/>
          <w:sz w:val="24"/>
          <w:lang w:val="es-ES_tradnl"/>
        </w:rPr>
        <w:t xml:space="preserve">Asimismo, en la etapa de manifestaciones </w:t>
      </w:r>
      <w:r w:rsidRPr="00A76FF8">
        <w:rPr>
          <w:rFonts w:ascii="Palatino Linotype" w:hAnsi="Palatino Linotype"/>
          <w:sz w:val="24"/>
        </w:rPr>
        <w:t xml:space="preserve">se advierte que el </w:t>
      </w:r>
      <w:r w:rsidRPr="00A76FF8">
        <w:rPr>
          <w:rFonts w:ascii="Palatino Linotype" w:hAnsi="Palatino Linotype"/>
          <w:b/>
          <w:sz w:val="24"/>
        </w:rPr>
        <w:t>Sujeto Obligado</w:t>
      </w:r>
      <w:r w:rsidRPr="00A76FF8">
        <w:rPr>
          <w:rFonts w:ascii="Palatino Linotype" w:hAnsi="Palatino Linotype"/>
          <w:sz w:val="24"/>
        </w:rPr>
        <w:t xml:space="preserve"> rindió su informe justificado mediante el archivo electrónico denominado “</w:t>
      </w:r>
      <w:r w:rsidRPr="00A76FF8">
        <w:rPr>
          <w:rFonts w:ascii="Palatino Linotype" w:hAnsi="Palatino Linotype"/>
          <w:b/>
          <w:i/>
          <w:sz w:val="24"/>
        </w:rPr>
        <w:t xml:space="preserve">RR 05855-2024 </w:t>
      </w:r>
      <w:r w:rsidRPr="00A76FF8">
        <w:rPr>
          <w:rFonts w:ascii="Palatino Linotype" w:hAnsi="Palatino Linotype"/>
          <w:b/>
          <w:i/>
          <w:sz w:val="24"/>
        </w:rPr>
        <w:lastRenderedPageBreak/>
        <w:t>SPP.pdf”</w:t>
      </w:r>
      <w:r>
        <w:rPr>
          <w:rFonts w:ascii="Palatino Linotype" w:hAnsi="Palatino Linotype"/>
          <w:b/>
          <w:i/>
          <w:sz w:val="24"/>
        </w:rPr>
        <w:t xml:space="preserve"> y “</w:t>
      </w:r>
      <w:r w:rsidR="008319E5" w:rsidRPr="008319E5">
        <w:rPr>
          <w:rFonts w:ascii="Palatino Linotype" w:hAnsi="Palatino Linotype"/>
          <w:b/>
          <w:i/>
          <w:sz w:val="24"/>
        </w:rPr>
        <w:t>RR 05855-2024 INFORME JUSTIFICADO.pdf</w:t>
      </w:r>
      <w:r>
        <w:rPr>
          <w:rFonts w:ascii="Palatino Linotype" w:hAnsi="Palatino Linotype"/>
          <w:b/>
          <w:i/>
          <w:sz w:val="24"/>
        </w:rPr>
        <w:t>”</w:t>
      </w:r>
      <w:r w:rsidRPr="00A76FF8">
        <w:rPr>
          <w:rFonts w:ascii="Palatino Linotype" w:hAnsi="Palatino Linotype"/>
          <w:sz w:val="24"/>
        </w:rPr>
        <w:t xml:space="preserve">, en el que sustancialmente </w:t>
      </w:r>
      <w:r w:rsidRPr="008319E5">
        <w:rPr>
          <w:rFonts w:ascii="Palatino Linotype" w:hAnsi="Palatino Linotype"/>
          <w:b/>
          <w:sz w:val="24"/>
          <w:u w:val="single"/>
        </w:rPr>
        <w:t>ratifica su respuesta.</w:t>
      </w:r>
      <w:r w:rsidRPr="00A76FF8">
        <w:rPr>
          <w:rFonts w:ascii="Palatino Linotype" w:hAnsi="Palatino Linotype"/>
          <w:sz w:val="24"/>
        </w:rPr>
        <w:t xml:space="preserve"> </w:t>
      </w:r>
    </w:p>
    <w:p w:rsidR="00B8450C" w:rsidRDefault="00B8450C" w:rsidP="00B8450C">
      <w:pPr>
        <w:spacing w:line="360" w:lineRule="auto"/>
        <w:jc w:val="both"/>
        <w:rPr>
          <w:rFonts w:ascii="Palatino Linotype" w:hAnsi="Palatino Linotype"/>
          <w:sz w:val="24"/>
        </w:rPr>
      </w:pPr>
    </w:p>
    <w:p w:rsidR="00B8450C" w:rsidRDefault="00B8450C" w:rsidP="00B8450C">
      <w:pPr>
        <w:spacing w:line="360" w:lineRule="auto"/>
        <w:jc w:val="both"/>
        <w:rPr>
          <w:rFonts w:ascii="Palatino Linotype" w:hAnsi="Palatino Linotype"/>
          <w:sz w:val="24"/>
        </w:rPr>
      </w:pPr>
      <w:r>
        <w:rPr>
          <w:rFonts w:ascii="Palatino Linotype" w:hAnsi="Palatino Linotype"/>
          <w:sz w:val="24"/>
        </w:rPr>
        <w:t>En ese orden de ideas, la Ley Orgánica de la Administración Pública del Estado de México, establece las dependencias con las que cuenta el Poder Ejecutivo:</w:t>
      </w:r>
    </w:p>
    <w:p w:rsidR="00B8450C" w:rsidRDefault="00B8450C" w:rsidP="00B8450C">
      <w:pPr>
        <w:pStyle w:val="INFOEM"/>
      </w:pPr>
      <w:r w:rsidRPr="00DF5A5F">
        <w:t>Artículo 23. Para el estudio, planeación y despacho de los asuntos, en los diversos ramos de la Administración Pública, auxiliarán a la persona titular del Poder Ejecutivo del Estado, las siguientes dependencias:</w:t>
      </w:r>
    </w:p>
    <w:p w:rsidR="00B8450C" w:rsidRDefault="00B8450C" w:rsidP="00B8450C">
      <w:pPr>
        <w:pStyle w:val="INFOEM"/>
        <w:numPr>
          <w:ilvl w:val="0"/>
          <w:numId w:val="6"/>
        </w:numPr>
        <w:spacing w:line="240" w:lineRule="auto"/>
      </w:pPr>
      <w:r w:rsidRPr="00DF5A5F">
        <w:t xml:space="preserve">Secretaría General de Gobierno; </w:t>
      </w:r>
    </w:p>
    <w:p w:rsidR="00B8450C" w:rsidRDefault="00B8450C" w:rsidP="00B8450C">
      <w:pPr>
        <w:pStyle w:val="INFOEM"/>
        <w:numPr>
          <w:ilvl w:val="0"/>
          <w:numId w:val="6"/>
        </w:numPr>
        <w:spacing w:line="240" w:lineRule="auto"/>
      </w:pPr>
      <w:r w:rsidRPr="00DF5A5F">
        <w:t xml:space="preserve">Secretaría de Seguridad; </w:t>
      </w:r>
    </w:p>
    <w:p w:rsidR="00B8450C" w:rsidRPr="008319E5" w:rsidRDefault="00B8450C" w:rsidP="00B8450C">
      <w:pPr>
        <w:pStyle w:val="INFOEM"/>
        <w:numPr>
          <w:ilvl w:val="0"/>
          <w:numId w:val="6"/>
        </w:numPr>
        <w:spacing w:line="240" w:lineRule="auto"/>
        <w:rPr>
          <w:b/>
          <w:u w:val="single"/>
        </w:rPr>
      </w:pPr>
      <w:r w:rsidRPr="008319E5">
        <w:rPr>
          <w:b/>
          <w:u w:val="single"/>
        </w:rPr>
        <w:t xml:space="preserve">Secretaría de Finanzas; </w:t>
      </w:r>
    </w:p>
    <w:p w:rsidR="00B8450C" w:rsidRDefault="00B8450C" w:rsidP="00B8450C">
      <w:pPr>
        <w:pStyle w:val="INFOEM"/>
        <w:numPr>
          <w:ilvl w:val="0"/>
          <w:numId w:val="6"/>
        </w:numPr>
        <w:spacing w:line="240" w:lineRule="auto"/>
      </w:pPr>
      <w:r w:rsidRPr="00DF5A5F">
        <w:t xml:space="preserve">Secretaría de Salud; </w:t>
      </w:r>
    </w:p>
    <w:p w:rsidR="00B8450C" w:rsidRDefault="00B8450C" w:rsidP="00B8450C">
      <w:pPr>
        <w:pStyle w:val="INFOEM"/>
        <w:numPr>
          <w:ilvl w:val="0"/>
          <w:numId w:val="6"/>
        </w:numPr>
        <w:spacing w:line="240" w:lineRule="auto"/>
      </w:pPr>
      <w:r w:rsidRPr="00DF5A5F">
        <w:t xml:space="preserve">Secretaría del Trabajo; </w:t>
      </w:r>
    </w:p>
    <w:p w:rsidR="00B8450C" w:rsidRDefault="00B8450C" w:rsidP="00B8450C">
      <w:pPr>
        <w:pStyle w:val="INFOEM"/>
        <w:numPr>
          <w:ilvl w:val="0"/>
          <w:numId w:val="6"/>
        </w:numPr>
        <w:spacing w:line="240" w:lineRule="auto"/>
      </w:pPr>
      <w:r w:rsidRPr="00DF5A5F">
        <w:t xml:space="preserve">Secretaría de Educación, Ciencia, Tecnología e Innovación; </w:t>
      </w:r>
    </w:p>
    <w:p w:rsidR="00B8450C" w:rsidRDefault="00B8450C" w:rsidP="00B8450C">
      <w:pPr>
        <w:pStyle w:val="INFOEM"/>
        <w:numPr>
          <w:ilvl w:val="0"/>
          <w:numId w:val="6"/>
        </w:numPr>
        <w:spacing w:line="240" w:lineRule="auto"/>
      </w:pPr>
      <w:r w:rsidRPr="00DF5A5F">
        <w:t xml:space="preserve">Secretaría de Bienestar; </w:t>
      </w:r>
    </w:p>
    <w:p w:rsidR="00B8450C" w:rsidRDefault="00B8450C" w:rsidP="00B8450C">
      <w:pPr>
        <w:pStyle w:val="INFOEM"/>
        <w:numPr>
          <w:ilvl w:val="0"/>
          <w:numId w:val="6"/>
        </w:numPr>
        <w:spacing w:line="240" w:lineRule="auto"/>
      </w:pPr>
      <w:r w:rsidRPr="00DF5A5F">
        <w:t xml:space="preserve">Secretaría de Desarrollo Urbano e Infraestructura; </w:t>
      </w:r>
    </w:p>
    <w:p w:rsidR="00B8450C" w:rsidRDefault="00B8450C" w:rsidP="00B8450C">
      <w:pPr>
        <w:pStyle w:val="INFOEM"/>
        <w:numPr>
          <w:ilvl w:val="0"/>
          <w:numId w:val="6"/>
        </w:numPr>
        <w:spacing w:line="240" w:lineRule="auto"/>
      </w:pPr>
      <w:r w:rsidRPr="00DF5A5F">
        <w:t xml:space="preserve">Secretaría del Campo; </w:t>
      </w:r>
    </w:p>
    <w:p w:rsidR="00B8450C" w:rsidRDefault="00B8450C" w:rsidP="00B8450C">
      <w:pPr>
        <w:pStyle w:val="INFOEM"/>
        <w:numPr>
          <w:ilvl w:val="0"/>
          <w:numId w:val="6"/>
        </w:numPr>
        <w:spacing w:line="240" w:lineRule="auto"/>
      </w:pPr>
      <w:r w:rsidRPr="00DF5A5F">
        <w:t xml:space="preserve">Secretaría de Desarrollo Económico; </w:t>
      </w:r>
    </w:p>
    <w:p w:rsidR="00B8450C" w:rsidRDefault="00B8450C" w:rsidP="00B8450C">
      <w:pPr>
        <w:pStyle w:val="INFOEM"/>
        <w:numPr>
          <w:ilvl w:val="0"/>
          <w:numId w:val="6"/>
        </w:numPr>
        <w:spacing w:line="240" w:lineRule="auto"/>
      </w:pPr>
      <w:r w:rsidRPr="00DF5A5F">
        <w:t xml:space="preserve">Secretaría de Cultura y Turismo; </w:t>
      </w:r>
    </w:p>
    <w:p w:rsidR="00B8450C" w:rsidRDefault="00B8450C" w:rsidP="00B8450C">
      <w:pPr>
        <w:pStyle w:val="INFOEM"/>
        <w:numPr>
          <w:ilvl w:val="0"/>
          <w:numId w:val="6"/>
        </w:numPr>
        <w:spacing w:line="240" w:lineRule="auto"/>
      </w:pPr>
      <w:r w:rsidRPr="00DF5A5F">
        <w:t>Secretaría de la Contraloría;</w:t>
      </w:r>
      <w:r>
        <w:t xml:space="preserve"> </w:t>
      </w:r>
    </w:p>
    <w:p w:rsidR="00B8450C" w:rsidRDefault="00B8450C" w:rsidP="00B8450C">
      <w:pPr>
        <w:pStyle w:val="INFOEM"/>
        <w:numPr>
          <w:ilvl w:val="0"/>
          <w:numId w:val="6"/>
        </w:numPr>
        <w:spacing w:line="240" w:lineRule="auto"/>
      </w:pPr>
      <w:r w:rsidRPr="00DF5A5F">
        <w:t xml:space="preserve">Secretaría del Medio Ambiente y Desarrollo Sostenible; </w:t>
      </w:r>
    </w:p>
    <w:p w:rsidR="00B8450C" w:rsidRDefault="00B8450C" w:rsidP="00B8450C">
      <w:pPr>
        <w:pStyle w:val="INFOEM"/>
        <w:numPr>
          <w:ilvl w:val="0"/>
          <w:numId w:val="6"/>
        </w:numPr>
        <w:spacing w:line="240" w:lineRule="auto"/>
      </w:pPr>
      <w:r w:rsidRPr="00DF5A5F">
        <w:lastRenderedPageBreak/>
        <w:t xml:space="preserve">Secretaría del Agua; </w:t>
      </w:r>
    </w:p>
    <w:p w:rsidR="00B8450C" w:rsidRDefault="00B8450C" w:rsidP="00B8450C">
      <w:pPr>
        <w:pStyle w:val="INFOEM"/>
        <w:numPr>
          <w:ilvl w:val="0"/>
          <w:numId w:val="6"/>
        </w:numPr>
        <w:spacing w:line="240" w:lineRule="auto"/>
      </w:pPr>
      <w:r w:rsidRPr="00DF5A5F">
        <w:t xml:space="preserve">Secretaría de las Mujeres; </w:t>
      </w:r>
    </w:p>
    <w:p w:rsidR="00B8450C" w:rsidRDefault="00B8450C" w:rsidP="00B8450C">
      <w:pPr>
        <w:pStyle w:val="INFOEM"/>
        <w:numPr>
          <w:ilvl w:val="0"/>
          <w:numId w:val="6"/>
        </w:numPr>
        <w:spacing w:line="240" w:lineRule="auto"/>
      </w:pPr>
      <w:r w:rsidRPr="00DF5A5F">
        <w:t xml:space="preserve">Secretaría de Movilidad; </w:t>
      </w:r>
    </w:p>
    <w:p w:rsidR="00B8450C" w:rsidRDefault="00B8450C" w:rsidP="00B8450C">
      <w:pPr>
        <w:pStyle w:val="INFOEM"/>
        <w:numPr>
          <w:ilvl w:val="0"/>
          <w:numId w:val="6"/>
        </w:numPr>
        <w:spacing w:line="240" w:lineRule="auto"/>
      </w:pPr>
      <w:r w:rsidRPr="00DF5A5F">
        <w:t xml:space="preserve">Consejería Jurídica; y </w:t>
      </w:r>
    </w:p>
    <w:p w:rsidR="00B8450C" w:rsidRDefault="00B8450C" w:rsidP="00B8450C">
      <w:pPr>
        <w:pStyle w:val="INFOEM"/>
        <w:numPr>
          <w:ilvl w:val="0"/>
          <w:numId w:val="6"/>
        </w:numPr>
        <w:spacing w:line="240" w:lineRule="auto"/>
      </w:pPr>
      <w:r w:rsidRPr="00DF5A5F">
        <w:rPr>
          <w:b/>
        </w:rPr>
        <w:t>Oficialía Mayor</w:t>
      </w:r>
      <w:r w:rsidRPr="00DF5A5F">
        <w:t>.</w:t>
      </w:r>
    </w:p>
    <w:p w:rsidR="00B8450C" w:rsidRDefault="00B8450C" w:rsidP="00B8450C">
      <w:pPr>
        <w:pStyle w:val="INFOEM"/>
      </w:pPr>
    </w:p>
    <w:p w:rsidR="00B8450C" w:rsidRPr="008319E5" w:rsidRDefault="00B8450C" w:rsidP="00B8450C">
      <w:pPr>
        <w:pStyle w:val="INFOEM"/>
      </w:pPr>
      <w:r w:rsidRPr="009807AA">
        <w:rPr>
          <w:b/>
        </w:rPr>
        <w:t xml:space="preserve">Artículo 58. </w:t>
      </w:r>
      <w:r w:rsidRPr="008319E5">
        <w:t>La Oficialía Mayor es la encargada de planear, organizar, normar y dirigir la administración y desarrollo de los recursos humanos, materiales y servicios para el apoyo administrativo y tecnológico que requieran las dependencias del Poder Ejecutivo del Estado.</w:t>
      </w:r>
    </w:p>
    <w:p w:rsidR="00CC14D8" w:rsidRDefault="00CC14D8" w:rsidP="00B8450C">
      <w:pPr>
        <w:spacing w:line="360" w:lineRule="auto"/>
        <w:jc w:val="both"/>
        <w:rPr>
          <w:rFonts w:ascii="Palatino Linotype" w:eastAsia="Palatino Linotype" w:hAnsi="Palatino Linotype" w:cs="Palatino Linotype"/>
          <w:color w:val="000000"/>
          <w:sz w:val="24"/>
          <w:lang w:val="es-ES_tradnl" w:eastAsia="es-MX"/>
        </w:rPr>
      </w:pPr>
    </w:p>
    <w:p w:rsidR="00B8450C" w:rsidRDefault="00B8450C" w:rsidP="00CC14D8">
      <w:pPr>
        <w:spacing w:line="360" w:lineRule="auto"/>
        <w:jc w:val="both"/>
        <w:rPr>
          <w:rFonts w:ascii="Palatino Linotype" w:hAnsi="Palatino Linotype" w:cs="Tahoma"/>
          <w:bCs/>
          <w:sz w:val="24"/>
        </w:rPr>
      </w:pPr>
      <w:r>
        <w:rPr>
          <w:rFonts w:ascii="Palatino Linotype" w:eastAsia="Palatino Linotype" w:hAnsi="Palatino Linotype" w:cs="Palatino Linotype"/>
          <w:color w:val="000000"/>
          <w:sz w:val="24"/>
          <w:lang w:val="es-ES_tradnl" w:eastAsia="es-MX"/>
        </w:rPr>
        <w:t xml:space="preserve">Por otro lado, </w:t>
      </w:r>
      <w:r w:rsidR="00CC14D8">
        <w:rPr>
          <w:rFonts w:ascii="Palatino Linotype" w:eastAsia="Palatino Linotype" w:hAnsi="Palatino Linotype" w:cs="Palatino Linotype"/>
          <w:color w:val="000000"/>
          <w:sz w:val="24"/>
          <w:lang w:val="es-ES_tradnl" w:eastAsia="es-MX"/>
        </w:rPr>
        <w:t xml:space="preserve">el Reglamento Interior de la Secretaría de Finanzas establece que el área competente para tramitar los movimientos de altas, bajas y demás movimientos de la Secretaría, así como las facultades de la </w:t>
      </w:r>
      <w:r w:rsidR="00CC14D8" w:rsidRPr="00CC14D8">
        <w:rPr>
          <w:rFonts w:ascii="Palatino Linotype" w:hAnsi="Palatino Linotype" w:cs="Tahoma"/>
          <w:bCs/>
          <w:sz w:val="24"/>
        </w:rPr>
        <w:t>Dirección General de Evaluación del Desempeño Institucional</w:t>
      </w:r>
      <w:r w:rsidR="00CC14D8">
        <w:rPr>
          <w:rFonts w:ascii="Palatino Linotype" w:hAnsi="Palatino Linotype" w:cs="Tahoma"/>
          <w:bCs/>
          <w:sz w:val="24"/>
        </w:rPr>
        <w:t>,</w:t>
      </w:r>
      <w:r w:rsidR="002158D7">
        <w:rPr>
          <w:rFonts w:ascii="Palatino Linotype" w:hAnsi="Palatino Linotype" w:cs="Tahoma"/>
          <w:bCs/>
          <w:sz w:val="24"/>
        </w:rPr>
        <w:t xml:space="preserve"> misma que se encuentra adscrita a la </w:t>
      </w:r>
      <w:r w:rsidR="002158D7" w:rsidRPr="002158D7">
        <w:rPr>
          <w:rFonts w:ascii="Palatino Linotype" w:hAnsi="Palatino Linotype"/>
          <w:sz w:val="24"/>
          <w:lang w:eastAsia="es-MX"/>
        </w:rPr>
        <w:t>Subsecretaría de Planeación y Presupuesto</w:t>
      </w:r>
      <w:r w:rsidR="002158D7">
        <w:rPr>
          <w:rFonts w:ascii="Palatino Linotype" w:hAnsi="Palatino Linotype"/>
          <w:sz w:val="24"/>
          <w:lang w:eastAsia="es-MX"/>
        </w:rPr>
        <w:t>,</w:t>
      </w:r>
      <w:r w:rsidR="00CC14D8" w:rsidRPr="002158D7">
        <w:rPr>
          <w:rFonts w:ascii="Palatino Linotype" w:hAnsi="Palatino Linotype" w:cs="Tahoma"/>
          <w:bCs/>
          <w:sz w:val="28"/>
        </w:rPr>
        <w:t xml:space="preserve"> </w:t>
      </w:r>
      <w:r w:rsidR="00CC14D8">
        <w:rPr>
          <w:rFonts w:ascii="Palatino Linotype" w:hAnsi="Palatino Linotype" w:cs="Tahoma"/>
          <w:bCs/>
          <w:sz w:val="24"/>
        </w:rPr>
        <w:t>tal como se desprende:</w:t>
      </w:r>
    </w:p>
    <w:p w:rsidR="006C728E" w:rsidRDefault="006C728E" w:rsidP="00CC14D8">
      <w:pPr>
        <w:pStyle w:val="INFOEM"/>
        <w:rPr>
          <w:lang w:eastAsia="es-MX"/>
        </w:rPr>
      </w:pPr>
      <w:r w:rsidRPr="002158D7">
        <w:rPr>
          <w:b/>
          <w:lang w:eastAsia="es-MX"/>
        </w:rPr>
        <w:t>Artículo 3. Para</w:t>
      </w:r>
      <w:r w:rsidRPr="006C728E">
        <w:rPr>
          <w:lang w:eastAsia="es-MX"/>
        </w:rPr>
        <w:t xml:space="preserve"> el despacho de los asuntos de su competencia, la Secretaría contará con una persona titular, quien se auxiliará de las unidades administrativas siguientes:</w:t>
      </w:r>
    </w:p>
    <w:p w:rsidR="006C728E" w:rsidRDefault="006C728E" w:rsidP="006C728E">
      <w:pPr>
        <w:pStyle w:val="INFOEM"/>
        <w:spacing w:before="0" w:line="240" w:lineRule="auto"/>
        <w:rPr>
          <w:lang w:eastAsia="es-MX"/>
        </w:rPr>
      </w:pPr>
      <w:r>
        <w:rPr>
          <w:lang w:eastAsia="es-MX"/>
        </w:rPr>
        <w:t>I. Subsecretaría de Ingresos;</w:t>
      </w:r>
    </w:p>
    <w:p w:rsidR="006C728E" w:rsidRPr="00160A6F" w:rsidRDefault="006C728E" w:rsidP="006C728E">
      <w:pPr>
        <w:pStyle w:val="INFOEM"/>
        <w:spacing w:before="0" w:line="240" w:lineRule="auto"/>
        <w:rPr>
          <w:b/>
          <w:lang w:eastAsia="es-MX"/>
        </w:rPr>
      </w:pPr>
      <w:r w:rsidRPr="00160A6F">
        <w:rPr>
          <w:b/>
          <w:lang w:eastAsia="es-MX"/>
        </w:rPr>
        <w:t>II. Subsecretaría de Planeación y Presupuesto;</w:t>
      </w:r>
    </w:p>
    <w:p w:rsidR="006C728E" w:rsidRDefault="006C728E" w:rsidP="006C728E">
      <w:pPr>
        <w:pStyle w:val="INFOEM"/>
        <w:spacing w:before="0" w:line="240" w:lineRule="auto"/>
        <w:rPr>
          <w:lang w:eastAsia="es-MX"/>
        </w:rPr>
      </w:pPr>
      <w:r>
        <w:rPr>
          <w:lang w:eastAsia="es-MX"/>
        </w:rPr>
        <w:t>III. Subsecretaría de Tesorería;</w:t>
      </w:r>
    </w:p>
    <w:p w:rsidR="006C728E" w:rsidRDefault="006C728E" w:rsidP="006C728E">
      <w:pPr>
        <w:pStyle w:val="INFOEM"/>
        <w:spacing w:before="0" w:line="240" w:lineRule="auto"/>
        <w:rPr>
          <w:lang w:eastAsia="es-MX"/>
        </w:rPr>
      </w:pPr>
      <w:r>
        <w:rPr>
          <w:lang w:eastAsia="es-MX"/>
        </w:rPr>
        <w:t>IV. Procuraduría Fiscal;</w:t>
      </w:r>
    </w:p>
    <w:p w:rsidR="006C728E" w:rsidRDefault="006C728E" w:rsidP="006C728E">
      <w:pPr>
        <w:pStyle w:val="INFOEM"/>
        <w:spacing w:before="0" w:line="240" w:lineRule="auto"/>
        <w:rPr>
          <w:lang w:eastAsia="es-MX"/>
        </w:rPr>
      </w:pPr>
      <w:r>
        <w:rPr>
          <w:lang w:eastAsia="es-MX"/>
        </w:rPr>
        <w:lastRenderedPageBreak/>
        <w:t>V. Dirección General de Recaudación;</w:t>
      </w:r>
    </w:p>
    <w:p w:rsidR="006C728E" w:rsidRDefault="006C728E" w:rsidP="006C728E">
      <w:pPr>
        <w:pStyle w:val="INFOEM"/>
        <w:spacing w:before="0" w:line="240" w:lineRule="auto"/>
        <w:rPr>
          <w:lang w:eastAsia="es-MX"/>
        </w:rPr>
      </w:pPr>
      <w:r>
        <w:rPr>
          <w:lang w:eastAsia="es-MX"/>
        </w:rPr>
        <w:t>VI. Dirección General de Fiscalización;</w:t>
      </w:r>
    </w:p>
    <w:p w:rsidR="006C728E" w:rsidRDefault="006C728E" w:rsidP="006C728E">
      <w:pPr>
        <w:pStyle w:val="INFOEM"/>
        <w:spacing w:before="0" w:line="240" w:lineRule="auto"/>
        <w:rPr>
          <w:lang w:eastAsia="es-MX"/>
        </w:rPr>
      </w:pPr>
      <w:r>
        <w:rPr>
          <w:lang w:eastAsia="es-MX"/>
        </w:rPr>
        <w:t>VII. Dirección General de Política Fiscal;</w:t>
      </w:r>
    </w:p>
    <w:p w:rsidR="006C728E" w:rsidRDefault="006C728E" w:rsidP="006C728E">
      <w:pPr>
        <w:pStyle w:val="INFOEM"/>
        <w:spacing w:before="0" w:line="240" w:lineRule="auto"/>
        <w:rPr>
          <w:lang w:eastAsia="es-MX"/>
        </w:rPr>
      </w:pPr>
      <w:r>
        <w:rPr>
          <w:lang w:eastAsia="es-MX"/>
        </w:rPr>
        <w:t>VIII. Dirección General de Regulación;</w:t>
      </w:r>
    </w:p>
    <w:p w:rsidR="006C728E" w:rsidRDefault="006C728E" w:rsidP="006C728E">
      <w:pPr>
        <w:pStyle w:val="INFOEM"/>
        <w:spacing w:before="0" w:line="240" w:lineRule="auto"/>
        <w:rPr>
          <w:lang w:eastAsia="es-MX"/>
        </w:rPr>
      </w:pPr>
      <w:r>
        <w:rPr>
          <w:lang w:eastAsia="es-MX"/>
        </w:rPr>
        <w:t>IX. Dirección General de Planeación y Gasto Público;</w:t>
      </w:r>
    </w:p>
    <w:p w:rsidR="006C728E" w:rsidRDefault="006C728E" w:rsidP="006C728E">
      <w:pPr>
        <w:pStyle w:val="INFOEM"/>
        <w:spacing w:before="0" w:line="240" w:lineRule="auto"/>
        <w:rPr>
          <w:lang w:eastAsia="es-MX"/>
        </w:rPr>
      </w:pPr>
      <w:r>
        <w:rPr>
          <w:lang w:eastAsia="es-MX"/>
        </w:rPr>
        <w:t>X. Contaduría General Gubernamental;</w:t>
      </w:r>
    </w:p>
    <w:p w:rsidR="006C728E" w:rsidRDefault="006C728E" w:rsidP="006C728E">
      <w:pPr>
        <w:pStyle w:val="INFOEM"/>
        <w:spacing w:before="0" w:line="240" w:lineRule="auto"/>
        <w:rPr>
          <w:lang w:eastAsia="es-MX"/>
        </w:rPr>
      </w:pPr>
      <w:r>
        <w:rPr>
          <w:lang w:eastAsia="es-MX"/>
        </w:rPr>
        <w:t>XI. Dirección General de Inversión;</w:t>
      </w:r>
    </w:p>
    <w:p w:rsidR="006C728E" w:rsidRPr="006C728E" w:rsidRDefault="006C728E" w:rsidP="006C728E">
      <w:pPr>
        <w:pStyle w:val="INFOEM"/>
        <w:spacing w:before="0" w:line="240" w:lineRule="auto"/>
        <w:rPr>
          <w:b/>
          <w:lang w:eastAsia="es-MX"/>
        </w:rPr>
      </w:pPr>
      <w:r w:rsidRPr="006C728E">
        <w:rPr>
          <w:b/>
          <w:lang w:eastAsia="es-MX"/>
        </w:rPr>
        <w:t>XII. Dirección General de Evaluación del Desempeño Institucional;</w:t>
      </w:r>
    </w:p>
    <w:p w:rsidR="006C728E" w:rsidRDefault="006C728E" w:rsidP="006C728E">
      <w:pPr>
        <w:pStyle w:val="INFOEM"/>
        <w:spacing w:before="0" w:line="240" w:lineRule="auto"/>
        <w:rPr>
          <w:lang w:eastAsia="es-MX"/>
        </w:rPr>
      </w:pPr>
      <w:r>
        <w:rPr>
          <w:lang w:eastAsia="es-MX"/>
        </w:rPr>
        <w:t>XIII. Dirección General de Tesorería;</w:t>
      </w:r>
    </w:p>
    <w:p w:rsidR="006C728E" w:rsidRDefault="006C728E" w:rsidP="006C728E">
      <w:pPr>
        <w:pStyle w:val="INFOEM"/>
        <w:spacing w:before="0" w:line="240" w:lineRule="auto"/>
        <w:rPr>
          <w:lang w:eastAsia="es-MX"/>
        </w:rPr>
      </w:pPr>
      <w:r>
        <w:rPr>
          <w:lang w:eastAsia="es-MX"/>
        </w:rPr>
        <w:t>XIV. Dirección General de Crédito;</w:t>
      </w:r>
    </w:p>
    <w:p w:rsidR="006C728E" w:rsidRDefault="006C728E" w:rsidP="006C728E">
      <w:pPr>
        <w:pStyle w:val="INFOEM"/>
        <w:spacing w:before="0" w:line="240" w:lineRule="auto"/>
        <w:rPr>
          <w:lang w:eastAsia="es-MX"/>
        </w:rPr>
      </w:pPr>
      <w:r>
        <w:rPr>
          <w:lang w:eastAsia="es-MX"/>
        </w:rPr>
        <w:t>XV. Delegaciones de Asuntos Contenciosos;</w:t>
      </w:r>
    </w:p>
    <w:p w:rsidR="006C728E" w:rsidRDefault="006C728E" w:rsidP="006C728E">
      <w:pPr>
        <w:pStyle w:val="INFOEM"/>
        <w:spacing w:before="0" w:line="240" w:lineRule="auto"/>
        <w:rPr>
          <w:lang w:eastAsia="es-MX"/>
        </w:rPr>
      </w:pPr>
      <w:r>
        <w:rPr>
          <w:lang w:eastAsia="es-MX"/>
        </w:rPr>
        <w:t>XVI. Delegaciones Fiscales;</w:t>
      </w:r>
    </w:p>
    <w:p w:rsidR="006C728E" w:rsidRDefault="006C728E" w:rsidP="006C728E">
      <w:pPr>
        <w:pStyle w:val="INFOEM"/>
        <w:spacing w:before="0" w:line="240" w:lineRule="auto"/>
        <w:rPr>
          <w:lang w:eastAsia="es-MX"/>
        </w:rPr>
      </w:pPr>
      <w:r>
        <w:rPr>
          <w:lang w:eastAsia="es-MX"/>
        </w:rPr>
        <w:t>XVII. Delegaciones de Fiscalización;</w:t>
      </w:r>
    </w:p>
    <w:p w:rsidR="006C728E" w:rsidRPr="006C728E" w:rsidRDefault="006C728E" w:rsidP="006C728E">
      <w:pPr>
        <w:pStyle w:val="INFOEM"/>
        <w:spacing w:before="0" w:line="240" w:lineRule="auto"/>
        <w:rPr>
          <w:b/>
          <w:lang w:eastAsia="es-MX"/>
        </w:rPr>
      </w:pPr>
      <w:r w:rsidRPr="006C728E">
        <w:rPr>
          <w:b/>
          <w:lang w:eastAsia="es-MX"/>
        </w:rPr>
        <w:t>XVIII. Coordinación Administrativa;</w:t>
      </w:r>
    </w:p>
    <w:p w:rsidR="006C728E" w:rsidRDefault="006C728E" w:rsidP="006C728E">
      <w:pPr>
        <w:pStyle w:val="INFOEM"/>
        <w:spacing w:before="0" w:line="240" w:lineRule="auto"/>
        <w:rPr>
          <w:lang w:eastAsia="es-MX"/>
        </w:rPr>
      </w:pPr>
      <w:r>
        <w:rPr>
          <w:lang w:eastAsia="es-MX"/>
        </w:rPr>
        <w:t>XIX. Coordinación Jurídica, de Igualdad de Género y Erradicación de la Violencia;</w:t>
      </w:r>
    </w:p>
    <w:p w:rsidR="006C728E" w:rsidRDefault="006C728E" w:rsidP="006C728E">
      <w:pPr>
        <w:pStyle w:val="INFOEM"/>
        <w:numPr>
          <w:ilvl w:val="0"/>
          <w:numId w:val="6"/>
        </w:numPr>
        <w:spacing w:before="0" w:line="240" w:lineRule="auto"/>
        <w:rPr>
          <w:lang w:eastAsia="es-MX"/>
        </w:rPr>
      </w:pPr>
      <w:r>
        <w:rPr>
          <w:lang w:eastAsia="es-MX"/>
        </w:rPr>
        <w:t>Coordinación de Gestión Gubernamental, y</w:t>
      </w:r>
    </w:p>
    <w:p w:rsidR="006C728E" w:rsidRDefault="006C728E" w:rsidP="006C728E">
      <w:pPr>
        <w:pStyle w:val="INFOEM"/>
        <w:rPr>
          <w:lang w:eastAsia="es-MX"/>
        </w:rPr>
      </w:pPr>
      <w:r>
        <w:rPr>
          <w:lang w:eastAsia="es-MX"/>
        </w:rPr>
        <w:t>...</w:t>
      </w:r>
    </w:p>
    <w:p w:rsidR="002158D7" w:rsidRPr="002158D7" w:rsidRDefault="002158D7" w:rsidP="006C728E">
      <w:pPr>
        <w:pStyle w:val="INFOEM"/>
        <w:rPr>
          <w:b/>
          <w:lang w:eastAsia="es-MX"/>
        </w:rPr>
      </w:pPr>
      <w:r w:rsidRPr="002158D7">
        <w:rPr>
          <w:b/>
          <w:lang w:eastAsia="es-MX"/>
        </w:rPr>
        <w:t xml:space="preserve">Artículo 22. Quedan adscritas a la Subsecretaría de Planeación y Presupuesto: </w:t>
      </w:r>
    </w:p>
    <w:p w:rsidR="002158D7" w:rsidRDefault="002158D7" w:rsidP="002158D7">
      <w:pPr>
        <w:pStyle w:val="INFOEM"/>
        <w:numPr>
          <w:ilvl w:val="0"/>
          <w:numId w:val="9"/>
        </w:numPr>
        <w:rPr>
          <w:lang w:eastAsia="es-MX"/>
        </w:rPr>
      </w:pPr>
      <w:r w:rsidRPr="002158D7">
        <w:rPr>
          <w:lang w:eastAsia="es-MX"/>
        </w:rPr>
        <w:t xml:space="preserve">Dirección General de Planeación y Gasto Público; </w:t>
      </w:r>
    </w:p>
    <w:p w:rsidR="002158D7" w:rsidRDefault="002158D7" w:rsidP="002158D7">
      <w:pPr>
        <w:pStyle w:val="INFOEM"/>
        <w:numPr>
          <w:ilvl w:val="0"/>
          <w:numId w:val="9"/>
        </w:numPr>
        <w:rPr>
          <w:lang w:eastAsia="es-MX"/>
        </w:rPr>
      </w:pPr>
      <w:r w:rsidRPr="002158D7">
        <w:rPr>
          <w:lang w:eastAsia="es-MX"/>
        </w:rPr>
        <w:t xml:space="preserve"> Contaduría General Gubernamental; </w:t>
      </w:r>
    </w:p>
    <w:p w:rsidR="002158D7" w:rsidRDefault="002158D7" w:rsidP="002158D7">
      <w:pPr>
        <w:pStyle w:val="INFOEM"/>
        <w:numPr>
          <w:ilvl w:val="0"/>
          <w:numId w:val="9"/>
        </w:numPr>
        <w:rPr>
          <w:lang w:eastAsia="es-MX"/>
        </w:rPr>
      </w:pPr>
      <w:r w:rsidRPr="002158D7">
        <w:rPr>
          <w:lang w:eastAsia="es-MX"/>
        </w:rPr>
        <w:t xml:space="preserve">Dirección General de Inversión, y </w:t>
      </w:r>
    </w:p>
    <w:p w:rsidR="002158D7" w:rsidRPr="002158D7" w:rsidRDefault="002158D7" w:rsidP="002158D7">
      <w:pPr>
        <w:pStyle w:val="INFOEM"/>
        <w:numPr>
          <w:ilvl w:val="0"/>
          <w:numId w:val="9"/>
        </w:numPr>
        <w:rPr>
          <w:b/>
          <w:lang w:eastAsia="es-MX"/>
        </w:rPr>
      </w:pPr>
      <w:r w:rsidRPr="002158D7">
        <w:rPr>
          <w:b/>
          <w:lang w:eastAsia="es-MX"/>
        </w:rPr>
        <w:t>Dirección General de Evaluación del Desempeño Institucional</w:t>
      </w:r>
      <w:r>
        <w:rPr>
          <w:b/>
          <w:lang w:eastAsia="es-MX"/>
        </w:rPr>
        <w:t>.</w:t>
      </w:r>
    </w:p>
    <w:p w:rsidR="00CC14D8" w:rsidRDefault="006C728E" w:rsidP="00CC14D8">
      <w:pPr>
        <w:pStyle w:val="INFOEM"/>
        <w:rPr>
          <w:lang w:val="es-ES_tradnl" w:eastAsia="es-MX"/>
        </w:rPr>
      </w:pPr>
      <w:r>
        <w:rPr>
          <w:lang w:val="es-ES_tradnl" w:eastAsia="es-MX"/>
        </w:rPr>
        <w:lastRenderedPageBreak/>
        <w:t>…</w:t>
      </w:r>
    </w:p>
    <w:p w:rsidR="006C728E" w:rsidRPr="006C728E" w:rsidRDefault="006C728E" w:rsidP="00CC14D8">
      <w:pPr>
        <w:pStyle w:val="INFOEM"/>
        <w:rPr>
          <w:b/>
          <w:lang w:eastAsia="es-MX"/>
        </w:rPr>
      </w:pPr>
      <w:r w:rsidRPr="006C728E">
        <w:rPr>
          <w:b/>
          <w:lang w:eastAsia="es-MX"/>
        </w:rPr>
        <w:t xml:space="preserve">Artículo 26. Corresponde a la Dirección General de Evaluación del Desempeño Institucional: </w:t>
      </w:r>
    </w:p>
    <w:p w:rsidR="006C728E" w:rsidRDefault="006C728E" w:rsidP="006C728E">
      <w:pPr>
        <w:pStyle w:val="INFOEM"/>
        <w:numPr>
          <w:ilvl w:val="0"/>
          <w:numId w:val="8"/>
        </w:numPr>
        <w:spacing w:before="0" w:after="0" w:line="276" w:lineRule="auto"/>
        <w:rPr>
          <w:lang w:eastAsia="es-MX"/>
        </w:rPr>
      </w:pPr>
      <w:r w:rsidRPr="006C728E">
        <w:rPr>
          <w:lang w:eastAsia="es-MX"/>
        </w:rPr>
        <w:t xml:space="preserve">Coordinar la implementación, operación y consolidación de la gestión para resultados y sus principales componentes, que son el presupuesto basado en resultados y el Sistema de Evaluación del Desempeño;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Emitir disposiciones normativas y metodológicas en materia de presupuesto basado en resultados y del Sistema de Evaluación del Desempeño para la mejora continua del desempeño de los Entes Públicos, de acuerdo con su naturaleza jurídica y según corresponda, previa autorización de la Subsecretaría de Planeación y Presupuesto;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Establecer mecanismos de coordinación y colaboración en materia de monitoreo, seguimiento y evaluación del desempeño de los programas presupuestarios con la participación de los Entes Públicos, de acuerdo con su naturaleza jurídica y según corresponda;</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Concertar con los Entes Públicos, de acuerdo con su naturaleza jurídica y según corresponda, las metas de indicadores de desempeño de los programas presupuestarios del Gobierno del Estado de México, derivados de la planeación estatal del desarrollo;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Coordinar el análisis y la aplicación programáticos de las adecuaciones presupuestales al Programa Anual del Presupuesto de Egresos del Gobierno del Estado de México, conjuntamente con las unidades administrativas correspondientes;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Elaborar el Programa Anual de Evaluación de los programas presupuestarios del Gobierno del Estado de México para el ejercicio fiscal correspondiente y someterlo a la aprobación de la persona titular de la Subsecretaría de Planeación y Presupuesto;</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Coordinar el diseño, monitoreo y la evaluación de los indicadores estratégicos y de gestión del Sistema de Evaluación del Desempeño y de los programas presupuestarios que, de acuerdo con su naturaleza jurídica y según corresponda, ejecutan los Entes Públicos;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lastRenderedPageBreak/>
        <w:t>Verificar el cumplimiento de los sujetos evaluados respecto de los aspectos susceptibles de mejora, derivados de las evaluaciones contenidas en el Programa Anual de Evaluación para los Entes Públicos, de acuerdo con su naturaleza jurídica y según corresponda;</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Proponer mejoras al proceso presupuestario, acordes con el monitoreo y seguimiento de los indicadores y con los resultados de las evaluaciones a programas presupuestarios del Gobierno del Estado de México;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Impulsar acciones que fortalezcan el conocimiento en materia de presupuesto basado en resultados y del Sistema de Evaluación del Desempeño en el Gobierno del Estado de México;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Promover foros, conferencias, seminarios y eventos en materia de gestión para resultados, en coordinación con los Entes Públicos, de acuerdo con su naturaleza jurídica y según corresponda;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Instrumentar mecanismos de operación y control para el Registro Estatal de Planes, Programas y Proyectos, diseñando su metodología;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Coordinar la integración de los informes relacionados con los programas presupuestarios derivados del Plan de Desarrollo del Estado de México;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Coordinar el análisis y la validación de los indicadores de los fondos del Ramo General 33 en el sistema automatizado que para el efecto establezca la Secretaría de Hacienda y Crédito Público;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Suscribir acuerdos y convenios en materia de gestión del desempeño institucional para el cumplimiento de sus atribuciones, en representación de la Secretaría y de la Subsecretaría de Planeación y Presupuesto;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Emitir opinión, a petición de las unidades responsables del gasto, sobre el cumplimiento de los objetivos del Plan de Desarrollo del Estado de México para la creación de plazas en la administración pública estatal;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Realizar estudios, en el ámbito de su competencia, orientados a impulsar y fortalecer la labor institucional en materia de gestión para resultados;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Verificar que el avance en la ejecución de los programas presupuestarios sea congruente con el Plan de Desarrollo del Estado de México y con los programas que de él se deriven, y que su ejecución en el ejercicio del presupuesto se realice de conformidad con la normativa correspondiente;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Llevar el seguimiento del cumplimiento de metas de los Entes Públicos, de acuerdo con su naturaleza jurídica y según corresponda, informando </w:t>
      </w:r>
      <w:r w:rsidRPr="006C728E">
        <w:rPr>
          <w:lang w:eastAsia="es-MX"/>
        </w:rPr>
        <w:lastRenderedPageBreak/>
        <w:t xml:space="preserve">periódicamente a la persona titular de la Subsecretaría de Planeación y Presupuesto;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 xml:space="preserve">Participar, en el ámbito de su competencia, en la elaboración del Plan de Desarrollo del Estado de México, así como de los planes y programas sectoriales, regionales, especiales y municipales;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Capacitar a personas servidoras públicas del Gobierno del Estado de México en materia de Gestión para Resultados (</w:t>
      </w:r>
      <w:proofErr w:type="spellStart"/>
      <w:r w:rsidRPr="006C728E">
        <w:rPr>
          <w:lang w:eastAsia="es-MX"/>
        </w:rPr>
        <w:t>GpR</w:t>
      </w:r>
      <w:proofErr w:type="spellEnd"/>
      <w:r w:rsidRPr="006C728E">
        <w:rPr>
          <w:lang w:eastAsia="es-MX"/>
        </w:rPr>
        <w:t>), Presupuesto basado en Resultados (</w:t>
      </w:r>
      <w:proofErr w:type="spellStart"/>
      <w:r w:rsidRPr="006C728E">
        <w:rPr>
          <w:lang w:eastAsia="es-MX"/>
        </w:rPr>
        <w:t>PbR</w:t>
      </w:r>
      <w:proofErr w:type="spellEnd"/>
      <w:r w:rsidRPr="006C728E">
        <w:rPr>
          <w:lang w:eastAsia="es-MX"/>
        </w:rPr>
        <w:t xml:space="preserve">), Metodología de Marco Lógico (MML) y Matriz de Indicadores para Resultados (MIR)”, como instrumentos fundamentales para fortalecer los conocimientos y el desarrollo del capital humano; </w:t>
      </w:r>
    </w:p>
    <w:p w:rsidR="006C728E" w:rsidRPr="006C728E" w:rsidRDefault="006C728E" w:rsidP="006C728E">
      <w:pPr>
        <w:pStyle w:val="INFOEM"/>
        <w:numPr>
          <w:ilvl w:val="0"/>
          <w:numId w:val="8"/>
        </w:numPr>
        <w:spacing w:before="0" w:after="0" w:line="276" w:lineRule="auto"/>
        <w:rPr>
          <w:lang w:val="es-ES_tradnl" w:eastAsia="es-MX"/>
        </w:rPr>
      </w:pPr>
      <w:r w:rsidRPr="006C728E">
        <w:rPr>
          <w:lang w:eastAsia="es-MX"/>
        </w:rPr>
        <w:t>Analizar y validar en el Sistema de Planeación y Presupuesto (SPP) el documento Anexo 13, verificando la inclusión de los elementos señalados en la Metodología del Marco Lógico, así como coordinar el monitoreo de los indicadores de desempeño presentes en la Matriz de Indicadores para Resultados de cada Programa y Proyecto de Inversión del “Programa de Acciones para el Desarrollo", y</w:t>
      </w:r>
    </w:p>
    <w:p w:rsidR="00CC14D8" w:rsidRPr="002158D7" w:rsidRDefault="006C728E" w:rsidP="006C728E">
      <w:pPr>
        <w:pStyle w:val="INFOEM"/>
        <w:numPr>
          <w:ilvl w:val="0"/>
          <w:numId w:val="8"/>
        </w:numPr>
        <w:spacing w:before="0" w:after="0" w:line="276" w:lineRule="auto"/>
        <w:rPr>
          <w:lang w:val="es-ES_tradnl" w:eastAsia="es-MX"/>
        </w:rPr>
      </w:pPr>
      <w:r w:rsidRPr="006C728E">
        <w:rPr>
          <w:lang w:eastAsia="es-MX"/>
        </w:rPr>
        <w:t>Las demás que le confieran otros ordenamientos jurídicos y aquellas que le encomienden las personas titulares de la Secretaría y/o Subsecretaría de Planeación y Presupuesto.</w:t>
      </w:r>
    </w:p>
    <w:p w:rsidR="002158D7" w:rsidRDefault="002158D7" w:rsidP="002158D7">
      <w:pPr>
        <w:pStyle w:val="INFOEM"/>
        <w:spacing w:before="0" w:after="0" w:line="276" w:lineRule="auto"/>
        <w:rPr>
          <w:lang w:eastAsia="es-MX"/>
        </w:rPr>
      </w:pPr>
    </w:p>
    <w:p w:rsidR="002158D7" w:rsidRPr="002158D7" w:rsidRDefault="002158D7" w:rsidP="002158D7">
      <w:pPr>
        <w:pStyle w:val="INFOEM"/>
        <w:rPr>
          <w:b/>
          <w:u w:val="single"/>
          <w:lang w:eastAsia="es-MX"/>
        </w:rPr>
      </w:pPr>
      <w:r w:rsidRPr="002158D7">
        <w:rPr>
          <w:b/>
          <w:u w:val="single"/>
          <w:lang w:eastAsia="es-MX"/>
        </w:rPr>
        <w:t>Artículo 34. Corresponde a la Coordinación Administrativa:</w:t>
      </w:r>
    </w:p>
    <w:p w:rsidR="002158D7" w:rsidRPr="006C728E" w:rsidRDefault="002158D7" w:rsidP="002158D7">
      <w:pPr>
        <w:pStyle w:val="INFOEM"/>
        <w:rPr>
          <w:lang w:eastAsia="es-MX"/>
        </w:rPr>
      </w:pPr>
      <w:r w:rsidRPr="006C728E">
        <w:rPr>
          <w:lang w:eastAsia="es-MX"/>
        </w:rPr>
        <w:t>…</w:t>
      </w:r>
    </w:p>
    <w:p w:rsidR="002158D7" w:rsidRPr="002158D7" w:rsidRDefault="002158D7" w:rsidP="002158D7">
      <w:pPr>
        <w:pStyle w:val="INFOEM"/>
        <w:rPr>
          <w:b/>
          <w:u w:val="single"/>
          <w:lang w:eastAsia="es-MX"/>
        </w:rPr>
      </w:pPr>
      <w:r w:rsidRPr="002158D7">
        <w:rPr>
          <w:b/>
          <w:u w:val="single"/>
          <w:lang w:eastAsia="es-MX"/>
        </w:rPr>
        <w:t>XV. Tramitar previo acuerdo de la persona titular de la Secretaría, los movimientos de altas, bajas, cambios, promociones, permisos, licencias y demás movimientos de las personas servidoras públicas de la Secretaría, en términos de las disposiciones legales aplicables;</w:t>
      </w:r>
    </w:p>
    <w:p w:rsidR="002158D7" w:rsidRPr="006C728E" w:rsidRDefault="002158D7" w:rsidP="002158D7">
      <w:pPr>
        <w:pStyle w:val="INFOEM"/>
        <w:spacing w:before="0" w:after="0" w:line="276" w:lineRule="auto"/>
        <w:rPr>
          <w:lang w:val="es-ES_tradnl" w:eastAsia="es-MX"/>
        </w:rPr>
      </w:pPr>
    </w:p>
    <w:p w:rsidR="00A127E8" w:rsidRDefault="00A127E8" w:rsidP="00B8450C">
      <w:pPr>
        <w:pStyle w:val="Sinespaciado"/>
        <w:spacing w:line="360" w:lineRule="auto"/>
        <w:jc w:val="both"/>
        <w:rPr>
          <w:rFonts w:ascii="Palatino Linotype" w:eastAsia="Palatino Linotype" w:hAnsi="Palatino Linotype" w:cs="Palatino Linotype"/>
          <w:color w:val="000000"/>
          <w:lang w:val="es-ES_tradnl" w:eastAsia="es-MX"/>
        </w:rPr>
      </w:pPr>
    </w:p>
    <w:p w:rsidR="00A127E8" w:rsidRDefault="00A127E8" w:rsidP="00B8450C">
      <w:pPr>
        <w:pStyle w:val="Sinespaciado"/>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lastRenderedPageBreak/>
        <w:t>En virtud</w:t>
      </w:r>
      <w:r w:rsidR="002158D7">
        <w:rPr>
          <w:rFonts w:ascii="Palatino Linotype" w:eastAsia="Palatino Linotype" w:hAnsi="Palatino Linotype" w:cs="Palatino Linotype"/>
          <w:color w:val="000000"/>
          <w:lang w:val="es-ES_tradnl" w:eastAsia="es-MX"/>
        </w:rPr>
        <w:t xml:space="preserve"> de lo anterior, conforme al portal de IPOMEX del Sujeto Obligado se advierte que la servidora pública referida en la solicitud ostenta el cargo de Directora de Monitoreo y Evaluación, tal como se ilustra:</w:t>
      </w:r>
    </w:p>
    <w:p w:rsidR="002158D7" w:rsidRDefault="002158D7" w:rsidP="002158D7">
      <w:pPr>
        <w:pStyle w:val="Sinespaciado"/>
        <w:spacing w:line="360" w:lineRule="auto"/>
        <w:jc w:val="center"/>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noProof/>
          <w:color w:val="000000"/>
          <w:lang w:eastAsia="es-MX"/>
        </w:rPr>
        <w:drawing>
          <wp:inline distT="0" distB="0" distL="0" distR="0">
            <wp:extent cx="4334480" cy="122889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CE2D7.tmp"/>
                    <pic:cNvPicPr/>
                  </pic:nvPicPr>
                  <pic:blipFill>
                    <a:blip r:embed="rId7">
                      <a:extLst>
                        <a:ext uri="{28A0092B-C50C-407E-A947-70E740481C1C}">
                          <a14:useLocalDpi xmlns:a14="http://schemas.microsoft.com/office/drawing/2010/main" val="0"/>
                        </a:ext>
                      </a:extLst>
                    </a:blip>
                    <a:stretch>
                      <a:fillRect/>
                    </a:stretch>
                  </pic:blipFill>
                  <pic:spPr>
                    <a:xfrm>
                      <a:off x="0" y="0"/>
                      <a:ext cx="4334480" cy="1228896"/>
                    </a:xfrm>
                    <a:prstGeom prst="rect">
                      <a:avLst/>
                    </a:prstGeom>
                  </pic:spPr>
                </pic:pic>
              </a:graphicData>
            </a:graphic>
          </wp:inline>
        </w:drawing>
      </w:r>
    </w:p>
    <w:p w:rsidR="002158D7" w:rsidRDefault="002158D7" w:rsidP="00B8450C">
      <w:pPr>
        <w:pStyle w:val="Sinespaciado"/>
        <w:spacing w:line="360" w:lineRule="auto"/>
        <w:jc w:val="both"/>
        <w:rPr>
          <w:rFonts w:ascii="Palatino Linotype" w:eastAsia="Palatino Linotype" w:hAnsi="Palatino Linotype" w:cs="Palatino Linotype"/>
          <w:color w:val="000000"/>
          <w:lang w:val="es-ES_tradnl" w:eastAsia="es-MX"/>
        </w:rPr>
      </w:pPr>
    </w:p>
    <w:p w:rsidR="00B8450C" w:rsidRDefault="00B8450C" w:rsidP="00B8450C">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B8450C" w:rsidRPr="00177253" w:rsidRDefault="00B8450C" w:rsidP="00B8450C">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4"/>
        <w:gridCol w:w="3685"/>
        <w:gridCol w:w="2253"/>
      </w:tblGrid>
      <w:tr w:rsidR="00B8450C" w:rsidTr="00514B25">
        <w:trPr>
          <w:trHeight w:val="408"/>
        </w:trPr>
        <w:tc>
          <w:tcPr>
            <w:tcW w:w="3104" w:type="dxa"/>
            <w:shd w:val="clear" w:color="auto" w:fill="E7E6E6" w:themeFill="background2"/>
          </w:tcPr>
          <w:p w:rsidR="00B8450C" w:rsidRPr="00E80E99" w:rsidRDefault="00B8450C" w:rsidP="00623507">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3685" w:type="dxa"/>
            <w:shd w:val="clear" w:color="auto" w:fill="E7E6E6" w:themeFill="background2"/>
          </w:tcPr>
          <w:p w:rsidR="00B8450C" w:rsidRPr="00E80E99" w:rsidRDefault="00B8450C" w:rsidP="00623507">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2253" w:type="dxa"/>
            <w:shd w:val="clear" w:color="auto" w:fill="E7E6E6" w:themeFill="background2"/>
          </w:tcPr>
          <w:p w:rsidR="00B8450C" w:rsidRPr="00E80E99" w:rsidRDefault="00B8450C" w:rsidP="00623507">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B8450C" w:rsidTr="00514B25">
        <w:trPr>
          <w:trHeight w:val="1234"/>
        </w:trPr>
        <w:tc>
          <w:tcPr>
            <w:tcW w:w="3104" w:type="dxa"/>
          </w:tcPr>
          <w:p w:rsidR="00B8450C" w:rsidRPr="00227D4D" w:rsidRDefault="00A127E8" w:rsidP="00623507">
            <w:pPr>
              <w:tabs>
                <w:tab w:val="left" w:pos="1828"/>
              </w:tabs>
              <w:jc w:val="both"/>
              <w:rPr>
                <w:rFonts w:ascii="Palatino Linotype" w:hAnsi="Palatino Linotype" w:cs="Tahoma"/>
                <w:bCs/>
                <w:sz w:val="24"/>
              </w:rPr>
            </w:pPr>
            <w:r w:rsidRPr="008300A1">
              <w:rPr>
                <w:rFonts w:ascii="Palatino Linotype" w:hAnsi="Palatino Linotype" w:cs="Tahoma"/>
                <w:bCs/>
              </w:rPr>
              <w:t>cambios de personal que realizo la C. Luz María Cuero Hernández en su Dirección de Área, en su anterior contratación en la Dirección General de Evaluación del Desempeño Institucional, adscrita a la Secretaría de Finanzas, mediante documentales q</w:t>
            </w:r>
            <w:r>
              <w:rPr>
                <w:rFonts w:ascii="Palatino Linotype" w:hAnsi="Palatino Linotype" w:cs="Tahoma"/>
                <w:bCs/>
              </w:rPr>
              <w:t>ue acrediten dichos movimientos</w:t>
            </w:r>
          </w:p>
        </w:tc>
        <w:tc>
          <w:tcPr>
            <w:tcW w:w="3685" w:type="dxa"/>
          </w:tcPr>
          <w:p w:rsidR="00B8450C" w:rsidRPr="00E94B77" w:rsidRDefault="002158D7" w:rsidP="00623507">
            <w:pPr>
              <w:jc w:val="both"/>
              <w:rPr>
                <w:rFonts w:ascii="Palatino Linotype" w:hAnsi="Palatino Linotype"/>
                <w:color w:val="000000"/>
              </w:rPr>
            </w:pPr>
            <w:r>
              <w:rPr>
                <w:rFonts w:ascii="Palatino Linotype" w:hAnsi="Palatino Linotype"/>
                <w:color w:val="000000"/>
              </w:rPr>
              <w:t>El servidor público y habilitado de la Subsecretaría de Planeación y Presupuesto refirió que no localizó documentación relacionada con cambios de personal que haya realizado la servidora pública referida en la solicitud, por no corresponder a sus funciones establecidas dentro del Reglamento Interior de la Secretaría de Finanzas</w:t>
            </w:r>
            <w:r w:rsidR="00514B25">
              <w:rPr>
                <w:rFonts w:ascii="Palatino Linotype" w:hAnsi="Palatino Linotype"/>
                <w:color w:val="000000"/>
              </w:rPr>
              <w:t xml:space="preserve">. </w:t>
            </w:r>
          </w:p>
        </w:tc>
        <w:tc>
          <w:tcPr>
            <w:tcW w:w="2253" w:type="dxa"/>
          </w:tcPr>
          <w:p w:rsidR="00B8450C" w:rsidRDefault="00B8450C" w:rsidP="00623507">
            <w:pPr>
              <w:jc w:val="center"/>
              <w:rPr>
                <w:rFonts w:ascii="Palatino Linotype" w:hAnsi="Palatino Linotype"/>
                <w:b/>
                <w:i/>
              </w:rPr>
            </w:pPr>
            <w:r w:rsidRPr="00B10F71">
              <w:rPr>
                <w:rFonts w:ascii="Palatino Linotype" w:hAnsi="Palatino Linotype"/>
                <w:b/>
                <w:i/>
              </w:rPr>
              <w:t>Sí</w:t>
            </w:r>
          </w:p>
          <w:p w:rsidR="00514B25" w:rsidRPr="00514B25" w:rsidRDefault="00514B25" w:rsidP="00514B25">
            <w:pPr>
              <w:jc w:val="both"/>
              <w:rPr>
                <w:rFonts w:ascii="Palatino Linotype" w:hAnsi="Palatino Linotype"/>
                <w:i/>
              </w:rPr>
            </w:pPr>
            <w:r w:rsidRPr="00514B25">
              <w:rPr>
                <w:rFonts w:ascii="Palatino Linotype" w:hAnsi="Palatino Linotype"/>
                <w:i/>
              </w:rPr>
              <w:t xml:space="preserve">Conforme al Reglamento Interior, la facultad de realizar movimientos de personal corresponde a la Coordinación Administrativa. </w:t>
            </w:r>
          </w:p>
        </w:tc>
      </w:tr>
    </w:tbl>
    <w:p w:rsidR="00514B25" w:rsidRDefault="00514B25" w:rsidP="00B8450C">
      <w:pPr>
        <w:spacing w:after="0" w:line="360" w:lineRule="auto"/>
        <w:jc w:val="both"/>
        <w:rPr>
          <w:rFonts w:ascii="Palatino Linotype" w:hAnsi="Palatino Linotype"/>
          <w:color w:val="000000"/>
          <w:sz w:val="24"/>
          <w:szCs w:val="24"/>
        </w:rPr>
      </w:pPr>
    </w:p>
    <w:p w:rsidR="00514B25" w:rsidRDefault="00514B25" w:rsidP="00B8450C">
      <w:pPr>
        <w:spacing w:after="0" w:line="360" w:lineRule="auto"/>
        <w:jc w:val="both"/>
        <w:rPr>
          <w:rFonts w:ascii="Palatino Linotype" w:hAnsi="Palatino Linotype"/>
          <w:color w:val="000000"/>
          <w:sz w:val="24"/>
          <w:szCs w:val="24"/>
        </w:rPr>
      </w:pPr>
    </w:p>
    <w:p w:rsidR="00B8450C" w:rsidRPr="009E63DA" w:rsidRDefault="00B8450C" w:rsidP="00B8450C">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lastRenderedPageBreak/>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B8450C" w:rsidRPr="009E63DA" w:rsidRDefault="00B8450C" w:rsidP="00B8450C">
      <w:pPr>
        <w:spacing w:after="0" w:line="360" w:lineRule="auto"/>
        <w:jc w:val="both"/>
        <w:rPr>
          <w:rFonts w:ascii="Palatino Linotype" w:hAnsi="Palatino Linotype"/>
          <w:color w:val="000000"/>
          <w:sz w:val="24"/>
          <w:szCs w:val="24"/>
        </w:rPr>
      </w:pPr>
    </w:p>
    <w:p w:rsidR="00B8450C" w:rsidRPr="009E63DA" w:rsidRDefault="00B8450C" w:rsidP="00B8450C">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B8450C" w:rsidRPr="009E63DA" w:rsidRDefault="00B8450C" w:rsidP="00B8450C">
      <w:pPr>
        <w:spacing w:after="0" w:line="240" w:lineRule="auto"/>
        <w:ind w:left="567" w:right="567"/>
        <w:jc w:val="both"/>
        <w:rPr>
          <w:rFonts w:ascii="Palatino Linotype" w:hAnsi="Palatino Linotype"/>
          <w:i/>
        </w:rPr>
      </w:pPr>
      <w:r w:rsidRPr="009E63DA">
        <w:rPr>
          <w:rFonts w:ascii="Palatino Linotype" w:hAnsi="Palatino Linotype"/>
          <w:i/>
        </w:rPr>
        <w:t>…</w:t>
      </w:r>
    </w:p>
    <w:p w:rsidR="00B8450C" w:rsidRPr="009E63DA" w:rsidRDefault="00B8450C" w:rsidP="00B8450C">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B8450C" w:rsidRPr="009E63DA" w:rsidRDefault="00B8450C" w:rsidP="00B8450C">
      <w:pPr>
        <w:spacing w:after="0" w:line="240" w:lineRule="auto"/>
        <w:ind w:left="567" w:right="567"/>
        <w:jc w:val="both"/>
        <w:rPr>
          <w:rFonts w:ascii="Palatino Linotype" w:hAnsi="Palatino Linotype"/>
          <w:i/>
        </w:rPr>
      </w:pPr>
    </w:p>
    <w:p w:rsidR="00B8450C" w:rsidRPr="009E63DA" w:rsidRDefault="00B8450C" w:rsidP="00B8450C">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B8450C" w:rsidRPr="009E63DA" w:rsidRDefault="00B8450C" w:rsidP="00B8450C">
      <w:pPr>
        <w:spacing w:after="0" w:line="360" w:lineRule="auto"/>
        <w:jc w:val="both"/>
        <w:rPr>
          <w:rFonts w:ascii="Palatino Linotype" w:hAnsi="Palatino Linotype"/>
          <w:sz w:val="24"/>
          <w:szCs w:val="24"/>
        </w:rPr>
      </w:pPr>
    </w:p>
    <w:p w:rsidR="00B8450C" w:rsidRPr="009E63DA" w:rsidRDefault="00B8450C" w:rsidP="00B8450C">
      <w:pPr>
        <w:spacing w:after="0" w:line="360" w:lineRule="auto"/>
        <w:jc w:val="both"/>
        <w:rPr>
          <w:rFonts w:ascii="Palatino Linotype" w:hAnsi="Palatino Linotype" w:cs="Arial"/>
          <w:sz w:val="24"/>
          <w:szCs w:val="24"/>
        </w:rPr>
      </w:pPr>
      <w:r>
        <w:rPr>
          <w:rFonts w:ascii="Palatino Linotype" w:hAnsi="Palatino Linotype" w:cs="Arial"/>
          <w:sz w:val="24"/>
          <w:szCs w:val="24"/>
        </w:rPr>
        <w:t>Por otro lado</w:t>
      </w:r>
      <w:r w:rsidRPr="009E63DA">
        <w:rPr>
          <w:rFonts w:ascii="Palatino Linotype" w:hAnsi="Palatino Linotype" w:cs="Arial"/>
          <w:sz w:val="24"/>
          <w:szCs w:val="24"/>
        </w:rPr>
        <w:t xml:space="preserve">,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rsidR="00B8450C" w:rsidRPr="009E63DA" w:rsidRDefault="00B8450C" w:rsidP="00B8450C">
      <w:pPr>
        <w:spacing w:after="0" w:line="240" w:lineRule="auto"/>
        <w:ind w:left="567" w:right="567"/>
        <w:jc w:val="both"/>
        <w:rPr>
          <w:rFonts w:ascii="Palatino Linotype" w:hAnsi="Palatino Linotype"/>
          <w:sz w:val="24"/>
          <w:szCs w:val="24"/>
        </w:rPr>
      </w:pPr>
    </w:p>
    <w:p w:rsidR="00B8450C" w:rsidRPr="009E63DA" w:rsidRDefault="00B8450C" w:rsidP="00B8450C">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B8450C" w:rsidRPr="009E63DA" w:rsidRDefault="00B8450C" w:rsidP="00B8450C">
      <w:pPr>
        <w:spacing w:after="0" w:line="240" w:lineRule="auto"/>
        <w:ind w:left="851" w:right="851"/>
        <w:jc w:val="both"/>
        <w:rPr>
          <w:rFonts w:ascii="Palatino Linotype" w:hAnsi="Palatino Linotype"/>
          <w:i/>
        </w:rPr>
      </w:pPr>
      <w:r w:rsidRPr="009E63DA">
        <w:rPr>
          <w:rFonts w:ascii="Palatino Linotype" w:hAnsi="Palatino Linotype"/>
          <w:i/>
        </w:rPr>
        <w:t>…</w:t>
      </w:r>
    </w:p>
    <w:p w:rsidR="00B8450C" w:rsidRPr="009E63DA" w:rsidRDefault="00B8450C" w:rsidP="00B8450C">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B8450C" w:rsidRPr="009E63DA" w:rsidRDefault="00B8450C" w:rsidP="00B8450C">
      <w:pPr>
        <w:spacing w:after="0" w:line="240" w:lineRule="auto"/>
        <w:ind w:left="851" w:right="851"/>
        <w:jc w:val="both"/>
        <w:rPr>
          <w:rFonts w:ascii="Palatino Linotype" w:hAnsi="Palatino Linotype"/>
          <w:i/>
        </w:rPr>
      </w:pPr>
    </w:p>
    <w:p w:rsidR="00B8450C" w:rsidRPr="009E63DA" w:rsidRDefault="00B8450C" w:rsidP="00B8450C">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B8450C" w:rsidRPr="009E63DA" w:rsidRDefault="00B8450C" w:rsidP="00B8450C">
      <w:pPr>
        <w:spacing w:after="0" w:line="240" w:lineRule="auto"/>
        <w:ind w:left="851" w:right="851"/>
        <w:jc w:val="both"/>
        <w:rPr>
          <w:rFonts w:ascii="Palatino Linotype" w:hAnsi="Palatino Linotype"/>
          <w:bCs/>
          <w:i/>
        </w:rPr>
      </w:pPr>
    </w:p>
    <w:p w:rsidR="00B8450C" w:rsidRPr="009E63DA" w:rsidRDefault="00B8450C" w:rsidP="00B8450C">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B8450C" w:rsidRPr="009E63DA" w:rsidRDefault="00B8450C" w:rsidP="00B8450C">
      <w:pPr>
        <w:spacing w:after="0" w:line="240" w:lineRule="auto"/>
        <w:ind w:left="851" w:right="851"/>
        <w:jc w:val="both"/>
        <w:rPr>
          <w:rFonts w:ascii="Palatino Linotype" w:hAnsi="Palatino Linotype"/>
          <w:bCs/>
          <w:i/>
        </w:rPr>
      </w:pPr>
    </w:p>
    <w:p w:rsidR="00B8450C" w:rsidRPr="009E63DA" w:rsidRDefault="00B8450C" w:rsidP="00B8450C">
      <w:pPr>
        <w:spacing w:after="0" w:line="240" w:lineRule="auto"/>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B8450C" w:rsidRPr="009E63DA" w:rsidRDefault="00B8450C" w:rsidP="00B8450C">
      <w:pPr>
        <w:spacing w:after="0" w:line="240" w:lineRule="auto"/>
        <w:ind w:left="851" w:right="851"/>
        <w:jc w:val="both"/>
        <w:rPr>
          <w:rFonts w:ascii="Palatino Linotype" w:hAnsi="Palatino Linotype"/>
          <w:i/>
        </w:rPr>
      </w:pPr>
    </w:p>
    <w:p w:rsidR="00B8450C" w:rsidRPr="009E63DA" w:rsidRDefault="00B8450C" w:rsidP="00B8450C">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B8450C" w:rsidRPr="009E63DA" w:rsidRDefault="00B8450C" w:rsidP="00B8450C">
      <w:pPr>
        <w:spacing w:after="0" w:line="240" w:lineRule="auto"/>
        <w:ind w:left="851" w:right="851"/>
        <w:jc w:val="both"/>
        <w:rPr>
          <w:rFonts w:ascii="Palatino Linotype" w:hAnsi="Palatino Linotype"/>
          <w:i/>
        </w:rPr>
      </w:pPr>
    </w:p>
    <w:p w:rsidR="00B8450C" w:rsidRPr="009E63DA" w:rsidRDefault="00B8450C" w:rsidP="00B8450C">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B8450C" w:rsidRPr="009E63DA" w:rsidRDefault="00B8450C" w:rsidP="00B8450C">
      <w:pPr>
        <w:spacing w:after="0" w:line="360" w:lineRule="auto"/>
        <w:jc w:val="both"/>
        <w:rPr>
          <w:rFonts w:ascii="Palatino Linotype" w:hAnsi="Palatino Linotype"/>
          <w:sz w:val="24"/>
          <w:szCs w:val="24"/>
        </w:rPr>
      </w:pPr>
    </w:p>
    <w:p w:rsidR="00B8450C" w:rsidRPr="009E63DA" w:rsidRDefault="00B8450C" w:rsidP="00B8450C">
      <w:pPr>
        <w:spacing w:after="0" w:line="360" w:lineRule="auto"/>
        <w:jc w:val="both"/>
        <w:rPr>
          <w:rFonts w:ascii="Palatino Linotype" w:hAnsi="Palatino Linotype"/>
          <w:sz w:val="24"/>
          <w:szCs w:val="24"/>
        </w:rPr>
      </w:pPr>
      <w:r w:rsidRPr="009E63DA">
        <w:rPr>
          <w:rFonts w:ascii="Palatino Linotype" w:hAnsi="Palatino Linotype" w:cs="Arial"/>
          <w:sz w:val="24"/>
          <w:szCs w:val="24"/>
        </w:rPr>
        <w:lastRenderedPageBreak/>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B8450C" w:rsidRPr="009E63DA" w:rsidRDefault="00B8450C" w:rsidP="00B8450C">
      <w:pPr>
        <w:spacing w:after="0" w:line="360" w:lineRule="auto"/>
        <w:jc w:val="both"/>
        <w:rPr>
          <w:rFonts w:ascii="Palatino Linotype" w:eastAsia="Times New Roman" w:hAnsi="Palatino Linotype" w:cs="Times New Roman"/>
          <w:sz w:val="24"/>
          <w:szCs w:val="24"/>
          <w:lang w:val="es-ES" w:eastAsia="es-ES"/>
        </w:rPr>
      </w:pPr>
    </w:p>
    <w:p w:rsidR="00B8450C" w:rsidRPr="009E63DA" w:rsidRDefault="00B8450C" w:rsidP="00B8450C">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rsidR="00B8450C" w:rsidRPr="009E63DA" w:rsidRDefault="00B8450C" w:rsidP="00B8450C">
      <w:pPr>
        <w:spacing w:after="0" w:line="360" w:lineRule="auto"/>
        <w:jc w:val="both"/>
        <w:rPr>
          <w:rFonts w:ascii="Palatino Linotype" w:eastAsia="Calibri" w:hAnsi="Palatino Linotype" w:cs="Arial"/>
          <w:color w:val="000000"/>
          <w:sz w:val="24"/>
          <w:szCs w:val="24"/>
          <w:lang w:val="es-ES_tradnl" w:eastAsia="es-MX"/>
        </w:rPr>
      </w:pPr>
    </w:p>
    <w:p w:rsidR="00B8450C" w:rsidRPr="009E63DA" w:rsidRDefault="00B8450C" w:rsidP="00B8450C">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B8450C" w:rsidRPr="009E63DA" w:rsidRDefault="00B8450C" w:rsidP="00B8450C">
      <w:pPr>
        <w:spacing w:after="0" w:line="360" w:lineRule="auto"/>
        <w:jc w:val="both"/>
        <w:rPr>
          <w:rFonts w:ascii="Palatino Linotype" w:eastAsia="Calibri" w:hAnsi="Palatino Linotype" w:cs="Arial"/>
          <w:color w:val="000000"/>
          <w:sz w:val="24"/>
          <w:szCs w:val="24"/>
          <w:lang w:val="es-ES_tradnl" w:eastAsia="es-MX"/>
        </w:rPr>
      </w:pPr>
    </w:p>
    <w:p w:rsidR="00B8450C" w:rsidRPr="009E63DA" w:rsidRDefault="00B8450C" w:rsidP="00B8450C">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B8450C" w:rsidRPr="009E63DA" w:rsidRDefault="00B8450C" w:rsidP="00B8450C">
      <w:pPr>
        <w:spacing w:after="0" w:line="360" w:lineRule="auto"/>
        <w:jc w:val="both"/>
        <w:rPr>
          <w:rFonts w:ascii="Palatino Linotype" w:eastAsia="Times New Roman" w:hAnsi="Palatino Linotype" w:cs="Times New Roman"/>
          <w:sz w:val="24"/>
          <w:szCs w:val="24"/>
          <w:lang w:val="es-ES_tradnl" w:eastAsia="es-ES"/>
        </w:rPr>
      </w:pPr>
    </w:p>
    <w:p w:rsidR="00B8450C" w:rsidRPr="009E63DA" w:rsidRDefault="00B8450C" w:rsidP="00B8450C">
      <w:pPr>
        <w:spacing w:after="0" w:line="360" w:lineRule="auto"/>
        <w:ind w:left="851" w:right="850"/>
        <w:jc w:val="both"/>
        <w:rPr>
          <w:rFonts w:ascii="Palatino Linotype" w:eastAsia="Calibri" w:hAnsi="Palatino Linotype" w:cs="Arial"/>
          <w:color w:val="000000"/>
          <w:sz w:val="2"/>
          <w:szCs w:val="24"/>
          <w:lang w:val="es-ES_tradnl" w:eastAsia="es-MX"/>
        </w:rPr>
      </w:pPr>
    </w:p>
    <w:p w:rsidR="00B8450C" w:rsidRPr="009E63DA" w:rsidRDefault="00B8450C" w:rsidP="00B8450C">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lastRenderedPageBreak/>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B8450C" w:rsidRPr="009E63DA" w:rsidRDefault="00B8450C" w:rsidP="00B8450C">
      <w:pPr>
        <w:spacing w:after="0" w:line="240" w:lineRule="auto"/>
        <w:ind w:left="567" w:right="567"/>
        <w:jc w:val="both"/>
        <w:rPr>
          <w:rFonts w:ascii="Palatino Linotype" w:eastAsia="Calibri" w:hAnsi="Palatino Linotype" w:cs="Arial"/>
          <w:i/>
          <w:color w:val="000000"/>
          <w:sz w:val="2"/>
          <w:szCs w:val="24"/>
          <w:lang w:val="es-ES_tradnl" w:eastAsia="es-MX"/>
        </w:rPr>
      </w:pPr>
    </w:p>
    <w:p w:rsidR="00B8450C" w:rsidRPr="00F55BA2" w:rsidRDefault="00B8450C" w:rsidP="00B8450C">
      <w:pPr>
        <w:spacing w:after="0" w:line="360" w:lineRule="auto"/>
        <w:jc w:val="both"/>
        <w:rPr>
          <w:rFonts w:ascii="Palatino Linotype" w:eastAsia="Calibri" w:hAnsi="Palatino Linotype" w:cs="Arial"/>
          <w:color w:val="000000"/>
          <w:sz w:val="24"/>
          <w:szCs w:val="24"/>
          <w:lang w:val="es-ES_tradnl" w:eastAsia="es-MX"/>
        </w:rPr>
      </w:pPr>
    </w:p>
    <w:p w:rsidR="00B8450C" w:rsidRPr="009E63DA" w:rsidRDefault="00B8450C" w:rsidP="00B8450C">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rsidR="00B8450C" w:rsidRPr="009E63DA" w:rsidRDefault="00B8450C" w:rsidP="00B8450C">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B8450C" w:rsidRPr="009E63DA" w:rsidRDefault="00B8450C" w:rsidP="00B8450C">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w:t>
      </w:r>
      <w:r w:rsidRPr="009E63DA">
        <w:rPr>
          <w:rFonts w:ascii="Palatino Linotype" w:eastAsia="Times New Roman" w:hAnsi="Palatino Linotype" w:cs="Arial"/>
          <w:i/>
          <w:sz w:val="24"/>
          <w:szCs w:val="24"/>
          <w:lang w:val="es-ES" w:eastAsia="es-ES"/>
        </w:rPr>
        <w:lastRenderedPageBreak/>
        <w:t>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B8450C" w:rsidRPr="009E63DA" w:rsidRDefault="00B8450C" w:rsidP="00B8450C">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rsidR="00B8450C" w:rsidRPr="009E63DA" w:rsidRDefault="00B8450C" w:rsidP="00B8450C">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B8450C" w:rsidRPr="009E63DA" w:rsidRDefault="00B8450C" w:rsidP="00B8450C">
      <w:pPr>
        <w:numPr>
          <w:ilvl w:val="0"/>
          <w:numId w:val="2"/>
        </w:numPr>
        <w:spacing w:before="240" w:after="0" w:line="24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9E63DA">
        <w:rPr>
          <w:rFonts w:ascii="Palatino Linotype" w:eastAsia="Times New Roman" w:hAnsi="Palatino Linotype" w:cs="Arial"/>
          <w:i/>
          <w:sz w:val="24"/>
          <w:szCs w:val="24"/>
          <w:lang w:val="es-ES" w:eastAsia="es-ES"/>
        </w:rPr>
        <w:t>Rosendoevgueni</w:t>
      </w:r>
      <w:proofErr w:type="spellEnd"/>
      <w:r w:rsidRPr="009E63DA">
        <w:rPr>
          <w:rFonts w:ascii="Palatino Linotype" w:eastAsia="Times New Roman" w:hAnsi="Palatino Linotype" w:cs="Arial"/>
          <w:i/>
          <w:sz w:val="24"/>
          <w:szCs w:val="24"/>
          <w:lang w:val="es-ES" w:eastAsia="es-ES"/>
        </w:rPr>
        <w:t xml:space="preserve"> Monterrey </w:t>
      </w:r>
      <w:proofErr w:type="spellStart"/>
      <w:r w:rsidRPr="009E63DA">
        <w:rPr>
          <w:rFonts w:ascii="Palatino Linotype" w:eastAsia="Times New Roman" w:hAnsi="Palatino Linotype" w:cs="Arial"/>
          <w:i/>
          <w:sz w:val="24"/>
          <w:szCs w:val="24"/>
          <w:lang w:val="es-ES" w:eastAsia="es-ES"/>
        </w:rPr>
        <w:t>Chepov</w:t>
      </w:r>
      <w:proofErr w:type="spellEnd"/>
      <w:r w:rsidRPr="009E63DA">
        <w:rPr>
          <w:rFonts w:ascii="Palatino Linotype" w:eastAsia="Times New Roman" w:hAnsi="Palatino Linotype" w:cs="Arial"/>
          <w:i/>
          <w:sz w:val="24"/>
          <w:szCs w:val="24"/>
          <w:lang w:val="es-ES" w:eastAsia="es-ES"/>
        </w:rPr>
        <w:t xml:space="preserve">.” </w:t>
      </w:r>
      <w:r w:rsidRPr="009E63DA">
        <w:rPr>
          <w:rFonts w:ascii="Palatino Linotype" w:eastAsia="Times New Roman" w:hAnsi="Palatino Linotype" w:cs="Times New Roman"/>
          <w:b/>
          <w:i/>
          <w:sz w:val="24"/>
          <w:szCs w:val="24"/>
          <w:lang w:val="es-ES_tradnl" w:eastAsia="es-ES"/>
        </w:rPr>
        <w:t>(Sic)</w:t>
      </w:r>
    </w:p>
    <w:p w:rsidR="00B8450C" w:rsidRPr="009E63DA" w:rsidRDefault="00B8450C" w:rsidP="00B8450C">
      <w:pPr>
        <w:spacing w:after="0" w:line="360" w:lineRule="auto"/>
        <w:jc w:val="both"/>
        <w:rPr>
          <w:rFonts w:ascii="Palatino Linotype" w:eastAsia="Times New Roman" w:hAnsi="Palatino Linotype" w:cs="Arial"/>
          <w:noProof/>
          <w:color w:val="000000"/>
          <w:sz w:val="24"/>
          <w:szCs w:val="24"/>
          <w:lang w:val="es-ES" w:eastAsia="es-MX"/>
        </w:rPr>
      </w:pPr>
    </w:p>
    <w:p w:rsidR="00B8450C" w:rsidRPr="009E63DA" w:rsidRDefault="00B8450C" w:rsidP="00B8450C">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B8450C" w:rsidRDefault="00B8450C" w:rsidP="00B8450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B8450C" w:rsidRPr="009E63DA" w:rsidRDefault="00B8450C" w:rsidP="00B8450C">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Pr>
          <w:rFonts w:ascii="Palatino Linotype" w:eastAsia="Times New Roman" w:hAnsi="Palatino Linotype" w:cs="Times New Roman"/>
          <w:b/>
          <w:sz w:val="24"/>
          <w:szCs w:val="24"/>
          <w:lang w:val="es-ES" w:eastAsia="es-ES"/>
        </w:rPr>
        <w:t xml:space="preserve">00586/SF/IP/2024 </w:t>
      </w:r>
      <w:r w:rsidRPr="009E63DA">
        <w:rPr>
          <w:rFonts w:ascii="Palatino Linotype" w:eastAsia="Times New Roman" w:hAnsi="Palatino Linotype" w:cs="Times New Roman"/>
          <w:sz w:val="24"/>
          <w:szCs w:val="24"/>
          <w:lang w:val="es-ES" w:eastAsia="es-ES"/>
        </w:rPr>
        <w:t xml:space="preserve">que ha sido materia del presente fallo. </w:t>
      </w:r>
    </w:p>
    <w:p w:rsidR="00B8450C" w:rsidRPr="009E63DA" w:rsidRDefault="00B8450C" w:rsidP="00B8450C">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lastRenderedPageBreak/>
        <w:t xml:space="preserve">Por lo antes expuesto y fundado es de resolverse y, </w:t>
      </w:r>
    </w:p>
    <w:p w:rsidR="00B8450C" w:rsidRPr="009E63DA" w:rsidRDefault="00B8450C" w:rsidP="00B8450C">
      <w:pPr>
        <w:spacing w:after="0" w:line="360" w:lineRule="auto"/>
        <w:jc w:val="both"/>
        <w:rPr>
          <w:rFonts w:ascii="Palatino Linotype" w:eastAsia="Times New Roman" w:hAnsi="Palatino Linotype" w:cs="Times New Roman"/>
          <w:sz w:val="24"/>
          <w:szCs w:val="24"/>
          <w:lang w:eastAsia="es-ES"/>
        </w:rPr>
      </w:pPr>
    </w:p>
    <w:p w:rsidR="00B8450C" w:rsidRDefault="00B8450C" w:rsidP="000D6D97">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rsidR="000D6D97" w:rsidRPr="000D6D97" w:rsidRDefault="000D6D97" w:rsidP="000D6D97">
      <w:pPr>
        <w:spacing w:after="0" w:line="360" w:lineRule="auto"/>
        <w:jc w:val="center"/>
        <w:rPr>
          <w:rFonts w:ascii="Palatino Linotype" w:eastAsia="Times New Roman" w:hAnsi="Palatino Linotype" w:cs="Times New Roman"/>
          <w:bCs/>
          <w:spacing w:val="60"/>
          <w:sz w:val="24"/>
          <w:szCs w:val="24"/>
          <w:lang w:val="es-ES_tradnl" w:eastAsia="es-ES"/>
        </w:rPr>
      </w:pPr>
    </w:p>
    <w:p w:rsidR="00B8450C" w:rsidRPr="009E63DA" w:rsidRDefault="00B8450C" w:rsidP="00B8450C">
      <w:pPr>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Pr>
          <w:rFonts w:ascii="Palatino Linotype" w:eastAsia="Times New Roman" w:hAnsi="Palatino Linotype" w:cs="Times New Roman"/>
          <w:b/>
          <w:sz w:val="24"/>
          <w:szCs w:val="24"/>
          <w:lang w:val="es-ES" w:eastAsia="es-ES"/>
        </w:rPr>
        <w:t>00586/SF/IP/2024</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Pr>
          <w:rFonts w:ascii="Palatino Linotype" w:eastAsia="Times New Roman" w:hAnsi="Palatino Linotype" w:cs="Arial"/>
          <w:sz w:val="24"/>
          <w:szCs w:val="24"/>
          <w:lang w:val="es-ES" w:eastAsia="es-ES"/>
        </w:rPr>
        <w:t xml:space="preserve"> de la presente resolución.</w:t>
      </w:r>
    </w:p>
    <w:p w:rsidR="00B8450C" w:rsidRPr="009E63DA" w:rsidRDefault="00B8450C" w:rsidP="00B8450C">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(SAIMEX).</w:t>
      </w:r>
      <w:r>
        <w:rPr>
          <w:rFonts w:ascii="Palatino Linotype" w:eastAsia="Times New Roman" w:hAnsi="Palatino Linotype" w:cs="Arial"/>
          <w:b/>
          <w:sz w:val="24"/>
          <w:szCs w:val="24"/>
          <w:lang w:val="es-ES" w:eastAsia="es-ES"/>
        </w:rPr>
        <w:t xml:space="preserve">  </w:t>
      </w:r>
    </w:p>
    <w:p w:rsidR="00B8450C" w:rsidRPr="009E63DA" w:rsidRDefault="00B8450C" w:rsidP="00B8450C">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p>
    <w:p w:rsidR="00B8450C" w:rsidRDefault="00B8450C" w:rsidP="00B8450C">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B8450C" w:rsidRDefault="00B8450C" w:rsidP="00A85C4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D6D97" w:rsidRPr="009E63DA" w:rsidRDefault="000D6D97" w:rsidP="00A85C4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B8450C" w:rsidRDefault="00B8450C" w:rsidP="00A85C4F">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lastRenderedPageBreak/>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sz w:val="24"/>
        </w:rPr>
        <w:t xml:space="preserve">TRIGÉSIMA </w:t>
      </w:r>
      <w:r w:rsidR="00160A6F">
        <w:rPr>
          <w:rFonts w:ascii="Palatino Linotype" w:hAnsi="Palatino Linotype" w:cs="Arial"/>
          <w:sz w:val="24"/>
        </w:rPr>
        <w:t>OCTAVA</w:t>
      </w:r>
      <w:r>
        <w:rPr>
          <w:rFonts w:ascii="Palatino Linotype" w:hAnsi="Palatino Linotype" w:cs="Arial"/>
          <w:sz w:val="24"/>
        </w:rPr>
        <w:t xml:space="preserve"> </w:t>
      </w:r>
      <w:r w:rsidRPr="00B574E5">
        <w:rPr>
          <w:rFonts w:ascii="Palatino Linotype" w:hAnsi="Palatino Linotype" w:cs="Arial"/>
          <w:sz w:val="24"/>
        </w:rPr>
        <w:t xml:space="preserve">SESIÓN ORDINARIA CELEBRADA </w:t>
      </w:r>
      <w:r w:rsidRPr="00750473">
        <w:rPr>
          <w:rFonts w:ascii="Palatino Linotype" w:hAnsi="Palatino Linotype" w:cs="Arial"/>
          <w:sz w:val="24"/>
        </w:rPr>
        <w:t xml:space="preserve">EL </w:t>
      </w:r>
      <w:r w:rsidR="00160A6F">
        <w:rPr>
          <w:rFonts w:ascii="Palatino Linotype" w:hAnsi="Palatino Linotype" w:cs="Arial"/>
          <w:sz w:val="24"/>
        </w:rPr>
        <w:t>SEIS DE NOVIEMBRE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sidR="00A85C4F">
        <w:rPr>
          <w:rFonts w:ascii="Palatino Linotype" w:hAnsi="Palatino Linotype" w:cs="Arial"/>
          <w:sz w:val="24"/>
        </w:rPr>
        <w:t>---------</w:t>
      </w:r>
      <w:r>
        <w:rPr>
          <w:rFonts w:ascii="Palatino Linotype" w:hAnsi="Palatino Linotype" w:cs="Arial"/>
          <w:sz w:val="24"/>
        </w:rPr>
        <w:t>-</w:t>
      </w:r>
    </w:p>
    <w:p w:rsidR="00B8450C" w:rsidRDefault="00B8450C" w:rsidP="00A85C4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B8450C" w:rsidRDefault="00B8450C" w:rsidP="00A85C4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B8450C" w:rsidRDefault="00A85C4F" w:rsidP="00A85C4F">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B8450C" w:rsidRPr="00AB0A3C" w:rsidRDefault="00514B25" w:rsidP="00B8450C">
      <w:pPr>
        <w:spacing w:line="360" w:lineRule="auto"/>
        <w:jc w:val="both"/>
        <w:rPr>
          <w:sz w:val="20"/>
        </w:rPr>
      </w:pPr>
      <w:r>
        <w:rPr>
          <w:rFonts w:ascii="Palatino Linotype" w:hAnsi="Palatino Linotype"/>
          <w:bCs/>
          <w:sz w:val="16"/>
          <w:szCs w:val="18"/>
        </w:rPr>
        <w:t>CCR/</w:t>
      </w:r>
      <w:r w:rsidR="00C01897">
        <w:rPr>
          <w:rFonts w:ascii="Palatino Linotype" w:hAnsi="Palatino Linotype"/>
          <w:bCs/>
          <w:sz w:val="16"/>
          <w:szCs w:val="18"/>
        </w:rPr>
        <w:t>LMST</w:t>
      </w:r>
    </w:p>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B8450C" w:rsidRDefault="00B8450C" w:rsidP="00B8450C"/>
    <w:p w:rsidR="00F11611" w:rsidRDefault="00F11611"/>
    <w:sectPr w:rsidR="00F11611" w:rsidSect="00623507">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FB" w:rsidRDefault="00D858FB" w:rsidP="00B8450C">
      <w:pPr>
        <w:spacing w:after="0" w:line="240" w:lineRule="auto"/>
      </w:pPr>
      <w:r>
        <w:separator/>
      </w:r>
    </w:p>
  </w:endnote>
  <w:endnote w:type="continuationSeparator" w:id="0">
    <w:p w:rsidR="00D858FB" w:rsidRDefault="00D858FB" w:rsidP="00B8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D7" w:rsidRPr="000B69FA" w:rsidRDefault="002158D7" w:rsidP="0062350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B7AA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B7AAA">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D7" w:rsidRPr="000B69FA" w:rsidRDefault="002158D7" w:rsidP="0062350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B7AA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B7AAA">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FB" w:rsidRDefault="00D858FB" w:rsidP="00B8450C">
      <w:pPr>
        <w:spacing w:after="0" w:line="240" w:lineRule="auto"/>
      </w:pPr>
      <w:r>
        <w:separator/>
      </w:r>
    </w:p>
  </w:footnote>
  <w:footnote w:type="continuationSeparator" w:id="0">
    <w:p w:rsidR="00D858FB" w:rsidRDefault="00D858FB" w:rsidP="00B8450C">
      <w:pPr>
        <w:spacing w:after="0" w:line="240" w:lineRule="auto"/>
      </w:pPr>
      <w:r>
        <w:continuationSeparator/>
      </w:r>
    </w:p>
  </w:footnote>
  <w:footnote w:id="1">
    <w:p w:rsidR="002158D7" w:rsidRPr="005552A8" w:rsidRDefault="002158D7" w:rsidP="00B8450C">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2158D7" w:rsidRPr="005552A8" w:rsidRDefault="002158D7" w:rsidP="00B8450C">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D7" w:rsidRDefault="002158D7">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37E4844" wp14:editId="6EA71E3C">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2158D7" w:rsidTr="00623507">
      <w:trPr>
        <w:trHeight w:val="227"/>
      </w:trPr>
      <w:tc>
        <w:tcPr>
          <w:tcW w:w="5529" w:type="dxa"/>
          <w:hideMark/>
        </w:tcPr>
        <w:p w:rsidR="002158D7" w:rsidRDefault="002158D7" w:rsidP="0062350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2158D7" w:rsidRPr="00B4142F" w:rsidRDefault="00A85C4F" w:rsidP="0062350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158D7">
            <w:rPr>
              <w:rFonts w:ascii="Palatino Linotype" w:hAnsi="Palatino Linotype" w:cs="Arial"/>
              <w:bCs/>
              <w:sz w:val="24"/>
              <w:lang w:eastAsia="es-MX"/>
            </w:rPr>
            <w:t>5855/INFOEM/IP/RR/2024</w:t>
          </w:r>
        </w:p>
      </w:tc>
    </w:tr>
    <w:tr w:rsidR="002158D7" w:rsidTr="00623507">
      <w:trPr>
        <w:trHeight w:val="242"/>
      </w:trPr>
      <w:tc>
        <w:tcPr>
          <w:tcW w:w="5529" w:type="dxa"/>
          <w:hideMark/>
        </w:tcPr>
        <w:p w:rsidR="002158D7" w:rsidRDefault="002158D7" w:rsidP="0062350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2158D7" w:rsidRPr="00F06FED" w:rsidRDefault="002158D7" w:rsidP="00623507">
          <w:pPr>
            <w:spacing w:after="120" w:line="256" w:lineRule="auto"/>
            <w:ind w:left="639" w:right="214"/>
            <w:jc w:val="both"/>
            <w:rPr>
              <w:rFonts w:ascii="Palatino Linotype" w:hAnsi="Palatino Linotype" w:cs="Arial"/>
            </w:rPr>
          </w:pPr>
          <w:r w:rsidRPr="004A070C">
            <w:rPr>
              <w:rFonts w:ascii="Palatino Linotype" w:hAnsi="Palatino Linotype" w:cs="Arial"/>
              <w:szCs w:val="20"/>
            </w:rPr>
            <w:t>Secretaría de Finanzas</w:t>
          </w:r>
        </w:p>
      </w:tc>
    </w:tr>
    <w:tr w:rsidR="002158D7" w:rsidTr="00623507">
      <w:trPr>
        <w:trHeight w:val="342"/>
      </w:trPr>
      <w:tc>
        <w:tcPr>
          <w:tcW w:w="5529" w:type="dxa"/>
          <w:hideMark/>
        </w:tcPr>
        <w:p w:rsidR="002158D7" w:rsidRDefault="002158D7" w:rsidP="0062350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2158D7" w:rsidRDefault="002158D7" w:rsidP="00623507">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2158D7" w:rsidRDefault="002158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2158D7" w:rsidTr="00623507">
      <w:trPr>
        <w:trHeight w:val="227"/>
      </w:trPr>
      <w:tc>
        <w:tcPr>
          <w:tcW w:w="5529" w:type="dxa"/>
          <w:hideMark/>
        </w:tcPr>
        <w:p w:rsidR="002158D7" w:rsidRDefault="002158D7" w:rsidP="0062350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2158D7" w:rsidRPr="00B4142F" w:rsidRDefault="00A85C4F" w:rsidP="0062350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2158D7">
            <w:rPr>
              <w:rFonts w:ascii="Palatino Linotype" w:hAnsi="Palatino Linotype" w:cs="Arial"/>
              <w:bCs/>
              <w:sz w:val="24"/>
              <w:lang w:eastAsia="es-MX"/>
            </w:rPr>
            <w:t>5855/INFOEM/IP/RR/2024</w:t>
          </w:r>
        </w:p>
      </w:tc>
    </w:tr>
    <w:tr w:rsidR="002158D7" w:rsidTr="00623507">
      <w:trPr>
        <w:trHeight w:val="196"/>
      </w:trPr>
      <w:tc>
        <w:tcPr>
          <w:tcW w:w="5529" w:type="dxa"/>
          <w:hideMark/>
        </w:tcPr>
        <w:p w:rsidR="002158D7" w:rsidRDefault="002158D7" w:rsidP="0062350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2158D7" w:rsidRPr="00F06FED" w:rsidRDefault="005B7AAA" w:rsidP="00623507">
          <w:pPr>
            <w:spacing w:after="120" w:line="256" w:lineRule="auto"/>
            <w:ind w:left="639" w:right="214"/>
            <w:jc w:val="both"/>
            <w:rPr>
              <w:rFonts w:ascii="Palatino Linotype" w:hAnsi="Palatino Linotype" w:cs="Arial"/>
            </w:rPr>
          </w:pPr>
          <w:r>
            <w:rPr>
              <w:rFonts w:ascii="Palatino Linotype" w:hAnsi="Palatino Linotype" w:cs="Arial"/>
            </w:rPr>
            <w:t>XXXXXXXXXXXXXXXXXXXXXX</w:t>
          </w:r>
        </w:p>
      </w:tc>
    </w:tr>
    <w:tr w:rsidR="002158D7" w:rsidTr="00623507">
      <w:trPr>
        <w:trHeight w:val="242"/>
      </w:trPr>
      <w:tc>
        <w:tcPr>
          <w:tcW w:w="5529" w:type="dxa"/>
          <w:hideMark/>
        </w:tcPr>
        <w:p w:rsidR="002158D7" w:rsidRDefault="002158D7" w:rsidP="0062350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2158D7" w:rsidRDefault="002158D7" w:rsidP="00623507">
          <w:pPr>
            <w:spacing w:after="120" w:line="256" w:lineRule="auto"/>
            <w:ind w:left="639" w:right="214"/>
            <w:jc w:val="both"/>
            <w:rPr>
              <w:rFonts w:ascii="Palatino Linotype" w:hAnsi="Palatino Linotype" w:cs="Arial"/>
              <w:szCs w:val="20"/>
            </w:rPr>
          </w:pPr>
          <w:r w:rsidRPr="004A070C">
            <w:rPr>
              <w:rFonts w:ascii="Palatino Linotype" w:hAnsi="Palatino Linotype" w:cs="Arial"/>
              <w:szCs w:val="20"/>
            </w:rPr>
            <w:t>Secretaría de Finanzas</w:t>
          </w:r>
        </w:p>
      </w:tc>
    </w:tr>
    <w:tr w:rsidR="002158D7" w:rsidTr="00623507">
      <w:trPr>
        <w:trHeight w:val="342"/>
      </w:trPr>
      <w:tc>
        <w:tcPr>
          <w:tcW w:w="5529" w:type="dxa"/>
          <w:hideMark/>
        </w:tcPr>
        <w:p w:rsidR="002158D7" w:rsidRDefault="002158D7" w:rsidP="0062350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2158D7" w:rsidRDefault="002158D7" w:rsidP="00623507">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2158D7" w:rsidRDefault="002158D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C3FD338" wp14:editId="5796C2B7">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6F02"/>
    <w:multiLevelType w:val="hybridMultilevel"/>
    <w:tmpl w:val="7924F08A"/>
    <w:lvl w:ilvl="0" w:tplc="37A04F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6082F6C"/>
    <w:multiLevelType w:val="hybridMultilevel"/>
    <w:tmpl w:val="0BF2C0BE"/>
    <w:lvl w:ilvl="0" w:tplc="AC5A7D6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30CB2882"/>
    <w:multiLevelType w:val="hybridMultilevel"/>
    <w:tmpl w:val="A68004F0"/>
    <w:lvl w:ilvl="0" w:tplc="EB70CEA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D26087"/>
    <w:multiLevelType w:val="hybridMultilevel"/>
    <w:tmpl w:val="2EEC7890"/>
    <w:lvl w:ilvl="0" w:tplc="1A7447D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6"/>
  </w:num>
  <w:num w:numId="3">
    <w:abstractNumId w:val="4"/>
  </w:num>
  <w:num w:numId="4">
    <w:abstractNumId w:val="8"/>
  </w:num>
  <w:num w:numId="5">
    <w:abstractNumId w:val="7"/>
  </w:num>
  <w:num w:numId="6">
    <w:abstractNumId w:val="5"/>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0C"/>
    <w:rsid w:val="000D6D97"/>
    <w:rsid w:val="00160A6F"/>
    <w:rsid w:val="002158D7"/>
    <w:rsid w:val="00473DD1"/>
    <w:rsid w:val="00514B25"/>
    <w:rsid w:val="005B7AAA"/>
    <w:rsid w:val="005C7EAF"/>
    <w:rsid w:val="00623507"/>
    <w:rsid w:val="006C728E"/>
    <w:rsid w:val="008300A1"/>
    <w:rsid w:val="008319E5"/>
    <w:rsid w:val="00A127E8"/>
    <w:rsid w:val="00A76FF8"/>
    <w:rsid w:val="00A85C4F"/>
    <w:rsid w:val="00AE3368"/>
    <w:rsid w:val="00B8450C"/>
    <w:rsid w:val="00C01897"/>
    <w:rsid w:val="00CA03C5"/>
    <w:rsid w:val="00CC14D8"/>
    <w:rsid w:val="00D858FB"/>
    <w:rsid w:val="00F11611"/>
    <w:rsid w:val="00FF0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F71EE-9729-4699-808C-FD21B4D9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50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8450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8450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8450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450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8450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450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8450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8450C"/>
    <w:rPr>
      <w:color w:val="0563C1" w:themeColor="hyperlink"/>
      <w:u w:val="single"/>
    </w:rPr>
  </w:style>
  <w:style w:type="paragraph" w:styleId="Sinespaciado">
    <w:name w:val="No Spacing"/>
    <w:aliases w:val="Francesa,INAI"/>
    <w:link w:val="SinespaciadoCar"/>
    <w:uiPriority w:val="1"/>
    <w:qFormat/>
    <w:rsid w:val="00B8450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8450C"/>
    <w:rPr>
      <w:rFonts w:ascii="Times New Roman" w:eastAsia="Times New Roman" w:hAnsi="Times New Roman" w:cs="Times New Roman"/>
      <w:sz w:val="24"/>
      <w:szCs w:val="24"/>
      <w:lang w:eastAsia="es-ES"/>
    </w:rPr>
  </w:style>
  <w:style w:type="paragraph" w:customStyle="1" w:styleId="infoemcitas">
    <w:name w:val="infoem citas"/>
    <w:basedOn w:val="Normal"/>
    <w:qFormat/>
    <w:rsid w:val="00B8450C"/>
    <w:pPr>
      <w:spacing w:before="240" w:line="360" w:lineRule="auto"/>
      <w:ind w:left="851" w:right="851"/>
      <w:jc w:val="both"/>
    </w:pPr>
    <w:rPr>
      <w:rFonts w:ascii="Palatino Linotype" w:hAnsi="Palatino Linotype"/>
      <w:i/>
    </w:rPr>
  </w:style>
  <w:style w:type="paragraph" w:customStyle="1" w:styleId="INFOEM">
    <w:name w:val="INFOEM"/>
    <w:basedOn w:val="Normal"/>
    <w:qFormat/>
    <w:rsid w:val="00B8450C"/>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B8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8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24</Pages>
  <Words>5303</Words>
  <Characters>29172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11</cp:revision>
  <dcterms:created xsi:type="dcterms:W3CDTF">2024-10-17T20:44:00Z</dcterms:created>
  <dcterms:modified xsi:type="dcterms:W3CDTF">2024-11-26T16:33:00Z</dcterms:modified>
</cp:coreProperties>
</file>