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625F5"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AE33A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CA78AC" w:rsidRPr="00AE33A5">
        <w:rPr>
          <w:rFonts w:ascii="Palatino Linotype" w:eastAsia="Palatino Linotype" w:hAnsi="Palatino Linotype" w:cs="Palatino Linotype"/>
          <w:b/>
          <w:sz w:val="22"/>
          <w:szCs w:val="22"/>
        </w:rPr>
        <w:t>seis de noviembre</w:t>
      </w:r>
      <w:r w:rsidRPr="00AE33A5">
        <w:rPr>
          <w:rFonts w:ascii="Palatino Linotype" w:eastAsia="Palatino Linotype" w:hAnsi="Palatino Linotype" w:cs="Palatino Linotype"/>
          <w:b/>
          <w:sz w:val="22"/>
          <w:szCs w:val="22"/>
        </w:rPr>
        <w:t xml:space="preserve"> de dos mil veinticuatro</w:t>
      </w:r>
      <w:r w:rsidRPr="00AE33A5">
        <w:rPr>
          <w:rFonts w:ascii="Palatino Linotype" w:eastAsia="Palatino Linotype" w:hAnsi="Palatino Linotype" w:cs="Palatino Linotype"/>
          <w:sz w:val="22"/>
          <w:szCs w:val="22"/>
        </w:rPr>
        <w:t xml:space="preserve">. </w:t>
      </w:r>
    </w:p>
    <w:p w14:paraId="0F7AEA18" w14:textId="73825D2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sz w:val="22"/>
          <w:szCs w:val="22"/>
        </w:rPr>
        <w:t>Visto</w:t>
      </w:r>
      <w:r w:rsidRPr="00AE33A5">
        <w:rPr>
          <w:rFonts w:ascii="Palatino Linotype" w:eastAsia="Palatino Linotype" w:hAnsi="Palatino Linotype" w:cs="Palatino Linotype"/>
          <w:sz w:val="22"/>
          <w:szCs w:val="22"/>
        </w:rPr>
        <w:t xml:space="preserve"> el expediente formado con motivo del recurso de revisión </w:t>
      </w:r>
      <w:r w:rsidRPr="00AE33A5">
        <w:rPr>
          <w:rFonts w:ascii="Palatino Linotype" w:eastAsia="Palatino Linotype" w:hAnsi="Palatino Linotype" w:cs="Palatino Linotype"/>
          <w:b/>
          <w:sz w:val="22"/>
          <w:szCs w:val="22"/>
        </w:rPr>
        <w:t>05159/INFOEM/IP/RR/2024</w:t>
      </w:r>
      <w:r w:rsidRPr="00AE33A5">
        <w:rPr>
          <w:rFonts w:ascii="Palatino Linotype" w:eastAsia="Palatino Linotype" w:hAnsi="Palatino Linotype" w:cs="Palatino Linotype"/>
          <w:sz w:val="22"/>
          <w:szCs w:val="22"/>
        </w:rPr>
        <w:t>, interpuesto por</w:t>
      </w:r>
      <w:r w:rsidRPr="00AE33A5">
        <w:rPr>
          <w:rFonts w:ascii="Palatino Linotype" w:eastAsia="Palatino Linotype" w:hAnsi="Palatino Linotype" w:cs="Palatino Linotype"/>
          <w:b/>
          <w:sz w:val="22"/>
          <w:szCs w:val="22"/>
        </w:rPr>
        <w:t xml:space="preserve"> </w:t>
      </w:r>
      <w:r w:rsidR="001E150B">
        <w:rPr>
          <w:rFonts w:ascii="Palatino Linotype" w:eastAsia="Palatino Linotype" w:hAnsi="Palatino Linotype" w:cs="Palatino Linotype"/>
          <w:b/>
          <w:sz w:val="22"/>
          <w:szCs w:val="22"/>
        </w:rPr>
        <w:t>XXXXX XXXXXX XXXXXXXX</w:t>
      </w:r>
      <w:r w:rsidRPr="00AE33A5">
        <w:rPr>
          <w:rFonts w:ascii="Palatino Linotype" w:eastAsia="Palatino Linotype" w:hAnsi="Palatino Linotype" w:cs="Palatino Linotype"/>
          <w:b/>
          <w:sz w:val="22"/>
          <w:szCs w:val="22"/>
        </w:rPr>
        <w:t>,</w:t>
      </w:r>
      <w:r w:rsidRPr="00AE33A5">
        <w:rPr>
          <w:rFonts w:ascii="Palatino Linotype" w:eastAsia="Palatino Linotype" w:hAnsi="Palatino Linotype" w:cs="Palatino Linotype"/>
          <w:sz w:val="22"/>
          <w:szCs w:val="22"/>
        </w:rPr>
        <w:t xml:space="preserve"> en lo sucesivo</w:t>
      </w:r>
      <w:r w:rsidRPr="00AE33A5">
        <w:rPr>
          <w:rFonts w:ascii="Palatino Linotype" w:eastAsia="Palatino Linotype" w:hAnsi="Palatino Linotype" w:cs="Palatino Linotype"/>
          <w:b/>
          <w:sz w:val="22"/>
          <w:szCs w:val="22"/>
        </w:rPr>
        <w:t xml:space="preserve"> </w:t>
      </w:r>
      <w:r w:rsidRPr="00AE33A5">
        <w:rPr>
          <w:rFonts w:ascii="Palatino Linotype" w:eastAsia="Palatino Linotype" w:hAnsi="Palatino Linotype" w:cs="Palatino Linotype"/>
          <w:sz w:val="22"/>
          <w:szCs w:val="22"/>
        </w:rPr>
        <w:t xml:space="preserve">la parte </w:t>
      </w:r>
      <w:r w:rsidRPr="00AE33A5">
        <w:rPr>
          <w:rFonts w:ascii="Palatino Linotype" w:eastAsia="Palatino Linotype" w:hAnsi="Palatino Linotype" w:cs="Palatino Linotype"/>
          <w:b/>
          <w:sz w:val="22"/>
          <w:szCs w:val="22"/>
        </w:rPr>
        <w:t>Recurrente,</w:t>
      </w:r>
      <w:r w:rsidRPr="00AE33A5">
        <w:rPr>
          <w:rFonts w:ascii="Palatino Linotype" w:eastAsia="Palatino Linotype" w:hAnsi="Palatino Linotype" w:cs="Palatino Linotype"/>
          <w:sz w:val="22"/>
          <w:szCs w:val="22"/>
        </w:rPr>
        <w:t xml:space="preserve"> en contra de la respuesta a su solicitud por parte del</w:t>
      </w:r>
      <w:r w:rsidRPr="00AE33A5">
        <w:rPr>
          <w:rFonts w:ascii="Palatino Linotype" w:eastAsia="Palatino Linotype" w:hAnsi="Palatino Linotype" w:cs="Palatino Linotype"/>
          <w:b/>
          <w:sz w:val="22"/>
          <w:szCs w:val="22"/>
        </w:rPr>
        <w:t xml:space="preserve"> Ayuntamiento de Lerma, </w:t>
      </w:r>
      <w:r w:rsidRPr="00AE33A5">
        <w:rPr>
          <w:rFonts w:ascii="Palatino Linotype" w:eastAsia="Palatino Linotype" w:hAnsi="Palatino Linotype" w:cs="Palatino Linotype"/>
          <w:sz w:val="22"/>
          <w:szCs w:val="22"/>
        </w:rPr>
        <w:t xml:space="preserve">en lo sucesivo el </w:t>
      </w:r>
      <w:r w:rsidRPr="00AE33A5">
        <w:rPr>
          <w:rFonts w:ascii="Palatino Linotype" w:eastAsia="Palatino Linotype" w:hAnsi="Palatino Linotype" w:cs="Palatino Linotype"/>
          <w:b/>
          <w:sz w:val="22"/>
          <w:szCs w:val="22"/>
        </w:rPr>
        <w:t xml:space="preserve">Sujeto Obligado, </w:t>
      </w:r>
      <w:r w:rsidRPr="00AE33A5">
        <w:rPr>
          <w:rFonts w:ascii="Palatino Linotype" w:eastAsia="Palatino Linotype" w:hAnsi="Palatino Linotype" w:cs="Palatino Linotype"/>
          <w:sz w:val="22"/>
          <w:szCs w:val="22"/>
        </w:rPr>
        <w:t xml:space="preserve">se procede a dictar la presente resolución con base en los siguientes: </w:t>
      </w:r>
    </w:p>
    <w:p w14:paraId="79735623" w14:textId="77777777" w:rsidR="009D0202" w:rsidRPr="00AE33A5" w:rsidRDefault="00D012ED">
      <w:pPr>
        <w:spacing w:before="240" w:after="240" w:line="360" w:lineRule="auto"/>
        <w:jc w:val="center"/>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t>I. A N T E C E D E N T E S</w:t>
      </w:r>
    </w:p>
    <w:p w14:paraId="58BC6F21" w14:textId="77777777" w:rsidR="009D0202" w:rsidRPr="00AE33A5" w:rsidRDefault="00D012ED">
      <w:pPr>
        <w:spacing w:before="240" w:after="240" w:line="360" w:lineRule="auto"/>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t>1. Solicitud de acceso a la información.</w:t>
      </w:r>
      <w:r w:rsidRPr="00AE33A5">
        <w:rPr>
          <w:rFonts w:ascii="Palatino Linotype" w:eastAsia="Palatino Linotype" w:hAnsi="Palatino Linotype" w:cs="Palatino Linotype"/>
          <w:sz w:val="22"/>
          <w:szCs w:val="22"/>
        </w:rPr>
        <w:t xml:space="preserve"> El </w:t>
      </w:r>
      <w:r w:rsidRPr="00AE33A5">
        <w:rPr>
          <w:rFonts w:ascii="Palatino Linotype" w:eastAsia="Palatino Linotype" w:hAnsi="Palatino Linotype" w:cs="Palatino Linotype"/>
          <w:b/>
          <w:sz w:val="22"/>
          <w:szCs w:val="22"/>
        </w:rPr>
        <w:t>seis de agosto de</w:t>
      </w:r>
      <w:r w:rsidRPr="00AE33A5">
        <w:rPr>
          <w:rFonts w:ascii="Palatino Linotype" w:eastAsia="Palatino Linotype" w:hAnsi="Palatino Linotype" w:cs="Palatino Linotype"/>
          <w:sz w:val="22"/>
          <w:szCs w:val="22"/>
        </w:rPr>
        <w:t xml:space="preserve"> </w:t>
      </w:r>
      <w:r w:rsidRPr="00AE33A5">
        <w:rPr>
          <w:rFonts w:ascii="Palatino Linotype" w:eastAsia="Palatino Linotype" w:hAnsi="Palatino Linotype" w:cs="Palatino Linotype"/>
          <w:b/>
          <w:sz w:val="22"/>
          <w:szCs w:val="22"/>
        </w:rPr>
        <w:t>dos mil veinticuatro,</w:t>
      </w:r>
      <w:r w:rsidRPr="00AE33A5">
        <w:rPr>
          <w:rFonts w:ascii="Palatino Linotype" w:eastAsia="Palatino Linotype" w:hAnsi="Palatino Linotype" w:cs="Palatino Linotype"/>
          <w:sz w:val="22"/>
          <w:szCs w:val="22"/>
        </w:rPr>
        <w:t xml:space="preserve"> la parte </w:t>
      </w:r>
      <w:r w:rsidRPr="00AE33A5">
        <w:rPr>
          <w:rFonts w:ascii="Palatino Linotype" w:eastAsia="Palatino Linotype" w:hAnsi="Palatino Linotype" w:cs="Palatino Linotype"/>
          <w:b/>
          <w:sz w:val="22"/>
          <w:szCs w:val="22"/>
        </w:rPr>
        <w:t xml:space="preserve">Recurrente </w:t>
      </w:r>
      <w:r w:rsidRPr="00AE33A5">
        <w:rPr>
          <w:rFonts w:ascii="Palatino Linotype" w:eastAsia="Palatino Linotype" w:hAnsi="Palatino Linotype" w:cs="Palatino Linotype"/>
          <w:sz w:val="22"/>
          <w:szCs w:val="22"/>
        </w:rPr>
        <w:t xml:space="preserve">presentó, a través del Sistema de Acceso a la Información Mexiquense, en lo subsecuente el </w:t>
      </w:r>
      <w:r w:rsidRPr="00AE33A5">
        <w:rPr>
          <w:rFonts w:ascii="Palatino Linotype" w:eastAsia="Palatino Linotype" w:hAnsi="Palatino Linotype" w:cs="Palatino Linotype"/>
          <w:b/>
          <w:sz w:val="22"/>
          <w:szCs w:val="22"/>
        </w:rPr>
        <w:t>SAIMEX,</w:t>
      </w:r>
      <w:r w:rsidRPr="00AE33A5">
        <w:rPr>
          <w:rFonts w:ascii="Palatino Linotype" w:eastAsia="Palatino Linotype" w:hAnsi="Palatino Linotype" w:cs="Palatino Linotype"/>
          <w:sz w:val="22"/>
          <w:szCs w:val="22"/>
        </w:rPr>
        <w:t xml:space="preserve"> ante el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la solicitud de acceso a la información pública, a la que se le asignó el número</w:t>
      </w:r>
      <w:r w:rsidRPr="00AE33A5">
        <w:rPr>
          <w:rFonts w:ascii="Palatino Linotype" w:eastAsia="Palatino Linotype" w:hAnsi="Palatino Linotype" w:cs="Palatino Linotype"/>
          <w:b/>
          <w:sz w:val="22"/>
          <w:szCs w:val="22"/>
        </w:rPr>
        <w:t xml:space="preserve"> 00149/LERMA/IP/2024, </w:t>
      </w:r>
      <w:r w:rsidRPr="00AE33A5">
        <w:rPr>
          <w:rFonts w:ascii="Palatino Linotype" w:eastAsia="Palatino Linotype" w:hAnsi="Palatino Linotype" w:cs="Palatino Linotype"/>
          <w:sz w:val="22"/>
          <w:szCs w:val="22"/>
        </w:rPr>
        <w:t xml:space="preserve">mediante la cual requirió la información siguiente: </w:t>
      </w:r>
    </w:p>
    <w:p w14:paraId="50002CEA" w14:textId="77777777" w:rsidR="009D0202" w:rsidRPr="00AE33A5" w:rsidRDefault="00D012ED">
      <w:pPr>
        <w:spacing w:before="240" w:after="240"/>
        <w:ind w:left="567" w:right="902"/>
        <w:jc w:val="both"/>
        <w:rPr>
          <w:rFonts w:ascii="Palatino Linotype" w:eastAsia="Palatino Linotype" w:hAnsi="Palatino Linotype" w:cs="Palatino Linotype"/>
          <w:b/>
          <w:i/>
          <w:sz w:val="22"/>
          <w:szCs w:val="22"/>
        </w:rPr>
      </w:pPr>
      <w:bookmarkStart w:id="1" w:name="_heading=h.gjdgxs" w:colFirst="0" w:colLast="0"/>
      <w:bookmarkEnd w:id="1"/>
      <w:r w:rsidRPr="00AE33A5">
        <w:rPr>
          <w:rFonts w:ascii="Palatino Linotype" w:eastAsia="Palatino Linotype" w:hAnsi="Palatino Linotype" w:cs="Palatino Linotype"/>
          <w:i/>
          <w:sz w:val="22"/>
          <w:szCs w:val="22"/>
        </w:rPr>
        <w:t xml:space="preserve">“Requiero la siguiente información que me garantice mi derecho al acceso a la información pública como ciudadana: </w:t>
      </w:r>
      <w:r w:rsidRPr="00AE33A5">
        <w:rPr>
          <w:rFonts w:ascii="Palatino Linotype" w:eastAsia="Palatino Linotype" w:hAnsi="Palatino Linotype" w:cs="Palatino Linotype"/>
          <w:b/>
          <w:i/>
          <w:sz w:val="22"/>
          <w:szCs w:val="22"/>
          <w:u w:val="single"/>
        </w:rPr>
        <w:t xml:space="preserve">1) Los contratos de adquisiciones de muebles o cambio de mobiliario de la casa de la cultura del 2022 al 2024 2) Contratos que tengan por objeto la remodelación de las instalaciones de la casa de la cultura del 2022 al 2024 3) El presupuesto asignado para los servicios generales de la casa de la cultura correspondiente a los años 2022 al 2024 y cómo ha sido asignado/usado cada recurso durante su ejercicio fiscal 4) Personal adscrito a nomina de la casa de la cultura de los años 2022 al 2024 5) Personal eventual o de contrato a favor de la casa de la cultura del 2022 al 2024 6) El sueldo de todas las personas que trabajan en la casa de la cultura desde el alto rango al menor 7) Los criterios laborales para contratar al personal de la casa de la cultura explicando a detalle las actividades de cada uno o cada área 8) El grado académico del personal de </w:t>
      </w:r>
      <w:r w:rsidRPr="00AE33A5">
        <w:rPr>
          <w:rFonts w:ascii="Palatino Linotype" w:eastAsia="Palatino Linotype" w:hAnsi="Palatino Linotype" w:cs="Palatino Linotype"/>
          <w:b/>
          <w:i/>
          <w:sz w:val="22"/>
          <w:szCs w:val="22"/>
          <w:u w:val="single"/>
        </w:rPr>
        <w:lastRenderedPageBreak/>
        <w:t>la casa de la cultura 9) Facturas o las notas de garantía que acrediten la duración del mobiliario de la casa de la cultura y determinar en qué tiempo hacer otro gasto para reemplazar dicho mobiliario 10) Nombres de las personas encargadas de ejercer el presupuesto y los montos de gasto durante meses o años que expliquen el uso de ese recurso público</w:t>
      </w:r>
      <w:r w:rsidRPr="00AE33A5">
        <w:rPr>
          <w:rFonts w:ascii="Palatino Linotype" w:eastAsia="Palatino Linotype" w:hAnsi="Palatino Linotype" w:cs="Palatino Linotype"/>
          <w:i/>
          <w:sz w:val="22"/>
          <w:szCs w:val="22"/>
        </w:rPr>
        <w:t xml:space="preserve">.” (Sic) </w:t>
      </w:r>
    </w:p>
    <w:p w14:paraId="31C7E460"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sz w:val="22"/>
          <w:szCs w:val="22"/>
        </w:rPr>
        <w:t>Modalidad de Entrega:</w:t>
      </w:r>
      <w:r w:rsidRPr="00AE33A5">
        <w:rPr>
          <w:rFonts w:ascii="Palatino Linotype" w:eastAsia="Palatino Linotype" w:hAnsi="Palatino Linotype" w:cs="Palatino Linotype"/>
          <w:sz w:val="22"/>
          <w:szCs w:val="22"/>
        </w:rPr>
        <w:t xml:space="preserve"> A través del </w:t>
      </w:r>
      <w:r w:rsidRPr="00AE33A5">
        <w:rPr>
          <w:rFonts w:ascii="Palatino Linotype" w:eastAsia="Palatino Linotype" w:hAnsi="Palatino Linotype" w:cs="Palatino Linotype"/>
          <w:b/>
          <w:sz w:val="22"/>
          <w:szCs w:val="22"/>
        </w:rPr>
        <w:t>SAIMEX</w:t>
      </w:r>
    </w:p>
    <w:p w14:paraId="5C9108C5"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bookmarkStart w:id="2" w:name="_heading=h.3dy6vkm" w:colFirst="0" w:colLast="0"/>
      <w:bookmarkEnd w:id="2"/>
      <w:r w:rsidRPr="00AE33A5">
        <w:rPr>
          <w:rFonts w:ascii="Palatino Linotype" w:eastAsia="Palatino Linotype" w:hAnsi="Palatino Linotype" w:cs="Palatino Linotype"/>
          <w:b/>
          <w:sz w:val="22"/>
          <w:szCs w:val="22"/>
        </w:rPr>
        <w:t xml:space="preserve">2. Respuesta. </w:t>
      </w:r>
      <w:r w:rsidRPr="00AE33A5">
        <w:rPr>
          <w:rFonts w:ascii="Palatino Linotype" w:eastAsia="Palatino Linotype" w:hAnsi="Palatino Linotype" w:cs="Palatino Linotype"/>
          <w:sz w:val="22"/>
          <w:szCs w:val="22"/>
        </w:rPr>
        <w:t xml:space="preserve">El </w:t>
      </w:r>
      <w:r w:rsidRPr="00AE33A5">
        <w:rPr>
          <w:rFonts w:ascii="Palatino Linotype" w:eastAsia="Palatino Linotype" w:hAnsi="Palatino Linotype" w:cs="Palatino Linotype"/>
          <w:b/>
          <w:sz w:val="22"/>
          <w:szCs w:val="22"/>
        </w:rPr>
        <w:t>veintiséis de agosto de dos mil veinticuatro</w:t>
      </w:r>
      <w:r w:rsidRPr="00AE33A5">
        <w:rPr>
          <w:rFonts w:ascii="Palatino Linotype" w:eastAsia="Palatino Linotype" w:hAnsi="Palatino Linotype" w:cs="Palatino Linotype"/>
          <w:sz w:val="22"/>
          <w:szCs w:val="22"/>
        </w:rPr>
        <w:t xml:space="preserve">, el </w:t>
      </w:r>
      <w:r w:rsidRPr="00AE33A5">
        <w:rPr>
          <w:rFonts w:ascii="Palatino Linotype" w:eastAsia="Palatino Linotype" w:hAnsi="Palatino Linotype" w:cs="Palatino Linotype"/>
          <w:b/>
          <w:sz w:val="22"/>
          <w:szCs w:val="22"/>
        </w:rPr>
        <w:t xml:space="preserve">Sujeto Obligado </w:t>
      </w:r>
      <w:r w:rsidRPr="00AE33A5">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430A5BDC" w14:textId="77777777" w:rsidR="009D0202" w:rsidRPr="00AE33A5" w:rsidRDefault="00D012ED">
      <w:pPr>
        <w:spacing w:line="360"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“…Se adjunta al presente.</w:t>
      </w:r>
    </w:p>
    <w:p w14:paraId="7F72EF25" w14:textId="77777777" w:rsidR="009D0202" w:rsidRPr="00AE33A5" w:rsidRDefault="00D012ED">
      <w:pPr>
        <w:spacing w:line="360"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ATENTAMENTE</w:t>
      </w:r>
    </w:p>
    <w:p w14:paraId="774D51AE" w14:textId="77777777" w:rsidR="009D0202" w:rsidRPr="00AE33A5" w:rsidRDefault="00D012ED">
      <w:pPr>
        <w:spacing w:line="360"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Lic. Brisa Valentina Ramos Franco” </w:t>
      </w:r>
    </w:p>
    <w:p w14:paraId="6C436822" w14:textId="77777777" w:rsidR="009D0202" w:rsidRPr="00AE33A5" w:rsidRDefault="00D012ED">
      <w:pPr>
        <w:spacing w:before="240" w:after="240"/>
        <w:ind w:left="567" w:right="902"/>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sz w:val="22"/>
          <w:szCs w:val="22"/>
        </w:rPr>
        <w:t xml:space="preserve">Archivos adjuntos: </w:t>
      </w:r>
    </w:p>
    <w:p w14:paraId="70FEDE27" w14:textId="77777777" w:rsidR="009D0202" w:rsidRPr="00AE33A5" w:rsidRDefault="00D012ED">
      <w:pPr>
        <w:numPr>
          <w:ilvl w:val="0"/>
          <w:numId w:val="5"/>
        </w:numPr>
        <w:pBdr>
          <w:top w:val="nil"/>
          <w:left w:val="nil"/>
          <w:bottom w:val="nil"/>
          <w:right w:val="nil"/>
          <w:between w:val="nil"/>
        </w:pBdr>
        <w:spacing w:before="240" w:line="360" w:lineRule="auto"/>
        <w:ind w:left="851" w:right="616" w:hanging="142"/>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 xml:space="preserve">“CCF_000027(1).pdf”: </w:t>
      </w:r>
      <w:r w:rsidRPr="00AE33A5">
        <w:rPr>
          <w:rFonts w:ascii="Palatino Linotype" w:eastAsia="Palatino Linotype" w:hAnsi="Palatino Linotype" w:cs="Palatino Linotype"/>
          <w:sz w:val="22"/>
          <w:szCs w:val="22"/>
        </w:rPr>
        <w:t xml:space="preserve">Documento que se compone de nueve fojas en el que obra la siguiente información: </w:t>
      </w:r>
    </w:p>
    <w:p w14:paraId="7C9D7D78" w14:textId="77777777" w:rsidR="009D0202" w:rsidRPr="00AE33A5" w:rsidRDefault="00D012ED">
      <w:pPr>
        <w:numPr>
          <w:ilvl w:val="0"/>
          <w:numId w:val="1"/>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Oficio DOP/1373/2024, suscrito por el </w:t>
      </w:r>
      <w:r w:rsidRPr="00AE33A5">
        <w:rPr>
          <w:rFonts w:ascii="Palatino Linotype" w:eastAsia="Palatino Linotype" w:hAnsi="Palatino Linotype" w:cs="Palatino Linotype"/>
          <w:b/>
          <w:sz w:val="22"/>
          <w:szCs w:val="22"/>
        </w:rPr>
        <w:t>Director de Obras Públicas</w:t>
      </w:r>
      <w:r w:rsidRPr="00AE33A5">
        <w:rPr>
          <w:rFonts w:ascii="Palatino Linotype" w:eastAsia="Palatino Linotype" w:hAnsi="Palatino Linotype" w:cs="Palatino Linotype"/>
          <w:sz w:val="22"/>
          <w:szCs w:val="22"/>
        </w:rPr>
        <w:t xml:space="preserve">, quien refiere que la información de la obra se encuentra disponible para su consulta en la plataforma del IPOMEX en el siguiente link: </w:t>
      </w:r>
      <w:hyperlink r:id="rId8">
        <w:r w:rsidRPr="00AE33A5">
          <w:rPr>
            <w:rFonts w:ascii="Palatino Linotype" w:eastAsia="Palatino Linotype" w:hAnsi="Palatino Linotype" w:cs="Palatino Linotype"/>
            <w:sz w:val="22"/>
            <w:szCs w:val="22"/>
            <w:u w:val="single"/>
          </w:rPr>
          <w:t>https://www.ipomex.org.mx/ipo3/lgt/indice/lerma.web</w:t>
        </w:r>
      </w:hyperlink>
      <w:r w:rsidRPr="00AE33A5">
        <w:rPr>
          <w:rFonts w:ascii="Palatino Linotype" w:eastAsia="Palatino Linotype" w:hAnsi="Palatino Linotype" w:cs="Palatino Linotype"/>
          <w:sz w:val="22"/>
          <w:szCs w:val="22"/>
        </w:rPr>
        <w:t xml:space="preserve"> .</w:t>
      </w:r>
    </w:p>
    <w:p w14:paraId="40E355D0" w14:textId="77777777" w:rsidR="009D0202" w:rsidRPr="00AE33A5" w:rsidRDefault="00D012ED">
      <w:pPr>
        <w:numPr>
          <w:ilvl w:val="0"/>
          <w:numId w:val="1"/>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Oficio LER/TM/08/0291/2024, suscrito por el </w:t>
      </w:r>
      <w:r w:rsidRPr="00AE33A5">
        <w:rPr>
          <w:rFonts w:ascii="Palatino Linotype" w:eastAsia="Palatino Linotype" w:hAnsi="Palatino Linotype" w:cs="Palatino Linotype"/>
          <w:b/>
          <w:sz w:val="22"/>
          <w:szCs w:val="22"/>
        </w:rPr>
        <w:t>Tesorero Municipal</w:t>
      </w:r>
      <w:r w:rsidRPr="00AE33A5">
        <w:rPr>
          <w:rFonts w:ascii="Palatino Linotype" w:eastAsia="Palatino Linotype" w:hAnsi="Palatino Linotype" w:cs="Palatino Linotype"/>
          <w:sz w:val="22"/>
          <w:szCs w:val="22"/>
        </w:rPr>
        <w:t>, quien señala que la Tesorería no cuenta con la información requerida en los términos planteados, toda vez que las partidas del presupuesto de egresos son asignadas por unidades administrativas y no así por dependencias o inmuebles, y menos aún por servidores públicos, razón por la cual no es posible atender favorablemente la solicitud del peticionario.</w:t>
      </w:r>
    </w:p>
    <w:p w14:paraId="6C5FD1B8" w14:textId="77777777" w:rsidR="009D0202" w:rsidRPr="00AE33A5" w:rsidRDefault="00D012ED">
      <w:pPr>
        <w:numPr>
          <w:ilvl w:val="0"/>
          <w:numId w:val="1"/>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lastRenderedPageBreak/>
        <w:t>Oficio DA/115/2024, signado por el Director de Administración, quien señala que después de una búsqueda exhaustiva en la base de datos, se da cuenta de lo siguiente:</w:t>
      </w:r>
    </w:p>
    <w:p w14:paraId="32FD72C9" w14:textId="77777777" w:rsidR="009D0202" w:rsidRPr="00AE33A5" w:rsidRDefault="00D012ED">
      <w:pPr>
        <w:pBdr>
          <w:top w:val="nil"/>
          <w:left w:val="nil"/>
          <w:bottom w:val="nil"/>
          <w:right w:val="nil"/>
          <w:between w:val="nil"/>
        </w:pBdr>
        <w:spacing w:line="360" w:lineRule="auto"/>
        <w:ind w:left="851" w:right="616" w:hanging="142"/>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noProof/>
          <w:sz w:val="22"/>
          <w:szCs w:val="22"/>
        </w:rPr>
        <w:drawing>
          <wp:inline distT="0" distB="0" distL="0" distR="0" wp14:anchorId="2365BA06" wp14:editId="109E3852">
            <wp:extent cx="3886200" cy="847725"/>
            <wp:effectExtent l="0" t="0" r="0" b="0"/>
            <wp:docPr id="132768457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l="16122" t="59500" r="14630" b="28270"/>
                    <a:stretch>
                      <a:fillRect/>
                    </a:stretch>
                  </pic:blipFill>
                  <pic:spPr>
                    <a:xfrm>
                      <a:off x="0" y="0"/>
                      <a:ext cx="3886200" cy="847725"/>
                    </a:xfrm>
                    <a:prstGeom prst="rect">
                      <a:avLst/>
                    </a:prstGeom>
                    <a:ln/>
                  </pic:spPr>
                </pic:pic>
              </a:graphicData>
            </a:graphic>
          </wp:inline>
        </w:drawing>
      </w:r>
    </w:p>
    <w:p w14:paraId="40295512" w14:textId="77777777" w:rsidR="009D0202" w:rsidRPr="00AE33A5" w:rsidRDefault="00D012ED">
      <w:pPr>
        <w:pBdr>
          <w:top w:val="nil"/>
          <w:left w:val="nil"/>
          <w:bottom w:val="nil"/>
          <w:right w:val="nil"/>
          <w:between w:val="nil"/>
        </w:pBdr>
        <w:spacing w:line="360" w:lineRule="auto"/>
        <w:ind w:left="851" w:right="616" w:hanging="142"/>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Haciendo mención de que el Ayuntamiento no realiza contrataciones de personal eventual o por contrato. Anexando al presente, las respuestas de los departamentos responsables, además del reporte de actividades y criterios para la contratación de personal.</w:t>
      </w:r>
    </w:p>
    <w:p w14:paraId="0CB17B65" w14:textId="77777777" w:rsidR="009D0202" w:rsidRPr="00AE33A5" w:rsidRDefault="00D012ED">
      <w:pPr>
        <w:numPr>
          <w:ilvl w:val="0"/>
          <w:numId w:val="1"/>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Reporte de actividades del personal de la Casa de la Cultura Lerma</w:t>
      </w:r>
    </w:p>
    <w:p w14:paraId="0FD77BBB" w14:textId="77777777" w:rsidR="009D0202" w:rsidRPr="00AE33A5" w:rsidRDefault="00D012ED">
      <w:pPr>
        <w:numPr>
          <w:ilvl w:val="0"/>
          <w:numId w:val="1"/>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Criterios para la contratación de personal</w:t>
      </w:r>
    </w:p>
    <w:p w14:paraId="58B26496" w14:textId="77777777" w:rsidR="009D0202" w:rsidRPr="00AE33A5" w:rsidRDefault="00D012ED">
      <w:pPr>
        <w:numPr>
          <w:ilvl w:val="0"/>
          <w:numId w:val="1"/>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Oficio suscrito por el Subdirector de Adquisiciones y Licitaciones, quien manifiesta que en sus archivos no existen dichos procedimientos.</w:t>
      </w:r>
    </w:p>
    <w:p w14:paraId="4EC9BC69" w14:textId="77777777" w:rsidR="009D0202" w:rsidRPr="00AE33A5" w:rsidRDefault="00D012ED">
      <w:pPr>
        <w:numPr>
          <w:ilvl w:val="0"/>
          <w:numId w:val="1"/>
        </w:numPr>
        <w:pBdr>
          <w:top w:val="nil"/>
          <w:left w:val="nil"/>
          <w:bottom w:val="nil"/>
          <w:right w:val="nil"/>
          <w:between w:val="nil"/>
        </w:pBdr>
        <w:spacing w:after="240" w:line="360" w:lineRule="auto"/>
        <w:ind w:left="851" w:right="616" w:firstLine="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Oficio SRM/0021/2024, signado por el Subdirector de Recursos Materiales, quien refiere que después de buscar en los archivos de la base de datos, no se encontró ningún procedimiento referente a lo solicitado. </w:t>
      </w:r>
    </w:p>
    <w:p w14:paraId="2C4DF3E5" w14:textId="77777777" w:rsidR="009D0202" w:rsidRPr="00AE33A5" w:rsidRDefault="00D012ED">
      <w:pPr>
        <w:spacing w:before="240" w:after="240" w:line="360" w:lineRule="auto"/>
        <w:ind w:right="49"/>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t xml:space="preserve">3. Interposición del recurso de revisión. </w:t>
      </w:r>
      <w:r w:rsidRPr="00AE33A5">
        <w:rPr>
          <w:rFonts w:ascii="Palatino Linotype" w:eastAsia="Palatino Linotype" w:hAnsi="Palatino Linotype" w:cs="Palatino Linotype"/>
          <w:sz w:val="22"/>
          <w:szCs w:val="22"/>
        </w:rPr>
        <w:t xml:space="preserve">Inconforme con los términos de la respuesta emitida por parte del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el</w:t>
      </w:r>
      <w:r w:rsidRPr="00AE33A5">
        <w:rPr>
          <w:rFonts w:ascii="Palatino Linotype" w:eastAsia="Palatino Linotype" w:hAnsi="Palatino Linotype" w:cs="Palatino Linotype"/>
          <w:b/>
          <w:sz w:val="22"/>
          <w:szCs w:val="22"/>
        </w:rPr>
        <w:t xml:space="preserve"> veintisiete de agosto de dos mil veinticuatro,</w:t>
      </w:r>
      <w:r w:rsidRPr="00AE33A5">
        <w:rPr>
          <w:rFonts w:ascii="Palatino Linotype" w:eastAsia="Palatino Linotype" w:hAnsi="Palatino Linotype" w:cs="Palatino Linotype"/>
          <w:sz w:val="22"/>
          <w:szCs w:val="22"/>
        </w:rPr>
        <w:t xml:space="preserve"> la parte </w:t>
      </w:r>
      <w:r w:rsidRPr="00AE33A5">
        <w:rPr>
          <w:rFonts w:ascii="Palatino Linotype" w:eastAsia="Palatino Linotype" w:hAnsi="Palatino Linotype" w:cs="Palatino Linotype"/>
          <w:b/>
          <w:sz w:val="22"/>
          <w:szCs w:val="22"/>
        </w:rPr>
        <w:t>Recurrente</w:t>
      </w:r>
      <w:r w:rsidRPr="00AE33A5">
        <w:rPr>
          <w:rFonts w:ascii="Palatino Linotype" w:eastAsia="Palatino Linotype" w:hAnsi="Palatino Linotype" w:cs="Palatino Linotype"/>
          <w:sz w:val="22"/>
          <w:szCs w:val="22"/>
        </w:rPr>
        <w:t xml:space="preserve"> interpuso el recurso de revisión a través de </w:t>
      </w:r>
      <w:r w:rsidRPr="00AE33A5">
        <w:rPr>
          <w:rFonts w:ascii="Palatino Linotype" w:eastAsia="Palatino Linotype" w:hAnsi="Palatino Linotype" w:cs="Palatino Linotype"/>
          <w:b/>
          <w:sz w:val="22"/>
          <w:szCs w:val="22"/>
        </w:rPr>
        <w:t xml:space="preserve">SAIMEX, </w:t>
      </w:r>
      <w:r w:rsidRPr="00AE33A5">
        <w:rPr>
          <w:rFonts w:ascii="Palatino Linotype" w:eastAsia="Palatino Linotype" w:hAnsi="Palatino Linotype" w:cs="Palatino Linotype"/>
          <w:sz w:val="22"/>
          <w:szCs w:val="22"/>
        </w:rPr>
        <w:t>en donde se manifestó de la siguiente manera:</w:t>
      </w:r>
    </w:p>
    <w:p w14:paraId="4592534F" w14:textId="77777777" w:rsidR="009D0202" w:rsidRPr="00AE33A5" w:rsidRDefault="00D012ED">
      <w:pPr>
        <w:tabs>
          <w:tab w:val="left" w:pos="2745"/>
        </w:tabs>
        <w:spacing w:line="276" w:lineRule="auto"/>
        <w:ind w:left="851" w:right="616"/>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t xml:space="preserve">a) Acto impugnado: </w:t>
      </w:r>
    </w:p>
    <w:p w14:paraId="1992E39B" w14:textId="77777777" w:rsidR="009D0202" w:rsidRPr="00AE33A5" w:rsidRDefault="009D0202">
      <w:pPr>
        <w:tabs>
          <w:tab w:val="left" w:pos="2745"/>
        </w:tabs>
        <w:spacing w:line="276" w:lineRule="auto"/>
        <w:ind w:left="851" w:right="616"/>
        <w:jc w:val="both"/>
        <w:rPr>
          <w:rFonts w:ascii="Palatino Linotype" w:eastAsia="Palatino Linotype" w:hAnsi="Palatino Linotype" w:cs="Palatino Linotype"/>
          <w:b/>
          <w:sz w:val="22"/>
          <w:szCs w:val="22"/>
        </w:rPr>
      </w:pPr>
    </w:p>
    <w:p w14:paraId="333265FC" w14:textId="77777777" w:rsidR="009D0202" w:rsidRPr="00AE33A5" w:rsidRDefault="00D012ED">
      <w:pPr>
        <w:tabs>
          <w:tab w:val="left" w:pos="2745"/>
        </w:tabs>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“La respuesta del Sujeto Obligado.” (Sic)</w:t>
      </w:r>
    </w:p>
    <w:p w14:paraId="2F7F42A0" w14:textId="77777777" w:rsidR="009D0202" w:rsidRPr="00AE33A5" w:rsidRDefault="009D0202">
      <w:pPr>
        <w:tabs>
          <w:tab w:val="left" w:pos="2745"/>
        </w:tabs>
        <w:spacing w:line="276" w:lineRule="auto"/>
        <w:ind w:left="851" w:right="616"/>
        <w:jc w:val="both"/>
        <w:rPr>
          <w:rFonts w:ascii="Palatino Linotype" w:eastAsia="Palatino Linotype" w:hAnsi="Palatino Linotype" w:cs="Palatino Linotype"/>
          <w:b/>
          <w:sz w:val="22"/>
          <w:szCs w:val="22"/>
        </w:rPr>
      </w:pPr>
    </w:p>
    <w:p w14:paraId="402BB1F1" w14:textId="77777777" w:rsidR="009D0202" w:rsidRPr="00AE33A5" w:rsidRDefault="00D012ED">
      <w:pPr>
        <w:spacing w:line="276" w:lineRule="auto"/>
        <w:ind w:left="851" w:right="616"/>
        <w:jc w:val="both"/>
        <w:rPr>
          <w:rFonts w:ascii="Palatino Linotype" w:eastAsia="Palatino Linotype" w:hAnsi="Palatino Linotype" w:cs="Palatino Linotype"/>
          <w:sz w:val="22"/>
          <w:szCs w:val="22"/>
        </w:rPr>
      </w:pPr>
      <w:bookmarkStart w:id="3" w:name="_heading=h.30j0zll" w:colFirst="0" w:colLast="0"/>
      <w:bookmarkEnd w:id="3"/>
      <w:r w:rsidRPr="00AE33A5">
        <w:rPr>
          <w:rFonts w:ascii="Palatino Linotype" w:eastAsia="Palatino Linotype" w:hAnsi="Palatino Linotype" w:cs="Palatino Linotype"/>
          <w:b/>
          <w:sz w:val="22"/>
          <w:szCs w:val="22"/>
        </w:rPr>
        <w:t>b) Razones o motivos de inconformidad</w:t>
      </w:r>
      <w:r w:rsidRPr="00AE33A5">
        <w:rPr>
          <w:rFonts w:ascii="Palatino Linotype" w:eastAsia="Palatino Linotype" w:hAnsi="Palatino Linotype" w:cs="Palatino Linotype"/>
          <w:sz w:val="22"/>
          <w:szCs w:val="22"/>
        </w:rPr>
        <w:t xml:space="preserve">: </w:t>
      </w:r>
    </w:p>
    <w:p w14:paraId="67563EC5"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sz w:val="22"/>
          <w:szCs w:val="22"/>
        </w:rPr>
        <w:lastRenderedPageBreak/>
        <w:t>“</w:t>
      </w:r>
      <w:r w:rsidRPr="00AE33A5">
        <w:rPr>
          <w:rFonts w:ascii="Palatino Linotype" w:eastAsia="Palatino Linotype" w:hAnsi="Palatino Linotype" w:cs="Palatino Linotype"/>
          <w:i/>
          <w:sz w:val="22"/>
          <w:szCs w:val="22"/>
        </w:rPr>
        <w:t xml:space="preserve">1) Los contratos de adquisiciones de muebles o cambio de mobiliario de la casa de la cultura del 2022 al 2024, </w:t>
      </w:r>
      <w:r w:rsidRPr="00AE33A5">
        <w:rPr>
          <w:rFonts w:ascii="Palatino Linotype" w:eastAsia="Palatino Linotype" w:hAnsi="Palatino Linotype" w:cs="Palatino Linotype"/>
          <w:b/>
          <w:i/>
          <w:sz w:val="22"/>
          <w:szCs w:val="22"/>
          <w:u w:val="single"/>
        </w:rPr>
        <w:t>se habla con falsedad ya que hay pruebas de que se instalaron lámparas nuevas y pintaron algunas bancas con pintura de aceite café, y no justifican de donde salió dicho presupuesto ni la cantidad, tampoco que hayan llevado a cabo un registro de dicho presupuesto</w:t>
      </w:r>
      <w:r w:rsidRPr="00AE33A5">
        <w:rPr>
          <w:rFonts w:ascii="Palatino Linotype" w:eastAsia="Palatino Linotype" w:hAnsi="Palatino Linotype" w:cs="Palatino Linotype"/>
          <w:i/>
          <w:sz w:val="22"/>
          <w:szCs w:val="22"/>
        </w:rPr>
        <w:t xml:space="preserve">. 2) Contratos que tengan por objeto la remodelación de las instalaciones de la casa de la cultura del 2022 al 2024, </w:t>
      </w:r>
      <w:r w:rsidRPr="00AE33A5">
        <w:rPr>
          <w:rFonts w:ascii="Palatino Linotype" w:eastAsia="Palatino Linotype" w:hAnsi="Palatino Linotype" w:cs="Palatino Linotype"/>
          <w:b/>
          <w:i/>
          <w:sz w:val="22"/>
          <w:szCs w:val="22"/>
          <w:u w:val="single"/>
        </w:rPr>
        <w:t>se adjunta un link en el cual no esta la información completa ni actualizada.</w:t>
      </w:r>
      <w:r w:rsidRPr="00AE33A5">
        <w:rPr>
          <w:rFonts w:ascii="Palatino Linotype" w:eastAsia="Palatino Linotype" w:hAnsi="Palatino Linotype" w:cs="Palatino Linotype"/>
          <w:i/>
          <w:sz w:val="22"/>
          <w:szCs w:val="22"/>
        </w:rPr>
        <w:t xml:space="preserve"> 3) El presupuesto asignado para los servicios generales de la casa de la cultura correspondiente a los años 2022 al 2024 y cómo ha sido asignado/usado cada recurso durante su ejercicio fiscal, derivado de la revisión del anexo, </w:t>
      </w:r>
      <w:r w:rsidRPr="00AE33A5">
        <w:rPr>
          <w:rFonts w:ascii="Palatino Linotype" w:eastAsia="Palatino Linotype" w:hAnsi="Palatino Linotype" w:cs="Palatino Linotype"/>
          <w:b/>
          <w:i/>
          <w:sz w:val="22"/>
          <w:szCs w:val="22"/>
          <w:u w:val="single"/>
        </w:rPr>
        <w:t>cabe señalar que la información se le requirió al ayuntamiento, y ellos mismo le piden la información a Tesorería, cuando ellos tienen un área administrativa la cual es la encargada de llevar a cabo dichas gestiones; esta administración es la segunda vez que esta a cargo de dicho ayuntamiento y sin embargo pretende simular que desconoce como se manejan sus propias áreas.</w:t>
      </w:r>
      <w:r w:rsidRPr="00AE33A5">
        <w:rPr>
          <w:rFonts w:ascii="Palatino Linotype" w:eastAsia="Palatino Linotype" w:hAnsi="Palatino Linotype" w:cs="Palatino Linotype"/>
          <w:i/>
          <w:sz w:val="22"/>
          <w:szCs w:val="22"/>
        </w:rPr>
        <w:t xml:space="preserve"> 4) Personal adscrito a nomina de la casa de la cultura de los años 2022 al 2024, </w:t>
      </w:r>
      <w:r w:rsidRPr="00AE33A5">
        <w:rPr>
          <w:rFonts w:ascii="Palatino Linotype" w:eastAsia="Palatino Linotype" w:hAnsi="Palatino Linotype" w:cs="Palatino Linotype"/>
          <w:b/>
          <w:i/>
          <w:sz w:val="22"/>
          <w:szCs w:val="22"/>
          <w:u w:val="single"/>
        </w:rPr>
        <w:t>en la casa de cultura laboran cerca de 15 personas, entre ellos están las siguientes: Dos directores de la casa de la cultura, tres auxiliares del director de la casa de la cultura, tres secretarias, dos oficiales que cuidan la entrada y la casa de la cultura, una persona de mantenimiento, una chica de limpieza, en la biblioteca hay tres personas, información que omiten proporcionar.</w:t>
      </w:r>
      <w:r w:rsidRPr="00AE33A5">
        <w:rPr>
          <w:rFonts w:ascii="Palatino Linotype" w:eastAsia="Palatino Linotype" w:hAnsi="Palatino Linotype" w:cs="Palatino Linotype"/>
          <w:i/>
          <w:sz w:val="22"/>
          <w:szCs w:val="22"/>
        </w:rPr>
        <w:t xml:space="preserve"> 5) Personal eventual o de contrato a favor de la casa de la cultura del 2022 al 2024, </w:t>
      </w:r>
      <w:r w:rsidRPr="00AE33A5">
        <w:rPr>
          <w:rFonts w:ascii="Palatino Linotype" w:eastAsia="Palatino Linotype" w:hAnsi="Palatino Linotype" w:cs="Palatino Linotype"/>
          <w:b/>
          <w:i/>
          <w:sz w:val="22"/>
          <w:szCs w:val="22"/>
          <w:u w:val="single"/>
        </w:rPr>
        <w:t>de esas 15 personas no mencionan si son eventuales o por contrato, esto con base en que no mencionan a todo el personal, omiten a muchos de ellos</w:t>
      </w:r>
      <w:r w:rsidRPr="00AE33A5">
        <w:rPr>
          <w:rFonts w:ascii="Palatino Linotype" w:eastAsia="Palatino Linotype" w:hAnsi="Palatino Linotype" w:cs="Palatino Linotype"/>
          <w:i/>
          <w:sz w:val="22"/>
          <w:szCs w:val="22"/>
        </w:rPr>
        <w:t xml:space="preserve">. 6) El sueldo de todas las personas que trabajan en la casa de la cultura desde el alto rango al menor, </w:t>
      </w:r>
      <w:r w:rsidRPr="00AE33A5">
        <w:rPr>
          <w:rFonts w:ascii="Palatino Linotype" w:eastAsia="Palatino Linotype" w:hAnsi="Palatino Linotype" w:cs="Palatino Linotype"/>
          <w:b/>
          <w:i/>
          <w:sz w:val="22"/>
          <w:szCs w:val="22"/>
          <w:u w:val="single"/>
        </w:rPr>
        <w:t>se proporcionan solo 5 sueldos de servidores públicos o personal que labora dentro de la casa de la cultura, lo cual es ilógico, ya que haya mas de 5 personas laborando en dicha casa de la cultura.</w:t>
      </w:r>
      <w:r w:rsidRPr="00AE33A5">
        <w:rPr>
          <w:rFonts w:ascii="Palatino Linotype" w:eastAsia="Palatino Linotype" w:hAnsi="Palatino Linotype" w:cs="Palatino Linotype"/>
          <w:i/>
          <w:sz w:val="22"/>
          <w:szCs w:val="22"/>
        </w:rPr>
        <w:t xml:space="preserve"> 7) Los criterios laborales para contratar al personal de la casa de la cultura explicando a detalle las actividades de cada uno o cada área, </w:t>
      </w:r>
      <w:r w:rsidRPr="00AE33A5">
        <w:rPr>
          <w:rFonts w:ascii="Palatino Linotype" w:eastAsia="Palatino Linotype" w:hAnsi="Palatino Linotype" w:cs="Palatino Linotype"/>
          <w:b/>
          <w:i/>
          <w:sz w:val="22"/>
          <w:szCs w:val="22"/>
          <w:u w:val="single"/>
        </w:rPr>
        <w:t>solo me mandan las cuines de los servidores públicos, pero omiten dar contestación a este cuestionamiento</w:t>
      </w:r>
      <w:r w:rsidRPr="00AE33A5">
        <w:rPr>
          <w:rFonts w:ascii="Palatino Linotype" w:eastAsia="Palatino Linotype" w:hAnsi="Palatino Linotype" w:cs="Palatino Linotype"/>
          <w:i/>
          <w:sz w:val="22"/>
          <w:szCs w:val="22"/>
        </w:rPr>
        <w:t xml:space="preserve">. 8) El grado académico del personal de la casa de la cultura, </w:t>
      </w:r>
      <w:r w:rsidRPr="00AE33A5">
        <w:rPr>
          <w:rFonts w:ascii="Palatino Linotype" w:eastAsia="Palatino Linotype" w:hAnsi="Palatino Linotype" w:cs="Palatino Linotype"/>
          <w:b/>
          <w:i/>
          <w:sz w:val="22"/>
          <w:szCs w:val="22"/>
          <w:u w:val="single"/>
        </w:rPr>
        <w:t>solo mencionan el grado académico de los mismo 5 trabajadores, no el de todos los que laboran en realidad</w:t>
      </w:r>
      <w:r w:rsidRPr="00AE33A5">
        <w:rPr>
          <w:rFonts w:ascii="Palatino Linotype" w:eastAsia="Palatino Linotype" w:hAnsi="Palatino Linotype" w:cs="Palatino Linotype"/>
          <w:i/>
          <w:sz w:val="22"/>
          <w:szCs w:val="22"/>
        </w:rPr>
        <w:t xml:space="preserve">. 9) Facturas o las notas de garantía que acrediten la duración del mobiliario de la casa de la cultura y determinar en qué </w:t>
      </w:r>
      <w:r w:rsidRPr="00AE33A5">
        <w:rPr>
          <w:rFonts w:ascii="Palatino Linotype" w:eastAsia="Palatino Linotype" w:hAnsi="Palatino Linotype" w:cs="Palatino Linotype"/>
          <w:i/>
          <w:sz w:val="22"/>
          <w:szCs w:val="22"/>
        </w:rPr>
        <w:lastRenderedPageBreak/>
        <w:t xml:space="preserve">tiempo hacer otro gasto para reemplazar dicho mobiliario, </w:t>
      </w:r>
      <w:r w:rsidRPr="00AE33A5">
        <w:rPr>
          <w:rFonts w:ascii="Palatino Linotype" w:eastAsia="Palatino Linotype" w:hAnsi="Palatino Linotype" w:cs="Palatino Linotype"/>
          <w:b/>
          <w:i/>
          <w:sz w:val="22"/>
          <w:szCs w:val="22"/>
          <w:u w:val="single"/>
        </w:rPr>
        <w:t>no proporciona facturas ni atienden a este requerimiento de información</w:t>
      </w:r>
      <w:r w:rsidRPr="00AE33A5">
        <w:rPr>
          <w:rFonts w:ascii="Palatino Linotype" w:eastAsia="Palatino Linotype" w:hAnsi="Palatino Linotype" w:cs="Palatino Linotype"/>
          <w:i/>
          <w:sz w:val="22"/>
          <w:szCs w:val="22"/>
        </w:rPr>
        <w:t xml:space="preserve">. 10) Nombres de las personas encargadas de ejercer el presupuesto y los montos de gasto durante meses o años que expliquen el uso de ese recurso público, </w:t>
      </w:r>
      <w:r w:rsidRPr="00AE33A5">
        <w:rPr>
          <w:rFonts w:ascii="Palatino Linotype" w:eastAsia="Palatino Linotype" w:hAnsi="Palatino Linotype" w:cs="Palatino Linotype"/>
          <w:b/>
          <w:i/>
          <w:sz w:val="22"/>
          <w:szCs w:val="22"/>
          <w:u w:val="single"/>
        </w:rPr>
        <w:t>de igual forma, no se entrega nada al respecto sobre este punto</w:t>
      </w:r>
      <w:r w:rsidRPr="00AE33A5">
        <w:rPr>
          <w:rFonts w:ascii="Palatino Linotype" w:eastAsia="Palatino Linotype" w:hAnsi="Palatino Linotype" w:cs="Palatino Linotype"/>
          <w:i/>
          <w:sz w:val="22"/>
          <w:szCs w:val="22"/>
        </w:rPr>
        <w:t>. No obstante lo anterior, solicito sea exhortado al sujeto obligado para la entrega de la información peticionada de la forma correcta.” (Sic)</w:t>
      </w:r>
    </w:p>
    <w:p w14:paraId="72B2EBB2" w14:textId="77777777" w:rsidR="009D0202" w:rsidRPr="00AE33A5" w:rsidRDefault="009D0202">
      <w:pPr>
        <w:spacing w:line="276" w:lineRule="auto"/>
        <w:ind w:left="851" w:right="616"/>
        <w:jc w:val="both"/>
        <w:rPr>
          <w:rFonts w:ascii="Palatino Linotype" w:eastAsia="Palatino Linotype" w:hAnsi="Palatino Linotype" w:cs="Palatino Linotype"/>
          <w:i/>
          <w:sz w:val="22"/>
          <w:szCs w:val="22"/>
        </w:rPr>
      </w:pPr>
    </w:p>
    <w:p w14:paraId="55090D97" w14:textId="77777777" w:rsidR="009D0202" w:rsidRPr="00AE33A5" w:rsidRDefault="00D012ED">
      <w:pPr>
        <w:spacing w:line="276" w:lineRule="auto"/>
        <w:ind w:left="851" w:right="616"/>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t xml:space="preserve">Archivos adjuntos: </w:t>
      </w:r>
    </w:p>
    <w:p w14:paraId="575B327F" w14:textId="77777777" w:rsidR="009D0202" w:rsidRPr="00AE33A5" w:rsidRDefault="00D012ED">
      <w:pPr>
        <w:spacing w:line="276" w:lineRule="auto"/>
        <w:ind w:left="851" w:right="616"/>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 xml:space="preserve">“Fotos.zip”: </w:t>
      </w:r>
      <w:r w:rsidRPr="00AE33A5">
        <w:rPr>
          <w:rFonts w:ascii="Palatino Linotype" w:eastAsia="Palatino Linotype" w:hAnsi="Palatino Linotype" w:cs="Palatino Linotype"/>
          <w:sz w:val="22"/>
          <w:szCs w:val="22"/>
        </w:rPr>
        <w:t>Carpeta comprimida que contiene diversas evidencias fotográficas de cambio de lámparas y pinta de bancos.</w:t>
      </w:r>
    </w:p>
    <w:p w14:paraId="60AD0767" w14:textId="77777777" w:rsidR="009D0202" w:rsidRPr="00AE33A5" w:rsidRDefault="009D0202">
      <w:pPr>
        <w:spacing w:line="276" w:lineRule="auto"/>
        <w:ind w:left="567" w:right="900"/>
        <w:jc w:val="both"/>
        <w:rPr>
          <w:rFonts w:ascii="Palatino Linotype" w:eastAsia="Palatino Linotype" w:hAnsi="Palatino Linotype" w:cs="Palatino Linotype"/>
          <w:sz w:val="22"/>
          <w:szCs w:val="22"/>
        </w:rPr>
      </w:pPr>
    </w:p>
    <w:p w14:paraId="6901EF61" w14:textId="77777777" w:rsidR="009D0202" w:rsidRPr="00AE33A5" w:rsidRDefault="00D012ED">
      <w:pPr>
        <w:spacing w:before="240" w:after="240" w:line="360" w:lineRule="auto"/>
        <w:ind w:right="51"/>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sz w:val="22"/>
          <w:szCs w:val="22"/>
        </w:rPr>
        <w:t xml:space="preserve">4. Turno. </w:t>
      </w:r>
      <w:r w:rsidRPr="00AE33A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E33A5">
        <w:rPr>
          <w:rFonts w:ascii="Palatino Linotype" w:eastAsia="Palatino Linotype" w:hAnsi="Palatino Linotype" w:cs="Palatino Linotype"/>
          <w:b/>
          <w:sz w:val="22"/>
          <w:szCs w:val="22"/>
        </w:rPr>
        <w:t xml:space="preserve">Guadalupe Ramírez Peña, </w:t>
      </w:r>
      <w:r w:rsidRPr="00AE33A5">
        <w:rPr>
          <w:rFonts w:ascii="Palatino Linotype" w:eastAsia="Palatino Linotype" w:hAnsi="Palatino Linotype" w:cs="Palatino Linotype"/>
          <w:sz w:val="22"/>
          <w:szCs w:val="22"/>
        </w:rPr>
        <w:t>a efecto de que analizara sobre su admisión o su desechamiento.</w:t>
      </w:r>
    </w:p>
    <w:p w14:paraId="0A494AD6"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sz w:val="22"/>
          <w:szCs w:val="22"/>
        </w:rPr>
        <w:t>5. Admisión del Recurso de revisión.</w:t>
      </w:r>
      <w:r w:rsidRPr="00AE33A5">
        <w:rPr>
          <w:rFonts w:ascii="Palatino Linotype" w:eastAsia="Palatino Linotype" w:hAnsi="Palatino Linotype" w:cs="Palatino Linotype"/>
          <w:sz w:val="22"/>
          <w:szCs w:val="22"/>
        </w:rPr>
        <w:t xml:space="preserve"> El</w:t>
      </w:r>
      <w:r w:rsidRPr="00AE33A5">
        <w:rPr>
          <w:rFonts w:ascii="Palatino Linotype" w:eastAsia="Palatino Linotype" w:hAnsi="Palatino Linotype" w:cs="Palatino Linotype"/>
          <w:b/>
          <w:sz w:val="22"/>
          <w:szCs w:val="22"/>
        </w:rPr>
        <w:t xml:space="preserve"> treinta de agosto de dos mil veinticuatro, </w:t>
      </w:r>
      <w:r w:rsidRPr="00AE33A5">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E33A5">
        <w:rPr>
          <w:rFonts w:ascii="Palatino Linotype" w:eastAsia="Palatino Linotype" w:hAnsi="Palatino Linotype" w:cs="Palatino Linotype"/>
          <w:b/>
          <w:sz w:val="22"/>
          <w:szCs w:val="22"/>
        </w:rPr>
        <w:t xml:space="preserve">Sujeto Obligado </w:t>
      </w:r>
      <w:r w:rsidRPr="00AE33A5">
        <w:rPr>
          <w:rFonts w:ascii="Palatino Linotype" w:eastAsia="Palatino Linotype" w:hAnsi="Palatino Linotype" w:cs="Palatino Linotype"/>
          <w:sz w:val="22"/>
          <w:szCs w:val="22"/>
        </w:rPr>
        <w:t>presentara su informe justificado.</w:t>
      </w:r>
    </w:p>
    <w:p w14:paraId="38C8AB1D" w14:textId="77777777" w:rsidR="009D0202" w:rsidRPr="00AE33A5" w:rsidRDefault="00D012E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bookmarkStart w:id="4" w:name="_heading=h.2s8eyo1" w:colFirst="0" w:colLast="0"/>
      <w:bookmarkEnd w:id="4"/>
      <w:r w:rsidRPr="00AE33A5">
        <w:rPr>
          <w:rFonts w:ascii="Palatino Linotype" w:eastAsia="Palatino Linotype" w:hAnsi="Palatino Linotype" w:cs="Palatino Linotype"/>
          <w:b/>
          <w:sz w:val="22"/>
          <w:szCs w:val="22"/>
        </w:rPr>
        <w:t>6. Manifestaciones e Informe Justificado</w:t>
      </w:r>
      <w:r w:rsidRPr="00AE33A5">
        <w:rPr>
          <w:rFonts w:ascii="Palatino Linotype" w:eastAsia="Palatino Linotype" w:hAnsi="Palatino Linotype" w:cs="Palatino Linotype"/>
          <w:sz w:val="22"/>
          <w:szCs w:val="22"/>
        </w:rPr>
        <w:t xml:space="preserve">. De las constancias que integran el expediente en que se actúa se advierte que durante el periodo de manifestaciones e informe justificado, las partes fueron omisas en remitir documento alguno, tal como se desprende de la siguiente ilustración: </w:t>
      </w:r>
    </w:p>
    <w:p w14:paraId="05595A4B" w14:textId="77777777" w:rsidR="009D0202" w:rsidRPr="00AE33A5" w:rsidRDefault="00D012E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i/>
          <w:sz w:val="22"/>
          <w:szCs w:val="22"/>
        </w:rPr>
      </w:pPr>
      <w:r w:rsidRPr="00AE33A5">
        <w:rPr>
          <w:rFonts w:ascii="Palatino Linotype" w:eastAsia="Palatino Linotype" w:hAnsi="Palatino Linotype" w:cs="Palatino Linotype"/>
          <w:b/>
          <w:i/>
          <w:noProof/>
          <w:sz w:val="22"/>
          <w:szCs w:val="22"/>
        </w:rPr>
        <w:lastRenderedPageBreak/>
        <w:drawing>
          <wp:inline distT="0" distB="0" distL="0" distR="0" wp14:anchorId="20E367D9" wp14:editId="4F13C34D">
            <wp:extent cx="5612130" cy="1359535"/>
            <wp:effectExtent l="0" t="0" r="0" b="0"/>
            <wp:docPr id="13276845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12130" cy="1359535"/>
                    </a:xfrm>
                    <a:prstGeom prst="rect">
                      <a:avLst/>
                    </a:prstGeom>
                    <a:ln/>
                  </pic:spPr>
                </pic:pic>
              </a:graphicData>
            </a:graphic>
          </wp:inline>
        </w:drawing>
      </w:r>
    </w:p>
    <w:p w14:paraId="4FE9B228" w14:textId="77777777" w:rsidR="009D0202" w:rsidRPr="00AE33A5" w:rsidRDefault="009D020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i/>
          <w:sz w:val="22"/>
          <w:szCs w:val="22"/>
        </w:rPr>
      </w:pPr>
    </w:p>
    <w:p w14:paraId="53648A3D" w14:textId="77777777" w:rsidR="009D0202" w:rsidRPr="00AE33A5" w:rsidRDefault="00D012E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sz w:val="22"/>
          <w:szCs w:val="22"/>
        </w:rPr>
        <w:t xml:space="preserve">7. Cierre de instrucción. </w:t>
      </w:r>
      <w:r w:rsidRPr="00AE33A5">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AE33A5">
        <w:rPr>
          <w:rFonts w:ascii="Palatino Linotype" w:eastAsia="Palatino Linotype" w:hAnsi="Palatino Linotype" w:cs="Palatino Linotype"/>
          <w:b/>
          <w:sz w:val="22"/>
          <w:szCs w:val="22"/>
        </w:rPr>
        <w:t>siete de octubre de dos mil veinticuatro,</w:t>
      </w:r>
      <w:r w:rsidRPr="00AE33A5">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53181A9A" w14:textId="77777777" w:rsidR="009D0202" w:rsidRPr="00AE33A5" w:rsidRDefault="009D020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EC17AFB" w14:textId="77777777" w:rsidR="009D0202" w:rsidRPr="00AE33A5" w:rsidRDefault="00D012ED">
      <w:pPr>
        <w:spacing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sz w:val="22"/>
          <w:szCs w:val="22"/>
        </w:rPr>
        <w:t xml:space="preserve">8. Ampliación del término para resolver. El dieciséis de octubre de dos mil veinticuatro, </w:t>
      </w:r>
      <w:r w:rsidRPr="00AE33A5">
        <w:rPr>
          <w:rFonts w:ascii="Palatino Linotype" w:eastAsia="Palatino Linotype" w:hAnsi="Palatino Linotype" w:cs="Palatino Linotype"/>
          <w:sz w:val="22"/>
          <w:szCs w:val="22"/>
        </w:rPr>
        <w:t>se notificó a las partes, el acuerdo que amplía el término para resolver el recurso de revisión en términos del artículo 181 párrafo tercero de la Ley de Transparencia y Acceso a la Información Pública del Estado de México y Municipios.</w:t>
      </w:r>
    </w:p>
    <w:p w14:paraId="3F97E4BF"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12F4D00" w14:textId="77777777" w:rsidR="009D0202" w:rsidRPr="00AE33A5" w:rsidRDefault="00D012ED">
      <w:pPr>
        <w:widowControl w:val="0"/>
        <w:spacing w:before="240" w:after="240" w:line="360" w:lineRule="auto"/>
        <w:jc w:val="center"/>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t>II. C O N S I D E R A N D O S</w:t>
      </w:r>
    </w:p>
    <w:p w14:paraId="4EA9DC21"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sz w:val="22"/>
          <w:szCs w:val="22"/>
        </w:rPr>
        <w:t>Primero. Competencia.</w:t>
      </w:r>
      <w:r w:rsidRPr="00AE33A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w:t>
      </w:r>
      <w:r w:rsidRPr="00AE33A5">
        <w:rPr>
          <w:rFonts w:ascii="Palatino Linotype" w:eastAsia="Palatino Linotype" w:hAnsi="Palatino Linotype" w:cs="Palatino Linotype"/>
          <w:sz w:val="22"/>
          <w:szCs w:val="22"/>
        </w:rPr>
        <w:lastRenderedPageBreak/>
        <w:t>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56EC3BD"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AE33A5">
        <w:rPr>
          <w:rFonts w:ascii="Palatino Linotype" w:eastAsia="Palatino Linotype" w:hAnsi="Palatino Linotype" w:cs="Palatino Linotype"/>
          <w:b/>
          <w:sz w:val="22"/>
          <w:szCs w:val="22"/>
        </w:rPr>
        <w:t>Segundo. Oportunidad y Procedibilidad del Recurso de Revisión</w:t>
      </w:r>
      <w:r w:rsidRPr="00AE33A5">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5581D1F"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AE33A5">
        <w:rPr>
          <w:rFonts w:ascii="Palatino Linotype" w:eastAsia="Palatino Linotype" w:hAnsi="Palatino Linotype" w:cs="Palatino Linotype"/>
          <w:b/>
          <w:sz w:val="22"/>
          <w:szCs w:val="22"/>
        </w:rPr>
        <w:t xml:space="preserve">Sujeto Obligado </w:t>
      </w:r>
      <w:r w:rsidRPr="00AE33A5">
        <w:rPr>
          <w:rFonts w:ascii="Palatino Linotype" w:eastAsia="Palatino Linotype" w:hAnsi="Palatino Linotype" w:cs="Palatino Linotype"/>
          <w:sz w:val="22"/>
          <w:szCs w:val="22"/>
        </w:rPr>
        <w:t xml:space="preserve">remitió la respuesta a la solicitud de información el </w:t>
      </w:r>
      <w:r w:rsidRPr="00AE33A5">
        <w:rPr>
          <w:rFonts w:ascii="Palatino Linotype" w:eastAsia="Palatino Linotype" w:hAnsi="Palatino Linotype" w:cs="Palatino Linotype"/>
          <w:b/>
          <w:sz w:val="22"/>
          <w:szCs w:val="22"/>
        </w:rPr>
        <w:t>veintiséis de agosto</w:t>
      </w:r>
      <w:r w:rsidRPr="00AE33A5">
        <w:rPr>
          <w:rFonts w:ascii="Palatino Linotype" w:eastAsia="Palatino Linotype" w:hAnsi="Palatino Linotype" w:cs="Palatino Linotype"/>
          <w:sz w:val="22"/>
          <w:szCs w:val="22"/>
        </w:rPr>
        <w:t xml:space="preserve"> </w:t>
      </w:r>
      <w:r w:rsidRPr="00AE33A5">
        <w:rPr>
          <w:rFonts w:ascii="Palatino Linotype" w:eastAsia="Palatino Linotype" w:hAnsi="Palatino Linotype" w:cs="Palatino Linotype"/>
          <w:b/>
          <w:sz w:val="22"/>
          <w:szCs w:val="22"/>
        </w:rPr>
        <w:t xml:space="preserve">de dos mil veinticuatro, </w:t>
      </w:r>
      <w:r w:rsidRPr="00AE33A5">
        <w:rPr>
          <w:rFonts w:ascii="Palatino Linotype" w:eastAsia="Palatino Linotype" w:hAnsi="Palatino Linotype" w:cs="Palatino Linotype"/>
          <w:sz w:val="22"/>
          <w:szCs w:val="22"/>
        </w:rPr>
        <w:t>mientras que el recurso de revisión interpuesto por la parte</w:t>
      </w:r>
      <w:r w:rsidRPr="00AE33A5">
        <w:rPr>
          <w:rFonts w:ascii="Palatino Linotype" w:eastAsia="Palatino Linotype" w:hAnsi="Palatino Linotype" w:cs="Palatino Linotype"/>
          <w:b/>
          <w:sz w:val="22"/>
          <w:szCs w:val="22"/>
        </w:rPr>
        <w:t xml:space="preserve"> Recurrente</w:t>
      </w:r>
      <w:r w:rsidRPr="00AE33A5">
        <w:rPr>
          <w:rFonts w:ascii="Palatino Linotype" w:eastAsia="Palatino Linotype" w:hAnsi="Palatino Linotype" w:cs="Palatino Linotype"/>
          <w:sz w:val="22"/>
          <w:szCs w:val="22"/>
        </w:rPr>
        <w:t xml:space="preserve">, se tuvo por presentado el día </w:t>
      </w:r>
      <w:r w:rsidRPr="00AE33A5">
        <w:rPr>
          <w:rFonts w:ascii="Palatino Linotype" w:eastAsia="Palatino Linotype" w:hAnsi="Palatino Linotype" w:cs="Palatino Linotype"/>
          <w:b/>
          <w:sz w:val="22"/>
          <w:szCs w:val="22"/>
        </w:rPr>
        <w:t>veintisiete de agosto</w:t>
      </w:r>
      <w:r w:rsidRPr="00AE33A5">
        <w:rPr>
          <w:rFonts w:ascii="Palatino Linotype" w:eastAsia="Palatino Linotype" w:hAnsi="Palatino Linotype" w:cs="Palatino Linotype"/>
          <w:sz w:val="22"/>
          <w:szCs w:val="22"/>
        </w:rPr>
        <w:t xml:space="preserve"> </w:t>
      </w:r>
      <w:r w:rsidRPr="00AE33A5">
        <w:rPr>
          <w:rFonts w:ascii="Palatino Linotype" w:eastAsia="Palatino Linotype" w:hAnsi="Palatino Linotype" w:cs="Palatino Linotype"/>
          <w:b/>
          <w:sz w:val="22"/>
          <w:szCs w:val="22"/>
        </w:rPr>
        <w:t xml:space="preserve">de dos mil veinticuatro, </w:t>
      </w:r>
      <w:r w:rsidRPr="00AE33A5">
        <w:rPr>
          <w:rFonts w:ascii="Palatino Linotype" w:eastAsia="Palatino Linotype" w:hAnsi="Palatino Linotype" w:cs="Palatino Linotype"/>
          <w:sz w:val="22"/>
          <w:szCs w:val="22"/>
        </w:rPr>
        <w:t xml:space="preserve">esto es, al </w:t>
      </w:r>
      <w:r w:rsidRPr="00AE33A5">
        <w:rPr>
          <w:rFonts w:ascii="Palatino Linotype" w:eastAsia="Palatino Linotype" w:hAnsi="Palatino Linotype" w:cs="Palatino Linotype"/>
          <w:b/>
          <w:sz w:val="22"/>
          <w:szCs w:val="22"/>
        </w:rPr>
        <w:t>primer día hábil</w:t>
      </w:r>
      <w:r w:rsidRPr="00AE33A5">
        <w:rPr>
          <w:rFonts w:ascii="Palatino Linotype" w:eastAsia="Palatino Linotype" w:hAnsi="Palatino Linotype" w:cs="Palatino Linotype"/>
          <w:sz w:val="22"/>
          <w:szCs w:val="22"/>
        </w:rPr>
        <w:t xml:space="preserve"> siguiente al que tuvo conocimiento de la respuesta impugnada. En este sentido, se concluye que el presente recurso de revisión se encuentra dentro de los márgenes temporales previstos en las disposiciones legales referidas.</w:t>
      </w:r>
    </w:p>
    <w:p w14:paraId="00622AF2" w14:textId="77777777" w:rsidR="009D0202" w:rsidRPr="00AE33A5" w:rsidRDefault="00D012ED">
      <w:pPr>
        <w:tabs>
          <w:tab w:val="left" w:pos="7938"/>
        </w:tabs>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AE33A5">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11642FB"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lastRenderedPageBreak/>
        <w:t xml:space="preserve">Finalmente, se advierte que resulta procedente la interposición del recurso, según lo manifestado por la parte </w:t>
      </w:r>
      <w:r w:rsidRPr="00AE33A5">
        <w:rPr>
          <w:rFonts w:ascii="Palatino Linotype" w:eastAsia="Palatino Linotype" w:hAnsi="Palatino Linotype" w:cs="Palatino Linotype"/>
          <w:b/>
          <w:sz w:val="22"/>
          <w:szCs w:val="22"/>
        </w:rPr>
        <w:t>Recurrente</w:t>
      </w:r>
      <w:r w:rsidRPr="00AE33A5">
        <w:rPr>
          <w:rFonts w:ascii="Palatino Linotype" w:eastAsia="Palatino Linotype" w:hAnsi="Palatino Linotype" w:cs="Palatino Linotype"/>
          <w:sz w:val="22"/>
          <w:szCs w:val="22"/>
        </w:rPr>
        <w:t xml:space="preserve"> en sus motivos de inconformidad, de acuerdo al artículo 179, fracciones V y VI del ordenamiento legal citado, que a la letra dice: </w:t>
      </w:r>
    </w:p>
    <w:p w14:paraId="5E147272" w14:textId="77777777" w:rsidR="009D0202" w:rsidRPr="00AE33A5" w:rsidRDefault="00D012ED">
      <w:pPr>
        <w:spacing w:before="120" w:after="120"/>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w:t>
      </w:r>
      <w:r w:rsidRPr="00AE33A5">
        <w:rPr>
          <w:rFonts w:ascii="Palatino Linotype" w:eastAsia="Palatino Linotype" w:hAnsi="Palatino Linotype" w:cs="Palatino Linotype"/>
          <w:b/>
          <w:i/>
          <w:sz w:val="22"/>
          <w:szCs w:val="22"/>
        </w:rPr>
        <w:t>Artículo 179.</w:t>
      </w:r>
      <w:r w:rsidRPr="00AE33A5">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17770C8" w14:textId="77777777" w:rsidR="009D0202" w:rsidRPr="00AE33A5" w:rsidRDefault="00D012ED">
      <w:pPr>
        <w:spacing w:before="120" w:after="120"/>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w:t>
      </w:r>
    </w:p>
    <w:p w14:paraId="6E2E7BAD" w14:textId="77777777" w:rsidR="009D0202" w:rsidRPr="00AE33A5" w:rsidRDefault="00D012ED">
      <w:pPr>
        <w:spacing w:before="120" w:after="120"/>
        <w:ind w:left="851" w:right="616"/>
        <w:jc w:val="both"/>
        <w:rPr>
          <w:rFonts w:ascii="Palatino Linotype" w:eastAsia="Palatino Linotype" w:hAnsi="Palatino Linotype" w:cs="Palatino Linotype"/>
          <w:b/>
          <w:i/>
          <w:sz w:val="22"/>
          <w:szCs w:val="22"/>
          <w:u w:val="single"/>
        </w:rPr>
      </w:pPr>
      <w:r w:rsidRPr="00AE33A5">
        <w:rPr>
          <w:rFonts w:ascii="Palatino Linotype" w:eastAsia="Palatino Linotype" w:hAnsi="Palatino Linotype" w:cs="Palatino Linotype"/>
          <w:b/>
          <w:i/>
          <w:sz w:val="22"/>
          <w:szCs w:val="22"/>
          <w:u w:val="single"/>
        </w:rPr>
        <w:t>V. La entrega de información incompleta;</w:t>
      </w:r>
    </w:p>
    <w:p w14:paraId="084B7F95" w14:textId="77777777" w:rsidR="009D0202" w:rsidRPr="00AE33A5" w:rsidRDefault="00D012ED">
      <w:pPr>
        <w:spacing w:before="120" w:after="120"/>
        <w:ind w:left="851" w:right="616"/>
        <w:jc w:val="both"/>
        <w:rPr>
          <w:rFonts w:ascii="Palatino Linotype" w:eastAsia="Palatino Linotype" w:hAnsi="Palatino Linotype" w:cs="Palatino Linotype"/>
          <w:b/>
          <w:i/>
          <w:sz w:val="22"/>
          <w:szCs w:val="22"/>
          <w:u w:val="single"/>
        </w:rPr>
      </w:pPr>
      <w:r w:rsidRPr="00AE33A5">
        <w:rPr>
          <w:rFonts w:ascii="Palatino Linotype" w:eastAsia="Palatino Linotype" w:hAnsi="Palatino Linotype" w:cs="Palatino Linotype"/>
          <w:b/>
          <w:i/>
          <w:sz w:val="22"/>
          <w:szCs w:val="22"/>
          <w:u w:val="single"/>
        </w:rPr>
        <w:t>VI. La entrega de información que no corresponda con lo solicitado;</w:t>
      </w:r>
      <w:r w:rsidRPr="00AE33A5">
        <w:rPr>
          <w:rFonts w:ascii="Palatino Linotype" w:eastAsia="Palatino Linotype" w:hAnsi="Palatino Linotype" w:cs="Palatino Linotype"/>
          <w:b/>
          <w:i/>
          <w:sz w:val="22"/>
          <w:szCs w:val="22"/>
        </w:rPr>
        <w:t xml:space="preserve">” </w:t>
      </w:r>
      <w:r w:rsidRPr="00AE33A5">
        <w:rPr>
          <w:rFonts w:ascii="Palatino Linotype" w:eastAsia="Palatino Linotype" w:hAnsi="Palatino Linotype" w:cs="Palatino Linotype"/>
          <w:i/>
          <w:sz w:val="22"/>
          <w:szCs w:val="22"/>
        </w:rPr>
        <w:t>(Énfasis añadido)</w:t>
      </w:r>
    </w:p>
    <w:p w14:paraId="536A219D"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sz w:val="22"/>
          <w:szCs w:val="22"/>
        </w:rPr>
        <w:t xml:space="preserve">Tercero. Materia de la revisión. </w:t>
      </w:r>
      <w:r w:rsidRPr="00AE33A5">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AE33A5">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AE33A5">
        <w:rPr>
          <w:rFonts w:ascii="Palatino Linotype" w:eastAsia="Palatino Linotype" w:hAnsi="Palatino Linotype" w:cs="Palatino Linotype"/>
          <w:sz w:val="22"/>
          <w:szCs w:val="22"/>
        </w:rPr>
        <w:t xml:space="preserve">de </w:t>
      </w:r>
      <w:r w:rsidRPr="00AE33A5">
        <w:rPr>
          <w:rFonts w:ascii="Palatino Linotype" w:eastAsia="Palatino Linotype" w:hAnsi="Palatino Linotype" w:cs="Palatino Linotype"/>
          <w:b/>
          <w:sz w:val="22"/>
          <w:szCs w:val="22"/>
        </w:rPr>
        <w:t>la parte</w:t>
      </w:r>
      <w:r w:rsidRPr="00AE33A5">
        <w:rPr>
          <w:rFonts w:ascii="Palatino Linotype" w:eastAsia="Palatino Linotype" w:hAnsi="Palatino Linotype" w:cs="Palatino Linotype"/>
          <w:sz w:val="22"/>
          <w:szCs w:val="22"/>
        </w:rPr>
        <w:t xml:space="preserve"> </w:t>
      </w:r>
      <w:r w:rsidRPr="00AE33A5">
        <w:rPr>
          <w:rFonts w:ascii="Palatino Linotype" w:eastAsia="Palatino Linotype" w:hAnsi="Palatino Linotype" w:cs="Palatino Linotype"/>
          <w:b/>
          <w:sz w:val="22"/>
          <w:szCs w:val="22"/>
        </w:rPr>
        <w:t>Recurrente</w:t>
      </w:r>
      <w:r w:rsidRPr="00AE33A5">
        <w:rPr>
          <w:rFonts w:ascii="Palatino Linotype" w:eastAsia="Palatino Linotype" w:hAnsi="Palatino Linotype" w:cs="Palatino Linotype"/>
          <w:sz w:val="22"/>
          <w:szCs w:val="22"/>
        </w:rPr>
        <w:t>, o en su defecto, en caso de ser procedente, ordenar la entrega de información.</w:t>
      </w:r>
    </w:p>
    <w:p w14:paraId="29985D80"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AE33A5">
        <w:rPr>
          <w:rFonts w:ascii="Palatino Linotype" w:eastAsia="Palatino Linotype" w:hAnsi="Palatino Linotype" w:cs="Palatino Linotype"/>
          <w:b/>
          <w:sz w:val="22"/>
          <w:szCs w:val="22"/>
        </w:rPr>
        <w:t xml:space="preserve">Cuarto. Estudio del asunto. </w:t>
      </w:r>
      <w:r w:rsidRPr="00AE33A5">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547CCB1" w14:textId="77777777" w:rsidR="009D0202" w:rsidRPr="00AE33A5" w:rsidRDefault="00D012ED">
      <w:pPr>
        <w:spacing w:before="120" w:after="120"/>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w:t>
      </w:r>
      <w:r w:rsidRPr="00AE33A5">
        <w:rPr>
          <w:rFonts w:ascii="Palatino Linotype" w:eastAsia="Palatino Linotype" w:hAnsi="Palatino Linotype" w:cs="Palatino Linotype"/>
          <w:b/>
          <w:i/>
          <w:sz w:val="22"/>
          <w:szCs w:val="22"/>
        </w:rPr>
        <w:t>Artículo 4</w:t>
      </w:r>
      <w:r w:rsidRPr="00AE33A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E84904C" w14:textId="77777777" w:rsidR="009D0202" w:rsidRPr="00AE33A5" w:rsidRDefault="00D012ED">
      <w:pPr>
        <w:spacing w:before="120" w:after="120"/>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w:t>
      </w:r>
      <w:r w:rsidRPr="00AE33A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EA07FF5" w14:textId="77777777" w:rsidR="009D0202" w:rsidRPr="00AE33A5" w:rsidRDefault="00D012ED">
      <w:pPr>
        <w:spacing w:before="120" w:after="120"/>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E33A5">
        <w:rPr>
          <w:rFonts w:ascii="Palatino Linotype" w:eastAsia="Palatino Linotype" w:hAnsi="Palatino Linotype" w:cs="Palatino Linotype"/>
          <w:i/>
          <w:sz w:val="22"/>
          <w:szCs w:val="22"/>
        </w:rPr>
        <w:t>.”</w:t>
      </w:r>
    </w:p>
    <w:p w14:paraId="6E59DDBA" w14:textId="77777777" w:rsidR="009D0202" w:rsidRPr="00AE33A5" w:rsidRDefault="00D012ED">
      <w:pPr>
        <w:spacing w:before="120" w:after="120"/>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(Énfasis añadido)</w:t>
      </w:r>
    </w:p>
    <w:p w14:paraId="089C0F00"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5F8322A" w14:textId="77777777" w:rsidR="009D0202" w:rsidRPr="00AE33A5" w:rsidRDefault="00D012ED">
      <w:pPr>
        <w:spacing w:before="120" w:after="120"/>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b/>
          <w:i/>
          <w:sz w:val="22"/>
          <w:szCs w:val="22"/>
        </w:rPr>
        <w:t>“Artículo 12.-</w:t>
      </w:r>
      <w:r w:rsidRPr="00AE33A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DA953D0" w14:textId="77777777" w:rsidR="009D0202" w:rsidRPr="00AE33A5" w:rsidRDefault="00D012ED">
      <w:pPr>
        <w:spacing w:before="120" w:after="120"/>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E33A5">
        <w:rPr>
          <w:rFonts w:ascii="Palatino Linotype" w:eastAsia="Palatino Linotype" w:hAnsi="Palatino Linotype" w:cs="Palatino Linotype"/>
          <w:i/>
          <w:sz w:val="22"/>
          <w:szCs w:val="22"/>
        </w:rPr>
        <w:t xml:space="preserve">. </w:t>
      </w:r>
      <w:r w:rsidRPr="00AE33A5">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64015B9B" w14:textId="77777777" w:rsidR="009D0202" w:rsidRPr="00AE33A5" w:rsidRDefault="00D012ED">
      <w:pPr>
        <w:spacing w:before="240" w:after="240" w:line="360" w:lineRule="auto"/>
        <w:ind w:right="-93"/>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w:t>
      </w:r>
      <w:r w:rsidRPr="00AE33A5">
        <w:rPr>
          <w:rFonts w:ascii="Palatino Linotype" w:eastAsia="Palatino Linotype" w:hAnsi="Palatino Linotype" w:cs="Palatino Linotype"/>
          <w:sz w:val="22"/>
          <w:szCs w:val="22"/>
        </w:rPr>
        <w:lastRenderedPageBreak/>
        <w:t>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23242BB1" w14:textId="77777777" w:rsidR="009D0202" w:rsidRPr="00AE33A5" w:rsidRDefault="00D012ED">
      <w:pPr>
        <w:spacing w:before="240" w:after="240" w:line="360" w:lineRule="auto"/>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sz w:val="22"/>
          <w:szCs w:val="22"/>
        </w:rPr>
        <w:t>Sirve de apoyo a lo anterior, el criterio 03/17, emitido por el Instituto Nacional de Transparencia, Acceso a la Información y Protección de Datos Personales, que por rubro y texto, dispone lo siguiente:</w:t>
      </w:r>
      <w:r w:rsidRPr="00AE33A5">
        <w:rPr>
          <w:rFonts w:ascii="Palatino Linotype" w:eastAsia="Palatino Linotype" w:hAnsi="Palatino Linotype" w:cs="Palatino Linotype"/>
          <w:b/>
          <w:sz w:val="22"/>
          <w:szCs w:val="22"/>
        </w:rPr>
        <w:t xml:space="preserve"> </w:t>
      </w:r>
    </w:p>
    <w:p w14:paraId="3DACEBBC" w14:textId="77777777" w:rsidR="009D0202" w:rsidRPr="00AE33A5" w:rsidRDefault="00D012ED">
      <w:pPr>
        <w:spacing w:before="120" w:after="120"/>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w:t>
      </w:r>
      <w:r w:rsidRPr="00AE33A5">
        <w:rPr>
          <w:rFonts w:ascii="Palatino Linotype" w:eastAsia="Palatino Linotype" w:hAnsi="Palatino Linotype" w:cs="Palatino Linotype"/>
          <w:b/>
          <w:i/>
          <w:sz w:val="22"/>
          <w:szCs w:val="22"/>
        </w:rPr>
        <w:t>No existe obligación de elaborar documentos ad hoc para atender las solicitudes de acceso a la información.</w:t>
      </w:r>
      <w:r w:rsidRPr="00AE33A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DDC5B3F" w14:textId="77777777" w:rsidR="009D0202" w:rsidRPr="00AE33A5" w:rsidRDefault="009D0202">
      <w:pPr>
        <w:spacing w:before="120" w:after="120"/>
        <w:ind w:left="851" w:right="616"/>
        <w:jc w:val="both"/>
        <w:rPr>
          <w:rFonts w:ascii="Palatino Linotype" w:eastAsia="Palatino Linotype" w:hAnsi="Palatino Linotype" w:cs="Palatino Linotype"/>
          <w:i/>
          <w:sz w:val="22"/>
          <w:szCs w:val="22"/>
        </w:rPr>
      </w:pPr>
    </w:p>
    <w:p w14:paraId="79A55274" w14:textId="77777777" w:rsidR="009D0202" w:rsidRPr="00AE33A5" w:rsidRDefault="00D012ED">
      <w:pPr>
        <w:spacing w:before="120" w:after="12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65932C9" w14:textId="77777777" w:rsidR="009D0202" w:rsidRPr="00AE33A5" w:rsidRDefault="00D012ED">
      <w:pPr>
        <w:spacing w:before="120" w:after="12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w:t>
      </w:r>
      <w:r w:rsidRPr="00AE33A5">
        <w:rPr>
          <w:rFonts w:ascii="Palatino Linotype" w:eastAsia="Palatino Linotype" w:hAnsi="Palatino Linotype" w:cs="Palatino Linotype"/>
          <w:sz w:val="22"/>
          <w:szCs w:val="22"/>
        </w:rPr>
        <w:lastRenderedPageBreak/>
        <w:t xml:space="preserve">competencias de los Sujetos Obligados; los que, podrán estar en cualquier medio, sea escrito, impreso, sonoro, visual, electrónico, informático u holográfico de conformidad con el artículo 3, fracción XI de la Ley de la materia, el cual señala lo siguiente: </w:t>
      </w:r>
    </w:p>
    <w:p w14:paraId="36FE3298" w14:textId="77777777" w:rsidR="009D0202" w:rsidRPr="00AE33A5" w:rsidRDefault="00D012ED">
      <w:pPr>
        <w:tabs>
          <w:tab w:val="left" w:pos="8222"/>
        </w:tabs>
        <w:spacing w:before="120" w:after="120"/>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w:t>
      </w:r>
      <w:r w:rsidRPr="00AE33A5">
        <w:rPr>
          <w:rFonts w:ascii="Palatino Linotype" w:eastAsia="Palatino Linotype" w:hAnsi="Palatino Linotype" w:cs="Palatino Linotype"/>
          <w:b/>
          <w:i/>
          <w:sz w:val="22"/>
          <w:szCs w:val="22"/>
        </w:rPr>
        <w:t xml:space="preserve">Artículo 3. </w:t>
      </w:r>
      <w:r w:rsidRPr="00AE33A5">
        <w:rPr>
          <w:rFonts w:ascii="Palatino Linotype" w:eastAsia="Palatino Linotype" w:hAnsi="Palatino Linotype" w:cs="Palatino Linotype"/>
          <w:i/>
          <w:sz w:val="22"/>
          <w:szCs w:val="22"/>
        </w:rPr>
        <w:t>Para los efectos de la presente Ley se entenderá por:</w:t>
      </w:r>
    </w:p>
    <w:p w14:paraId="50E7C86F" w14:textId="77777777" w:rsidR="009D0202" w:rsidRPr="00AE33A5" w:rsidRDefault="00D012ED">
      <w:pPr>
        <w:tabs>
          <w:tab w:val="left" w:pos="8222"/>
        </w:tabs>
        <w:spacing w:before="120" w:after="120"/>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w:t>
      </w:r>
    </w:p>
    <w:p w14:paraId="670134A5" w14:textId="77777777" w:rsidR="009D0202" w:rsidRPr="00AE33A5" w:rsidRDefault="00D012ED">
      <w:pPr>
        <w:tabs>
          <w:tab w:val="left" w:pos="8222"/>
        </w:tabs>
        <w:spacing w:before="120" w:after="120"/>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b/>
          <w:i/>
          <w:sz w:val="22"/>
          <w:szCs w:val="22"/>
        </w:rPr>
        <w:t>XI. Documento:</w:t>
      </w:r>
      <w:r w:rsidRPr="00AE33A5">
        <w:rPr>
          <w:rFonts w:ascii="Palatino Linotype" w:eastAsia="Palatino Linotype" w:hAnsi="Palatino Linotype" w:cs="Palatino Linotype"/>
          <w:i/>
          <w:sz w:val="22"/>
          <w:szCs w:val="22"/>
        </w:rPr>
        <w:t xml:space="preserve"> Los expedientes, reportes, estudios, actas</w:t>
      </w:r>
      <w:r w:rsidRPr="00AE33A5">
        <w:rPr>
          <w:rFonts w:ascii="Palatino Linotype" w:eastAsia="Palatino Linotype" w:hAnsi="Palatino Linotype" w:cs="Palatino Linotype"/>
          <w:b/>
          <w:i/>
          <w:sz w:val="22"/>
          <w:szCs w:val="22"/>
        </w:rPr>
        <w:t>,</w:t>
      </w:r>
      <w:r w:rsidRPr="00AE33A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44D947B"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F45F3CC" w14:textId="77777777" w:rsidR="009D0202" w:rsidRPr="00AE33A5" w:rsidRDefault="00D012ED">
      <w:pPr>
        <w:spacing w:before="120" w:after="120"/>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b/>
          <w:sz w:val="22"/>
          <w:szCs w:val="22"/>
        </w:rPr>
        <w:t>“</w:t>
      </w:r>
      <w:r w:rsidRPr="00AE33A5">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E33A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9A6AD07" w14:textId="77777777" w:rsidR="009D0202" w:rsidRPr="00AE33A5" w:rsidRDefault="00D012ED">
      <w:pPr>
        <w:spacing w:before="120" w:after="120"/>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A48D02A" w14:textId="77777777" w:rsidR="009D0202" w:rsidRPr="00AE33A5" w:rsidRDefault="00D012ED">
      <w:pPr>
        <w:spacing w:before="120" w:after="120"/>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666C74F" w14:textId="77777777" w:rsidR="009D0202" w:rsidRPr="00AE33A5" w:rsidRDefault="00D012ED">
      <w:pPr>
        <w:spacing w:before="120" w:after="120"/>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2FF8D254" w14:textId="77777777" w:rsidR="009D0202" w:rsidRPr="00AE33A5" w:rsidRDefault="00D012ED">
      <w:pPr>
        <w:spacing w:before="120" w:after="120"/>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lastRenderedPageBreak/>
        <w:t xml:space="preserve">3) Que se trate de información registrada en cualquier soporte documental, que en ejercicio de las atribuciones conferidas, se encuentre en posesión de los Sujetos Obligados.” </w:t>
      </w:r>
    </w:p>
    <w:p w14:paraId="77A9B5EE" w14:textId="77777777" w:rsidR="009D0202" w:rsidRPr="00AE33A5" w:rsidRDefault="00D012ED">
      <w:pPr>
        <w:spacing w:before="240" w:after="240" w:line="360" w:lineRule="auto"/>
        <w:ind w:right="51"/>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4B56E5C"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7F57A5D8"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AE33A5">
        <w:rPr>
          <w:rFonts w:ascii="Palatino Linotype" w:eastAsia="Palatino Linotype" w:hAnsi="Palatino Linotype" w:cs="Palatino Linotype"/>
          <w:b/>
          <w:sz w:val="22"/>
          <w:szCs w:val="22"/>
        </w:rPr>
        <w:t>Recurrente</w:t>
      </w:r>
      <w:r w:rsidRPr="00AE33A5">
        <w:rPr>
          <w:rFonts w:ascii="Palatino Linotype" w:eastAsia="Palatino Linotype" w:hAnsi="Palatino Linotype" w:cs="Palatino Linotype"/>
          <w:sz w:val="22"/>
          <w:szCs w:val="22"/>
        </w:rPr>
        <w:t xml:space="preserve"> requirió al </w:t>
      </w:r>
      <w:r w:rsidRPr="00AE33A5">
        <w:rPr>
          <w:rFonts w:ascii="Palatino Linotype" w:eastAsia="Palatino Linotype" w:hAnsi="Palatino Linotype" w:cs="Palatino Linotype"/>
          <w:b/>
          <w:sz w:val="22"/>
          <w:szCs w:val="22"/>
        </w:rPr>
        <w:t xml:space="preserve">Sujeto Obligado </w:t>
      </w:r>
      <w:r w:rsidRPr="00AE33A5">
        <w:rPr>
          <w:rFonts w:ascii="Palatino Linotype" w:eastAsia="Palatino Linotype" w:hAnsi="Palatino Linotype" w:cs="Palatino Linotype"/>
          <w:sz w:val="22"/>
          <w:szCs w:val="22"/>
        </w:rPr>
        <w:t>le proporcione, información consistente en lo siguiente:</w:t>
      </w:r>
    </w:p>
    <w:p w14:paraId="60825B49" w14:textId="77777777" w:rsidR="009D0202" w:rsidRPr="00AE33A5" w:rsidRDefault="00D012ED">
      <w:pPr>
        <w:numPr>
          <w:ilvl w:val="0"/>
          <w:numId w:val="2"/>
        </w:numPr>
        <w:pBdr>
          <w:top w:val="nil"/>
          <w:left w:val="nil"/>
          <w:bottom w:val="nil"/>
          <w:right w:val="nil"/>
          <w:between w:val="nil"/>
        </w:pBdr>
        <w:spacing w:before="240" w:line="360" w:lineRule="auto"/>
        <w:ind w:left="567" w:right="900" w:hanging="283"/>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lastRenderedPageBreak/>
        <w:t xml:space="preserve">Los contratos de adquisiciones de muebles o cambio de mobiliario de la casa de la cultura del 2022 al 2024 </w:t>
      </w:r>
    </w:p>
    <w:p w14:paraId="03F4D744" w14:textId="77777777" w:rsidR="009D0202" w:rsidRPr="00AE33A5" w:rsidRDefault="00D012ED">
      <w:pPr>
        <w:numPr>
          <w:ilvl w:val="0"/>
          <w:numId w:val="2"/>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t xml:space="preserve">Contratos que tengan por objeto la remodelación de las instalaciones de la casa de la cultura del 2022 al 2024 </w:t>
      </w:r>
    </w:p>
    <w:p w14:paraId="62F2F3B7" w14:textId="77777777" w:rsidR="009D0202" w:rsidRPr="00AE33A5" w:rsidRDefault="00D012ED">
      <w:pPr>
        <w:numPr>
          <w:ilvl w:val="0"/>
          <w:numId w:val="2"/>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t xml:space="preserve">El presupuesto asignado para los servicios generales de la casa de la cultura correspondiente a los años 2022 al 2024 y cómo ha sido asignado/usado cada recurso durante su ejercicio fiscal </w:t>
      </w:r>
    </w:p>
    <w:p w14:paraId="1D7C8D2C" w14:textId="77777777" w:rsidR="009D0202" w:rsidRPr="00AE33A5" w:rsidRDefault="00D012ED">
      <w:pPr>
        <w:numPr>
          <w:ilvl w:val="0"/>
          <w:numId w:val="2"/>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t xml:space="preserve">Personal adscrito a nómina de la casa de la cultura de los años 2022 al 2024 </w:t>
      </w:r>
    </w:p>
    <w:p w14:paraId="4E4094B8" w14:textId="77777777" w:rsidR="009D0202" w:rsidRPr="00AE33A5" w:rsidRDefault="00D012ED">
      <w:pPr>
        <w:numPr>
          <w:ilvl w:val="0"/>
          <w:numId w:val="2"/>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t xml:space="preserve">Personal eventual o de contrato a favor de la casa de la cultura del 2022 al 2024 </w:t>
      </w:r>
    </w:p>
    <w:p w14:paraId="1E96387A" w14:textId="77777777" w:rsidR="009D0202" w:rsidRPr="00AE33A5" w:rsidRDefault="00D012ED">
      <w:pPr>
        <w:numPr>
          <w:ilvl w:val="0"/>
          <w:numId w:val="2"/>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t xml:space="preserve">El sueldo de todas las personas que trabajan en la casa de la cultura desde el alto rango al menor </w:t>
      </w:r>
    </w:p>
    <w:p w14:paraId="04016DCD" w14:textId="77777777" w:rsidR="009D0202" w:rsidRPr="00AE33A5" w:rsidRDefault="00D012ED">
      <w:pPr>
        <w:numPr>
          <w:ilvl w:val="0"/>
          <w:numId w:val="2"/>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t xml:space="preserve">Los criterios laborales para contratar al personal de la casa de la cultura explicando a detalle las actividades de cada uno o cada área </w:t>
      </w:r>
    </w:p>
    <w:p w14:paraId="45DDFDE8" w14:textId="77777777" w:rsidR="009D0202" w:rsidRPr="00AE33A5" w:rsidRDefault="00D012ED">
      <w:pPr>
        <w:numPr>
          <w:ilvl w:val="0"/>
          <w:numId w:val="2"/>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t xml:space="preserve">El grado académico del personal de la casa de la cultura </w:t>
      </w:r>
    </w:p>
    <w:p w14:paraId="70627C1A" w14:textId="77777777" w:rsidR="009D0202" w:rsidRPr="00AE33A5" w:rsidRDefault="00D012ED">
      <w:pPr>
        <w:numPr>
          <w:ilvl w:val="0"/>
          <w:numId w:val="2"/>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t xml:space="preserve">Facturas o las notas de garantía que acrediten la duración del mobiliario de la casa de la cultura y determinar en qué tiempo hacer otro gasto para reemplazar dicho mobiliario </w:t>
      </w:r>
    </w:p>
    <w:p w14:paraId="0D3FF4F3" w14:textId="77777777" w:rsidR="009D0202" w:rsidRPr="00AE33A5" w:rsidRDefault="00D012ED">
      <w:pPr>
        <w:numPr>
          <w:ilvl w:val="0"/>
          <w:numId w:val="2"/>
        </w:numPr>
        <w:pBdr>
          <w:top w:val="nil"/>
          <w:left w:val="nil"/>
          <w:bottom w:val="nil"/>
          <w:right w:val="nil"/>
          <w:between w:val="nil"/>
        </w:pBdr>
        <w:spacing w:after="240" w:line="360" w:lineRule="auto"/>
        <w:ind w:left="567" w:right="900" w:hanging="141"/>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t>Nombres de las personas encargadas de ejercer el presupuesto y los montos de gasto durante meses o años que expliquen el uso de ese recurso público.</w:t>
      </w:r>
    </w:p>
    <w:p w14:paraId="69A4B95C" w14:textId="77777777" w:rsidR="009D0202" w:rsidRPr="00AE33A5" w:rsidRDefault="00D012ED">
      <w:pPr>
        <w:spacing w:before="240" w:after="240" w:line="360" w:lineRule="auto"/>
        <w:ind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En respuesta, el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xml:space="preserve"> se pronunció por conducto del </w:t>
      </w:r>
      <w:r w:rsidRPr="00AE33A5">
        <w:rPr>
          <w:rFonts w:ascii="Palatino Linotype" w:eastAsia="Palatino Linotype" w:hAnsi="Palatino Linotype" w:cs="Palatino Linotype"/>
          <w:b/>
          <w:sz w:val="22"/>
          <w:szCs w:val="22"/>
        </w:rPr>
        <w:t>Director de Obras Públicas</w:t>
      </w:r>
      <w:r w:rsidRPr="00AE33A5">
        <w:rPr>
          <w:rFonts w:ascii="Palatino Linotype" w:eastAsia="Palatino Linotype" w:hAnsi="Palatino Linotype" w:cs="Palatino Linotype"/>
          <w:sz w:val="22"/>
          <w:szCs w:val="22"/>
        </w:rPr>
        <w:t xml:space="preserve">, quien proporcionó una liga electrónica para consultar la información, por su parte el </w:t>
      </w:r>
      <w:r w:rsidRPr="00AE33A5">
        <w:rPr>
          <w:rFonts w:ascii="Palatino Linotype" w:eastAsia="Palatino Linotype" w:hAnsi="Palatino Linotype" w:cs="Palatino Linotype"/>
          <w:b/>
          <w:sz w:val="22"/>
          <w:szCs w:val="22"/>
        </w:rPr>
        <w:t>Tesorero Municipal</w:t>
      </w:r>
      <w:r w:rsidRPr="00AE33A5">
        <w:rPr>
          <w:rFonts w:ascii="Palatino Linotype" w:eastAsia="Palatino Linotype" w:hAnsi="Palatino Linotype" w:cs="Palatino Linotype"/>
          <w:sz w:val="22"/>
          <w:szCs w:val="22"/>
        </w:rPr>
        <w:t xml:space="preserve"> señala que la Tesorería no cuenta con la información requerida en los términos planteados, toda vez que las partidas del presupuesto de egresos son </w:t>
      </w:r>
      <w:r w:rsidRPr="00AE33A5">
        <w:rPr>
          <w:rFonts w:ascii="Palatino Linotype" w:eastAsia="Palatino Linotype" w:hAnsi="Palatino Linotype" w:cs="Palatino Linotype"/>
          <w:sz w:val="22"/>
          <w:szCs w:val="22"/>
        </w:rPr>
        <w:lastRenderedPageBreak/>
        <w:t>asignadas por unidades administrativas y no así por dependencias o inmuebles, y menos aún por servidores públicos, razón por la cual no es posible atender favorablemente la solicitud del peticionario.</w:t>
      </w:r>
    </w:p>
    <w:p w14:paraId="6F67E944" w14:textId="77777777" w:rsidR="009D0202" w:rsidRPr="00AE33A5" w:rsidRDefault="00D012ED">
      <w:pPr>
        <w:spacing w:before="240" w:after="240" w:line="360" w:lineRule="auto"/>
        <w:ind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El </w:t>
      </w:r>
      <w:r w:rsidRPr="00AE33A5">
        <w:rPr>
          <w:rFonts w:ascii="Palatino Linotype" w:eastAsia="Palatino Linotype" w:hAnsi="Palatino Linotype" w:cs="Palatino Linotype"/>
          <w:b/>
          <w:sz w:val="22"/>
          <w:szCs w:val="22"/>
        </w:rPr>
        <w:t xml:space="preserve">Director de Administración </w:t>
      </w:r>
      <w:r w:rsidRPr="00AE33A5">
        <w:rPr>
          <w:rFonts w:ascii="Palatino Linotype" w:eastAsia="Palatino Linotype" w:hAnsi="Palatino Linotype" w:cs="Palatino Linotype"/>
          <w:sz w:val="22"/>
          <w:szCs w:val="22"/>
        </w:rPr>
        <w:t>proporciona un documento ad hoc en el que enlista</w:t>
      </w:r>
      <w:r w:rsidRPr="00AE33A5">
        <w:rPr>
          <w:rFonts w:ascii="Palatino Linotype" w:eastAsia="Palatino Linotype" w:hAnsi="Palatino Linotype" w:cs="Palatino Linotype"/>
          <w:b/>
          <w:sz w:val="22"/>
          <w:szCs w:val="22"/>
        </w:rPr>
        <w:t xml:space="preserve"> </w:t>
      </w:r>
      <w:r w:rsidRPr="00AE33A5">
        <w:rPr>
          <w:rFonts w:ascii="Palatino Linotype" w:eastAsia="Palatino Linotype" w:hAnsi="Palatino Linotype" w:cs="Palatino Linotype"/>
          <w:sz w:val="22"/>
          <w:szCs w:val="22"/>
        </w:rPr>
        <w:t xml:space="preserve">a los servidores públicos, sueldo y grado de estudios, asimismo hace mención que el Ayuntamiento no realiza contrataciones de personal eventual o por contrato. Anexando al presente, las respuestas de los departamentos responsables, el reporte de actividades del personal de la casa de la cultura, y los criterios para la contratación de personal. </w:t>
      </w:r>
    </w:p>
    <w:p w14:paraId="006CD6A9" w14:textId="77777777" w:rsidR="009D0202" w:rsidRPr="00AE33A5" w:rsidRDefault="00D012ED">
      <w:pPr>
        <w:spacing w:before="240" w:after="240" w:line="360" w:lineRule="auto"/>
        <w:ind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Por otra parte, el </w:t>
      </w:r>
      <w:r w:rsidRPr="00AE33A5">
        <w:rPr>
          <w:rFonts w:ascii="Palatino Linotype" w:eastAsia="Palatino Linotype" w:hAnsi="Palatino Linotype" w:cs="Palatino Linotype"/>
          <w:b/>
          <w:sz w:val="22"/>
          <w:szCs w:val="22"/>
        </w:rPr>
        <w:t>Subdirector de Adquisiciones y Licitaciones</w:t>
      </w:r>
      <w:r w:rsidRPr="00AE33A5">
        <w:rPr>
          <w:rFonts w:ascii="Palatino Linotype" w:eastAsia="Palatino Linotype" w:hAnsi="Palatino Linotype" w:cs="Palatino Linotype"/>
          <w:sz w:val="22"/>
          <w:szCs w:val="22"/>
        </w:rPr>
        <w:t>, manifiesta que en sus archivos no existen dichos procedimientos.</w:t>
      </w:r>
    </w:p>
    <w:p w14:paraId="6A73B5BC" w14:textId="77777777" w:rsidR="009D0202" w:rsidRPr="00AE33A5" w:rsidRDefault="00D012ED">
      <w:pPr>
        <w:spacing w:before="240" w:after="240" w:line="360" w:lineRule="auto"/>
        <w:ind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Finalmente el </w:t>
      </w:r>
      <w:r w:rsidRPr="00AE33A5">
        <w:rPr>
          <w:rFonts w:ascii="Palatino Linotype" w:eastAsia="Palatino Linotype" w:hAnsi="Palatino Linotype" w:cs="Palatino Linotype"/>
          <w:b/>
          <w:sz w:val="22"/>
          <w:szCs w:val="22"/>
        </w:rPr>
        <w:t>Subdirector de Recursos Materiales</w:t>
      </w:r>
      <w:r w:rsidRPr="00AE33A5">
        <w:rPr>
          <w:rFonts w:ascii="Palatino Linotype" w:eastAsia="Palatino Linotype" w:hAnsi="Palatino Linotype" w:cs="Palatino Linotype"/>
          <w:sz w:val="22"/>
          <w:szCs w:val="22"/>
        </w:rPr>
        <w:t xml:space="preserve">, refiere que después de buscar en los archivos de la base de datos, no se encontró ningún procedimiento referente a lo solicitado. </w:t>
      </w:r>
    </w:p>
    <w:p w14:paraId="740FCACE" w14:textId="77777777" w:rsidR="009D0202" w:rsidRPr="00AE33A5" w:rsidRDefault="00D012ED">
      <w:pPr>
        <w:spacing w:before="240" w:after="240" w:line="360" w:lineRule="auto"/>
        <w:ind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Conocida la respuesta por la persona solicitante, al no estar conforme con los términos de la misma, interpuso el recurso de revisión que nos ocupa, mediante el cual se inconformó medularmente porque esta se encuentra incompleta o no corresponde con lo solicitado.</w:t>
      </w:r>
    </w:p>
    <w:p w14:paraId="1CE44084" w14:textId="77777777" w:rsidR="009D0202" w:rsidRPr="00AE33A5" w:rsidRDefault="00D012ED">
      <w:pPr>
        <w:spacing w:before="240" w:after="240" w:line="360" w:lineRule="auto"/>
        <w:ind w:right="49"/>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sz w:val="22"/>
          <w:szCs w:val="22"/>
        </w:rPr>
        <w:t>Admitido el presente recurso de revisión, en términos del artículo 185 fracción II</w:t>
      </w:r>
      <w:r w:rsidRPr="00AE33A5">
        <w:rPr>
          <w:rFonts w:ascii="Palatino Linotype" w:eastAsia="Palatino Linotype" w:hAnsi="Palatino Linotype" w:cs="Palatino Linotype"/>
          <w:sz w:val="22"/>
          <w:szCs w:val="22"/>
          <w:vertAlign w:val="superscript"/>
        </w:rPr>
        <w:footnoteReference w:id="1"/>
      </w:r>
      <w:r w:rsidRPr="00AE33A5">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 las partes fueron omisas en remitir manifestaciones e informe justificado, por lo que se tiene por precluido su derecho para tal efecto.</w:t>
      </w:r>
      <w:r w:rsidRPr="00AE33A5">
        <w:rPr>
          <w:rFonts w:ascii="Palatino Linotype" w:eastAsia="Palatino Linotype" w:hAnsi="Palatino Linotype" w:cs="Palatino Linotype"/>
          <w:b/>
          <w:sz w:val="22"/>
          <w:szCs w:val="22"/>
        </w:rPr>
        <w:t xml:space="preserve"> </w:t>
      </w:r>
    </w:p>
    <w:p w14:paraId="7B8BCF35"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lastRenderedPageBreak/>
        <w:t xml:space="preserve">Acotado lo anterior, para un mejor entendimiento del presente estudio, se procede a insertar el siguiente esquema de análisis: </w:t>
      </w:r>
    </w:p>
    <w:tbl>
      <w:tblPr>
        <w:tblStyle w:val="ad"/>
        <w:tblW w:w="926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3118"/>
        <w:gridCol w:w="2693"/>
        <w:gridCol w:w="1747"/>
      </w:tblGrid>
      <w:tr w:rsidR="00AE33A5" w:rsidRPr="00AE33A5" w14:paraId="5E2EE19F" w14:textId="77777777">
        <w:trPr>
          <w:trHeight w:val="141"/>
        </w:trPr>
        <w:tc>
          <w:tcPr>
            <w:tcW w:w="1702" w:type="dxa"/>
            <w:shd w:val="clear" w:color="auto" w:fill="E5DFEC"/>
          </w:tcPr>
          <w:p w14:paraId="3D991A7E" w14:textId="77777777" w:rsidR="009D0202" w:rsidRPr="00AE33A5" w:rsidRDefault="00D012ED">
            <w:pPr>
              <w:jc w:val="center"/>
              <w:rPr>
                <w:rFonts w:ascii="Palatino Linotype" w:eastAsia="Palatino Linotype" w:hAnsi="Palatino Linotype" w:cs="Palatino Linotype"/>
                <w:b/>
                <w:sz w:val="18"/>
                <w:szCs w:val="18"/>
              </w:rPr>
            </w:pPr>
            <w:r w:rsidRPr="00AE33A5">
              <w:rPr>
                <w:rFonts w:ascii="Palatino Linotype" w:eastAsia="Palatino Linotype" w:hAnsi="Palatino Linotype" w:cs="Palatino Linotype"/>
                <w:b/>
                <w:sz w:val="18"/>
                <w:szCs w:val="18"/>
              </w:rPr>
              <w:t>Requerimiento de Información</w:t>
            </w:r>
          </w:p>
        </w:tc>
        <w:tc>
          <w:tcPr>
            <w:tcW w:w="3118" w:type="dxa"/>
            <w:shd w:val="clear" w:color="auto" w:fill="E5DFEC"/>
          </w:tcPr>
          <w:p w14:paraId="359A1F87" w14:textId="77777777" w:rsidR="009D0202" w:rsidRPr="00AE33A5" w:rsidRDefault="00D012ED">
            <w:pPr>
              <w:jc w:val="center"/>
              <w:rPr>
                <w:rFonts w:ascii="Palatino Linotype" w:eastAsia="Palatino Linotype" w:hAnsi="Palatino Linotype" w:cs="Palatino Linotype"/>
                <w:b/>
                <w:sz w:val="18"/>
                <w:szCs w:val="18"/>
              </w:rPr>
            </w:pPr>
            <w:r w:rsidRPr="00AE33A5">
              <w:rPr>
                <w:rFonts w:ascii="Palatino Linotype" w:eastAsia="Palatino Linotype" w:hAnsi="Palatino Linotype" w:cs="Palatino Linotype"/>
                <w:b/>
                <w:sz w:val="18"/>
                <w:szCs w:val="18"/>
              </w:rPr>
              <w:t>Respuesta</w:t>
            </w:r>
          </w:p>
        </w:tc>
        <w:tc>
          <w:tcPr>
            <w:tcW w:w="2693" w:type="dxa"/>
            <w:shd w:val="clear" w:color="auto" w:fill="E5DFEC"/>
          </w:tcPr>
          <w:p w14:paraId="74B84A04" w14:textId="77777777" w:rsidR="009D0202" w:rsidRPr="00AE33A5" w:rsidRDefault="00D012ED">
            <w:pPr>
              <w:jc w:val="center"/>
              <w:rPr>
                <w:rFonts w:ascii="Palatino Linotype" w:eastAsia="Palatino Linotype" w:hAnsi="Palatino Linotype" w:cs="Palatino Linotype"/>
                <w:b/>
                <w:sz w:val="18"/>
                <w:szCs w:val="18"/>
              </w:rPr>
            </w:pPr>
            <w:r w:rsidRPr="00AE33A5">
              <w:rPr>
                <w:rFonts w:ascii="Palatino Linotype" w:eastAsia="Palatino Linotype" w:hAnsi="Palatino Linotype" w:cs="Palatino Linotype"/>
                <w:b/>
                <w:sz w:val="18"/>
                <w:szCs w:val="18"/>
              </w:rPr>
              <w:t>Razones o Motivos de Inconformidad</w:t>
            </w:r>
          </w:p>
        </w:tc>
        <w:tc>
          <w:tcPr>
            <w:tcW w:w="1747" w:type="dxa"/>
            <w:shd w:val="clear" w:color="auto" w:fill="E5DFEC"/>
          </w:tcPr>
          <w:p w14:paraId="5CFC82B2" w14:textId="77777777" w:rsidR="009D0202" w:rsidRPr="00AE33A5" w:rsidRDefault="00D012ED">
            <w:pPr>
              <w:jc w:val="center"/>
              <w:rPr>
                <w:rFonts w:ascii="Palatino Linotype" w:eastAsia="Palatino Linotype" w:hAnsi="Palatino Linotype" w:cs="Palatino Linotype"/>
                <w:b/>
                <w:sz w:val="18"/>
                <w:szCs w:val="18"/>
              </w:rPr>
            </w:pPr>
            <w:r w:rsidRPr="00AE33A5">
              <w:rPr>
                <w:rFonts w:ascii="Palatino Linotype" w:eastAsia="Palatino Linotype" w:hAnsi="Palatino Linotype" w:cs="Palatino Linotype"/>
                <w:b/>
                <w:sz w:val="18"/>
                <w:szCs w:val="18"/>
              </w:rPr>
              <w:t>¿El pronunciamiento del Sujeto Obligado es suficiente para satisfacer el requerimiento de información?</w:t>
            </w:r>
          </w:p>
        </w:tc>
      </w:tr>
      <w:tr w:rsidR="00AE33A5" w:rsidRPr="00AE33A5" w14:paraId="2BA5691D" w14:textId="77777777">
        <w:trPr>
          <w:trHeight w:val="141"/>
        </w:trPr>
        <w:tc>
          <w:tcPr>
            <w:tcW w:w="1702" w:type="dxa"/>
          </w:tcPr>
          <w:p w14:paraId="47926D5F" w14:textId="77777777" w:rsidR="009D0202" w:rsidRPr="00AE33A5" w:rsidRDefault="00D012ED">
            <w:pPr>
              <w:spacing w:before="240" w:after="240"/>
              <w:jc w:val="both"/>
              <w:rPr>
                <w:rFonts w:ascii="Palatino Linotype" w:eastAsia="Palatino Linotype" w:hAnsi="Palatino Linotype" w:cs="Palatino Linotype"/>
                <w:b/>
                <w:sz w:val="18"/>
                <w:szCs w:val="18"/>
              </w:rPr>
            </w:pPr>
            <w:r w:rsidRPr="00AE33A5">
              <w:rPr>
                <w:rFonts w:ascii="Palatino Linotype" w:eastAsia="Palatino Linotype" w:hAnsi="Palatino Linotype" w:cs="Palatino Linotype"/>
                <w:b/>
                <w:sz w:val="18"/>
                <w:szCs w:val="18"/>
              </w:rPr>
              <w:t xml:space="preserve">1.Los contratos de adquisiciones de muebles o cambio de mobiliario de la casa de la cultura del 2022 al 2024 </w:t>
            </w:r>
          </w:p>
        </w:tc>
        <w:tc>
          <w:tcPr>
            <w:tcW w:w="3118" w:type="dxa"/>
          </w:tcPr>
          <w:p w14:paraId="577AC2D5" w14:textId="77777777" w:rsidR="009D0202" w:rsidRPr="00AE33A5" w:rsidRDefault="00D012ED">
            <w:pPr>
              <w:spacing w:before="240" w:after="240"/>
              <w:jc w:val="both"/>
              <w:rPr>
                <w:rFonts w:ascii="Palatino Linotype" w:eastAsia="Palatino Linotype" w:hAnsi="Palatino Linotype" w:cs="Palatino Linotype"/>
                <w:sz w:val="18"/>
                <w:szCs w:val="18"/>
              </w:rPr>
            </w:pPr>
            <w:r w:rsidRPr="00AE33A5">
              <w:rPr>
                <w:rFonts w:ascii="Palatino Linotype" w:eastAsia="Palatino Linotype" w:hAnsi="Palatino Linotype" w:cs="Palatino Linotype"/>
                <w:sz w:val="18"/>
                <w:szCs w:val="18"/>
              </w:rPr>
              <w:t>El</w:t>
            </w:r>
            <w:r w:rsidRPr="00AE33A5">
              <w:rPr>
                <w:rFonts w:ascii="Palatino Linotype" w:eastAsia="Palatino Linotype" w:hAnsi="Palatino Linotype" w:cs="Palatino Linotype"/>
                <w:b/>
                <w:sz w:val="18"/>
                <w:szCs w:val="18"/>
              </w:rPr>
              <w:t xml:space="preserve"> Subdirector de Recursos Materiales </w:t>
            </w:r>
            <w:r w:rsidRPr="00AE33A5">
              <w:rPr>
                <w:rFonts w:ascii="Palatino Linotype" w:eastAsia="Palatino Linotype" w:hAnsi="Palatino Linotype" w:cs="Palatino Linotype"/>
                <w:sz w:val="18"/>
                <w:szCs w:val="18"/>
              </w:rPr>
              <w:t>informó que después de buscar en los archivos de la base de datos, no se encontró ningún procedimiento referente a lo solicitado.</w:t>
            </w:r>
          </w:p>
          <w:p w14:paraId="1B913FBF" w14:textId="77777777" w:rsidR="009D0202" w:rsidRPr="00AE33A5" w:rsidRDefault="00D012ED">
            <w:pPr>
              <w:spacing w:before="240" w:after="240"/>
              <w:jc w:val="both"/>
              <w:rPr>
                <w:rFonts w:ascii="Palatino Linotype" w:eastAsia="Palatino Linotype" w:hAnsi="Palatino Linotype" w:cs="Palatino Linotype"/>
                <w:sz w:val="18"/>
                <w:szCs w:val="18"/>
              </w:rPr>
            </w:pPr>
            <w:r w:rsidRPr="00AE33A5">
              <w:rPr>
                <w:rFonts w:ascii="Palatino Linotype" w:eastAsia="Palatino Linotype" w:hAnsi="Palatino Linotype" w:cs="Palatino Linotype"/>
                <w:sz w:val="18"/>
                <w:szCs w:val="18"/>
              </w:rPr>
              <w:t xml:space="preserve">El </w:t>
            </w:r>
            <w:r w:rsidRPr="00AE33A5">
              <w:rPr>
                <w:rFonts w:ascii="Palatino Linotype" w:eastAsia="Palatino Linotype" w:hAnsi="Palatino Linotype" w:cs="Palatino Linotype"/>
                <w:b/>
                <w:sz w:val="18"/>
                <w:szCs w:val="18"/>
              </w:rPr>
              <w:t>Subdirector de Adquisiciones y Licitaciones</w:t>
            </w:r>
            <w:r w:rsidRPr="00AE33A5">
              <w:rPr>
                <w:rFonts w:ascii="Palatino Linotype" w:eastAsia="Palatino Linotype" w:hAnsi="Palatino Linotype" w:cs="Palatino Linotype"/>
                <w:sz w:val="18"/>
                <w:szCs w:val="18"/>
              </w:rPr>
              <w:t xml:space="preserve"> informó que en sus archivos no existen dichos procedimientos. </w:t>
            </w:r>
          </w:p>
        </w:tc>
        <w:tc>
          <w:tcPr>
            <w:tcW w:w="2693" w:type="dxa"/>
          </w:tcPr>
          <w:p w14:paraId="2E47381D" w14:textId="77777777" w:rsidR="009D0202" w:rsidRPr="00AE33A5" w:rsidRDefault="00D012ED">
            <w:pPr>
              <w:spacing w:before="240" w:after="240" w:line="276" w:lineRule="auto"/>
              <w:jc w:val="both"/>
              <w:rPr>
                <w:rFonts w:ascii="Palatino Linotype" w:eastAsia="Palatino Linotype" w:hAnsi="Palatino Linotype" w:cs="Palatino Linotype"/>
                <w:i/>
                <w:sz w:val="18"/>
                <w:szCs w:val="18"/>
              </w:rPr>
            </w:pPr>
            <w:r w:rsidRPr="00AE33A5">
              <w:rPr>
                <w:rFonts w:ascii="Palatino Linotype" w:eastAsia="Palatino Linotype" w:hAnsi="Palatino Linotype" w:cs="Palatino Linotype"/>
                <w:i/>
                <w:sz w:val="18"/>
                <w:szCs w:val="18"/>
              </w:rPr>
              <w:t>“…se habla con falsedad ya que hay pruebas de que se instalaron lámparas nuevas y pintaron algunas bancas con pintura de aceite café, y no justifican de donde salió dicho presupuesto ni la cantidad, tampoco que hayan llevado a cabo un registro de dicho presupuesto.”</w:t>
            </w:r>
          </w:p>
        </w:tc>
        <w:tc>
          <w:tcPr>
            <w:tcW w:w="1747" w:type="dxa"/>
          </w:tcPr>
          <w:p w14:paraId="7D406D13" w14:textId="77777777" w:rsidR="009D0202" w:rsidRPr="00AE33A5" w:rsidRDefault="00D012ED">
            <w:pPr>
              <w:spacing w:before="240" w:after="240" w:line="360" w:lineRule="auto"/>
              <w:jc w:val="center"/>
              <w:rPr>
                <w:rFonts w:ascii="Palatino Linotype" w:eastAsia="Palatino Linotype" w:hAnsi="Palatino Linotype" w:cs="Palatino Linotype"/>
                <w:b/>
                <w:sz w:val="18"/>
                <w:szCs w:val="18"/>
              </w:rPr>
            </w:pPr>
            <w:r w:rsidRPr="00AE33A5">
              <w:rPr>
                <w:rFonts w:ascii="Palatino Linotype" w:eastAsia="Palatino Linotype" w:hAnsi="Palatino Linotype" w:cs="Palatino Linotype"/>
                <w:b/>
                <w:sz w:val="18"/>
                <w:szCs w:val="18"/>
              </w:rPr>
              <w:t xml:space="preserve">Parcialmente </w:t>
            </w:r>
          </w:p>
        </w:tc>
      </w:tr>
      <w:tr w:rsidR="00AE33A5" w:rsidRPr="00AE33A5" w14:paraId="455DE699" w14:textId="77777777">
        <w:trPr>
          <w:trHeight w:val="141"/>
        </w:trPr>
        <w:tc>
          <w:tcPr>
            <w:tcW w:w="1702" w:type="dxa"/>
          </w:tcPr>
          <w:p w14:paraId="03BE5714" w14:textId="77777777" w:rsidR="009D0202" w:rsidRPr="00AE33A5" w:rsidRDefault="00D012ED">
            <w:pPr>
              <w:spacing w:before="240" w:after="240"/>
              <w:jc w:val="both"/>
              <w:rPr>
                <w:rFonts w:ascii="Palatino Linotype" w:eastAsia="Palatino Linotype" w:hAnsi="Palatino Linotype" w:cs="Palatino Linotype"/>
                <w:b/>
                <w:sz w:val="18"/>
                <w:szCs w:val="18"/>
              </w:rPr>
            </w:pPr>
            <w:r w:rsidRPr="00AE33A5">
              <w:rPr>
                <w:rFonts w:ascii="Palatino Linotype" w:eastAsia="Palatino Linotype" w:hAnsi="Palatino Linotype" w:cs="Palatino Linotype"/>
                <w:b/>
                <w:sz w:val="18"/>
                <w:szCs w:val="18"/>
              </w:rPr>
              <w:t xml:space="preserve">2.Contratos que tengan por objeto la remodelación de las instalaciones de la casa de la cultura del 2022 al 2024 </w:t>
            </w:r>
          </w:p>
        </w:tc>
        <w:tc>
          <w:tcPr>
            <w:tcW w:w="3118" w:type="dxa"/>
          </w:tcPr>
          <w:p w14:paraId="381F5011" w14:textId="77777777" w:rsidR="009D0202" w:rsidRPr="00AE33A5" w:rsidRDefault="00D012ED">
            <w:pPr>
              <w:spacing w:before="240" w:after="240"/>
              <w:jc w:val="both"/>
              <w:rPr>
                <w:rFonts w:ascii="Palatino Linotype" w:eastAsia="Palatino Linotype" w:hAnsi="Palatino Linotype" w:cs="Palatino Linotype"/>
                <w:sz w:val="18"/>
                <w:szCs w:val="18"/>
              </w:rPr>
            </w:pPr>
            <w:r w:rsidRPr="00AE33A5">
              <w:rPr>
                <w:rFonts w:ascii="Palatino Linotype" w:eastAsia="Palatino Linotype" w:hAnsi="Palatino Linotype" w:cs="Palatino Linotype"/>
                <w:b/>
                <w:sz w:val="18"/>
                <w:szCs w:val="18"/>
              </w:rPr>
              <w:t>Director de Obras Públicas:</w:t>
            </w:r>
            <w:r w:rsidRPr="00AE33A5">
              <w:rPr>
                <w:rFonts w:ascii="Palatino Linotype" w:eastAsia="Palatino Linotype" w:hAnsi="Palatino Linotype" w:cs="Palatino Linotype"/>
                <w:sz w:val="18"/>
                <w:szCs w:val="18"/>
              </w:rPr>
              <w:t xml:space="preserve"> La información de la obra se encuentra disponible para su consulta en la plataforma del IPOMEX en el siguiente link: </w:t>
            </w:r>
            <w:hyperlink r:id="rId11">
              <w:r w:rsidRPr="00AE33A5">
                <w:rPr>
                  <w:rFonts w:ascii="Palatino Linotype" w:eastAsia="Palatino Linotype" w:hAnsi="Palatino Linotype" w:cs="Palatino Linotype"/>
                  <w:sz w:val="18"/>
                  <w:szCs w:val="18"/>
                  <w:u w:val="single"/>
                </w:rPr>
                <w:t>https://www.ipomex.org.mx/ipo3/lgt/indice/lerma.web</w:t>
              </w:r>
            </w:hyperlink>
            <w:r w:rsidRPr="00AE33A5">
              <w:rPr>
                <w:rFonts w:ascii="Palatino Linotype" w:eastAsia="Palatino Linotype" w:hAnsi="Palatino Linotype" w:cs="Palatino Linotype"/>
                <w:sz w:val="18"/>
                <w:szCs w:val="18"/>
              </w:rPr>
              <w:t xml:space="preserve"> </w:t>
            </w:r>
          </w:p>
        </w:tc>
        <w:tc>
          <w:tcPr>
            <w:tcW w:w="2693" w:type="dxa"/>
          </w:tcPr>
          <w:p w14:paraId="244F5FB0" w14:textId="77777777" w:rsidR="009D0202" w:rsidRPr="00AE33A5" w:rsidRDefault="00D012ED">
            <w:pPr>
              <w:spacing w:before="240" w:after="240"/>
              <w:jc w:val="both"/>
              <w:rPr>
                <w:rFonts w:ascii="Palatino Linotype" w:eastAsia="Palatino Linotype" w:hAnsi="Palatino Linotype" w:cs="Palatino Linotype"/>
                <w:i/>
                <w:sz w:val="18"/>
                <w:szCs w:val="18"/>
              </w:rPr>
            </w:pPr>
            <w:r w:rsidRPr="00AE33A5">
              <w:rPr>
                <w:rFonts w:ascii="Palatino Linotype" w:eastAsia="Palatino Linotype" w:hAnsi="Palatino Linotype" w:cs="Palatino Linotype"/>
                <w:i/>
                <w:sz w:val="18"/>
                <w:szCs w:val="18"/>
              </w:rPr>
              <w:t>“…se adjunta un link en el cual no esta la información completa ni actualizada.”</w:t>
            </w:r>
          </w:p>
        </w:tc>
        <w:tc>
          <w:tcPr>
            <w:tcW w:w="1747" w:type="dxa"/>
          </w:tcPr>
          <w:p w14:paraId="1416AFAB" w14:textId="77777777" w:rsidR="009D0202" w:rsidRPr="00AE33A5" w:rsidRDefault="00D012ED">
            <w:pPr>
              <w:spacing w:before="240" w:after="240" w:line="360" w:lineRule="auto"/>
              <w:jc w:val="center"/>
              <w:rPr>
                <w:rFonts w:ascii="Palatino Linotype" w:eastAsia="Palatino Linotype" w:hAnsi="Palatino Linotype" w:cs="Palatino Linotype"/>
                <w:b/>
                <w:sz w:val="18"/>
                <w:szCs w:val="18"/>
              </w:rPr>
            </w:pPr>
            <w:r w:rsidRPr="00AE33A5">
              <w:rPr>
                <w:rFonts w:ascii="Palatino Linotype" w:eastAsia="Palatino Linotype" w:hAnsi="Palatino Linotype" w:cs="Palatino Linotype"/>
                <w:b/>
                <w:sz w:val="18"/>
                <w:szCs w:val="18"/>
              </w:rPr>
              <w:t xml:space="preserve">Parcialmente </w:t>
            </w:r>
          </w:p>
        </w:tc>
      </w:tr>
      <w:tr w:rsidR="00AE33A5" w:rsidRPr="00AE33A5" w14:paraId="76D7DD2F" w14:textId="77777777">
        <w:trPr>
          <w:trHeight w:val="141"/>
        </w:trPr>
        <w:tc>
          <w:tcPr>
            <w:tcW w:w="1702" w:type="dxa"/>
          </w:tcPr>
          <w:p w14:paraId="3E644D41" w14:textId="77777777" w:rsidR="009D0202" w:rsidRPr="00AE33A5" w:rsidRDefault="00D012ED">
            <w:pPr>
              <w:spacing w:before="240" w:after="240"/>
              <w:jc w:val="both"/>
              <w:rPr>
                <w:rFonts w:ascii="Palatino Linotype" w:eastAsia="Palatino Linotype" w:hAnsi="Palatino Linotype" w:cs="Palatino Linotype"/>
                <w:b/>
                <w:sz w:val="18"/>
                <w:szCs w:val="18"/>
              </w:rPr>
            </w:pPr>
            <w:r w:rsidRPr="00AE33A5">
              <w:rPr>
                <w:rFonts w:ascii="Palatino Linotype" w:eastAsia="Palatino Linotype" w:hAnsi="Palatino Linotype" w:cs="Palatino Linotype"/>
                <w:b/>
                <w:sz w:val="18"/>
                <w:szCs w:val="18"/>
              </w:rPr>
              <w:t xml:space="preserve">3. El presupuesto asignado para los servicios generales de la casa de la cultura correspondiente a los años 2022 al 2024 y cómo ha sido asignado/usado cada recurso </w:t>
            </w:r>
            <w:r w:rsidRPr="00AE33A5">
              <w:rPr>
                <w:rFonts w:ascii="Palatino Linotype" w:eastAsia="Palatino Linotype" w:hAnsi="Palatino Linotype" w:cs="Palatino Linotype"/>
                <w:b/>
                <w:sz w:val="18"/>
                <w:szCs w:val="18"/>
              </w:rPr>
              <w:lastRenderedPageBreak/>
              <w:t xml:space="preserve">durante su ejercicio fiscal. </w:t>
            </w:r>
          </w:p>
          <w:p w14:paraId="28F49001" w14:textId="77777777" w:rsidR="009D0202" w:rsidRPr="00AE33A5" w:rsidRDefault="00D012ED">
            <w:pPr>
              <w:spacing w:before="240" w:after="240"/>
              <w:jc w:val="both"/>
              <w:rPr>
                <w:rFonts w:ascii="Palatino Linotype" w:eastAsia="Palatino Linotype" w:hAnsi="Palatino Linotype" w:cs="Palatino Linotype"/>
                <w:b/>
                <w:sz w:val="18"/>
                <w:szCs w:val="18"/>
              </w:rPr>
            </w:pPr>
            <w:r w:rsidRPr="00AE33A5">
              <w:rPr>
                <w:rFonts w:ascii="Palatino Linotype" w:eastAsia="Palatino Linotype" w:hAnsi="Palatino Linotype" w:cs="Palatino Linotype"/>
                <w:b/>
                <w:sz w:val="18"/>
                <w:szCs w:val="18"/>
              </w:rPr>
              <w:t>10. Nombres de las personas encargadas de ejercer el presupuesto y los montos de gasto durante meses o años que expliquen el uso de ese recurso público.</w:t>
            </w:r>
          </w:p>
        </w:tc>
        <w:tc>
          <w:tcPr>
            <w:tcW w:w="3118" w:type="dxa"/>
          </w:tcPr>
          <w:p w14:paraId="49454497" w14:textId="77777777" w:rsidR="009D0202" w:rsidRPr="00AE33A5" w:rsidRDefault="00D012ED">
            <w:pPr>
              <w:spacing w:before="240" w:after="240"/>
              <w:jc w:val="both"/>
              <w:rPr>
                <w:rFonts w:ascii="Palatino Linotype" w:eastAsia="Palatino Linotype" w:hAnsi="Palatino Linotype" w:cs="Palatino Linotype"/>
                <w:sz w:val="18"/>
                <w:szCs w:val="18"/>
              </w:rPr>
            </w:pPr>
            <w:r w:rsidRPr="00AE33A5">
              <w:rPr>
                <w:rFonts w:ascii="Palatino Linotype" w:eastAsia="Palatino Linotype" w:hAnsi="Palatino Linotype" w:cs="Palatino Linotype"/>
                <w:b/>
                <w:sz w:val="18"/>
                <w:szCs w:val="18"/>
              </w:rPr>
              <w:lastRenderedPageBreak/>
              <w:t>Tesorero Municipal:</w:t>
            </w:r>
            <w:r w:rsidRPr="00AE33A5">
              <w:rPr>
                <w:rFonts w:ascii="Palatino Linotype" w:eastAsia="Palatino Linotype" w:hAnsi="Palatino Linotype" w:cs="Palatino Linotype"/>
                <w:sz w:val="18"/>
                <w:szCs w:val="18"/>
              </w:rPr>
              <w:t xml:space="preserve"> señala que la Tesorería no cuenta con la información requerida en los términos planteados, toda vez que las partidas del presupuesto de egresos son asignadas por unidades administrativas y no así por dependencias o inmuebles, y menos aún por servidores públicos, razón por la cual no es posible atender </w:t>
            </w:r>
            <w:r w:rsidRPr="00AE33A5">
              <w:rPr>
                <w:rFonts w:ascii="Palatino Linotype" w:eastAsia="Palatino Linotype" w:hAnsi="Palatino Linotype" w:cs="Palatino Linotype"/>
                <w:sz w:val="18"/>
                <w:szCs w:val="18"/>
              </w:rPr>
              <w:lastRenderedPageBreak/>
              <w:t>favorablemente la solicitud del peticionario.</w:t>
            </w:r>
          </w:p>
        </w:tc>
        <w:tc>
          <w:tcPr>
            <w:tcW w:w="2693" w:type="dxa"/>
          </w:tcPr>
          <w:p w14:paraId="0165209D" w14:textId="77777777" w:rsidR="009D0202" w:rsidRPr="00AE33A5" w:rsidRDefault="00D012ED">
            <w:pPr>
              <w:spacing w:before="240" w:after="240"/>
              <w:jc w:val="both"/>
              <w:rPr>
                <w:rFonts w:ascii="Palatino Linotype" w:eastAsia="Palatino Linotype" w:hAnsi="Palatino Linotype" w:cs="Palatino Linotype"/>
                <w:i/>
                <w:sz w:val="18"/>
                <w:szCs w:val="18"/>
              </w:rPr>
            </w:pPr>
            <w:r w:rsidRPr="00AE33A5">
              <w:rPr>
                <w:rFonts w:ascii="Palatino Linotype" w:eastAsia="Palatino Linotype" w:hAnsi="Palatino Linotype" w:cs="Palatino Linotype"/>
                <w:i/>
                <w:sz w:val="18"/>
                <w:szCs w:val="18"/>
              </w:rPr>
              <w:lastRenderedPageBreak/>
              <w:t xml:space="preserve">“…derivado de la revisión del anexo, cabe señalar que la información se le requirió al ayuntamiento, y ellos mismo le piden la información a Tesorería, cuando ellos tienen un área administrativa la cual es la encargada de llevar a cabo dichas gestiones; esta administración es la segunda vez que esta a cargo de dicho ayuntamiento y sin embargo pretende simular que desconoce </w:t>
            </w:r>
            <w:r w:rsidRPr="00AE33A5">
              <w:rPr>
                <w:rFonts w:ascii="Palatino Linotype" w:eastAsia="Palatino Linotype" w:hAnsi="Palatino Linotype" w:cs="Palatino Linotype"/>
                <w:i/>
                <w:sz w:val="18"/>
                <w:szCs w:val="18"/>
              </w:rPr>
              <w:lastRenderedPageBreak/>
              <w:t>como se manejan sus propias áreas”</w:t>
            </w:r>
          </w:p>
        </w:tc>
        <w:tc>
          <w:tcPr>
            <w:tcW w:w="1747" w:type="dxa"/>
          </w:tcPr>
          <w:p w14:paraId="1FA0CCA7" w14:textId="77777777" w:rsidR="009D0202" w:rsidRPr="00AE33A5" w:rsidRDefault="00D012ED">
            <w:pPr>
              <w:spacing w:before="240" w:after="240" w:line="360" w:lineRule="auto"/>
              <w:jc w:val="center"/>
              <w:rPr>
                <w:rFonts w:ascii="Palatino Linotype" w:eastAsia="Palatino Linotype" w:hAnsi="Palatino Linotype" w:cs="Palatino Linotype"/>
                <w:b/>
                <w:sz w:val="18"/>
                <w:szCs w:val="18"/>
              </w:rPr>
            </w:pPr>
            <w:r w:rsidRPr="00AE33A5">
              <w:rPr>
                <w:rFonts w:ascii="Palatino Linotype" w:eastAsia="Palatino Linotype" w:hAnsi="Palatino Linotype" w:cs="Palatino Linotype"/>
                <w:b/>
                <w:sz w:val="18"/>
                <w:szCs w:val="18"/>
              </w:rPr>
              <w:lastRenderedPageBreak/>
              <w:t>No</w:t>
            </w:r>
          </w:p>
        </w:tc>
      </w:tr>
      <w:tr w:rsidR="00AE33A5" w:rsidRPr="00AE33A5" w14:paraId="5CEAEDFB" w14:textId="77777777">
        <w:trPr>
          <w:trHeight w:val="3326"/>
        </w:trPr>
        <w:tc>
          <w:tcPr>
            <w:tcW w:w="1702" w:type="dxa"/>
          </w:tcPr>
          <w:p w14:paraId="524D5A75" w14:textId="77777777" w:rsidR="009D0202" w:rsidRPr="00AE33A5" w:rsidRDefault="00D012ED">
            <w:pPr>
              <w:spacing w:before="240" w:after="240"/>
              <w:jc w:val="both"/>
              <w:rPr>
                <w:rFonts w:ascii="Palatino Linotype" w:eastAsia="Palatino Linotype" w:hAnsi="Palatino Linotype" w:cs="Palatino Linotype"/>
                <w:b/>
                <w:sz w:val="18"/>
                <w:szCs w:val="18"/>
              </w:rPr>
            </w:pPr>
            <w:r w:rsidRPr="00AE33A5">
              <w:rPr>
                <w:rFonts w:ascii="Palatino Linotype" w:eastAsia="Palatino Linotype" w:hAnsi="Palatino Linotype" w:cs="Palatino Linotype"/>
                <w:b/>
                <w:sz w:val="18"/>
                <w:szCs w:val="18"/>
              </w:rPr>
              <w:t xml:space="preserve">4.Personal adscrito a nómina de la casa de la cultura de los años 2022 al 2024 </w:t>
            </w:r>
          </w:p>
        </w:tc>
        <w:tc>
          <w:tcPr>
            <w:tcW w:w="3118" w:type="dxa"/>
          </w:tcPr>
          <w:p w14:paraId="7C941ED4" w14:textId="77777777" w:rsidR="009D0202" w:rsidRPr="00AE33A5" w:rsidRDefault="00D012ED">
            <w:pPr>
              <w:spacing w:before="240" w:after="240"/>
              <w:jc w:val="both"/>
              <w:rPr>
                <w:rFonts w:ascii="Palatino Linotype" w:eastAsia="Palatino Linotype" w:hAnsi="Palatino Linotype" w:cs="Palatino Linotype"/>
                <w:sz w:val="18"/>
                <w:szCs w:val="18"/>
              </w:rPr>
            </w:pPr>
            <w:r w:rsidRPr="00AE33A5">
              <w:rPr>
                <w:rFonts w:ascii="Palatino Linotype" w:eastAsia="Palatino Linotype" w:hAnsi="Palatino Linotype" w:cs="Palatino Linotype"/>
                <w:b/>
                <w:sz w:val="18"/>
                <w:szCs w:val="18"/>
              </w:rPr>
              <w:t xml:space="preserve">Director de Administración y Coordinador de Recursos Humanos: </w:t>
            </w:r>
            <w:r w:rsidRPr="00AE33A5">
              <w:rPr>
                <w:rFonts w:ascii="Palatino Linotype" w:eastAsia="Palatino Linotype" w:hAnsi="Palatino Linotype" w:cs="Palatino Linotype"/>
                <w:sz w:val="18"/>
                <w:szCs w:val="18"/>
              </w:rPr>
              <w:t>señala que después de una búsqueda exhaustiva en la base de datos, se da cuenta de lo siguiente:</w:t>
            </w:r>
          </w:p>
          <w:p w14:paraId="596FB389" w14:textId="77777777" w:rsidR="009D0202" w:rsidRPr="00AE33A5" w:rsidRDefault="00D012ED">
            <w:pPr>
              <w:spacing w:before="240" w:after="240"/>
              <w:jc w:val="both"/>
              <w:rPr>
                <w:rFonts w:ascii="Palatino Linotype" w:eastAsia="Palatino Linotype" w:hAnsi="Palatino Linotype" w:cs="Palatino Linotype"/>
                <w:b/>
                <w:sz w:val="18"/>
                <w:szCs w:val="18"/>
              </w:rPr>
            </w:pPr>
            <w:r w:rsidRPr="00AE33A5">
              <w:rPr>
                <w:rFonts w:ascii="Palatino Linotype" w:eastAsia="Palatino Linotype" w:hAnsi="Palatino Linotype" w:cs="Palatino Linotype"/>
                <w:noProof/>
                <w:sz w:val="18"/>
                <w:szCs w:val="18"/>
              </w:rPr>
              <w:drawing>
                <wp:inline distT="0" distB="0" distL="0" distR="0" wp14:anchorId="44384826" wp14:editId="3E34B837">
                  <wp:extent cx="2235590" cy="487666"/>
                  <wp:effectExtent l="0" t="0" r="0" b="0"/>
                  <wp:docPr id="132768457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l="16122" t="59500" r="14630" b="28270"/>
                          <a:stretch>
                            <a:fillRect/>
                          </a:stretch>
                        </pic:blipFill>
                        <pic:spPr>
                          <a:xfrm>
                            <a:off x="0" y="0"/>
                            <a:ext cx="2235590" cy="487666"/>
                          </a:xfrm>
                          <a:prstGeom prst="rect">
                            <a:avLst/>
                          </a:prstGeom>
                          <a:ln/>
                        </pic:spPr>
                      </pic:pic>
                    </a:graphicData>
                  </a:graphic>
                </wp:inline>
              </w:drawing>
            </w:r>
          </w:p>
        </w:tc>
        <w:tc>
          <w:tcPr>
            <w:tcW w:w="2693" w:type="dxa"/>
          </w:tcPr>
          <w:p w14:paraId="2D4766D0" w14:textId="77777777" w:rsidR="009D0202" w:rsidRPr="00AE33A5" w:rsidRDefault="00D012ED">
            <w:pPr>
              <w:spacing w:before="240" w:after="240"/>
              <w:jc w:val="both"/>
              <w:rPr>
                <w:rFonts w:ascii="Palatino Linotype" w:eastAsia="Palatino Linotype" w:hAnsi="Palatino Linotype" w:cs="Palatino Linotype"/>
                <w:i/>
                <w:sz w:val="18"/>
                <w:szCs w:val="18"/>
              </w:rPr>
            </w:pPr>
            <w:r w:rsidRPr="00AE33A5">
              <w:rPr>
                <w:rFonts w:ascii="Palatino Linotype" w:eastAsia="Palatino Linotype" w:hAnsi="Palatino Linotype" w:cs="Palatino Linotype"/>
                <w:i/>
                <w:sz w:val="18"/>
                <w:szCs w:val="18"/>
              </w:rPr>
              <w:t>“…en la casa de cultura laboran cerca de 15 personas, entre ellos están las siguientes: Dos directores de la casa de la cultura, tres auxiliares del director de la casa de la cultura, tres secretarias, dos oficiales que cuidan la entrada y la casa de la cultura, una persona de mantenimiento, una chica de limpieza, en la biblioteca hay tres personas, información que omiten proporcionar.”</w:t>
            </w:r>
          </w:p>
        </w:tc>
        <w:tc>
          <w:tcPr>
            <w:tcW w:w="1747" w:type="dxa"/>
          </w:tcPr>
          <w:p w14:paraId="273FFD73" w14:textId="77777777" w:rsidR="009D0202" w:rsidRPr="00AE33A5" w:rsidRDefault="00D012ED">
            <w:pPr>
              <w:spacing w:before="240" w:after="240" w:line="360" w:lineRule="auto"/>
              <w:jc w:val="center"/>
              <w:rPr>
                <w:rFonts w:ascii="Palatino Linotype" w:eastAsia="Palatino Linotype" w:hAnsi="Palatino Linotype" w:cs="Palatino Linotype"/>
                <w:b/>
                <w:sz w:val="18"/>
                <w:szCs w:val="18"/>
              </w:rPr>
            </w:pPr>
            <w:r w:rsidRPr="00AE33A5">
              <w:rPr>
                <w:rFonts w:ascii="Palatino Linotype" w:eastAsia="Palatino Linotype" w:hAnsi="Palatino Linotype" w:cs="Palatino Linotype"/>
                <w:b/>
                <w:sz w:val="18"/>
                <w:szCs w:val="18"/>
              </w:rPr>
              <w:t>Parcialmente</w:t>
            </w:r>
          </w:p>
        </w:tc>
      </w:tr>
      <w:tr w:rsidR="00AE33A5" w:rsidRPr="00AE33A5" w14:paraId="5A9BB00C" w14:textId="77777777">
        <w:trPr>
          <w:trHeight w:val="1898"/>
        </w:trPr>
        <w:tc>
          <w:tcPr>
            <w:tcW w:w="1702" w:type="dxa"/>
          </w:tcPr>
          <w:p w14:paraId="3BB8A1C8" w14:textId="77777777" w:rsidR="009D0202" w:rsidRPr="00AE33A5" w:rsidRDefault="00D012ED">
            <w:pPr>
              <w:spacing w:before="240" w:after="240"/>
              <w:jc w:val="both"/>
              <w:rPr>
                <w:rFonts w:ascii="Palatino Linotype" w:eastAsia="Palatino Linotype" w:hAnsi="Palatino Linotype" w:cs="Palatino Linotype"/>
                <w:b/>
                <w:sz w:val="18"/>
                <w:szCs w:val="18"/>
              </w:rPr>
            </w:pPr>
            <w:r w:rsidRPr="00AE33A5">
              <w:rPr>
                <w:rFonts w:ascii="Palatino Linotype" w:eastAsia="Palatino Linotype" w:hAnsi="Palatino Linotype" w:cs="Palatino Linotype"/>
                <w:b/>
                <w:sz w:val="18"/>
                <w:szCs w:val="18"/>
              </w:rPr>
              <w:t xml:space="preserve">5.Personal eventual o de contrato a favor de la casa de la cultura del 2022 al 2024 </w:t>
            </w:r>
          </w:p>
        </w:tc>
        <w:tc>
          <w:tcPr>
            <w:tcW w:w="3118" w:type="dxa"/>
          </w:tcPr>
          <w:p w14:paraId="35234934" w14:textId="77777777" w:rsidR="009D0202" w:rsidRPr="00AE33A5" w:rsidRDefault="00D012ED">
            <w:pPr>
              <w:spacing w:before="240" w:after="240"/>
              <w:jc w:val="both"/>
              <w:rPr>
                <w:rFonts w:ascii="Palatino Linotype" w:eastAsia="Palatino Linotype" w:hAnsi="Palatino Linotype" w:cs="Palatino Linotype"/>
                <w:sz w:val="18"/>
                <w:szCs w:val="18"/>
              </w:rPr>
            </w:pPr>
            <w:r w:rsidRPr="00AE33A5">
              <w:rPr>
                <w:rFonts w:ascii="Palatino Linotype" w:eastAsia="Palatino Linotype" w:hAnsi="Palatino Linotype" w:cs="Palatino Linotype"/>
                <w:b/>
                <w:sz w:val="18"/>
                <w:szCs w:val="18"/>
              </w:rPr>
              <w:t xml:space="preserve">Director de Administración y Coordinador de Recursos Humanos: </w:t>
            </w:r>
            <w:r w:rsidRPr="00AE33A5">
              <w:rPr>
                <w:rFonts w:ascii="Palatino Linotype" w:eastAsia="Palatino Linotype" w:hAnsi="Palatino Linotype" w:cs="Palatino Linotype"/>
                <w:sz w:val="18"/>
                <w:szCs w:val="18"/>
              </w:rPr>
              <w:t>El Ayuntamiento no realiza contrataciones de personal eventual o por contrato.</w:t>
            </w:r>
          </w:p>
        </w:tc>
        <w:tc>
          <w:tcPr>
            <w:tcW w:w="2693" w:type="dxa"/>
          </w:tcPr>
          <w:p w14:paraId="25BC17AD" w14:textId="77777777" w:rsidR="009D0202" w:rsidRPr="00AE33A5" w:rsidRDefault="00D012ED">
            <w:pPr>
              <w:spacing w:before="240" w:after="240"/>
              <w:jc w:val="both"/>
              <w:rPr>
                <w:rFonts w:ascii="Palatino Linotype" w:eastAsia="Palatino Linotype" w:hAnsi="Palatino Linotype" w:cs="Palatino Linotype"/>
                <w:i/>
                <w:sz w:val="18"/>
                <w:szCs w:val="18"/>
              </w:rPr>
            </w:pPr>
            <w:r w:rsidRPr="00AE33A5">
              <w:rPr>
                <w:rFonts w:ascii="Palatino Linotype" w:eastAsia="Palatino Linotype" w:hAnsi="Palatino Linotype" w:cs="Palatino Linotype"/>
                <w:i/>
                <w:sz w:val="18"/>
                <w:szCs w:val="18"/>
              </w:rPr>
              <w:t>“de esas 15 personas no mencionan si son eventuales o por contrato, esto con base en que no mencionan a todo el personal, omiten a muchos de ellos.”</w:t>
            </w:r>
          </w:p>
        </w:tc>
        <w:tc>
          <w:tcPr>
            <w:tcW w:w="1747" w:type="dxa"/>
          </w:tcPr>
          <w:p w14:paraId="3BE4FBC6" w14:textId="77777777" w:rsidR="009D0202" w:rsidRPr="00AE33A5" w:rsidRDefault="00D012ED">
            <w:pPr>
              <w:spacing w:before="240" w:after="240" w:line="360" w:lineRule="auto"/>
              <w:jc w:val="center"/>
              <w:rPr>
                <w:rFonts w:ascii="Palatino Linotype" w:eastAsia="Palatino Linotype" w:hAnsi="Palatino Linotype" w:cs="Palatino Linotype"/>
                <w:b/>
                <w:sz w:val="18"/>
                <w:szCs w:val="18"/>
              </w:rPr>
            </w:pPr>
            <w:r w:rsidRPr="00AE33A5">
              <w:rPr>
                <w:rFonts w:ascii="Palatino Linotype" w:eastAsia="Palatino Linotype" w:hAnsi="Palatino Linotype" w:cs="Palatino Linotype"/>
                <w:b/>
                <w:sz w:val="18"/>
                <w:szCs w:val="18"/>
              </w:rPr>
              <w:t>Sí</w:t>
            </w:r>
          </w:p>
        </w:tc>
      </w:tr>
      <w:tr w:rsidR="00AE33A5" w:rsidRPr="00AE33A5" w14:paraId="2797EE0D" w14:textId="77777777">
        <w:trPr>
          <w:trHeight w:val="2590"/>
        </w:trPr>
        <w:tc>
          <w:tcPr>
            <w:tcW w:w="1702" w:type="dxa"/>
          </w:tcPr>
          <w:p w14:paraId="21BDA363" w14:textId="77777777" w:rsidR="009D0202" w:rsidRPr="00AE33A5" w:rsidRDefault="00D012ED">
            <w:pPr>
              <w:spacing w:before="240" w:after="240"/>
              <w:jc w:val="both"/>
              <w:rPr>
                <w:rFonts w:ascii="Palatino Linotype" w:eastAsia="Palatino Linotype" w:hAnsi="Palatino Linotype" w:cs="Palatino Linotype"/>
                <w:b/>
                <w:sz w:val="18"/>
                <w:szCs w:val="18"/>
              </w:rPr>
            </w:pPr>
            <w:r w:rsidRPr="00AE33A5">
              <w:rPr>
                <w:rFonts w:ascii="Palatino Linotype" w:eastAsia="Palatino Linotype" w:hAnsi="Palatino Linotype" w:cs="Palatino Linotype"/>
                <w:b/>
                <w:sz w:val="18"/>
                <w:szCs w:val="18"/>
              </w:rPr>
              <w:t xml:space="preserve">6.El sueldo de todas las personas que trabajan en la casa de la cultura desde el alto rango al menor </w:t>
            </w:r>
          </w:p>
        </w:tc>
        <w:tc>
          <w:tcPr>
            <w:tcW w:w="3118" w:type="dxa"/>
          </w:tcPr>
          <w:p w14:paraId="0331DD71" w14:textId="77777777" w:rsidR="009D0202" w:rsidRPr="00AE33A5" w:rsidRDefault="00D012ED">
            <w:pPr>
              <w:spacing w:before="240" w:after="240"/>
              <w:jc w:val="both"/>
              <w:rPr>
                <w:rFonts w:ascii="Palatino Linotype" w:eastAsia="Palatino Linotype" w:hAnsi="Palatino Linotype" w:cs="Palatino Linotype"/>
                <w:sz w:val="18"/>
                <w:szCs w:val="18"/>
              </w:rPr>
            </w:pPr>
            <w:r w:rsidRPr="00AE33A5">
              <w:rPr>
                <w:rFonts w:ascii="Palatino Linotype" w:eastAsia="Palatino Linotype" w:hAnsi="Palatino Linotype" w:cs="Palatino Linotype"/>
                <w:b/>
                <w:sz w:val="18"/>
                <w:szCs w:val="18"/>
              </w:rPr>
              <w:t xml:space="preserve">Director de Administración y Coordinador de Recursos Humanos: </w:t>
            </w:r>
            <w:r w:rsidRPr="00AE33A5">
              <w:rPr>
                <w:rFonts w:ascii="Palatino Linotype" w:eastAsia="Palatino Linotype" w:hAnsi="Palatino Linotype" w:cs="Palatino Linotype"/>
                <w:sz w:val="18"/>
                <w:szCs w:val="18"/>
              </w:rPr>
              <w:t>señala que después de una búsqueda exhaustiva en la base de datos, se da cuenta de lo siguiente:</w:t>
            </w:r>
          </w:p>
          <w:p w14:paraId="2B08EEAD" w14:textId="77777777" w:rsidR="009D0202" w:rsidRPr="00AE33A5" w:rsidRDefault="00D012ED">
            <w:pPr>
              <w:spacing w:before="240" w:after="240"/>
              <w:ind w:right="-108"/>
              <w:jc w:val="both"/>
              <w:rPr>
                <w:rFonts w:ascii="Palatino Linotype" w:eastAsia="Palatino Linotype" w:hAnsi="Palatino Linotype" w:cs="Palatino Linotype"/>
                <w:sz w:val="18"/>
                <w:szCs w:val="18"/>
              </w:rPr>
            </w:pPr>
            <w:r w:rsidRPr="00AE33A5">
              <w:rPr>
                <w:rFonts w:ascii="Palatino Linotype" w:eastAsia="Palatino Linotype" w:hAnsi="Palatino Linotype" w:cs="Palatino Linotype"/>
                <w:noProof/>
                <w:sz w:val="18"/>
                <w:szCs w:val="18"/>
              </w:rPr>
              <w:drawing>
                <wp:inline distT="0" distB="0" distL="0" distR="0" wp14:anchorId="078BEABA" wp14:editId="1DB8A5C2">
                  <wp:extent cx="2112833" cy="460887"/>
                  <wp:effectExtent l="0" t="0" r="0" b="0"/>
                  <wp:docPr id="132768457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l="16122" t="59500" r="14630" b="28270"/>
                          <a:stretch>
                            <a:fillRect/>
                          </a:stretch>
                        </pic:blipFill>
                        <pic:spPr>
                          <a:xfrm>
                            <a:off x="0" y="0"/>
                            <a:ext cx="2112833" cy="460887"/>
                          </a:xfrm>
                          <a:prstGeom prst="rect">
                            <a:avLst/>
                          </a:prstGeom>
                          <a:ln/>
                        </pic:spPr>
                      </pic:pic>
                    </a:graphicData>
                  </a:graphic>
                </wp:inline>
              </w:drawing>
            </w:r>
          </w:p>
        </w:tc>
        <w:tc>
          <w:tcPr>
            <w:tcW w:w="2693" w:type="dxa"/>
          </w:tcPr>
          <w:p w14:paraId="10B9264A" w14:textId="77777777" w:rsidR="009D0202" w:rsidRPr="00AE33A5" w:rsidRDefault="00D012ED">
            <w:pPr>
              <w:spacing w:before="240" w:after="240"/>
              <w:jc w:val="both"/>
              <w:rPr>
                <w:rFonts w:ascii="Palatino Linotype" w:eastAsia="Palatino Linotype" w:hAnsi="Palatino Linotype" w:cs="Palatino Linotype"/>
                <w:i/>
                <w:sz w:val="18"/>
                <w:szCs w:val="18"/>
              </w:rPr>
            </w:pPr>
            <w:r w:rsidRPr="00AE33A5">
              <w:rPr>
                <w:rFonts w:ascii="Palatino Linotype" w:eastAsia="Palatino Linotype" w:hAnsi="Palatino Linotype" w:cs="Palatino Linotype"/>
                <w:i/>
                <w:sz w:val="18"/>
                <w:szCs w:val="18"/>
              </w:rPr>
              <w:t>“…se proporcionan solo 5 sueldos de servidores públicos o personal que labora dentro de la casa de la cultura, lo cual es ilógico, ya que haya mas de 5 personas laborando en dicha casa de la cultura.”</w:t>
            </w:r>
          </w:p>
        </w:tc>
        <w:tc>
          <w:tcPr>
            <w:tcW w:w="1747" w:type="dxa"/>
          </w:tcPr>
          <w:p w14:paraId="29FE9B48" w14:textId="77777777" w:rsidR="009D0202" w:rsidRPr="00AE33A5" w:rsidRDefault="00D012ED">
            <w:pPr>
              <w:spacing w:before="240" w:after="240" w:line="360" w:lineRule="auto"/>
              <w:jc w:val="center"/>
              <w:rPr>
                <w:rFonts w:ascii="Palatino Linotype" w:eastAsia="Palatino Linotype" w:hAnsi="Palatino Linotype" w:cs="Palatino Linotype"/>
                <w:b/>
                <w:sz w:val="18"/>
                <w:szCs w:val="18"/>
              </w:rPr>
            </w:pPr>
            <w:r w:rsidRPr="00AE33A5">
              <w:rPr>
                <w:rFonts w:ascii="Palatino Linotype" w:eastAsia="Palatino Linotype" w:hAnsi="Palatino Linotype" w:cs="Palatino Linotype"/>
                <w:b/>
                <w:sz w:val="18"/>
                <w:szCs w:val="18"/>
              </w:rPr>
              <w:t>Parcialmente</w:t>
            </w:r>
          </w:p>
        </w:tc>
      </w:tr>
      <w:tr w:rsidR="00AE33A5" w:rsidRPr="00AE33A5" w14:paraId="5975AEFE" w14:textId="77777777">
        <w:trPr>
          <w:trHeight w:val="2869"/>
        </w:trPr>
        <w:tc>
          <w:tcPr>
            <w:tcW w:w="1702" w:type="dxa"/>
          </w:tcPr>
          <w:p w14:paraId="0A943AD9" w14:textId="77777777" w:rsidR="009D0202" w:rsidRPr="00AE33A5" w:rsidRDefault="00D012ED">
            <w:pPr>
              <w:spacing w:before="240" w:after="240"/>
              <w:jc w:val="both"/>
              <w:rPr>
                <w:rFonts w:ascii="Palatino Linotype" w:eastAsia="Palatino Linotype" w:hAnsi="Palatino Linotype" w:cs="Palatino Linotype"/>
                <w:b/>
                <w:sz w:val="18"/>
                <w:szCs w:val="18"/>
              </w:rPr>
            </w:pPr>
            <w:r w:rsidRPr="00AE33A5">
              <w:rPr>
                <w:rFonts w:ascii="Palatino Linotype" w:eastAsia="Palatino Linotype" w:hAnsi="Palatino Linotype" w:cs="Palatino Linotype"/>
                <w:b/>
                <w:sz w:val="18"/>
                <w:szCs w:val="18"/>
              </w:rPr>
              <w:lastRenderedPageBreak/>
              <w:t xml:space="preserve">7.Los criterios laborales para contratar al personal de la casa de la cultura explicando a detalle las actividades de cada uno o cada área </w:t>
            </w:r>
          </w:p>
        </w:tc>
        <w:tc>
          <w:tcPr>
            <w:tcW w:w="3118" w:type="dxa"/>
          </w:tcPr>
          <w:p w14:paraId="73A24D4D" w14:textId="77777777" w:rsidR="009D0202" w:rsidRPr="00AE33A5" w:rsidRDefault="00D012ED">
            <w:pPr>
              <w:spacing w:before="240" w:after="240"/>
              <w:jc w:val="both"/>
              <w:rPr>
                <w:rFonts w:ascii="Palatino Linotype" w:eastAsia="Palatino Linotype" w:hAnsi="Palatino Linotype" w:cs="Palatino Linotype"/>
                <w:sz w:val="18"/>
                <w:szCs w:val="18"/>
              </w:rPr>
            </w:pPr>
            <w:r w:rsidRPr="00AE33A5">
              <w:rPr>
                <w:rFonts w:ascii="Palatino Linotype" w:eastAsia="Palatino Linotype" w:hAnsi="Palatino Linotype" w:cs="Palatino Linotype"/>
                <w:b/>
                <w:sz w:val="18"/>
                <w:szCs w:val="18"/>
              </w:rPr>
              <w:t>Coordinador de Recursos Humanos:</w:t>
            </w:r>
            <w:r w:rsidRPr="00AE33A5">
              <w:rPr>
                <w:rFonts w:ascii="Palatino Linotype" w:eastAsia="Palatino Linotype" w:hAnsi="Palatino Linotype" w:cs="Palatino Linotype"/>
                <w:sz w:val="18"/>
                <w:szCs w:val="18"/>
              </w:rPr>
              <w:t xml:space="preserve"> Proporciona los criterios para la contratación de personal y un reporte de actividades de los cinco servidores públicos reportados con antelación. </w:t>
            </w:r>
          </w:p>
        </w:tc>
        <w:tc>
          <w:tcPr>
            <w:tcW w:w="2693" w:type="dxa"/>
          </w:tcPr>
          <w:p w14:paraId="347C8533" w14:textId="77777777" w:rsidR="009D0202" w:rsidRPr="00AE33A5" w:rsidRDefault="00D012ED">
            <w:pPr>
              <w:spacing w:before="240" w:after="240"/>
              <w:jc w:val="both"/>
              <w:rPr>
                <w:rFonts w:ascii="Palatino Linotype" w:eastAsia="Palatino Linotype" w:hAnsi="Palatino Linotype" w:cs="Palatino Linotype"/>
                <w:i/>
                <w:sz w:val="18"/>
                <w:szCs w:val="18"/>
              </w:rPr>
            </w:pPr>
            <w:r w:rsidRPr="00AE33A5">
              <w:rPr>
                <w:rFonts w:ascii="Palatino Linotype" w:eastAsia="Palatino Linotype" w:hAnsi="Palatino Linotype" w:cs="Palatino Linotype"/>
                <w:i/>
                <w:sz w:val="18"/>
                <w:szCs w:val="18"/>
              </w:rPr>
              <w:t>“…solo me mandan las cuines de los servidores públicos, pero omiten dar contestación a este cuestionamiento”</w:t>
            </w:r>
          </w:p>
        </w:tc>
        <w:tc>
          <w:tcPr>
            <w:tcW w:w="1747" w:type="dxa"/>
          </w:tcPr>
          <w:p w14:paraId="280EC3AE" w14:textId="77777777" w:rsidR="009D0202" w:rsidRPr="00AE33A5" w:rsidRDefault="00D012ED">
            <w:pPr>
              <w:spacing w:before="240" w:after="240" w:line="360" w:lineRule="auto"/>
              <w:jc w:val="center"/>
              <w:rPr>
                <w:rFonts w:ascii="Palatino Linotype" w:eastAsia="Palatino Linotype" w:hAnsi="Palatino Linotype" w:cs="Palatino Linotype"/>
                <w:b/>
                <w:sz w:val="18"/>
                <w:szCs w:val="18"/>
              </w:rPr>
            </w:pPr>
            <w:r w:rsidRPr="00AE33A5">
              <w:rPr>
                <w:rFonts w:ascii="Palatino Linotype" w:eastAsia="Palatino Linotype" w:hAnsi="Palatino Linotype" w:cs="Palatino Linotype"/>
                <w:b/>
                <w:sz w:val="18"/>
                <w:szCs w:val="18"/>
              </w:rPr>
              <w:t>Parcialmente</w:t>
            </w:r>
          </w:p>
        </w:tc>
      </w:tr>
      <w:tr w:rsidR="00AE33A5" w:rsidRPr="00AE33A5" w14:paraId="36510E43" w14:textId="77777777">
        <w:trPr>
          <w:trHeight w:val="2545"/>
        </w:trPr>
        <w:tc>
          <w:tcPr>
            <w:tcW w:w="1702" w:type="dxa"/>
          </w:tcPr>
          <w:p w14:paraId="12C73CBD" w14:textId="77777777" w:rsidR="009D0202" w:rsidRPr="00AE33A5" w:rsidRDefault="00D012ED">
            <w:pPr>
              <w:spacing w:before="240" w:after="240"/>
              <w:jc w:val="both"/>
              <w:rPr>
                <w:rFonts w:ascii="Palatino Linotype" w:eastAsia="Palatino Linotype" w:hAnsi="Palatino Linotype" w:cs="Palatino Linotype"/>
                <w:b/>
                <w:sz w:val="18"/>
                <w:szCs w:val="18"/>
              </w:rPr>
            </w:pPr>
            <w:r w:rsidRPr="00AE33A5">
              <w:rPr>
                <w:rFonts w:ascii="Palatino Linotype" w:eastAsia="Palatino Linotype" w:hAnsi="Palatino Linotype" w:cs="Palatino Linotype"/>
                <w:b/>
                <w:sz w:val="18"/>
                <w:szCs w:val="18"/>
              </w:rPr>
              <w:t xml:space="preserve">8.El grado académico del personal de la casa de la cultura </w:t>
            </w:r>
          </w:p>
        </w:tc>
        <w:tc>
          <w:tcPr>
            <w:tcW w:w="3118" w:type="dxa"/>
          </w:tcPr>
          <w:p w14:paraId="0071D8CF" w14:textId="77777777" w:rsidR="009D0202" w:rsidRPr="00AE33A5" w:rsidRDefault="00D012ED">
            <w:pPr>
              <w:spacing w:before="240" w:after="240"/>
              <w:jc w:val="both"/>
              <w:rPr>
                <w:rFonts w:ascii="Palatino Linotype" w:eastAsia="Palatino Linotype" w:hAnsi="Palatino Linotype" w:cs="Palatino Linotype"/>
                <w:sz w:val="18"/>
                <w:szCs w:val="18"/>
              </w:rPr>
            </w:pPr>
            <w:r w:rsidRPr="00AE33A5">
              <w:rPr>
                <w:rFonts w:ascii="Palatino Linotype" w:eastAsia="Palatino Linotype" w:hAnsi="Palatino Linotype" w:cs="Palatino Linotype"/>
                <w:b/>
                <w:sz w:val="18"/>
                <w:szCs w:val="18"/>
              </w:rPr>
              <w:t xml:space="preserve">Director de Administración y Coordinador de Recursos Humanos: </w:t>
            </w:r>
            <w:r w:rsidRPr="00AE33A5">
              <w:rPr>
                <w:rFonts w:ascii="Palatino Linotype" w:eastAsia="Palatino Linotype" w:hAnsi="Palatino Linotype" w:cs="Palatino Linotype"/>
                <w:sz w:val="18"/>
                <w:szCs w:val="18"/>
              </w:rPr>
              <w:t>señala que después de una búsqueda exhaustiva en la base de datos, se da cuenta de lo siguiente:</w:t>
            </w:r>
          </w:p>
          <w:p w14:paraId="2A972EE1" w14:textId="77777777" w:rsidR="009D0202" w:rsidRPr="00AE33A5" w:rsidRDefault="00D012ED">
            <w:pPr>
              <w:spacing w:before="240" w:after="240"/>
              <w:jc w:val="both"/>
              <w:rPr>
                <w:rFonts w:ascii="Palatino Linotype" w:eastAsia="Palatino Linotype" w:hAnsi="Palatino Linotype" w:cs="Palatino Linotype"/>
                <w:sz w:val="18"/>
                <w:szCs w:val="18"/>
              </w:rPr>
            </w:pPr>
            <w:r w:rsidRPr="00AE33A5">
              <w:rPr>
                <w:rFonts w:ascii="Palatino Linotype" w:eastAsia="Palatino Linotype" w:hAnsi="Palatino Linotype" w:cs="Palatino Linotype"/>
                <w:noProof/>
                <w:sz w:val="18"/>
                <w:szCs w:val="18"/>
              </w:rPr>
              <w:drawing>
                <wp:inline distT="0" distB="0" distL="0" distR="0" wp14:anchorId="4FBBC231" wp14:editId="7115ACE9">
                  <wp:extent cx="1962303" cy="428052"/>
                  <wp:effectExtent l="0" t="0" r="0" b="0"/>
                  <wp:docPr id="132768457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l="16122" t="59500" r="14630" b="28270"/>
                          <a:stretch>
                            <a:fillRect/>
                          </a:stretch>
                        </pic:blipFill>
                        <pic:spPr>
                          <a:xfrm>
                            <a:off x="0" y="0"/>
                            <a:ext cx="1962303" cy="428052"/>
                          </a:xfrm>
                          <a:prstGeom prst="rect">
                            <a:avLst/>
                          </a:prstGeom>
                          <a:ln/>
                        </pic:spPr>
                      </pic:pic>
                    </a:graphicData>
                  </a:graphic>
                </wp:inline>
              </w:drawing>
            </w:r>
          </w:p>
        </w:tc>
        <w:tc>
          <w:tcPr>
            <w:tcW w:w="2693" w:type="dxa"/>
          </w:tcPr>
          <w:p w14:paraId="04EE31A1" w14:textId="77777777" w:rsidR="009D0202" w:rsidRPr="00AE33A5" w:rsidRDefault="00D012ED">
            <w:pPr>
              <w:spacing w:before="240" w:after="240"/>
              <w:jc w:val="both"/>
              <w:rPr>
                <w:rFonts w:ascii="Palatino Linotype" w:eastAsia="Palatino Linotype" w:hAnsi="Palatino Linotype" w:cs="Palatino Linotype"/>
                <w:i/>
                <w:sz w:val="18"/>
                <w:szCs w:val="18"/>
              </w:rPr>
            </w:pPr>
            <w:r w:rsidRPr="00AE33A5">
              <w:rPr>
                <w:rFonts w:ascii="Palatino Linotype" w:eastAsia="Palatino Linotype" w:hAnsi="Palatino Linotype" w:cs="Palatino Linotype"/>
                <w:i/>
                <w:sz w:val="18"/>
                <w:szCs w:val="18"/>
              </w:rPr>
              <w:t>“…solo mencionan el grado académico de los mismo 5 trabajadores, no el de todos los que laboran en realidad.</w:t>
            </w:r>
          </w:p>
        </w:tc>
        <w:tc>
          <w:tcPr>
            <w:tcW w:w="1747" w:type="dxa"/>
          </w:tcPr>
          <w:p w14:paraId="40F29BD5" w14:textId="77777777" w:rsidR="009D0202" w:rsidRPr="00AE33A5" w:rsidRDefault="00D012ED">
            <w:pPr>
              <w:spacing w:before="240" w:after="240" w:line="360" w:lineRule="auto"/>
              <w:jc w:val="center"/>
              <w:rPr>
                <w:rFonts w:ascii="Palatino Linotype" w:eastAsia="Palatino Linotype" w:hAnsi="Palatino Linotype" w:cs="Palatino Linotype"/>
                <w:b/>
                <w:sz w:val="18"/>
                <w:szCs w:val="18"/>
              </w:rPr>
            </w:pPr>
            <w:r w:rsidRPr="00AE33A5">
              <w:rPr>
                <w:rFonts w:ascii="Palatino Linotype" w:eastAsia="Palatino Linotype" w:hAnsi="Palatino Linotype" w:cs="Palatino Linotype"/>
                <w:b/>
                <w:sz w:val="18"/>
                <w:szCs w:val="18"/>
              </w:rPr>
              <w:t>Parcialmente</w:t>
            </w:r>
          </w:p>
        </w:tc>
      </w:tr>
      <w:tr w:rsidR="00AE33A5" w:rsidRPr="00AE33A5" w14:paraId="28429A1B" w14:textId="77777777">
        <w:trPr>
          <w:trHeight w:val="3075"/>
        </w:trPr>
        <w:tc>
          <w:tcPr>
            <w:tcW w:w="1702" w:type="dxa"/>
          </w:tcPr>
          <w:p w14:paraId="5E9CF442" w14:textId="77777777" w:rsidR="009D0202" w:rsidRPr="00AE33A5" w:rsidRDefault="00D012ED">
            <w:pPr>
              <w:spacing w:before="240" w:after="240"/>
              <w:jc w:val="both"/>
              <w:rPr>
                <w:rFonts w:ascii="Palatino Linotype" w:eastAsia="Palatino Linotype" w:hAnsi="Palatino Linotype" w:cs="Palatino Linotype"/>
                <w:b/>
                <w:sz w:val="18"/>
                <w:szCs w:val="18"/>
              </w:rPr>
            </w:pPr>
            <w:r w:rsidRPr="00AE33A5">
              <w:rPr>
                <w:rFonts w:ascii="Palatino Linotype" w:eastAsia="Palatino Linotype" w:hAnsi="Palatino Linotype" w:cs="Palatino Linotype"/>
                <w:b/>
                <w:sz w:val="18"/>
                <w:szCs w:val="18"/>
              </w:rPr>
              <w:t xml:space="preserve">9.Facturas o las notas de garantía que acrediten la duración del mobiliario de la casa de la cultura y determinar en qué tiempo hacer otro gasto para reemplazar dicho mobiliario </w:t>
            </w:r>
          </w:p>
        </w:tc>
        <w:tc>
          <w:tcPr>
            <w:tcW w:w="3118" w:type="dxa"/>
          </w:tcPr>
          <w:p w14:paraId="46537299" w14:textId="77777777" w:rsidR="009D0202" w:rsidRPr="00AE33A5" w:rsidRDefault="00D012ED">
            <w:pPr>
              <w:spacing w:before="240" w:after="240"/>
              <w:jc w:val="both"/>
              <w:rPr>
                <w:rFonts w:ascii="Palatino Linotype" w:eastAsia="Palatino Linotype" w:hAnsi="Palatino Linotype" w:cs="Palatino Linotype"/>
                <w:sz w:val="18"/>
                <w:szCs w:val="18"/>
              </w:rPr>
            </w:pPr>
            <w:r w:rsidRPr="00AE33A5">
              <w:rPr>
                <w:rFonts w:ascii="Palatino Linotype" w:eastAsia="Palatino Linotype" w:hAnsi="Palatino Linotype" w:cs="Palatino Linotype"/>
                <w:b/>
                <w:sz w:val="18"/>
                <w:szCs w:val="18"/>
              </w:rPr>
              <w:t>Subdirector de Recursos Materiales:</w:t>
            </w:r>
            <w:r w:rsidRPr="00AE33A5">
              <w:rPr>
                <w:rFonts w:ascii="Palatino Linotype" w:eastAsia="Palatino Linotype" w:hAnsi="Palatino Linotype" w:cs="Palatino Linotype"/>
                <w:sz w:val="18"/>
                <w:szCs w:val="18"/>
              </w:rPr>
              <w:t xml:space="preserve"> Después de buscar en los archivos de la base de datos, no se encontró ningún procedimiento referente a lo solicitado.</w:t>
            </w:r>
          </w:p>
        </w:tc>
        <w:tc>
          <w:tcPr>
            <w:tcW w:w="2693" w:type="dxa"/>
          </w:tcPr>
          <w:p w14:paraId="0A6043A2" w14:textId="77777777" w:rsidR="009D0202" w:rsidRPr="00AE33A5" w:rsidRDefault="00D012ED">
            <w:pPr>
              <w:spacing w:before="240" w:after="240"/>
              <w:jc w:val="both"/>
              <w:rPr>
                <w:rFonts w:ascii="Palatino Linotype" w:eastAsia="Palatino Linotype" w:hAnsi="Palatino Linotype" w:cs="Palatino Linotype"/>
                <w:i/>
                <w:sz w:val="18"/>
                <w:szCs w:val="18"/>
              </w:rPr>
            </w:pPr>
            <w:r w:rsidRPr="00AE33A5">
              <w:rPr>
                <w:rFonts w:ascii="Palatino Linotype" w:eastAsia="Palatino Linotype" w:hAnsi="Palatino Linotype" w:cs="Palatino Linotype"/>
                <w:i/>
                <w:sz w:val="18"/>
                <w:szCs w:val="18"/>
              </w:rPr>
              <w:t>“…no proporciona facturas ni atienden a este requerimiento de información.”</w:t>
            </w:r>
          </w:p>
        </w:tc>
        <w:tc>
          <w:tcPr>
            <w:tcW w:w="1747" w:type="dxa"/>
          </w:tcPr>
          <w:p w14:paraId="2A0F4E7B" w14:textId="77777777" w:rsidR="009D0202" w:rsidRPr="00AE33A5" w:rsidRDefault="00D012ED">
            <w:pPr>
              <w:spacing w:before="240" w:after="240" w:line="360" w:lineRule="auto"/>
              <w:jc w:val="center"/>
              <w:rPr>
                <w:rFonts w:ascii="Palatino Linotype" w:eastAsia="Palatino Linotype" w:hAnsi="Palatino Linotype" w:cs="Palatino Linotype"/>
                <w:b/>
                <w:sz w:val="18"/>
                <w:szCs w:val="18"/>
              </w:rPr>
            </w:pPr>
            <w:r w:rsidRPr="00AE33A5">
              <w:rPr>
                <w:rFonts w:ascii="Palatino Linotype" w:eastAsia="Palatino Linotype" w:hAnsi="Palatino Linotype" w:cs="Palatino Linotype"/>
                <w:b/>
                <w:sz w:val="18"/>
                <w:szCs w:val="18"/>
              </w:rPr>
              <w:t>No</w:t>
            </w:r>
          </w:p>
        </w:tc>
      </w:tr>
    </w:tbl>
    <w:p w14:paraId="1E1EB3FC" w14:textId="77777777" w:rsidR="009D0202" w:rsidRPr="00AE33A5" w:rsidRDefault="009D0202">
      <w:pPr>
        <w:spacing w:line="360" w:lineRule="auto"/>
        <w:ind w:right="49"/>
        <w:jc w:val="both"/>
        <w:rPr>
          <w:rFonts w:ascii="Palatino Linotype" w:eastAsia="Palatino Linotype" w:hAnsi="Palatino Linotype" w:cs="Palatino Linotype"/>
          <w:sz w:val="22"/>
          <w:szCs w:val="22"/>
        </w:rPr>
      </w:pPr>
    </w:p>
    <w:p w14:paraId="1AEB8A8A" w14:textId="77777777" w:rsidR="009D0202" w:rsidRPr="00AE33A5" w:rsidRDefault="00D012ED">
      <w:pPr>
        <w:spacing w:line="360" w:lineRule="auto"/>
        <w:ind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Expuesto lo anterior, primeramente cabe señalar que dentro de la solicitud de información, el hoy </w:t>
      </w:r>
      <w:r w:rsidRPr="00AE33A5">
        <w:rPr>
          <w:rFonts w:ascii="Palatino Linotype" w:eastAsia="Palatino Linotype" w:hAnsi="Palatino Linotype" w:cs="Palatino Linotype"/>
          <w:b/>
          <w:sz w:val="22"/>
          <w:szCs w:val="22"/>
        </w:rPr>
        <w:t>Recurrente</w:t>
      </w:r>
      <w:r w:rsidRPr="00AE33A5">
        <w:rPr>
          <w:rFonts w:ascii="Palatino Linotype" w:eastAsia="Palatino Linotype" w:hAnsi="Palatino Linotype" w:cs="Palatino Linotype"/>
          <w:sz w:val="22"/>
          <w:szCs w:val="22"/>
        </w:rPr>
        <w:t xml:space="preserve"> señaló: </w:t>
      </w:r>
      <w:r w:rsidRPr="00AE33A5">
        <w:rPr>
          <w:rFonts w:ascii="Palatino Linotype" w:eastAsia="Palatino Linotype" w:hAnsi="Palatino Linotype" w:cs="Palatino Linotype"/>
          <w:i/>
          <w:sz w:val="22"/>
          <w:szCs w:val="22"/>
        </w:rPr>
        <w:t>“… las notas de garantía que acrediten la duración del mobiliario de la casa de la cultura y determinar en qué tiempo hacer otro gasto para reemplazar dicho mobiliario …  durante meses o años que expliquen el uso de ese recurso público”</w:t>
      </w:r>
      <w:r w:rsidRPr="00AE33A5">
        <w:rPr>
          <w:rFonts w:ascii="Palatino Linotype" w:eastAsia="Palatino Linotype" w:hAnsi="Palatino Linotype" w:cs="Palatino Linotype"/>
          <w:sz w:val="22"/>
          <w:szCs w:val="22"/>
        </w:rPr>
        <w:t xml:space="preserve">, sin embargo, debemos recordar que los Sujetos Obligados únicamente se encuentran constreñidos a hacer entrega de la información que se les solicite y que obre en sus archivos sin la necesidad de generar </w:t>
      </w:r>
      <w:r w:rsidRPr="00AE33A5">
        <w:rPr>
          <w:rFonts w:ascii="Palatino Linotype" w:eastAsia="Palatino Linotype" w:hAnsi="Palatino Linotype" w:cs="Palatino Linotype"/>
          <w:sz w:val="22"/>
          <w:szCs w:val="22"/>
        </w:rPr>
        <w:lastRenderedPageBreak/>
        <w:t xml:space="preserve">documentales </w:t>
      </w:r>
      <w:r w:rsidRPr="00AE33A5">
        <w:rPr>
          <w:rFonts w:ascii="Palatino Linotype" w:eastAsia="Palatino Linotype" w:hAnsi="Palatino Linotype" w:cs="Palatino Linotype"/>
          <w:i/>
          <w:sz w:val="22"/>
          <w:szCs w:val="22"/>
        </w:rPr>
        <w:t>adhoc</w:t>
      </w:r>
      <w:r w:rsidRPr="00AE33A5">
        <w:rPr>
          <w:rFonts w:ascii="Palatino Linotype" w:eastAsia="Palatino Linotype" w:hAnsi="Palatino Linotype" w:cs="Palatino Linotype"/>
          <w:sz w:val="22"/>
          <w:szCs w:val="22"/>
        </w:rPr>
        <w:t xml:space="preserve"> a los intereses de los Particulares, situación que se ve robustecida en el criterio de interpretación para sujetos obligados con clave de control SO/003/2017 emitido por el Instituto Nacional de Transparencia, Acceso a la Información y Protección de Datos Personales, mismo que, a la letra, da cuenta de lo siguiente:</w:t>
      </w:r>
    </w:p>
    <w:p w14:paraId="592E8841" w14:textId="77777777" w:rsidR="009D0202" w:rsidRPr="00AE33A5" w:rsidRDefault="009D0202">
      <w:pPr>
        <w:tabs>
          <w:tab w:val="left" w:pos="7654"/>
        </w:tabs>
        <w:spacing w:line="360" w:lineRule="auto"/>
        <w:jc w:val="both"/>
        <w:rPr>
          <w:rFonts w:ascii="Palatino Linotype" w:eastAsia="Palatino Linotype" w:hAnsi="Palatino Linotype" w:cs="Palatino Linotype"/>
          <w:sz w:val="22"/>
          <w:szCs w:val="22"/>
        </w:rPr>
      </w:pPr>
    </w:p>
    <w:p w14:paraId="692E0153" w14:textId="77777777" w:rsidR="009D0202" w:rsidRPr="00AE33A5" w:rsidRDefault="00D012ED">
      <w:pPr>
        <w:tabs>
          <w:tab w:val="left" w:pos="7654"/>
        </w:tabs>
        <w:spacing w:line="276" w:lineRule="auto"/>
        <w:ind w:left="567" w:right="539"/>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w:t>
      </w:r>
      <w:r w:rsidRPr="00AE33A5">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sidRPr="00AE33A5">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4F5B395" w14:textId="77777777" w:rsidR="009D0202" w:rsidRPr="00AE33A5" w:rsidRDefault="009D0202">
      <w:pPr>
        <w:spacing w:line="360" w:lineRule="auto"/>
        <w:jc w:val="both"/>
        <w:rPr>
          <w:rFonts w:ascii="Palatino Linotype" w:eastAsia="Palatino Linotype" w:hAnsi="Palatino Linotype" w:cs="Palatino Linotype"/>
          <w:sz w:val="22"/>
          <w:szCs w:val="22"/>
        </w:rPr>
      </w:pPr>
    </w:p>
    <w:p w14:paraId="00F71A39" w14:textId="77777777" w:rsidR="009D0202" w:rsidRPr="00AE33A5" w:rsidRDefault="00D012ED">
      <w:pPr>
        <w:spacing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Asimismo,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22B5ADF0" w14:textId="77777777" w:rsidR="009D0202" w:rsidRPr="00AE33A5" w:rsidRDefault="009D0202">
      <w:pPr>
        <w:spacing w:line="360" w:lineRule="auto"/>
        <w:ind w:right="49"/>
        <w:jc w:val="both"/>
        <w:rPr>
          <w:rFonts w:ascii="Palatino Linotype" w:eastAsia="Palatino Linotype" w:hAnsi="Palatino Linotype" w:cs="Palatino Linotype"/>
          <w:sz w:val="22"/>
          <w:szCs w:val="22"/>
        </w:rPr>
      </w:pPr>
    </w:p>
    <w:p w14:paraId="2EDE90A1" w14:textId="77777777" w:rsidR="009D0202" w:rsidRPr="00AE33A5" w:rsidRDefault="00D012ED">
      <w:pPr>
        <w:spacing w:line="360" w:lineRule="auto"/>
        <w:ind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Es así que, se procede al análisis pormenorizado de los puntos que no fueron colmados para efecto de determinar si es pertinente su entrega:</w:t>
      </w:r>
    </w:p>
    <w:p w14:paraId="2B5F378F" w14:textId="77777777" w:rsidR="009D0202" w:rsidRPr="00AE33A5" w:rsidRDefault="00D012ED">
      <w:pPr>
        <w:numPr>
          <w:ilvl w:val="0"/>
          <w:numId w:val="3"/>
        </w:numPr>
        <w:pBdr>
          <w:top w:val="nil"/>
          <w:left w:val="nil"/>
          <w:bottom w:val="nil"/>
          <w:right w:val="nil"/>
          <w:between w:val="nil"/>
        </w:pBdr>
        <w:spacing w:before="240" w:line="360" w:lineRule="auto"/>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t xml:space="preserve">Los contratos de adquisiciones de muebles o cambio de mobiliario de la casa de la cultura del 2022 al 2024. </w:t>
      </w:r>
    </w:p>
    <w:p w14:paraId="7EE33A95" w14:textId="77777777" w:rsidR="009D0202" w:rsidRPr="00AE33A5" w:rsidRDefault="00D012ED">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t xml:space="preserve">Facturas que acrediten la compra del mobiliario de la casa de la cultura </w:t>
      </w:r>
    </w:p>
    <w:p w14:paraId="6E4B4F37" w14:textId="77777777" w:rsidR="009D0202" w:rsidRPr="00AE33A5" w:rsidRDefault="00D012ED">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t>Contratos que tengan por objeto la remodelación de las instalaciones de la casa de la cultura del 2022 al 2024</w:t>
      </w:r>
    </w:p>
    <w:p w14:paraId="5A2AD48F" w14:textId="77777777" w:rsidR="009D0202" w:rsidRPr="00AE33A5" w:rsidRDefault="009D0202">
      <w:pPr>
        <w:pBdr>
          <w:top w:val="nil"/>
          <w:left w:val="nil"/>
          <w:bottom w:val="nil"/>
          <w:right w:val="nil"/>
          <w:between w:val="nil"/>
        </w:pBdr>
        <w:spacing w:after="240" w:line="360" w:lineRule="auto"/>
        <w:ind w:left="720"/>
        <w:jc w:val="both"/>
        <w:rPr>
          <w:rFonts w:ascii="Palatino Linotype" w:eastAsia="Palatino Linotype" w:hAnsi="Palatino Linotype" w:cs="Palatino Linotype"/>
          <w:b/>
          <w:sz w:val="22"/>
          <w:szCs w:val="22"/>
        </w:rPr>
      </w:pPr>
    </w:p>
    <w:p w14:paraId="38295B39"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En respuesta el Subdirector de Recursos Materiales informó que después de buscar en los archivos de la base de datos, no se encontró ningún procedimiento referente a lo solicitado. Mientras que el Subdirector de Adquisiciones y Licitaciones informó que en sus archivos no existen dichos procedimientos.</w:t>
      </w:r>
    </w:p>
    <w:p w14:paraId="259D7B6A"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Por su parte, el Director de Obras Públicas hizo del conocimiento del particular que la información de la obra se encuentra disponible para su consulta en la plataforma del IPOMEX en el siguiente link </w:t>
      </w:r>
      <w:hyperlink r:id="rId12">
        <w:r w:rsidRPr="00AE33A5">
          <w:rPr>
            <w:rFonts w:ascii="Palatino Linotype" w:eastAsia="Palatino Linotype" w:hAnsi="Palatino Linotype" w:cs="Palatino Linotype"/>
            <w:sz w:val="22"/>
            <w:szCs w:val="22"/>
            <w:u w:val="single"/>
          </w:rPr>
          <w:t>https://www.ipomex.org.mx/ipo3/lgt/indice/lerma.web</w:t>
        </w:r>
      </w:hyperlink>
      <w:r w:rsidRPr="00AE33A5">
        <w:rPr>
          <w:rFonts w:ascii="Palatino Linotype" w:eastAsia="Palatino Linotype" w:hAnsi="Palatino Linotype" w:cs="Palatino Linotype"/>
          <w:sz w:val="22"/>
          <w:szCs w:val="22"/>
        </w:rPr>
        <w:t>.</w:t>
      </w:r>
    </w:p>
    <w:p w14:paraId="259465F4"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Inconforme con dichos pronunciamientos, la parte </w:t>
      </w:r>
      <w:r w:rsidRPr="00AE33A5">
        <w:rPr>
          <w:rFonts w:ascii="Palatino Linotype" w:eastAsia="Palatino Linotype" w:hAnsi="Palatino Linotype" w:cs="Palatino Linotype"/>
          <w:b/>
          <w:sz w:val="22"/>
          <w:szCs w:val="22"/>
        </w:rPr>
        <w:t>Recurrente</w:t>
      </w:r>
      <w:r w:rsidRPr="00AE33A5">
        <w:rPr>
          <w:rFonts w:ascii="Palatino Linotype" w:eastAsia="Palatino Linotype" w:hAnsi="Palatino Linotype" w:cs="Palatino Linotype"/>
          <w:sz w:val="22"/>
          <w:szCs w:val="22"/>
        </w:rPr>
        <w:t xml:space="preserve"> en sus motivos de inconformidad señaló </w:t>
      </w:r>
      <w:r w:rsidRPr="00AE33A5">
        <w:rPr>
          <w:rFonts w:ascii="Palatino Linotype" w:eastAsia="Palatino Linotype" w:hAnsi="Palatino Linotype" w:cs="Palatino Linotype"/>
          <w:i/>
          <w:sz w:val="22"/>
          <w:szCs w:val="22"/>
        </w:rPr>
        <w:t>“…se habla con falsedad ya que hay pruebas de que se instalaron lámparas nuevas y pintaron algunas bancas con pintura de aceite café, y no justifican de donde salió dicho presupuesto ni la cantidad, tampoco que hayan llevado a cabo un registro de dicho presupuesto… se adjunta un link en el cual no esta la información completa ni actualizada.”</w:t>
      </w:r>
      <w:r w:rsidRPr="00AE33A5">
        <w:rPr>
          <w:rFonts w:ascii="Palatino Linotype" w:eastAsia="Palatino Linotype" w:hAnsi="Palatino Linotype" w:cs="Palatino Linotype"/>
          <w:sz w:val="22"/>
          <w:szCs w:val="22"/>
        </w:rPr>
        <w:t>, adjuntando con ello una serie de fotografías en las que se observa la realización de cambio de lámparas y pinta de bancos.</w:t>
      </w:r>
    </w:p>
    <w:p w14:paraId="49181051" w14:textId="77777777" w:rsidR="009D0202" w:rsidRPr="00AE33A5" w:rsidRDefault="00D012E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Ahora bien, resulta necesario contextualizar la información requerida relacionada con los contratos de adquisiciones de muebles o cambio de mobiliario y las facturas; así como, la remodelación de las instalaciones de la Casa de la Cultura; en ese sentido, resulta necesario traer a colación lo que establecen los artículos 26 y 27 de la Ley de Contratación Pública del Estado de México y Municipios, </w:t>
      </w:r>
      <w:r w:rsidRPr="00AE33A5">
        <w:rPr>
          <w:rFonts w:ascii="Palatino Linotype" w:eastAsia="Palatino Linotype" w:hAnsi="Palatino Linotype" w:cs="Palatino Linotype"/>
          <w:b/>
          <w:sz w:val="22"/>
          <w:szCs w:val="22"/>
          <w:u w:val="single"/>
        </w:rPr>
        <w:t>las adquisiciones, arrendamientos y servicios se adjudicarán a través de licitaciones públicas mediante convocatoria pública o bien, a través de las excepciones a dicho procedimiento</w:t>
      </w:r>
      <w:r w:rsidRPr="00AE33A5">
        <w:rPr>
          <w:rFonts w:ascii="Palatino Linotype" w:eastAsia="Palatino Linotype" w:hAnsi="Palatino Linotype" w:cs="Palatino Linotype"/>
          <w:sz w:val="22"/>
          <w:szCs w:val="22"/>
        </w:rPr>
        <w:t>, como se observa a continuación:</w:t>
      </w:r>
      <w:r w:rsidRPr="00AE33A5">
        <w:rPr>
          <w:rFonts w:ascii="Palatino Linotype" w:eastAsia="Palatino Linotype" w:hAnsi="Palatino Linotype" w:cs="Palatino Linotype"/>
          <w:b/>
          <w:sz w:val="22"/>
          <w:szCs w:val="22"/>
          <w:u w:val="single"/>
        </w:rPr>
        <w:t xml:space="preserve"> </w:t>
      </w:r>
    </w:p>
    <w:p w14:paraId="3B36C2A0" w14:textId="77777777" w:rsidR="009D0202" w:rsidRPr="00AE33A5" w:rsidRDefault="009D020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ED54DBD" w14:textId="77777777" w:rsidR="009D0202" w:rsidRPr="00AE33A5" w:rsidRDefault="00D012ED">
      <w:pPr>
        <w:spacing w:line="276" w:lineRule="auto"/>
        <w:ind w:left="851" w:right="616"/>
        <w:jc w:val="center"/>
        <w:rPr>
          <w:rFonts w:ascii="Palatino Linotype" w:eastAsia="Palatino Linotype" w:hAnsi="Palatino Linotype" w:cs="Palatino Linotype"/>
          <w:b/>
          <w:i/>
          <w:sz w:val="22"/>
          <w:szCs w:val="22"/>
        </w:rPr>
      </w:pPr>
      <w:r w:rsidRPr="00AE33A5">
        <w:rPr>
          <w:rFonts w:ascii="Palatino Linotype" w:eastAsia="Palatino Linotype" w:hAnsi="Palatino Linotype" w:cs="Palatino Linotype"/>
          <w:b/>
          <w:i/>
          <w:sz w:val="22"/>
          <w:szCs w:val="22"/>
        </w:rPr>
        <w:t>LEY DE CONTRATACIÓN PÚBLICA DEL ESTADO DE MÉXICO Y MUNICIPIO</w:t>
      </w:r>
    </w:p>
    <w:p w14:paraId="18142ECB"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b/>
          <w:i/>
          <w:sz w:val="22"/>
          <w:szCs w:val="22"/>
        </w:rPr>
        <w:lastRenderedPageBreak/>
        <w:t>Artículo 26.-</w:t>
      </w:r>
      <w:r w:rsidRPr="00AE33A5">
        <w:rPr>
          <w:rFonts w:ascii="Palatino Linotype" w:eastAsia="Palatino Linotype" w:hAnsi="Palatino Linotype" w:cs="Palatino Linotype"/>
          <w:i/>
          <w:sz w:val="22"/>
          <w:szCs w:val="22"/>
        </w:rPr>
        <w:t xml:space="preserve"> Las adquisiciones, arrendamientos y servicios se adjudicarán a través de licitaciones públicas, mediante convocatoria pública. </w:t>
      </w:r>
    </w:p>
    <w:p w14:paraId="5953E122" w14:textId="77777777" w:rsidR="009D0202" w:rsidRPr="00AE33A5" w:rsidRDefault="009D0202">
      <w:pPr>
        <w:spacing w:line="276" w:lineRule="auto"/>
        <w:ind w:left="851" w:right="616"/>
        <w:jc w:val="both"/>
        <w:rPr>
          <w:rFonts w:ascii="Palatino Linotype" w:eastAsia="Palatino Linotype" w:hAnsi="Palatino Linotype" w:cs="Palatino Linotype"/>
          <w:i/>
          <w:sz w:val="22"/>
          <w:szCs w:val="22"/>
        </w:rPr>
      </w:pPr>
    </w:p>
    <w:p w14:paraId="01F0C8D2"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b/>
          <w:i/>
          <w:sz w:val="22"/>
          <w:szCs w:val="22"/>
        </w:rPr>
        <w:t>Artículo 27.-</w:t>
      </w:r>
      <w:r w:rsidRPr="00AE33A5">
        <w:rPr>
          <w:rFonts w:ascii="Palatino Linotype" w:eastAsia="Palatino Linotype" w:hAnsi="Palatino Linotype" w:cs="Palatino Linotype"/>
          <w:i/>
          <w:sz w:val="22"/>
          <w:szCs w:val="22"/>
        </w:rPr>
        <w:t xml:space="preserve"> La Secretaría, las entidades, los tribunales administrativos y los ayuntamientos podrán adjudicar adquisiciones, arrendamientos y servicios, mediante las excepciones al procedimiento de licitación que a continuación se señalan: </w:t>
      </w:r>
    </w:p>
    <w:p w14:paraId="0D54D03F"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I. Invitación restringida. </w:t>
      </w:r>
    </w:p>
    <w:p w14:paraId="09C5BDF6"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II. Adjudicación directa.</w:t>
      </w:r>
    </w:p>
    <w:p w14:paraId="02152BE7" w14:textId="77777777" w:rsidR="009D0202" w:rsidRPr="00AE33A5" w:rsidRDefault="009D0202">
      <w:pPr>
        <w:spacing w:line="360" w:lineRule="auto"/>
        <w:ind w:left="567" w:right="560"/>
        <w:jc w:val="both"/>
        <w:rPr>
          <w:rFonts w:ascii="Palatino Linotype" w:eastAsia="Palatino Linotype" w:hAnsi="Palatino Linotype" w:cs="Palatino Linotype"/>
          <w:i/>
          <w:sz w:val="22"/>
          <w:szCs w:val="22"/>
        </w:rPr>
      </w:pPr>
    </w:p>
    <w:p w14:paraId="0141E137" w14:textId="77777777" w:rsidR="009D0202" w:rsidRPr="00AE33A5" w:rsidRDefault="00D012ED">
      <w:pPr>
        <w:spacing w:line="360" w:lineRule="auto"/>
        <w:ind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Respecto al procedimiento de </w:t>
      </w:r>
      <w:r w:rsidRPr="00AE33A5">
        <w:rPr>
          <w:rFonts w:ascii="Palatino Linotype" w:eastAsia="Palatino Linotype" w:hAnsi="Palatino Linotype" w:cs="Palatino Linotype"/>
          <w:b/>
          <w:sz w:val="22"/>
          <w:szCs w:val="22"/>
        </w:rPr>
        <w:t>licitación pública</w:t>
      </w:r>
      <w:r w:rsidRPr="00AE33A5">
        <w:rPr>
          <w:rFonts w:ascii="Palatino Linotype" w:eastAsia="Palatino Linotype" w:hAnsi="Palatino Linotype" w:cs="Palatino Linotype"/>
          <w:sz w:val="22"/>
          <w:szCs w:val="22"/>
        </w:rPr>
        <w:t>, es de mencionar que de acuerdo con el Banco Interamericano de Desarrollo, la licitación es un procedimiento formal y competitivo de adquisiciones, mediante el cual se solicitan, reciben y evalúan ofertas para la adquisición de bienes, obras o servicios y se adjudica el contrato correspondiente al licitador que ofrezca la propuesta más ventajosa. (Desarrollo, 1995)</w:t>
      </w:r>
    </w:p>
    <w:p w14:paraId="5769B292" w14:textId="77777777" w:rsidR="009D0202" w:rsidRPr="00AE33A5" w:rsidRDefault="009D0202">
      <w:pPr>
        <w:spacing w:line="360" w:lineRule="auto"/>
        <w:ind w:right="49"/>
        <w:jc w:val="both"/>
        <w:rPr>
          <w:rFonts w:ascii="Palatino Linotype" w:eastAsia="Palatino Linotype" w:hAnsi="Palatino Linotype" w:cs="Palatino Linotype"/>
          <w:sz w:val="22"/>
          <w:szCs w:val="22"/>
        </w:rPr>
      </w:pPr>
    </w:p>
    <w:p w14:paraId="0CF46414" w14:textId="77777777" w:rsidR="009D0202" w:rsidRPr="00AE33A5" w:rsidRDefault="00D012ED">
      <w:pPr>
        <w:spacing w:line="360" w:lineRule="auto"/>
        <w:ind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En cuando hace a la </w:t>
      </w:r>
      <w:r w:rsidRPr="00AE33A5">
        <w:rPr>
          <w:rFonts w:ascii="Palatino Linotype" w:eastAsia="Palatino Linotype" w:hAnsi="Palatino Linotype" w:cs="Palatino Linotype"/>
          <w:b/>
          <w:sz w:val="22"/>
          <w:szCs w:val="22"/>
        </w:rPr>
        <w:t>adjudicación directa</w:t>
      </w:r>
      <w:r w:rsidRPr="00AE33A5">
        <w:rPr>
          <w:rFonts w:ascii="Palatino Linotype" w:eastAsia="Palatino Linotype" w:hAnsi="Palatino Linotype" w:cs="Palatino Linotype"/>
          <w:sz w:val="22"/>
          <w:szCs w:val="22"/>
        </w:rPr>
        <w:t xml:space="preserve">, la Secretaría de la Función Pública, (consultable en </w:t>
      </w:r>
      <w:r w:rsidRPr="00AE33A5">
        <w:rPr>
          <w:rFonts w:ascii="Palatino Linotype" w:eastAsia="Palatino Linotype" w:hAnsi="Palatino Linotype" w:cs="Palatino Linotype"/>
          <w:sz w:val="22"/>
          <w:szCs w:val="22"/>
          <w:u w:val="single"/>
        </w:rPr>
        <w:t>https://www.gob.mx/sfp/acciones-y-programas/1-3-3-adjudicacion-directa</w:t>
      </w:r>
      <w:r w:rsidRPr="00AE33A5">
        <w:rPr>
          <w:rFonts w:ascii="Palatino Linotype" w:eastAsia="Palatino Linotype" w:hAnsi="Palatino Linotype" w:cs="Palatino Linotype"/>
          <w:sz w:val="22"/>
          <w:szCs w:val="22"/>
        </w:rPr>
        <w:t xml:space="preserve">) establece que, es un procedimiento que se realiza sin puesta en concurrencia y, por ende, sin que exista competencia, adjudicándose el contrato a un proveedor que ha sido preseleccionado para tales efectos por la dependencia o entidad. </w:t>
      </w:r>
    </w:p>
    <w:p w14:paraId="16B01954" w14:textId="77777777" w:rsidR="009D0202" w:rsidRPr="00AE33A5" w:rsidRDefault="009D0202">
      <w:pPr>
        <w:spacing w:line="360" w:lineRule="auto"/>
        <w:ind w:right="49"/>
        <w:jc w:val="both"/>
        <w:rPr>
          <w:rFonts w:ascii="Palatino Linotype" w:eastAsia="Palatino Linotype" w:hAnsi="Palatino Linotype" w:cs="Palatino Linotype"/>
          <w:sz w:val="22"/>
          <w:szCs w:val="22"/>
        </w:rPr>
      </w:pPr>
    </w:p>
    <w:p w14:paraId="7CC8589E" w14:textId="77777777" w:rsidR="009D0202" w:rsidRPr="00AE33A5" w:rsidRDefault="00D012ED">
      <w:pPr>
        <w:spacing w:line="360" w:lineRule="auto"/>
        <w:ind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Por último, respecto a la </w:t>
      </w:r>
      <w:r w:rsidRPr="00AE33A5">
        <w:rPr>
          <w:rFonts w:ascii="Palatino Linotype" w:eastAsia="Palatino Linotype" w:hAnsi="Palatino Linotype" w:cs="Palatino Linotype"/>
          <w:b/>
          <w:sz w:val="22"/>
          <w:szCs w:val="22"/>
        </w:rPr>
        <w:t>invitación restringida a cuando menos tres proveedores</w:t>
      </w:r>
      <w:r w:rsidRPr="00AE33A5">
        <w:rPr>
          <w:rFonts w:ascii="Palatino Linotype" w:eastAsia="Palatino Linotype" w:hAnsi="Palatino Linotype" w:cs="Palatino Linotype"/>
          <w:sz w:val="22"/>
          <w:szCs w:val="22"/>
        </w:rPr>
        <w:t xml:space="preserve">, la Secretaría de la Contraloría (consultable en </w:t>
      </w:r>
      <w:hyperlink r:id="rId13" w:anchor=":~:text=Es%20un%20procedimiento%20administrativo%2C%20de,tres%20oferentes%20a%20presentar%20propuestas%2C">
        <w:r w:rsidRPr="00AE33A5">
          <w:rPr>
            <w:rFonts w:ascii="Palatino Linotype" w:eastAsia="Palatino Linotype" w:hAnsi="Palatino Linotype" w:cs="Palatino Linotype"/>
            <w:sz w:val="22"/>
            <w:szCs w:val="22"/>
            <w:u w:val="single"/>
          </w:rPr>
          <w:t>http://www.contraloriadf.gob.mx/contraloria/cursos/ADQUISICIONES/paginas/32.php#:~:text=Es%20un%20procedimiento%20administrativo%2C%20de,tres%20oferentes%20a%20presentar%20propuestas%2C</w:t>
        </w:r>
      </w:hyperlink>
      <w:r w:rsidRPr="00AE33A5">
        <w:rPr>
          <w:rFonts w:ascii="Palatino Linotype" w:eastAsia="Palatino Linotype" w:hAnsi="Palatino Linotype" w:cs="Palatino Linotype"/>
          <w:sz w:val="22"/>
          <w:szCs w:val="22"/>
        </w:rPr>
        <w:t xml:space="preserve">) precisa que es un procedimiento de excepción a la licitación pública que permite a las dependencias, unidades administrativas, órganos desconcentrados y entidades, en forma discrecional, realizar un procedimiento para </w:t>
      </w:r>
      <w:r w:rsidRPr="00AE33A5">
        <w:rPr>
          <w:rFonts w:ascii="Palatino Linotype" w:eastAsia="Palatino Linotype" w:hAnsi="Palatino Linotype" w:cs="Palatino Linotype"/>
          <w:sz w:val="22"/>
          <w:szCs w:val="22"/>
        </w:rPr>
        <w:lastRenderedPageBreak/>
        <w:t>adquirir, arrendar o contratar, invitando a por lo menos tres oferentes a presentar propuestas.</w:t>
      </w:r>
    </w:p>
    <w:p w14:paraId="2CFCB2F1" w14:textId="77777777" w:rsidR="009D0202" w:rsidRPr="00AE33A5" w:rsidRDefault="009D0202">
      <w:pPr>
        <w:spacing w:line="360" w:lineRule="auto"/>
        <w:ind w:right="49"/>
        <w:jc w:val="both"/>
        <w:rPr>
          <w:rFonts w:ascii="Palatino Linotype" w:eastAsia="Palatino Linotype" w:hAnsi="Palatino Linotype" w:cs="Palatino Linotype"/>
          <w:sz w:val="22"/>
          <w:szCs w:val="22"/>
        </w:rPr>
      </w:pPr>
    </w:p>
    <w:p w14:paraId="75697FAB" w14:textId="77777777" w:rsidR="009D0202" w:rsidRPr="00AE33A5" w:rsidRDefault="00D012ED">
      <w:pPr>
        <w:spacing w:line="360" w:lineRule="auto"/>
        <w:ind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Por su parte, el Reglamento de la Ley de Contratación Pública del Estado de México y Municipios, precisa lo siguiente: </w:t>
      </w:r>
    </w:p>
    <w:p w14:paraId="6B53C532" w14:textId="77777777" w:rsidR="009D0202" w:rsidRPr="00AE33A5" w:rsidRDefault="009D0202">
      <w:pPr>
        <w:spacing w:line="360" w:lineRule="auto"/>
        <w:ind w:right="49"/>
        <w:jc w:val="both"/>
        <w:rPr>
          <w:rFonts w:ascii="Palatino Linotype" w:eastAsia="Palatino Linotype" w:hAnsi="Palatino Linotype" w:cs="Palatino Linotype"/>
          <w:sz w:val="22"/>
          <w:szCs w:val="22"/>
        </w:rPr>
      </w:pPr>
    </w:p>
    <w:p w14:paraId="07C0F598" w14:textId="77777777" w:rsidR="009D0202" w:rsidRPr="00AE33A5" w:rsidRDefault="00D012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w:t>
      </w:r>
      <w:r w:rsidRPr="00AE33A5">
        <w:rPr>
          <w:rFonts w:ascii="Palatino Linotype" w:eastAsia="Palatino Linotype" w:hAnsi="Palatino Linotype" w:cs="Palatino Linotype"/>
          <w:b/>
          <w:i/>
          <w:sz w:val="22"/>
          <w:szCs w:val="22"/>
        </w:rPr>
        <w:t xml:space="preserve">Artículo 2. - </w:t>
      </w:r>
      <w:r w:rsidRPr="00AE33A5">
        <w:rPr>
          <w:rFonts w:ascii="Palatino Linotype" w:eastAsia="Palatino Linotype" w:hAnsi="Palatino Linotype" w:cs="Palatino Linotype"/>
          <w:i/>
          <w:sz w:val="22"/>
          <w:szCs w:val="22"/>
        </w:rPr>
        <w:t>Para los efectos de este Reglamento, se entenderá por:</w:t>
      </w:r>
    </w:p>
    <w:p w14:paraId="109A8763" w14:textId="77777777" w:rsidR="009D0202" w:rsidRPr="00AE33A5" w:rsidRDefault="009D0202">
      <w:pPr>
        <w:spacing w:line="276" w:lineRule="auto"/>
        <w:ind w:left="851" w:right="616"/>
        <w:jc w:val="both"/>
        <w:rPr>
          <w:rFonts w:ascii="Palatino Linotype" w:eastAsia="Palatino Linotype" w:hAnsi="Palatino Linotype" w:cs="Palatino Linotype"/>
          <w:i/>
          <w:sz w:val="22"/>
          <w:szCs w:val="22"/>
        </w:rPr>
      </w:pPr>
    </w:p>
    <w:p w14:paraId="1348992A" w14:textId="77777777" w:rsidR="009D0202" w:rsidRPr="00AE33A5" w:rsidRDefault="00D012ED">
      <w:pPr>
        <w:widowControl w:val="0"/>
        <w:pBdr>
          <w:top w:val="nil"/>
          <w:left w:val="nil"/>
          <w:bottom w:val="nil"/>
          <w:right w:val="nil"/>
          <w:between w:val="nil"/>
        </w:pBdr>
        <w:tabs>
          <w:tab w:val="left" w:pos="795"/>
        </w:tabs>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I. </w:t>
      </w:r>
      <w:r w:rsidRPr="00AE33A5">
        <w:rPr>
          <w:rFonts w:ascii="Palatino Linotype" w:eastAsia="Palatino Linotype" w:hAnsi="Palatino Linotype" w:cs="Palatino Linotype"/>
          <w:b/>
          <w:i/>
          <w:sz w:val="22"/>
          <w:szCs w:val="22"/>
        </w:rPr>
        <w:t>Adjudicación directa:</w:t>
      </w:r>
      <w:r w:rsidRPr="00AE33A5">
        <w:rPr>
          <w:rFonts w:ascii="Palatino Linotype" w:eastAsia="Palatino Linotype" w:hAnsi="Palatino Linotype" w:cs="Palatino Linotype"/>
          <w:i/>
          <w:sz w:val="22"/>
          <w:szCs w:val="22"/>
        </w:rPr>
        <w:t xml:space="preserve">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14:paraId="63289C93" w14:textId="77777777" w:rsidR="009D0202" w:rsidRPr="00AE33A5" w:rsidRDefault="00D012ED">
      <w:pPr>
        <w:widowControl w:val="0"/>
        <w:pBdr>
          <w:top w:val="nil"/>
          <w:left w:val="nil"/>
          <w:bottom w:val="nil"/>
          <w:right w:val="nil"/>
          <w:between w:val="nil"/>
        </w:pBdr>
        <w:tabs>
          <w:tab w:val="left" w:pos="795"/>
        </w:tabs>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w:t>
      </w:r>
    </w:p>
    <w:p w14:paraId="280B95B6" w14:textId="77777777" w:rsidR="009D0202" w:rsidRPr="00AE33A5" w:rsidRDefault="00D012ED">
      <w:pPr>
        <w:widowControl w:val="0"/>
        <w:pBdr>
          <w:top w:val="nil"/>
          <w:left w:val="nil"/>
          <w:bottom w:val="nil"/>
          <w:right w:val="nil"/>
          <w:between w:val="nil"/>
        </w:pBdr>
        <w:tabs>
          <w:tab w:val="left" w:pos="795"/>
        </w:tabs>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XII.</w:t>
      </w:r>
      <w:r w:rsidRPr="00AE33A5">
        <w:rPr>
          <w:rFonts w:ascii="Palatino Linotype" w:eastAsia="Palatino Linotype" w:hAnsi="Palatino Linotype" w:cs="Palatino Linotype"/>
          <w:i/>
          <w:sz w:val="22"/>
          <w:szCs w:val="22"/>
        </w:rPr>
        <w:tab/>
      </w:r>
      <w:r w:rsidRPr="00AE33A5">
        <w:rPr>
          <w:rFonts w:ascii="Palatino Linotype" w:eastAsia="Palatino Linotype" w:hAnsi="Palatino Linotype" w:cs="Palatino Linotype"/>
          <w:b/>
          <w:i/>
          <w:sz w:val="22"/>
          <w:szCs w:val="22"/>
        </w:rPr>
        <w:t>Invitación restringida:</w:t>
      </w:r>
      <w:r w:rsidRPr="00AE33A5">
        <w:rPr>
          <w:rFonts w:ascii="Palatino Linotype" w:eastAsia="Palatino Linotype" w:hAnsi="Palatino Linotype" w:cs="Palatino Linotype"/>
          <w:i/>
          <w:sz w:val="22"/>
          <w:szCs w:val="22"/>
        </w:rPr>
        <w:t xml:space="preserve"> Excepción al procedimiento de licitación pública, mediante el cual la Secretaría, organismos auxiliares, tribunales administrativos o municipios adquieren bienes muebles y contratan servicios, a través de la invitación a cuando menos tres personas, para obtener las mejores condiciones en cuanto a precio, calidad, financiamiento, oportunidad y demás circunstancias pertinentes, en términos de la Ley y del presente Reglamento.</w:t>
      </w:r>
    </w:p>
    <w:p w14:paraId="5F7B2694"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w:t>
      </w:r>
    </w:p>
    <w:p w14:paraId="1283F634"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XIV.</w:t>
      </w:r>
      <w:r w:rsidRPr="00AE33A5">
        <w:rPr>
          <w:rFonts w:ascii="Palatino Linotype" w:eastAsia="Palatino Linotype" w:hAnsi="Palatino Linotype" w:cs="Palatino Linotype"/>
          <w:i/>
          <w:sz w:val="22"/>
          <w:szCs w:val="22"/>
        </w:rPr>
        <w:tab/>
      </w:r>
      <w:r w:rsidRPr="00AE33A5">
        <w:rPr>
          <w:rFonts w:ascii="Palatino Linotype" w:eastAsia="Palatino Linotype" w:hAnsi="Palatino Linotype" w:cs="Palatino Linotype"/>
          <w:b/>
          <w:i/>
          <w:sz w:val="22"/>
          <w:szCs w:val="22"/>
        </w:rPr>
        <w:t>Licitación pública:</w:t>
      </w:r>
      <w:r w:rsidRPr="00AE33A5">
        <w:rPr>
          <w:rFonts w:ascii="Palatino Linotype" w:eastAsia="Palatino Linotype" w:hAnsi="Palatino Linotype" w:cs="Palatino Linotype"/>
          <w:i/>
          <w:sz w:val="22"/>
          <w:szCs w:val="22"/>
        </w:rPr>
        <w:t xml:space="preserve"> Modalidad de adquisición de bienes y contratación de servicios, mediante convocatoria</w:t>
      </w:r>
      <w:r w:rsidRPr="00AE33A5">
        <w:rPr>
          <w:rFonts w:ascii="Palatino Linotype" w:eastAsia="Palatino Linotype" w:hAnsi="Palatino Linotype" w:cs="Palatino Linotype"/>
          <w:i/>
          <w:sz w:val="22"/>
          <w:szCs w:val="22"/>
        </w:rPr>
        <w:tab/>
        <w:t>pública que realicen la Secretaría, organismos auxiliares, tribunales administrativos o municipios, por el que se aseguran las mejores condiciones en cuanto a precio, calidad, financiamiento, oportunidad y demás circunst ancias pertinentes.</w:t>
      </w:r>
    </w:p>
    <w:p w14:paraId="6B88D4B9"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sz w:val="22"/>
          <w:szCs w:val="22"/>
        </w:rPr>
        <w:t>…</w:t>
      </w:r>
    </w:p>
    <w:p w14:paraId="7B55A102"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XXI.</w:t>
      </w:r>
      <w:r w:rsidRPr="00AE33A5">
        <w:rPr>
          <w:rFonts w:ascii="Palatino Linotype" w:eastAsia="Palatino Linotype" w:hAnsi="Palatino Linotype" w:cs="Palatino Linotype"/>
          <w:i/>
          <w:sz w:val="22"/>
          <w:szCs w:val="22"/>
        </w:rPr>
        <w:tab/>
      </w:r>
      <w:r w:rsidRPr="00AE33A5">
        <w:rPr>
          <w:rFonts w:ascii="Palatino Linotype" w:eastAsia="Palatino Linotype" w:hAnsi="Palatino Linotype" w:cs="Palatino Linotype"/>
          <w:b/>
          <w:i/>
          <w:sz w:val="22"/>
          <w:szCs w:val="22"/>
        </w:rPr>
        <w:t>Procedimiento de adquisición:</w:t>
      </w:r>
      <w:r w:rsidRPr="00AE33A5">
        <w:rPr>
          <w:rFonts w:ascii="Palatino Linotype" w:eastAsia="Palatino Linotype" w:hAnsi="Palatino Linotype" w:cs="Palatino Linotype"/>
          <w:i/>
          <w:sz w:val="22"/>
          <w:szCs w:val="22"/>
        </w:rPr>
        <w:t xml:space="preserve"> Conjunto de etapas por las que la Secretaría, las dependencias, organismos auxiliares, tribunales administrativos o municipios , adquieren bienes, contratan servicios o  adquieren  en  arrendamiento bienes  inmuebles  para  el cumplimiento  de  sus funciones, programas y acciones.”</w:t>
      </w:r>
    </w:p>
    <w:p w14:paraId="1F0EC7D5" w14:textId="77777777" w:rsidR="009D0202" w:rsidRPr="00AE33A5" w:rsidRDefault="009D0202">
      <w:pPr>
        <w:spacing w:line="360" w:lineRule="auto"/>
        <w:jc w:val="both"/>
        <w:rPr>
          <w:rFonts w:ascii="Palatino Linotype" w:eastAsia="Palatino Linotype" w:hAnsi="Palatino Linotype" w:cs="Palatino Linotype"/>
          <w:sz w:val="22"/>
          <w:szCs w:val="22"/>
        </w:rPr>
      </w:pPr>
    </w:p>
    <w:p w14:paraId="151504D5" w14:textId="77777777" w:rsidR="009D0202" w:rsidRPr="00AE33A5" w:rsidRDefault="00D012ED">
      <w:pPr>
        <w:spacing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lastRenderedPageBreak/>
        <w:t xml:space="preserve">En lo que respecta a la materia del derecho de acceso a la información pública, es de destacar que de acuerdo con lo que establece el artículo 92, fracción XXIX de la Ley de Transparencia y Acceso a la Información Pública del Estado de México y Municipios los sujetos obligados deben poner a disposición de los particulares la información relacionada con los procedimientos de contratación, tal como se puede apreciar a continuación: </w:t>
      </w:r>
    </w:p>
    <w:p w14:paraId="626719AC" w14:textId="77777777" w:rsidR="009D0202" w:rsidRPr="00AE33A5" w:rsidRDefault="009D0202">
      <w:pPr>
        <w:spacing w:line="360" w:lineRule="auto"/>
        <w:jc w:val="both"/>
        <w:rPr>
          <w:rFonts w:ascii="Palatino Linotype" w:eastAsia="Palatino Linotype" w:hAnsi="Palatino Linotype" w:cs="Palatino Linotype"/>
          <w:sz w:val="22"/>
          <w:szCs w:val="22"/>
        </w:rPr>
      </w:pPr>
    </w:p>
    <w:p w14:paraId="2850C177"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w:t>
      </w:r>
      <w:r w:rsidRPr="00AE33A5">
        <w:rPr>
          <w:rFonts w:ascii="Palatino Linotype" w:eastAsia="Palatino Linotype" w:hAnsi="Palatino Linotype" w:cs="Palatino Linotype"/>
          <w:b/>
          <w:i/>
          <w:sz w:val="22"/>
          <w:szCs w:val="22"/>
        </w:rPr>
        <w:t>Artículo 92.</w:t>
      </w:r>
      <w:r w:rsidRPr="00AE33A5">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D1AADE0"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w:t>
      </w:r>
    </w:p>
    <w:p w14:paraId="438D3454"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b/>
          <w:i/>
          <w:sz w:val="22"/>
          <w:szCs w:val="22"/>
        </w:rPr>
        <w:t>XXIX.</w:t>
      </w:r>
      <w:r w:rsidRPr="00AE33A5">
        <w:rPr>
          <w:rFonts w:ascii="Palatino Linotype" w:eastAsia="Palatino Linotype" w:hAnsi="Palatino Linotype" w:cs="Palatino Linotype"/>
          <w:i/>
          <w:sz w:val="22"/>
          <w:szCs w:val="22"/>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1B1D5F12" w14:textId="77777777" w:rsidR="009D0202" w:rsidRPr="00AE33A5" w:rsidRDefault="00D012ED">
      <w:pPr>
        <w:spacing w:line="276" w:lineRule="auto"/>
        <w:ind w:left="851" w:right="616"/>
        <w:jc w:val="both"/>
        <w:rPr>
          <w:rFonts w:ascii="Palatino Linotype" w:eastAsia="Palatino Linotype" w:hAnsi="Palatino Linotype" w:cs="Palatino Linotype"/>
          <w:b/>
          <w:i/>
          <w:sz w:val="22"/>
          <w:szCs w:val="22"/>
          <w:u w:val="single"/>
        </w:rPr>
      </w:pPr>
      <w:r w:rsidRPr="00AE33A5">
        <w:rPr>
          <w:rFonts w:ascii="Palatino Linotype" w:eastAsia="Palatino Linotype" w:hAnsi="Palatino Linotype" w:cs="Palatino Linotype"/>
          <w:b/>
          <w:i/>
          <w:sz w:val="22"/>
          <w:szCs w:val="22"/>
          <w:u w:val="single"/>
        </w:rPr>
        <w:t xml:space="preserve">a) De licitaciones públicas o procedimientos de invitación restringida: </w:t>
      </w:r>
    </w:p>
    <w:p w14:paraId="50D5063C"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1) La convocatoria o invitación emitida, así como los fundamentos legales aplicados para llevarla a cabo; </w:t>
      </w:r>
    </w:p>
    <w:p w14:paraId="175D1DB1"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2) Los nombres de los participantes o invitados; </w:t>
      </w:r>
    </w:p>
    <w:p w14:paraId="6A48C65F"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3) El nombre del ganador y las razones que lo justifican; </w:t>
      </w:r>
    </w:p>
    <w:p w14:paraId="04EF17C3"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4) El área solicitante y la responsable de su ejecución; </w:t>
      </w:r>
    </w:p>
    <w:p w14:paraId="636F40DF"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5) Las convocatorias e invitaciones emitidas; </w:t>
      </w:r>
    </w:p>
    <w:p w14:paraId="3E188B38"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6) Los dictámenes y fallo de adjudicación; </w:t>
      </w:r>
    </w:p>
    <w:p w14:paraId="4EA1C5E0"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7) El contrato y, en su caso, sus anexos; </w:t>
      </w:r>
    </w:p>
    <w:p w14:paraId="2F30F6BF"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0476C519"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14:paraId="5B73FD0A"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14:paraId="0BBF41E0"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11) Los convenios modificatorios que, en su caso, sean firmados, precisando el objeto y la fecha de celebración; </w:t>
      </w:r>
    </w:p>
    <w:p w14:paraId="434EEEAA"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lastRenderedPageBreak/>
        <w:t xml:space="preserve">12) Los informes de avance físico y financiero sobre las obras o servicios contratados; </w:t>
      </w:r>
    </w:p>
    <w:p w14:paraId="4626C3C1"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13) El convenio de terminación; y </w:t>
      </w:r>
    </w:p>
    <w:p w14:paraId="58308E57"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14) El finiquito. </w:t>
      </w:r>
    </w:p>
    <w:p w14:paraId="59D18788" w14:textId="77777777" w:rsidR="009D0202" w:rsidRPr="00AE33A5" w:rsidRDefault="009D0202">
      <w:pPr>
        <w:spacing w:line="276" w:lineRule="auto"/>
        <w:ind w:left="851" w:right="616"/>
        <w:jc w:val="both"/>
        <w:rPr>
          <w:rFonts w:ascii="Palatino Linotype" w:eastAsia="Palatino Linotype" w:hAnsi="Palatino Linotype" w:cs="Palatino Linotype"/>
          <w:i/>
          <w:sz w:val="22"/>
          <w:szCs w:val="22"/>
        </w:rPr>
      </w:pPr>
    </w:p>
    <w:p w14:paraId="564943C6" w14:textId="77777777" w:rsidR="009D0202" w:rsidRPr="00AE33A5" w:rsidRDefault="00D012ED">
      <w:pPr>
        <w:spacing w:line="276" w:lineRule="auto"/>
        <w:ind w:left="851" w:right="616"/>
        <w:jc w:val="both"/>
        <w:rPr>
          <w:rFonts w:ascii="Palatino Linotype" w:eastAsia="Palatino Linotype" w:hAnsi="Palatino Linotype" w:cs="Palatino Linotype"/>
          <w:b/>
          <w:i/>
          <w:sz w:val="22"/>
          <w:szCs w:val="22"/>
          <w:u w:val="single"/>
        </w:rPr>
      </w:pPr>
      <w:r w:rsidRPr="00AE33A5">
        <w:rPr>
          <w:rFonts w:ascii="Palatino Linotype" w:eastAsia="Palatino Linotype" w:hAnsi="Palatino Linotype" w:cs="Palatino Linotype"/>
          <w:b/>
          <w:i/>
          <w:sz w:val="22"/>
          <w:szCs w:val="22"/>
          <w:u w:val="single"/>
        </w:rPr>
        <w:t xml:space="preserve">b) De las adjudicaciones directas: </w:t>
      </w:r>
    </w:p>
    <w:p w14:paraId="53B9D4D3"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1) La propuesta enviada por el participante; </w:t>
      </w:r>
    </w:p>
    <w:p w14:paraId="1B2690F3"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2) Los motivos y fundamentos legales aplicados para llevarla a cabo; </w:t>
      </w:r>
    </w:p>
    <w:p w14:paraId="31937C24"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3) La autorización del ejercicio de la opción; </w:t>
      </w:r>
    </w:p>
    <w:p w14:paraId="020E3DF5"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4) En su caso, las cotizaciones consideradas, especificando los nombres de los proveedores y sus montos; </w:t>
      </w:r>
    </w:p>
    <w:p w14:paraId="776BA16A"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5) El nombre de la persona física o jurídica colectiva adjudicada; </w:t>
      </w:r>
    </w:p>
    <w:p w14:paraId="771C4F4D"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6) La unidad administrativa solicitante y la responsable de su ejecución; </w:t>
      </w:r>
    </w:p>
    <w:p w14:paraId="141B2E31"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71C7D2F5"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19F4F3F2"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9) Los informes de avance sobre las obras o servicios contratados; </w:t>
      </w:r>
    </w:p>
    <w:p w14:paraId="653F56F7"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10) El convenio de terminación; y </w:t>
      </w:r>
    </w:p>
    <w:p w14:paraId="49F82995" w14:textId="77777777" w:rsidR="009D0202" w:rsidRPr="00AE33A5" w:rsidRDefault="00D012ED">
      <w:pP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11) El finiquito.”</w:t>
      </w:r>
    </w:p>
    <w:p w14:paraId="50600987" w14:textId="77777777" w:rsidR="009D0202" w:rsidRPr="00AE33A5" w:rsidRDefault="009D0202">
      <w:pPr>
        <w:spacing w:line="360" w:lineRule="auto"/>
        <w:ind w:right="49"/>
        <w:jc w:val="both"/>
        <w:rPr>
          <w:rFonts w:ascii="Palatino Linotype" w:eastAsia="Palatino Linotype" w:hAnsi="Palatino Linotype" w:cs="Palatino Linotype"/>
          <w:sz w:val="22"/>
          <w:szCs w:val="22"/>
        </w:rPr>
      </w:pPr>
    </w:p>
    <w:p w14:paraId="0F5A5610" w14:textId="77777777" w:rsidR="009D0202" w:rsidRPr="00AE33A5" w:rsidRDefault="00D012ED">
      <w:pPr>
        <w:spacing w:line="360" w:lineRule="auto"/>
        <w:ind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Es así que se tiene que, la información relacionada con estos procedimientos, es información que se debe transparentar y poner a disposición del público, toda vez que se tratan de obligaciones de transparencia que todos los sujetos obligados deben acatar. </w:t>
      </w:r>
    </w:p>
    <w:p w14:paraId="17A46B5F" w14:textId="77777777" w:rsidR="009D0202" w:rsidRPr="00AE33A5" w:rsidRDefault="009D0202">
      <w:pPr>
        <w:spacing w:line="360" w:lineRule="auto"/>
        <w:ind w:right="49"/>
        <w:jc w:val="both"/>
        <w:rPr>
          <w:rFonts w:ascii="Palatino Linotype" w:eastAsia="Palatino Linotype" w:hAnsi="Palatino Linotype" w:cs="Palatino Linotype"/>
          <w:sz w:val="22"/>
          <w:szCs w:val="22"/>
        </w:rPr>
      </w:pPr>
    </w:p>
    <w:p w14:paraId="19B7E0E6" w14:textId="77777777" w:rsidR="009D0202" w:rsidRPr="00AE33A5" w:rsidRDefault="00D012ED">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sz w:val="22"/>
          <w:szCs w:val="22"/>
          <w:u w:val="single"/>
        </w:rPr>
        <w:t xml:space="preserve">Asimismo, tal como se mencionó, se advierte que la información solicitada puede estar contenida en los documentos que integran los expedientes de licitación, adjudicación o invitación restringida, de manera enunciativa más no limitativa en los contratos celebrados. </w:t>
      </w:r>
    </w:p>
    <w:p w14:paraId="3E3B92AC" w14:textId="77777777" w:rsidR="009D0202" w:rsidRPr="00AE33A5" w:rsidRDefault="00D012ED">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En otro orden de ideas, por cuanto hace a las </w:t>
      </w:r>
      <w:r w:rsidRPr="00AE33A5">
        <w:rPr>
          <w:rFonts w:ascii="Palatino Linotype" w:eastAsia="Palatino Linotype" w:hAnsi="Palatino Linotype" w:cs="Palatino Linotype"/>
          <w:b/>
          <w:sz w:val="22"/>
          <w:szCs w:val="22"/>
        </w:rPr>
        <w:t>facturas</w:t>
      </w:r>
      <w:r w:rsidRPr="00AE33A5">
        <w:rPr>
          <w:rFonts w:ascii="Palatino Linotype" w:eastAsia="Palatino Linotype" w:hAnsi="Palatino Linotype" w:cs="Palatino Linotype"/>
          <w:sz w:val="22"/>
          <w:szCs w:val="22"/>
        </w:rPr>
        <w:t xml:space="preserve"> requeridas por el particular, es necesario traer a colación lo que establece el Glosario de Términos Hacendarios que emite el Instituto Hacendario del Estado de México, el cual define como </w:t>
      </w:r>
      <w:r w:rsidRPr="00AE33A5">
        <w:rPr>
          <w:rFonts w:ascii="Palatino Linotype" w:eastAsia="Palatino Linotype" w:hAnsi="Palatino Linotype" w:cs="Palatino Linotype"/>
          <w:i/>
          <w:sz w:val="22"/>
          <w:szCs w:val="22"/>
        </w:rPr>
        <w:t>“factura” al</w:t>
      </w:r>
      <w:r w:rsidRPr="00AE33A5">
        <w:rPr>
          <w:rFonts w:ascii="Palatino Linotype" w:eastAsia="Palatino Linotype" w:hAnsi="Palatino Linotype" w:cs="Palatino Linotype"/>
          <w:b/>
          <w:i/>
          <w:sz w:val="22"/>
          <w:szCs w:val="22"/>
        </w:rPr>
        <w:t xml:space="preserve"> documento </w:t>
      </w:r>
      <w:r w:rsidRPr="00AE33A5">
        <w:rPr>
          <w:rFonts w:ascii="Palatino Linotype" w:eastAsia="Palatino Linotype" w:hAnsi="Palatino Linotype" w:cs="Palatino Linotype"/>
          <w:b/>
          <w:i/>
          <w:sz w:val="22"/>
          <w:szCs w:val="22"/>
        </w:rPr>
        <w:lastRenderedPageBreak/>
        <w:t>fiscal que emite la persona física o moral para comprobar la venta o adquisición de un bien y/o servicio.</w:t>
      </w:r>
    </w:p>
    <w:p w14:paraId="0E76B664" w14:textId="77777777" w:rsidR="009D0202" w:rsidRPr="00AE33A5" w:rsidRDefault="00D012ED">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En ese sentido, es de señalar que cuando </w:t>
      </w:r>
      <w:r w:rsidRPr="00AE33A5">
        <w:rPr>
          <w:rFonts w:ascii="Palatino Linotype" w:eastAsia="Palatino Linotype" w:hAnsi="Palatino Linotype" w:cs="Palatino Linotype"/>
          <w:b/>
          <w:sz w:val="22"/>
          <w:szCs w:val="22"/>
        </w:rPr>
        <w:t>las facturas amparan las erogaciones que se realizan con erario público tienen naturaleza públic</w:t>
      </w:r>
      <w:r w:rsidRPr="00AE33A5">
        <w:rPr>
          <w:rFonts w:ascii="Palatino Linotype" w:eastAsia="Palatino Linotype" w:hAnsi="Palatino Linotype" w:cs="Palatino Linotype"/>
          <w:sz w:val="22"/>
          <w:szCs w:val="22"/>
        </w:rPr>
        <w:t>a, pues constituyen un medio idóneo de evidencia del gasto realizado con recursos públicos. </w:t>
      </w:r>
    </w:p>
    <w:p w14:paraId="7B3FCF00" w14:textId="77777777" w:rsidR="009D0202" w:rsidRPr="00AE33A5" w:rsidRDefault="00D012ED">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En tal contexto,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59F52770" w14:textId="77777777" w:rsidR="009D0202" w:rsidRPr="00AE33A5" w:rsidRDefault="00D012E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w:t>
      </w:r>
      <w:r w:rsidRPr="00AE33A5">
        <w:rPr>
          <w:rFonts w:ascii="Palatino Linotype" w:eastAsia="Palatino Linotype" w:hAnsi="Palatino Linotype" w:cs="Palatino Linotype"/>
          <w:b/>
          <w:i/>
          <w:sz w:val="22"/>
          <w:szCs w:val="22"/>
        </w:rPr>
        <w:t>Artículo 342.-</w:t>
      </w:r>
      <w:r w:rsidRPr="00AE33A5">
        <w:rPr>
          <w:rFonts w:ascii="Palatino Linotype" w:eastAsia="Palatino Linotype" w:hAnsi="Palatino Linotype" w:cs="Palatino Linotype"/>
          <w:i/>
          <w:sz w:val="22"/>
          <w:szCs w:val="22"/>
        </w:rPr>
        <w:t>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2CF6D805" w14:textId="77777777" w:rsidR="009D0202" w:rsidRPr="00AE33A5" w:rsidRDefault="00D012E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14:paraId="14C9F39D" w14:textId="77777777" w:rsidR="009D0202" w:rsidRPr="00AE33A5" w:rsidRDefault="00D012E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Artículo 343.-</w:t>
      </w:r>
      <w:r w:rsidRPr="00AE33A5">
        <w:rPr>
          <w:rFonts w:ascii="Palatino Linotype" w:eastAsia="Palatino Linotype" w:hAnsi="Palatino Linotype" w:cs="Palatino Linotype"/>
          <w:i/>
          <w:sz w:val="22"/>
          <w:szCs w:val="22"/>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22937F91" w14:textId="77777777" w:rsidR="009D0202" w:rsidRPr="00AE33A5" w:rsidRDefault="00D012E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0F9193A1" w14:textId="77777777" w:rsidR="009D0202" w:rsidRPr="00AE33A5" w:rsidRDefault="00D012E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 xml:space="preserve">Artículo 344.- Los Entes Públicos, a través de cualquiera de sus unidades administrativas, de acuerdo con su naturaleza jurídica y según corresponda, </w:t>
      </w:r>
      <w:r w:rsidRPr="00AE33A5">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AE33A5">
        <w:rPr>
          <w:rFonts w:ascii="Palatino Linotype" w:eastAsia="Palatino Linotype" w:hAnsi="Palatino Linotype" w:cs="Palatino Linotype"/>
          <w:b/>
          <w:i/>
          <w:sz w:val="22"/>
          <w:szCs w:val="22"/>
        </w:rPr>
        <w:t>.</w:t>
      </w:r>
    </w:p>
    <w:p w14:paraId="5ED93292" w14:textId="77777777" w:rsidR="009D0202" w:rsidRPr="00AE33A5" w:rsidRDefault="00D012E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lastRenderedPageBreak/>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AE33A5">
        <w:rPr>
          <w:rFonts w:ascii="Palatino Linotype" w:eastAsia="Palatino Linotype" w:hAnsi="Palatino Linotype" w:cs="Palatino Linotype"/>
          <w:i/>
          <w:sz w:val="22"/>
          <w:szCs w:val="22"/>
        </w:rPr>
        <w:t>según corresponda, así como de los órganos internos de control, por un término de cinco años, contados a partir del ejercicio presupuestal siguiente al que corresponda,</w:t>
      </w:r>
      <w:r w:rsidRPr="00AE33A5">
        <w:rPr>
          <w:rFonts w:ascii="Palatino Linotype" w:eastAsia="Palatino Linotype" w:hAnsi="Palatino Linotype" w:cs="Palatino Linotype"/>
          <w:b/>
          <w:i/>
          <w:sz w:val="22"/>
          <w:szCs w:val="22"/>
        </w:rPr>
        <w:t xml:space="preserve"> en el caso de los Municipios, dicha obligación corresponderá a la Tesorería.</w:t>
      </w:r>
    </w:p>
    <w:p w14:paraId="4D75F5E3" w14:textId="77777777" w:rsidR="009D0202" w:rsidRPr="00AE33A5" w:rsidRDefault="00D012E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Tratándose de documentos de carácter histórico, se estará a lo dispuesto por la legislación de la materia.</w:t>
      </w:r>
    </w:p>
    <w:p w14:paraId="4166E00E" w14:textId="77777777" w:rsidR="009D0202" w:rsidRPr="00AE33A5" w:rsidRDefault="00D012E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w:t>
      </w:r>
    </w:p>
    <w:p w14:paraId="22AE43B7" w14:textId="77777777" w:rsidR="009D0202" w:rsidRPr="00AE33A5" w:rsidRDefault="00D012E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Artículo 345.-</w:t>
      </w:r>
      <w:r w:rsidRPr="00AE33A5">
        <w:rPr>
          <w:rFonts w:ascii="Palatino Linotype" w:eastAsia="Palatino Linotype" w:hAnsi="Palatino Linotype" w:cs="Palatino Linotype"/>
          <w:i/>
          <w:sz w:val="22"/>
          <w:szCs w:val="22"/>
        </w:rPr>
        <w:t xml:space="preserve"> </w:t>
      </w:r>
      <w:r w:rsidRPr="00AE33A5">
        <w:rPr>
          <w:rFonts w:ascii="Palatino Linotype" w:eastAsia="Palatino Linotype" w:hAnsi="Palatino Linotype" w:cs="Palatino Linotype"/>
          <w:b/>
          <w:i/>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w:t>
      </w:r>
      <w:r w:rsidRPr="00AE33A5">
        <w:rPr>
          <w:rFonts w:ascii="Palatino Linotype" w:eastAsia="Palatino Linotype" w:hAnsi="Palatino Linotype" w:cs="Palatino Linotype"/>
          <w:i/>
          <w:sz w:val="22"/>
          <w:szCs w:val="22"/>
        </w:rPr>
        <w:t>registro contable.</w:t>
      </w:r>
    </w:p>
    <w:p w14:paraId="12689A07" w14:textId="77777777" w:rsidR="009D0202" w:rsidRPr="00AE33A5" w:rsidRDefault="00D012E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14:paraId="51E9AA27" w14:textId="77777777" w:rsidR="009D0202" w:rsidRPr="00AE33A5" w:rsidRDefault="00D012E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r w:rsidRPr="00AE33A5">
        <w:rPr>
          <w:rFonts w:ascii="Palatino Linotype" w:eastAsia="Palatino Linotype" w:hAnsi="Palatino Linotype" w:cs="Palatino Linotype"/>
          <w:b/>
          <w:i/>
          <w:sz w:val="22"/>
          <w:szCs w:val="22"/>
        </w:rPr>
        <w:t xml:space="preserve"> </w:t>
      </w:r>
      <w:r w:rsidRPr="00AE33A5">
        <w:rPr>
          <w:rFonts w:ascii="Palatino Linotype" w:eastAsia="Palatino Linotype" w:hAnsi="Palatino Linotype" w:cs="Palatino Linotype"/>
          <w:i/>
          <w:sz w:val="22"/>
          <w:szCs w:val="22"/>
        </w:rPr>
        <w:t>“</w:t>
      </w:r>
    </w:p>
    <w:p w14:paraId="0C316912" w14:textId="77777777" w:rsidR="009D0202" w:rsidRPr="00AE33A5" w:rsidRDefault="00D012E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(Énfasis añadido)</w:t>
      </w:r>
    </w:p>
    <w:p w14:paraId="5E989547" w14:textId="77777777" w:rsidR="009D0202" w:rsidRPr="00AE33A5" w:rsidRDefault="00D012ED">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1EA3B869" w14:textId="77777777" w:rsidR="009D0202" w:rsidRPr="00AE33A5" w:rsidRDefault="00D012ED">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lastRenderedPageBreak/>
        <w:t>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09E6520A" w14:textId="77777777" w:rsidR="009D0202" w:rsidRPr="00AE33A5" w:rsidRDefault="00D012E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“REGISTRO CONTABLE </w:t>
      </w:r>
    </w:p>
    <w:p w14:paraId="63E5FE75" w14:textId="77777777" w:rsidR="009D0202" w:rsidRPr="00AE33A5" w:rsidRDefault="00D012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Asiento que se realiza en los libros de contabilidad de las actividades relacionadas con el ingreso y egresos de un ente económico.” </w:t>
      </w:r>
    </w:p>
    <w:p w14:paraId="095FAA85" w14:textId="77777777" w:rsidR="009D0202" w:rsidRPr="00AE33A5" w:rsidRDefault="009D020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361D65E4" w14:textId="77777777" w:rsidR="009D0202" w:rsidRPr="00AE33A5" w:rsidRDefault="00D012E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“REGISTRO PRESUPUESTARIO</w:t>
      </w:r>
    </w:p>
    <w:p w14:paraId="20DAB0CD" w14:textId="77777777" w:rsidR="009D0202" w:rsidRPr="00AE33A5" w:rsidRDefault="00D012E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 xml:space="preserve">Asiento contable de las erogaciones realizadas por las dependencias y entidades con relación a la asignación, modificación y ejercicio de los recursos presupuestarios que se les hayan autorizado.” </w:t>
      </w:r>
    </w:p>
    <w:p w14:paraId="00BD5B34" w14:textId="77777777" w:rsidR="009D0202" w:rsidRPr="00AE33A5" w:rsidRDefault="00D012ED">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Por otra parte, se establece que el sistema de contabilidad sobre base acumulativa total se sustentará en los principios de contabilidad gubernamental.</w:t>
      </w:r>
    </w:p>
    <w:p w14:paraId="7B608C3D" w14:textId="77777777" w:rsidR="009D0202" w:rsidRPr="00AE33A5" w:rsidRDefault="00D012ED">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Correlativo a lo anterior, es preciso referir una definición de </w:t>
      </w:r>
      <w:r w:rsidRPr="00AE33A5">
        <w:rPr>
          <w:rFonts w:ascii="Palatino Linotype" w:eastAsia="Palatino Linotype" w:hAnsi="Palatino Linotype" w:cs="Palatino Linotype"/>
          <w:i/>
          <w:sz w:val="22"/>
          <w:szCs w:val="22"/>
        </w:rPr>
        <w:t>póliza contable</w:t>
      </w:r>
      <w:r w:rsidRPr="00AE33A5">
        <w:rPr>
          <w:rFonts w:ascii="Palatino Linotype" w:eastAsia="Palatino Linotype" w:hAnsi="Palatino Linotype" w:cs="Palatino Linotype"/>
          <w:sz w:val="22"/>
          <w:szCs w:val="22"/>
        </w:rPr>
        <w:t>, la cual, primeramente, no está definida en el Código Financiero del Estado de México y Municipios; no obstante, los ya mencionados Glosarios la definen como: </w:t>
      </w:r>
    </w:p>
    <w:p w14:paraId="41F102C3" w14:textId="77777777" w:rsidR="009D0202" w:rsidRPr="00AE33A5" w:rsidRDefault="00D012E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w:t>
      </w:r>
      <w:r w:rsidRPr="00AE33A5">
        <w:rPr>
          <w:rFonts w:ascii="Palatino Linotype" w:eastAsia="Palatino Linotype" w:hAnsi="Palatino Linotype" w:cs="Palatino Linotype"/>
          <w:b/>
          <w:i/>
          <w:sz w:val="22"/>
          <w:szCs w:val="22"/>
        </w:rPr>
        <w:t>PÓLIZA CONTABLE</w:t>
      </w:r>
    </w:p>
    <w:p w14:paraId="5603C8EE" w14:textId="77777777" w:rsidR="009D0202" w:rsidRPr="00AE33A5" w:rsidRDefault="00D012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lastRenderedPageBreak/>
        <w:t xml:space="preserve">Documento en el cual se asientan en forma individual todas y cada una de las operaciones desarrolladas por una institución, así como la información necesaria para la identificación de dichas operaciones.” </w:t>
      </w:r>
    </w:p>
    <w:p w14:paraId="6A404759" w14:textId="77777777" w:rsidR="009D0202" w:rsidRPr="00AE33A5" w:rsidRDefault="00D012ED">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Así, se advierte que la </w:t>
      </w:r>
      <w:r w:rsidRPr="00AE33A5">
        <w:rPr>
          <w:rFonts w:ascii="Palatino Linotype" w:eastAsia="Palatino Linotype" w:hAnsi="Palatino Linotype" w:cs="Palatino Linotype"/>
          <w:i/>
          <w:sz w:val="22"/>
          <w:szCs w:val="22"/>
        </w:rPr>
        <w:t>póliza contable</w:t>
      </w:r>
      <w:r w:rsidRPr="00AE33A5">
        <w:rPr>
          <w:rFonts w:ascii="Palatino Linotype" w:eastAsia="Palatino Linotype" w:hAnsi="Palatino Linotype" w:cs="Palatino Linotype"/>
          <w:sz w:val="22"/>
          <w:szCs w:val="22"/>
        </w:rPr>
        <w:t xml:space="preserve"> constituye un registro contable y presupuestal con el que cuentan los entes públicos para el registro de sus operaciones relacionadas con sus ingresos y egresos y se anexan los documentos o comprobantes que justifiquen las anotaciones y cantidades en ellas registradas, lo que permite la identificación plena de dichas operaciones.</w:t>
      </w:r>
    </w:p>
    <w:p w14:paraId="3EFE08F5" w14:textId="77777777" w:rsidR="009D0202" w:rsidRPr="00AE33A5" w:rsidRDefault="00D012ED">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En este sentido, existen diversos tipos de pólizas contables de acuerdo a las operaciones realizadas, dentro de las cuales, encontramos las llamadas </w:t>
      </w:r>
      <w:r w:rsidRPr="00AE33A5">
        <w:rPr>
          <w:rFonts w:ascii="Palatino Linotype" w:eastAsia="Palatino Linotype" w:hAnsi="Palatino Linotype" w:cs="Palatino Linotype"/>
          <w:i/>
          <w:sz w:val="22"/>
          <w:szCs w:val="22"/>
        </w:rPr>
        <w:t>pólizas de egresos</w:t>
      </w:r>
      <w:r w:rsidRPr="00AE33A5">
        <w:rPr>
          <w:rFonts w:ascii="Palatino Linotype" w:eastAsia="Palatino Linotype" w:hAnsi="Palatino Linotype" w:cs="Palatino Linotype"/>
          <w:sz w:val="22"/>
          <w:szCs w:val="22"/>
        </w:rPr>
        <w:t xml:space="preserve">, son aquellas en las cuales se anotan diariamente las operaciones que representan gastos, es decir, salidas de dinero para el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xml:space="preserve">, las que, además, deben encontrarse acompañadas de las documentales que sirven de soporte de dicho movimiento, </w:t>
      </w:r>
      <w:r w:rsidRPr="00AE33A5">
        <w:rPr>
          <w:rFonts w:ascii="Palatino Linotype" w:eastAsia="Palatino Linotype" w:hAnsi="Palatino Linotype" w:cs="Palatino Linotype"/>
          <w:b/>
          <w:sz w:val="22"/>
          <w:szCs w:val="22"/>
        </w:rPr>
        <w:t>como las facturas o comprobantes de pago que avalen la erogación correspondiente.</w:t>
      </w:r>
    </w:p>
    <w:p w14:paraId="32AA80DD" w14:textId="77777777" w:rsidR="009D0202" w:rsidRPr="00AE33A5" w:rsidRDefault="00D012ED">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Asimismo, los Lineamientos para la integración y entrega del Cuarto Informe Trimestral Municipal 2024, emitidos por el Órgano Superior de Fiscalización del Estado de México, contienen los formatos e información que debe ser proporcionada para la integración de los informes trimestrales, reviste interés para nuestro estudio lo previsto en el módulo 1, el cual contiene la información relativa a las </w:t>
      </w:r>
      <w:r w:rsidRPr="00AE33A5">
        <w:rPr>
          <w:rFonts w:ascii="Palatino Linotype" w:eastAsia="Palatino Linotype" w:hAnsi="Palatino Linotype" w:cs="Palatino Linotype"/>
          <w:b/>
          <w:i/>
          <w:sz w:val="22"/>
          <w:szCs w:val="22"/>
        </w:rPr>
        <w:t>pólizas de egresos</w:t>
      </w:r>
      <w:r w:rsidRPr="00AE33A5">
        <w:rPr>
          <w:rFonts w:ascii="Palatino Linotype" w:eastAsia="Palatino Linotype" w:hAnsi="Palatino Linotype" w:cs="Palatino Linotype"/>
          <w:i/>
          <w:sz w:val="22"/>
          <w:szCs w:val="22"/>
        </w:rPr>
        <w:t xml:space="preserve">, </w:t>
      </w:r>
      <w:r w:rsidRPr="00AE33A5">
        <w:rPr>
          <w:rFonts w:ascii="Palatino Linotype" w:eastAsia="Palatino Linotype" w:hAnsi="Palatino Linotype" w:cs="Palatino Linotype"/>
          <w:sz w:val="22"/>
          <w:szCs w:val="22"/>
        </w:rPr>
        <w:t xml:space="preserve">de tal manera que, dichos formatos constituyen un soporte documental con el cual de manera enunciativa más no limitativa, el </w:t>
      </w:r>
      <w:r w:rsidRPr="00AE33A5">
        <w:rPr>
          <w:rFonts w:ascii="Palatino Linotype" w:eastAsia="Palatino Linotype" w:hAnsi="Palatino Linotype" w:cs="Palatino Linotype"/>
          <w:b/>
          <w:sz w:val="22"/>
          <w:szCs w:val="22"/>
        </w:rPr>
        <w:t xml:space="preserve">Sujeto Obligado </w:t>
      </w:r>
      <w:r w:rsidRPr="00AE33A5">
        <w:rPr>
          <w:rFonts w:ascii="Palatino Linotype" w:eastAsia="Palatino Linotype" w:hAnsi="Palatino Linotype" w:cs="Palatino Linotype"/>
          <w:sz w:val="22"/>
          <w:szCs w:val="22"/>
        </w:rPr>
        <w:t xml:space="preserve">pudiera atender el requerimiento de información relativo a la factura que ampara el pago de la adquisición de bienes y/o servicios de la casa de la cultura. </w:t>
      </w:r>
    </w:p>
    <w:p w14:paraId="521E5A4D" w14:textId="77777777" w:rsidR="009D0202" w:rsidRPr="00AE33A5" w:rsidRDefault="00D012ED">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Para una mayor referencia se inserta la captura de pantalla del formato correspondiente: </w:t>
      </w:r>
    </w:p>
    <w:p w14:paraId="717B28C4" w14:textId="77777777" w:rsidR="009D0202" w:rsidRPr="00AE33A5" w:rsidRDefault="00D012ED">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AE33A5">
        <w:rPr>
          <w:rFonts w:ascii="Palatino Linotype" w:eastAsia="Palatino Linotype" w:hAnsi="Palatino Linotype" w:cs="Palatino Linotype"/>
          <w:noProof/>
          <w:sz w:val="22"/>
          <w:szCs w:val="22"/>
        </w:rPr>
        <w:lastRenderedPageBreak/>
        <w:drawing>
          <wp:inline distT="0" distB="0" distL="0" distR="0" wp14:anchorId="6797620D" wp14:editId="35996CDB">
            <wp:extent cx="5534432" cy="2423427"/>
            <wp:effectExtent l="0" t="0" r="0" b="0"/>
            <wp:docPr id="1327684576" name="image3.png"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Aplicación, Tabla&#10;&#10;Descripción generada automáticamente"/>
                    <pic:cNvPicPr preferRelativeResize="0"/>
                  </pic:nvPicPr>
                  <pic:blipFill>
                    <a:blip r:embed="rId14"/>
                    <a:srcRect/>
                    <a:stretch>
                      <a:fillRect/>
                    </a:stretch>
                  </pic:blipFill>
                  <pic:spPr>
                    <a:xfrm>
                      <a:off x="0" y="0"/>
                      <a:ext cx="5534432" cy="2423427"/>
                    </a:xfrm>
                    <a:prstGeom prst="rect">
                      <a:avLst/>
                    </a:prstGeom>
                    <a:ln/>
                  </pic:spPr>
                </pic:pic>
              </a:graphicData>
            </a:graphic>
          </wp:inline>
        </w:drawing>
      </w:r>
      <w:r w:rsidRPr="00AE33A5">
        <w:rPr>
          <w:noProof/>
        </w:rPr>
        <mc:AlternateContent>
          <mc:Choice Requires="wpg">
            <w:drawing>
              <wp:anchor distT="0" distB="0" distL="114300" distR="114300" simplePos="0" relativeHeight="251658240" behindDoc="0" locked="0" layoutInCell="1" hidden="0" allowOverlap="1" wp14:anchorId="59F1E91F" wp14:editId="308922C1">
                <wp:simplePos x="0" y="0"/>
                <wp:positionH relativeFrom="column">
                  <wp:posOffset>762000</wp:posOffset>
                </wp:positionH>
                <wp:positionV relativeFrom="paragraph">
                  <wp:posOffset>596900</wp:posOffset>
                </wp:positionV>
                <wp:extent cx="4850130" cy="228600"/>
                <wp:effectExtent l="0" t="0" r="0" b="0"/>
                <wp:wrapNone/>
                <wp:docPr id="1327684563" name="Rectángulo 1327684563"/>
                <wp:cNvGraphicFramePr/>
                <a:graphic xmlns:a="http://schemas.openxmlformats.org/drawingml/2006/main">
                  <a:graphicData uri="http://schemas.microsoft.com/office/word/2010/wordprocessingShape">
                    <wps:wsp>
                      <wps:cNvSpPr/>
                      <wps:spPr>
                        <a:xfrm>
                          <a:off x="2930460" y="3675225"/>
                          <a:ext cx="4831080" cy="209550"/>
                        </a:xfrm>
                        <a:prstGeom prst="rect">
                          <a:avLst/>
                        </a:prstGeom>
                        <a:noFill/>
                        <a:ln w="19050" cap="flat" cmpd="sng">
                          <a:solidFill>
                            <a:srgbClr val="FF0000"/>
                          </a:solidFill>
                          <a:prstDash val="solid"/>
                          <a:round/>
                          <a:headEnd type="none" w="sm" len="sm"/>
                          <a:tailEnd type="none" w="sm" len="sm"/>
                        </a:ln>
                      </wps:spPr>
                      <wps:txbx>
                        <w:txbxContent>
                          <w:p w14:paraId="7D12B55F" w14:textId="77777777" w:rsidR="009D0202" w:rsidRDefault="009D0202">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762000</wp:posOffset>
                </wp:positionH>
                <wp:positionV relativeFrom="paragraph">
                  <wp:posOffset>596900</wp:posOffset>
                </wp:positionV>
                <wp:extent cx="4850130" cy="228600"/>
                <wp:effectExtent b="0" l="0" r="0" t="0"/>
                <wp:wrapNone/>
                <wp:docPr id="1327684563" name="image21.png"/>
                <a:graphic>
                  <a:graphicData uri="http://schemas.openxmlformats.org/drawingml/2006/picture">
                    <pic:pic>
                      <pic:nvPicPr>
                        <pic:cNvPr id="0" name="image21.png"/>
                        <pic:cNvPicPr preferRelativeResize="0"/>
                      </pic:nvPicPr>
                      <pic:blipFill>
                        <a:blip r:embed="rId15"/>
                        <a:srcRect/>
                        <a:stretch>
                          <a:fillRect/>
                        </a:stretch>
                      </pic:blipFill>
                      <pic:spPr>
                        <a:xfrm>
                          <a:off x="0" y="0"/>
                          <a:ext cx="4850130" cy="228600"/>
                        </a:xfrm>
                        <a:prstGeom prst="rect"/>
                        <a:ln/>
                      </pic:spPr>
                    </pic:pic>
                  </a:graphicData>
                </a:graphic>
              </wp:anchor>
            </w:drawing>
          </mc:Fallback>
        </mc:AlternateContent>
      </w:r>
    </w:p>
    <w:p w14:paraId="1CD7DD84" w14:textId="77777777" w:rsidR="009D0202" w:rsidRPr="00AE33A5" w:rsidRDefault="00D012ED">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w:t>
      </w:r>
    </w:p>
    <w:p w14:paraId="2059E39A" w14:textId="77777777" w:rsidR="009D0202" w:rsidRPr="00AE33A5" w:rsidRDefault="00D012ED">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AE33A5">
        <w:rPr>
          <w:rFonts w:ascii="Palatino Linotype" w:eastAsia="Palatino Linotype" w:hAnsi="Palatino Linotype" w:cs="Palatino Linotype"/>
          <w:noProof/>
          <w:sz w:val="22"/>
          <w:szCs w:val="22"/>
        </w:rPr>
        <w:drawing>
          <wp:inline distT="0" distB="0" distL="0" distR="0" wp14:anchorId="18070D73" wp14:editId="619BA541">
            <wp:extent cx="4519559" cy="4796493"/>
            <wp:effectExtent l="0" t="0" r="0" b="0"/>
            <wp:docPr id="1327684575" name="image8.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Tabla&#10;&#10;Descripción generada automáticamente"/>
                    <pic:cNvPicPr preferRelativeResize="0"/>
                  </pic:nvPicPr>
                  <pic:blipFill>
                    <a:blip r:embed="rId16"/>
                    <a:srcRect/>
                    <a:stretch>
                      <a:fillRect/>
                    </a:stretch>
                  </pic:blipFill>
                  <pic:spPr>
                    <a:xfrm>
                      <a:off x="0" y="0"/>
                      <a:ext cx="4519559" cy="4796493"/>
                    </a:xfrm>
                    <a:prstGeom prst="rect">
                      <a:avLst/>
                    </a:prstGeom>
                    <a:ln/>
                  </pic:spPr>
                </pic:pic>
              </a:graphicData>
            </a:graphic>
          </wp:inline>
        </w:drawing>
      </w:r>
    </w:p>
    <w:p w14:paraId="337D4BD6" w14:textId="77777777" w:rsidR="009D0202" w:rsidRPr="00AE33A5" w:rsidRDefault="009D0202">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p>
    <w:p w14:paraId="68D30FC1" w14:textId="77777777" w:rsidR="009D0202" w:rsidRPr="00AE33A5" w:rsidRDefault="00D012ED">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AE33A5">
        <w:rPr>
          <w:rFonts w:ascii="Palatino Linotype" w:eastAsia="Palatino Linotype" w:hAnsi="Palatino Linotype" w:cs="Palatino Linotype"/>
          <w:noProof/>
          <w:sz w:val="22"/>
          <w:szCs w:val="22"/>
        </w:rPr>
        <w:drawing>
          <wp:inline distT="0" distB="0" distL="0" distR="0" wp14:anchorId="2B1F9C76" wp14:editId="76C21948">
            <wp:extent cx="4722501" cy="989064"/>
            <wp:effectExtent l="0" t="0" r="0" b="0"/>
            <wp:docPr id="1327684579" name="image2.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Texto&#10;&#10;Descripción generada automáticamente"/>
                    <pic:cNvPicPr preferRelativeResize="0"/>
                  </pic:nvPicPr>
                  <pic:blipFill>
                    <a:blip r:embed="rId17"/>
                    <a:srcRect/>
                    <a:stretch>
                      <a:fillRect/>
                    </a:stretch>
                  </pic:blipFill>
                  <pic:spPr>
                    <a:xfrm>
                      <a:off x="0" y="0"/>
                      <a:ext cx="4722501" cy="989064"/>
                    </a:xfrm>
                    <a:prstGeom prst="rect">
                      <a:avLst/>
                    </a:prstGeom>
                    <a:ln/>
                  </pic:spPr>
                </pic:pic>
              </a:graphicData>
            </a:graphic>
          </wp:inline>
        </w:drawing>
      </w:r>
    </w:p>
    <w:p w14:paraId="0410561A" w14:textId="77777777" w:rsidR="009D0202" w:rsidRPr="00AE33A5" w:rsidRDefault="00D012ED">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AE33A5">
        <w:rPr>
          <w:rFonts w:ascii="Palatino Linotype" w:eastAsia="Palatino Linotype" w:hAnsi="Palatino Linotype" w:cs="Palatino Linotype"/>
          <w:noProof/>
          <w:sz w:val="22"/>
          <w:szCs w:val="22"/>
        </w:rPr>
        <w:drawing>
          <wp:inline distT="0" distB="0" distL="0" distR="0" wp14:anchorId="0F50C4C3" wp14:editId="28992C02">
            <wp:extent cx="4764215" cy="5900134"/>
            <wp:effectExtent l="0" t="0" r="0" b="0"/>
            <wp:docPr id="1327684577" name="image10.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Texto&#10;&#10;Descripción generada automáticamente"/>
                    <pic:cNvPicPr preferRelativeResize="0"/>
                  </pic:nvPicPr>
                  <pic:blipFill>
                    <a:blip r:embed="rId18"/>
                    <a:srcRect/>
                    <a:stretch>
                      <a:fillRect/>
                    </a:stretch>
                  </pic:blipFill>
                  <pic:spPr>
                    <a:xfrm>
                      <a:off x="0" y="0"/>
                      <a:ext cx="4764215" cy="5900134"/>
                    </a:xfrm>
                    <a:prstGeom prst="rect">
                      <a:avLst/>
                    </a:prstGeom>
                    <a:ln/>
                  </pic:spPr>
                </pic:pic>
              </a:graphicData>
            </a:graphic>
          </wp:inline>
        </w:drawing>
      </w:r>
    </w:p>
    <w:p w14:paraId="01C3E802" w14:textId="77777777" w:rsidR="009D0202" w:rsidRPr="00AE33A5" w:rsidRDefault="009D0202">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p>
    <w:p w14:paraId="53A84FEB" w14:textId="77777777" w:rsidR="009D0202" w:rsidRPr="00AE33A5" w:rsidRDefault="00D012ED">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Además, en el caso de las pólizas de egresos, </w:t>
      </w:r>
      <w:r w:rsidRPr="00AE33A5">
        <w:rPr>
          <w:rFonts w:ascii="Palatino Linotype" w:eastAsia="Palatino Linotype" w:hAnsi="Palatino Linotype" w:cs="Palatino Linotype"/>
          <w:b/>
          <w:sz w:val="22"/>
          <w:szCs w:val="22"/>
        </w:rPr>
        <w:t>su periodicidad de elaboración es de manera mensual;</w:t>
      </w:r>
      <w:r w:rsidRPr="00AE33A5">
        <w:rPr>
          <w:rFonts w:ascii="Palatino Linotype" w:eastAsia="Palatino Linotype" w:hAnsi="Palatino Linotype" w:cs="Palatino Linotype"/>
          <w:sz w:val="22"/>
          <w:szCs w:val="22"/>
        </w:rPr>
        <w:t xml:space="preserve"> por lo que, una vez realizada la contratación de los bienes y/o servicios y efectuado la erogación correspondiente, se advierte que la información debió ser generada y documentada a más tardar el mes inmediato posterior a la fecha de la contratación.</w:t>
      </w:r>
    </w:p>
    <w:p w14:paraId="7B0ED73E" w14:textId="77777777" w:rsidR="009D0202" w:rsidRPr="00AE33A5" w:rsidRDefault="00D012ED">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Aunado a lo anterior, los citados Lineamientos especifican que las imágenes contenidas deben ser indexadas de manera que se permita su vinculación con la información financiera, de tal forma que al consultar la citada información financiera se pueda visualizar el soporte documental que justifique los registros contables. </w:t>
      </w:r>
    </w:p>
    <w:p w14:paraId="03645373" w14:textId="77777777" w:rsidR="009D0202" w:rsidRPr="00AE33A5" w:rsidRDefault="00D012ED">
      <w:pPr>
        <w:spacing w:line="360" w:lineRule="auto"/>
        <w:ind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Como se desprende de lo anterior el </w:t>
      </w:r>
      <w:r w:rsidRPr="00AE33A5">
        <w:rPr>
          <w:rFonts w:ascii="Palatino Linotype" w:eastAsia="Palatino Linotype" w:hAnsi="Palatino Linotype" w:cs="Palatino Linotype"/>
          <w:b/>
          <w:sz w:val="22"/>
          <w:szCs w:val="22"/>
        </w:rPr>
        <w:t xml:space="preserve">Sujeto Obligado </w:t>
      </w:r>
      <w:r w:rsidRPr="00AE33A5">
        <w:rPr>
          <w:rFonts w:ascii="Palatino Linotype" w:eastAsia="Palatino Linotype" w:hAnsi="Palatino Linotype" w:cs="Palatino Linotype"/>
          <w:sz w:val="22"/>
          <w:szCs w:val="22"/>
        </w:rPr>
        <w:t xml:space="preserve">se encuentra obligado a poner a disposición del público de manera permanente y actualizada, la información que tiene carácter de pública, incluida aquella relativa a </w:t>
      </w:r>
      <w:r w:rsidRPr="00AE33A5">
        <w:rPr>
          <w:rFonts w:ascii="Palatino Linotype" w:eastAsia="Palatino Linotype" w:hAnsi="Palatino Linotype" w:cs="Palatino Linotype"/>
          <w:b/>
          <w:sz w:val="22"/>
          <w:szCs w:val="22"/>
        </w:rPr>
        <w:t>los contratos otorgados y sus anexos como lo son las facturas o comprobantes de pago</w:t>
      </w:r>
      <w:r w:rsidRPr="00AE33A5">
        <w:rPr>
          <w:rFonts w:ascii="Palatino Linotype" w:eastAsia="Palatino Linotype" w:hAnsi="Palatino Linotype" w:cs="Palatino Linotype"/>
          <w:sz w:val="22"/>
          <w:szCs w:val="22"/>
        </w:rPr>
        <w:t>, pues los mismos avalan las erogaciones que se efectúan con recursos del erario público, por diversas operaciones, incluidas las contrataciones de prestación de servicios de cualquier naturaleza como fue el caso en cuestión.</w:t>
      </w:r>
    </w:p>
    <w:p w14:paraId="3AE201E0" w14:textId="77777777" w:rsidR="009D0202" w:rsidRPr="00AE33A5" w:rsidRDefault="009D0202">
      <w:pPr>
        <w:spacing w:line="360" w:lineRule="auto"/>
        <w:ind w:right="49"/>
        <w:jc w:val="both"/>
        <w:rPr>
          <w:rFonts w:ascii="Palatino Linotype" w:eastAsia="Palatino Linotype" w:hAnsi="Palatino Linotype" w:cs="Palatino Linotype"/>
          <w:sz w:val="22"/>
          <w:szCs w:val="22"/>
        </w:rPr>
      </w:pPr>
    </w:p>
    <w:p w14:paraId="0B6EB077" w14:textId="77777777" w:rsidR="009D0202" w:rsidRPr="00AE33A5" w:rsidRDefault="00D012ED">
      <w:pPr>
        <w:spacing w:line="360" w:lineRule="auto"/>
        <w:ind w:right="49"/>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sz w:val="22"/>
          <w:szCs w:val="22"/>
        </w:rPr>
        <w:t xml:space="preserve">Justifica lo anterior, lo dispuesto en el artículo 134 Constitucional, que señala que los recursos económicos de que dispongan, entre otros, la Federación, las entidades federativas y los Municipios se deben administrar con eficiencia, eficacia, economía, </w:t>
      </w:r>
      <w:r w:rsidRPr="00AE33A5">
        <w:rPr>
          <w:rFonts w:ascii="Palatino Linotype" w:eastAsia="Palatino Linotype" w:hAnsi="Palatino Linotype" w:cs="Palatino Linotype"/>
          <w:b/>
          <w:sz w:val="22"/>
          <w:szCs w:val="22"/>
          <w:u w:val="single"/>
        </w:rPr>
        <w:t>transparencia</w:t>
      </w:r>
      <w:r w:rsidRPr="00AE33A5">
        <w:rPr>
          <w:rFonts w:ascii="Palatino Linotype" w:eastAsia="Palatino Linotype" w:hAnsi="Palatino Linotype" w:cs="Palatino Linotype"/>
          <w:sz w:val="22"/>
          <w:szCs w:val="22"/>
        </w:rPr>
        <w:t xml:space="preserve"> y honradez para satisfacer los objetivos a los que estén destinados; </w:t>
      </w:r>
      <w:r w:rsidRPr="00AE33A5">
        <w:rPr>
          <w:rFonts w:ascii="Palatino Linotype" w:eastAsia="Palatino Linotype" w:hAnsi="Palatino Linotype" w:cs="Palatino Linotype"/>
          <w:b/>
          <w:sz w:val="22"/>
          <w:szCs w:val="22"/>
        </w:rPr>
        <w:t>de ahí el interés público que adquieren las contrataciones que se realizan por un ente público a través de recursos económicos que provienen del erario público.</w:t>
      </w:r>
    </w:p>
    <w:p w14:paraId="307480A6" w14:textId="77777777" w:rsidR="009D0202" w:rsidRPr="00AE33A5" w:rsidRDefault="009D0202">
      <w:pPr>
        <w:spacing w:line="360" w:lineRule="auto"/>
        <w:ind w:right="49"/>
        <w:jc w:val="both"/>
        <w:rPr>
          <w:rFonts w:ascii="Palatino Linotype" w:eastAsia="Palatino Linotype" w:hAnsi="Palatino Linotype" w:cs="Palatino Linotype"/>
          <w:sz w:val="22"/>
          <w:szCs w:val="22"/>
        </w:rPr>
      </w:pPr>
    </w:p>
    <w:p w14:paraId="00783BB9" w14:textId="77777777" w:rsidR="009D0202" w:rsidRPr="00AE33A5" w:rsidRDefault="00D012ED">
      <w:pPr>
        <w:spacing w:line="360" w:lineRule="auto"/>
        <w:ind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lastRenderedPageBreak/>
        <w:t xml:space="preserve">Por lo tanto, el </w:t>
      </w:r>
      <w:r w:rsidRPr="00AE33A5">
        <w:rPr>
          <w:rFonts w:ascii="Palatino Linotype" w:eastAsia="Palatino Linotype" w:hAnsi="Palatino Linotype" w:cs="Palatino Linotype"/>
          <w:b/>
          <w:sz w:val="22"/>
          <w:szCs w:val="22"/>
        </w:rPr>
        <w:t xml:space="preserve">Sujeto Obligado, </w:t>
      </w:r>
      <w:r w:rsidRPr="00AE33A5">
        <w:rPr>
          <w:rFonts w:ascii="Palatino Linotype" w:eastAsia="Palatino Linotype" w:hAnsi="Palatino Linotype" w:cs="Palatino Linotype"/>
          <w:sz w:val="22"/>
          <w:szCs w:val="22"/>
        </w:rPr>
        <w:t>al poseer, administrar y generar la información requerida por el entonces solicitante, y al corresponder la misma a una obligación de trasparencia común, es que no existe justificación para impedir el acceso a la misma, incluido a la factura o comprobante que ampara el pago por la contratación realizada, pues esta última documental constituye el medio idóneo para acreditar el destino de los recursos públicos con motivo de la contratación de bienes y/o servicios referidos por el entonces solicitante.</w:t>
      </w:r>
    </w:p>
    <w:p w14:paraId="1F97CC66" w14:textId="77777777" w:rsidR="009D0202" w:rsidRPr="00AE33A5" w:rsidRDefault="009D0202">
      <w:pPr>
        <w:spacing w:line="360" w:lineRule="auto"/>
        <w:ind w:right="49"/>
        <w:jc w:val="both"/>
        <w:rPr>
          <w:rFonts w:ascii="Palatino Linotype" w:eastAsia="Palatino Linotype" w:hAnsi="Palatino Linotype" w:cs="Palatino Linotype"/>
          <w:sz w:val="22"/>
          <w:szCs w:val="22"/>
        </w:rPr>
      </w:pPr>
    </w:p>
    <w:p w14:paraId="1D8934A2" w14:textId="77777777" w:rsidR="009D0202" w:rsidRPr="00AE33A5" w:rsidRDefault="00D012ED">
      <w:pPr>
        <w:spacing w:line="360" w:lineRule="auto"/>
        <w:ind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Dicho esto, y en atención a los agravios hechos valer por la parte </w:t>
      </w:r>
      <w:r w:rsidRPr="00AE33A5">
        <w:rPr>
          <w:rFonts w:ascii="Palatino Linotype" w:eastAsia="Palatino Linotype" w:hAnsi="Palatino Linotype" w:cs="Palatino Linotype"/>
          <w:b/>
          <w:sz w:val="22"/>
          <w:szCs w:val="22"/>
        </w:rPr>
        <w:t>Recurrente</w:t>
      </w:r>
      <w:r w:rsidRPr="00AE33A5">
        <w:rPr>
          <w:rFonts w:ascii="Palatino Linotype" w:eastAsia="Palatino Linotype" w:hAnsi="Palatino Linotype" w:cs="Palatino Linotype"/>
          <w:sz w:val="22"/>
          <w:szCs w:val="22"/>
        </w:rPr>
        <w:t xml:space="preserve">, es de destacar que su inconformidad versa primeramente en que existen pruebas de que se instalaron lámparas nuevas y pintaron algunas bancas, adjuntando evidencia fotográfica de su dicho, y por otro, de que el link que hizo entrega el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xml:space="preserve"> no remite a la información completa y actualizada. </w:t>
      </w:r>
    </w:p>
    <w:p w14:paraId="33B4E615"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Por ello, resulta procedente traer a contexto las atribuciones con las que cuentan la Subdirección de Recursos Materiales, el Departamento de Adquisiciones y la Dirección de Obras Públicas, unidades administrativas que emitieron un pronunciamiento al respecto, esto de conformidad con el Manual de Organización del Ayuntamiento de Lerma, el cual estipula lo siguiente: </w:t>
      </w:r>
    </w:p>
    <w:p w14:paraId="3DEB90CD" w14:textId="77777777" w:rsidR="009D0202" w:rsidRPr="00AE33A5" w:rsidRDefault="009D0202">
      <w:pPr>
        <w:ind w:left="851" w:right="616"/>
        <w:jc w:val="both"/>
        <w:rPr>
          <w:rFonts w:ascii="Palatino Linotype" w:eastAsia="Palatino Linotype" w:hAnsi="Palatino Linotype" w:cs="Palatino Linotype"/>
          <w:i/>
          <w:sz w:val="22"/>
          <w:szCs w:val="22"/>
        </w:rPr>
      </w:pPr>
    </w:p>
    <w:p w14:paraId="111EF084" w14:textId="77777777" w:rsidR="009D0202" w:rsidRPr="00AE33A5" w:rsidRDefault="00D012ED">
      <w:pPr>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“OBJETIVO DE LA SUBDIRECCIÓN DE RECURSOS MATERIALES</w:t>
      </w:r>
    </w:p>
    <w:p w14:paraId="6AFDA043" w14:textId="77777777" w:rsidR="009D0202" w:rsidRPr="00AE33A5" w:rsidRDefault="00D012ED">
      <w:pPr>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Dirigir y controlar la administración de los recursos materiales que permitan el desarrollo de las atribuciones encomendadas a las diversas áreas de este Ayuntamiento.</w:t>
      </w:r>
    </w:p>
    <w:p w14:paraId="1EFA1FE8" w14:textId="77777777" w:rsidR="009D0202" w:rsidRPr="00AE33A5" w:rsidRDefault="00D012ED">
      <w:pPr>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FUNCIONES DE LA SUBDIRECCIÓN DE RECURSOS MATERIALES</w:t>
      </w:r>
    </w:p>
    <w:p w14:paraId="7CA6BA9B" w14:textId="77777777" w:rsidR="009D0202" w:rsidRPr="00AE33A5" w:rsidRDefault="00D012ED">
      <w:pPr>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Actualizar el padrón de proveedores de bienes y servicios a la administración municipal.</w:t>
      </w:r>
    </w:p>
    <w:p w14:paraId="2351B669" w14:textId="77777777" w:rsidR="009D0202" w:rsidRPr="00AE33A5" w:rsidRDefault="00D012ED">
      <w:pPr>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 </w:t>
      </w:r>
      <w:r w:rsidRPr="00AE33A5">
        <w:rPr>
          <w:rFonts w:ascii="Palatino Linotype" w:eastAsia="Palatino Linotype" w:hAnsi="Palatino Linotype" w:cs="Palatino Linotype"/>
          <w:b/>
          <w:i/>
          <w:sz w:val="22"/>
          <w:szCs w:val="22"/>
        </w:rPr>
        <w:t>Programar los procedimientos de adquisiciones y servicios en sus diferentes etapas:</w:t>
      </w:r>
      <w:r w:rsidRPr="00AE33A5">
        <w:rPr>
          <w:rFonts w:ascii="Palatino Linotype" w:eastAsia="Palatino Linotype" w:hAnsi="Palatino Linotype" w:cs="Palatino Linotype"/>
          <w:i/>
          <w:sz w:val="22"/>
          <w:szCs w:val="22"/>
        </w:rPr>
        <w:t xml:space="preserve"> elaboración de bases, convocatoria, invitación a los integrantes del Comité de Adquisiciones y Servicios, venta o entrega de bases, junta aclaratoria, apertura y evaluación de propuestas, dictamen y fallo de las licitaciones públicas, invitación restringida y adjudicación.</w:t>
      </w:r>
    </w:p>
    <w:p w14:paraId="10CF956B" w14:textId="77777777" w:rsidR="009D0202" w:rsidRPr="00AE33A5" w:rsidRDefault="00D012ED">
      <w:pPr>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lastRenderedPageBreak/>
        <w:t>• Directa.</w:t>
      </w:r>
    </w:p>
    <w:p w14:paraId="06A3D0FD" w14:textId="77777777" w:rsidR="009D0202" w:rsidRPr="00AE33A5" w:rsidRDefault="00D012ED">
      <w:pPr>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Documentar las licitaciones públicas y concursos para adquirir los bienes y contratar los servicios que requieran las dependencias de la administración pública municipal.</w:t>
      </w:r>
    </w:p>
    <w:p w14:paraId="55952657" w14:textId="77777777" w:rsidR="009D0202" w:rsidRPr="00AE33A5" w:rsidRDefault="00D012ED">
      <w:pPr>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 </w:t>
      </w:r>
      <w:r w:rsidRPr="00AE33A5">
        <w:rPr>
          <w:rFonts w:ascii="Palatino Linotype" w:eastAsia="Palatino Linotype" w:hAnsi="Palatino Linotype" w:cs="Palatino Linotype"/>
          <w:b/>
          <w:i/>
          <w:sz w:val="22"/>
          <w:szCs w:val="22"/>
        </w:rPr>
        <w:t>Elaborar los contratos de prestación de servicios, arrendamientos y compraventa de conformidad con las disposiciones aplicables</w:t>
      </w:r>
      <w:r w:rsidRPr="00AE33A5">
        <w:rPr>
          <w:rFonts w:ascii="Palatino Linotype" w:eastAsia="Palatino Linotype" w:hAnsi="Palatino Linotype" w:cs="Palatino Linotype"/>
          <w:i/>
          <w:sz w:val="22"/>
          <w:szCs w:val="22"/>
        </w:rPr>
        <w:t>.</w:t>
      </w:r>
    </w:p>
    <w:p w14:paraId="55ECCCCB" w14:textId="77777777" w:rsidR="009D0202" w:rsidRPr="00AE33A5" w:rsidRDefault="00D012ED">
      <w:pPr>
        <w:numPr>
          <w:ilvl w:val="0"/>
          <w:numId w:val="6"/>
        </w:numPr>
        <w:pBdr>
          <w:top w:val="nil"/>
          <w:left w:val="nil"/>
          <w:bottom w:val="nil"/>
          <w:right w:val="nil"/>
          <w:between w:val="nil"/>
        </w:pBdr>
        <w:tabs>
          <w:tab w:val="left" w:pos="851"/>
        </w:tabs>
        <w:ind w:left="851" w:right="616" w:firstLine="0"/>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Realizar todas aquellas actividades que sean inherentes y aplicables al área de su competencia.</w:t>
      </w:r>
    </w:p>
    <w:p w14:paraId="787964E1" w14:textId="77777777" w:rsidR="009D0202" w:rsidRPr="00AE33A5" w:rsidRDefault="009D0202">
      <w:pPr>
        <w:ind w:left="851" w:right="616"/>
        <w:jc w:val="both"/>
        <w:rPr>
          <w:rFonts w:ascii="Palatino Linotype" w:eastAsia="Palatino Linotype" w:hAnsi="Palatino Linotype" w:cs="Palatino Linotype"/>
          <w:i/>
          <w:sz w:val="22"/>
          <w:szCs w:val="22"/>
        </w:rPr>
      </w:pPr>
    </w:p>
    <w:p w14:paraId="64200379" w14:textId="77777777" w:rsidR="009D0202" w:rsidRPr="00AE33A5" w:rsidRDefault="00D012ED">
      <w:pPr>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FUNCIONES DEL </w:t>
      </w:r>
      <w:r w:rsidRPr="00AE33A5">
        <w:rPr>
          <w:rFonts w:ascii="Palatino Linotype" w:eastAsia="Palatino Linotype" w:hAnsi="Palatino Linotype" w:cs="Palatino Linotype"/>
          <w:b/>
          <w:i/>
          <w:sz w:val="22"/>
          <w:szCs w:val="22"/>
          <w:u w:val="single"/>
        </w:rPr>
        <w:t>DEPARTAMENTO DE ADQUISICIONES</w:t>
      </w:r>
    </w:p>
    <w:p w14:paraId="3B321CFD" w14:textId="77777777" w:rsidR="009D0202" w:rsidRPr="00AE33A5" w:rsidRDefault="00D012ED">
      <w:pPr>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 </w:t>
      </w:r>
      <w:r w:rsidRPr="00AE33A5">
        <w:rPr>
          <w:rFonts w:ascii="Palatino Linotype" w:eastAsia="Palatino Linotype" w:hAnsi="Palatino Linotype" w:cs="Palatino Linotype"/>
          <w:b/>
          <w:i/>
          <w:sz w:val="22"/>
          <w:szCs w:val="22"/>
        </w:rPr>
        <w:t>Verificar que los procedimientos adquisitivos sobre bienes y servicios estén apegados a los lineamientos legales y reglamentos establecidos así como lo estipulado en los contratos respectivos</w:t>
      </w:r>
      <w:r w:rsidRPr="00AE33A5">
        <w:rPr>
          <w:rFonts w:ascii="Palatino Linotype" w:eastAsia="Palatino Linotype" w:hAnsi="Palatino Linotype" w:cs="Palatino Linotype"/>
          <w:i/>
          <w:sz w:val="22"/>
          <w:szCs w:val="22"/>
        </w:rPr>
        <w:t>.</w:t>
      </w:r>
    </w:p>
    <w:p w14:paraId="0C8EDC32" w14:textId="77777777" w:rsidR="009D0202" w:rsidRPr="00AE33A5" w:rsidRDefault="00D012ED">
      <w:pPr>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 </w:t>
      </w:r>
      <w:r w:rsidRPr="00AE33A5">
        <w:rPr>
          <w:rFonts w:ascii="Palatino Linotype" w:eastAsia="Palatino Linotype" w:hAnsi="Palatino Linotype" w:cs="Palatino Linotype"/>
          <w:b/>
          <w:i/>
          <w:sz w:val="22"/>
          <w:szCs w:val="22"/>
        </w:rPr>
        <w:t>Realizar los procedimientos para la adquisición de los bienes</w:t>
      </w:r>
      <w:r w:rsidRPr="00AE33A5">
        <w:rPr>
          <w:rFonts w:ascii="Palatino Linotype" w:eastAsia="Palatino Linotype" w:hAnsi="Palatino Linotype" w:cs="Palatino Linotype"/>
          <w:i/>
          <w:sz w:val="22"/>
          <w:szCs w:val="22"/>
        </w:rPr>
        <w:t>, conforme a los requerimientos de las dependencias.</w:t>
      </w:r>
    </w:p>
    <w:p w14:paraId="5FA22C2D" w14:textId="77777777" w:rsidR="009D0202" w:rsidRPr="00AE33A5" w:rsidRDefault="009D0202">
      <w:pPr>
        <w:ind w:left="851" w:right="616"/>
        <w:jc w:val="both"/>
        <w:rPr>
          <w:rFonts w:ascii="Palatino Linotype" w:eastAsia="Palatino Linotype" w:hAnsi="Palatino Linotype" w:cs="Palatino Linotype"/>
          <w:i/>
          <w:sz w:val="22"/>
          <w:szCs w:val="22"/>
        </w:rPr>
      </w:pPr>
    </w:p>
    <w:p w14:paraId="6B859529" w14:textId="77777777" w:rsidR="009D0202" w:rsidRPr="00AE33A5" w:rsidRDefault="00D012ED">
      <w:pPr>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OBJETIVO DE LA DIRECCIÓN DE OBRAS PÚBLICAS</w:t>
      </w:r>
    </w:p>
    <w:p w14:paraId="7EB8256D" w14:textId="77777777" w:rsidR="009D0202" w:rsidRPr="00AE33A5" w:rsidRDefault="00D012ED">
      <w:pPr>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Planear, programar y coordinar estrategias encaminadas al cumplimiento de los objetivos y prioridades que se establezcan en el Plan de Desarrollo Municipal y programas que de este deriven; así como cambiar la imagen urbana del municipio a través de obras de alto impacto y de mejor calidad, en las diferentes comunidades del municipio.</w:t>
      </w:r>
    </w:p>
    <w:p w14:paraId="7980B736" w14:textId="77777777" w:rsidR="009D0202" w:rsidRPr="00AE33A5" w:rsidRDefault="00D012ED">
      <w:pPr>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FUNCIONES DE LA DIRECCIÓN DE OBRAS PÚBLICAS</w:t>
      </w:r>
    </w:p>
    <w:p w14:paraId="5A01931E" w14:textId="77777777" w:rsidR="009D0202" w:rsidRPr="00AE33A5" w:rsidRDefault="00D012ED">
      <w:pPr>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1.- </w:t>
      </w:r>
      <w:r w:rsidRPr="00AE33A5">
        <w:rPr>
          <w:rFonts w:ascii="Palatino Linotype" w:eastAsia="Palatino Linotype" w:hAnsi="Palatino Linotype" w:cs="Palatino Linotype"/>
          <w:b/>
          <w:i/>
          <w:sz w:val="22"/>
          <w:szCs w:val="22"/>
        </w:rPr>
        <w:t>Planificar los proyectos de obra pública y servicios relacionados con las mismas, incluyendo la conservación y mantenimiento de edificios</w:t>
      </w:r>
      <w:r w:rsidRPr="00AE33A5">
        <w:rPr>
          <w:rFonts w:ascii="Palatino Linotype" w:eastAsia="Palatino Linotype" w:hAnsi="Palatino Linotype" w:cs="Palatino Linotype"/>
          <w:i/>
          <w:sz w:val="22"/>
          <w:szCs w:val="22"/>
        </w:rPr>
        <w:t>, monumentos y calles.</w:t>
      </w:r>
    </w:p>
    <w:p w14:paraId="0975D386" w14:textId="77777777" w:rsidR="009D0202" w:rsidRPr="00AE33A5" w:rsidRDefault="00D012ED">
      <w:pPr>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2.- </w:t>
      </w:r>
      <w:r w:rsidRPr="00AE33A5">
        <w:rPr>
          <w:rFonts w:ascii="Palatino Linotype" w:eastAsia="Palatino Linotype" w:hAnsi="Palatino Linotype" w:cs="Palatino Linotype"/>
          <w:b/>
          <w:i/>
          <w:sz w:val="22"/>
          <w:szCs w:val="22"/>
        </w:rPr>
        <w:t xml:space="preserve">Planificar la ejecución de las obras públicas y servicios relacionados, conforme a los programas de obra pública </w:t>
      </w:r>
      <w:r w:rsidRPr="00AE33A5">
        <w:rPr>
          <w:rFonts w:ascii="Palatino Linotype" w:eastAsia="Palatino Linotype" w:hAnsi="Palatino Linotype" w:cs="Palatino Linotype"/>
          <w:i/>
          <w:sz w:val="22"/>
          <w:szCs w:val="22"/>
        </w:rPr>
        <w:t>establecidos.</w:t>
      </w:r>
    </w:p>
    <w:p w14:paraId="08406532" w14:textId="77777777" w:rsidR="009D0202" w:rsidRPr="00AE33A5" w:rsidRDefault="00D012ED">
      <w:pPr>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3.- Supervisar la determinación y cuantificación de los materiales y trabajos necesarios para la ejecución de las obras públicas.</w:t>
      </w:r>
    </w:p>
    <w:p w14:paraId="2976D468" w14:textId="77777777" w:rsidR="009D0202" w:rsidRPr="00AE33A5" w:rsidRDefault="00D012ED">
      <w:pPr>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4.- </w:t>
      </w:r>
      <w:r w:rsidRPr="00AE33A5">
        <w:rPr>
          <w:rFonts w:ascii="Palatino Linotype" w:eastAsia="Palatino Linotype" w:hAnsi="Palatino Linotype" w:cs="Palatino Linotype"/>
          <w:b/>
          <w:i/>
          <w:sz w:val="22"/>
          <w:szCs w:val="22"/>
        </w:rPr>
        <w:t>Supervisar la construcción de obras por contrato</w:t>
      </w:r>
      <w:r w:rsidRPr="00AE33A5">
        <w:rPr>
          <w:rFonts w:ascii="Palatino Linotype" w:eastAsia="Palatino Linotype" w:hAnsi="Palatino Linotype" w:cs="Palatino Linotype"/>
          <w:i/>
          <w:sz w:val="22"/>
          <w:szCs w:val="22"/>
        </w:rPr>
        <w:t xml:space="preserve"> y administración para que cumplan los requisitos de calidad, seguridad y funcionamiento, de acuerdo a las normas y contratos establecidos.</w:t>
      </w:r>
    </w:p>
    <w:p w14:paraId="4EBF57D2" w14:textId="77777777" w:rsidR="009D0202" w:rsidRPr="00AE33A5" w:rsidRDefault="00D012ED">
      <w:pPr>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5.- Supervisar la gestión de los programas federales y estatales en materia de obra pública.</w:t>
      </w:r>
    </w:p>
    <w:p w14:paraId="1D98FC6A" w14:textId="77777777" w:rsidR="009D0202" w:rsidRPr="00AE33A5" w:rsidRDefault="00D012ED">
      <w:pPr>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6.- Presidir las juntas de aclaraciones, los actos de apertura de proposiciones y dictar los fallos correspondientes a las adjudicaciones de obra.</w:t>
      </w:r>
    </w:p>
    <w:p w14:paraId="11184248" w14:textId="77777777" w:rsidR="009D0202" w:rsidRPr="00AE33A5" w:rsidRDefault="00D012ED">
      <w:pPr>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7.- Promover la integración de comités ciudadanos de control y vigilancia encargados de supervisar la obra pública municipal.</w:t>
      </w:r>
    </w:p>
    <w:p w14:paraId="6AB37A7A" w14:textId="77777777" w:rsidR="009D0202" w:rsidRPr="00AE33A5" w:rsidRDefault="00D012ED">
      <w:pPr>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lastRenderedPageBreak/>
        <w:t>8.- Articular la ampliación y mejora a la infraestructura y equipamiento municipal para la modernización de las comunicaciones y el transporte.</w:t>
      </w:r>
    </w:p>
    <w:p w14:paraId="026E8E9D" w14:textId="77777777" w:rsidR="009D0202" w:rsidRPr="00AE33A5" w:rsidRDefault="00D012ED">
      <w:pPr>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9.- Todas aquellas actividades que sean inherentes y aplicables al área de su competencia.”</w:t>
      </w:r>
    </w:p>
    <w:p w14:paraId="6661CCEA"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De lo anteriormente citado, se desprende que la Subdirección de Recursos Materiales se encarga de programar los procedimientos de adquisiciones y servicios, documentar las licitaciones públicas y concursos para adquirir los bienes y elaborar los contratos de prestación de servicios, arrendamientos y compraventa; mientras que la Subdirección de Adquisiciones y Licitaciones se encarga de verificar que los procedimientos adquisitivos sobre bienes y servicios estén apegados a los lineamientos legales y reglamentos establecidos así como lo estipulado en los contratos respectivos y realizar los procedimientos para la adquisición de los bienes y finalmente la Dirección de Obras Públicas planificara los proyectos y ejecución de obra pública y servicios relacionados con las mismas, incluyendo la conservación y mantenimiento de edificios y supervisara la construcción de obras por contrato y administración para que cumplan los requisitos de calidad, seguridad y funcionamiento, de acuerdo a las normas y contratos establecidos; por ello es dable afirmar que se siguió el procedimiento establecido por el artículo 162 de la Ley de Transparencia y Acceso a la Información Pública del Estado de México y Municipios, ya que turnó la solicitud a las áreas en las que podría obrar la información de conformidad con la fracción XXXIX del artículo tercero de la legislación local vigente en materia de transparencia: </w:t>
      </w:r>
    </w:p>
    <w:p w14:paraId="50FF0979" w14:textId="77777777" w:rsidR="009D0202" w:rsidRPr="00AE33A5" w:rsidRDefault="00D012ED">
      <w:pPr>
        <w:pBdr>
          <w:top w:val="nil"/>
          <w:left w:val="nil"/>
          <w:bottom w:val="nil"/>
          <w:right w:val="nil"/>
          <w:between w:val="nil"/>
        </w:pBdr>
        <w:ind w:left="864" w:right="864"/>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w:t>
      </w:r>
      <w:r w:rsidRPr="00AE33A5">
        <w:rPr>
          <w:rFonts w:ascii="Palatino Linotype" w:eastAsia="Palatino Linotype" w:hAnsi="Palatino Linotype" w:cs="Palatino Linotype"/>
          <w:b/>
          <w:i/>
          <w:sz w:val="22"/>
          <w:szCs w:val="22"/>
        </w:rPr>
        <w:t>XXXIX. Servidor público habilitado</w:t>
      </w:r>
      <w:r w:rsidRPr="00AE33A5">
        <w:rPr>
          <w:rFonts w:ascii="Palatino Linotype" w:eastAsia="Palatino Linotype" w:hAnsi="Palatino Linotype" w:cs="Palatino Linotype"/>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31B36FB" w14:textId="77777777" w:rsidR="009D0202" w:rsidRPr="00AE33A5" w:rsidRDefault="00D012ED">
      <w:pPr>
        <w:shd w:val="clear" w:color="auto" w:fill="FFFFFF"/>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lastRenderedPageBreak/>
        <w:t>En este orden de ideas, se advierte que efectivamente la Unidad de Transparencia cumplió con lo expresado en el artículo 162 de la Ley de Transparencia y Acceso a la Información Pública del Estado de México y Municipios, el cual menciona lo siguiente:</w:t>
      </w:r>
    </w:p>
    <w:p w14:paraId="261914BA" w14:textId="77777777" w:rsidR="009D0202" w:rsidRPr="00AE33A5" w:rsidRDefault="00D012ED">
      <w:pPr>
        <w:shd w:val="clear" w:color="auto" w:fill="FFFFFF"/>
        <w:spacing w:after="240" w:line="276" w:lineRule="auto"/>
        <w:ind w:left="993" w:right="1041"/>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“Artículo 162.</w:t>
      </w:r>
      <w:r w:rsidRPr="00AE33A5">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p>
    <w:p w14:paraId="2B3CD95F"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Expuesto lo anterior, conviene recordar que el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xml:space="preserve"> a través de la Subdirección de Recursos Materiales refirió que después de realizar una búsqueda exhaustiva y razonable dentro de sus archivos, no se encontró ningún procedimiento referente a los contratos de adquisiciones de muebles o cambio de mobiliario, lo que se robustece con el pronunciamiento del Subdirector de Adquisiciones y Licitaciones, al referir que dentro de sus archivos no existen esos procedimientos; sin embargo, el hoy </w:t>
      </w:r>
      <w:r w:rsidRPr="00AE33A5">
        <w:rPr>
          <w:rFonts w:ascii="Palatino Linotype" w:eastAsia="Palatino Linotype" w:hAnsi="Palatino Linotype" w:cs="Palatino Linotype"/>
          <w:b/>
          <w:sz w:val="22"/>
          <w:szCs w:val="22"/>
        </w:rPr>
        <w:t>Recurrente</w:t>
      </w:r>
      <w:r w:rsidRPr="00AE33A5">
        <w:rPr>
          <w:rFonts w:ascii="Palatino Linotype" w:eastAsia="Palatino Linotype" w:hAnsi="Palatino Linotype" w:cs="Palatino Linotype"/>
          <w:sz w:val="22"/>
          <w:szCs w:val="22"/>
        </w:rPr>
        <w:t xml:space="preserve"> hizo entrega de una serie de fotografías en las que se observa lo siguiente: </w:t>
      </w:r>
    </w:p>
    <w:p w14:paraId="586BD505"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noProof/>
          <w:sz w:val="22"/>
          <w:szCs w:val="22"/>
        </w:rPr>
        <w:drawing>
          <wp:inline distT="0" distB="0" distL="0" distR="0" wp14:anchorId="173A00ED" wp14:editId="2742406B">
            <wp:extent cx="1863321" cy="2809537"/>
            <wp:effectExtent l="0" t="0" r="0" b="0"/>
            <wp:docPr id="132768458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1863321" cy="2809537"/>
                    </a:xfrm>
                    <a:prstGeom prst="rect">
                      <a:avLst/>
                    </a:prstGeom>
                    <a:ln/>
                  </pic:spPr>
                </pic:pic>
              </a:graphicData>
            </a:graphic>
          </wp:inline>
        </w:drawing>
      </w:r>
      <w:r w:rsidRPr="00AE33A5">
        <w:rPr>
          <w:noProof/>
        </w:rPr>
        <w:drawing>
          <wp:anchor distT="0" distB="0" distL="114300" distR="114300" simplePos="0" relativeHeight="251659264" behindDoc="0" locked="0" layoutInCell="1" hidden="0" allowOverlap="1" wp14:anchorId="33AE04D1" wp14:editId="35FB8564">
            <wp:simplePos x="0" y="0"/>
            <wp:positionH relativeFrom="column">
              <wp:posOffset>2063114</wp:posOffset>
            </wp:positionH>
            <wp:positionV relativeFrom="paragraph">
              <wp:posOffset>13970</wp:posOffset>
            </wp:positionV>
            <wp:extent cx="1532890" cy="2781300"/>
            <wp:effectExtent l="0" t="0" r="0" b="0"/>
            <wp:wrapSquare wrapText="bothSides" distT="0" distB="0" distL="114300" distR="114300"/>
            <wp:docPr id="13276845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1532890" cy="2781300"/>
                    </a:xfrm>
                    <a:prstGeom prst="rect">
                      <a:avLst/>
                    </a:prstGeom>
                    <a:ln/>
                  </pic:spPr>
                </pic:pic>
              </a:graphicData>
            </a:graphic>
          </wp:anchor>
        </w:drawing>
      </w:r>
      <w:r w:rsidRPr="00AE33A5">
        <w:rPr>
          <w:noProof/>
        </w:rPr>
        <w:drawing>
          <wp:anchor distT="0" distB="0" distL="114300" distR="114300" simplePos="0" relativeHeight="251660288" behindDoc="0" locked="0" layoutInCell="1" hidden="0" allowOverlap="1" wp14:anchorId="0D392167" wp14:editId="63C31840">
            <wp:simplePos x="0" y="0"/>
            <wp:positionH relativeFrom="column">
              <wp:posOffset>3806190</wp:posOffset>
            </wp:positionH>
            <wp:positionV relativeFrom="paragraph">
              <wp:posOffset>585470</wp:posOffset>
            </wp:positionV>
            <wp:extent cx="1981200" cy="1428750"/>
            <wp:effectExtent l="0" t="0" r="0" b="0"/>
            <wp:wrapSquare wrapText="bothSides" distT="0" distB="0" distL="114300" distR="114300"/>
            <wp:docPr id="13276845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981200" cy="1428750"/>
                    </a:xfrm>
                    <a:prstGeom prst="rect">
                      <a:avLst/>
                    </a:prstGeom>
                    <a:ln/>
                  </pic:spPr>
                </pic:pic>
              </a:graphicData>
            </a:graphic>
          </wp:anchor>
        </w:drawing>
      </w:r>
    </w:p>
    <w:p w14:paraId="3BD813E8"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bookmarkStart w:id="8" w:name="_heading=h.35nkun2" w:colFirst="0" w:colLast="0"/>
      <w:bookmarkEnd w:id="8"/>
      <w:r w:rsidRPr="00AE33A5">
        <w:rPr>
          <w:rFonts w:ascii="Palatino Linotype" w:eastAsia="Palatino Linotype" w:hAnsi="Palatino Linotype" w:cs="Palatino Linotype"/>
          <w:sz w:val="22"/>
          <w:szCs w:val="22"/>
        </w:rPr>
        <w:lastRenderedPageBreak/>
        <w:t xml:space="preserve">No obstante, este Instituto no tiene certeza de que el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xml:space="preserve"> en ejercicio de sus funciones celebrara contratos para la adquisición de lámparas y bancas, tal y como lo manifiesta el particular; sin embargo, en aras de garantizar el derecho de acceso a la información de la parte </w:t>
      </w:r>
      <w:r w:rsidRPr="00AE33A5">
        <w:rPr>
          <w:rFonts w:ascii="Palatino Linotype" w:eastAsia="Palatino Linotype" w:hAnsi="Palatino Linotype" w:cs="Palatino Linotype"/>
          <w:b/>
          <w:sz w:val="22"/>
          <w:szCs w:val="22"/>
        </w:rPr>
        <w:t>Recurrente</w:t>
      </w:r>
      <w:r w:rsidRPr="00AE33A5">
        <w:rPr>
          <w:rFonts w:ascii="Palatino Linotype" w:eastAsia="Palatino Linotype" w:hAnsi="Palatino Linotype" w:cs="Palatino Linotype"/>
          <w:sz w:val="22"/>
          <w:szCs w:val="22"/>
        </w:rPr>
        <w:t xml:space="preserve">, se ordena al Ayuntamiento de Lerma realizar una nueva búsqueda de la información y haga entrega de los contratos de adquisiciones de muebles o cambio de mobiliario, así como las facturas que acrediten la compra de los muebles o cambio de mobiliario, de la casa de la cultura del primero de enero de dos mil veintidós al seis de agosto de dos mil veinticuatro; y para el caso de que agotada la búsqueda de la información, no cuente con la información por no haberse generado, bastará con que así lo haga del conocimiento de la parte </w:t>
      </w:r>
      <w:r w:rsidRPr="00AE33A5">
        <w:rPr>
          <w:rFonts w:ascii="Palatino Linotype" w:eastAsia="Palatino Linotype" w:hAnsi="Palatino Linotype" w:cs="Palatino Linotype"/>
          <w:b/>
          <w:sz w:val="22"/>
          <w:szCs w:val="22"/>
        </w:rPr>
        <w:t>Recurrente</w:t>
      </w:r>
      <w:r w:rsidRPr="00AE33A5">
        <w:rPr>
          <w:rFonts w:ascii="Palatino Linotype" w:eastAsia="Palatino Linotype" w:hAnsi="Palatino Linotype" w:cs="Palatino Linotype"/>
          <w:sz w:val="22"/>
          <w:szCs w:val="22"/>
        </w:rPr>
        <w:t>, de manera clara y precisa, en términos del artículo 19, párrafo segundo de la Ley de Transparencia y Acceso a la Información pública del Estado de México y Municipios para tener por colmado el requerimiento de información.</w:t>
      </w:r>
    </w:p>
    <w:p w14:paraId="6B80851E"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Ahora bien, respecto a los contratos objeto de la remodelación de las instalaciones de la casa de la cultura del primero de enero de dos mil veintidós al seis de agosto de dos mil veinticuatro, el Director de Obras Públicas hizo del conocimiento que la información de la obra se encuentra disponible para su consulta en la plataforma del IPOMEX en el siguiente link: </w:t>
      </w:r>
      <w:hyperlink r:id="rId22">
        <w:r w:rsidRPr="00AE33A5">
          <w:rPr>
            <w:rFonts w:ascii="Palatino Linotype" w:eastAsia="Palatino Linotype" w:hAnsi="Palatino Linotype" w:cs="Palatino Linotype"/>
            <w:sz w:val="22"/>
            <w:szCs w:val="22"/>
            <w:u w:val="single"/>
          </w:rPr>
          <w:t>https://www.ipomex.org.mx/ipo3/lgt/indice/lerma.web</w:t>
        </w:r>
      </w:hyperlink>
      <w:r w:rsidRPr="00AE33A5">
        <w:rPr>
          <w:rFonts w:ascii="Palatino Linotype" w:eastAsia="Palatino Linotype" w:hAnsi="Palatino Linotype" w:cs="Palatino Linotype"/>
          <w:sz w:val="22"/>
          <w:szCs w:val="22"/>
        </w:rPr>
        <w:t xml:space="preserve">, inconformándose el particular, por no encontrarse completa y actualizada dicha información. </w:t>
      </w:r>
    </w:p>
    <w:p w14:paraId="3C7FC7EF"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De este modo, este Instituto procedió a realizar la consulta de la referida liga electrónica, la cual remite al Portal de Información Pública de Oficio Mexiquense del Sujeto Obligado, tal y como se observa a continuación: </w:t>
      </w:r>
    </w:p>
    <w:p w14:paraId="0D25F55E" w14:textId="77777777" w:rsidR="009D0202" w:rsidRPr="00AE33A5" w:rsidRDefault="00D012ED">
      <w:pPr>
        <w:spacing w:before="240" w:after="240" w:line="360" w:lineRule="auto"/>
        <w:jc w:val="center"/>
        <w:rPr>
          <w:rFonts w:ascii="Palatino Linotype" w:eastAsia="Palatino Linotype" w:hAnsi="Palatino Linotype" w:cs="Palatino Linotype"/>
          <w:sz w:val="22"/>
          <w:szCs w:val="22"/>
        </w:rPr>
      </w:pPr>
      <w:r w:rsidRPr="00AE33A5">
        <w:rPr>
          <w:rFonts w:ascii="Palatino Linotype" w:eastAsia="Palatino Linotype" w:hAnsi="Palatino Linotype" w:cs="Palatino Linotype"/>
          <w:noProof/>
          <w:sz w:val="22"/>
          <w:szCs w:val="22"/>
        </w:rPr>
        <w:lastRenderedPageBreak/>
        <w:drawing>
          <wp:inline distT="0" distB="0" distL="0" distR="0" wp14:anchorId="4E86330E" wp14:editId="0D6177D5">
            <wp:extent cx="3928931" cy="3354823"/>
            <wp:effectExtent l="0" t="0" r="0" b="0"/>
            <wp:docPr id="13276845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3928931" cy="3354823"/>
                    </a:xfrm>
                    <a:prstGeom prst="rect">
                      <a:avLst/>
                    </a:prstGeom>
                    <a:ln/>
                  </pic:spPr>
                </pic:pic>
              </a:graphicData>
            </a:graphic>
          </wp:inline>
        </w:drawing>
      </w:r>
    </w:p>
    <w:p w14:paraId="0442CCF3" w14:textId="77777777" w:rsidR="009D0202" w:rsidRPr="00AE33A5" w:rsidRDefault="00D012ED">
      <w:pPr>
        <w:spacing w:line="360" w:lineRule="auto"/>
        <w:ind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En ese sentido, es importante traer a colación que el artículo 161 de la Ley de Transparencia y Acceso a la Información Pública del Estado de México y Municipios</w:t>
      </w:r>
      <w:r w:rsidRPr="00AE33A5">
        <w:rPr>
          <w:rFonts w:ascii="Palatino Linotype" w:eastAsia="Palatino Linotype" w:hAnsi="Palatino Linotype" w:cs="Palatino Linotype"/>
          <w:i/>
          <w:sz w:val="22"/>
          <w:szCs w:val="22"/>
        </w:rPr>
        <w:t xml:space="preserve">, </w:t>
      </w:r>
      <w:r w:rsidRPr="00AE33A5">
        <w:rPr>
          <w:rFonts w:ascii="Palatino Linotype" w:eastAsia="Palatino Linotype" w:hAnsi="Palatino Linotype" w:cs="Palatino Linotype"/>
          <w:sz w:val="22"/>
          <w:szCs w:val="22"/>
        </w:rPr>
        <w:t xml:space="preserve">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w:t>
      </w:r>
      <w:r w:rsidRPr="00AE33A5">
        <w:rPr>
          <w:rFonts w:ascii="Palatino Linotype" w:eastAsia="Palatino Linotype" w:hAnsi="Palatino Linotype" w:cs="Palatino Linotype"/>
          <w:b/>
          <w:sz w:val="22"/>
          <w:szCs w:val="22"/>
          <w:u w:val="single"/>
        </w:rPr>
        <w:t>en un plazo no mayor a cinco días hábiles</w:t>
      </w:r>
      <w:r w:rsidRPr="00AE33A5">
        <w:rPr>
          <w:rFonts w:ascii="Palatino Linotype" w:eastAsia="Palatino Linotype" w:hAnsi="Palatino Linotype" w:cs="Palatino Linotype"/>
          <w:sz w:val="22"/>
          <w:szCs w:val="22"/>
        </w:rPr>
        <w:t xml:space="preserve">, comprendiendo: </w:t>
      </w:r>
    </w:p>
    <w:p w14:paraId="11BD49CA" w14:textId="77777777" w:rsidR="009D0202" w:rsidRPr="00AE33A5" w:rsidRDefault="009D0202">
      <w:pPr>
        <w:spacing w:line="360" w:lineRule="auto"/>
        <w:ind w:right="49"/>
        <w:jc w:val="both"/>
        <w:rPr>
          <w:rFonts w:ascii="Palatino Linotype" w:eastAsia="Palatino Linotype" w:hAnsi="Palatino Linotype" w:cs="Palatino Linotype"/>
          <w:sz w:val="22"/>
          <w:szCs w:val="22"/>
        </w:rPr>
      </w:pPr>
    </w:p>
    <w:p w14:paraId="25C4971C" w14:textId="77777777" w:rsidR="009D0202" w:rsidRPr="00AE33A5" w:rsidRDefault="00D012ED">
      <w:pPr>
        <w:ind w:left="284"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a) La fuente</w:t>
      </w:r>
    </w:p>
    <w:p w14:paraId="01E5E704" w14:textId="77777777" w:rsidR="009D0202" w:rsidRPr="00AE33A5" w:rsidRDefault="00D012ED">
      <w:pPr>
        <w:ind w:left="284"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b) El lugar y</w:t>
      </w:r>
    </w:p>
    <w:p w14:paraId="6BDC2FC2" w14:textId="77777777" w:rsidR="009D0202" w:rsidRPr="00AE33A5" w:rsidRDefault="00D012ED">
      <w:pPr>
        <w:ind w:left="284"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c) La forma</w:t>
      </w:r>
    </w:p>
    <w:p w14:paraId="7921253A" w14:textId="77777777" w:rsidR="009D0202" w:rsidRPr="00AE33A5" w:rsidRDefault="009D0202">
      <w:pPr>
        <w:spacing w:line="360" w:lineRule="auto"/>
        <w:ind w:left="284" w:right="49"/>
        <w:jc w:val="both"/>
        <w:rPr>
          <w:rFonts w:ascii="Palatino Linotype" w:eastAsia="Palatino Linotype" w:hAnsi="Palatino Linotype" w:cs="Palatino Linotype"/>
          <w:sz w:val="22"/>
          <w:szCs w:val="22"/>
        </w:rPr>
      </w:pPr>
    </w:p>
    <w:p w14:paraId="079E2DAA" w14:textId="77777777" w:rsidR="009D0202" w:rsidRPr="00AE33A5" w:rsidRDefault="00D012ED">
      <w:pPr>
        <w:spacing w:line="360" w:lineRule="auto"/>
        <w:ind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Asimismo, se establece que la fuente de la información deberá ser:</w:t>
      </w:r>
    </w:p>
    <w:p w14:paraId="5A4A9585" w14:textId="77777777" w:rsidR="009D0202" w:rsidRPr="00AE33A5" w:rsidRDefault="009D0202">
      <w:pPr>
        <w:spacing w:line="360" w:lineRule="auto"/>
        <w:ind w:right="49"/>
        <w:jc w:val="both"/>
        <w:rPr>
          <w:rFonts w:ascii="Palatino Linotype" w:eastAsia="Palatino Linotype" w:hAnsi="Palatino Linotype" w:cs="Palatino Linotype"/>
          <w:sz w:val="22"/>
          <w:szCs w:val="22"/>
        </w:rPr>
      </w:pPr>
    </w:p>
    <w:p w14:paraId="7A56E315" w14:textId="77777777" w:rsidR="009D0202" w:rsidRPr="00AE33A5" w:rsidRDefault="00D012ED">
      <w:pPr>
        <w:ind w:left="284"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lastRenderedPageBreak/>
        <w:t>a) Precisa</w:t>
      </w:r>
    </w:p>
    <w:p w14:paraId="72529FAD" w14:textId="77777777" w:rsidR="009D0202" w:rsidRPr="00AE33A5" w:rsidRDefault="00D012ED">
      <w:pPr>
        <w:ind w:left="284"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b) Concreta</w:t>
      </w:r>
    </w:p>
    <w:p w14:paraId="66C4A436" w14:textId="77777777" w:rsidR="009D0202" w:rsidRPr="00AE33A5" w:rsidRDefault="00D012ED">
      <w:pPr>
        <w:spacing w:line="360" w:lineRule="auto"/>
        <w:ind w:left="284" w:right="560"/>
        <w:jc w:val="both"/>
        <w:rPr>
          <w:rFonts w:ascii="Palatino Linotype" w:eastAsia="Palatino Linotype" w:hAnsi="Palatino Linotype" w:cs="Palatino Linotype"/>
          <w:b/>
          <w:sz w:val="22"/>
          <w:szCs w:val="22"/>
          <w:u w:val="single"/>
        </w:rPr>
      </w:pPr>
      <w:r w:rsidRPr="00AE33A5">
        <w:rPr>
          <w:rFonts w:ascii="Palatino Linotype" w:eastAsia="Palatino Linotype" w:hAnsi="Palatino Linotype" w:cs="Palatino Linotype"/>
          <w:b/>
          <w:sz w:val="22"/>
          <w:szCs w:val="22"/>
          <w:u w:val="single"/>
        </w:rPr>
        <w:t>c) Y no debe implicar que el solicitante realice una búsqueda en toda la información que se encuentre disponible.</w:t>
      </w:r>
    </w:p>
    <w:p w14:paraId="20DC88E8" w14:textId="77777777" w:rsidR="009D0202" w:rsidRPr="00AE33A5" w:rsidRDefault="009D0202">
      <w:pPr>
        <w:spacing w:line="360" w:lineRule="auto"/>
        <w:ind w:right="51"/>
        <w:jc w:val="both"/>
        <w:rPr>
          <w:rFonts w:ascii="Palatino Linotype" w:eastAsia="Palatino Linotype" w:hAnsi="Palatino Linotype" w:cs="Palatino Linotype"/>
          <w:sz w:val="22"/>
          <w:szCs w:val="22"/>
        </w:rPr>
      </w:pPr>
    </w:p>
    <w:p w14:paraId="477CE53A" w14:textId="77777777" w:rsidR="009D0202" w:rsidRPr="00AE33A5" w:rsidRDefault="00D012ED">
      <w:pPr>
        <w:spacing w:line="360" w:lineRule="auto"/>
        <w:ind w:right="51"/>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Imperativos legales que detallan el procedimiento que debe seguir el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xml:space="preserve"> para que pueda tomarse como válida su orientación sobre la forma en que puede consultar la información requerida.</w:t>
      </w:r>
    </w:p>
    <w:p w14:paraId="1D72BDB6"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bookmarkStart w:id="9" w:name="_heading=h.1ksv4uv" w:colFirst="0" w:colLast="0"/>
      <w:bookmarkEnd w:id="9"/>
      <w:r w:rsidRPr="00AE33A5">
        <w:rPr>
          <w:rFonts w:ascii="Palatino Linotype" w:eastAsia="Palatino Linotype" w:hAnsi="Palatino Linotype" w:cs="Palatino Linotype"/>
          <w:sz w:val="22"/>
          <w:szCs w:val="22"/>
        </w:rPr>
        <w:t xml:space="preserve">Por lo anterior, debido a que, el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xml:space="preserve"> asume contar con la información al remitir a la liga electrónica en la que se encuentra la información requerida por la parte </w:t>
      </w:r>
      <w:r w:rsidRPr="00AE33A5">
        <w:rPr>
          <w:rFonts w:ascii="Palatino Linotype" w:eastAsia="Palatino Linotype" w:hAnsi="Palatino Linotype" w:cs="Palatino Linotype"/>
          <w:b/>
          <w:sz w:val="22"/>
          <w:szCs w:val="22"/>
        </w:rPr>
        <w:t>Recurrente</w:t>
      </w:r>
      <w:r w:rsidRPr="00AE33A5">
        <w:rPr>
          <w:rFonts w:ascii="Palatino Linotype" w:eastAsia="Palatino Linotype" w:hAnsi="Palatino Linotype" w:cs="Palatino Linotype"/>
          <w:sz w:val="22"/>
          <w:szCs w:val="22"/>
        </w:rPr>
        <w:t xml:space="preserve"> de manera clara y específica; sin embargo, tampoco precisó el procedimiento para obtener la misma, por lo que si bien, el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xml:space="preserve"> remitió la siguiente liga electrónica </w:t>
      </w:r>
      <w:hyperlink r:id="rId24">
        <w:r w:rsidRPr="00AE33A5">
          <w:rPr>
            <w:rFonts w:ascii="Palatino Linotype" w:eastAsia="Palatino Linotype" w:hAnsi="Palatino Linotype" w:cs="Palatino Linotype"/>
            <w:sz w:val="22"/>
            <w:szCs w:val="22"/>
            <w:u w:val="single"/>
          </w:rPr>
          <w:t>https://www.ipomex.org.mx/ipo3/lgt/indice/lerma.web</w:t>
        </w:r>
      </w:hyperlink>
      <w:r w:rsidRPr="00AE33A5">
        <w:rPr>
          <w:rFonts w:ascii="Palatino Linotype" w:eastAsia="Palatino Linotype" w:hAnsi="Palatino Linotype" w:cs="Palatino Linotype"/>
          <w:sz w:val="22"/>
          <w:szCs w:val="22"/>
        </w:rPr>
        <w:t xml:space="preserve">, lo ciento es que de su consulta únicamente se remite al Portal IPOMEX del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xml:space="preserve">, lo que implica que el particular realice la búsqueda de la información en cada una de las fracciones del portal, situación por la que, se determina que el Ayuntamiento de Lerma, no observó lo que dispone el artículo 161 de la Ley en la materia, de modo que sus agravios devienen </w:t>
      </w:r>
      <w:r w:rsidRPr="00AE33A5">
        <w:rPr>
          <w:rFonts w:ascii="Palatino Linotype" w:eastAsia="Palatino Linotype" w:hAnsi="Palatino Linotype" w:cs="Palatino Linotype"/>
          <w:b/>
          <w:sz w:val="22"/>
          <w:szCs w:val="22"/>
        </w:rPr>
        <w:t xml:space="preserve">fundados, </w:t>
      </w:r>
      <w:r w:rsidRPr="00AE33A5">
        <w:rPr>
          <w:rFonts w:ascii="Palatino Linotype" w:eastAsia="Palatino Linotype" w:hAnsi="Palatino Linotype" w:cs="Palatino Linotype"/>
          <w:sz w:val="22"/>
          <w:szCs w:val="22"/>
        </w:rPr>
        <w:t>por lo que</w:t>
      </w:r>
      <w:r w:rsidRPr="00AE33A5">
        <w:rPr>
          <w:rFonts w:ascii="Palatino Linotype" w:eastAsia="Palatino Linotype" w:hAnsi="Palatino Linotype" w:cs="Palatino Linotype"/>
          <w:b/>
          <w:sz w:val="22"/>
          <w:szCs w:val="22"/>
        </w:rPr>
        <w:t xml:space="preserve"> </w:t>
      </w:r>
      <w:r w:rsidRPr="00AE33A5">
        <w:rPr>
          <w:rFonts w:ascii="Palatino Linotype" w:eastAsia="Palatino Linotype" w:hAnsi="Palatino Linotype" w:cs="Palatino Linotype"/>
          <w:sz w:val="22"/>
          <w:szCs w:val="22"/>
        </w:rPr>
        <w:t xml:space="preserve">se considera que, para atender el requerimiento de información, el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xml:space="preserve"> deberá hacer entrega del o los contratos celebrados objeto de la remodelación de las instalaciones de la Casa de la Cultura del primero de enero de dos mil veintidós al seis de agosto de dos mil veinticuatro, en versión pública de ser procedente, conforme al considerando quinto.</w:t>
      </w:r>
    </w:p>
    <w:p w14:paraId="55E4A836" w14:textId="77777777" w:rsidR="009D0202" w:rsidRPr="00AE33A5" w:rsidRDefault="00D012ED">
      <w:pPr>
        <w:numPr>
          <w:ilvl w:val="0"/>
          <w:numId w:val="6"/>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t xml:space="preserve">El presupuesto asignado para los servicios generales de la casa de la cultura correspondiente a los años 2022 al 2024 y cómo ha sido asignado/usado cada recurso durante su ejercicio fiscal. </w:t>
      </w:r>
    </w:p>
    <w:p w14:paraId="40160931" w14:textId="77777777" w:rsidR="009D0202" w:rsidRPr="00AE33A5" w:rsidRDefault="00D012ED">
      <w:pPr>
        <w:numPr>
          <w:ilvl w:val="0"/>
          <w:numId w:val="6"/>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lastRenderedPageBreak/>
        <w:t>Nombres de las personas encargadas de ejercer el presupuesto y los montos de gasto durante meses o años que expliquen el uso de ese recurso público.</w:t>
      </w:r>
    </w:p>
    <w:p w14:paraId="286B7405" w14:textId="77777777" w:rsidR="009D0202" w:rsidRPr="00AE33A5" w:rsidRDefault="00D012ED">
      <w:pPr>
        <w:spacing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En respuesta el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xml:space="preserve"> a través del Tesorero Municipal señaló que la Tesorería no cuenta con la información requerida en los términos planteados, toda vez que las partidas del presupuesto de egresos son asignadas por unidades administrativas y no así por dependencias o inmuebles, y menos aún por servidores públicos, razón por la cual no es posible atender favorablemente la solicitud del peticionario.</w:t>
      </w:r>
    </w:p>
    <w:p w14:paraId="3D4EA7C7" w14:textId="77777777" w:rsidR="009D0202" w:rsidRPr="00AE33A5" w:rsidRDefault="009D0202">
      <w:pPr>
        <w:spacing w:line="360" w:lineRule="auto"/>
        <w:jc w:val="both"/>
        <w:rPr>
          <w:rFonts w:ascii="Palatino Linotype" w:eastAsia="Palatino Linotype" w:hAnsi="Palatino Linotype" w:cs="Palatino Linotype"/>
          <w:sz w:val="22"/>
          <w:szCs w:val="22"/>
        </w:rPr>
      </w:pPr>
    </w:p>
    <w:p w14:paraId="0D874D78" w14:textId="77777777" w:rsidR="009D0202" w:rsidRPr="00AE33A5" w:rsidRDefault="00D012E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Ahora bien, este Instituto procede a verificar el Marco Normativo que faculta o no al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xml:space="preserve"> para dotar de la información requerida por la persona solicitante, advirtiendo lo siguiente: </w:t>
      </w:r>
    </w:p>
    <w:p w14:paraId="1AB3B5B6" w14:textId="77777777" w:rsidR="009D0202" w:rsidRPr="00AE33A5" w:rsidRDefault="009D0202">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7B4EB4AC" w14:textId="77777777" w:rsidR="009D0202" w:rsidRPr="00AE33A5" w:rsidRDefault="00D012ED">
      <w:pPr>
        <w:pBdr>
          <w:top w:val="nil"/>
          <w:left w:val="nil"/>
          <w:bottom w:val="nil"/>
          <w:right w:val="nil"/>
          <w:between w:val="nil"/>
        </w:pBdr>
        <w:spacing w:line="276" w:lineRule="auto"/>
        <w:ind w:left="851" w:right="616"/>
        <w:jc w:val="center"/>
        <w:rPr>
          <w:rFonts w:ascii="Palatino Linotype" w:eastAsia="Palatino Linotype" w:hAnsi="Palatino Linotype" w:cs="Palatino Linotype"/>
          <w:b/>
          <w:i/>
          <w:sz w:val="22"/>
          <w:szCs w:val="22"/>
        </w:rPr>
      </w:pPr>
      <w:r w:rsidRPr="00AE33A5">
        <w:rPr>
          <w:rFonts w:ascii="Palatino Linotype" w:eastAsia="Palatino Linotype" w:hAnsi="Palatino Linotype" w:cs="Palatino Linotype"/>
          <w:b/>
          <w:i/>
          <w:sz w:val="22"/>
          <w:szCs w:val="22"/>
        </w:rPr>
        <w:t>LEY ORGÁNICA MUNICIPAL DEL ESTADO DE MÉXICO</w:t>
      </w:r>
    </w:p>
    <w:p w14:paraId="1576151C" w14:textId="77777777" w:rsidR="009D0202" w:rsidRPr="00AE33A5" w:rsidRDefault="00D012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TITULO IV Régimen Administrativo </w:t>
      </w:r>
    </w:p>
    <w:p w14:paraId="6E1498ED" w14:textId="77777777" w:rsidR="009D0202" w:rsidRPr="00AE33A5" w:rsidRDefault="00D012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CAPITULO PRIMERO De las Dependencias Administrativas</w:t>
      </w:r>
    </w:p>
    <w:p w14:paraId="273BC06C" w14:textId="77777777" w:rsidR="009D0202" w:rsidRPr="00AE33A5" w:rsidRDefault="00D012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b/>
          <w:i/>
          <w:sz w:val="22"/>
          <w:szCs w:val="22"/>
        </w:rPr>
        <w:t>Artículo 87.-</w:t>
      </w:r>
      <w:r w:rsidRPr="00AE33A5">
        <w:rPr>
          <w:rFonts w:ascii="Palatino Linotype" w:eastAsia="Palatino Linotype" w:hAnsi="Palatino Linotype" w:cs="Palatino Linotype"/>
          <w:i/>
          <w:sz w:val="22"/>
          <w:szCs w:val="22"/>
        </w:rPr>
        <w:t xml:space="preserve"> Para el despacho, estudio y planeación de los diversos asuntos de la administración municipal, el ayuntamiento contará por lo menos con las siguientes Dependencias: </w:t>
      </w:r>
    </w:p>
    <w:p w14:paraId="3A51C0AF" w14:textId="77777777" w:rsidR="009D0202" w:rsidRPr="00AE33A5" w:rsidRDefault="00D012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w:t>
      </w:r>
    </w:p>
    <w:p w14:paraId="6D59BE0E" w14:textId="77777777" w:rsidR="009D0202" w:rsidRPr="00AE33A5" w:rsidRDefault="00D012ED">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AE33A5">
        <w:rPr>
          <w:rFonts w:ascii="Palatino Linotype" w:eastAsia="Palatino Linotype" w:hAnsi="Palatino Linotype" w:cs="Palatino Linotype"/>
          <w:b/>
          <w:i/>
          <w:sz w:val="22"/>
          <w:szCs w:val="22"/>
        </w:rPr>
        <w:t>II. La tesorería municipal.</w:t>
      </w:r>
    </w:p>
    <w:p w14:paraId="26DD200A" w14:textId="77777777" w:rsidR="009D0202" w:rsidRPr="00AE33A5" w:rsidRDefault="00D012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w:t>
      </w:r>
    </w:p>
    <w:p w14:paraId="0C22EA57" w14:textId="77777777" w:rsidR="009D0202" w:rsidRPr="00AE33A5" w:rsidRDefault="00D012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CAPITULO SEGUNDO De la Tesorería Municipal </w:t>
      </w:r>
    </w:p>
    <w:p w14:paraId="3284C2C1" w14:textId="77777777" w:rsidR="009D0202" w:rsidRPr="00AE33A5" w:rsidRDefault="00D012ED">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AE33A5">
        <w:rPr>
          <w:rFonts w:ascii="Palatino Linotype" w:eastAsia="Palatino Linotype" w:hAnsi="Palatino Linotype" w:cs="Palatino Linotype"/>
          <w:b/>
          <w:i/>
          <w:sz w:val="22"/>
          <w:szCs w:val="22"/>
        </w:rPr>
        <w:t>Artículo 93.- La tesorería municipal es el órgano encargado de la recaudación de los ingresos municipales y responsable de realizar las erogaciones que haga el ayuntamiento.</w:t>
      </w:r>
    </w:p>
    <w:p w14:paraId="2A3033F7" w14:textId="77777777" w:rsidR="009D0202" w:rsidRPr="00AE33A5" w:rsidRDefault="009D0202">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p>
    <w:p w14:paraId="16465A02" w14:textId="77777777" w:rsidR="009D0202" w:rsidRPr="00AE33A5" w:rsidRDefault="00D012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b/>
          <w:i/>
          <w:sz w:val="22"/>
          <w:szCs w:val="22"/>
        </w:rPr>
        <w:t>Artículo 95.-</w:t>
      </w:r>
      <w:r w:rsidRPr="00AE33A5">
        <w:rPr>
          <w:rFonts w:ascii="Palatino Linotype" w:eastAsia="Palatino Linotype" w:hAnsi="Palatino Linotype" w:cs="Palatino Linotype"/>
          <w:i/>
          <w:sz w:val="22"/>
          <w:szCs w:val="22"/>
        </w:rPr>
        <w:t xml:space="preserve"> Son atribuciones del </w:t>
      </w:r>
      <w:r w:rsidRPr="00AE33A5">
        <w:rPr>
          <w:rFonts w:ascii="Palatino Linotype" w:eastAsia="Palatino Linotype" w:hAnsi="Palatino Linotype" w:cs="Palatino Linotype"/>
          <w:b/>
          <w:i/>
          <w:sz w:val="22"/>
          <w:szCs w:val="22"/>
        </w:rPr>
        <w:t>tesorero municipal</w:t>
      </w:r>
      <w:r w:rsidRPr="00AE33A5">
        <w:rPr>
          <w:rFonts w:ascii="Palatino Linotype" w:eastAsia="Palatino Linotype" w:hAnsi="Palatino Linotype" w:cs="Palatino Linotype"/>
          <w:i/>
          <w:sz w:val="22"/>
          <w:szCs w:val="22"/>
        </w:rPr>
        <w:t xml:space="preserve">: </w:t>
      </w:r>
    </w:p>
    <w:p w14:paraId="23F7B8F3" w14:textId="77777777" w:rsidR="009D0202" w:rsidRPr="00AE33A5" w:rsidRDefault="00D012ED">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AE33A5">
        <w:rPr>
          <w:rFonts w:ascii="Palatino Linotype" w:eastAsia="Palatino Linotype" w:hAnsi="Palatino Linotype" w:cs="Palatino Linotype"/>
          <w:b/>
          <w:i/>
          <w:sz w:val="22"/>
          <w:szCs w:val="22"/>
        </w:rPr>
        <w:t xml:space="preserve">I. Administrar la hacienda pública municipal, de conformidad con las disposiciones legales aplicables; </w:t>
      </w:r>
    </w:p>
    <w:p w14:paraId="717EFAEC" w14:textId="77777777" w:rsidR="009D0202" w:rsidRPr="00AE33A5" w:rsidRDefault="00D012ED">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AE33A5">
        <w:rPr>
          <w:rFonts w:ascii="Palatino Linotype" w:eastAsia="Palatino Linotype" w:hAnsi="Palatino Linotype" w:cs="Palatino Linotype"/>
          <w:b/>
          <w:i/>
          <w:sz w:val="22"/>
          <w:szCs w:val="22"/>
        </w:rPr>
        <w:t>(…)</w:t>
      </w:r>
    </w:p>
    <w:p w14:paraId="2F6D15DD" w14:textId="77777777" w:rsidR="009D0202" w:rsidRPr="00AE33A5" w:rsidRDefault="00D012ED">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AE33A5">
        <w:rPr>
          <w:rFonts w:ascii="Palatino Linotype" w:eastAsia="Palatino Linotype" w:hAnsi="Palatino Linotype" w:cs="Palatino Linotype"/>
          <w:b/>
          <w:i/>
          <w:sz w:val="22"/>
          <w:szCs w:val="22"/>
        </w:rPr>
        <w:lastRenderedPageBreak/>
        <w:t>IV. Llevar los registros contables, financieros y administrativos de los ingresos, egresos, e inventarios;</w:t>
      </w:r>
    </w:p>
    <w:p w14:paraId="06EC88F2" w14:textId="77777777" w:rsidR="009D0202" w:rsidRPr="00AE33A5" w:rsidRDefault="00D012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w:t>
      </w:r>
    </w:p>
    <w:p w14:paraId="3B4E4E3B" w14:textId="77777777" w:rsidR="009D0202" w:rsidRPr="00AE33A5" w:rsidRDefault="00D012ED">
      <w:pPr>
        <w:pBdr>
          <w:top w:val="nil"/>
          <w:left w:val="nil"/>
          <w:bottom w:val="nil"/>
          <w:right w:val="nil"/>
          <w:between w:val="nil"/>
        </w:pBdr>
        <w:spacing w:line="276" w:lineRule="auto"/>
        <w:ind w:left="851" w:right="616"/>
        <w:jc w:val="center"/>
        <w:rPr>
          <w:rFonts w:ascii="Palatino Linotype" w:eastAsia="Palatino Linotype" w:hAnsi="Palatino Linotype" w:cs="Palatino Linotype"/>
          <w:b/>
          <w:i/>
          <w:sz w:val="22"/>
          <w:szCs w:val="22"/>
        </w:rPr>
      </w:pPr>
      <w:r w:rsidRPr="00AE33A5">
        <w:rPr>
          <w:rFonts w:ascii="Palatino Linotype" w:eastAsia="Palatino Linotype" w:hAnsi="Palatino Linotype" w:cs="Palatino Linotype"/>
          <w:b/>
          <w:i/>
          <w:sz w:val="22"/>
          <w:szCs w:val="22"/>
        </w:rPr>
        <w:t>BANDO MUNICIPAL DE LERMA 2024</w:t>
      </w:r>
    </w:p>
    <w:p w14:paraId="461C0E9E" w14:textId="77777777" w:rsidR="009D0202" w:rsidRPr="00AE33A5" w:rsidRDefault="00D012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CAPÍTULO III De la Tesorería Municipal</w:t>
      </w:r>
    </w:p>
    <w:p w14:paraId="3D698D6E" w14:textId="77777777" w:rsidR="009D0202" w:rsidRPr="00AE33A5" w:rsidRDefault="00D012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b/>
          <w:i/>
          <w:sz w:val="22"/>
          <w:szCs w:val="22"/>
        </w:rPr>
        <w:t xml:space="preserve">Artículo 154. </w:t>
      </w:r>
      <w:r w:rsidRPr="00AE33A5">
        <w:rPr>
          <w:rFonts w:ascii="Palatino Linotype" w:eastAsia="Palatino Linotype" w:hAnsi="Palatino Linotype" w:cs="Palatino Linotype"/>
          <w:i/>
          <w:sz w:val="22"/>
          <w:szCs w:val="22"/>
        </w:rPr>
        <w:t>La Tesorería Municipal es el órgano encargado de la recaudación de los ingresos municipales y de los derivados de la suscripción de convenios, así como responsable de realizar las erogaciones que haga el municipio de conformidad con las disposiciones legales aplicables.</w:t>
      </w:r>
    </w:p>
    <w:p w14:paraId="15637A1F" w14:textId="77777777" w:rsidR="009D0202" w:rsidRPr="00AE33A5" w:rsidRDefault="00D012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w:t>
      </w:r>
    </w:p>
    <w:p w14:paraId="2450C3D7" w14:textId="77777777" w:rsidR="009D0202" w:rsidRPr="00AE33A5" w:rsidRDefault="00D012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b/>
          <w:i/>
          <w:sz w:val="22"/>
          <w:szCs w:val="22"/>
        </w:rPr>
        <w:t>Artículo 156.</w:t>
      </w:r>
      <w:r w:rsidRPr="00AE33A5">
        <w:rPr>
          <w:rFonts w:ascii="Palatino Linotype" w:eastAsia="Palatino Linotype" w:hAnsi="Palatino Linotype" w:cs="Palatino Linotype"/>
          <w:i/>
          <w:sz w:val="22"/>
          <w:szCs w:val="22"/>
        </w:rPr>
        <w:t xml:space="preserve"> El titular de la Tesorería gestionará ante Cabildo el apego a las reformas fiscales vigentes en todo lo que convenga a la hacienda municipal de acuerdo a las políticas de contención del gasto e incremento de recaudación u obtención de recursos financieros, siempre y cuando no se cause daño al erario público.</w:t>
      </w:r>
      <w:r w:rsidRPr="00AE33A5">
        <w:rPr>
          <w:rFonts w:ascii="Palatino Linotype" w:eastAsia="Palatino Linotype" w:hAnsi="Palatino Linotype" w:cs="Palatino Linotype"/>
          <w:i/>
          <w:sz w:val="22"/>
          <w:szCs w:val="22"/>
        </w:rPr>
        <w:br/>
        <w:t xml:space="preserve"> (…)</w:t>
      </w:r>
    </w:p>
    <w:p w14:paraId="4975DB02" w14:textId="77777777" w:rsidR="009D0202" w:rsidRPr="00AE33A5" w:rsidRDefault="009D0202">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495FB5A4" w14:textId="77777777" w:rsidR="009D0202" w:rsidRPr="00AE33A5" w:rsidRDefault="00D012E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En esa inteligencia, es dable señalar que el Ayuntamiento de Lerma es competente para dar contestación al presente requerimiento. Ahora bien, en atención a ello, este Instituto consultó el portal del Consejo Nacional de Armonización Contable (CONAC) en su apartado de Municipios, específicamente en la cuenta pública del Ayuntamiento de Lerma, en la que se advierte que para el año dos mil veintidós, dentro del Estado Analítico del Ejercicio del Presupuesto de Egresos, la casa de la cultura si contaba con un presupuesto aprobado y ejercido, tal y como se observa a continuación: </w:t>
      </w:r>
    </w:p>
    <w:p w14:paraId="77C82D37" w14:textId="77777777" w:rsidR="009D0202" w:rsidRPr="00AE33A5" w:rsidRDefault="00D012ED">
      <w:pPr>
        <w:spacing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noProof/>
          <w:sz w:val="22"/>
          <w:szCs w:val="22"/>
        </w:rPr>
        <w:lastRenderedPageBreak/>
        <w:drawing>
          <wp:inline distT="0" distB="0" distL="0" distR="0" wp14:anchorId="6F3ECE63" wp14:editId="5780AC04">
            <wp:extent cx="5612130" cy="2263140"/>
            <wp:effectExtent l="0" t="0" r="0" b="0"/>
            <wp:docPr id="132768458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612130" cy="2263140"/>
                    </a:xfrm>
                    <a:prstGeom prst="rect">
                      <a:avLst/>
                    </a:prstGeom>
                    <a:ln/>
                  </pic:spPr>
                </pic:pic>
              </a:graphicData>
            </a:graphic>
          </wp:inline>
        </w:drawing>
      </w:r>
    </w:p>
    <w:p w14:paraId="557B929C" w14:textId="77777777" w:rsidR="009D0202" w:rsidRPr="00AE33A5" w:rsidRDefault="00D012ED">
      <w:pPr>
        <w:spacing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noProof/>
          <w:sz w:val="22"/>
          <w:szCs w:val="22"/>
        </w:rPr>
        <w:drawing>
          <wp:inline distT="0" distB="0" distL="0" distR="0" wp14:anchorId="7E53FF9F" wp14:editId="778285B9">
            <wp:extent cx="5612130" cy="153670"/>
            <wp:effectExtent l="0" t="0" r="0" b="0"/>
            <wp:docPr id="13276845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612130" cy="153670"/>
                    </a:xfrm>
                    <a:prstGeom prst="rect">
                      <a:avLst/>
                    </a:prstGeom>
                    <a:ln/>
                  </pic:spPr>
                </pic:pic>
              </a:graphicData>
            </a:graphic>
          </wp:inline>
        </w:drawing>
      </w:r>
    </w:p>
    <w:p w14:paraId="00B45FCA"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bookmarkStart w:id="10" w:name="_heading=h.44sinio" w:colFirst="0" w:colLast="0"/>
      <w:bookmarkEnd w:id="10"/>
      <w:r w:rsidRPr="00AE33A5">
        <w:rPr>
          <w:rFonts w:ascii="Palatino Linotype" w:eastAsia="Palatino Linotype" w:hAnsi="Palatino Linotype" w:cs="Palatino Linotype"/>
          <w:sz w:val="22"/>
          <w:szCs w:val="22"/>
        </w:rPr>
        <w:t xml:space="preserve">De lo anterior, resulta claro que el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xml:space="preserve"> genera, posee y administra la información en ejercicio de sus funciones; por lo que, se ordena haga entrega del documento en donde conste el presupuesto asignado para la casa de la cultura, correspondiente del primero de enero de dos mil veintidós al seis de agosto de dos mil veinticuatro.</w:t>
      </w:r>
    </w:p>
    <w:p w14:paraId="22CB7830"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Ahora bien, respecto al nombre de las personas encargadas de ejercer el presupuesto y los montos de gasto, el Manual de Organización del Ayuntamiento de Lerma, señala que el Tesorero Municipal tiene como objetivo organizar y eficientar los recursos materiales y financieros aplicándolos directamente a la satisfacción de las necesidades municipales, logrando mantener la estabilidad en la administración y el cumplimiento de las disposiciones legales aplicables. Sanear las finanzas municipales a través de un manejo claro y eficiente, destinando los recursos públicos en las demandas y necesidades del municipio.</w:t>
      </w:r>
    </w:p>
    <w:p w14:paraId="72CE9EEE"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Planear la integración, aplicación y distribución de los Recursos Financieros, con base en el presupuesto autorizado a cada dependencia, controlando su adecuado ejercicio y establecimiento de las medidas necesarias para la operación de los programas de inversión y gasto corriente, así como para el pago de bienes y servicios.</w:t>
      </w:r>
    </w:p>
    <w:p w14:paraId="7BB3FF77"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lastRenderedPageBreak/>
        <w:t xml:space="preserve">En ese sentido el Bando Municipal establece en su artículo 31 que el Ayuntamiento se auxiliara de una Dirección de Cultura, mientras que el artículo 71 señala que la Administración Pública Municipal, a través de la unidad correspondiente, realizará acciones que permitan reconocer, preservar y difundir el patrimonio cultural, material, inmaterial, biocultural, artístico e histórico del municipio de Lerma, así como propiciar los espacios de encuentro y diálogo entre la cultura, el arte, la historia y las personas, finalmente el artículo 72 señala que para la promoción de la cultura, el Ayuntamiento de Lerma cuenta con Casas de Cultura. </w:t>
      </w:r>
    </w:p>
    <w:p w14:paraId="435C6926"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bookmarkStart w:id="11" w:name="_heading=h.2jxsxqh" w:colFirst="0" w:colLast="0"/>
      <w:bookmarkEnd w:id="11"/>
      <w:r w:rsidRPr="00AE33A5">
        <w:rPr>
          <w:rFonts w:ascii="Palatino Linotype" w:eastAsia="Palatino Linotype" w:hAnsi="Palatino Linotype" w:cs="Palatino Linotype"/>
          <w:sz w:val="22"/>
          <w:szCs w:val="22"/>
        </w:rPr>
        <w:t>En esa misma Tesitura, el Manual de Organización establece que la Coordinación Municipal de Arte y Cultura tiene como objetivo fomentar y desarrollar el arte y la cultura en el municipio de Lerma, mediante el buen funcionamiento de la Coordinación; asimismo, señala que cuenta con la función de administrar, coordinar y conservar los espacios culturales; por lo que, este Órgano Garante advierte de manera enunciativa más no limitativa el personal encargado de ejercer el presupuesto y el monto de los gastos es el propio Director de Cultura, que es la persona que administra los espacios culturales; por lo que, se ordena haga entrega del documento en donde conste el nombre del o los servidores públicos encargados del presupuesto asignado a la casa de la cultura, del primero de enero de dos mil veintidós al seis de agosto de dos mil veinticuatro.</w:t>
      </w:r>
    </w:p>
    <w:p w14:paraId="4B3AA674" w14:textId="77777777" w:rsidR="009D0202" w:rsidRPr="00AE33A5" w:rsidRDefault="00D012ED">
      <w:pPr>
        <w:numPr>
          <w:ilvl w:val="0"/>
          <w:numId w:val="7"/>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t xml:space="preserve">Personal adscrito a nómina de la casa de la cultura de los años 2022 al 2024. </w:t>
      </w:r>
    </w:p>
    <w:p w14:paraId="24108D34" w14:textId="77777777" w:rsidR="009D0202" w:rsidRPr="00AE33A5" w:rsidRDefault="00D012ED">
      <w:pPr>
        <w:numPr>
          <w:ilvl w:val="0"/>
          <w:numId w:val="7"/>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t xml:space="preserve">El sueldo de todas las personas que trabajan en la casa de la cultura desde el alto rango al menor. </w:t>
      </w:r>
    </w:p>
    <w:p w14:paraId="2A05CE4C" w14:textId="77777777" w:rsidR="009D0202" w:rsidRPr="00AE33A5" w:rsidRDefault="00D012ED">
      <w:pPr>
        <w:numPr>
          <w:ilvl w:val="0"/>
          <w:numId w:val="7"/>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t xml:space="preserve">El grado académico del personal de la casa de la cultura. </w:t>
      </w:r>
    </w:p>
    <w:p w14:paraId="3BC7FB3F"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Respecto a estos puntos, el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xml:space="preserve"> a través del Director de Administración y el Coordinador de Recursos Humanos informó que después de realizar una búsqueda </w:t>
      </w:r>
      <w:r w:rsidRPr="00AE33A5">
        <w:rPr>
          <w:rFonts w:ascii="Palatino Linotype" w:eastAsia="Palatino Linotype" w:hAnsi="Palatino Linotype" w:cs="Palatino Linotype"/>
          <w:sz w:val="22"/>
          <w:szCs w:val="22"/>
        </w:rPr>
        <w:lastRenderedPageBreak/>
        <w:t xml:space="preserve">exhaustiva en su base de datos, da cuenta de cinco servidores públicos, el sueldo y el grado de estudio que ostentan, tal y como se observa a continuación: </w:t>
      </w:r>
    </w:p>
    <w:p w14:paraId="01FE7E3A" w14:textId="77777777" w:rsidR="009D0202" w:rsidRPr="00AE33A5" w:rsidRDefault="00D012ED">
      <w:pPr>
        <w:spacing w:before="240" w:after="240" w:line="360" w:lineRule="auto"/>
        <w:jc w:val="center"/>
        <w:rPr>
          <w:rFonts w:ascii="Palatino Linotype" w:eastAsia="Palatino Linotype" w:hAnsi="Palatino Linotype" w:cs="Palatino Linotype"/>
          <w:sz w:val="22"/>
          <w:szCs w:val="22"/>
        </w:rPr>
      </w:pPr>
      <w:r w:rsidRPr="00AE33A5">
        <w:rPr>
          <w:rFonts w:ascii="Palatino Linotype" w:eastAsia="Palatino Linotype" w:hAnsi="Palatino Linotype" w:cs="Palatino Linotype"/>
          <w:noProof/>
          <w:sz w:val="22"/>
          <w:szCs w:val="22"/>
        </w:rPr>
        <w:drawing>
          <wp:inline distT="0" distB="0" distL="0" distR="0" wp14:anchorId="6550F9EC" wp14:editId="6E90CC57">
            <wp:extent cx="4698088" cy="1193951"/>
            <wp:effectExtent l="0" t="0" r="0" b="0"/>
            <wp:docPr id="132768458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4698088" cy="1193951"/>
                    </a:xfrm>
                    <a:prstGeom prst="rect">
                      <a:avLst/>
                    </a:prstGeom>
                    <a:ln/>
                  </pic:spPr>
                </pic:pic>
              </a:graphicData>
            </a:graphic>
          </wp:inline>
        </w:drawing>
      </w:r>
    </w:p>
    <w:p w14:paraId="1B3D1E7C"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Adoleciéndose de la respuesta, el particular expreso su inconformidad en la que medularmente señaló que la información se encontraba incompleta, toda vez que en la casa de cultura laboran cerca de 15 personas. </w:t>
      </w:r>
    </w:p>
    <w:p w14:paraId="12C7435C"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Dicho lo anterior, este Instituto realizó una búsqueda dentro del Portal de Información Pública de Oficio Mexiquense, encontrando dos servidoras públicas que no se encuentran dentro del Listado remitido en respuesta por las unidades administrativas competentes, tal y como se puede observar en la siguiente imagen: </w:t>
      </w:r>
    </w:p>
    <w:p w14:paraId="016FCF68" w14:textId="77777777" w:rsidR="009D0202" w:rsidRPr="00AE33A5" w:rsidRDefault="00D012ED">
      <w:pPr>
        <w:spacing w:before="240" w:after="240" w:line="360" w:lineRule="auto"/>
        <w:jc w:val="center"/>
        <w:rPr>
          <w:rFonts w:ascii="Palatino Linotype" w:eastAsia="Palatino Linotype" w:hAnsi="Palatino Linotype" w:cs="Palatino Linotype"/>
          <w:sz w:val="22"/>
          <w:szCs w:val="22"/>
        </w:rPr>
      </w:pPr>
      <w:r w:rsidRPr="00AE33A5">
        <w:rPr>
          <w:rFonts w:ascii="Palatino Linotype" w:eastAsia="Palatino Linotype" w:hAnsi="Palatino Linotype" w:cs="Palatino Linotype"/>
          <w:noProof/>
          <w:sz w:val="22"/>
          <w:szCs w:val="22"/>
        </w:rPr>
        <w:lastRenderedPageBreak/>
        <w:drawing>
          <wp:inline distT="0" distB="0" distL="0" distR="0" wp14:anchorId="43FC1E3D" wp14:editId="3A20F515">
            <wp:extent cx="5255139" cy="3402114"/>
            <wp:effectExtent l="0" t="0" r="0" b="0"/>
            <wp:docPr id="132768458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l="7771" r="5976" b="1316"/>
                    <a:stretch>
                      <a:fillRect/>
                    </a:stretch>
                  </pic:blipFill>
                  <pic:spPr>
                    <a:xfrm>
                      <a:off x="0" y="0"/>
                      <a:ext cx="5255139" cy="3402114"/>
                    </a:xfrm>
                    <a:prstGeom prst="rect">
                      <a:avLst/>
                    </a:prstGeom>
                    <a:ln/>
                  </pic:spPr>
                </pic:pic>
              </a:graphicData>
            </a:graphic>
          </wp:inline>
        </w:drawing>
      </w:r>
      <w:r w:rsidRPr="00AE33A5">
        <w:rPr>
          <w:noProof/>
        </w:rPr>
        <mc:AlternateContent>
          <mc:Choice Requires="wpg">
            <w:drawing>
              <wp:anchor distT="0" distB="0" distL="114300" distR="114300" simplePos="0" relativeHeight="251661312" behindDoc="0" locked="0" layoutInCell="1" hidden="0" allowOverlap="1" wp14:anchorId="1D670830" wp14:editId="14B1DFF3">
                <wp:simplePos x="0" y="0"/>
                <wp:positionH relativeFrom="column">
                  <wp:posOffset>355600</wp:posOffset>
                </wp:positionH>
                <wp:positionV relativeFrom="paragraph">
                  <wp:posOffset>1282700</wp:posOffset>
                </wp:positionV>
                <wp:extent cx="4905375" cy="542925"/>
                <wp:effectExtent l="0" t="0" r="0" b="0"/>
                <wp:wrapNone/>
                <wp:docPr id="1327684565" name="Rectángulo 1327684565"/>
                <wp:cNvGraphicFramePr/>
                <a:graphic xmlns:a="http://schemas.openxmlformats.org/drawingml/2006/main">
                  <a:graphicData uri="http://schemas.microsoft.com/office/word/2010/wordprocessingShape">
                    <wps:wsp>
                      <wps:cNvSpPr/>
                      <wps:spPr>
                        <a:xfrm>
                          <a:off x="2902838" y="3518063"/>
                          <a:ext cx="4886325" cy="523875"/>
                        </a:xfrm>
                        <a:prstGeom prst="rect">
                          <a:avLst/>
                        </a:prstGeom>
                        <a:noFill/>
                        <a:ln w="19050" cap="flat" cmpd="sng">
                          <a:solidFill>
                            <a:srgbClr val="FF0000"/>
                          </a:solidFill>
                          <a:prstDash val="solid"/>
                          <a:round/>
                          <a:headEnd type="none" w="sm" len="sm"/>
                          <a:tailEnd type="none" w="sm" len="sm"/>
                        </a:ln>
                      </wps:spPr>
                      <wps:txbx>
                        <w:txbxContent>
                          <w:p w14:paraId="0A8BA695" w14:textId="77777777" w:rsidR="009D0202" w:rsidRDefault="009D0202">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355600</wp:posOffset>
                </wp:positionH>
                <wp:positionV relativeFrom="paragraph">
                  <wp:posOffset>1282700</wp:posOffset>
                </wp:positionV>
                <wp:extent cx="4905375" cy="542925"/>
                <wp:effectExtent b="0" l="0" r="0" t="0"/>
                <wp:wrapNone/>
                <wp:docPr id="1327684565" name="image23.png"/>
                <a:graphic>
                  <a:graphicData uri="http://schemas.openxmlformats.org/drawingml/2006/picture">
                    <pic:pic>
                      <pic:nvPicPr>
                        <pic:cNvPr id="0" name="image23.png"/>
                        <pic:cNvPicPr preferRelativeResize="0"/>
                      </pic:nvPicPr>
                      <pic:blipFill>
                        <a:blip r:embed="rId29"/>
                        <a:srcRect/>
                        <a:stretch>
                          <a:fillRect/>
                        </a:stretch>
                      </pic:blipFill>
                      <pic:spPr>
                        <a:xfrm>
                          <a:off x="0" y="0"/>
                          <a:ext cx="4905375" cy="542925"/>
                        </a:xfrm>
                        <a:prstGeom prst="rect"/>
                        <a:ln/>
                      </pic:spPr>
                    </pic:pic>
                  </a:graphicData>
                </a:graphic>
              </wp:anchor>
            </w:drawing>
          </mc:Fallback>
        </mc:AlternateContent>
      </w:r>
    </w:p>
    <w:p w14:paraId="397477FD" w14:textId="77777777" w:rsidR="009D0202" w:rsidRPr="00AE33A5" w:rsidRDefault="00D012ED">
      <w:pPr>
        <w:spacing w:before="240" w:after="240" w:line="360" w:lineRule="auto"/>
        <w:jc w:val="center"/>
        <w:rPr>
          <w:rFonts w:ascii="Palatino Linotype" w:eastAsia="Palatino Linotype" w:hAnsi="Palatino Linotype" w:cs="Palatino Linotype"/>
          <w:sz w:val="22"/>
          <w:szCs w:val="22"/>
        </w:rPr>
      </w:pPr>
      <w:r w:rsidRPr="00AE33A5">
        <w:rPr>
          <w:rFonts w:ascii="Palatino Linotype" w:eastAsia="Palatino Linotype" w:hAnsi="Palatino Linotype" w:cs="Palatino Linotype"/>
          <w:noProof/>
          <w:sz w:val="22"/>
          <w:szCs w:val="22"/>
        </w:rPr>
        <w:drawing>
          <wp:inline distT="0" distB="0" distL="0" distR="0" wp14:anchorId="06E91DD6" wp14:editId="382A42D4">
            <wp:extent cx="5612130" cy="1508125"/>
            <wp:effectExtent l="0" t="0" r="0" b="0"/>
            <wp:docPr id="132768458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5612130" cy="1508125"/>
                    </a:xfrm>
                    <a:prstGeom prst="rect">
                      <a:avLst/>
                    </a:prstGeom>
                    <a:ln/>
                  </pic:spPr>
                </pic:pic>
              </a:graphicData>
            </a:graphic>
          </wp:inline>
        </w:drawing>
      </w:r>
      <w:r w:rsidRPr="00AE33A5">
        <w:rPr>
          <w:noProof/>
        </w:rPr>
        <mc:AlternateContent>
          <mc:Choice Requires="wpg">
            <w:drawing>
              <wp:anchor distT="0" distB="0" distL="114300" distR="114300" simplePos="0" relativeHeight="251662336" behindDoc="0" locked="0" layoutInCell="1" hidden="0" allowOverlap="1" wp14:anchorId="48529FAC" wp14:editId="24C46F77">
                <wp:simplePos x="0" y="0"/>
                <wp:positionH relativeFrom="column">
                  <wp:posOffset>2768600</wp:posOffset>
                </wp:positionH>
                <wp:positionV relativeFrom="paragraph">
                  <wp:posOffset>596900</wp:posOffset>
                </wp:positionV>
                <wp:extent cx="1733550" cy="123825"/>
                <wp:effectExtent l="0" t="0" r="0" b="0"/>
                <wp:wrapNone/>
                <wp:docPr id="1327684562" name="Rectángulo 1327684562"/>
                <wp:cNvGraphicFramePr/>
                <a:graphic xmlns:a="http://schemas.openxmlformats.org/drawingml/2006/main">
                  <a:graphicData uri="http://schemas.microsoft.com/office/word/2010/wordprocessingShape">
                    <wps:wsp>
                      <wps:cNvSpPr/>
                      <wps:spPr>
                        <a:xfrm>
                          <a:off x="4488750" y="3727613"/>
                          <a:ext cx="1714500" cy="104775"/>
                        </a:xfrm>
                        <a:prstGeom prst="rect">
                          <a:avLst/>
                        </a:prstGeom>
                        <a:noFill/>
                        <a:ln w="19050" cap="flat" cmpd="sng">
                          <a:solidFill>
                            <a:srgbClr val="FF0000"/>
                          </a:solidFill>
                          <a:prstDash val="solid"/>
                          <a:round/>
                          <a:headEnd type="none" w="sm" len="sm"/>
                          <a:tailEnd type="none" w="sm" len="sm"/>
                        </a:ln>
                      </wps:spPr>
                      <wps:txbx>
                        <w:txbxContent>
                          <w:p w14:paraId="65A206E6" w14:textId="77777777" w:rsidR="009D0202" w:rsidRDefault="009D0202">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2768600</wp:posOffset>
                </wp:positionH>
                <wp:positionV relativeFrom="paragraph">
                  <wp:posOffset>596900</wp:posOffset>
                </wp:positionV>
                <wp:extent cx="1733550" cy="123825"/>
                <wp:effectExtent b="0" l="0" r="0" t="0"/>
                <wp:wrapNone/>
                <wp:docPr id="1327684562" name="image20.png"/>
                <a:graphic>
                  <a:graphicData uri="http://schemas.openxmlformats.org/drawingml/2006/picture">
                    <pic:pic>
                      <pic:nvPicPr>
                        <pic:cNvPr id="0" name="image20.png"/>
                        <pic:cNvPicPr preferRelativeResize="0"/>
                      </pic:nvPicPr>
                      <pic:blipFill>
                        <a:blip r:embed="rId31"/>
                        <a:srcRect/>
                        <a:stretch>
                          <a:fillRect/>
                        </a:stretch>
                      </pic:blipFill>
                      <pic:spPr>
                        <a:xfrm>
                          <a:off x="0" y="0"/>
                          <a:ext cx="1733550" cy="123825"/>
                        </a:xfrm>
                        <a:prstGeom prst="rect"/>
                        <a:ln/>
                      </pic:spPr>
                    </pic:pic>
                  </a:graphicData>
                </a:graphic>
              </wp:anchor>
            </w:drawing>
          </mc:Fallback>
        </mc:AlternateContent>
      </w:r>
    </w:p>
    <w:p w14:paraId="442BE905" w14:textId="77777777" w:rsidR="009D0202" w:rsidRPr="00AE33A5" w:rsidRDefault="00D012ED">
      <w:pPr>
        <w:spacing w:before="240" w:after="240" w:line="360" w:lineRule="auto"/>
        <w:jc w:val="center"/>
        <w:rPr>
          <w:rFonts w:ascii="Palatino Linotype" w:eastAsia="Palatino Linotype" w:hAnsi="Palatino Linotype" w:cs="Palatino Linotype"/>
          <w:sz w:val="22"/>
          <w:szCs w:val="22"/>
        </w:rPr>
      </w:pPr>
      <w:r w:rsidRPr="00AE33A5">
        <w:rPr>
          <w:rFonts w:ascii="Palatino Linotype" w:eastAsia="Palatino Linotype" w:hAnsi="Palatino Linotype" w:cs="Palatino Linotype"/>
          <w:noProof/>
          <w:sz w:val="22"/>
          <w:szCs w:val="22"/>
        </w:rPr>
        <w:drawing>
          <wp:inline distT="0" distB="0" distL="0" distR="0" wp14:anchorId="1EF4E3E0" wp14:editId="33D6D255">
            <wp:extent cx="5612130" cy="1509395"/>
            <wp:effectExtent l="0" t="0" r="0" b="0"/>
            <wp:docPr id="132768458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5612130" cy="1509395"/>
                    </a:xfrm>
                    <a:prstGeom prst="rect">
                      <a:avLst/>
                    </a:prstGeom>
                    <a:ln/>
                  </pic:spPr>
                </pic:pic>
              </a:graphicData>
            </a:graphic>
          </wp:inline>
        </w:drawing>
      </w:r>
      <w:r w:rsidRPr="00AE33A5">
        <w:rPr>
          <w:noProof/>
        </w:rPr>
        <mc:AlternateContent>
          <mc:Choice Requires="wpg">
            <w:drawing>
              <wp:anchor distT="0" distB="0" distL="114300" distR="114300" simplePos="0" relativeHeight="251663360" behindDoc="0" locked="0" layoutInCell="1" hidden="0" allowOverlap="1" wp14:anchorId="534FC512" wp14:editId="3648143D">
                <wp:simplePos x="0" y="0"/>
                <wp:positionH relativeFrom="column">
                  <wp:posOffset>2717800</wp:posOffset>
                </wp:positionH>
                <wp:positionV relativeFrom="paragraph">
                  <wp:posOffset>596900</wp:posOffset>
                </wp:positionV>
                <wp:extent cx="1504950" cy="133350"/>
                <wp:effectExtent l="0" t="0" r="0" b="0"/>
                <wp:wrapNone/>
                <wp:docPr id="1327684564" name="Rectángulo 1327684564"/>
                <wp:cNvGraphicFramePr/>
                <a:graphic xmlns:a="http://schemas.openxmlformats.org/drawingml/2006/main">
                  <a:graphicData uri="http://schemas.microsoft.com/office/word/2010/wordprocessingShape">
                    <wps:wsp>
                      <wps:cNvSpPr/>
                      <wps:spPr>
                        <a:xfrm>
                          <a:off x="4603050" y="3722850"/>
                          <a:ext cx="1485900" cy="114300"/>
                        </a:xfrm>
                        <a:prstGeom prst="rect">
                          <a:avLst/>
                        </a:prstGeom>
                        <a:noFill/>
                        <a:ln w="19050" cap="flat" cmpd="sng">
                          <a:solidFill>
                            <a:srgbClr val="FF0000"/>
                          </a:solidFill>
                          <a:prstDash val="solid"/>
                          <a:round/>
                          <a:headEnd type="none" w="sm" len="sm"/>
                          <a:tailEnd type="none" w="sm" len="sm"/>
                        </a:ln>
                      </wps:spPr>
                      <wps:txbx>
                        <w:txbxContent>
                          <w:p w14:paraId="6B5DB928" w14:textId="77777777" w:rsidR="009D0202" w:rsidRDefault="009D0202">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2717800</wp:posOffset>
                </wp:positionH>
                <wp:positionV relativeFrom="paragraph">
                  <wp:posOffset>596900</wp:posOffset>
                </wp:positionV>
                <wp:extent cx="1504950" cy="133350"/>
                <wp:effectExtent b="0" l="0" r="0" t="0"/>
                <wp:wrapNone/>
                <wp:docPr id="1327684564" name="image22.png"/>
                <a:graphic>
                  <a:graphicData uri="http://schemas.openxmlformats.org/drawingml/2006/picture">
                    <pic:pic>
                      <pic:nvPicPr>
                        <pic:cNvPr id="0" name="image22.png"/>
                        <pic:cNvPicPr preferRelativeResize="0"/>
                      </pic:nvPicPr>
                      <pic:blipFill>
                        <a:blip r:embed="rId33"/>
                        <a:srcRect/>
                        <a:stretch>
                          <a:fillRect/>
                        </a:stretch>
                      </pic:blipFill>
                      <pic:spPr>
                        <a:xfrm>
                          <a:off x="0" y="0"/>
                          <a:ext cx="1504950" cy="133350"/>
                        </a:xfrm>
                        <a:prstGeom prst="rect"/>
                        <a:ln/>
                      </pic:spPr>
                    </pic:pic>
                  </a:graphicData>
                </a:graphic>
              </wp:anchor>
            </w:drawing>
          </mc:Fallback>
        </mc:AlternateContent>
      </w:r>
    </w:p>
    <w:p w14:paraId="63974E63"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lastRenderedPageBreak/>
        <w:t>Es así, que este Instituto no tiene certeza de que el personal referido en respuesta sea el único que se encuentra adscrito a la Casa de la Cultura; puesto que si bien la solicitud de información se atendió por las Unidades Administrativas competentes, lo cierto es que, no hizo entrega de toda la información, al omitir hacer del conocimiento del particular en su totalidad los servidores públicos que se encuentran adscritos a la Casa de la Cultura, por lo tanto, su respuesta careció de los principios de congruencia y exhaustividad, de conformidad con el Criterio 02/17 emitido por el Peno del Instituto Nacional de Transparencia y Acceso a la Información y Protección de Datos Personales, de título y texto siguientes:</w:t>
      </w:r>
    </w:p>
    <w:p w14:paraId="3EA7298C" w14:textId="77777777" w:rsidR="009D0202" w:rsidRPr="00AE33A5" w:rsidRDefault="00D012E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b/>
          <w:i/>
          <w:sz w:val="22"/>
          <w:szCs w:val="22"/>
        </w:rPr>
        <w:t xml:space="preserve"> “Congruencia y exhaustividad. Sus alcances para garantizar el derecho de acceso a la información. </w:t>
      </w:r>
      <w:r w:rsidRPr="00AE33A5">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AE33A5">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AE33A5">
        <w:rPr>
          <w:rFonts w:ascii="Palatino Linotype" w:eastAsia="Palatino Linotype" w:hAnsi="Palatino Linotype" w:cs="Palatino Linotype"/>
          <w:i/>
          <w:sz w:val="22"/>
          <w:szCs w:val="22"/>
        </w:rPr>
        <w:t xml:space="preserve">; mientras que </w:t>
      </w:r>
      <w:r w:rsidRPr="00AE33A5">
        <w:rPr>
          <w:rFonts w:ascii="Palatino Linotype" w:eastAsia="Palatino Linotype" w:hAnsi="Palatino Linotype" w:cs="Palatino Linotype"/>
          <w:b/>
          <w:i/>
          <w:sz w:val="22"/>
          <w:szCs w:val="22"/>
        </w:rPr>
        <w:t>la exhaustividad significa que dicha respuesta se refiera expresamente a cada uno de los puntos solicitados</w:t>
      </w:r>
      <w:r w:rsidRPr="00AE33A5">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DF1A3D2" w14:textId="77777777" w:rsidR="009D0202" w:rsidRPr="00AE33A5" w:rsidRDefault="009D0202">
      <w:pPr>
        <w:spacing w:line="360" w:lineRule="auto"/>
        <w:jc w:val="both"/>
        <w:rPr>
          <w:rFonts w:ascii="Palatino Linotype" w:eastAsia="Palatino Linotype" w:hAnsi="Palatino Linotype" w:cs="Palatino Linotype"/>
          <w:sz w:val="22"/>
          <w:szCs w:val="22"/>
        </w:rPr>
      </w:pPr>
    </w:p>
    <w:p w14:paraId="2A267F77" w14:textId="77777777" w:rsidR="009D0202" w:rsidRPr="00AE33A5" w:rsidRDefault="00D012ED">
      <w:pPr>
        <w:spacing w:line="360" w:lineRule="auto"/>
        <w:ind w:right="-15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AE33A5">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AE33A5">
        <w:rPr>
          <w:rFonts w:ascii="Palatino Linotype" w:eastAsia="Palatino Linotype" w:hAnsi="Palatino Linotype" w:cs="Palatino Linotype"/>
          <w:sz w:val="22"/>
          <w:szCs w:val="22"/>
        </w:rPr>
        <w:t xml:space="preserve">, mientras que la exhaustividad establece que el sujeto obligado </w:t>
      </w:r>
      <w:r w:rsidRPr="00AE33A5">
        <w:rPr>
          <w:rFonts w:ascii="Palatino Linotype" w:eastAsia="Palatino Linotype" w:hAnsi="Palatino Linotype" w:cs="Palatino Linotype"/>
          <w:b/>
          <w:sz w:val="22"/>
          <w:szCs w:val="22"/>
        </w:rPr>
        <w:t>deberá atender de manera expresa cada uno de los puntos solicitados</w:t>
      </w:r>
      <w:r w:rsidRPr="00AE33A5">
        <w:rPr>
          <w:rFonts w:ascii="Palatino Linotype" w:eastAsia="Palatino Linotype" w:hAnsi="Palatino Linotype" w:cs="Palatino Linotype"/>
          <w:sz w:val="22"/>
          <w:szCs w:val="22"/>
        </w:rPr>
        <w:t xml:space="preserve">, situación que en el presente caso </w:t>
      </w:r>
      <w:r w:rsidRPr="00AE33A5">
        <w:rPr>
          <w:rFonts w:ascii="Palatino Linotype" w:eastAsia="Palatino Linotype" w:hAnsi="Palatino Linotype" w:cs="Palatino Linotype"/>
          <w:b/>
          <w:sz w:val="22"/>
          <w:szCs w:val="22"/>
          <w:u w:val="single"/>
        </w:rPr>
        <w:t>no aconteció</w:t>
      </w:r>
      <w:r w:rsidRPr="00AE33A5">
        <w:rPr>
          <w:rFonts w:ascii="Palatino Linotype" w:eastAsia="Palatino Linotype" w:hAnsi="Palatino Linotype" w:cs="Palatino Linotype"/>
          <w:sz w:val="22"/>
          <w:szCs w:val="22"/>
        </w:rPr>
        <w:t xml:space="preserve">, pues el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xml:space="preserve"> se limitó a señalar únicamente cinco servidores públicos, resultando que cuenta </w:t>
      </w:r>
      <w:r w:rsidRPr="00AE33A5">
        <w:rPr>
          <w:rFonts w:ascii="Palatino Linotype" w:eastAsia="Palatino Linotype" w:hAnsi="Palatino Linotype" w:cs="Palatino Linotype"/>
          <w:sz w:val="22"/>
          <w:szCs w:val="22"/>
        </w:rPr>
        <w:lastRenderedPageBreak/>
        <w:t xml:space="preserve">con más personal adscrito a la Casa de la Cultura, por lo que, la unidad administrativa competente que dio atención a la solicitud de información debe realizar una nueva búsqueda exhaustiva y razonable, con la finalidad de proporcionar cabalmente la información solicitada. </w:t>
      </w:r>
    </w:p>
    <w:p w14:paraId="21F4B958" w14:textId="77777777" w:rsidR="009D0202" w:rsidRPr="00AE33A5" w:rsidRDefault="009D0202">
      <w:pPr>
        <w:spacing w:line="360" w:lineRule="auto"/>
        <w:ind w:right="-7"/>
        <w:jc w:val="both"/>
        <w:rPr>
          <w:rFonts w:ascii="Palatino Linotype" w:eastAsia="Palatino Linotype" w:hAnsi="Palatino Linotype" w:cs="Palatino Linotype"/>
          <w:sz w:val="22"/>
          <w:szCs w:val="22"/>
        </w:rPr>
      </w:pPr>
    </w:p>
    <w:p w14:paraId="447738E3" w14:textId="77777777" w:rsidR="009D0202" w:rsidRPr="00AE33A5" w:rsidRDefault="00D012ED">
      <w:pPr>
        <w:spacing w:line="360" w:lineRule="auto"/>
        <w:ind w:right="-7"/>
        <w:jc w:val="both"/>
        <w:rPr>
          <w:rFonts w:ascii="Palatino Linotype" w:eastAsia="Palatino Linotype" w:hAnsi="Palatino Linotype" w:cs="Palatino Linotype"/>
          <w:sz w:val="22"/>
          <w:szCs w:val="22"/>
        </w:rPr>
      </w:pPr>
      <w:bookmarkStart w:id="12" w:name="_heading=h.z337ya" w:colFirst="0" w:colLast="0"/>
      <w:bookmarkEnd w:id="12"/>
      <w:r w:rsidRPr="00AE33A5">
        <w:rPr>
          <w:rFonts w:ascii="Palatino Linotype" w:eastAsia="Palatino Linotype" w:hAnsi="Palatino Linotype" w:cs="Palatino Linotype"/>
          <w:sz w:val="22"/>
          <w:szCs w:val="22"/>
        </w:rPr>
        <w:t>Por tanto, a consideración de este Órgano Garante los motivos de inconformidad de la parte</w:t>
      </w:r>
      <w:r w:rsidRPr="00AE33A5">
        <w:rPr>
          <w:rFonts w:ascii="Palatino Linotype" w:eastAsia="Palatino Linotype" w:hAnsi="Palatino Linotype" w:cs="Palatino Linotype"/>
          <w:b/>
          <w:sz w:val="22"/>
          <w:szCs w:val="22"/>
        </w:rPr>
        <w:t xml:space="preserve"> Recurrente </w:t>
      </w:r>
      <w:r w:rsidRPr="00AE33A5">
        <w:rPr>
          <w:rFonts w:ascii="Palatino Linotype" w:eastAsia="Palatino Linotype" w:hAnsi="Palatino Linotype" w:cs="Palatino Linotype"/>
          <w:sz w:val="22"/>
          <w:szCs w:val="22"/>
        </w:rPr>
        <w:t xml:space="preserve">esgrimidos en su recurso de revisión devienen </w:t>
      </w:r>
      <w:r w:rsidRPr="00AE33A5">
        <w:rPr>
          <w:rFonts w:ascii="Palatino Linotype" w:eastAsia="Palatino Linotype" w:hAnsi="Palatino Linotype" w:cs="Palatino Linotype"/>
          <w:b/>
          <w:sz w:val="22"/>
          <w:szCs w:val="22"/>
        </w:rPr>
        <w:t>fundados,</w:t>
      </w:r>
      <w:r w:rsidRPr="00AE33A5">
        <w:rPr>
          <w:rFonts w:ascii="Palatino Linotype" w:eastAsia="Palatino Linotype" w:hAnsi="Palatino Linotype" w:cs="Palatino Linotype"/>
          <w:sz w:val="22"/>
          <w:szCs w:val="22"/>
        </w:rPr>
        <w:t xml:space="preserve"> siendo procedente ordenar, previa búsqueda exhaustiva y razonable la entrega del documento o documentos en donde conste el personal adscrito a la nómina de la Casa de la Cultura faltante; así como el sueldo y el grado académico que ostentan, en funciones al seis de agosto de dos mil veinticuatro. </w:t>
      </w:r>
    </w:p>
    <w:p w14:paraId="2CCE4717" w14:textId="77777777" w:rsidR="009D0202" w:rsidRPr="00AE33A5" w:rsidRDefault="009D0202">
      <w:pPr>
        <w:spacing w:line="360" w:lineRule="auto"/>
        <w:ind w:right="-7"/>
        <w:jc w:val="both"/>
        <w:rPr>
          <w:rFonts w:ascii="Palatino Linotype" w:eastAsia="Palatino Linotype" w:hAnsi="Palatino Linotype" w:cs="Palatino Linotype"/>
          <w:sz w:val="22"/>
          <w:szCs w:val="22"/>
        </w:rPr>
      </w:pPr>
    </w:p>
    <w:p w14:paraId="008A030B" w14:textId="77777777" w:rsidR="009D0202" w:rsidRPr="00AE33A5" w:rsidRDefault="00D012ED">
      <w:pPr>
        <w:spacing w:line="360" w:lineRule="auto"/>
        <w:ind w:right="-7"/>
        <w:jc w:val="both"/>
        <w:rPr>
          <w:rFonts w:ascii="Palatino Linotype" w:eastAsia="Palatino Linotype" w:hAnsi="Palatino Linotype" w:cs="Palatino Linotype"/>
          <w:sz w:val="22"/>
          <w:szCs w:val="22"/>
        </w:rPr>
      </w:pPr>
      <w:bookmarkStart w:id="13" w:name="_heading=h.3j2qqm3" w:colFirst="0" w:colLast="0"/>
      <w:bookmarkEnd w:id="13"/>
      <w:r w:rsidRPr="00AE33A5">
        <w:rPr>
          <w:rFonts w:ascii="Palatino Linotype" w:eastAsia="Palatino Linotype" w:hAnsi="Palatino Linotype" w:cs="Palatino Linotype"/>
          <w:sz w:val="22"/>
          <w:szCs w:val="22"/>
        </w:rPr>
        <w:t xml:space="preserve">Para el caso de que no obre en los archivos del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xml:space="preserve"> el grado académico que ostenta el personal faltante, por no haberse generado, poseído o administrado, este deberá hacerlo del conocimiento del Particular en términos del artículo 19, párrafo segundo, de la Ley de Transparencia y Acceso a la Información Pública del Estado de México y Municipios, para tener por colmado dicho requerimiento.</w:t>
      </w:r>
    </w:p>
    <w:p w14:paraId="49A36DA0" w14:textId="77777777" w:rsidR="009D0202" w:rsidRPr="00AE33A5" w:rsidRDefault="009D0202">
      <w:pPr>
        <w:spacing w:line="360" w:lineRule="auto"/>
        <w:ind w:right="-7"/>
        <w:jc w:val="both"/>
        <w:rPr>
          <w:rFonts w:ascii="Palatino Linotype" w:eastAsia="Palatino Linotype" w:hAnsi="Palatino Linotype" w:cs="Palatino Linotype"/>
          <w:sz w:val="22"/>
          <w:szCs w:val="22"/>
        </w:rPr>
      </w:pPr>
    </w:p>
    <w:p w14:paraId="1DB1688C" w14:textId="77777777" w:rsidR="009D0202" w:rsidRPr="00AE33A5" w:rsidRDefault="00D012ED">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t>Los criterios laborales para contratar al personal de la casa de la cultura explicando a detalle las actividades de cada uno o cada área</w:t>
      </w:r>
    </w:p>
    <w:p w14:paraId="3A04847F" w14:textId="77777777" w:rsidR="009D0202" w:rsidRPr="00AE33A5" w:rsidRDefault="00D012ED">
      <w:pPr>
        <w:spacing w:line="360" w:lineRule="auto"/>
        <w:ind w:right="-7"/>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Respecto a este punto, el Coordinador de Recursos Humanos informó que la entrega de los criterios para la contratación de personal y del reporte de actividades de los cinco servidores públicos reportados con antelación.</w:t>
      </w:r>
    </w:p>
    <w:p w14:paraId="5A5BDA78"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De este modo, el </w:t>
      </w:r>
      <w:r w:rsidRPr="00AE33A5">
        <w:rPr>
          <w:rFonts w:ascii="Palatino Linotype" w:eastAsia="Palatino Linotype" w:hAnsi="Palatino Linotype" w:cs="Palatino Linotype"/>
          <w:b/>
          <w:sz w:val="22"/>
          <w:szCs w:val="22"/>
        </w:rPr>
        <w:t>Recurrente</w:t>
      </w:r>
      <w:r w:rsidRPr="00AE33A5">
        <w:rPr>
          <w:rFonts w:ascii="Palatino Linotype" w:eastAsia="Palatino Linotype" w:hAnsi="Palatino Linotype" w:cs="Palatino Linotype"/>
          <w:sz w:val="22"/>
          <w:szCs w:val="22"/>
        </w:rPr>
        <w:t xml:space="preserve"> se adoleció de que se omitiera atender este punto de análisis; sin embargo, de las constancias que obran en el expediente electrónico del Saimex, se advierte que el particular si dio atención al derecho de acceso a la información de la parte </w:t>
      </w:r>
      <w:r w:rsidRPr="00AE33A5">
        <w:rPr>
          <w:rFonts w:ascii="Palatino Linotype" w:eastAsia="Palatino Linotype" w:hAnsi="Palatino Linotype" w:cs="Palatino Linotype"/>
          <w:sz w:val="22"/>
          <w:szCs w:val="22"/>
        </w:rPr>
        <w:lastRenderedPageBreak/>
        <w:t xml:space="preserve">recurrente, con la entrega de los criterios para la contratación de personal, tal y como se observa a continuación: </w:t>
      </w:r>
    </w:p>
    <w:p w14:paraId="10D921BC" w14:textId="77777777" w:rsidR="009D0202" w:rsidRPr="00AE33A5" w:rsidRDefault="00D012ED">
      <w:pPr>
        <w:spacing w:before="240" w:after="240" w:line="360" w:lineRule="auto"/>
        <w:jc w:val="center"/>
        <w:rPr>
          <w:rFonts w:ascii="Palatino Linotype" w:eastAsia="Palatino Linotype" w:hAnsi="Palatino Linotype" w:cs="Palatino Linotype"/>
          <w:sz w:val="22"/>
          <w:szCs w:val="22"/>
        </w:rPr>
      </w:pPr>
      <w:r w:rsidRPr="00AE33A5">
        <w:rPr>
          <w:rFonts w:ascii="Palatino Linotype" w:eastAsia="Palatino Linotype" w:hAnsi="Palatino Linotype" w:cs="Palatino Linotype"/>
          <w:noProof/>
          <w:sz w:val="22"/>
          <w:szCs w:val="22"/>
        </w:rPr>
        <w:drawing>
          <wp:inline distT="0" distB="0" distL="0" distR="0" wp14:anchorId="063D33B1" wp14:editId="74F4C45F">
            <wp:extent cx="5225461" cy="6012886"/>
            <wp:effectExtent l="0" t="0" r="0" b="0"/>
            <wp:docPr id="132768458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5225461" cy="6012886"/>
                    </a:xfrm>
                    <a:prstGeom prst="rect">
                      <a:avLst/>
                    </a:prstGeom>
                    <a:ln/>
                  </pic:spPr>
                </pic:pic>
              </a:graphicData>
            </a:graphic>
          </wp:inline>
        </w:drawing>
      </w:r>
    </w:p>
    <w:p w14:paraId="74EFF19A"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Así como el reporte de actividades de los cinco servidores públicos reportados con antelación; tal y como se puede observar: </w:t>
      </w:r>
    </w:p>
    <w:p w14:paraId="341485A6" w14:textId="77777777" w:rsidR="009D0202" w:rsidRPr="00AE33A5" w:rsidRDefault="00D012ED">
      <w:pPr>
        <w:spacing w:before="240" w:after="240" w:line="360" w:lineRule="auto"/>
        <w:jc w:val="center"/>
        <w:rPr>
          <w:rFonts w:ascii="Palatino Linotype" w:eastAsia="Palatino Linotype" w:hAnsi="Palatino Linotype" w:cs="Palatino Linotype"/>
          <w:sz w:val="22"/>
          <w:szCs w:val="22"/>
        </w:rPr>
      </w:pPr>
      <w:r w:rsidRPr="00AE33A5">
        <w:rPr>
          <w:rFonts w:ascii="Palatino Linotype" w:eastAsia="Palatino Linotype" w:hAnsi="Palatino Linotype" w:cs="Palatino Linotype"/>
          <w:noProof/>
          <w:sz w:val="22"/>
          <w:szCs w:val="22"/>
        </w:rPr>
        <w:lastRenderedPageBreak/>
        <w:drawing>
          <wp:inline distT="0" distB="0" distL="0" distR="0" wp14:anchorId="6D1E5DC1" wp14:editId="40FFAF06">
            <wp:extent cx="4506052" cy="5147642"/>
            <wp:effectExtent l="0" t="0" r="0" b="0"/>
            <wp:docPr id="132768456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4506052" cy="5147642"/>
                    </a:xfrm>
                    <a:prstGeom prst="rect">
                      <a:avLst/>
                    </a:prstGeom>
                    <a:ln/>
                  </pic:spPr>
                </pic:pic>
              </a:graphicData>
            </a:graphic>
          </wp:inline>
        </w:drawing>
      </w:r>
    </w:p>
    <w:p w14:paraId="12580FF1"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bookmarkStart w:id="14" w:name="_heading=h.1y810tw" w:colFirst="0" w:colLast="0"/>
      <w:bookmarkEnd w:id="14"/>
      <w:r w:rsidRPr="00AE33A5">
        <w:rPr>
          <w:rFonts w:ascii="Palatino Linotype" w:eastAsia="Palatino Linotype" w:hAnsi="Palatino Linotype" w:cs="Palatino Linotype"/>
          <w:sz w:val="22"/>
          <w:szCs w:val="22"/>
        </w:rPr>
        <w:t xml:space="preserve">No obstante; este Instituto advierte que si bien es cierto que el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xml:space="preserve"> hace entrega de las criterios tomado en cuenta para contratar al personal así como las actividades de cada uno de los servidores públicos, lo cierto es que como ya fue señalado en párrafos que anteceden el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xml:space="preserve"> hizo entrega de la totalidad de servidores públicos que se encuentran adscritos a la Casa de la Cultura; por lo que, se determina que los agravios resultan parcialmente fundados y es por ello que este Organismo Garante determina </w:t>
      </w:r>
      <w:r w:rsidRPr="00AE33A5">
        <w:rPr>
          <w:rFonts w:ascii="Palatino Linotype" w:eastAsia="Palatino Linotype" w:hAnsi="Palatino Linotype" w:cs="Palatino Linotype"/>
          <w:b/>
          <w:sz w:val="22"/>
          <w:szCs w:val="22"/>
        </w:rPr>
        <w:t xml:space="preserve">modificar </w:t>
      </w:r>
      <w:r w:rsidRPr="00AE33A5">
        <w:rPr>
          <w:rFonts w:ascii="Palatino Linotype" w:eastAsia="Palatino Linotype" w:hAnsi="Palatino Linotype" w:cs="Palatino Linotype"/>
          <w:sz w:val="22"/>
          <w:szCs w:val="22"/>
        </w:rPr>
        <w:t>la respuesta, para ordenar la entrega</w:t>
      </w:r>
      <w:r w:rsidRPr="00AE33A5">
        <w:rPr>
          <w:rFonts w:ascii="Palatino Linotype" w:eastAsia="Palatino Linotype" w:hAnsi="Palatino Linotype" w:cs="Palatino Linotype"/>
          <w:b/>
          <w:sz w:val="22"/>
          <w:szCs w:val="22"/>
        </w:rPr>
        <w:t xml:space="preserve"> </w:t>
      </w:r>
      <w:r w:rsidRPr="00AE33A5">
        <w:rPr>
          <w:rFonts w:ascii="Palatino Linotype" w:eastAsia="Palatino Linotype" w:hAnsi="Palatino Linotype" w:cs="Palatino Linotype"/>
          <w:sz w:val="22"/>
          <w:szCs w:val="22"/>
        </w:rPr>
        <w:t xml:space="preserve">del documento en donde consten las </w:t>
      </w:r>
      <w:r w:rsidRPr="00AE33A5">
        <w:rPr>
          <w:rFonts w:ascii="Palatino Linotype" w:eastAsia="Palatino Linotype" w:hAnsi="Palatino Linotype" w:cs="Palatino Linotype"/>
          <w:sz w:val="22"/>
          <w:szCs w:val="22"/>
        </w:rPr>
        <w:lastRenderedPageBreak/>
        <w:t>funciones de los servidores públicos faltantes, en funciones al seis de agosto de dos mil veinticuatro.</w:t>
      </w:r>
    </w:p>
    <w:p w14:paraId="576853D6" w14:textId="77777777" w:rsidR="009D0202" w:rsidRPr="00AE33A5" w:rsidRDefault="00D012ED">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sz w:val="22"/>
          <w:szCs w:val="22"/>
        </w:rPr>
        <w:t xml:space="preserve">Quinto. Versión Pública. </w:t>
      </w:r>
      <w:r w:rsidRPr="00AE33A5">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w:t>
      </w:r>
      <w:r w:rsidRPr="00AE33A5">
        <w:rPr>
          <w:rFonts w:ascii="Palatino Linotype" w:eastAsia="Palatino Linotype" w:hAnsi="Palatino Linotype" w:cs="Palatino Linotype"/>
          <w:b/>
          <w:sz w:val="22"/>
          <w:szCs w:val="22"/>
        </w:rPr>
        <w:t>la parte</w:t>
      </w:r>
      <w:r w:rsidRPr="00AE33A5">
        <w:rPr>
          <w:rFonts w:ascii="Palatino Linotype" w:eastAsia="Palatino Linotype" w:hAnsi="Palatino Linotype" w:cs="Palatino Linotype"/>
          <w:sz w:val="22"/>
          <w:szCs w:val="22"/>
        </w:rPr>
        <w:t xml:space="preserve"> </w:t>
      </w:r>
      <w:r w:rsidRPr="00AE33A5">
        <w:rPr>
          <w:rFonts w:ascii="Palatino Linotype" w:eastAsia="Palatino Linotype" w:hAnsi="Palatino Linotype" w:cs="Palatino Linotype"/>
          <w:b/>
          <w:sz w:val="22"/>
          <w:szCs w:val="22"/>
        </w:rPr>
        <w:t>Recurrente</w:t>
      </w:r>
      <w:r w:rsidRPr="00AE33A5">
        <w:rPr>
          <w:rFonts w:ascii="Palatino Linotype" w:eastAsia="Palatino Linotype" w:hAnsi="Palatino Linotype" w:cs="Palatino Linotype"/>
          <w:sz w:val="22"/>
          <w:szCs w:val="22"/>
        </w:rPr>
        <w:t xml:space="preserve"> sin menoscabar el derecho a la protección de los datos personales de terceros.</w:t>
      </w:r>
    </w:p>
    <w:p w14:paraId="586516ED" w14:textId="77777777" w:rsidR="009D0202" w:rsidRPr="00AE33A5" w:rsidRDefault="00D012ED">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392D684D" w14:textId="77777777" w:rsidR="009D0202" w:rsidRPr="00AE33A5" w:rsidRDefault="00D012ED">
      <w:pPr>
        <w:pBdr>
          <w:top w:val="nil"/>
          <w:left w:val="nil"/>
          <w:bottom w:val="nil"/>
          <w:right w:val="nil"/>
          <w:between w:val="nil"/>
        </w:pBdr>
        <w:spacing w:line="276" w:lineRule="auto"/>
        <w:ind w:left="993" w:right="1041"/>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 “Artículo 3. Para los efectos de la presente Ley se entenderá por:</w:t>
      </w:r>
    </w:p>
    <w:p w14:paraId="1E072286" w14:textId="77777777" w:rsidR="009D0202" w:rsidRPr="00AE33A5" w:rsidRDefault="00D012ED">
      <w:pPr>
        <w:pBdr>
          <w:top w:val="nil"/>
          <w:left w:val="nil"/>
          <w:bottom w:val="nil"/>
          <w:right w:val="nil"/>
          <w:between w:val="nil"/>
        </w:pBdr>
        <w:spacing w:line="276" w:lineRule="auto"/>
        <w:ind w:left="993" w:right="1041"/>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IX. Datos personales:</w:t>
      </w:r>
      <w:r w:rsidRPr="00AE33A5">
        <w:rPr>
          <w:rFonts w:ascii="Palatino Linotype" w:eastAsia="Palatino Linotype" w:hAnsi="Palatino Linotype" w:cs="Palatino Linotype"/>
          <w:i/>
          <w:sz w:val="22"/>
          <w:szCs w:val="22"/>
        </w:rPr>
        <w:t xml:space="preserve"> </w:t>
      </w:r>
      <w:r w:rsidRPr="00AE33A5">
        <w:rPr>
          <w:rFonts w:ascii="Palatino Linotype" w:eastAsia="Palatino Linotype" w:hAnsi="Palatino Linotype" w:cs="Palatino Linotype"/>
          <w:b/>
          <w:i/>
          <w:sz w:val="22"/>
          <w:szCs w:val="22"/>
        </w:rPr>
        <w:t>La información concerniente a una persona, identificada o identificable</w:t>
      </w:r>
      <w:r w:rsidRPr="00AE33A5">
        <w:rPr>
          <w:rFonts w:ascii="Palatino Linotype" w:eastAsia="Palatino Linotype" w:hAnsi="Palatino Linotype" w:cs="Palatino Linotype"/>
          <w:i/>
          <w:sz w:val="22"/>
          <w:szCs w:val="22"/>
        </w:rPr>
        <w:t xml:space="preserve"> según lo dispuesto por la Ley de Protección de Datos Personales del Estado de México;</w:t>
      </w:r>
    </w:p>
    <w:p w14:paraId="12C42C46" w14:textId="77777777" w:rsidR="009D0202" w:rsidRPr="00AE33A5" w:rsidRDefault="00D012ED">
      <w:pPr>
        <w:pBdr>
          <w:top w:val="nil"/>
          <w:left w:val="nil"/>
          <w:bottom w:val="nil"/>
          <w:right w:val="nil"/>
          <w:between w:val="nil"/>
        </w:pBdr>
        <w:spacing w:line="276" w:lineRule="auto"/>
        <w:ind w:left="993" w:right="1041"/>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XX. Información clasificada:</w:t>
      </w:r>
      <w:r w:rsidRPr="00AE33A5">
        <w:rPr>
          <w:rFonts w:ascii="Palatino Linotype" w:eastAsia="Palatino Linotype" w:hAnsi="Palatino Linotype" w:cs="Palatino Linotype"/>
          <w:i/>
          <w:sz w:val="22"/>
          <w:szCs w:val="22"/>
        </w:rPr>
        <w:t xml:space="preserve"> Aquella considerada por la presente Ley como reservada o confidencial;</w:t>
      </w:r>
    </w:p>
    <w:p w14:paraId="0AE338BF" w14:textId="77777777" w:rsidR="009D0202" w:rsidRPr="00AE33A5" w:rsidRDefault="00D012ED">
      <w:pPr>
        <w:pBdr>
          <w:top w:val="nil"/>
          <w:left w:val="nil"/>
          <w:bottom w:val="nil"/>
          <w:right w:val="nil"/>
          <w:between w:val="nil"/>
        </w:pBdr>
        <w:spacing w:line="276" w:lineRule="auto"/>
        <w:ind w:left="993" w:right="1041"/>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XXXII. Protección de Datos Personales:</w:t>
      </w:r>
      <w:r w:rsidRPr="00AE33A5">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4A04BD85" w14:textId="77777777" w:rsidR="009D0202" w:rsidRPr="00AE33A5" w:rsidRDefault="00D012ED">
      <w:pPr>
        <w:pBdr>
          <w:top w:val="nil"/>
          <w:left w:val="nil"/>
          <w:bottom w:val="nil"/>
          <w:right w:val="nil"/>
          <w:between w:val="nil"/>
        </w:pBdr>
        <w:spacing w:line="276" w:lineRule="auto"/>
        <w:ind w:left="993" w:right="1041"/>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XLV. Versión pública</w:t>
      </w:r>
      <w:r w:rsidRPr="00AE33A5">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2E771C2" w14:textId="77777777" w:rsidR="009D0202" w:rsidRPr="00AE33A5" w:rsidRDefault="009D0202">
      <w:pPr>
        <w:spacing w:line="276" w:lineRule="auto"/>
        <w:jc w:val="both"/>
        <w:rPr>
          <w:rFonts w:ascii="Palatino Linotype" w:eastAsia="Palatino Linotype" w:hAnsi="Palatino Linotype" w:cs="Palatino Linotype"/>
          <w:sz w:val="22"/>
          <w:szCs w:val="22"/>
        </w:rPr>
      </w:pPr>
    </w:p>
    <w:p w14:paraId="7403DC2A" w14:textId="77777777" w:rsidR="009D0202" w:rsidRPr="00AE33A5" w:rsidRDefault="00D012ED">
      <w:pPr>
        <w:pBdr>
          <w:top w:val="nil"/>
          <w:left w:val="nil"/>
          <w:bottom w:val="nil"/>
          <w:right w:val="nil"/>
          <w:between w:val="nil"/>
        </w:pBdr>
        <w:spacing w:line="276" w:lineRule="auto"/>
        <w:ind w:left="993" w:right="1041"/>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“Artículo 6.</w:t>
      </w:r>
      <w:r w:rsidRPr="00AE33A5">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w:t>
      </w:r>
      <w:r w:rsidRPr="00AE33A5">
        <w:rPr>
          <w:rFonts w:ascii="Palatino Linotype" w:eastAsia="Palatino Linotype" w:hAnsi="Palatino Linotype" w:cs="Palatino Linotype"/>
          <w:i/>
          <w:sz w:val="22"/>
          <w:szCs w:val="22"/>
        </w:rPr>
        <w:lastRenderedPageBreak/>
        <w:t>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3223C68" w14:textId="77777777" w:rsidR="009D0202" w:rsidRPr="00AE33A5" w:rsidRDefault="009D0202">
      <w:pPr>
        <w:spacing w:line="276" w:lineRule="auto"/>
        <w:jc w:val="both"/>
        <w:rPr>
          <w:rFonts w:ascii="Palatino Linotype" w:eastAsia="Palatino Linotype" w:hAnsi="Palatino Linotype" w:cs="Palatino Linotype"/>
          <w:sz w:val="22"/>
          <w:szCs w:val="22"/>
        </w:rPr>
      </w:pPr>
    </w:p>
    <w:p w14:paraId="63743314" w14:textId="77777777" w:rsidR="009D0202" w:rsidRPr="00AE33A5" w:rsidRDefault="00D012ED">
      <w:pPr>
        <w:pBdr>
          <w:top w:val="nil"/>
          <w:left w:val="nil"/>
          <w:bottom w:val="nil"/>
          <w:right w:val="nil"/>
          <w:between w:val="nil"/>
        </w:pBdr>
        <w:spacing w:line="276" w:lineRule="auto"/>
        <w:ind w:left="993" w:right="1041"/>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“Artículo 137.</w:t>
      </w:r>
      <w:r w:rsidRPr="00AE33A5">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BD8632C" w14:textId="77777777" w:rsidR="009D0202" w:rsidRPr="00AE33A5" w:rsidRDefault="009D0202">
      <w:pPr>
        <w:spacing w:line="276" w:lineRule="auto"/>
        <w:jc w:val="both"/>
        <w:rPr>
          <w:rFonts w:ascii="Palatino Linotype" w:eastAsia="Palatino Linotype" w:hAnsi="Palatino Linotype" w:cs="Palatino Linotype"/>
          <w:sz w:val="22"/>
          <w:szCs w:val="22"/>
        </w:rPr>
      </w:pPr>
    </w:p>
    <w:p w14:paraId="3761982E" w14:textId="77777777" w:rsidR="009D0202" w:rsidRPr="00AE33A5" w:rsidRDefault="00D012ED">
      <w:pPr>
        <w:pBdr>
          <w:top w:val="nil"/>
          <w:left w:val="nil"/>
          <w:bottom w:val="nil"/>
          <w:right w:val="nil"/>
          <w:between w:val="nil"/>
        </w:pBdr>
        <w:spacing w:line="276" w:lineRule="auto"/>
        <w:ind w:left="993" w:right="1041"/>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“Artículo 143</w:t>
      </w:r>
      <w:r w:rsidRPr="00AE33A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617E6AB" w14:textId="77777777" w:rsidR="009D0202" w:rsidRPr="00AE33A5" w:rsidRDefault="00D012ED">
      <w:pPr>
        <w:pBdr>
          <w:top w:val="nil"/>
          <w:left w:val="nil"/>
          <w:bottom w:val="nil"/>
          <w:right w:val="nil"/>
          <w:between w:val="nil"/>
        </w:pBdr>
        <w:spacing w:line="276" w:lineRule="auto"/>
        <w:ind w:left="993" w:right="1041"/>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I.</w:t>
      </w:r>
      <w:r w:rsidRPr="00AE33A5">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4DF8EC50" w14:textId="77777777" w:rsidR="009D0202" w:rsidRPr="00AE33A5" w:rsidRDefault="00D012ED">
      <w:pPr>
        <w:pBdr>
          <w:top w:val="nil"/>
          <w:left w:val="nil"/>
          <w:bottom w:val="nil"/>
          <w:right w:val="nil"/>
          <w:between w:val="nil"/>
        </w:pBdr>
        <w:spacing w:line="276" w:lineRule="auto"/>
        <w:ind w:left="993" w:right="1041"/>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618E89C2" w14:textId="77777777" w:rsidR="009D0202" w:rsidRPr="00AE33A5" w:rsidRDefault="00D012ED">
      <w:pPr>
        <w:pBdr>
          <w:top w:val="nil"/>
          <w:left w:val="nil"/>
          <w:bottom w:val="nil"/>
          <w:right w:val="nil"/>
          <w:between w:val="nil"/>
        </w:pBdr>
        <w:spacing w:line="276" w:lineRule="auto"/>
        <w:ind w:left="993" w:right="1041"/>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w:t>
      </w:r>
    </w:p>
    <w:p w14:paraId="3447C95E" w14:textId="77777777" w:rsidR="009D0202" w:rsidRPr="00AE33A5" w:rsidRDefault="009D0202">
      <w:pPr>
        <w:spacing w:line="360" w:lineRule="auto"/>
        <w:jc w:val="both"/>
        <w:rPr>
          <w:rFonts w:ascii="Palatino Linotype" w:eastAsia="Palatino Linotype" w:hAnsi="Palatino Linotype" w:cs="Palatino Linotype"/>
          <w:sz w:val="22"/>
          <w:szCs w:val="22"/>
        </w:rPr>
      </w:pPr>
    </w:p>
    <w:p w14:paraId="4104F896" w14:textId="77777777" w:rsidR="009D0202" w:rsidRPr="00AE33A5" w:rsidRDefault="00D012ED">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xml:space="preserve"> deberá proceder a testar los datos personales que se encuentren contenidos en los documentos a entregar para satisfacer el derecho de acceso a la información pública de </w:t>
      </w:r>
      <w:r w:rsidRPr="00AE33A5">
        <w:rPr>
          <w:rFonts w:ascii="Palatino Linotype" w:eastAsia="Palatino Linotype" w:hAnsi="Palatino Linotype" w:cs="Palatino Linotype"/>
          <w:b/>
          <w:sz w:val="22"/>
          <w:szCs w:val="22"/>
        </w:rPr>
        <w:t>la parte</w:t>
      </w:r>
      <w:r w:rsidRPr="00AE33A5">
        <w:rPr>
          <w:rFonts w:ascii="Palatino Linotype" w:eastAsia="Palatino Linotype" w:hAnsi="Palatino Linotype" w:cs="Palatino Linotype"/>
          <w:sz w:val="22"/>
          <w:szCs w:val="22"/>
        </w:rPr>
        <w:t xml:space="preserve"> </w:t>
      </w:r>
      <w:r w:rsidRPr="00AE33A5">
        <w:rPr>
          <w:rFonts w:ascii="Palatino Linotype" w:eastAsia="Palatino Linotype" w:hAnsi="Palatino Linotype" w:cs="Palatino Linotype"/>
          <w:b/>
          <w:sz w:val="22"/>
          <w:szCs w:val="22"/>
        </w:rPr>
        <w:t>Recurrente</w:t>
      </w:r>
      <w:r w:rsidRPr="00AE33A5">
        <w:rPr>
          <w:rFonts w:ascii="Palatino Linotype" w:eastAsia="Palatino Linotype" w:hAnsi="Palatino Linotype" w:cs="Palatino Linotype"/>
          <w:sz w:val="22"/>
          <w:szCs w:val="22"/>
        </w:rPr>
        <w:t xml:space="preserve">, esto es, los datos concernientes a una persona identificada o identificable, o aquellos datos que tengan el carácter de sensibles, es decir los que afectan la esfera más </w:t>
      </w:r>
      <w:r w:rsidRPr="00AE33A5">
        <w:rPr>
          <w:rFonts w:ascii="Palatino Linotype" w:eastAsia="Palatino Linotype" w:hAnsi="Palatino Linotype" w:cs="Palatino Linotype"/>
          <w:sz w:val="22"/>
          <w:szCs w:val="22"/>
        </w:rPr>
        <w:lastRenderedPageBreak/>
        <w:t>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6C1595F" w14:textId="77777777" w:rsidR="009D0202" w:rsidRPr="00AE33A5" w:rsidRDefault="009D0202">
      <w:pPr>
        <w:spacing w:line="360" w:lineRule="auto"/>
        <w:jc w:val="both"/>
        <w:rPr>
          <w:rFonts w:ascii="Palatino Linotype" w:eastAsia="Palatino Linotype" w:hAnsi="Palatino Linotype" w:cs="Palatino Linotype"/>
          <w:sz w:val="22"/>
          <w:szCs w:val="22"/>
        </w:rPr>
      </w:pPr>
    </w:p>
    <w:p w14:paraId="728E8B44" w14:textId="77777777" w:rsidR="009D0202" w:rsidRPr="00AE33A5" w:rsidRDefault="00D012ED">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181B659" w14:textId="77777777" w:rsidR="009D0202" w:rsidRPr="00AE33A5" w:rsidRDefault="009D0202">
      <w:pPr>
        <w:spacing w:line="360" w:lineRule="auto"/>
        <w:jc w:val="both"/>
        <w:rPr>
          <w:rFonts w:ascii="Palatino Linotype" w:eastAsia="Palatino Linotype" w:hAnsi="Palatino Linotype" w:cs="Palatino Linotype"/>
          <w:sz w:val="22"/>
          <w:szCs w:val="22"/>
        </w:rPr>
      </w:pPr>
    </w:p>
    <w:p w14:paraId="483D5DE8" w14:textId="77777777" w:rsidR="009D0202" w:rsidRPr="00AE33A5" w:rsidRDefault="00D012ED">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14:paraId="7548647F" w14:textId="77777777" w:rsidR="009D0202" w:rsidRPr="00AE33A5" w:rsidRDefault="009D0202">
      <w:pPr>
        <w:spacing w:line="360" w:lineRule="auto"/>
        <w:jc w:val="both"/>
        <w:rPr>
          <w:rFonts w:ascii="Palatino Linotype" w:eastAsia="Palatino Linotype" w:hAnsi="Palatino Linotype" w:cs="Palatino Linotype"/>
          <w:sz w:val="22"/>
          <w:szCs w:val="22"/>
        </w:rPr>
      </w:pPr>
    </w:p>
    <w:p w14:paraId="75444675" w14:textId="77777777" w:rsidR="009D0202" w:rsidRPr="00AE33A5" w:rsidRDefault="00D012ED">
      <w:pPr>
        <w:pBdr>
          <w:top w:val="nil"/>
          <w:left w:val="nil"/>
          <w:bottom w:val="nil"/>
          <w:right w:val="nil"/>
          <w:between w:val="nil"/>
        </w:pBdr>
        <w:spacing w:line="276" w:lineRule="auto"/>
        <w:ind w:left="992" w:right="1043"/>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“Artículo 49.</w:t>
      </w:r>
      <w:r w:rsidRPr="00AE33A5">
        <w:rPr>
          <w:rFonts w:ascii="Palatino Linotype" w:eastAsia="Palatino Linotype" w:hAnsi="Palatino Linotype" w:cs="Palatino Linotype"/>
          <w:i/>
          <w:sz w:val="22"/>
          <w:szCs w:val="22"/>
        </w:rPr>
        <w:t xml:space="preserve"> </w:t>
      </w:r>
      <w:r w:rsidRPr="00AE33A5">
        <w:rPr>
          <w:rFonts w:ascii="Palatino Linotype" w:eastAsia="Palatino Linotype" w:hAnsi="Palatino Linotype" w:cs="Palatino Linotype"/>
          <w:b/>
          <w:i/>
          <w:sz w:val="22"/>
          <w:szCs w:val="22"/>
        </w:rPr>
        <w:t>Los Comités de Transparencia</w:t>
      </w:r>
      <w:r w:rsidRPr="00AE33A5">
        <w:rPr>
          <w:rFonts w:ascii="Palatino Linotype" w:eastAsia="Palatino Linotype" w:hAnsi="Palatino Linotype" w:cs="Palatino Linotype"/>
          <w:i/>
          <w:sz w:val="22"/>
          <w:szCs w:val="22"/>
        </w:rPr>
        <w:t xml:space="preserve"> tendrán las siguientes atribuciones:</w:t>
      </w:r>
    </w:p>
    <w:p w14:paraId="574FED1D" w14:textId="77777777" w:rsidR="009D0202" w:rsidRPr="00AE33A5" w:rsidRDefault="00D012ED">
      <w:pPr>
        <w:pBdr>
          <w:top w:val="nil"/>
          <w:left w:val="nil"/>
          <w:bottom w:val="nil"/>
          <w:right w:val="nil"/>
          <w:between w:val="nil"/>
        </w:pBdr>
        <w:spacing w:line="276" w:lineRule="auto"/>
        <w:ind w:left="992" w:right="1043"/>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VIII. Aprobar, modificar o revocar la clasificación de la información</w:t>
      </w:r>
      <w:r w:rsidRPr="00AE33A5">
        <w:rPr>
          <w:rFonts w:ascii="Palatino Linotype" w:eastAsia="Palatino Linotype" w:hAnsi="Palatino Linotype" w:cs="Palatino Linotype"/>
          <w:i/>
          <w:sz w:val="22"/>
          <w:szCs w:val="22"/>
        </w:rPr>
        <w:t>…”</w:t>
      </w:r>
    </w:p>
    <w:p w14:paraId="3048600E" w14:textId="77777777" w:rsidR="009D0202" w:rsidRPr="00AE33A5" w:rsidRDefault="00D012ED">
      <w:pPr>
        <w:pBdr>
          <w:top w:val="nil"/>
          <w:left w:val="nil"/>
          <w:bottom w:val="nil"/>
          <w:right w:val="nil"/>
          <w:between w:val="nil"/>
        </w:pBdr>
        <w:spacing w:line="276" w:lineRule="auto"/>
        <w:ind w:left="992" w:right="1043"/>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w:t>
      </w:r>
      <w:r w:rsidRPr="00AE33A5">
        <w:rPr>
          <w:rFonts w:ascii="Palatino Linotype" w:eastAsia="Palatino Linotype" w:hAnsi="Palatino Linotype" w:cs="Palatino Linotype"/>
          <w:b/>
          <w:i/>
          <w:sz w:val="22"/>
          <w:szCs w:val="22"/>
        </w:rPr>
        <w:t>Artículo 53.</w:t>
      </w:r>
      <w:r w:rsidRPr="00AE33A5">
        <w:rPr>
          <w:rFonts w:ascii="Palatino Linotype" w:eastAsia="Palatino Linotype" w:hAnsi="Palatino Linotype" w:cs="Palatino Linotype"/>
          <w:i/>
          <w:sz w:val="22"/>
          <w:szCs w:val="22"/>
        </w:rPr>
        <w:t xml:space="preserve"> Las </w:t>
      </w:r>
      <w:r w:rsidRPr="00AE33A5">
        <w:rPr>
          <w:rFonts w:ascii="Palatino Linotype" w:eastAsia="Palatino Linotype" w:hAnsi="Palatino Linotype" w:cs="Palatino Linotype"/>
          <w:b/>
          <w:i/>
          <w:sz w:val="22"/>
          <w:szCs w:val="22"/>
        </w:rPr>
        <w:t>Unidades de Transparencia</w:t>
      </w:r>
      <w:r w:rsidRPr="00AE33A5">
        <w:rPr>
          <w:rFonts w:ascii="Palatino Linotype" w:eastAsia="Palatino Linotype" w:hAnsi="Palatino Linotype" w:cs="Palatino Linotype"/>
          <w:i/>
          <w:sz w:val="22"/>
          <w:szCs w:val="22"/>
        </w:rPr>
        <w:t xml:space="preserve"> tendrán las siguientes </w:t>
      </w:r>
      <w:r w:rsidRPr="00AE33A5">
        <w:rPr>
          <w:rFonts w:ascii="Palatino Linotype" w:eastAsia="Palatino Linotype" w:hAnsi="Palatino Linotype" w:cs="Palatino Linotype"/>
          <w:b/>
          <w:i/>
          <w:sz w:val="22"/>
          <w:szCs w:val="22"/>
        </w:rPr>
        <w:t>funciones</w:t>
      </w:r>
      <w:r w:rsidRPr="00AE33A5">
        <w:rPr>
          <w:rFonts w:ascii="Palatino Linotype" w:eastAsia="Palatino Linotype" w:hAnsi="Palatino Linotype" w:cs="Palatino Linotype"/>
          <w:i/>
          <w:sz w:val="22"/>
          <w:szCs w:val="22"/>
        </w:rPr>
        <w:t>:</w:t>
      </w:r>
    </w:p>
    <w:p w14:paraId="6399CFDA" w14:textId="77777777" w:rsidR="009D0202" w:rsidRPr="00AE33A5" w:rsidRDefault="00D012ED">
      <w:pPr>
        <w:pBdr>
          <w:top w:val="nil"/>
          <w:left w:val="nil"/>
          <w:bottom w:val="nil"/>
          <w:right w:val="nil"/>
          <w:between w:val="nil"/>
        </w:pBdr>
        <w:spacing w:line="276" w:lineRule="auto"/>
        <w:ind w:left="992" w:right="1043"/>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X. Presentar ante el Comité, el proyecto de clasificación de información</w:t>
      </w:r>
      <w:r w:rsidRPr="00AE33A5">
        <w:rPr>
          <w:rFonts w:ascii="Palatino Linotype" w:eastAsia="Palatino Linotype" w:hAnsi="Palatino Linotype" w:cs="Palatino Linotype"/>
          <w:i/>
          <w:sz w:val="22"/>
          <w:szCs w:val="22"/>
        </w:rPr>
        <w:t>…” </w:t>
      </w:r>
    </w:p>
    <w:p w14:paraId="1EC7C513" w14:textId="77777777" w:rsidR="009D0202" w:rsidRPr="00AE33A5" w:rsidRDefault="00D012ED">
      <w:pPr>
        <w:pBdr>
          <w:top w:val="nil"/>
          <w:left w:val="nil"/>
          <w:bottom w:val="nil"/>
          <w:right w:val="nil"/>
          <w:between w:val="nil"/>
        </w:pBdr>
        <w:spacing w:line="276" w:lineRule="auto"/>
        <w:ind w:left="992" w:right="1043"/>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“Artículo 59.</w:t>
      </w:r>
      <w:r w:rsidRPr="00AE33A5">
        <w:rPr>
          <w:rFonts w:ascii="Palatino Linotype" w:eastAsia="Palatino Linotype" w:hAnsi="Palatino Linotype" w:cs="Palatino Linotype"/>
          <w:i/>
          <w:sz w:val="22"/>
          <w:szCs w:val="22"/>
        </w:rPr>
        <w:t xml:space="preserve"> Los </w:t>
      </w:r>
      <w:r w:rsidRPr="00AE33A5">
        <w:rPr>
          <w:rFonts w:ascii="Palatino Linotype" w:eastAsia="Palatino Linotype" w:hAnsi="Palatino Linotype" w:cs="Palatino Linotype"/>
          <w:b/>
          <w:i/>
          <w:sz w:val="22"/>
          <w:szCs w:val="22"/>
        </w:rPr>
        <w:t>servidores públicos habilitados</w:t>
      </w:r>
      <w:r w:rsidRPr="00AE33A5">
        <w:rPr>
          <w:rFonts w:ascii="Palatino Linotype" w:eastAsia="Palatino Linotype" w:hAnsi="Palatino Linotype" w:cs="Palatino Linotype"/>
          <w:i/>
          <w:sz w:val="22"/>
          <w:szCs w:val="22"/>
        </w:rPr>
        <w:t xml:space="preserve"> tendrán las </w:t>
      </w:r>
      <w:r w:rsidRPr="00AE33A5">
        <w:rPr>
          <w:rFonts w:ascii="Palatino Linotype" w:eastAsia="Palatino Linotype" w:hAnsi="Palatino Linotype" w:cs="Palatino Linotype"/>
          <w:b/>
          <w:i/>
          <w:sz w:val="22"/>
          <w:szCs w:val="22"/>
        </w:rPr>
        <w:t>funciones</w:t>
      </w:r>
      <w:r w:rsidRPr="00AE33A5">
        <w:rPr>
          <w:rFonts w:ascii="Palatino Linotype" w:eastAsia="Palatino Linotype" w:hAnsi="Palatino Linotype" w:cs="Palatino Linotype"/>
          <w:i/>
          <w:sz w:val="22"/>
          <w:szCs w:val="22"/>
        </w:rPr>
        <w:t xml:space="preserve"> siguientes:</w:t>
      </w:r>
    </w:p>
    <w:p w14:paraId="70E02C70" w14:textId="77777777" w:rsidR="009D0202" w:rsidRPr="00AE33A5" w:rsidRDefault="00D012ED">
      <w:pPr>
        <w:pBdr>
          <w:top w:val="nil"/>
          <w:left w:val="nil"/>
          <w:bottom w:val="nil"/>
          <w:right w:val="nil"/>
          <w:between w:val="nil"/>
        </w:pBdr>
        <w:spacing w:line="276" w:lineRule="auto"/>
        <w:ind w:left="992" w:right="1043"/>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AE33A5">
        <w:rPr>
          <w:rFonts w:ascii="Palatino Linotype" w:eastAsia="Palatino Linotype" w:hAnsi="Palatino Linotype" w:cs="Palatino Linotype"/>
          <w:i/>
          <w:sz w:val="22"/>
          <w:szCs w:val="22"/>
        </w:rPr>
        <w:t>, la cual tendrá los fundamentos y argumentos en que se basa dicha propuesta…” </w:t>
      </w:r>
    </w:p>
    <w:p w14:paraId="6315A9EA" w14:textId="77777777" w:rsidR="009D0202" w:rsidRPr="00AE33A5" w:rsidRDefault="009D0202">
      <w:pPr>
        <w:spacing w:line="360" w:lineRule="auto"/>
        <w:jc w:val="both"/>
        <w:rPr>
          <w:rFonts w:ascii="Palatino Linotype" w:eastAsia="Palatino Linotype" w:hAnsi="Palatino Linotype" w:cs="Palatino Linotype"/>
          <w:sz w:val="22"/>
          <w:szCs w:val="22"/>
        </w:rPr>
      </w:pPr>
    </w:p>
    <w:p w14:paraId="51245F22" w14:textId="77777777" w:rsidR="009D0202" w:rsidRPr="00AE33A5" w:rsidRDefault="00D012E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B626F1E" w14:textId="77777777" w:rsidR="009D0202" w:rsidRPr="00AE33A5" w:rsidRDefault="009D0202">
      <w:pPr>
        <w:spacing w:line="360" w:lineRule="auto"/>
        <w:jc w:val="both"/>
        <w:rPr>
          <w:rFonts w:ascii="Palatino Linotype" w:eastAsia="Palatino Linotype" w:hAnsi="Palatino Linotype" w:cs="Palatino Linotype"/>
          <w:sz w:val="22"/>
          <w:szCs w:val="22"/>
        </w:rPr>
      </w:pPr>
    </w:p>
    <w:p w14:paraId="0A4DD4F4" w14:textId="77777777" w:rsidR="009D0202" w:rsidRPr="00AE33A5" w:rsidRDefault="00D012E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66EF3C47" w14:textId="77777777" w:rsidR="009D0202" w:rsidRPr="00AE33A5" w:rsidRDefault="009D0202">
      <w:pPr>
        <w:spacing w:line="276" w:lineRule="auto"/>
        <w:jc w:val="both"/>
        <w:rPr>
          <w:rFonts w:ascii="Palatino Linotype" w:eastAsia="Palatino Linotype" w:hAnsi="Palatino Linotype" w:cs="Palatino Linotype"/>
          <w:sz w:val="22"/>
          <w:szCs w:val="22"/>
        </w:rPr>
      </w:pPr>
    </w:p>
    <w:p w14:paraId="02E84D02" w14:textId="77777777" w:rsidR="009D0202" w:rsidRPr="00AE33A5" w:rsidRDefault="00D012ED">
      <w:pPr>
        <w:pBdr>
          <w:top w:val="nil"/>
          <w:left w:val="nil"/>
          <w:bottom w:val="nil"/>
          <w:right w:val="nil"/>
          <w:between w:val="nil"/>
        </w:pBdr>
        <w:spacing w:after="240" w:line="276" w:lineRule="auto"/>
        <w:ind w:left="993" w:right="1041"/>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w:t>
      </w:r>
      <w:r w:rsidRPr="00AE33A5">
        <w:rPr>
          <w:rFonts w:ascii="Palatino Linotype" w:eastAsia="Palatino Linotype" w:hAnsi="Palatino Linotype" w:cs="Palatino Linotype"/>
          <w:b/>
          <w:i/>
          <w:sz w:val="22"/>
          <w:szCs w:val="22"/>
        </w:rPr>
        <w:t>Artículo 149.</w:t>
      </w:r>
      <w:r w:rsidRPr="00AE33A5">
        <w:rPr>
          <w:rFonts w:ascii="Palatino Linotype" w:eastAsia="Palatino Linotype" w:hAnsi="Palatino Linotype" w:cs="Palatino Linotype"/>
          <w:i/>
          <w:sz w:val="22"/>
          <w:szCs w:val="22"/>
        </w:rPr>
        <w:t xml:space="preserve"> El </w:t>
      </w:r>
      <w:r w:rsidRPr="00AE33A5">
        <w:rPr>
          <w:rFonts w:ascii="Palatino Linotype" w:eastAsia="Palatino Linotype" w:hAnsi="Palatino Linotype" w:cs="Palatino Linotype"/>
          <w:b/>
          <w:i/>
          <w:sz w:val="22"/>
          <w:szCs w:val="22"/>
        </w:rPr>
        <w:t>acuerdo que clasifique la información como confidencial</w:t>
      </w:r>
      <w:r w:rsidRPr="00AE33A5">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24DEF7B5" w14:textId="77777777" w:rsidR="009D0202" w:rsidRPr="00AE33A5" w:rsidRDefault="00D012ED">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Es decir, el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18D19427"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w:t>
      </w:r>
      <w:r w:rsidRPr="00AE33A5">
        <w:rPr>
          <w:rFonts w:ascii="Palatino Linotype" w:eastAsia="Palatino Linotype" w:hAnsi="Palatino Linotype" w:cs="Palatino Linotype"/>
          <w:sz w:val="22"/>
          <w:szCs w:val="22"/>
        </w:rPr>
        <w:lastRenderedPageBreak/>
        <w:t>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3B2D6BE4"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La </w:t>
      </w:r>
      <w:r w:rsidRPr="00AE33A5">
        <w:rPr>
          <w:rFonts w:ascii="Palatino Linotype" w:eastAsia="Palatino Linotype" w:hAnsi="Palatino Linotype" w:cs="Palatino Linotype"/>
          <w:b/>
          <w:sz w:val="22"/>
          <w:szCs w:val="22"/>
        </w:rPr>
        <w:t>clave de elector</w:t>
      </w:r>
      <w:r w:rsidRPr="00AE33A5">
        <w:rPr>
          <w:rFonts w:ascii="Palatino Linotype" w:eastAsia="Palatino Linotype" w:hAnsi="Palatino Linotype" w:cs="Palatino Linotype"/>
          <w:sz w:val="22"/>
          <w:szCs w:val="22"/>
        </w:rPr>
        <w:t>,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14:paraId="5890EDDB"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El </w:t>
      </w:r>
      <w:r w:rsidRPr="00AE33A5">
        <w:rPr>
          <w:rFonts w:ascii="Palatino Linotype" w:eastAsia="Palatino Linotype" w:hAnsi="Palatino Linotype" w:cs="Palatino Linotype"/>
          <w:b/>
          <w:sz w:val="22"/>
          <w:szCs w:val="22"/>
        </w:rPr>
        <w:t>número de OCR,</w:t>
      </w:r>
      <w:r w:rsidRPr="00AE33A5">
        <w:rPr>
          <w:rFonts w:ascii="Palatino Linotype" w:eastAsia="Palatino Linotype" w:hAnsi="Palatino Linotype" w:cs="Palatino Linotype"/>
          <w:sz w:val="22"/>
          <w:szCs w:val="22"/>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14:paraId="4B01D734"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La </w:t>
      </w:r>
      <w:r w:rsidRPr="00AE33A5">
        <w:rPr>
          <w:rFonts w:ascii="Palatino Linotype" w:eastAsia="Palatino Linotype" w:hAnsi="Palatino Linotype" w:cs="Palatino Linotype"/>
          <w:b/>
          <w:sz w:val="22"/>
          <w:szCs w:val="22"/>
        </w:rPr>
        <w:t>clave única del registro de población,</w:t>
      </w:r>
      <w:r w:rsidRPr="00AE33A5">
        <w:rPr>
          <w:rFonts w:ascii="Palatino Linotype" w:eastAsia="Palatino Linotype" w:hAnsi="Palatino Linotype" w:cs="Palatino Linotype"/>
          <w:i/>
          <w:sz w:val="22"/>
          <w:szCs w:val="22"/>
        </w:rPr>
        <w:t xml:space="preserve"> </w:t>
      </w:r>
      <w:r w:rsidRPr="00AE33A5">
        <w:rPr>
          <w:rFonts w:ascii="Palatino Linotype" w:eastAsia="Palatino Linotype" w:hAnsi="Palatino Linotype" w:cs="Palatino Linotype"/>
          <w:sz w:val="22"/>
          <w:szCs w:val="22"/>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20A9CE45" w14:textId="77777777" w:rsidR="009D0202" w:rsidRPr="00AE33A5" w:rsidRDefault="00D012ED">
      <w:pPr>
        <w:spacing w:before="240" w:after="240" w:line="360" w:lineRule="auto"/>
        <w:ind w:right="5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Por cuanto hace al </w:t>
      </w:r>
      <w:r w:rsidRPr="00AE33A5">
        <w:rPr>
          <w:rFonts w:ascii="Palatino Linotype" w:eastAsia="Palatino Linotype" w:hAnsi="Palatino Linotype" w:cs="Palatino Linotype"/>
          <w:b/>
          <w:sz w:val="22"/>
          <w:szCs w:val="22"/>
        </w:rPr>
        <w:t xml:space="preserve">Registro Federal de Contribuyentes (RFC) </w:t>
      </w:r>
      <w:r w:rsidRPr="00AE33A5">
        <w:rPr>
          <w:rFonts w:ascii="Palatino Linotype" w:eastAsia="Palatino Linotype" w:hAnsi="Palatino Linotype" w:cs="Palatino Linotype"/>
          <w:sz w:val="22"/>
          <w:szCs w:val="22"/>
        </w:rPr>
        <w:t>y</w:t>
      </w:r>
      <w:r w:rsidRPr="00AE33A5">
        <w:rPr>
          <w:rFonts w:ascii="Palatino Linotype" w:eastAsia="Palatino Linotype" w:hAnsi="Palatino Linotype" w:cs="Palatino Linotype"/>
          <w:b/>
          <w:sz w:val="22"/>
          <w:szCs w:val="22"/>
        </w:rPr>
        <w:t xml:space="preserve"> el domicilio fiscal </w:t>
      </w:r>
      <w:r w:rsidRPr="00AE33A5">
        <w:rPr>
          <w:rFonts w:ascii="Palatino Linotype" w:eastAsia="Palatino Linotype" w:hAnsi="Palatino Linotype" w:cs="Palatino Linotype"/>
          <w:sz w:val="22"/>
          <w:szCs w:val="22"/>
        </w:rPr>
        <w:t xml:space="preserve">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w:t>
      </w:r>
      <w:r w:rsidRPr="00AE33A5">
        <w:rPr>
          <w:rFonts w:ascii="Palatino Linotype" w:eastAsia="Palatino Linotype" w:hAnsi="Palatino Linotype" w:cs="Palatino Linotype"/>
          <w:sz w:val="22"/>
          <w:szCs w:val="22"/>
        </w:rPr>
        <w:lastRenderedPageBreak/>
        <w:t>prestadores de servicios o contratistas, dichos datos no deben ser suprimidos de las facturas y contratos que vayan a ser entregados.</w:t>
      </w:r>
    </w:p>
    <w:p w14:paraId="2D5AE185" w14:textId="77777777" w:rsidR="009D0202" w:rsidRPr="00AE33A5" w:rsidRDefault="00D012ED">
      <w:pPr>
        <w:spacing w:before="240" w:after="240" w:line="360" w:lineRule="auto"/>
        <w:ind w:right="5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128A647D" w14:textId="77777777" w:rsidR="009D0202" w:rsidRPr="00AE33A5" w:rsidRDefault="00D012ED">
      <w:pPr>
        <w:spacing w:before="240" w:after="240" w:line="360" w:lineRule="auto"/>
        <w:ind w:right="5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AE33A5">
        <w:rPr>
          <w:rFonts w:ascii="Palatino Linotype" w:eastAsia="Palatino Linotype" w:hAnsi="Palatino Linotype" w:cs="Palatino Linotype"/>
          <w:b/>
          <w:sz w:val="22"/>
          <w:szCs w:val="22"/>
        </w:rPr>
        <w:t>no puede considerarse como información clasificada lo relativo a su nombre, registro federal de contribuyentes y domicilio fiscal</w:t>
      </w:r>
      <w:r w:rsidRPr="00AE33A5">
        <w:rPr>
          <w:rFonts w:ascii="Palatino Linotype" w:eastAsia="Palatino Linotype" w:hAnsi="Palatino Linotype" w:cs="Palatino Linotype"/>
          <w:sz w:val="22"/>
          <w:szCs w:val="22"/>
        </w:rPr>
        <w:t>, atento a que dicha información es la que puede generar certeza en los gobernados en que se está ejerciendo debidamente el presupuesto.</w:t>
      </w:r>
    </w:p>
    <w:p w14:paraId="623DD996"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Robustece lo anterior el criterio orientador 04/21 emitido por el Instituto Nacional de Transparencia, Acceso a la Información y Protección de Datos Personales, INAI, el cual refiere:</w:t>
      </w:r>
    </w:p>
    <w:p w14:paraId="79D148F3" w14:textId="77777777" w:rsidR="009D0202" w:rsidRPr="00AE33A5" w:rsidRDefault="00D012ED">
      <w:pPr>
        <w:spacing w:before="120" w:after="120"/>
        <w:ind w:left="851" w:right="902"/>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b/>
          <w:i/>
          <w:sz w:val="22"/>
          <w:szCs w:val="22"/>
        </w:rPr>
        <w:t xml:space="preserve">“Registro Federal de Contribuyentes (RFC) de personas físicas proveedoras o contratistas. </w:t>
      </w:r>
      <w:r w:rsidRPr="00AE33A5">
        <w:rPr>
          <w:rFonts w:ascii="Palatino Linotype" w:eastAsia="Palatino Linotype" w:hAnsi="Palatino Linotype" w:cs="Palatino Linotype"/>
          <w:i/>
          <w:sz w:val="22"/>
          <w:szCs w:val="22"/>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6CE87CF9" w14:textId="77777777" w:rsidR="009D0202" w:rsidRPr="00AE33A5" w:rsidRDefault="00D012ED">
      <w:pPr>
        <w:spacing w:before="240" w:after="240" w:line="360" w:lineRule="auto"/>
        <w:ind w:right="5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Relacionado con lo anterior, el </w:t>
      </w:r>
      <w:r w:rsidRPr="00AE33A5">
        <w:rPr>
          <w:rFonts w:ascii="Palatino Linotype" w:eastAsia="Palatino Linotype" w:hAnsi="Palatino Linotype" w:cs="Palatino Linotype"/>
          <w:b/>
          <w:sz w:val="22"/>
          <w:szCs w:val="22"/>
        </w:rPr>
        <w:t>nombre de las personas físicas</w:t>
      </w:r>
      <w:r w:rsidRPr="00AE33A5">
        <w:rPr>
          <w:rFonts w:ascii="Palatino Linotype" w:eastAsia="Palatino Linotype" w:hAnsi="Palatino Linotype" w:cs="Palatino Linotype"/>
          <w:sz w:val="22"/>
          <w:szCs w:val="22"/>
        </w:rPr>
        <w:t xml:space="preserve"> o los </w:t>
      </w:r>
      <w:r w:rsidRPr="00AE33A5">
        <w:rPr>
          <w:rFonts w:ascii="Palatino Linotype" w:eastAsia="Palatino Linotype" w:hAnsi="Palatino Linotype" w:cs="Palatino Linotype"/>
          <w:b/>
          <w:sz w:val="22"/>
          <w:szCs w:val="22"/>
        </w:rPr>
        <w:t>representantes legales de las personas morales</w:t>
      </w:r>
      <w:r w:rsidRPr="00AE33A5">
        <w:rPr>
          <w:rFonts w:ascii="Palatino Linotype" w:eastAsia="Palatino Linotype" w:hAnsi="Palatino Linotype" w:cs="Palatino Linotype"/>
          <w:sz w:val="22"/>
          <w:szCs w:val="22"/>
        </w:rPr>
        <w:t xml:space="preserve">, en su calidad de proveedores, contratistas o prestadores de servicios, y la firma y rúbrica de estos, que participen en algún  proceso de adjudicación en </w:t>
      </w:r>
      <w:r w:rsidRPr="00AE33A5">
        <w:rPr>
          <w:rFonts w:ascii="Palatino Linotype" w:eastAsia="Palatino Linotype" w:hAnsi="Palatino Linotype" w:cs="Palatino Linotype"/>
          <w:sz w:val="22"/>
          <w:szCs w:val="22"/>
        </w:rPr>
        <w:lastRenderedPageBreak/>
        <w:t>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2E0F4F79" w14:textId="77777777" w:rsidR="009D0202" w:rsidRPr="00AE33A5" w:rsidRDefault="00D012ED">
      <w:pPr>
        <w:spacing w:before="240" w:after="240" w:line="360" w:lineRule="auto"/>
        <w:ind w:right="5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1C68A7E8" w14:textId="77777777" w:rsidR="009D0202" w:rsidRPr="00AE33A5" w:rsidRDefault="00D012ED">
      <w:pPr>
        <w:spacing w:before="120" w:after="120"/>
        <w:ind w:left="851" w:right="902"/>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w:t>
      </w:r>
      <w:r w:rsidRPr="00AE33A5">
        <w:rPr>
          <w:rFonts w:ascii="Palatino Linotype" w:eastAsia="Palatino Linotype" w:hAnsi="Palatino Linotype" w:cs="Palatino Linotype"/>
          <w:b/>
          <w:i/>
          <w:sz w:val="22"/>
          <w:szCs w:val="22"/>
        </w:rPr>
        <w:t>Artículo 23.</w:t>
      </w:r>
      <w:r w:rsidRPr="00AE33A5">
        <w:rPr>
          <w:rFonts w:ascii="Palatino Linotype" w:eastAsia="Palatino Linotype" w:hAnsi="Palatino Linotype" w:cs="Palatino Linotype"/>
          <w:i/>
          <w:sz w:val="22"/>
          <w:szCs w:val="22"/>
        </w:rPr>
        <w:t xml:space="preserve"> (…)</w:t>
      </w:r>
    </w:p>
    <w:p w14:paraId="75FE25AD" w14:textId="77777777" w:rsidR="009D0202" w:rsidRPr="00AE33A5" w:rsidRDefault="00D012ED">
      <w:pPr>
        <w:spacing w:before="120" w:after="120"/>
        <w:ind w:left="851" w:right="902"/>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1F8591B" w14:textId="77777777" w:rsidR="009D0202" w:rsidRPr="00AE33A5" w:rsidRDefault="00D012ED">
      <w:pPr>
        <w:spacing w:before="280" w:after="28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Asimismo, resulta aplicable el contenido del criterio de interpretación 01/19 emitido por el Instituto Nacional de Transparencia, Acceso a la Información, y Protección de Datos Personales, INAI, que lleva por rubro y texto los siguientes</w:t>
      </w:r>
    </w:p>
    <w:p w14:paraId="1F7F3302" w14:textId="77777777" w:rsidR="009D0202" w:rsidRPr="00AE33A5" w:rsidRDefault="00D012ED">
      <w:pPr>
        <w:ind w:left="851" w:right="900"/>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b/>
          <w:i/>
          <w:sz w:val="22"/>
          <w:szCs w:val="22"/>
        </w:rPr>
        <w:t>“Datos de identificación del representante o apoderado legal.</w:t>
      </w:r>
      <w:r w:rsidRPr="00AE33A5">
        <w:rPr>
          <w:rFonts w:ascii="Palatino Linotype" w:eastAsia="Palatino Linotype" w:hAnsi="Palatino Linotype" w:cs="Palatino Linotype"/>
          <w:i/>
          <w:sz w:val="22"/>
          <w:szCs w:val="22"/>
        </w:rPr>
        <w:t xml:space="preserve"> </w:t>
      </w:r>
      <w:r w:rsidRPr="00AE33A5">
        <w:rPr>
          <w:rFonts w:ascii="Palatino Linotype" w:eastAsia="Palatino Linotype" w:hAnsi="Palatino Linotype" w:cs="Palatino Linotype"/>
          <w:b/>
          <w:i/>
          <w:sz w:val="22"/>
          <w:szCs w:val="22"/>
        </w:rPr>
        <w:t xml:space="preserve">Naturaleza jurídica. </w:t>
      </w:r>
      <w:r w:rsidRPr="00AE33A5">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AE33A5">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AE33A5">
        <w:rPr>
          <w:rFonts w:ascii="Palatino Linotype" w:eastAsia="Palatino Linotype" w:hAnsi="Palatino Linotype" w:cs="Palatino Linotype"/>
          <w:i/>
          <w:sz w:val="22"/>
          <w:szCs w:val="22"/>
        </w:rPr>
        <w:t>.”</w:t>
      </w:r>
    </w:p>
    <w:p w14:paraId="6DD4912A"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Mientras que en el caso del </w:t>
      </w:r>
      <w:r w:rsidRPr="00AE33A5">
        <w:rPr>
          <w:rFonts w:ascii="Palatino Linotype" w:eastAsia="Palatino Linotype" w:hAnsi="Palatino Linotype" w:cs="Palatino Linotype"/>
          <w:b/>
          <w:sz w:val="22"/>
          <w:szCs w:val="22"/>
        </w:rPr>
        <w:t>folio fiscal</w:t>
      </w:r>
      <w:r w:rsidRPr="00AE33A5">
        <w:rPr>
          <w:rFonts w:ascii="Palatino Linotype" w:eastAsia="Palatino Linotype" w:hAnsi="Palatino Linotype" w:cs="Palatino Linotype"/>
          <w:sz w:val="22"/>
          <w:szCs w:val="22"/>
        </w:rPr>
        <w:t xml:space="preserve">, la </w:t>
      </w:r>
      <w:r w:rsidRPr="00AE33A5">
        <w:rPr>
          <w:rFonts w:ascii="Palatino Linotype" w:eastAsia="Palatino Linotype" w:hAnsi="Palatino Linotype" w:cs="Palatino Linotype"/>
          <w:b/>
          <w:sz w:val="22"/>
          <w:szCs w:val="22"/>
        </w:rPr>
        <w:t xml:space="preserve">cadena original, </w:t>
      </w:r>
      <w:r w:rsidRPr="00AE33A5">
        <w:rPr>
          <w:rFonts w:ascii="Palatino Linotype" w:eastAsia="Palatino Linotype" w:hAnsi="Palatino Linotype" w:cs="Palatino Linotype"/>
          <w:sz w:val="22"/>
          <w:szCs w:val="22"/>
        </w:rPr>
        <w:t>los</w:t>
      </w:r>
      <w:r w:rsidRPr="00AE33A5">
        <w:rPr>
          <w:rFonts w:ascii="Palatino Linotype" w:eastAsia="Palatino Linotype" w:hAnsi="Palatino Linotype" w:cs="Palatino Linotype"/>
          <w:b/>
          <w:sz w:val="22"/>
          <w:szCs w:val="22"/>
        </w:rPr>
        <w:t xml:space="preserve"> códigos bidimensionales o códigos QR,</w:t>
      </w:r>
      <w:r w:rsidRPr="00AE33A5">
        <w:rPr>
          <w:rFonts w:ascii="Palatino Linotype" w:eastAsia="Palatino Linotype" w:hAnsi="Palatino Linotype" w:cs="Palatino Linotype"/>
          <w:sz w:val="22"/>
          <w:szCs w:val="22"/>
        </w:rPr>
        <w:t xml:space="preserve"> y, en general, cualquier información de carácter fiscal,  pudiera contener un </w:t>
      </w:r>
      <w:r w:rsidRPr="00AE33A5">
        <w:rPr>
          <w:rFonts w:ascii="Palatino Linotype" w:eastAsia="Palatino Linotype" w:hAnsi="Palatino Linotype" w:cs="Palatino Linotype"/>
          <w:sz w:val="22"/>
          <w:szCs w:val="22"/>
        </w:rPr>
        <w:lastRenderedPageBreak/>
        <w:t>Comprobante Fiscal Digital por Internet, CFDI,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14:paraId="0ED1F65E" w14:textId="77777777" w:rsidR="009D0202" w:rsidRPr="00AE33A5" w:rsidRDefault="00D012ED">
      <w:pPr>
        <w:pBdr>
          <w:top w:val="nil"/>
          <w:left w:val="nil"/>
          <w:bottom w:val="nil"/>
          <w:right w:val="nil"/>
          <w:between w:val="nil"/>
        </w:pBdr>
        <w:spacing w:line="360" w:lineRule="auto"/>
        <w:ind w:right="-93"/>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En cuanto a la firma, la real Academia Española lo establece como “Rasgo o conjunto de rasgos, realizados siempre de la misma manera, que identifican a una persona y sustituyen a su nombre y apellidos para aprobar o dar autenticidad a un documento”, en ese sentido, se trata de un dato personal.</w:t>
      </w:r>
    </w:p>
    <w:p w14:paraId="27E51C3D" w14:textId="77777777" w:rsidR="009D0202" w:rsidRPr="00AE33A5" w:rsidRDefault="009D0202">
      <w:pPr>
        <w:spacing w:line="360" w:lineRule="auto"/>
        <w:jc w:val="both"/>
        <w:rPr>
          <w:rFonts w:ascii="Palatino Linotype" w:eastAsia="Palatino Linotype" w:hAnsi="Palatino Linotype" w:cs="Palatino Linotype"/>
          <w:sz w:val="22"/>
          <w:szCs w:val="22"/>
        </w:rPr>
      </w:pPr>
    </w:p>
    <w:p w14:paraId="1B790A75" w14:textId="77777777" w:rsidR="009D0202" w:rsidRPr="00AE33A5" w:rsidRDefault="00D012ED">
      <w:pPr>
        <w:pBdr>
          <w:top w:val="nil"/>
          <w:left w:val="nil"/>
          <w:bottom w:val="nil"/>
          <w:right w:val="nil"/>
          <w:between w:val="nil"/>
        </w:pBdr>
        <w:spacing w:line="360" w:lineRule="auto"/>
        <w:ind w:right="-93"/>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Ahora bien, tratándose de servidores públicos el Criterio SO/002/2019, emitido por el Instituto Nacional de Transparencia, Acceso a la Información y Protección de Datos Personales, establece lo siguiente:</w:t>
      </w:r>
    </w:p>
    <w:p w14:paraId="0D92EA1F" w14:textId="77777777" w:rsidR="009D0202" w:rsidRPr="00AE33A5" w:rsidRDefault="009D0202">
      <w:pPr>
        <w:spacing w:line="360" w:lineRule="auto"/>
        <w:jc w:val="both"/>
        <w:rPr>
          <w:rFonts w:ascii="Palatino Linotype" w:eastAsia="Palatino Linotype" w:hAnsi="Palatino Linotype" w:cs="Palatino Linotype"/>
          <w:sz w:val="22"/>
          <w:szCs w:val="22"/>
        </w:rPr>
      </w:pPr>
    </w:p>
    <w:p w14:paraId="582C62E7" w14:textId="77777777" w:rsidR="009D0202" w:rsidRPr="00AE33A5" w:rsidRDefault="00D012ED">
      <w:pPr>
        <w:pBdr>
          <w:top w:val="nil"/>
          <w:left w:val="nil"/>
          <w:bottom w:val="nil"/>
          <w:right w:val="nil"/>
          <w:between w:val="nil"/>
        </w:pBdr>
        <w:spacing w:line="276" w:lineRule="auto"/>
        <w:ind w:left="851" w:right="822"/>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w:t>
      </w:r>
      <w:r w:rsidRPr="00AE33A5">
        <w:rPr>
          <w:rFonts w:ascii="Palatino Linotype" w:eastAsia="Palatino Linotype" w:hAnsi="Palatino Linotype" w:cs="Palatino Linotype"/>
          <w:b/>
          <w:i/>
          <w:sz w:val="22"/>
          <w:szCs w:val="22"/>
        </w:rPr>
        <w:t>Firma y rúbrica de servidores públicos</w:t>
      </w:r>
      <w:r w:rsidRPr="00AE33A5">
        <w:rPr>
          <w:rFonts w:ascii="Palatino Linotype" w:eastAsia="Palatino Linotype" w:hAnsi="Palatino Linotype" w:cs="Palatino Linotype"/>
          <w:i/>
          <w:sz w:val="22"/>
          <w:szCs w:val="22"/>
        </w:rPr>
        <w:t>. Si bien la firma y la rúbrica son datos personales confidenciales, cuando un servidor público emite un acto como autoridad, en ejercicio de las funciones que tiene conferidas, la firma o rúbrica mediante la cual se valida dicho acto es pública.”</w:t>
      </w:r>
    </w:p>
    <w:p w14:paraId="39DB283C" w14:textId="77777777" w:rsidR="009D0202" w:rsidRPr="00AE33A5" w:rsidRDefault="009D0202">
      <w:pPr>
        <w:spacing w:line="360" w:lineRule="auto"/>
        <w:jc w:val="both"/>
        <w:rPr>
          <w:rFonts w:ascii="Palatino Linotype" w:eastAsia="Palatino Linotype" w:hAnsi="Palatino Linotype" w:cs="Palatino Linotype"/>
          <w:sz w:val="22"/>
          <w:szCs w:val="22"/>
        </w:rPr>
      </w:pPr>
    </w:p>
    <w:p w14:paraId="27A36A5A" w14:textId="77777777" w:rsidR="009D0202" w:rsidRPr="00AE33A5" w:rsidRDefault="00D012ED">
      <w:pPr>
        <w:pBdr>
          <w:top w:val="nil"/>
          <w:left w:val="nil"/>
          <w:bottom w:val="nil"/>
          <w:right w:val="nil"/>
          <w:between w:val="nil"/>
        </w:pBdr>
        <w:spacing w:line="360" w:lineRule="auto"/>
        <w:ind w:right="-93"/>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Como ya lo refiere el Criterio señalado, la firma es un dato personal confidencial y solo será pública para el caso de los servidores públicos en el ejercicio de sus funciones. </w:t>
      </w:r>
    </w:p>
    <w:p w14:paraId="4333CF65" w14:textId="77777777" w:rsidR="009D0202" w:rsidRPr="00AE33A5" w:rsidRDefault="00D012ED">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Respecto del </w:t>
      </w:r>
      <w:r w:rsidRPr="00AE33A5">
        <w:rPr>
          <w:rFonts w:ascii="Palatino Linotype" w:eastAsia="Palatino Linotype" w:hAnsi="Palatino Linotype" w:cs="Palatino Linotype"/>
          <w:b/>
          <w:sz w:val="22"/>
          <w:szCs w:val="22"/>
        </w:rPr>
        <w:t>nombre de las personas físicas</w:t>
      </w:r>
      <w:r w:rsidRPr="00AE33A5">
        <w:rPr>
          <w:rFonts w:ascii="Palatino Linotype" w:eastAsia="Palatino Linotype" w:hAnsi="Palatino Linotype" w:cs="Palatino Linotype"/>
          <w:sz w:val="22"/>
          <w:szCs w:val="22"/>
        </w:rPr>
        <w:t xml:space="preserve"> o los </w:t>
      </w:r>
      <w:r w:rsidRPr="00AE33A5">
        <w:rPr>
          <w:rFonts w:ascii="Palatino Linotype" w:eastAsia="Palatino Linotype" w:hAnsi="Palatino Linotype" w:cs="Palatino Linotype"/>
          <w:b/>
          <w:sz w:val="22"/>
          <w:szCs w:val="22"/>
        </w:rPr>
        <w:t>representantes legales de las personas morales</w:t>
      </w:r>
      <w:r w:rsidRPr="00AE33A5">
        <w:rPr>
          <w:rFonts w:ascii="Palatino Linotype" w:eastAsia="Palatino Linotype" w:hAnsi="Palatino Linotype" w:cs="Palatino Linotype"/>
          <w:sz w:val="22"/>
          <w:szCs w:val="22"/>
        </w:rPr>
        <w:t xml:space="preserve">, </w:t>
      </w:r>
      <w:r w:rsidRPr="00AE33A5">
        <w:rPr>
          <w:rFonts w:ascii="Palatino Linotype" w:eastAsia="Palatino Linotype" w:hAnsi="Palatino Linotype" w:cs="Palatino Linotype"/>
          <w:b/>
          <w:sz w:val="22"/>
          <w:szCs w:val="22"/>
        </w:rPr>
        <w:t>en su calidad de proveedores, contratistas o prestadores de servicios, y la firma y rúbrica de estos</w:t>
      </w:r>
      <w:r w:rsidRPr="00AE33A5">
        <w:rPr>
          <w:rFonts w:ascii="Palatino Linotype" w:eastAsia="Palatino Linotype" w:hAnsi="Palatino Linotype" w:cs="Palatino Linotype"/>
          <w:sz w:val="22"/>
          <w:szCs w:val="22"/>
        </w:rPr>
        <w:t xml:space="preserve">, que participen en algún  proceso de adjudicación en cualquiera de sus </w:t>
      </w:r>
      <w:r w:rsidRPr="00AE33A5">
        <w:rPr>
          <w:rFonts w:ascii="Palatino Linotype" w:eastAsia="Palatino Linotype" w:hAnsi="Palatino Linotype" w:cs="Palatino Linotype"/>
          <w:sz w:val="22"/>
          <w:szCs w:val="22"/>
        </w:rPr>
        <w:lastRenderedPageBreak/>
        <w:t>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35A82138" w14:textId="77777777" w:rsidR="009D0202" w:rsidRPr="00AE33A5" w:rsidRDefault="00D012ED">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0E0F3EC8" w14:textId="77777777" w:rsidR="009D0202" w:rsidRPr="00AE33A5" w:rsidRDefault="00D012ED">
      <w:pPr>
        <w:pBdr>
          <w:top w:val="nil"/>
          <w:left w:val="nil"/>
          <w:bottom w:val="nil"/>
          <w:right w:val="nil"/>
          <w:between w:val="nil"/>
        </w:pBdr>
        <w:spacing w:before="120" w:after="120" w:line="276" w:lineRule="auto"/>
        <w:ind w:left="851" w:right="902"/>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w:t>
      </w:r>
      <w:r w:rsidRPr="00AE33A5">
        <w:rPr>
          <w:rFonts w:ascii="Palatino Linotype" w:eastAsia="Palatino Linotype" w:hAnsi="Palatino Linotype" w:cs="Palatino Linotype"/>
          <w:b/>
          <w:i/>
          <w:sz w:val="22"/>
          <w:szCs w:val="22"/>
        </w:rPr>
        <w:t>Artículo 23.</w:t>
      </w:r>
      <w:r w:rsidRPr="00AE33A5">
        <w:rPr>
          <w:rFonts w:ascii="Palatino Linotype" w:eastAsia="Palatino Linotype" w:hAnsi="Palatino Linotype" w:cs="Palatino Linotype"/>
          <w:i/>
          <w:sz w:val="22"/>
          <w:szCs w:val="22"/>
        </w:rPr>
        <w:t xml:space="preserve"> (…)</w:t>
      </w:r>
    </w:p>
    <w:p w14:paraId="79E84589" w14:textId="77777777" w:rsidR="009D0202" w:rsidRPr="00AE33A5" w:rsidRDefault="00D012ED">
      <w:pPr>
        <w:pBdr>
          <w:top w:val="nil"/>
          <w:left w:val="nil"/>
          <w:bottom w:val="nil"/>
          <w:right w:val="nil"/>
          <w:between w:val="nil"/>
        </w:pBdr>
        <w:spacing w:before="120" w:after="120" w:line="276" w:lineRule="auto"/>
        <w:ind w:left="851" w:right="902"/>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EC09287" w14:textId="77777777" w:rsidR="009D0202" w:rsidRPr="00AE33A5" w:rsidRDefault="00D012ED">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Asimismo, resulta aplicable el contenido del criterio de interpretación 01/19 emitido por el Instituto Nacional de Transparencia, Acceso a la Información, y Protección de Datos Personales, INAI, que lleva por rubro y texto los siguientes</w:t>
      </w:r>
    </w:p>
    <w:p w14:paraId="1CC22554" w14:textId="77777777" w:rsidR="009D0202" w:rsidRPr="00AE33A5" w:rsidRDefault="00D012ED">
      <w:pPr>
        <w:pBdr>
          <w:top w:val="nil"/>
          <w:left w:val="nil"/>
          <w:bottom w:val="nil"/>
          <w:right w:val="nil"/>
          <w:between w:val="nil"/>
        </w:pBdr>
        <w:spacing w:line="276" w:lineRule="auto"/>
        <w:ind w:left="851" w:right="90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“Datos de identificación del representante o apoderado legal.</w:t>
      </w:r>
      <w:r w:rsidRPr="00AE33A5">
        <w:rPr>
          <w:rFonts w:ascii="Palatino Linotype" w:eastAsia="Palatino Linotype" w:hAnsi="Palatino Linotype" w:cs="Palatino Linotype"/>
          <w:i/>
          <w:sz w:val="22"/>
          <w:szCs w:val="22"/>
        </w:rPr>
        <w:t xml:space="preserve"> </w:t>
      </w:r>
      <w:r w:rsidRPr="00AE33A5">
        <w:rPr>
          <w:rFonts w:ascii="Palatino Linotype" w:eastAsia="Palatino Linotype" w:hAnsi="Palatino Linotype" w:cs="Palatino Linotype"/>
          <w:b/>
          <w:i/>
          <w:sz w:val="22"/>
          <w:szCs w:val="22"/>
        </w:rPr>
        <w:t xml:space="preserve">Naturaleza jurídica. El nombre, la </w:t>
      </w:r>
      <w:r w:rsidRPr="00AE33A5">
        <w:rPr>
          <w:rFonts w:ascii="Palatino Linotype" w:eastAsia="Palatino Linotype" w:hAnsi="Palatino Linotype" w:cs="Palatino Linotype"/>
          <w:b/>
          <w:i/>
          <w:sz w:val="22"/>
          <w:szCs w:val="22"/>
          <w:u w:val="single"/>
        </w:rPr>
        <w:t>firma y la rúbrica</w:t>
      </w:r>
      <w:r w:rsidRPr="00AE33A5">
        <w:rPr>
          <w:rFonts w:ascii="Palatino Linotype" w:eastAsia="Palatino Linotype" w:hAnsi="Palatino Linotype" w:cs="Palatino Linotype"/>
          <w:i/>
          <w:sz w:val="22"/>
          <w:szCs w:val="22"/>
        </w:rPr>
        <w:t xml:space="preserve"> de una persona física, que actúe como representante o apoderado legal de un tercero que haya celebrado un acto jurídico, con algún sujeto obligado, </w:t>
      </w:r>
      <w:r w:rsidRPr="00AE33A5">
        <w:rPr>
          <w:rFonts w:ascii="Palatino Linotype" w:eastAsia="Palatino Linotype" w:hAnsi="Palatino Linotype" w:cs="Palatino Linotype"/>
          <w:b/>
          <w:i/>
          <w:sz w:val="22"/>
          <w:szCs w:val="22"/>
          <w:u w:val="single"/>
        </w:rPr>
        <w:t>es información pública</w:t>
      </w:r>
      <w:r w:rsidRPr="00AE33A5">
        <w:rPr>
          <w:rFonts w:ascii="Palatino Linotype" w:eastAsia="Palatino Linotype" w:hAnsi="Palatino Linotype" w:cs="Palatino Linotype"/>
          <w:b/>
          <w:i/>
          <w:sz w:val="22"/>
          <w:szCs w:val="22"/>
        </w:rPr>
        <w:t>, en razón de que tales datos fueron proporcionados con el objeto de expresar el consentimiento obligacional del tercero y otorgar validez a dicho instrumento jurídico</w:t>
      </w:r>
      <w:r w:rsidRPr="00AE33A5">
        <w:rPr>
          <w:rFonts w:ascii="Palatino Linotype" w:eastAsia="Palatino Linotype" w:hAnsi="Palatino Linotype" w:cs="Palatino Linotype"/>
          <w:i/>
          <w:sz w:val="22"/>
          <w:szCs w:val="22"/>
        </w:rPr>
        <w:t>.”</w:t>
      </w:r>
    </w:p>
    <w:p w14:paraId="5F1ECAA6" w14:textId="77777777" w:rsidR="009D0202" w:rsidRPr="00AE33A5" w:rsidRDefault="009D0202">
      <w:pPr>
        <w:spacing w:line="360" w:lineRule="auto"/>
        <w:jc w:val="both"/>
        <w:rPr>
          <w:rFonts w:ascii="Palatino Linotype" w:eastAsia="Palatino Linotype" w:hAnsi="Palatino Linotype" w:cs="Palatino Linotype"/>
          <w:sz w:val="22"/>
          <w:szCs w:val="22"/>
        </w:rPr>
      </w:pPr>
    </w:p>
    <w:p w14:paraId="3B5138EB" w14:textId="77777777" w:rsidR="009D0202" w:rsidRPr="00AE33A5" w:rsidRDefault="00D012E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Por cuanto hace al número de cuenta bancaria de los particulares debe ser clasificado como confidencial con fundamento en las fracciones I y II del artículo 143 de la Ley de la Materia </w:t>
      </w:r>
      <w:r w:rsidRPr="00AE33A5">
        <w:rPr>
          <w:rFonts w:ascii="Palatino Linotype" w:eastAsia="Palatino Linotype" w:hAnsi="Palatino Linotype" w:cs="Palatino Linotype"/>
          <w:sz w:val="22"/>
          <w:szCs w:val="22"/>
        </w:rPr>
        <w:lastRenderedPageBreak/>
        <w:t>de la Entidad; en razón de que, con su difusión se estaría poniendo en riesgo la seguridad de su titular.</w:t>
      </w:r>
    </w:p>
    <w:p w14:paraId="36015774" w14:textId="77777777" w:rsidR="009D0202" w:rsidRPr="00AE33A5" w:rsidRDefault="009D0202">
      <w:pPr>
        <w:spacing w:line="360" w:lineRule="auto"/>
        <w:jc w:val="both"/>
        <w:rPr>
          <w:rFonts w:ascii="Palatino Linotype" w:eastAsia="Palatino Linotype" w:hAnsi="Palatino Linotype" w:cs="Palatino Linotype"/>
          <w:sz w:val="22"/>
          <w:szCs w:val="22"/>
        </w:rPr>
      </w:pPr>
    </w:p>
    <w:p w14:paraId="6C84CCF0" w14:textId="77777777" w:rsidR="009D0202" w:rsidRPr="00AE33A5" w:rsidRDefault="00D012ED">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3DB6FE30" w14:textId="77777777" w:rsidR="009D0202" w:rsidRPr="00AE33A5" w:rsidRDefault="009D0202">
      <w:pPr>
        <w:spacing w:line="360" w:lineRule="auto"/>
        <w:jc w:val="both"/>
        <w:rPr>
          <w:rFonts w:ascii="Palatino Linotype" w:eastAsia="Palatino Linotype" w:hAnsi="Palatino Linotype" w:cs="Palatino Linotype"/>
          <w:sz w:val="22"/>
          <w:szCs w:val="22"/>
        </w:rPr>
      </w:pPr>
    </w:p>
    <w:p w14:paraId="3042399A" w14:textId="77777777" w:rsidR="009D0202" w:rsidRPr="00AE33A5" w:rsidRDefault="00D012ED">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Lo anterior encuentra sustento en el criterio 10/17 emitido por el Instituto Nacional de Transparencia y Acceso a la Información Pública del Estado de México y Municipios, que a la letra dicen:</w:t>
      </w:r>
    </w:p>
    <w:p w14:paraId="77A88B54" w14:textId="77777777" w:rsidR="009D0202" w:rsidRPr="00AE33A5" w:rsidRDefault="009D0202">
      <w:pPr>
        <w:spacing w:line="360" w:lineRule="auto"/>
        <w:jc w:val="both"/>
        <w:rPr>
          <w:rFonts w:ascii="Palatino Linotype" w:eastAsia="Palatino Linotype" w:hAnsi="Palatino Linotype" w:cs="Palatino Linotype"/>
          <w:sz w:val="22"/>
          <w:szCs w:val="22"/>
        </w:rPr>
      </w:pPr>
    </w:p>
    <w:p w14:paraId="17F6132C" w14:textId="77777777" w:rsidR="009D0202" w:rsidRPr="00AE33A5" w:rsidRDefault="00D012E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“Cuentas bancarias y/o CLABE interbancaria de personas físicas y morales privadas.</w:t>
      </w:r>
      <w:r w:rsidRPr="00AE33A5">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64A49FD" w14:textId="77777777" w:rsidR="009D0202" w:rsidRPr="00AE33A5" w:rsidRDefault="009D0202">
      <w:pPr>
        <w:spacing w:line="276" w:lineRule="auto"/>
        <w:ind w:left="567" w:right="900"/>
        <w:jc w:val="both"/>
        <w:rPr>
          <w:rFonts w:ascii="Palatino Linotype" w:eastAsia="Palatino Linotype" w:hAnsi="Palatino Linotype" w:cs="Palatino Linotype"/>
          <w:sz w:val="22"/>
          <w:szCs w:val="22"/>
        </w:rPr>
      </w:pPr>
    </w:p>
    <w:p w14:paraId="7B0541ED" w14:textId="77777777" w:rsidR="009D0202" w:rsidRPr="00AE33A5" w:rsidRDefault="00D012ED">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Ahora bien, por cuanto hace a las cuentas bancarias de los Sujetos obligados, dicha información no puede considerarse como confidencial, pues la difusión de dichas cuentas o claves interbancarias, favorecen a la rendición de cuentas; ello tiene sustento en el criterio </w:t>
      </w:r>
      <w:r w:rsidRPr="00AE33A5">
        <w:rPr>
          <w:rFonts w:ascii="Palatino Linotype" w:eastAsia="Palatino Linotype" w:hAnsi="Palatino Linotype" w:cs="Palatino Linotype"/>
          <w:sz w:val="22"/>
          <w:szCs w:val="22"/>
        </w:rPr>
        <w:lastRenderedPageBreak/>
        <w:t>11/17, emitido por el Instituto Nacional de Transparencia y Acceso a la Información Pública del Estado de México y Municipios, el cual para mayor referencia se inserta a continuación:</w:t>
      </w:r>
    </w:p>
    <w:p w14:paraId="13BF2B32" w14:textId="77777777" w:rsidR="009D0202" w:rsidRPr="00AE33A5" w:rsidRDefault="009D0202">
      <w:pPr>
        <w:spacing w:line="360" w:lineRule="auto"/>
        <w:jc w:val="both"/>
        <w:rPr>
          <w:rFonts w:ascii="Palatino Linotype" w:eastAsia="Palatino Linotype" w:hAnsi="Palatino Linotype" w:cs="Palatino Linotype"/>
          <w:sz w:val="22"/>
          <w:szCs w:val="22"/>
        </w:rPr>
      </w:pPr>
    </w:p>
    <w:p w14:paraId="27E8C7A6" w14:textId="77777777" w:rsidR="009D0202" w:rsidRPr="00AE33A5" w:rsidRDefault="00D012ED">
      <w:pPr>
        <w:pBdr>
          <w:top w:val="nil"/>
          <w:left w:val="nil"/>
          <w:bottom w:val="nil"/>
          <w:right w:val="nil"/>
          <w:between w:val="nil"/>
        </w:pBdr>
        <w:spacing w:line="276" w:lineRule="auto"/>
        <w:ind w:left="851" w:right="1134"/>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w:t>
      </w:r>
      <w:r w:rsidRPr="00AE33A5">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AE33A5">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284004C5" w14:textId="77777777" w:rsidR="009D0202" w:rsidRPr="00AE33A5" w:rsidRDefault="00D012ED">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3B03CEC3" w14:textId="77777777" w:rsidR="009D0202" w:rsidRPr="00AE33A5" w:rsidRDefault="00D012ED">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1C1FD679" w14:textId="77777777" w:rsidR="009D0202" w:rsidRPr="00AE33A5" w:rsidRDefault="00D012E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Al respecto, se destaca que la versión pública que elabore el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w:t>
      </w:r>
      <w:r w:rsidRPr="00AE33A5">
        <w:rPr>
          <w:rFonts w:ascii="Palatino Linotype" w:eastAsia="Palatino Linotype" w:hAnsi="Palatino Linotype" w:cs="Palatino Linotype"/>
          <w:sz w:val="22"/>
          <w:szCs w:val="22"/>
        </w:rPr>
        <w:lastRenderedPageBreak/>
        <w:t xml:space="preserve">con los numerales aplicables de los </w:t>
      </w:r>
      <w:r w:rsidRPr="00AE33A5">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AE33A5">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0C73AC50" w14:textId="77777777" w:rsidR="009D0202" w:rsidRPr="00AE33A5" w:rsidRDefault="009D0202">
      <w:pPr>
        <w:spacing w:line="360" w:lineRule="auto"/>
        <w:jc w:val="both"/>
        <w:rPr>
          <w:rFonts w:ascii="Palatino Linotype" w:eastAsia="Palatino Linotype" w:hAnsi="Palatino Linotype" w:cs="Palatino Linotype"/>
          <w:sz w:val="22"/>
          <w:szCs w:val="22"/>
        </w:rPr>
      </w:pPr>
    </w:p>
    <w:p w14:paraId="4CA6300F" w14:textId="77777777" w:rsidR="009D0202" w:rsidRPr="00AE33A5" w:rsidRDefault="00D012E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1E8E95BB" w14:textId="77777777" w:rsidR="009D0202" w:rsidRPr="00AE33A5" w:rsidRDefault="00D012E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w:t>
      </w:r>
      <w:r w:rsidRPr="00AE33A5">
        <w:rPr>
          <w:rFonts w:ascii="Palatino Linotype" w:eastAsia="Palatino Linotype" w:hAnsi="Palatino Linotype" w:cs="Palatino Linotype"/>
          <w:b/>
          <w:i/>
          <w:sz w:val="22"/>
          <w:szCs w:val="22"/>
        </w:rPr>
        <w:t>Segundo.-</w:t>
      </w:r>
      <w:r w:rsidRPr="00AE33A5">
        <w:rPr>
          <w:rFonts w:ascii="Palatino Linotype" w:eastAsia="Palatino Linotype" w:hAnsi="Palatino Linotype" w:cs="Palatino Linotype"/>
          <w:i/>
          <w:sz w:val="22"/>
          <w:szCs w:val="22"/>
        </w:rPr>
        <w:t xml:space="preserve"> Para efectos de los presentes Lineamientos Generales, se entenderá por:</w:t>
      </w:r>
    </w:p>
    <w:p w14:paraId="5F12D816" w14:textId="77777777" w:rsidR="009D0202" w:rsidRPr="00AE33A5" w:rsidRDefault="00D012E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XVIII.</w:t>
      </w:r>
      <w:r w:rsidRPr="00AE33A5">
        <w:rPr>
          <w:rFonts w:ascii="Palatino Linotype" w:eastAsia="Palatino Linotype" w:hAnsi="Palatino Linotype" w:cs="Palatino Linotype"/>
          <w:i/>
          <w:sz w:val="22"/>
          <w:szCs w:val="22"/>
        </w:rPr>
        <w:t xml:space="preserve"> </w:t>
      </w:r>
      <w:r w:rsidRPr="00AE33A5">
        <w:rPr>
          <w:rFonts w:ascii="Palatino Linotype" w:eastAsia="Palatino Linotype" w:hAnsi="Palatino Linotype" w:cs="Palatino Linotype"/>
          <w:b/>
          <w:i/>
          <w:sz w:val="22"/>
          <w:szCs w:val="22"/>
        </w:rPr>
        <w:t>Versión pública:</w:t>
      </w:r>
      <w:r w:rsidRPr="00AE33A5">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AE33A5">
        <w:rPr>
          <w:rFonts w:ascii="Palatino Linotype" w:eastAsia="Palatino Linotype" w:hAnsi="Palatino Linotype" w:cs="Palatino Linotype"/>
          <w:b/>
          <w:i/>
          <w:sz w:val="22"/>
          <w:szCs w:val="22"/>
          <w:u w:val="single"/>
        </w:rPr>
        <w:t>fundando y motivando la</w:t>
      </w:r>
      <w:r w:rsidRPr="00AE33A5">
        <w:rPr>
          <w:rFonts w:ascii="Palatino Linotype" w:eastAsia="Palatino Linotype" w:hAnsi="Palatino Linotype" w:cs="Palatino Linotype"/>
          <w:i/>
          <w:sz w:val="22"/>
          <w:szCs w:val="22"/>
        </w:rPr>
        <w:t xml:space="preserve"> reserva o </w:t>
      </w:r>
      <w:r w:rsidRPr="00AE33A5">
        <w:rPr>
          <w:rFonts w:ascii="Palatino Linotype" w:eastAsia="Palatino Linotype" w:hAnsi="Palatino Linotype" w:cs="Palatino Linotype"/>
          <w:b/>
          <w:i/>
          <w:sz w:val="22"/>
          <w:szCs w:val="22"/>
          <w:u w:val="single"/>
        </w:rPr>
        <w:t>confidencialidad</w:t>
      </w:r>
      <w:r w:rsidRPr="00AE33A5">
        <w:rPr>
          <w:rFonts w:ascii="Palatino Linotype" w:eastAsia="Palatino Linotype" w:hAnsi="Palatino Linotype" w:cs="Palatino Linotype"/>
          <w:i/>
          <w:sz w:val="22"/>
          <w:szCs w:val="22"/>
        </w:rPr>
        <w:t>, a través de la resolución que para tal efecto emita el Comité de Transparencia.</w:t>
      </w:r>
    </w:p>
    <w:p w14:paraId="70F8A3D3" w14:textId="77777777" w:rsidR="009D0202" w:rsidRPr="00AE33A5" w:rsidRDefault="00D012E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Cuarto.</w:t>
      </w:r>
      <w:r w:rsidRPr="00AE33A5">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DB1BBB5" w14:textId="77777777" w:rsidR="009D0202" w:rsidRPr="00AE33A5" w:rsidRDefault="00D012E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67AD183" w14:textId="77777777" w:rsidR="009D0202" w:rsidRPr="00AE33A5" w:rsidRDefault="00D012E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Quinto.</w:t>
      </w:r>
      <w:r w:rsidRPr="00AE33A5">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0C488B9" w14:textId="77777777" w:rsidR="009D0202" w:rsidRPr="00AE33A5" w:rsidRDefault="00D012E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w:t>
      </w:r>
    </w:p>
    <w:p w14:paraId="6EBDFE0A" w14:textId="77777777" w:rsidR="009D0202" w:rsidRPr="00AE33A5" w:rsidRDefault="00D012E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Séptimo.</w:t>
      </w:r>
      <w:r w:rsidRPr="00AE33A5">
        <w:rPr>
          <w:rFonts w:ascii="Palatino Linotype" w:eastAsia="Palatino Linotype" w:hAnsi="Palatino Linotype" w:cs="Palatino Linotype"/>
          <w:i/>
          <w:sz w:val="22"/>
          <w:szCs w:val="22"/>
        </w:rPr>
        <w:t xml:space="preserve"> La clasificación de la información se llevará a cabo en el momento en que:</w:t>
      </w:r>
    </w:p>
    <w:p w14:paraId="09C7C7DD" w14:textId="77777777" w:rsidR="009D0202" w:rsidRPr="00AE33A5" w:rsidRDefault="00D012E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I.</w:t>
      </w:r>
      <w:r w:rsidRPr="00AE33A5">
        <w:rPr>
          <w:rFonts w:ascii="Palatino Linotype" w:eastAsia="Palatino Linotype" w:hAnsi="Palatino Linotype" w:cs="Palatino Linotype"/>
          <w:i/>
          <w:sz w:val="22"/>
          <w:szCs w:val="22"/>
        </w:rPr>
        <w:t xml:space="preserve"> Se reciba una solicitud de acceso a la información;</w:t>
      </w:r>
    </w:p>
    <w:p w14:paraId="504B1112" w14:textId="77777777" w:rsidR="009D0202" w:rsidRPr="00AE33A5" w:rsidRDefault="00D012E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lastRenderedPageBreak/>
        <w:t>II.</w:t>
      </w:r>
      <w:r w:rsidRPr="00AE33A5">
        <w:rPr>
          <w:rFonts w:ascii="Palatino Linotype" w:eastAsia="Palatino Linotype" w:hAnsi="Palatino Linotype" w:cs="Palatino Linotype"/>
          <w:i/>
          <w:sz w:val="22"/>
          <w:szCs w:val="22"/>
        </w:rPr>
        <w:t xml:space="preserve"> Se  determine mediante resolución del Comité de Transparencia, el órgano garante </w:t>
      </w:r>
    </w:p>
    <w:p w14:paraId="6ADACAAF" w14:textId="77777777" w:rsidR="009D0202" w:rsidRPr="00AE33A5" w:rsidRDefault="00D012E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competente, o en cumplimiento a una sentencia del Poder Judicial; o</w:t>
      </w:r>
    </w:p>
    <w:p w14:paraId="669E9209" w14:textId="77777777" w:rsidR="009D0202" w:rsidRPr="00AE33A5" w:rsidRDefault="00D012E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III.</w:t>
      </w:r>
      <w:r w:rsidRPr="00AE33A5">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C5543DA" w14:textId="77777777" w:rsidR="009D0202" w:rsidRPr="00AE33A5" w:rsidRDefault="00D012E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E18E135" w14:textId="77777777" w:rsidR="009D0202" w:rsidRPr="00AE33A5" w:rsidRDefault="00D012E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Octavo.</w:t>
      </w:r>
      <w:r w:rsidRPr="00AE33A5">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B846E05" w14:textId="77777777" w:rsidR="009D0202" w:rsidRPr="00AE33A5" w:rsidRDefault="00D012E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27D7F65" w14:textId="77777777" w:rsidR="009D0202" w:rsidRPr="00AE33A5" w:rsidRDefault="00D012E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038D2DC5" w14:textId="77777777" w:rsidR="009D0202" w:rsidRPr="00AE33A5" w:rsidRDefault="00D012E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Noveno.</w:t>
      </w:r>
      <w:r w:rsidRPr="00AE33A5">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A219D81" w14:textId="77777777" w:rsidR="009D0202" w:rsidRPr="00AE33A5" w:rsidRDefault="00D012E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Décimo.</w:t>
      </w:r>
      <w:r w:rsidRPr="00AE33A5">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6A44DE1" w14:textId="77777777" w:rsidR="009D0202" w:rsidRPr="00AE33A5" w:rsidRDefault="00D012E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84C9FC7" w14:textId="77777777" w:rsidR="009D0202" w:rsidRPr="00AE33A5" w:rsidRDefault="00D012E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lastRenderedPageBreak/>
        <w:t>Décimo primero.</w:t>
      </w:r>
      <w:r w:rsidRPr="00AE33A5">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E9A9CD7" w14:textId="77777777" w:rsidR="009D0202" w:rsidRPr="00AE33A5" w:rsidRDefault="009D0202">
      <w:pPr>
        <w:spacing w:line="276" w:lineRule="auto"/>
        <w:jc w:val="both"/>
        <w:rPr>
          <w:rFonts w:ascii="Palatino Linotype" w:eastAsia="Palatino Linotype" w:hAnsi="Palatino Linotype" w:cs="Palatino Linotype"/>
          <w:sz w:val="22"/>
          <w:szCs w:val="22"/>
        </w:rPr>
      </w:pPr>
    </w:p>
    <w:p w14:paraId="7C7FAE35" w14:textId="77777777" w:rsidR="009D0202" w:rsidRPr="00AE33A5" w:rsidRDefault="00D012E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w:t>
      </w:r>
    </w:p>
    <w:p w14:paraId="494B19BE" w14:textId="77777777" w:rsidR="009D0202" w:rsidRPr="00AE33A5" w:rsidRDefault="00D012E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CAPÍTULO VIII</w:t>
      </w:r>
    </w:p>
    <w:p w14:paraId="61277CD7" w14:textId="77777777" w:rsidR="009D0202" w:rsidRPr="00AE33A5" w:rsidRDefault="00D012ED">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DE LOS ELEMENTOS PARA LA CLASIFICACIÓN</w:t>
      </w:r>
    </w:p>
    <w:p w14:paraId="42ED36BF" w14:textId="77777777" w:rsidR="009D0202" w:rsidRPr="00AE33A5" w:rsidRDefault="00D012ED">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Quincuagésimo</w:t>
      </w:r>
      <w:r w:rsidRPr="00AE33A5">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215A13C8" w14:textId="77777777" w:rsidR="009D0202" w:rsidRPr="00AE33A5" w:rsidRDefault="00D012ED">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Quincuagésimo primero</w:t>
      </w:r>
      <w:r w:rsidRPr="00AE33A5">
        <w:rPr>
          <w:rFonts w:ascii="Palatino Linotype" w:eastAsia="Palatino Linotype" w:hAnsi="Palatino Linotype" w:cs="Palatino Linotype"/>
          <w:i/>
          <w:sz w:val="22"/>
          <w:szCs w:val="22"/>
        </w:rPr>
        <w:t>. Toda acta del Comité de Transparencia deberá contener:</w:t>
      </w:r>
    </w:p>
    <w:p w14:paraId="17B5A3B2" w14:textId="77777777" w:rsidR="009D0202" w:rsidRPr="00AE33A5" w:rsidRDefault="00D012ED">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I. El número de sesión y fecha; </w:t>
      </w:r>
    </w:p>
    <w:p w14:paraId="2E559472" w14:textId="77777777" w:rsidR="009D0202" w:rsidRPr="00AE33A5" w:rsidRDefault="00D012ED">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II. El nombre del área que solicitó la clasificación de información;</w:t>
      </w:r>
    </w:p>
    <w:p w14:paraId="242C9668" w14:textId="77777777" w:rsidR="009D0202" w:rsidRPr="00AE33A5" w:rsidRDefault="00D012ED">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III. La fundamentación legal y motivación correspondiente;</w:t>
      </w:r>
    </w:p>
    <w:p w14:paraId="5D92E813" w14:textId="77777777" w:rsidR="009D0202" w:rsidRPr="00AE33A5" w:rsidRDefault="00D012ED">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IV. La resolución o resoluciones aprobadas; y</w:t>
      </w:r>
    </w:p>
    <w:p w14:paraId="67DE0800" w14:textId="77777777" w:rsidR="009D0202" w:rsidRPr="00AE33A5" w:rsidRDefault="00D012ED">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V. La rúbrica o firma digital de cada integrante del Comité de Transparencia. </w:t>
      </w:r>
    </w:p>
    <w:p w14:paraId="4BE5E5CE" w14:textId="77777777" w:rsidR="009D0202" w:rsidRPr="00AE33A5" w:rsidRDefault="00D012ED">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4DADE8B3" w14:textId="77777777" w:rsidR="009D0202" w:rsidRPr="00AE33A5" w:rsidRDefault="00D012ED">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I. Los motivos y razonamientos que sustenten la confirmación o modificación de la prueba de daño;</w:t>
      </w:r>
    </w:p>
    <w:p w14:paraId="23C50534" w14:textId="77777777" w:rsidR="009D0202" w:rsidRPr="00AE33A5" w:rsidRDefault="00D012ED">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II. Descripción de las partes o secciones reservadas, en caso de clasificación parcial;</w:t>
      </w:r>
    </w:p>
    <w:p w14:paraId="58655E20" w14:textId="77777777" w:rsidR="009D0202" w:rsidRPr="00AE33A5" w:rsidRDefault="00D012ED">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III. El periodo por el que mantendrá su clasificación y fecha de expiración; y</w:t>
      </w:r>
    </w:p>
    <w:p w14:paraId="43D8E158" w14:textId="77777777" w:rsidR="009D0202" w:rsidRPr="00AE33A5" w:rsidRDefault="00D012ED">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IV. El nombre del titular y área encargada de realizar la versión pública del documento, en su caso.</w:t>
      </w:r>
    </w:p>
    <w:p w14:paraId="7249C023" w14:textId="77777777" w:rsidR="009D0202" w:rsidRPr="00AE33A5" w:rsidRDefault="00D012ED">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En los casos en que se clasifique la información como reservada siempre se entregará o anexará la prueba de daño con la respuesta al solicitante. </w:t>
      </w:r>
    </w:p>
    <w:p w14:paraId="125CF062" w14:textId="77777777" w:rsidR="009D0202" w:rsidRPr="00AE33A5" w:rsidRDefault="00D012ED">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14:paraId="127EA836" w14:textId="77777777" w:rsidR="009D0202" w:rsidRPr="00AE33A5" w:rsidRDefault="00D012ED">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i/>
          <w:sz w:val="22"/>
          <w:szCs w:val="22"/>
        </w:rPr>
        <w:t>Quincuagésimo segundo</w:t>
      </w:r>
      <w:r w:rsidRPr="00AE33A5">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007D378" w14:textId="77777777" w:rsidR="009D0202" w:rsidRPr="00AE33A5" w:rsidRDefault="00D012ED">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674870BE" w14:textId="77777777" w:rsidR="009D0202" w:rsidRPr="00AE33A5" w:rsidRDefault="00D012ED">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611A142B" w14:textId="77777777" w:rsidR="009D0202" w:rsidRPr="00AE33A5" w:rsidRDefault="00D012ED">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084AC15" w14:textId="77777777" w:rsidR="009D0202" w:rsidRPr="00AE33A5" w:rsidRDefault="00D012ED">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III. Señalar las personas o instancias autorizadas a acceder a la información clasificada.</w:t>
      </w:r>
    </w:p>
    <w:p w14:paraId="3CCA8223" w14:textId="77777777" w:rsidR="009D0202" w:rsidRPr="00AE33A5" w:rsidRDefault="00D012ED">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w:t>
      </w:r>
    </w:p>
    <w:p w14:paraId="3FEF50C2" w14:textId="77777777" w:rsidR="009D0202" w:rsidRPr="00AE33A5" w:rsidRDefault="00D012ED">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AF9E65C" w14:textId="77777777" w:rsidR="009D0202" w:rsidRPr="00AE33A5" w:rsidRDefault="00D012ED">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i/>
          <w:sz w:val="22"/>
          <w:szCs w:val="22"/>
        </w:rPr>
        <w:t>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400746FE" w14:textId="77777777" w:rsidR="009D0202" w:rsidRPr="00AE33A5" w:rsidRDefault="009D0202">
      <w:pPr>
        <w:spacing w:line="360" w:lineRule="auto"/>
        <w:jc w:val="both"/>
        <w:rPr>
          <w:rFonts w:ascii="Palatino Linotype" w:eastAsia="Palatino Linotype" w:hAnsi="Palatino Linotype" w:cs="Palatino Linotype"/>
          <w:sz w:val="22"/>
          <w:szCs w:val="22"/>
        </w:rPr>
      </w:pPr>
    </w:p>
    <w:p w14:paraId="723B4381" w14:textId="77777777" w:rsidR="009D0202" w:rsidRPr="00AE33A5" w:rsidRDefault="00D012E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lastRenderedPageBreak/>
        <w:t>Efectivamente, cuando se clasifica información como confidencial es importante someterlo al Comité de Transparencia, quien debe confirmar, modificar o revocar la clasificación.</w:t>
      </w:r>
    </w:p>
    <w:p w14:paraId="6699A5C5" w14:textId="77777777" w:rsidR="009D0202" w:rsidRPr="00AE33A5" w:rsidRDefault="009D0202">
      <w:pPr>
        <w:spacing w:line="360" w:lineRule="auto"/>
        <w:jc w:val="both"/>
        <w:rPr>
          <w:rFonts w:ascii="Palatino Linotype" w:eastAsia="Palatino Linotype" w:hAnsi="Palatino Linotype" w:cs="Palatino Linotype"/>
          <w:sz w:val="22"/>
          <w:szCs w:val="22"/>
        </w:rPr>
      </w:pPr>
    </w:p>
    <w:p w14:paraId="2F7964CA" w14:textId="77777777" w:rsidR="009D0202" w:rsidRPr="00AE33A5" w:rsidRDefault="00D012ED">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AE33A5">
        <w:rPr>
          <w:rFonts w:ascii="Palatino Linotype" w:eastAsia="Palatino Linotype" w:hAnsi="Palatino Linotype" w:cs="Palatino Linotype"/>
          <w:b/>
          <w:sz w:val="22"/>
          <w:szCs w:val="22"/>
        </w:rPr>
        <w:t>Recurrente</w:t>
      </w:r>
      <w:r w:rsidRPr="00AE33A5">
        <w:rPr>
          <w:rFonts w:ascii="Palatino Linotype" w:eastAsia="Palatino Linotype" w:hAnsi="Palatino Linotype" w:cs="Palatino Linotype"/>
          <w:sz w:val="22"/>
          <w:szCs w:val="22"/>
        </w:rPr>
        <w:t>.</w:t>
      </w:r>
    </w:p>
    <w:p w14:paraId="5F1C5446" w14:textId="77777777" w:rsidR="009D0202" w:rsidRPr="00AE33A5" w:rsidRDefault="009D0202">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p>
    <w:p w14:paraId="5CD9F8CA" w14:textId="77777777" w:rsidR="009D0202" w:rsidRPr="00AE33A5" w:rsidRDefault="00D012ED">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Referente a la </w:t>
      </w:r>
      <w:r w:rsidRPr="00AE33A5">
        <w:rPr>
          <w:rFonts w:ascii="Palatino Linotype" w:eastAsia="Palatino Linotype" w:hAnsi="Palatino Linotype" w:cs="Palatino Linotype"/>
          <w:b/>
          <w:sz w:val="22"/>
          <w:szCs w:val="22"/>
        </w:rPr>
        <w:t>fotografía</w:t>
      </w:r>
      <w:r w:rsidRPr="00AE33A5">
        <w:rPr>
          <w:rFonts w:ascii="Palatino Linotype" w:eastAsia="Palatino Linotype" w:hAnsi="Palatino Linotype" w:cs="Palatino Linotype"/>
          <w:sz w:val="22"/>
          <w:szCs w:val="22"/>
        </w:rPr>
        <w:t xml:space="preserve"> en documento que acredite el último grado de estudios,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312A44C9" w14:textId="77777777" w:rsidR="009D0202" w:rsidRPr="00AE33A5" w:rsidRDefault="009D0202">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p>
    <w:p w14:paraId="3D9D9FF9" w14:textId="77777777" w:rsidR="009D0202" w:rsidRPr="00AE33A5" w:rsidRDefault="00D012E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w:t>
      </w:r>
      <w:r w:rsidRPr="00AE33A5">
        <w:rPr>
          <w:rFonts w:ascii="Palatino Linotype" w:eastAsia="Palatino Linotype" w:hAnsi="Palatino Linotype" w:cs="Palatino Linotype"/>
          <w:sz w:val="22"/>
          <w:szCs w:val="22"/>
        </w:rPr>
        <w:lastRenderedPageBreak/>
        <w:t>como servidor público, por lo que es posible advertir que existe cierto interés público, cuando la fotografía obra en documentos de servidores públicos vinculados con el cumplimiento de disposiciones legales.</w:t>
      </w:r>
    </w:p>
    <w:p w14:paraId="630EDBD6" w14:textId="77777777" w:rsidR="009D0202" w:rsidRPr="00AE33A5" w:rsidRDefault="009D0202">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p>
    <w:p w14:paraId="4C148C6A" w14:textId="77777777" w:rsidR="009D0202" w:rsidRPr="00AE33A5" w:rsidRDefault="00D012E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4B5B9905" w14:textId="77777777" w:rsidR="009D0202" w:rsidRPr="00AE33A5" w:rsidRDefault="009D020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40A3ED8" w14:textId="77777777" w:rsidR="009D0202" w:rsidRPr="00AE33A5" w:rsidRDefault="00D012E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681998C4" w14:textId="77777777" w:rsidR="009D0202" w:rsidRPr="00AE33A5" w:rsidRDefault="009D020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9068F2A" w14:textId="77777777" w:rsidR="009D0202" w:rsidRPr="00AE33A5" w:rsidRDefault="00D012E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w:t>
      </w:r>
      <w:r w:rsidRPr="00AE33A5">
        <w:rPr>
          <w:rFonts w:ascii="Palatino Linotype" w:eastAsia="Palatino Linotype" w:hAnsi="Palatino Linotype" w:cs="Palatino Linotype"/>
          <w:sz w:val="22"/>
          <w:szCs w:val="22"/>
        </w:rPr>
        <w:lastRenderedPageBreak/>
        <w:t xml:space="preserve">cumplimiento de disposiciones normativas o el ejercicio de funciones revisten un interés público. </w:t>
      </w:r>
    </w:p>
    <w:p w14:paraId="4BAF10AE" w14:textId="77777777" w:rsidR="009D0202" w:rsidRPr="00AE33A5" w:rsidRDefault="009D020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61FB58F" w14:textId="77777777" w:rsidR="009D0202" w:rsidRPr="00AE33A5" w:rsidRDefault="00D012E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5984FA53" w14:textId="77777777" w:rsidR="009D0202" w:rsidRPr="00AE33A5" w:rsidRDefault="009D020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D843803" w14:textId="77777777" w:rsidR="009D0202" w:rsidRPr="00AE33A5" w:rsidRDefault="00D012E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3465C094" w14:textId="77777777" w:rsidR="009D0202" w:rsidRPr="00AE33A5" w:rsidRDefault="009D020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E99C069" w14:textId="77777777" w:rsidR="009D0202" w:rsidRPr="00AE33A5" w:rsidRDefault="00D012E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 Cabe hacer la aclaración que aquellos documentos que sean clasificados en su totalidad por no revestir de interés público, como lo es la credencial de elector, la fotografía correrá la misma suerte que el documento en cuestión, únicamente para dicha expresión documental. </w:t>
      </w:r>
    </w:p>
    <w:p w14:paraId="2B776366" w14:textId="77777777" w:rsidR="009D0202" w:rsidRPr="00AE33A5" w:rsidRDefault="009D0202">
      <w:pPr>
        <w:tabs>
          <w:tab w:val="left" w:pos="4962"/>
        </w:tabs>
        <w:spacing w:line="360" w:lineRule="auto"/>
        <w:ind w:right="-28"/>
        <w:jc w:val="both"/>
        <w:rPr>
          <w:rFonts w:ascii="Palatino Linotype" w:eastAsia="Palatino Linotype" w:hAnsi="Palatino Linotype" w:cs="Palatino Linotype"/>
          <w:sz w:val="22"/>
          <w:szCs w:val="22"/>
        </w:rPr>
      </w:pPr>
    </w:p>
    <w:p w14:paraId="1E2CFF12" w14:textId="77777777" w:rsidR="009D0202" w:rsidRPr="00AE33A5" w:rsidRDefault="00D012ED">
      <w:pPr>
        <w:tabs>
          <w:tab w:val="left" w:pos="4962"/>
        </w:tabs>
        <w:spacing w:line="360" w:lineRule="auto"/>
        <w:ind w:right="-28"/>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 xml:space="preserve">Por cuanto hace a la </w:t>
      </w:r>
      <w:r w:rsidRPr="00AE33A5">
        <w:rPr>
          <w:rFonts w:ascii="Palatino Linotype" w:eastAsia="Palatino Linotype" w:hAnsi="Palatino Linotype" w:cs="Palatino Linotype"/>
          <w:b/>
          <w:sz w:val="22"/>
          <w:szCs w:val="22"/>
        </w:rPr>
        <w:t>firma</w:t>
      </w:r>
      <w:r w:rsidRPr="00AE33A5">
        <w:rPr>
          <w:rFonts w:ascii="Palatino Linotype" w:eastAsia="Palatino Linotype" w:hAnsi="Palatino Linotype" w:cs="Palatino Linotype"/>
          <w:sz w:val="22"/>
          <w:szCs w:val="22"/>
        </w:rPr>
        <w:t xml:space="preserve"> en comprobantes de estudios, cabe precisar que por regla general, este dato es considerado como confidencial, no obstante, en el caso de los servidores </w:t>
      </w:r>
      <w:r w:rsidRPr="00AE33A5">
        <w:rPr>
          <w:rFonts w:ascii="Palatino Linotype" w:eastAsia="Palatino Linotype" w:hAnsi="Palatino Linotype" w:cs="Palatino Linotype"/>
          <w:sz w:val="22"/>
          <w:szCs w:val="22"/>
        </w:rPr>
        <w:lastRenderedPageBreak/>
        <w:t>públicos, existen excepciones en aquellos casos en los que se vincule con el ejercicio de la función pública, en cuyo caso, su naturaleza es pública pues documenta y rinde cuentas sobre el debido ejercicio de sus atribuciones.</w:t>
      </w:r>
    </w:p>
    <w:p w14:paraId="3F42262A" w14:textId="77777777" w:rsidR="009D0202" w:rsidRPr="00AE33A5" w:rsidRDefault="009D0202">
      <w:pPr>
        <w:tabs>
          <w:tab w:val="left" w:pos="4962"/>
        </w:tabs>
        <w:spacing w:line="360" w:lineRule="auto"/>
        <w:ind w:right="-28"/>
        <w:jc w:val="both"/>
        <w:rPr>
          <w:rFonts w:ascii="Palatino Linotype" w:eastAsia="Palatino Linotype" w:hAnsi="Palatino Linotype" w:cs="Palatino Linotype"/>
          <w:sz w:val="22"/>
          <w:szCs w:val="22"/>
        </w:rPr>
      </w:pPr>
    </w:p>
    <w:p w14:paraId="67BEDDD1" w14:textId="77777777" w:rsidR="009D0202" w:rsidRPr="00AE33A5" w:rsidRDefault="00D012ED">
      <w:pPr>
        <w:tabs>
          <w:tab w:val="left" w:pos="4962"/>
        </w:tabs>
        <w:spacing w:line="360" w:lineRule="auto"/>
        <w:ind w:right="-28"/>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La publicidad de dicho dato, se robustece, con el Criterio de interpretación, con clave de control SO/002/2019, emitido por el Instituto Nacional de Transparencia, Acceso a la Información y Protección de Datos Personales, INAI, que establece lo siguiente:</w:t>
      </w:r>
    </w:p>
    <w:p w14:paraId="20507C7C" w14:textId="77777777" w:rsidR="009D0202" w:rsidRPr="00AE33A5" w:rsidRDefault="009D0202">
      <w:pPr>
        <w:tabs>
          <w:tab w:val="left" w:pos="4962"/>
        </w:tabs>
        <w:spacing w:line="276" w:lineRule="auto"/>
        <w:ind w:left="851" w:right="616"/>
        <w:jc w:val="both"/>
        <w:rPr>
          <w:rFonts w:ascii="Palatino Linotype" w:eastAsia="Palatino Linotype" w:hAnsi="Palatino Linotype" w:cs="Palatino Linotype"/>
          <w:sz w:val="22"/>
          <w:szCs w:val="22"/>
        </w:rPr>
      </w:pPr>
    </w:p>
    <w:p w14:paraId="4AC4678E" w14:textId="77777777" w:rsidR="009D0202" w:rsidRPr="00AE33A5" w:rsidRDefault="00D012ED">
      <w:pPr>
        <w:tabs>
          <w:tab w:val="left" w:pos="4962"/>
        </w:tabs>
        <w:spacing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sz w:val="22"/>
          <w:szCs w:val="22"/>
        </w:rPr>
        <w:t>“</w:t>
      </w:r>
      <w:r w:rsidRPr="00AE33A5">
        <w:rPr>
          <w:rFonts w:ascii="Palatino Linotype" w:eastAsia="Palatino Linotype" w:hAnsi="Palatino Linotype" w:cs="Palatino Linotype"/>
          <w:b/>
          <w:i/>
          <w:sz w:val="22"/>
          <w:szCs w:val="22"/>
        </w:rPr>
        <w:t>Firma y rúbrica de servidores públicos.</w:t>
      </w:r>
      <w:r w:rsidRPr="00AE33A5">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6BC58980" w14:textId="77777777" w:rsidR="009D0202" w:rsidRPr="00AE33A5" w:rsidRDefault="009D0202">
      <w:pPr>
        <w:tabs>
          <w:tab w:val="left" w:pos="4962"/>
        </w:tabs>
        <w:spacing w:line="360" w:lineRule="auto"/>
        <w:ind w:right="-28"/>
        <w:jc w:val="both"/>
        <w:rPr>
          <w:rFonts w:ascii="Palatino Linotype" w:eastAsia="Palatino Linotype" w:hAnsi="Palatino Linotype" w:cs="Palatino Linotype"/>
          <w:sz w:val="22"/>
          <w:szCs w:val="22"/>
        </w:rPr>
      </w:pPr>
    </w:p>
    <w:p w14:paraId="1438E851" w14:textId="77777777" w:rsidR="009D0202" w:rsidRPr="00AE33A5" w:rsidRDefault="00D012ED">
      <w:pPr>
        <w:tabs>
          <w:tab w:val="left" w:pos="4962"/>
        </w:tabs>
        <w:spacing w:line="360" w:lineRule="auto"/>
        <w:ind w:right="-28"/>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No obstante, en el presente caso dicho supuesto no se actualiza, dado que la firma de los servidores públicos titulares de los comprobantes de estudios, de ser el caso, se plasmó en su calidad de particulares, por lo tanto, procede la clasificación de dicho dato de los servidores públicos en los documentos que acrediten su último grado de estudios, en términos del artículo 143, fracción I de la Ley de Transparencia y Acceso a la Información Pública del Estado de México y Municipios.</w:t>
      </w:r>
    </w:p>
    <w:p w14:paraId="663525CB" w14:textId="77777777" w:rsidR="009D0202" w:rsidRPr="00AE33A5" w:rsidRDefault="00D012ED">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sz w:val="22"/>
          <w:szCs w:val="22"/>
        </w:rPr>
        <w:t>Así, con fundamento en lo prescrito en los artículos 5g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1FF7C9B2" w14:textId="77777777" w:rsidR="009D0202" w:rsidRPr="00AE33A5" w:rsidRDefault="00D012ED">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bookmarkStart w:id="15" w:name="_heading=h.ijv98pntcd5s" w:colFirst="0" w:colLast="0"/>
      <w:bookmarkEnd w:id="15"/>
      <w:r w:rsidRPr="00AE33A5">
        <w:rPr>
          <w:rFonts w:ascii="Palatino Linotype" w:eastAsia="Palatino Linotype" w:hAnsi="Palatino Linotype" w:cs="Palatino Linotype"/>
          <w:b/>
          <w:sz w:val="22"/>
          <w:szCs w:val="22"/>
        </w:rPr>
        <w:t>III. R E S U E L V E</w:t>
      </w:r>
    </w:p>
    <w:p w14:paraId="00016931"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bookmarkStart w:id="16" w:name="_heading=h.26in1rg" w:colFirst="0" w:colLast="0"/>
      <w:bookmarkEnd w:id="16"/>
      <w:r w:rsidRPr="00AE33A5">
        <w:rPr>
          <w:rFonts w:ascii="Palatino Linotype" w:eastAsia="Palatino Linotype" w:hAnsi="Palatino Linotype" w:cs="Palatino Linotype"/>
          <w:b/>
          <w:sz w:val="22"/>
          <w:szCs w:val="22"/>
        </w:rPr>
        <w:lastRenderedPageBreak/>
        <w:t xml:space="preserve">Primero. </w:t>
      </w:r>
      <w:r w:rsidRPr="00AE33A5">
        <w:rPr>
          <w:rFonts w:ascii="Palatino Linotype" w:eastAsia="Palatino Linotype" w:hAnsi="Palatino Linotype" w:cs="Palatino Linotype"/>
          <w:sz w:val="22"/>
          <w:szCs w:val="22"/>
        </w:rPr>
        <w:t xml:space="preserve">Resultan </w:t>
      </w:r>
      <w:r w:rsidRPr="00AE33A5">
        <w:rPr>
          <w:rFonts w:ascii="Palatino Linotype" w:eastAsia="Palatino Linotype" w:hAnsi="Palatino Linotype" w:cs="Palatino Linotype"/>
          <w:b/>
          <w:sz w:val="22"/>
          <w:szCs w:val="22"/>
        </w:rPr>
        <w:t>parcialmente fundadas</w:t>
      </w:r>
      <w:r w:rsidRPr="00AE33A5">
        <w:rPr>
          <w:rFonts w:ascii="Palatino Linotype" w:eastAsia="Palatino Linotype" w:hAnsi="Palatino Linotype" w:cs="Palatino Linotype"/>
          <w:sz w:val="22"/>
          <w:szCs w:val="22"/>
        </w:rPr>
        <w:t xml:space="preserve"> las razones o motivos de inconformidad hechos valer por la parte</w:t>
      </w:r>
      <w:r w:rsidRPr="00AE33A5">
        <w:rPr>
          <w:rFonts w:ascii="Palatino Linotype" w:eastAsia="Palatino Linotype" w:hAnsi="Palatino Linotype" w:cs="Palatino Linotype"/>
          <w:b/>
          <w:sz w:val="22"/>
          <w:szCs w:val="22"/>
        </w:rPr>
        <w:t xml:space="preserve"> Recurrente</w:t>
      </w:r>
      <w:r w:rsidRPr="00AE33A5">
        <w:rPr>
          <w:rFonts w:ascii="Palatino Linotype" w:eastAsia="Palatino Linotype" w:hAnsi="Palatino Linotype" w:cs="Palatino Linotype"/>
          <w:sz w:val="22"/>
          <w:szCs w:val="22"/>
        </w:rPr>
        <w:t xml:space="preserve"> en el recurso de revisión </w:t>
      </w:r>
      <w:r w:rsidRPr="00AE33A5">
        <w:rPr>
          <w:rFonts w:ascii="Palatino Linotype" w:eastAsia="Palatino Linotype" w:hAnsi="Palatino Linotype" w:cs="Palatino Linotype"/>
          <w:b/>
          <w:sz w:val="22"/>
          <w:szCs w:val="22"/>
        </w:rPr>
        <w:t>05159/INFOEM/IP/RR/2024</w:t>
      </w:r>
      <w:r w:rsidRPr="00AE33A5">
        <w:rPr>
          <w:rFonts w:ascii="Palatino Linotype" w:eastAsia="Palatino Linotype" w:hAnsi="Palatino Linotype" w:cs="Palatino Linotype"/>
          <w:sz w:val="22"/>
          <w:szCs w:val="22"/>
        </w:rPr>
        <w:t xml:space="preserve">; por lo que, en términos del </w:t>
      </w:r>
      <w:r w:rsidRPr="00AE33A5">
        <w:rPr>
          <w:rFonts w:ascii="Palatino Linotype" w:eastAsia="Palatino Linotype" w:hAnsi="Palatino Linotype" w:cs="Palatino Linotype"/>
          <w:b/>
          <w:sz w:val="22"/>
          <w:szCs w:val="22"/>
        </w:rPr>
        <w:t>Considerando</w:t>
      </w:r>
      <w:r w:rsidRPr="00AE33A5">
        <w:rPr>
          <w:rFonts w:ascii="Palatino Linotype" w:eastAsia="Palatino Linotype" w:hAnsi="Palatino Linotype" w:cs="Palatino Linotype"/>
          <w:sz w:val="22"/>
          <w:szCs w:val="22"/>
        </w:rPr>
        <w:t xml:space="preserve"> </w:t>
      </w:r>
      <w:r w:rsidRPr="00AE33A5">
        <w:rPr>
          <w:rFonts w:ascii="Palatino Linotype" w:eastAsia="Palatino Linotype" w:hAnsi="Palatino Linotype" w:cs="Palatino Linotype"/>
          <w:b/>
          <w:sz w:val="22"/>
          <w:szCs w:val="22"/>
        </w:rPr>
        <w:t xml:space="preserve">Cuarto </w:t>
      </w:r>
      <w:r w:rsidRPr="00AE33A5">
        <w:rPr>
          <w:rFonts w:ascii="Palatino Linotype" w:eastAsia="Palatino Linotype" w:hAnsi="Palatino Linotype" w:cs="Palatino Linotype"/>
          <w:sz w:val="22"/>
          <w:szCs w:val="22"/>
        </w:rPr>
        <w:t xml:space="preserve">de esta resolución, se </w:t>
      </w:r>
      <w:r w:rsidRPr="00AE33A5">
        <w:rPr>
          <w:rFonts w:ascii="Palatino Linotype" w:eastAsia="Palatino Linotype" w:hAnsi="Palatino Linotype" w:cs="Palatino Linotype"/>
          <w:b/>
          <w:sz w:val="22"/>
          <w:szCs w:val="22"/>
        </w:rPr>
        <w:t xml:space="preserve">Modifica </w:t>
      </w:r>
      <w:r w:rsidRPr="00AE33A5">
        <w:rPr>
          <w:rFonts w:ascii="Palatino Linotype" w:eastAsia="Palatino Linotype" w:hAnsi="Palatino Linotype" w:cs="Palatino Linotype"/>
          <w:sz w:val="22"/>
          <w:szCs w:val="22"/>
        </w:rPr>
        <w:t xml:space="preserve">la respuesta emitida por el </w:t>
      </w:r>
      <w:r w:rsidRPr="00AE33A5">
        <w:rPr>
          <w:rFonts w:ascii="Palatino Linotype" w:eastAsia="Palatino Linotype" w:hAnsi="Palatino Linotype" w:cs="Palatino Linotype"/>
          <w:b/>
          <w:sz w:val="22"/>
          <w:szCs w:val="22"/>
        </w:rPr>
        <w:t xml:space="preserve">Sujeto Obligado. </w:t>
      </w:r>
    </w:p>
    <w:p w14:paraId="512D20C4" w14:textId="77777777" w:rsidR="009D0202" w:rsidRPr="00AE33A5" w:rsidRDefault="00D012ED">
      <w:pPr>
        <w:spacing w:before="240" w:after="240" w:line="360" w:lineRule="auto"/>
        <w:ind w:right="49"/>
        <w:jc w:val="both"/>
        <w:rPr>
          <w:rFonts w:ascii="Palatino Linotype" w:eastAsia="Palatino Linotype" w:hAnsi="Palatino Linotype" w:cs="Palatino Linotype"/>
          <w:b/>
          <w:sz w:val="22"/>
          <w:szCs w:val="22"/>
        </w:rPr>
      </w:pPr>
      <w:r w:rsidRPr="00AE33A5">
        <w:rPr>
          <w:rFonts w:ascii="Palatino Linotype" w:eastAsia="Palatino Linotype" w:hAnsi="Palatino Linotype" w:cs="Palatino Linotype"/>
          <w:b/>
          <w:sz w:val="22"/>
          <w:szCs w:val="22"/>
        </w:rPr>
        <w:t xml:space="preserve">Segundo. </w:t>
      </w:r>
      <w:r w:rsidRPr="00AE33A5">
        <w:rPr>
          <w:rFonts w:ascii="Palatino Linotype" w:eastAsia="Palatino Linotype" w:hAnsi="Palatino Linotype" w:cs="Palatino Linotype"/>
          <w:sz w:val="22"/>
          <w:szCs w:val="22"/>
        </w:rPr>
        <w:t xml:space="preserve">Se </w:t>
      </w:r>
      <w:r w:rsidRPr="00AE33A5">
        <w:rPr>
          <w:rFonts w:ascii="Palatino Linotype" w:eastAsia="Palatino Linotype" w:hAnsi="Palatino Linotype" w:cs="Palatino Linotype"/>
          <w:b/>
          <w:sz w:val="22"/>
          <w:szCs w:val="22"/>
        </w:rPr>
        <w:t xml:space="preserve">Ordena </w:t>
      </w:r>
      <w:r w:rsidRPr="00AE33A5">
        <w:rPr>
          <w:rFonts w:ascii="Palatino Linotype" w:eastAsia="Palatino Linotype" w:hAnsi="Palatino Linotype" w:cs="Palatino Linotype"/>
          <w:sz w:val="22"/>
          <w:szCs w:val="22"/>
        </w:rPr>
        <w:t xml:space="preserve">al </w:t>
      </w:r>
      <w:r w:rsidRPr="00AE33A5">
        <w:rPr>
          <w:rFonts w:ascii="Palatino Linotype" w:eastAsia="Palatino Linotype" w:hAnsi="Palatino Linotype" w:cs="Palatino Linotype"/>
          <w:b/>
          <w:sz w:val="22"/>
          <w:szCs w:val="22"/>
        </w:rPr>
        <w:t>Sujeto Obligado</w:t>
      </w:r>
      <w:r w:rsidRPr="00AE33A5">
        <w:rPr>
          <w:rFonts w:ascii="Palatino Linotype" w:eastAsia="Palatino Linotype" w:hAnsi="Palatino Linotype" w:cs="Palatino Linotype"/>
          <w:sz w:val="22"/>
          <w:szCs w:val="22"/>
        </w:rPr>
        <w:t xml:space="preserve"> haga entrega, de ser procedente en versión pública a la parte</w:t>
      </w:r>
      <w:r w:rsidRPr="00AE33A5">
        <w:rPr>
          <w:rFonts w:ascii="Palatino Linotype" w:eastAsia="Palatino Linotype" w:hAnsi="Palatino Linotype" w:cs="Palatino Linotype"/>
          <w:b/>
          <w:sz w:val="22"/>
          <w:szCs w:val="22"/>
        </w:rPr>
        <w:t xml:space="preserve"> Recurrente,</w:t>
      </w:r>
      <w:r w:rsidRPr="00AE33A5">
        <w:rPr>
          <w:rFonts w:ascii="Palatino Linotype" w:eastAsia="Palatino Linotype" w:hAnsi="Palatino Linotype" w:cs="Palatino Linotype"/>
          <w:sz w:val="22"/>
          <w:szCs w:val="22"/>
        </w:rPr>
        <w:t xml:space="preserve"> vía </w:t>
      </w:r>
      <w:r w:rsidRPr="00AE33A5">
        <w:rPr>
          <w:rFonts w:ascii="Palatino Linotype" w:eastAsia="Palatino Linotype" w:hAnsi="Palatino Linotype" w:cs="Palatino Linotype"/>
          <w:b/>
          <w:sz w:val="22"/>
          <w:szCs w:val="22"/>
        </w:rPr>
        <w:t xml:space="preserve">SAIMEX, </w:t>
      </w:r>
      <w:r w:rsidRPr="00AE33A5">
        <w:rPr>
          <w:rFonts w:ascii="Palatino Linotype" w:eastAsia="Palatino Linotype" w:hAnsi="Palatino Linotype" w:cs="Palatino Linotype"/>
          <w:sz w:val="22"/>
          <w:szCs w:val="22"/>
        </w:rPr>
        <w:t xml:space="preserve">en términos de los </w:t>
      </w:r>
      <w:r w:rsidRPr="00AE33A5">
        <w:rPr>
          <w:rFonts w:ascii="Palatino Linotype" w:eastAsia="Palatino Linotype" w:hAnsi="Palatino Linotype" w:cs="Palatino Linotype"/>
          <w:b/>
          <w:sz w:val="22"/>
          <w:szCs w:val="22"/>
        </w:rPr>
        <w:t>Considerandos</w:t>
      </w:r>
      <w:r w:rsidRPr="00AE33A5">
        <w:rPr>
          <w:rFonts w:ascii="Palatino Linotype" w:eastAsia="Palatino Linotype" w:hAnsi="Palatino Linotype" w:cs="Palatino Linotype"/>
          <w:sz w:val="22"/>
          <w:szCs w:val="22"/>
        </w:rPr>
        <w:t xml:space="preserve"> </w:t>
      </w:r>
      <w:r w:rsidRPr="00AE33A5">
        <w:rPr>
          <w:rFonts w:ascii="Palatino Linotype" w:eastAsia="Palatino Linotype" w:hAnsi="Palatino Linotype" w:cs="Palatino Linotype"/>
          <w:b/>
          <w:sz w:val="22"/>
          <w:szCs w:val="22"/>
        </w:rPr>
        <w:t>Cuarto y Quinto, de lo siguiente:</w:t>
      </w:r>
    </w:p>
    <w:p w14:paraId="4B4EE03C" w14:textId="77777777" w:rsidR="009D0202" w:rsidRPr="00AE33A5" w:rsidRDefault="00D012ED">
      <w:pPr>
        <w:numPr>
          <w:ilvl w:val="0"/>
          <w:numId w:val="8"/>
        </w:numPr>
        <w:pBdr>
          <w:top w:val="nil"/>
          <w:left w:val="nil"/>
          <w:bottom w:val="nil"/>
          <w:right w:val="nil"/>
          <w:between w:val="nil"/>
        </w:pBdr>
        <w:spacing w:before="240" w:line="276" w:lineRule="auto"/>
        <w:ind w:left="851" w:right="616" w:firstLine="0"/>
        <w:jc w:val="both"/>
        <w:rPr>
          <w:rFonts w:ascii="Palatino Linotype" w:eastAsia="Palatino Linotype" w:hAnsi="Palatino Linotype" w:cs="Palatino Linotype"/>
          <w:b/>
          <w:i/>
          <w:sz w:val="22"/>
          <w:szCs w:val="22"/>
        </w:rPr>
      </w:pPr>
      <w:bookmarkStart w:id="17" w:name="_heading=h.lnxbz9" w:colFirst="0" w:colLast="0"/>
      <w:bookmarkEnd w:id="17"/>
      <w:r w:rsidRPr="00AE33A5">
        <w:rPr>
          <w:rFonts w:ascii="Palatino Linotype" w:eastAsia="Palatino Linotype" w:hAnsi="Palatino Linotype" w:cs="Palatino Linotype"/>
          <w:b/>
          <w:i/>
          <w:sz w:val="22"/>
          <w:szCs w:val="22"/>
        </w:rPr>
        <w:t>Los contratos celebrados para la adquisición de muebles o cambio de mobiliario de la casa de la cultura, del primero de enero de dos mil veintidós al seis de agosto de dos mil veinticuatro.</w:t>
      </w:r>
    </w:p>
    <w:p w14:paraId="2BFD4E1E" w14:textId="77777777" w:rsidR="009D0202" w:rsidRPr="00AE33A5" w:rsidRDefault="00D012ED">
      <w:pPr>
        <w:numPr>
          <w:ilvl w:val="0"/>
          <w:numId w:val="8"/>
        </w:numPr>
        <w:pBdr>
          <w:top w:val="nil"/>
          <w:left w:val="nil"/>
          <w:bottom w:val="nil"/>
          <w:right w:val="nil"/>
          <w:between w:val="nil"/>
        </w:pBdr>
        <w:spacing w:before="240" w:after="120" w:line="276" w:lineRule="auto"/>
        <w:ind w:left="851" w:right="616" w:firstLine="0"/>
        <w:jc w:val="both"/>
        <w:rPr>
          <w:rFonts w:ascii="Palatino Linotype" w:eastAsia="Palatino Linotype" w:hAnsi="Palatino Linotype" w:cs="Palatino Linotype"/>
          <w:b/>
          <w:i/>
          <w:sz w:val="22"/>
          <w:szCs w:val="22"/>
        </w:rPr>
      </w:pPr>
      <w:r w:rsidRPr="00AE33A5">
        <w:rPr>
          <w:rFonts w:ascii="Palatino Linotype" w:eastAsia="Palatino Linotype" w:hAnsi="Palatino Linotype" w:cs="Palatino Linotype"/>
          <w:b/>
          <w:i/>
          <w:sz w:val="22"/>
          <w:szCs w:val="22"/>
        </w:rPr>
        <w:t>En relación con la información que se ordena en el punto número uno, las facturas generadas para el pago de dichos contratos</w:t>
      </w:r>
      <w:r w:rsidRPr="00AE33A5">
        <w:rPr>
          <w:rFonts w:ascii="Palatino Linotype" w:eastAsia="Palatino Linotype" w:hAnsi="Palatino Linotype" w:cs="Palatino Linotype"/>
          <w:sz w:val="22"/>
          <w:szCs w:val="22"/>
        </w:rPr>
        <w:t xml:space="preserve"> </w:t>
      </w:r>
      <w:r w:rsidRPr="00AE33A5">
        <w:rPr>
          <w:rFonts w:ascii="Palatino Linotype" w:eastAsia="Palatino Linotype" w:hAnsi="Palatino Linotype" w:cs="Palatino Linotype"/>
          <w:b/>
          <w:i/>
          <w:sz w:val="22"/>
          <w:szCs w:val="22"/>
        </w:rPr>
        <w:t>con las que cuente al seis de agosto de dos mil veinticuatro.</w:t>
      </w:r>
    </w:p>
    <w:p w14:paraId="2FAA9317" w14:textId="77777777" w:rsidR="009D0202" w:rsidRPr="00AE33A5" w:rsidRDefault="00D012ED">
      <w:pPr>
        <w:numPr>
          <w:ilvl w:val="0"/>
          <w:numId w:val="8"/>
        </w:numPr>
        <w:pBdr>
          <w:top w:val="nil"/>
          <w:left w:val="nil"/>
          <w:bottom w:val="nil"/>
          <w:right w:val="nil"/>
          <w:between w:val="nil"/>
        </w:pBdr>
        <w:spacing w:before="240" w:line="276" w:lineRule="auto"/>
        <w:ind w:left="851" w:right="616" w:firstLine="0"/>
        <w:jc w:val="both"/>
        <w:rPr>
          <w:rFonts w:ascii="Palatino Linotype" w:eastAsia="Palatino Linotype" w:hAnsi="Palatino Linotype" w:cs="Palatino Linotype"/>
          <w:b/>
          <w:i/>
          <w:sz w:val="22"/>
          <w:szCs w:val="22"/>
        </w:rPr>
      </w:pPr>
      <w:r w:rsidRPr="00AE33A5">
        <w:rPr>
          <w:rFonts w:ascii="Palatino Linotype" w:eastAsia="Palatino Linotype" w:hAnsi="Palatino Linotype" w:cs="Palatino Linotype"/>
          <w:b/>
          <w:i/>
          <w:sz w:val="22"/>
          <w:szCs w:val="22"/>
        </w:rPr>
        <w:t>Los contratos celebrados por objeto de la remodelación de las instalaciones de la Casa de la Cultura, del primero de enero de dos mil veintidós al seis de agosto de dos mil veinticuatro.</w:t>
      </w:r>
    </w:p>
    <w:p w14:paraId="3DD9AA0E" w14:textId="77777777" w:rsidR="009D0202" w:rsidRPr="00AE33A5" w:rsidRDefault="00D012ED">
      <w:pPr>
        <w:numPr>
          <w:ilvl w:val="0"/>
          <w:numId w:val="8"/>
        </w:numPr>
        <w:pBdr>
          <w:top w:val="nil"/>
          <w:left w:val="nil"/>
          <w:bottom w:val="nil"/>
          <w:right w:val="nil"/>
          <w:between w:val="nil"/>
        </w:pBdr>
        <w:spacing w:before="240" w:line="276" w:lineRule="auto"/>
        <w:ind w:left="851" w:right="616" w:firstLine="0"/>
        <w:jc w:val="both"/>
        <w:rPr>
          <w:rFonts w:ascii="Palatino Linotype" w:eastAsia="Palatino Linotype" w:hAnsi="Palatino Linotype" w:cs="Palatino Linotype"/>
          <w:b/>
          <w:i/>
          <w:sz w:val="22"/>
          <w:szCs w:val="22"/>
        </w:rPr>
      </w:pPr>
      <w:r w:rsidRPr="00AE33A5">
        <w:rPr>
          <w:rFonts w:ascii="Palatino Linotype" w:eastAsia="Palatino Linotype" w:hAnsi="Palatino Linotype" w:cs="Palatino Linotype"/>
          <w:b/>
          <w:i/>
          <w:sz w:val="22"/>
          <w:szCs w:val="22"/>
        </w:rPr>
        <w:t>El documento en donde conste el presupuesto asignado para la casa de la cultura, correspondiente del primero de enero de dos mil veintidós al seis de agosto de dos mil veinticuatro.</w:t>
      </w:r>
    </w:p>
    <w:p w14:paraId="625DA69D" w14:textId="77777777" w:rsidR="009D0202" w:rsidRPr="00AE33A5" w:rsidRDefault="00D012ED">
      <w:pPr>
        <w:numPr>
          <w:ilvl w:val="0"/>
          <w:numId w:val="8"/>
        </w:numPr>
        <w:pBdr>
          <w:top w:val="nil"/>
          <w:left w:val="nil"/>
          <w:bottom w:val="nil"/>
          <w:right w:val="nil"/>
          <w:between w:val="nil"/>
        </w:pBdr>
        <w:spacing w:before="240" w:line="276" w:lineRule="auto"/>
        <w:ind w:left="851" w:right="616" w:firstLine="0"/>
        <w:jc w:val="both"/>
        <w:rPr>
          <w:rFonts w:ascii="Palatino Linotype" w:eastAsia="Palatino Linotype" w:hAnsi="Palatino Linotype" w:cs="Palatino Linotype"/>
          <w:b/>
          <w:i/>
          <w:sz w:val="22"/>
          <w:szCs w:val="22"/>
        </w:rPr>
      </w:pPr>
      <w:r w:rsidRPr="00AE33A5">
        <w:rPr>
          <w:rFonts w:ascii="Palatino Linotype" w:eastAsia="Palatino Linotype" w:hAnsi="Palatino Linotype" w:cs="Palatino Linotype"/>
          <w:b/>
          <w:i/>
          <w:sz w:val="22"/>
          <w:szCs w:val="22"/>
        </w:rPr>
        <w:t>El documento en donde conste el nombre del o los servidores públicos encargados del presupuesto asignado a la casa de la cultura, del primero de enero de dos mil veintidós al seis de agosto de dos mil veinticuatro.</w:t>
      </w:r>
    </w:p>
    <w:p w14:paraId="3DCDB279" w14:textId="77777777" w:rsidR="009D0202" w:rsidRPr="00AE33A5" w:rsidRDefault="00D012ED">
      <w:pPr>
        <w:numPr>
          <w:ilvl w:val="0"/>
          <w:numId w:val="8"/>
        </w:numPr>
        <w:pBdr>
          <w:top w:val="nil"/>
          <w:left w:val="nil"/>
          <w:bottom w:val="nil"/>
          <w:right w:val="nil"/>
          <w:between w:val="nil"/>
        </w:pBdr>
        <w:spacing w:before="240" w:line="276" w:lineRule="auto"/>
        <w:ind w:left="851" w:right="616" w:firstLine="0"/>
        <w:jc w:val="both"/>
        <w:rPr>
          <w:rFonts w:ascii="Palatino Linotype" w:eastAsia="Palatino Linotype" w:hAnsi="Palatino Linotype" w:cs="Palatino Linotype"/>
          <w:b/>
          <w:i/>
          <w:sz w:val="22"/>
          <w:szCs w:val="22"/>
        </w:rPr>
      </w:pPr>
      <w:r w:rsidRPr="00AE33A5">
        <w:rPr>
          <w:rFonts w:ascii="Palatino Linotype" w:eastAsia="Palatino Linotype" w:hAnsi="Palatino Linotype" w:cs="Palatino Linotype"/>
          <w:b/>
          <w:i/>
          <w:sz w:val="22"/>
          <w:szCs w:val="22"/>
        </w:rPr>
        <w:t xml:space="preserve">El documento o documentos en donde conste el personal adscrito a la nómina de la Casa de la Cultura faltante; así como el sueldo y el grado académico que ostentan, en funciones al seis de agosto de dos mil veinticuatro. </w:t>
      </w:r>
    </w:p>
    <w:p w14:paraId="174492D8" w14:textId="77777777" w:rsidR="009D0202" w:rsidRPr="00AE33A5" w:rsidRDefault="00D012ED">
      <w:pPr>
        <w:numPr>
          <w:ilvl w:val="0"/>
          <w:numId w:val="8"/>
        </w:numPr>
        <w:pBdr>
          <w:top w:val="nil"/>
          <w:left w:val="nil"/>
          <w:bottom w:val="nil"/>
          <w:right w:val="nil"/>
          <w:between w:val="nil"/>
        </w:pBdr>
        <w:spacing w:before="240" w:line="276" w:lineRule="auto"/>
        <w:ind w:left="851" w:right="616" w:firstLine="0"/>
        <w:jc w:val="both"/>
        <w:rPr>
          <w:rFonts w:ascii="Palatino Linotype" w:eastAsia="Palatino Linotype" w:hAnsi="Palatino Linotype" w:cs="Palatino Linotype"/>
          <w:b/>
          <w:i/>
          <w:sz w:val="22"/>
          <w:szCs w:val="22"/>
        </w:rPr>
      </w:pPr>
      <w:r w:rsidRPr="00AE33A5">
        <w:rPr>
          <w:rFonts w:ascii="Palatino Linotype" w:eastAsia="Palatino Linotype" w:hAnsi="Palatino Linotype" w:cs="Palatino Linotype"/>
          <w:b/>
          <w:i/>
          <w:sz w:val="22"/>
          <w:szCs w:val="22"/>
        </w:rPr>
        <w:lastRenderedPageBreak/>
        <w:t>El documento en donde consten las funciones de los servidores públicos faltantes, en funciones al seis de agosto de dos mil veinticuatro.</w:t>
      </w:r>
    </w:p>
    <w:p w14:paraId="3CC21580" w14:textId="77777777" w:rsidR="009D0202" w:rsidRPr="00AE33A5" w:rsidRDefault="00D012ED">
      <w:pPr>
        <w:pBdr>
          <w:top w:val="nil"/>
          <w:left w:val="nil"/>
          <w:bottom w:val="nil"/>
          <w:right w:val="nil"/>
          <w:between w:val="nil"/>
        </w:pBdr>
        <w:spacing w:before="240" w:after="120" w:line="276" w:lineRule="auto"/>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AE33A5">
        <w:rPr>
          <w:rFonts w:ascii="Palatino Linotype" w:eastAsia="Palatino Linotype" w:hAnsi="Palatino Linotype" w:cs="Palatino Linotype"/>
          <w:b/>
          <w:i/>
          <w:sz w:val="22"/>
          <w:szCs w:val="22"/>
        </w:rPr>
        <w:t>Recurrente</w:t>
      </w:r>
      <w:r w:rsidRPr="00AE33A5">
        <w:rPr>
          <w:rFonts w:ascii="Palatino Linotype" w:eastAsia="Palatino Linotype" w:hAnsi="Palatino Linotype" w:cs="Palatino Linotype"/>
          <w:i/>
          <w:sz w:val="22"/>
          <w:szCs w:val="22"/>
        </w:rPr>
        <w:t>.</w:t>
      </w:r>
    </w:p>
    <w:p w14:paraId="7CBFAFB4" w14:textId="77777777" w:rsidR="009D0202" w:rsidRPr="00AE33A5" w:rsidRDefault="00D012ED">
      <w:pPr>
        <w:ind w:left="851" w:right="616"/>
        <w:jc w:val="both"/>
        <w:rPr>
          <w:rFonts w:ascii="Palatino Linotype" w:eastAsia="Palatino Linotype" w:hAnsi="Palatino Linotype" w:cs="Palatino Linotype"/>
          <w:i/>
          <w:sz w:val="22"/>
          <w:szCs w:val="22"/>
        </w:rPr>
      </w:pPr>
      <w:r w:rsidRPr="00AE33A5">
        <w:rPr>
          <w:rFonts w:ascii="Palatino Linotype" w:eastAsia="Palatino Linotype" w:hAnsi="Palatino Linotype" w:cs="Palatino Linotype"/>
          <w:i/>
          <w:sz w:val="22"/>
          <w:szCs w:val="22"/>
        </w:rPr>
        <w:t xml:space="preserve">Para el caso de que la información que se ordena entregar en los numerales 1, 2 y 6 referente al grado académico que ostenta el personal faltante, no obre en los archivos del </w:t>
      </w:r>
      <w:r w:rsidRPr="00AE33A5">
        <w:rPr>
          <w:rFonts w:ascii="Palatino Linotype" w:eastAsia="Palatino Linotype" w:hAnsi="Palatino Linotype" w:cs="Palatino Linotype"/>
          <w:b/>
          <w:i/>
          <w:sz w:val="22"/>
          <w:szCs w:val="22"/>
        </w:rPr>
        <w:t>Sujeto Obligado</w:t>
      </w:r>
      <w:r w:rsidRPr="00AE33A5">
        <w:rPr>
          <w:rFonts w:ascii="Palatino Linotype" w:eastAsia="Palatino Linotype" w:hAnsi="Palatino Linotype" w:cs="Palatino Linotype"/>
          <w:i/>
          <w:sz w:val="22"/>
          <w:szCs w:val="22"/>
        </w:rPr>
        <w:t xml:space="preserve">, por no haberse poseído o administrado, este deberá hacerlo del conocimiento del Particular en términos del artículo 19, párrafo segundo, de la Ley de Transparencia y Acceso a la Información Pública del Estado de México y Municipios, para tenerse por colmado dicho requerimiento. </w:t>
      </w:r>
    </w:p>
    <w:p w14:paraId="60C49548" w14:textId="77777777" w:rsidR="009D0202" w:rsidRPr="00AE33A5" w:rsidRDefault="00D012ED">
      <w:pPr>
        <w:spacing w:before="240" w:after="240" w:line="360" w:lineRule="auto"/>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sz w:val="22"/>
          <w:szCs w:val="22"/>
        </w:rPr>
        <w:t xml:space="preserve">Tercero. Notifíquese vía SAIMEX, </w:t>
      </w:r>
      <w:r w:rsidRPr="00AE33A5">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09FE5F6" w14:textId="77777777" w:rsidR="009D0202" w:rsidRPr="00AE33A5" w:rsidRDefault="00D012ED">
      <w:pPr>
        <w:spacing w:before="240" w:after="240" w:line="360" w:lineRule="auto"/>
        <w:ind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sz w:val="22"/>
          <w:szCs w:val="22"/>
        </w:rPr>
        <w:t xml:space="preserve">Cuarto. </w:t>
      </w:r>
      <w:r w:rsidRPr="00AE33A5">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1460368" w14:textId="77777777" w:rsidR="009D0202" w:rsidRPr="00AE33A5" w:rsidRDefault="00D012ED">
      <w:pPr>
        <w:spacing w:before="240" w:after="240" w:line="360" w:lineRule="auto"/>
        <w:ind w:right="49"/>
        <w:jc w:val="both"/>
        <w:rPr>
          <w:rFonts w:ascii="Palatino Linotype" w:eastAsia="Palatino Linotype" w:hAnsi="Palatino Linotype" w:cs="Palatino Linotype"/>
          <w:sz w:val="22"/>
          <w:szCs w:val="22"/>
        </w:rPr>
      </w:pPr>
      <w:r w:rsidRPr="00AE33A5">
        <w:rPr>
          <w:rFonts w:ascii="Palatino Linotype" w:eastAsia="Palatino Linotype" w:hAnsi="Palatino Linotype" w:cs="Palatino Linotype"/>
          <w:b/>
          <w:sz w:val="22"/>
          <w:szCs w:val="22"/>
        </w:rPr>
        <w:t xml:space="preserve">Quinto. Notifíquese vía SAIMEX, </w:t>
      </w:r>
      <w:r w:rsidRPr="00AE33A5">
        <w:rPr>
          <w:rFonts w:ascii="Palatino Linotype" w:eastAsia="Palatino Linotype" w:hAnsi="Palatino Linotype" w:cs="Palatino Linotype"/>
          <w:sz w:val="22"/>
          <w:szCs w:val="22"/>
        </w:rPr>
        <w:t>a</w:t>
      </w:r>
      <w:r w:rsidRPr="00AE33A5">
        <w:rPr>
          <w:rFonts w:ascii="Palatino Linotype" w:eastAsia="Palatino Linotype" w:hAnsi="Palatino Linotype" w:cs="Palatino Linotype"/>
          <w:b/>
          <w:sz w:val="22"/>
          <w:szCs w:val="22"/>
        </w:rPr>
        <w:t xml:space="preserve"> la parte Recurrente</w:t>
      </w:r>
      <w:r w:rsidRPr="00AE33A5">
        <w:rPr>
          <w:rFonts w:ascii="Palatino Linotype" w:eastAsia="Palatino Linotype" w:hAnsi="Palatino Linotype" w:cs="Palatino Linotype"/>
          <w:sz w:val="22"/>
          <w:szCs w:val="22"/>
        </w:rPr>
        <w:t xml:space="preserve"> la presente resolución, así como que podrá impugnar vía Juicio de Amparo en los términos de las leyes aplicables, de </w:t>
      </w:r>
      <w:r w:rsidRPr="00AE33A5">
        <w:rPr>
          <w:rFonts w:ascii="Palatino Linotype" w:eastAsia="Palatino Linotype" w:hAnsi="Palatino Linotype" w:cs="Palatino Linotype"/>
          <w:sz w:val="22"/>
          <w:szCs w:val="22"/>
        </w:rPr>
        <w:lastRenderedPageBreak/>
        <w:t xml:space="preserve">conformidad con lo establecido en el artículo 196 de la Ley de Transparencia y Acceso a la Información Pública del Estado de México y Municipios. </w:t>
      </w:r>
    </w:p>
    <w:p w14:paraId="35FD7C22" w14:textId="592ED7BA" w:rsidR="009D0202" w:rsidRPr="00AE33A5" w:rsidRDefault="00D012ED">
      <w:pPr>
        <w:spacing w:line="360" w:lineRule="auto"/>
        <w:jc w:val="both"/>
        <w:rPr>
          <w:rFonts w:ascii="Palatino Linotype" w:eastAsia="Palatino Linotype" w:hAnsi="Palatino Linotype" w:cs="Palatino Linotype"/>
          <w:sz w:val="22"/>
          <w:szCs w:val="22"/>
        </w:rPr>
        <w:sectPr w:rsidR="009D0202" w:rsidRPr="00AE33A5">
          <w:headerReference w:type="default" r:id="rId36"/>
          <w:footerReference w:type="default" r:id="rId37"/>
          <w:headerReference w:type="first" r:id="rId38"/>
          <w:footerReference w:type="first" r:id="rId39"/>
          <w:pgSz w:w="12240" w:h="15840"/>
          <w:pgMar w:top="1985" w:right="1701" w:bottom="1701" w:left="1701" w:header="709" w:footer="709" w:gutter="0"/>
          <w:pgNumType w:start="1"/>
          <w:cols w:space="720"/>
          <w:titlePg/>
        </w:sectPr>
      </w:pPr>
      <w:bookmarkStart w:id="18" w:name="_heading=h.1t3h5sf" w:colFirst="0" w:colLast="0"/>
      <w:bookmarkEnd w:id="18"/>
      <w:r w:rsidRPr="00AE33A5">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w:t>
      </w:r>
      <w:r w:rsidR="0046227A">
        <w:rPr>
          <w:rFonts w:ascii="Palatino Linotype" w:eastAsia="Palatino Linotype" w:hAnsi="Palatino Linotype" w:cs="Palatino Linotype"/>
          <w:sz w:val="22"/>
          <w:szCs w:val="22"/>
        </w:rPr>
        <w:t xml:space="preserve"> (EMITIENDO VOTO PARTICULAR)</w:t>
      </w:r>
      <w:r w:rsidRPr="00AE33A5">
        <w:rPr>
          <w:rFonts w:ascii="Palatino Linotype" w:eastAsia="Palatino Linotype" w:hAnsi="Palatino Linotype" w:cs="Palatino Linotype"/>
          <w:sz w:val="22"/>
          <w:szCs w:val="22"/>
        </w:rPr>
        <w:t>, MARÍA DEL ROSARIO MEJÍA AYALA</w:t>
      </w:r>
      <w:r w:rsidR="00FA23CA" w:rsidRPr="00AE33A5">
        <w:rPr>
          <w:rFonts w:ascii="Palatino Linotype" w:eastAsia="Palatino Linotype" w:hAnsi="Palatino Linotype" w:cs="Palatino Linotype"/>
          <w:sz w:val="22"/>
          <w:szCs w:val="22"/>
        </w:rPr>
        <w:t xml:space="preserve"> (EMITIENDO VOTO PARTICULAR)</w:t>
      </w:r>
      <w:r w:rsidRPr="00AE33A5">
        <w:rPr>
          <w:rFonts w:ascii="Palatino Linotype" w:eastAsia="Palatino Linotype" w:hAnsi="Palatino Linotype" w:cs="Palatino Linotype"/>
          <w:sz w:val="22"/>
          <w:szCs w:val="22"/>
        </w:rPr>
        <w:t>, SHARON CRISTINA MORALES MARTÍNEZ</w:t>
      </w:r>
      <w:r w:rsidR="00FA23CA" w:rsidRPr="00AE33A5">
        <w:rPr>
          <w:rFonts w:ascii="Palatino Linotype" w:eastAsia="Palatino Linotype" w:hAnsi="Palatino Linotype" w:cs="Palatino Linotype"/>
          <w:sz w:val="22"/>
          <w:szCs w:val="22"/>
        </w:rPr>
        <w:t xml:space="preserve"> (EMITIENDO VOTO PARTICULAR</w:t>
      </w:r>
      <w:r w:rsidR="00933CAC" w:rsidRPr="00AE33A5">
        <w:rPr>
          <w:rFonts w:ascii="Palatino Linotype" w:eastAsia="Palatino Linotype" w:hAnsi="Palatino Linotype" w:cs="Palatino Linotype"/>
          <w:sz w:val="22"/>
          <w:szCs w:val="22"/>
        </w:rPr>
        <w:t xml:space="preserve"> CONCURRENTE</w:t>
      </w:r>
      <w:r w:rsidR="00FA23CA" w:rsidRPr="00AE33A5">
        <w:rPr>
          <w:rFonts w:ascii="Palatino Linotype" w:eastAsia="Palatino Linotype" w:hAnsi="Palatino Linotype" w:cs="Palatino Linotype"/>
          <w:sz w:val="22"/>
          <w:szCs w:val="22"/>
        </w:rPr>
        <w:t>)</w:t>
      </w:r>
      <w:r w:rsidRPr="00AE33A5">
        <w:rPr>
          <w:rFonts w:ascii="Palatino Linotype" w:eastAsia="Palatino Linotype" w:hAnsi="Palatino Linotype" w:cs="Palatino Linotype"/>
          <w:sz w:val="22"/>
          <w:szCs w:val="22"/>
        </w:rPr>
        <w:t>, LUIS GUSTAVO PARRA NORIEGA</w:t>
      </w:r>
      <w:r w:rsidR="00FA23CA" w:rsidRPr="00AE33A5">
        <w:rPr>
          <w:rFonts w:ascii="Palatino Linotype" w:eastAsia="Palatino Linotype" w:hAnsi="Palatino Linotype" w:cs="Palatino Linotype"/>
          <w:sz w:val="22"/>
          <w:szCs w:val="22"/>
        </w:rPr>
        <w:t xml:space="preserve"> (EMITIENDO VOTO PARTICULAR)</w:t>
      </w:r>
      <w:r w:rsidRPr="00AE33A5">
        <w:rPr>
          <w:rFonts w:ascii="Palatino Linotype" w:eastAsia="Palatino Linotype" w:hAnsi="Palatino Linotype" w:cs="Palatino Linotype"/>
          <w:sz w:val="22"/>
          <w:szCs w:val="22"/>
        </w:rPr>
        <w:t xml:space="preserve"> Y GUADALUPE RAMÍREZ PEÑA</w:t>
      </w:r>
      <w:r w:rsidR="00FA23CA" w:rsidRPr="00AE33A5">
        <w:rPr>
          <w:rFonts w:ascii="Palatino Linotype" w:eastAsia="Palatino Linotype" w:hAnsi="Palatino Linotype" w:cs="Palatino Linotype"/>
          <w:sz w:val="22"/>
          <w:szCs w:val="22"/>
        </w:rPr>
        <w:t xml:space="preserve"> (EMITIENDO VOTO PARTICULAR</w:t>
      </w:r>
      <w:r w:rsidR="00933CAC" w:rsidRPr="00AE33A5">
        <w:rPr>
          <w:rFonts w:ascii="Palatino Linotype" w:eastAsia="Palatino Linotype" w:hAnsi="Palatino Linotype" w:cs="Palatino Linotype"/>
          <w:sz w:val="22"/>
          <w:szCs w:val="22"/>
        </w:rPr>
        <w:t xml:space="preserve"> CONCURRENTE</w:t>
      </w:r>
      <w:r w:rsidR="00FA23CA" w:rsidRPr="00AE33A5">
        <w:rPr>
          <w:rFonts w:ascii="Palatino Linotype" w:eastAsia="Palatino Linotype" w:hAnsi="Palatino Linotype" w:cs="Palatino Linotype"/>
          <w:sz w:val="22"/>
          <w:szCs w:val="22"/>
        </w:rPr>
        <w:t>)</w:t>
      </w:r>
      <w:r w:rsidRPr="00AE33A5">
        <w:rPr>
          <w:rFonts w:ascii="Palatino Linotype" w:eastAsia="Palatino Linotype" w:hAnsi="Palatino Linotype" w:cs="Palatino Linotype"/>
          <w:sz w:val="22"/>
          <w:szCs w:val="22"/>
        </w:rPr>
        <w:t xml:space="preserve">; EN LA TRIGÉSIMA OCTAVA SESIÓN ORDINARIA, CELEBRADA EL </w:t>
      </w:r>
      <w:r w:rsidR="009D25D7" w:rsidRPr="00AE33A5">
        <w:rPr>
          <w:rFonts w:ascii="Palatino Linotype" w:eastAsia="Palatino Linotype" w:hAnsi="Palatino Linotype" w:cs="Palatino Linotype"/>
          <w:sz w:val="22"/>
          <w:szCs w:val="22"/>
        </w:rPr>
        <w:t>SEIS DE NOVIEMBRE</w:t>
      </w:r>
      <w:r w:rsidRPr="00AE33A5">
        <w:rPr>
          <w:rFonts w:ascii="Palatino Linotype" w:eastAsia="Palatino Linotype" w:hAnsi="Palatino Linotype" w:cs="Palatino Linotype"/>
          <w:sz w:val="22"/>
          <w:szCs w:val="22"/>
        </w:rPr>
        <w:t xml:space="preserve"> DE DOS MIL VEINTICUATRO, ANTE EL SECRETARIO TÉCNICO DEL PLENO ALEXIS TAPIA RAMÍREZ. </w:t>
      </w:r>
    </w:p>
    <w:p w14:paraId="588FE58A" w14:textId="77777777" w:rsidR="009D0202" w:rsidRPr="00AE33A5" w:rsidRDefault="009D0202">
      <w:pPr>
        <w:spacing w:line="360" w:lineRule="auto"/>
        <w:jc w:val="both"/>
        <w:rPr>
          <w:rFonts w:ascii="Palatino Linotype" w:eastAsia="Palatino Linotype" w:hAnsi="Palatino Linotype" w:cs="Palatino Linotype"/>
          <w:sz w:val="22"/>
          <w:szCs w:val="22"/>
        </w:rPr>
      </w:pPr>
    </w:p>
    <w:sectPr w:rsidR="009D0202" w:rsidRPr="00AE33A5">
      <w:headerReference w:type="first" r:id="rId40"/>
      <w:footerReference w:type="first" r:id="rId4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3B2E1" w14:textId="77777777" w:rsidR="005462CA" w:rsidRDefault="005462CA">
      <w:r>
        <w:separator/>
      </w:r>
    </w:p>
  </w:endnote>
  <w:endnote w:type="continuationSeparator" w:id="0">
    <w:p w14:paraId="6BA38C62" w14:textId="77777777" w:rsidR="005462CA" w:rsidRDefault="00546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508FC" w14:textId="77777777" w:rsidR="009D0202" w:rsidRDefault="00D012E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C181A">
      <w:rPr>
        <w:rFonts w:ascii="Palatino Linotype" w:eastAsia="Palatino Linotype" w:hAnsi="Palatino Linotype" w:cs="Palatino Linotype"/>
        <w:b/>
        <w:noProof/>
        <w:color w:val="000000"/>
        <w:sz w:val="20"/>
        <w:szCs w:val="20"/>
      </w:rPr>
      <w:t>69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C181A">
      <w:rPr>
        <w:rFonts w:ascii="Palatino Linotype" w:eastAsia="Palatino Linotype" w:hAnsi="Palatino Linotype" w:cs="Palatino Linotype"/>
        <w:b/>
        <w:noProof/>
        <w:color w:val="000000"/>
        <w:sz w:val="20"/>
        <w:szCs w:val="20"/>
      </w:rPr>
      <w:t>70</w:t>
    </w:r>
    <w:r>
      <w:rPr>
        <w:rFonts w:ascii="Palatino Linotype" w:eastAsia="Palatino Linotype" w:hAnsi="Palatino Linotype" w:cs="Palatino Linotype"/>
        <w:b/>
        <w:color w:val="000000"/>
        <w:sz w:val="20"/>
        <w:szCs w:val="20"/>
      </w:rPr>
      <w:fldChar w:fldCharType="end"/>
    </w:r>
  </w:p>
  <w:p w14:paraId="758685FB" w14:textId="77777777" w:rsidR="009D0202" w:rsidRDefault="009D020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EE0E9" w14:textId="77777777" w:rsidR="009D0202" w:rsidRDefault="00D012E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C181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C181A">
      <w:rPr>
        <w:rFonts w:ascii="Palatino Linotype" w:eastAsia="Palatino Linotype" w:hAnsi="Palatino Linotype" w:cs="Palatino Linotype"/>
        <w:b/>
        <w:noProof/>
        <w:color w:val="000000"/>
        <w:sz w:val="20"/>
        <w:szCs w:val="20"/>
      </w:rPr>
      <w:t>70</w:t>
    </w:r>
    <w:r>
      <w:rPr>
        <w:rFonts w:ascii="Palatino Linotype" w:eastAsia="Palatino Linotype" w:hAnsi="Palatino Linotype" w:cs="Palatino Linotype"/>
        <w:b/>
        <w:color w:val="000000"/>
        <w:sz w:val="20"/>
        <w:szCs w:val="20"/>
      </w:rPr>
      <w:fldChar w:fldCharType="end"/>
    </w:r>
  </w:p>
  <w:p w14:paraId="16271234" w14:textId="77777777" w:rsidR="009D0202" w:rsidRDefault="009D020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B82DF" w14:textId="77777777" w:rsidR="009D0202" w:rsidRDefault="00D012E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Página 70</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C181A">
      <w:rPr>
        <w:rFonts w:ascii="Palatino Linotype" w:eastAsia="Palatino Linotype" w:hAnsi="Palatino Linotype" w:cs="Palatino Linotype"/>
        <w:b/>
        <w:noProof/>
        <w:color w:val="000000"/>
        <w:sz w:val="20"/>
        <w:szCs w:val="20"/>
      </w:rPr>
      <w:t>70</w:t>
    </w:r>
    <w:r>
      <w:rPr>
        <w:rFonts w:ascii="Palatino Linotype" w:eastAsia="Palatino Linotype" w:hAnsi="Palatino Linotype" w:cs="Palatino Linotype"/>
        <w:b/>
        <w:color w:val="000000"/>
        <w:sz w:val="20"/>
        <w:szCs w:val="20"/>
      </w:rPr>
      <w:fldChar w:fldCharType="end"/>
    </w:r>
  </w:p>
  <w:p w14:paraId="551875B5" w14:textId="77777777" w:rsidR="009D0202" w:rsidRDefault="009D020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9D32F" w14:textId="77777777" w:rsidR="005462CA" w:rsidRDefault="005462CA">
      <w:r>
        <w:separator/>
      </w:r>
    </w:p>
  </w:footnote>
  <w:footnote w:type="continuationSeparator" w:id="0">
    <w:p w14:paraId="038CD8D5" w14:textId="77777777" w:rsidR="005462CA" w:rsidRDefault="005462CA">
      <w:r>
        <w:continuationSeparator/>
      </w:r>
    </w:p>
  </w:footnote>
  <w:footnote w:id="1">
    <w:p w14:paraId="759F72AB" w14:textId="77777777" w:rsidR="009D0202" w:rsidRDefault="00D012ED">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0FEF832" w14:textId="77777777" w:rsidR="009D0202" w:rsidRDefault="00D012ED">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DA2F5" w14:textId="77777777" w:rsidR="009D0202" w:rsidRDefault="009D0202">
    <w:pPr>
      <w:rPr>
        <w:rFonts w:ascii="Cambria" w:eastAsia="Cambria" w:hAnsi="Cambria" w:cs="Cambria"/>
        <w:color w:val="000000"/>
      </w:rPr>
    </w:pPr>
  </w:p>
  <w:tbl>
    <w:tblPr>
      <w:tblStyle w:val="ae"/>
      <w:tblW w:w="5953" w:type="dxa"/>
      <w:tblInd w:w="3261" w:type="dxa"/>
      <w:tblLayout w:type="fixed"/>
      <w:tblLook w:val="0400" w:firstRow="0" w:lastRow="0" w:firstColumn="0" w:lastColumn="0" w:noHBand="0" w:noVBand="1"/>
    </w:tblPr>
    <w:tblGrid>
      <w:gridCol w:w="2489"/>
      <w:gridCol w:w="3464"/>
    </w:tblGrid>
    <w:tr w:rsidR="009D0202" w14:paraId="45B47D4D" w14:textId="77777777">
      <w:tc>
        <w:tcPr>
          <w:tcW w:w="2489" w:type="dxa"/>
          <w:shd w:val="clear" w:color="auto" w:fill="auto"/>
        </w:tcPr>
        <w:p w14:paraId="03018DEA" w14:textId="77777777" w:rsidR="009D0202" w:rsidRDefault="00D012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DADF59D" w14:textId="77777777" w:rsidR="009D0202" w:rsidRDefault="00D012E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05159/INFOEM/IP/RR/2024</w:t>
          </w:r>
        </w:p>
      </w:tc>
    </w:tr>
    <w:tr w:rsidR="009D0202" w14:paraId="4055CB9F" w14:textId="77777777">
      <w:trPr>
        <w:trHeight w:val="228"/>
      </w:trPr>
      <w:tc>
        <w:tcPr>
          <w:tcW w:w="2489" w:type="dxa"/>
          <w:shd w:val="clear" w:color="auto" w:fill="auto"/>
          <w:vAlign w:val="center"/>
        </w:tcPr>
        <w:p w14:paraId="3837C7B8" w14:textId="77777777" w:rsidR="009D0202" w:rsidRDefault="00D012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EF5A207" w14:textId="77777777" w:rsidR="009D0202" w:rsidRDefault="00D012ED">
          <w:pPr>
            <w:ind w:right="-54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Lerma</w:t>
          </w:r>
          <w:r>
            <w:rPr>
              <w:noProof/>
            </w:rPr>
            <w:drawing>
              <wp:anchor distT="0" distB="0" distL="0" distR="0" simplePos="0" relativeHeight="251658240" behindDoc="1" locked="0" layoutInCell="1" hidden="0" allowOverlap="1" wp14:anchorId="5611CD1F" wp14:editId="03F6F1A9">
                <wp:simplePos x="0" y="0"/>
                <wp:positionH relativeFrom="column">
                  <wp:posOffset>-4800598</wp:posOffset>
                </wp:positionH>
                <wp:positionV relativeFrom="paragraph">
                  <wp:posOffset>-880108</wp:posOffset>
                </wp:positionV>
                <wp:extent cx="7809865" cy="10165715"/>
                <wp:effectExtent l="0" t="0" r="0" b="0"/>
                <wp:wrapNone/>
                <wp:docPr id="13276845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9D0202" w14:paraId="2DA38BEE" w14:textId="77777777">
      <w:tc>
        <w:tcPr>
          <w:tcW w:w="2489" w:type="dxa"/>
          <w:shd w:val="clear" w:color="auto" w:fill="auto"/>
          <w:vAlign w:val="center"/>
        </w:tcPr>
        <w:p w14:paraId="36716DE0" w14:textId="77777777" w:rsidR="009D0202" w:rsidRDefault="00D012E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890FF6B" w14:textId="77777777" w:rsidR="009D0202" w:rsidRDefault="00D012E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63BFE0D" w14:textId="77777777" w:rsidR="009D0202" w:rsidRDefault="00D012E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DADE1" w14:textId="77777777" w:rsidR="009D0202" w:rsidRDefault="00D012E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3A19A3E" wp14:editId="59A6F8B1">
          <wp:simplePos x="0" y="0"/>
          <wp:positionH relativeFrom="column">
            <wp:posOffset>-1079489</wp:posOffset>
          </wp:positionH>
          <wp:positionV relativeFrom="paragraph">
            <wp:posOffset>-328917</wp:posOffset>
          </wp:positionV>
          <wp:extent cx="7809865" cy="10165715"/>
          <wp:effectExtent l="0" t="0" r="0" b="0"/>
          <wp:wrapNone/>
          <wp:docPr id="13276845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
      <w:tblW w:w="6378" w:type="dxa"/>
      <w:tblInd w:w="3261" w:type="dxa"/>
      <w:tblLayout w:type="fixed"/>
      <w:tblLook w:val="0400" w:firstRow="0" w:lastRow="0" w:firstColumn="0" w:lastColumn="0" w:noHBand="0" w:noVBand="1"/>
    </w:tblPr>
    <w:tblGrid>
      <w:gridCol w:w="2551"/>
      <w:gridCol w:w="3827"/>
    </w:tblGrid>
    <w:tr w:rsidR="009D0202" w14:paraId="0AEEDD51" w14:textId="77777777">
      <w:tc>
        <w:tcPr>
          <w:tcW w:w="2551" w:type="dxa"/>
          <w:shd w:val="clear" w:color="auto" w:fill="auto"/>
          <w:vAlign w:val="center"/>
        </w:tcPr>
        <w:p w14:paraId="69046FE5" w14:textId="77777777" w:rsidR="009D0202" w:rsidRDefault="00D012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7" w:type="dxa"/>
          <w:shd w:val="clear" w:color="auto" w:fill="auto"/>
          <w:vAlign w:val="center"/>
        </w:tcPr>
        <w:p w14:paraId="6A459841" w14:textId="77777777" w:rsidR="009D0202" w:rsidRDefault="00D012E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05159/INFOEM/IP/RR/2024</w:t>
          </w:r>
        </w:p>
      </w:tc>
    </w:tr>
    <w:tr w:rsidR="009D0202" w14:paraId="6DABDE60" w14:textId="77777777">
      <w:trPr>
        <w:trHeight w:val="130"/>
      </w:trPr>
      <w:tc>
        <w:tcPr>
          <w:tcW w:w="2551" w:type="dxa"/>
          <w:shd w:val="clear" w:color="auto" w:fill="auto"/>
          <w:vAlign w:val="center"/>
        </w:tcPr>
        <w:p w14:paraId="08AD2EE4" w14:textId="77777777" w:rsidR="009D0202" w:rsidRDefault="00D012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827" w:type="dxa"/>
          <w:shd w:val="clear" w:color="auto" w:fill="auto"/>
          <w:vAlign w:val="center"/>
        </w:tcPr>
        <w:p w14:paraId="76EC98B9" w14:textId="5800142C" w:rsidR="009D0202" w:rsidRDefault="001E150B">
          <w:pPr>
            <w:ind w:left="-45" w:right="59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XXXXXX XXXXXXXX </w:t>
          </w:r>
        </w:p>
      </w:tc>
    </w:tr>
    <w:tr w:rsidR="009D0202" w14:paraId="5D3FB0FC" w14:textId="77777777">
      <w:trPr>
        <w:trHeight w:val="228"/>
      </w:trPr>
      <w:tc>
        <w:tcPr>
          <w:tcW w:w="2551" w:type="dxa"/>
          <w:shd w:val="clear" w:color="auto" w:fill="auto"/>
          <w:vAlign w:val="center"/>
        </w:tcPr>
        <w:p w14:paraId="757EFBBD" w14:textId="77777777" w:rsidR="009D0202" w:rsidRDefault="00D012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7" w:type="dxa"/>
          <w:shd w:val="clear" w:color="auto" w:fill="auto"/>
          <w:vAlign w:val="center"/>
        </w:tcPr>
        <w:p w14:paraId="238C6D09" w14:textId="77777777" w:rsidR="009D0202" w:rsidRDefault="00D012ED">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Lerma</w:t>
          </w:r>
        </w:p>
      </w:tc>
    </w:tr>
    <w:tr w:rsidR="009D0202" w14:paraId="610CAED2" w14:textId="77777777">
      <w:tc>
        <w:tcPr>
          <w:tcW w:w="2551" w:type="dxa"/>
          <w:shd w:val="clear" w:color="auto" w:fill="auto"/>
          <w:vAlign w:val="center"/>
        </w:tcPr>
        <w:p w14:paraId="6F758EA8" w14:textId="77777777" w:rsidR="009D0202" w:rsidRDefault="00D012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7" w:type="dxa"/>
          <w:shd w:val="clear" w:color="auto" w:fill="auto"/>
          <w:vAlign w:val="center"/>
        </w:tcPr>
        <w:p w14:paraId="0BEEBE71" w14:textId="77777777" w:rsidR="009D0202" w:rsidRDefault="00D012ED">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E9B89DA" w14:textId="77777777" w:rsidR="009D0202" w:rsidRDefault="009D0202">
    <w:pPr>
      <w:pBdr>
        <w:top w:val="nil"/>
        <w:left w:val="nil"/>
        <w:bottom w:val="nil"/>
        <w:right w:val="nil"/>
        <w:between w:val="nil"/>
      </w:pBdr>
      <w:tabs>
        <w:tab w:val="center" w:pos="4252"/>
        <w:tab w:val="right" w:pos="8504"/>
      </w:tabs>
      <w:rPr>
        <w:rFonts w:ascii="Cambria" w:eastAsia="Cambria" w:hAnsi="Cambria" w:cs="Cambria"/>
        <w:color w:val="000000"/>
      </w:rPr>
    </w:pPr>
  </w:p>
  <w:p w14:paraId="700448AF" w14:textId="77777777" w:rsidR="009D0202" w:rsidRDefault="009D020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6D0EA" w14:textId="77777777" w:rsidR="009D0202" w:rsidRDefault="009D020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16E960A0" w14:textId="77777777" w:rsidR="009D0202" w:rsidRDefault="009D0202">
    <w:pPr>
      <w:pBdr>
        <w:top w:val="nil"/>
        <w:left w:val="nil"/>
        <w:bottom w:val="nil"/>
        <w:right w:val="nil"/>
        <w:between w:val="nil"/>
      </w:pBdr>
      <w:tabs>
        <w:tab w:val="center" w:pos="4252"/>
        <w:tab w:val="right" w:pos="8504"/>
      </w:tabs>
      <w:rPr>
        <w:rFonts w:ascii="Cambria" w:eastAsia="Cambria" w:hAnsi="Cambria" w:cs="Cambria"/>
        <w:color w:val="000000"/>
      </w:rPr>
    </w:pPr>
  </w:p>
  <w:p w14:paraId="122C95C5" w14:textId="77777777" w:rsidR="009D0202" w:rsidRDefault="009D02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A7D1F"/>
    <w:multiLevelType w:val="multilevel"/>
    <w:tmpl w:val="BD9ED328"/>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0A4072"/>
    <w:multiLevelType w:val="multilevel"/>
    <w:tmpl w:val="17B4B9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1A071EA"/>
    <w:multiLevelType w:val="multilevel"/>
    <w:tmpl w:val="F69AFC3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15:restartNumberingAfterBreak="0">
    <w:nsid w:val="339C2D3C"/>
    <w:multiLevelType w:val="multilevel"/>
    <w:tmpl w:val="4088F59A"/>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4" w15:restartNumberingAfterBreak="0">
    <w:nsid w:val="34FC6D08"/>
    <w:multiLevelType w:val="multilevel"/>
    <w:tmpl w:val="208282A2"/>
    <w:lvl w:ilvl="0">
      <w:start w:val="2"/>
      <w:numFmt w:val="bullet"/>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6FAF5C12"/>
    <w:multiLevelType w:val="multilevel"/>
    <w:tmpl w:val="BE8C803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FE7482E"/>
    <w:multiLevelType w:val="multilevel"/>
    <w:tmpl w:val="BDEE0732"/>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7" w15:restartNumberingAfterBreak="0">
    <w:nsid w:val="797305AB"/>
    <w:multiLevelType w:val="multilevel"/>
    <w:tmpl w:val="1DFCA3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202"/>
    <w:rsid w:val="00140FC4"/>
    <w:rsid w:val="001E150B"/>
    <w:rsid w:val="003C193D"/>
    <w:rsid w:val="0045655F"/>
    <w:rsid w:val="0046227A"/>
    <w:rsid w:val="004C181A"/>
    <w:rsid w:val="005462CA"/>
    <w:rsid w:val="00633507"/>
    <w:rsid w:val="00807F22"/>
    <w:rsid w:val="00933CAC"/>
    <w:rsid w:val="009D0202"/>
    <w:rsid w:val="009D25D7"/>
    <w:rsid w:val="00AE33A5"/>
    <w:rsid w:val="00CA78AC"/>
    <w:rsid w:val="00D012ED"/>
    <w:rsid w:val="00FA23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99B49"/>
  <w15:docId w15:val="{55BD36D3-29E4-48A5-AC9D-B995A32DF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50A"/>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B215CF"/>
    <w:pPr>
      <w:tabs>
        <w:tab w:val="center" w:pos="4419"/>
        <w:tab w:val="right" w:pos="8838"/>
      </w:tabs>
    </w:pPr>
  </w:style>
  <w:style w:type="character" w:customStyle="1" w:styleId="EncabezadoCar">
    <w:name w:val="Encabezado Car"/>
    <w:basedOn w:val="Fuentedeprrafopredeter"/>
    <w:link w:val="Encabezado"/>
    <w:uiPriority w:val="99"/>
    <w:rsid w:val="00B215CF"/>
  </w:style>
  <w:style w:type="paragraph" w:styleId="Piedepgina">
    <w:name w:val="footer"/>
    <w:basedOn w:val="Normal"/>
    <w:link w:val="PiedepginaCar"/>
    <w:uiPriority w:val="99"/>
    <w:unhideWhenUsed/>
    <w:rsid w:val="00B215CF"/>
    <w:pPr>
      <w:tabs>
        <w:tab w:val="center" w:pos="4419"/>
        <w:tab w:val="right" w:pos="8838"/>
      </w:tabs>
    </w:pPr>
  </w:style>
  <w:style w:type="character" w:customStyle="1" w:styleId="PiedepginaCar">
    <w:name w:val="Pie de página Car"/>
    <w:basedOn w:val="Fuentedeprrafopredeter"/>
    <w:link w:val="Piedepgina"/>
    <w:uiPriority w:val="99"/>
    <w:rsid w:val="00B215CF"/>
  </w:style>
  <w:style w:type="paragraph" w:styleId="NormalWeb">
    <w:name w:val="Normal (Web)"/>
    <w:basedOn w:val="Normal"/>
    <w:uiPriority w:val="99"/>
    <w:unhideWhenUsed/>
    <w:rsid w:val="00DA0443"/>
    <w:pPr>
      <w:spacing w:before="100" w:beforeAutospacing="1" w:after="100" w:afterAutospacing="1"/>
    </w:pPr>
  </w:style>
  <w:style w:type="paragraph" w:styleId="Prrafodelista">
    <w:name w:val="List Paragraph"/>
    <w:basedOn w:val="Normal"/>
    <w:uiPriority w:val="34"/>
    <w:qFormat/>
    <w:rsid w:val="000038B1"/>
    <w:pPr>
      <w:ind w:left="720"/>
      <w:contextualSpacing/>
    </w:p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left w:w="115" w:type="dxa"/>
        <w:right w:w="115" w:type="dxa"/>
      </w:tblCellMar>
    </w:tblPr>
  </w:style>
  <w:style w:type="table" w:customStyle="1" w:styleId="a4">
    <w:basedOn w:val="TableNormal5"/>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455091"/>
    <w:rPr>
      <w:color w:val="0000FF" w:themeColor="hyperlink"/>
      <w:u w:val="single"/>
    </w:rPr>
  </w:style>
  <w:style w:type="paragraph" w:styleId="Listaconvietas3">
    <w:name w:val="List Bullet 3"/>
    <w:basedOn w:val="Normal"/>
    <w:uiPriority w:val="99"/>
    <w:unhideWhenUsed/>
    <w:rsid w:val="00210E50"/>
    <w:pPr>
      <w:numPr>
        <w:numId w:val="4"/>
      </w:numPr>
      <w:contextualSpacing/>
    </w:pPr>
    <w:rPr>
      <w:lang w:val="es-ES"/>
    </w:r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styleId="Tablaconcuadrcula">
    <w:name w:val="Table Grid"/>
    <w:basedOn w:val="Tablanormal"/>
    <w:uiPriority w:val="39"/>
    <w:rsid w:val="00FA3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A3EBA"/>
    <w:rPr>
      <w:color w:val="800080" w:themeColor="followedHyperlink"/>
      <w:u w:val="single"/>
    </w:r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contraloriadf.gob.mx/contraloria/cursos/ADQUISICIONES/paginas/32.php"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footer" Target="footer2.xm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23.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lerma.web" TargetMode="External"/><Relationship Id="rId24" Type="http://schemas.openxmlformats.org/officeDocument/2006/relationships/hyperlink" Target="https://www.ipomex.org.mx/ipo3/lgt/indice/lerma.web" TargetMode="External"/><Relationship Id="rId32" Type="http://schemas.openxmlformats.org/officeDocument/2006/relationships/image" Target="media/image16.png"/><Relationship Id="rId37" Type="http://schemas.openxmlformats.org/officeDocument/2006/relationships/footer" Target="foot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1.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ipomex.org.mx/ipo3/lgt/indice/lerma.web"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hyperlink" Target="https://www.ipomex.org.mx/ipo3/lgt/indice/lerma.web" TargetMode="External"/><Relationship Id="rId3" Type="http://schemas.openxmlformats.org/officeDocument/2006/relationships/styles" Target="styles.xml"/><Relationship Id="rId12" Type="http://schemas.openxmlformats.org/officeDocument/2006/relationships/hyperlink" Target="https://www.ipomex.org.mx/ipo3/lgt/indice/lerma.web"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22.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9oADdTNzvr7cH5y1C3kxJ/m/A==">CgMxLjAyCWguMWZvYjl0ZTIIaC5namRneHMyCWguM2R5NnZrbTIJaC4zMGowemxsMgloLjJzOGV5bzEyCGgudHlqY3d0MgloLjN6bnlzaDcyCWguMmV0OTJwMDIJaC4zNW5rdW4yMgloLjFrc3Y0dXYyCWguNDRzaW5pbzIJaC4yanhzeHFoMghoLnozMzd5YTIJaC4zajJxcW0zMgloLjF5ODEwdHcyDmguaWp2OThwbnRjZDVzMgloLjI2aW4xcmcyCGgubG54Yno5MgloLjF0M2g1c2Y4AHIhMXhqR0c5YjhpVWJ5ckg5LUFzWDVXUlZpNzBvWXpJdG81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70</Pages>
  <Words>18378</Words>
  <Characters>101084</Characters>
  <Application>Microsoft Office Word</Application>
  <DocSecurity>0</DocSecurity>
  <Lines>842</Lines>
  <Paragraphs>238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2024-11-06T22:46:00Z</cp:lastPrinted>
  <dcterms:created xsi:type="dcterms:W3CDTF">2024-11-19T19:42:00Z</dcterms:created>
  <dcterms:modified xsi:type="dcterms:W3CDTF">2024-11-19T19:42:00Z</dcterms:modified>
</cp:coreProperties>
</file>