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908" w:rsidRPr="000A5C3B" w:rsidRDefault="002122F0" w:rsidP="000A5C3B">
      <w:pPr>
        <w:spacing w:line="360" w:lineRule="auto"/>
        <w:jc w:val="both"/>
        <w:rPr>
          <w:rFonts w:ascii="Palatino Linotype" w:eastAsia="Palatino Linotype" w:hAnsi="Palatino Linotype" w:cs="Palatino Linotype"/>
        </w:rPr>
      </w:pPr>
      <w:bookmarkStart w:id="0" w:name="_GoBack"/>
      <w:bookmarkEnd w:id="0"/>
      <w:r w:rsidRPr="000A5C3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del catorce de febrero de dos mil veinticuatro.</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b/>
        </w:rPr>
        <w:t>VISTO</w:t>
      </w:r>
      <w:r w:rsidRPr="000A5C3B">
        <w:rPr>
          <w:rFonts w:ascii="Palatino Linotype" w:eastAsia="Palatino Linotype" w:hAnsi="Palatino Linotype" w:cs="Palatino Linotype"/>
        </w:rPr>
        <w:t xml:space="preserve"> el expediente formado con motivo del Recurso Revisión </w:t>
      </w:r>
      <w:r w:rsidRPr="000A5C3B">
        <w:rPr>
          <w:rFonts w:ascii="Palatino Linotype" w:eastAsia="Palatino Linotype" w:hAnsi="Palatino Linotype" w:cs="Palatino Linotype"/>
          <w:b/>
        </w:rPr>
        <w:t>00177/INFOEM/IP/RR/2024</w:t>
      </w:r>
      <w:r w:rsidRPr="000A5C3B">
        <w:rPr>
          <w:rFonts w:ascii="Palatino Linotype" w:eastAsia="Palatino Linotype" w:hAnsi="Palatino Linotype" w:cs="Palatino Linotype"/>
        </w:rPr>
        <w:t xml:space="preserve">, promovido por </w:t>
      </w:r>
      <w:r w:rsidRPr="000A5C3B">
        <w:rPr>
          <w:rFonts w:ascii="Palatino Linotype" w:eastAsia="Palatino Linotype" w:hAnsi="Palatino Linotype" w:cs="Palatino Linotype"/>
          <w:b/>
        </w:rPr>
        <w:t>una persona de manera anónima</w:t>
      </w:r>
      <w:r w:rsidRPr="000A5C3B">
        <w:rPr>
          <w:rFonts w:ascii="Palatino Linotype" w:eastAsia="Palatino Linotype" w:hAnsi="Palatino Linotype" w:cs="Palatino Linotype"/>
        </w:rPr>
        <w:t>,</w:t>
      </w:r>
      <w:r w:rsidRPr="000A5C3B">
        <w:rPr>
          <w:rFonts w:ascii="Palatino Linotype" w:eastAsia="Palatino Linotype" w:hAnsi="Palatino Linotype" w:cs="Palatino Linotype"/>
          <w:b/>
        </w:rPr>
        <w:t xml:space="preserve"> </w:t>
      </w:r>
      <w:r w:rsidRPr="000A5C3B">
        <w:rPr>
          <w:rFonts w:ascii="Palatino Linotype" w:eastAsia="Palatino Linotype" w:hAnsi="Palatino Linotype" w:cs="Palatino Linotype"/>
        </w:rPr>
        <w:t>a quien</w:t>
      </w:r>
      <w:r w:rsidRPr="000A5C3B">
        <w:rPr>
          <w:rFonts w:ascii="Palatino Linotype" w:eastAsia="Palatino Linotype" w:hAnsi="Palatino Linotype" w:cs="Palatino Linotype"/>
          <w:b/>
        </w:rPr>
        <w:t xml:space="preserve"> </w:t>
      </w:r>
      <w:r w:rsidRPr="000A5C3B">
        <w:rPr>
          <w:rFonts w:ascii="Palatino Linotype" w:eastAsia="Palatino Linotype" w:hAnsi="Palatino Linotype" w:cs="Palatino Linotype"/>
        </w:rPr>
        <w:t xml:space="preserve">en lo sucesivo se le denominará </w:t>
      </w:r>
      <w:r w:rsidRPr="000A5C3B">
        <w:rPr>
          <w:rFonts w:ascii="Palatino Linotype" w:eastAsia="Palatino Linotype" w:hAnsi="Palatino Linotype" w:cs="Palatino Linotype"/>
          <w:b/>
        </w:rPr>
        <w:t>EL RECURRENTE</w:t>
      </w:r>
      <w:r w:rsidRPr="000A5C3B">
        <w:rPr>
          <w:rFonts w:ascii="Palatino Linotype" w:eastAsia="Palatino Linotype" w:hAnsi="Palatino Linotype" w:cs="Palatino Linotype"/>
        </w:rPr>
        <w:t xml:space="preserve">, en contra de la respuesta del </w:t>
      </w:r>
      <w:r w:rsidRPr="000A5C3B">
        <w:rPr>
          <w:rFonts w:ascii="Palatino Linotype" w:eastAsia="Palatino Linotype" w:hAnsi="Palatino Linotype" w:cs="Palatino Linotype"/>
          <w:b/>
        </w:rPr>
        <w:t xml:space="preserve">Ayuntamiento de Zinacantepec, </w:t>
      </w:r>
      <w:r w:rsidRPr="000A5C3B">
        <w:rPr>
          <w:rFonts w:ascii="Palatino Linotype" w:eastAsia="Palatino Linotype" w:hAnsi="Palatino Linotype" w:cs="Palatino Linotype"/>
        </w:rPr>
        <w:t xml:space="preserve">que en lo subsecuente </w:t>
      </w:r>
      <w:r w:rsidRPr="000A5C3B">
        <w:rPr>
          <w:rFonts w:ascii="Palatino Linotype" w:eastAsia="Palatino Linotype" w:hAnsi="Palatino Linotype" w:cs="Palatino Linotype"/>
          <w:b/>
        </w:rPr>
        <w:t>EL SUJETO OBLIGADO</w:t>
      </w:r>
      <w:r w:rsidRPr="000A5C3B">
        <w:rPr>
          <w:rFonts w:ascii="Palatino Linotype" w:eastAsia="Palatino Linotype" w:hAnsi="Palatino Linotype" w:cs="Palatino Linotype"/>
        </w:rPr>
        <w:t>, se procede a dictar la presente resolución con base en lo siguiente:</w:t>
      </w:r>
    </w:p>
    <w:p w:rsidR="000D1908" w:rsidRPr="000A5C3B" w:rsidRDefault="000D1908" w:rsidP="000A5C3B">
      <w:pPr>
        <w:spacing w:line="360" w:lineRule="auto"/>
        <w:jc w:val="center"/>
        <w:rPr>
          <w:rFonts w:ascii="Palatino Linotype" w:eastAsia="Palatino Linotype" w:hAnsi="Palatino Linotype" w:cs="Palatino Linotype"/>
        </w:rPr>
      </w:pPr>
    </w:p>
    <w:p w:rsidR="000D1908" w:rsidRPr="000A5C3B" w:rsidRDefault="002122F0" w:rsidP="000A5C3B">
      <w:pPr>
        <w:spacing w:line="360" w:lineRule="auto"/>
        <w:jc w:val="center"/>
        <w:rPr>
          <w:rFonts w:ascii="Palatino Linotype" w:eastAsia="Palatino Linotype" w:hAnsi="Palatino Linotype" w:cs="Palatino Linotype"/>
          <w:b/>
        </w:rPr>
      </w:pPr>
      <w:r w:rsidRPr="000A5C3B">
        <w:rPr>
          <w:rFonts w:ascii="Palatino Linotype" w:eastAsia="Palatino Linotype" w:hAnsi="Palatino Linotype" w:cs="Palatino Linotype"/>
          <w:b/>
        </w:rPr>
        <w:t>ANTECEDENTES</w:t>
      </w:r>
    </w:p>
    <w:p w:rsidR="000D1908" w:rsidRPr="000A5C3B" w:rsidRDefault="000D1908" w:rsidP="000A5C3B">
      <w:pPr>
        <w:spacing w:line="360" w:lineRule="auto"/>
        <w:jc w:val="center"/>
        <w:rPr>
          <w:rFonts w:ascii="Palatino Linotype" w:eastAsia="Palatino Linotype" w:hAnsi="Palatino Linotype" w:cs="Palatino Linotype"/>
          <w:b/>
        </w:rPr>
      </w:pPr>
    </w:p>
    <w:p w:rsidR="000D1908" w:rsidRPr="000A5C3B" w:rsidRDefault="002122F0" w:rsidP="000A5C3B">
      <w:pPr>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b/>
        </w:rPr>
        <w:t>I. De la Solicitud de Información.</w:t>
      </w:r>
    </w:p>
    <w:p w:rsidR="000D1908" w:rsidRPr="000A5C3B" w:rsidRDefault="002122F0" w:rsidP="000A5C3B">
      <w:pPr>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rPr>
        <w:t xml:space="preserve">El </w:t>
      </w:r>
      <w:r w:rsidRPr="000A5C3B">
        <w:rPr>
          <w:rFonts w:ascii="Palatino Linotype" w:eastAsia="Palatino Linotype" w:hAnsi="Palatino Linotype" w:cs="Palatino Linotype"/>
          <w:b/>
        </w:rPr>
        <w:t>ocho de diciembre de dos mil veintitrés</w:t>
      </w:r>
      <w:r w:rsidRPr="000A5C3B">
        <w:rPr>
          <w:rFonts w:ascii="Palatino Linotype" w:eastAsia="Palatino Linotype" w:hAnsi="Palatino Linotype" w:cs="Palatino Linotype"/>
        </w:rPr>
        <w:t xml:space="preserve">, </w:t>
      </w:r>
      <w:r w:rsidRPr="000A5C3B">
        <w:rPr>
          <w:rFonts w:ascii="Palatino Linotype" w:eastAsia="Palatino Linotype" w:hAnsi="Palatino Linotype" w:cs="Palatino Linotype"/>
          <w:b/>
        </w:rPr>
        <w:t>EL RECURRENTE</w:t>
      </w:r>
      <w:r w:rsidRPr="000A5C3B">
        <w:rPr>
          <w:rFonts w:ascii="Palatino Linotype" w:eastAsia="Palatino Linotype" w:hAnsi="Palatino Linotype" w:cs="Palatino Linotype"/>
        </w:rPr>
        <w:t xml:space="preserve"> presentó a través de la plataforma del Sistema de Acceso a la Información Mexiquense, en lo subsecuente </w:t>
      </w:r>
      <w:r w:rsidRPr="000A5C3B">
        <w:rPr>
          <w:rFonts w:ascii="Palatino Linotype" w:eastAsia="Palatino Linotype" w:hAnsi="Palatino Linotype" w:cs="Palatino Linotype"/>
          <w:b/>
        </w:rPr>
        <w:t>EL SAIMEX,</w:t>
      </w:r>
      <w:r w:rsidRPr="000A5C3B">
        <w:rPr>
          <w:rFonts w:ascii="Palatino Linotype" w:eastAsia="Palatino Linotype" w:hAnsi="Palatino Linotype" w:cs="Palatino Linotype"/>
        </w:rPr>
        <w:t xml:space="preserve"> ante </w:t>
      </w:r>
      <w:r w:rsidRPr="000A5C3B">
        <w:rPr>
          <w:rFonts w:ascii="Palatino Linotype" w:eastAsia="Palatino Linotype" w:hAnsi="Palatino Linotype" w:cs="Palatino Linotype"/>
          <w:b/>
        </w:rPr>
        <w:t>EL SUJETO OBLIGADO</w:t>
      </w:r>
      <w:r w:rsidRPr="000A5C3B">
        <w:rPr>
          <w:rFonts w:ascii="Palatino Linotype" w:eastAsia="Palatino Linotype" w:hAnsi="Palatino Linotype" w:cs="Palatino Linotype"/>
        </w:rPr>
        <w:t>, la solicitud de acceso a la Información Pública, a la que se le asignó el número de expediente</w:t>
      </w:r>
      <w:r w:rsidRPr="000A5C3B">
        <w:rPr>
          <w:rFonts w:ascii="Palatino Linotype" w:eastAsia="Palatino Linotype" w:hAnsi="Palatino Linotype" w:cs="Palatino Linotype"/>
          <w:b/>
        </w:rPr>
        <w:t xml:space="preserve"> 02122/ZINACANT/IP/2023</w:t>
      </w:r>
      <w:r w:rsidRPr="000A5C3B">
        <w:rPr>
          <w:rFonts w:ascii="Palatino Linotype" w:eastAsia="Palatino Linotype" w:hAnsi="Palatino Linotype" w:cs="Palatino Linotype"/>
        </w:rPr>
        <w:t>, mediante la cual solicitó:</w:t>
      </w:r>
    </w:p>
    <w:p w:rsidR="000D1908" w:rsidRPr="000A5C3B" w:rsidRDefault="000D1908" w:rsidP="000A5C3B">
      <w:pPr>
        <w:spacing w:line="360" w:lineRule="auto"/>
        <w:jc w:val="both"/>
        <w:rPr>
          <w:rFonts w:ascii="Palatino Linotype" w:eastAsia="Palatino Linotype" w:hAnsi="Palatino Linotype" w:cs="Palatino Linotype"/>
          <w:b/>
        </w:rPr>
      </w:pPr>
    </w:p>
    <w:p w:rsidR="000D1908" w:rsidRPr="000A5C3B" w:rsidRDefault="002122F0" w:rsidP="000A5C3B">
      <w:pPr>
        <w:spacing w:line="360" w:lineRule="auto"/>
        <w:ind w:left="851" w:right="850"/>
        <w:jc w:val="both"/>
        <w:rPr>
          <w:rFonts w:ascii="Palatino Linotype" w:eastAsia="Palatino Linotype" w:hAnsi="Palatino Linotype" w:cs="Palatino Linotype"/>
          <w:i/>
        </w:rPr>
      </w:pPr>
      <w:r w:rsidRPr="000A5C3B">
        <w:rPr>
          <w:rFonts w:ascii="Palatino Linotype" w:eastAsia="Palatino Linotype" w:hAnsi="Palatino Linotype" w:cs="Palatino Linotype"/>
          <w:i/>
        </w:rPr>
        <w:t xml:space="preserve">“SOLICITO LA LISTA DE ASISTENCIA AL 2DO INFORME DEL PRESIDENTE DE ZINACANTEPEC.” </w:t>
      </w:r>
      <w:r w:rsidRPr="000A5C3B">
        <w:rPr>
          <w:rFonts w:ascii="Palatino Linotype" w:eastAsia="Palatino Linotype" w:hAnsi="Palatino Linotype" w:cs="Palatino Linotype"/>
        </w:rPr>
        <w:t>(Sic).</w:t>
      </w:r>
    </w:p>
    <w:p w:rsidR="000D1908" w:rsidRPr="000A5C3B" w:rsidRDefault="000D1908" w:rsidP="000A5C3B">
      <w:pPr>
        <w:spacing w:line="360" w:lineRule="auto"/>
        <w:jc w:val="both"/>
        <w:rPr>
          <w:rFonts w:ascii="Palatino Linotype" w:eastAsia="Palatino Linotype" w:hAnsi="Palatino Linotype" w:cs="Palatino Linotype"/>
          <w:b/>
        </w:rPr>
      </w:pPr>
    </w:p>
    <w:p w:rsidR="000D1908" w:rsidRPr="000A5C3B" w:rsidRDefault="002122F0" w:rsidP="000A5C3B">
      <w:pPr>
        <w:widowControl w:val="0"/>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b/>
        </w:rPr>
        <w:t>MODALIDAD DE ENTREGA:</w:t>
      </w:r>
      <w:r w:rsidRPr="000A5C3B">
        <w:rPr>
          <w:rFonts w:ascii="Palatino Linotype" w:eastAsia="Palatino Linotype" w:hAnsi="Palatino Linotype" w:cs="Palatino Linotype"/>
        </w:rPr>
        <w:t xml:space="preserve"> vía </w:t>
      </w:r>
      <w:r w:rsidRPr="000A5C3B">
        <w:rPr>
          <w:rFonts w:ascii="Palatino Linotype" w:eastAsia="Palatino Linotype" w:hAnsi="Palatino Linotype" w:cs="Palatino Linotype"/>
          <w:b/>
        </w:rPr>
        <w:t>SAIMEX</w:t>
      </w:r>
      <w:r w:rsidRPr="000A5C3B">
        <w:rPr>
          <w:rFonts w:ascii="Palatino Linotype" w:eastAsia="Palatino Linotype" w:hAnsi="Palatino Linotype" w:cs="Palatino Linotype"/>
        </w:rPr>
        <w:t>.</w:t>
      </w:r>
    </w:p>
    <w:p w:rsidR="000D1908" w:rsidRPr="000A5C3B" w:rsidRDefault="000D1908" w:rsidP="000A5C3B">
      <w:pPr>
        <w:widowControl w:val="0"/>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b/>
        </w:rPr>
        <w:lastRenderedPageBreak/>
        <w:t>II. Turno de la solicitud de información.</w:t>
      </w: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0A5C3B">
        <w:rPr>
          <w:rFonts w:ascii="Palatino Linotype" w:eastAsia="Palatino Linotype" w:hAnsi="Palatino Linotype" w:cs="Palatino Linotype"/>
          <w:b/>
        </w:rPr>
        <w:t>once de diciembre de dos mil veintitrés</w:t>
      </w:r>
      <w:r w:rsidRPr="000A5C3B">
        <w:rPr>
          <w:rFonts w:ascii="Palatino Linotype" w:eastAsia="Palatino Linotype" w:hAnsi="Palatino Linotype" w:cs="Palatino Linotype"/>
        </w:rPr>
        <w:t xml:space="preserve">, el Titular de la Unidad de Transparencia del Sujeto Obligado, turnó el requerimiento de información a la servidora pública habilitada que estimó pertinente, a fin de colmar la solicitud de acceso a la información, tal y como obra en el expediente electrónico. </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b/>
        </w:rPr>
        <w:t>III. Respuesta del Sujeto Obligado.</w:t>
      </w: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De las constancias que obran en el </w:t>
      </w:r>
      <w:r w:rsidRPr="000A5C3B">
        <w:rPr>
          <w:rFonts w:ascii="Palatino Linotype" w:eastAsia="Palatino Linotype" w:hAnsi="Palatino Linotype" w:cs="Palatino Linotype"/>
          <w:b/>
        </w:rPr>
        <w:t>SAIMEX,</w:t>
      </w:r>
      <w:r w:rsidRPr="000A5C3B">
        <w:rPr>
          <w:rFonts w:ascii="Palatino Linotype" w:eastAsia="Palatino Linotype" w:hAnsi="Palatino Linotype" w:cs="Palatino Linotype"/>
        </w:rPr>
        <w:t xml:space="preserve"> del recurso de revisión materia del presente asunto, se advierte que el </w:t>
      </w:r>
      <w:r w:rsidRPr="000A5C3B">
        <w:rPr>
          <w:rFonts w:ascii="Palatino Linotype" w:eastAsia="Palatino Linotype" w:hAnsi="Palatino Linotype" w:cs="Palatino Linotype"/>
          <w:b/>
        </w:rPr>
        <w:t>diecinueve de enero de dos mil veinticuatro</w:t>
      </w:r>
      <w:r w:rsidRPr="000A5C3B">
        <w:rPr>
          <w:rFonts w:ascii="Palatino Linotype" w:eastAsia="Palatino Linotype" w:hAnsi="Palatino Linotype" w:cs="Palatino Linotype"/>
        </w:rPr>
        <w:t xml:space="preserve">, </w:t>
      </w:r>
      <w:r w:rsidRPr="000A5C3B">
        <w:rPr>
          <w:rFonts w:ascii="Palatino Linotype" w:eastAsia="Palatino Linotype" w:hAnsi="Palatino Linotype" w:cs="Palatino Linotype"/>
          <w:b/>
        </w:rPr>
        <w:t>EL SUJETO OBLIGADO</w:t>
      </w:r>
      <w:r w:rsidRPr="000A5C3B">
        <w:rPr>
          <w:rFonts w:ascii="Palatino Linotype" w:eastAsia="Palatino Linotype" w:hAnsi="Palatino Linotype" w:cs="Palatino Linotype"/>
        </w:rPr>
        <w:t xml:space="preserve"> entregó la respuesta a la solicitud de Información Pública del particular en los siguientes términos:</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ind w:left="851" w:right="899"/>
        <w:jc w:val="both"/>
        <w:rPr>
          <w:rFonts w:ascii="Palatino Linotype" w:eastAsia="Palatino Linotype" w:hAnsi="Palatino Linotype" w:cs="Palatino Linotype"/>
          <w:i/>
        </w:rPr>
      </w:pPr>
      <w:r w:rsidRPr="000A5C3B">
        <w:rPr>
          <w:rFonts w:ascii="Palatino Linotype" w:eastAsia="Palatino Linotype" w:hAnsi="Palatino Linotype" w:cs="Palatino Linotype"/>
          <w:i/>
        </w:rPr>
        <w:t>“Zinacantepec, México a 19 de Enero de 2024</w:t>
      </w:r>
    </w:p>
    <w:p w:rsidR="000D1908" w:rsidRPr="000A5C3B" w:rsidRDefault="002122F0" w:rsidP="000A5C3B">
      <w:pPr>
        <w:ind w:left="851" w:right="899"/>
        <w:jc w:val="both"/>
        <w:rPr>
          <w:rFonts w:ascii="Palatino Linotype" w:eastAsia="Palatino Linotype" w:hAnsi="Palatino Linotype" w:cs="Palatino Linotype"/>
          <w:i/>
        </w:rPr>
      </w:pPr>
      <w:r w:rsidRPr="000A5C3B">
        <w:rPr>
          <w:rFonts w:ascii="Palatino Linotype" w:eastAsia="Palatino Linotype" w:hAnsi="Palatino Linotype" w:cs="Palatino Linotype"/>
          <w:i/>
        </w:rPr>
        <w:t>Nombre del solicitante: C. Solicitante</w:t>
      </w:r>
    </w:p>
    <w:p w:rsidR="000D1908" w:rsidRPr="000A5C3B" w:rsidRDefault="002122F0" w:rsidP="000A5C3B">
      <w:pPr>
        <w:ind w:left="851" w:right="899"/>
        <w:jc w:val="both"/>
        <w:rPr>
          <w:rFonts w:ascii="Palatino Linotype" w:eastAsia="Palatino Linotype" w:hAnsi="Palatino Linotype" w:cs="Palatino Linotype"/>
          <w:i/>
        </w:rPr>
      </w:pPr>
      <w:r w:rsidRPr="000A5C3B">
        <w:rPr>
          <w:rFonts w:ascii="Palatino Linotype" w:eastAsia="Palatino Linotype" w:hAnsi="Palatino Linotype" w:cs="Palatino Linotype"/>
          <w:i/>
        </w:rPr>
        <w:t>Folio de la solicitud: 02122/ZINACANT/IP/2023</w:t>
      </w:r>
    </w:p>
    <w:p w:rsidR="000D1908" w:rsidRPr="000A5C3B" w:rsidRDefault="002122F0" w:rsidP="000A5C3B">
      <w:pPr>
        <w:ind w:left="851" w:right="899"/>
        <w:jc w:val="both"/>
        <w:rPr>
          <w:rFonts w:ascii="Palatino Linotype" w:eastAsia="Palatino Linotype" w:hAnsi="Palatino Linotype" w:cs="Palatino Linotype"/>
          <w:i/>
        </w:rPr>
      </w:pPr>
      <w:r w:rsidRPr="000A5C3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0D1908" w:rsidRPr="000A5C3B" w:rsidRDefault="002122F0" w:rsidP="000A5C3B">
      <w:pPr>
        <w:ind w:left="851" w:right="899"/>
        <w:jc w:val="both"/>
        <w:rPr>
          <w:rFonts w:ascii="Palatino Linotype" w:eastAsia="Palatino Linotype" w:hAnsi="Palatino Linotype" w:cs="Palatino Linotype"/>
          <w:i/>
        </w:rPr>
      </w:pPr>
      <w:r w:rsidRPr="000A5C3B">
        <w:rPr>
          <w:rFonts w:ascii="Palatino Linotype" w:eastAsia="Palatino Linotype" w:hAnsi="Palatino Linotype" w:cs="Palatino Linotype"/>
          <w:i/>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02122/ZINACANT/IP/2023, recibida a través del Sistema SAIMEX, en donde se solicita textualmente lo siguiente: “SOLICITO LA LISTA DE ASISTENCIA AL 2DO INFORME DEL PRESIDENTE DE </w:t>
      </w:r>
      <w:r w:rsidRPr="000A5C3B">
        <w:rPr>
          <w:rFonts w:ascii="Palatino Linotype" w:eastAsia="Palatino Linotype" w:hAnsi="Palatino Linotype" w:cs="Palatino Linotype"/>
          <w:i/>
        </w:rPr>
        <w:lastRenderedPageBreak/>
        <w:t>ZINACANTEPEC.” (</w:t>
      </w:r>
      <w:proofErr w:type="gramStart"/>
      <w:r w:rsidRPr="000A5C3B">
        <w:rPr>
          <w:rFonts w:ascii="Palatino Linotype" w:eastAsia="Palatino Linotype" w:hAnsi="Palatino Linotype" w:cs="Palatino Linotype"/>
          <w:i/>
        </w:rPr>
        <w:t>sic</w:t>
      </w:r>
      <w:proofErr w:type="gramEnd"/>
      <w:r w:rsidRPr="000A5C3B">
        <w:rPr>
          <w:rFonts w:ascii="Palatino Linotype" w:eastAsia="Palatino Linotype" w:hAnsi="Palatino Linotype" w:cs="Palatino Linotype"/>
          <w:i/>
        </w:rPr>
        <w:t>). En apego a lo establecido su solicitud fue analizada y turnada a el área poseedora de la información, en este caso a la Secretaria Particular de Presidencia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las áreas competentes.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rsidR="000D1908" w:rsidRPr="000A5C3B" w:rsidRDefault="002122F0" w:rsidP="000A5C3B">
      <w:pPr>
        <w:ind w:left="851" w:right="899"/>
        <w:jc w:val="both"/>
        <w:rPr>
          <w:rFonts w:ascii="Palatino Linotype" w:eastAsia="Palatino Linotype" w:hAnsi="Palatino Linotype" w:cs="Palatino Linotype"/>
          <w:i/>
        </w:rPr>
      </w:pPr>
      <w:r w:rsidRPr="000A5C3B">
        <w:rPr>
          <w:rFonts w:ascii="Palatino Linotype" w:eastAsia="Palatino Linotype" w:hAnsi="Palatino Linotype" w:cs="Palatino Linotype"/>
          <w:i/>
        </w:rPr>
        <w:t>ATENTAMENTE</w:t>
      </w:r>
    </w:p>
    <w:p w:rsidR="000D1908" w:rsidRPr="000A5C3B" w:rsidRDefault="002122F0" w:rsidP="000A5C3B">
      <w:pPr>
        <w:ind w:left="851" w:right="899"/>
        <w:jc w:val="both"/>
        <w:rPr>
          <w:rFonts w:ascii="Palatino Linotype" w:eastAsia="Palatino Linotype" w:hAnsi="Palatino Linotype" w:cs="Palatino Linotype"/>
        </w:rPr>
      </w:pPr>
      <w:r w:rsidRPr="000A5C3B">
        <w:rPr>
          <w:rFonts w:ascii="Palatino Linotype" w:eastAsia="Palatino Linotype" w:hAnsi="Palatino Linotype" w:cs="Palatino Linotype"/>
          <w:i/>
        </w:rPr>
        <w:t xml:space="preserve">BRENDA SELENE HERNANDEZ LOPEZ” </w:t>
      </w:r>
      <w:r w:rsidRPr="000A5C3B">
        <w:rPr>
          <w:rFonts w:ascii="Palatino Linotype" w:eastAsia="Palatino Linotype" w:hAnsi="Palatino Linotype" w:cs="Palatino Linotype"/>
        </w:rPr>
        <w:t>(sic).</w:t>
      </w:r>
    </w:p>
    <w:p w:rsidR="000D1908" w:rsidRPr="000A5C3B" w:rsidRDefault="000D1908" w:rsidP="000A5C3B">
      <w:pPr>
        <w:spacing w:line="360" w:lineRule="auto"/>
        <w:ind w:right="49"/>
        <w:jc w:val="both"/>
        <w:rPr>
          <w:rFonts w:ascii="Palatino Linotype" w:eastAsia="Palatino Linotype" w:hAnsi="Palatino Linotype" w:cs="Palatino Linotype"/>
          <w:b/>
        </w:rPr>
      </w:pPr>
    </w:p>
    <w:p w:rsidR="000D1908" w:rsidRPr="000A5C3B" w:rsidRDefault="002122F0" w:rsidP="000A5C3B">
      <w:pPr>
        <w:spacing w:line="360" w:lineRule="auto"/>
        <w:ind w:right="49"/>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Por otra parte, se anexó a la respuesta, el documento digital que a continuación se describe: </w:t>
      </w:r>
    </w:p>
    <w:p w:rsidR="000D1908" w:rsidRPr="000A5C3B" w:rsidRDefault="000D1908" w:rsidP="000A5C3B">
      <w:pPr>
        <w:spacing w:line="360" w:lineRule="auto"/>
        <w:ind w:right="49"/>
        <w:jc w:val="both"/>
        <w:rPr>
          <w:rFonts w:ascii="Palatino Linotype" w:eastAsia="Palatino Linotype" w:hAnsi="Palatino Linotype" w:cs="Palatino Linotype"/>
        </w:rPr>
      </w:pPr>
    </w:p>
    <w:p w:rsidR="000D1908" w:rsidRPr="000A5C3B" w:rsidRDefault="002122F0" w:rsidP="000A5C3B">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0A5C3B">
        <w:rPr>
          <w:rFonts w:ascii="Palatino Linotype" w:eastAsia="Palatino Linotype" w:hAnsi="Palatino Linotype" w:cs="Palatino Linotype"/>
          <w:b/>
          <w:i/>
          <w:color w:val="000000"/>
        </w:rPr>
        <w:t>“RESPUESTA OK.pdf”</w:t>
      </w:r>
      <w:r w:rsidRPr="000A5C3B">
        <w:rPr>
          <w:rFonts w:ascii="Palatino Linotype" w:eastAsia="Palatino Linotype" w:hAnsi="Palatino Linotype" w:cs="Palatino Linotype"/>
          <w:i/>
          <w:color w:val="000000"/>
        </w:rPr>
        <w:t>:</w:t>
      </w:r>
      <w:r w:rsidRPr="000A5C3B">
        <w:rPr>
          <w:rFonts w:ascii="Palatino Linotype" w:eastAsia="Palatino Linotype" w:hAnsi="Palatino Linotype" w:cs="Palatino Linotype"/>
          <w:color w:val="000000"/>
        </w:rPr>
        <w:t xml:space="preserve"> documento constante de una foja útil, de cuyo contenido se advierte el oficio con número de registro ZIN/SP/001/2024, suscrito por la Secretaria Particular de la Presidencia Municipal de Zinacantepec, por medio del cual señala que no se generaron listas de asistencia para el evento del 1do informe del Presidente Municipal.</w:t>
      </w:r>
    </w:p>
    <w:p w:rsidR="000D1908" w:rsidRDefault="000D1908" w:rsidP="000A5C3B">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rsidR="000A5C3B" w:rsidRPr="000A5C3B" w:rsidRDefault="000A5C3B" w:rsidP="000A5C3B">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rsidR="000D1908" w:rsidRPr="000A5C3B" w:rsidRDefault="002122F0" w:rsidP="000A5C3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rPr>
      </w:pPr>
      <w:r w:rsidRPr="000A5C3B">
        <w:rPr>
          <w:rFonts w:ascii="Palatino Linotype" w:eastAsia="Palatino Linotype" w:hAnsi="Palatino Linotype" w:cs="Palatino Linotype"/>
          <w:b/>
          <w:color w:val="000000"/>
        </w:rPr>
        <w:lastRenderedPageBreak/>
        <w:t>IV. Del Recurso Revisión.</w:t>
      </w: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Inconforme con la respuesta, el </w:t>
      </w:r>
      <w:r w:rsidRPr="000A5C3B">
        <w:rPr>
          <w:rFonts w:ascii="Palatino Linotype" w:eastAsia="Palatino Linotype" w:hAnsi="Palatino Linotype" w:cs="Palatino Linotype"/>
          <w:b/>
        </w:rPr>
        <w:t>veinte de enero de dos mil veinticuatro</w:t>
      </w:r>
      <w:r w:rsidRPr="000A5C3B">
        <w:rPr>
          <w:rFonts w:ascii="Palatino Linotype" w:eastAsia="Palatino Linotype" w:hAnsi="Palatino Linotype" w:cs="Palatino Linotype"/>
        </w:rPr>
        <w:t xml:space="preserve">, </w:t>
      </w:r>
      <w:r w:rsidRPr="000A5C3B">
        <w:rPr>
          <w:rFonts w:ascii="Palatino Linotype" w:eastAsia="Palatino Linotype" w:hAnsi="Palatino Linotype" w:cs="Palatino Linotype"/>
          <w:b/>
        </w:rPr>
        <w:t>EL RECURRENTE</w:t>
      </w:r>
      <w:r w:rsidRPr="000A5C3B">
        <w:rPr>
          <w:rFonts w:ascii="Palatino Linotype" w:eastAsia="Palatino Linotype" w:hAnsi="Palatino Linotype" w:cs="Palatino Linotype"/>
        </w:rPr>
        <w:t xml:space="preserve"> interpuso el Recurso Revisión sujeto del presente estudio, al cual se le asignó el número de expediente </w:t>
      </w:r>
      <w:r w:rsidRPr="000A5C3B">
        <w:rPr>
          <w:rFonts w:ascii="Palatino Linotype" w:eastAsia="Palatino Linotype" w:hAnsi="Palatino Linotype" w:cs="Palatino Linotype"/>
          <w:b/>
        </w:rPr>
        <w:t>00177/INFOEM/IP/RR/2024,</w:t>
      </w:r>
      <w:r w:rsidRPr="000A5C3B">
        <w:rPr>
          <w:rFonts w:ascii="Palatino Linotype" w:eastAsia="Palatino Linotype" w:hAnsi="Palatino Linotype" w:cs="Palatino Linotype"/>
        </w:rPr>
        <w:t xml:space="preserve"> en el que señaló como:</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b/>
        </w:rPr>
        <w:t xml:space="preserve">Acto impugnado: </w:t>
      </w:r>
    </w:p>
    <w:p w:rsidR="000D1908" w:rsidRPr="000A5C3B" w:rsidRDefault="000D1908" w:rsidP="000A5C3B">
      <w:pPr>
        <w:spacing w:line="360" w:lineRule="auto"/>
        <w:jc w:val="both"/>
        <w:rPr>
          <w:rFonts w:ascii="Palatino Linotype" w:eastAsia="Palatino Linotype" w:hAnsi="Palatino Linotype" w:cs="Palatino Linotype"/>
          <w:b/>
        </w:rPr>
      </w:pPr>
    </w:p>
    <w:p w:rsidR="000D1908" w:rsidRPr="000A5C3B" w:rsidRDefault="002122F0" w:rsidP="000A5C3B">
      <w:pPr>
        <w:tabs>
          <w:tab w:val="left" w:pos="851"/>
        </w:tabs>
        <w:spacing w:line="360" w:lineRule="auto"/>
        <w:ind w:left="851" w:right="901"/>
        <w:jc w:val="both"/>
        <w:rPr>
          <w:rFonts w:ascii="Palatino Linotype" w:eastAsia="Palatino Linotype" w:hAnsi="Palatino Linotype" w:cs="Palatino Linotype"/>
        </w:rPr>
      </w:pPr>
      <w:r w:rsidRPr="000A5C3B">
        <w:rPr>
          <w:rFonts w:ascii="Palatino Linotype" w:eastAsia="Palatino Linotype" w:hAnsi="Palatino Linotype" w:cs="Palatino Linotype"/>
          <w:i/>
        </w:rPr>
        <w:t xml:space="preserve">“NO ENTREGA INFORMACIÓN” </w:t>
      </w:r>
      <w:r w:rsidRPr="000A5C3B">
        <w:rPr>
          <w:rFonts w:ascii="Palatino Linotype" w:eastAsia="Palatino Linotype" w:hAnsi="Palatino Linotype" w:cs="Palatino Linotype"/>
        </w:rPr>
        <w:t>(sic).</w:t>
      </w:r>
    </w:p>
    <w:p w:rsidR="000D1908" w:rsidRPr="000A5C3B" w:rsidRDefault="000D1908" w:rsidP="000A5C3B">
      <w:pPr>
        <w:spacing w:line="360" w:lineRule="auto"/>
        <w:jc w:val="both"/>
        <w:rPr>
          <w:rFonts w:ascii="Palatino Linotype" w:eastAsia="Palatino Linotype" w:hAnsi="Palatino Linotype" w:cs="Palatino Linotype"/>
          <w:b/>
        </w:rPr>
      </w:pPr>
    </w:p>
    <w:p w:rsidR="000D1908" w:rsidRPr="000A5C3B" w:rsidRDefault="002122F0" w:rsidP="000A5C3B">
      <w:pPr>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b/>
        </w:rPr>
        <w:t>Razones o motivos de inconformidad:</w:t>
      </w:r>
    </w:p>
    <w:p w:rsidR="000D1908" w:rsidRPr="000A5C3B" w:rsidRDefault="002122F0" w:rsidP="000A5C3B">
      <w:pPr>
        <w:tabs>
          <w:tab w:val="left" w:pos="851"/>
        </w:tabs>
        <w:spacing w:line="360" w:lineRule="auto"/>
        <w:ind w:left="851" w:right="901"/>
        <w:jc w:val="both"/>
        <w:rPr>
          <w:rFonts w:ascii="Palatino Linotype" w:eastAsia="Palatino Linotype" w:hAnsi="Palatino Linotype" w:cs="Palatino Linotype"/>
        </w:rPr>
      </w:pPr>
      <w:r w:rsidRPr="000A5C3B">
        <w:rPr>
          <w:rFonts w:ascii="Palatino Linotype" w:eastAsia="Palatino Linotype" w:hAnsi="Palatino Linotype" w:cs="Palatino Linotype"/>
          <w:i/>
        </w:rPr>
        <w:t>“Y EL PUNTO DE INEXISTENCIA</w:t>
      </w:r>
      <w:proofErr w:type="gramStart"/>
      <w:r w:rsidRPr="000A5C3B">
        <w:rPr>
          <w:rFonts w:ascii="Palatino Linotype" w:eastAsia="Palatino Linotype" w:hAnsi="Palatino Linotype" w:cs="Palatino Linotype"/>
          <w:i/>
        </w:rPr>
        <w:t>???</w:t>
      </w:r>
      <w:proofErr w:type="gramEnd"/>
      <w:r w:rsidRPr="000A5C3B">
        <w:rPr>
          <w:rFonts w:ascii="Palatino Linotype" w:eastAsia="Palatino Linotype" w:hAnsi="Palatino Linotype" w:cs="Palatino Linotype"/>
          <w:i/>
        </w:rPr>
        <w:t xml:space="preserve">” </w:t>
      </w:r>
      <w:r w:rsidRPr="000A5C3B">
        <w:rPr>
          <w:rFonts w:ascii="Palatino Linotype" w:eastAsia="Palatino Linotype" w:hAnsi="Palatino Linotype" w:cs="Palatino Linotype"/>
        </w:rPr>
        <w:t>(Sic).</w:t>
      </w:r>
    </w:p>
    <w:p w:rsidR="000D1908" w:rsidRPr="000A5C3B" w:rsidRDefault="000D1908" w:rsidP="000A5C3B">
      <w:pPr>
        <w:spacing w:line="360" w:lineRule="auto"/>
        <w:jc w:val="both"/>
        <w:rPr>
          <w:rFonts w:ascii="Palatino Linotype" w:eastAsia="Palatino Linotype" w:hAnsi="Palatino Linotype" w:cs="Palatino Linotype"/>
          <w:b/>
        </w:rPr>
      </w:pPr>
    </w:p>
    <w:p w:rsidR="000D1908" w:rsidRPr="000A5C3B" w:rsidRDefault="002122F0" w:rsidP="000A5C3B">
      <w:pPr>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b/>
        </w:rPr>
        <w:t>V. Del turno del Recurso Revisión.</w:t>
      </w: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El </w:t>
      </w:r>
      <w:r w:rsidRPr="000A5C3B">
        <w:rPr>
          <w:rFonts w:ascii="Palatino Linotype" w:eastAsia="Palatino Linotype" w:hAnsi="Palatino Linotype" w:cs="Palatino Linotype"/>
          <w:b/>
        </w:rPr>
        <w:t>veinte de enero de dos mil veinticuatro</w:t>
      </w:r>
      <w:r w:rsidRPr="000A5C3B">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0A5C3B">
        <w:rPr>
          <w:rFonts w:ascii="Palatino Linotype" w:eastAsia="Palatino Linotype" w:hAnsi="Palatino Linotype" w:cs="Palatino Linotype"/>
          <w:b/>
        </w:rPr>
        <w:t>EL SAIMEX</w:t>
      </w:r>
      <w:r w:rsidRPr="000A5C3B">
        <w:rPr>
          <w:rFonts w:ascii="Palatino Linotype" w:eastAsia="Palatino Linotype" w:hAnsi="Palatino Linotype" w:cs="Palatino Linotype"/>
        </w:rPr>
        <w:t xml:space="preserve">, a la </w:t>
      </w:r>
      <w:r w:rsidRPr="000A5C3B">
        <w:rPr>
          <w:rFonts w:ascii="Palatino Linotype" w:eastAsia="Palatino Linotype" w:hAnsi="Palatino Linotype" w:cs="Palatino Linotype"/>
          <w:b/>
        </w:rPr>
        <w:t>Comisionada</w:t>
      </w:r>
      <w:r w:rsidRPr="000A5C3B">
        <w:rPr>
          <w:rFonts w:ascii="Palatino Linotype" w:eastAsia="Palatino Linotype" w:hAnsi="Palatino Linotype" w:cs="Palatino Linotype"/>
        </w:rPr>
        <w:t xml:space="preserve"> </w:t>
      </w:r>
      <w:r w:rsidRPr="000A5C3B">
        <w:rPr>
          <w:rFonts w:ascii="Palatino Linotype" w:eastAsia="Palatino Linotype" w:hAnsi="Palatino Linotype" w:cs="Palatino Linotype"/>
          <w:b/>
        </w:rPr>
        <w:t>Sharon Cristina Morales Martínez</w:t>
      </w:r>
      <w:r w:rsidRPr="000A5C3B">
        <w:rPr>
          <w:rFonts w:ascii="Palatino Linotype" w:eastAsia="Palatino Linotype" w:hAnsi="Palatino Linotype" w:cs="Palatino Linotype"/>
        </w:rPr>
        <w:t xml:space="preserve"> a efecto de decretar su admisión o desechamiento.</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tabs>
          <w:tab w:val="center" w:pos="4252"/>
          <w:tab w:val="right" w:pos="8504"/>
        </w:tabs>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b/>
        </w:rPr>
        <w:t>a) Admisión del Recurso Revisión.</w:t>
      </w:r>
    </w:p>
    <w:p w:rsidR="000D1908" w:rsidRPr="000A5C3B" w:rsidRDefault="002122F0" w:rsidP="000A5C3B">
      <w:pPr>
        <w:tabs>
          <w:tab w:val="center" w:pos="4252"/>
          <w:tab w:val="right" w:pos="8504"/>
        </w:tabs>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De las constancias del expediente electrónico del</w:t>
      </w:r>
      <w:r w:rsidRPr="000A5C3B">
        <w:rPr>
          <w:rFonts w:ascii="Palatino Linotype" w:eastAsia="Palatino Linotype" w:hAnsi="Palatino Linotype" w:cs="Palatino Linotype"/>
          <w:b/>
        </w:rPr>
        <w:t xml:space="preserve"> SAIMEX</w:t>
      </w:r>
      <w:r w:rsidRPr="000A5C3B">
        <w:rPr>
          <w:rFonts w:ascii="Palatino Linotype" w:eastAsia="Palatino Linotype" w:hAnsi="Palatino Linotype" w:cs="Palatino Linotype"/>
        </w:rPr>
        <w:t xml:space="preserve">, se advierte que el </w:t>
      </w:r>
      <w:r w:rsidRPr="000A5C3B">
        <w:rPr>
          <w:rFonts w:ascii="Palatino Linotype" w:eastAsia="Palatino Linotype" w:hAnsi="Palatino Linotype" w:cs="Palatino Linotype"/>
          <w:b/>
        </w:rPr>
        <w:t>veinticinco de enero de dos mil veinticuatro</w:t>
      </w:r>
      <w:r w:rsidRPr="000A5C3B">
        <w:rPr>
          <w:rFonts w:ascii="Palatino Linotype" w:eastAsia="Palatino Linotype" w:hAnsi="Palatino Linotype" w:cs="Palatino Linotype"/>
        </w:rPr>
        <w:t xml:space="preserve">, se notificó la admisión a trámite del </w:t>
      </w:r>
      <w:r w:rsidRPr="000A5C3B">
        <w:rPr>
          <w:rFonts w:ascii="Palatino Linotype" w:eastAsia="Palatino Linotype" w:hAnsi="Palatino Linotype" w:cs="Palatino Linotype"/>
        </w:rPr>
        <w:lastRenderedPageBreak/>
        <w:t xml:space="preserve">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0A5C3B">
        <w:rPr>
          <w:rFonts w:ascii="Palatino Linotype" w:eastAsia="Palatino Linotype" w:hAnsi="Palatino Linotype" w:cs="Palatino Linotype"/>
          <w:b/>
        </w:rPr>
        <w:t xml:space="preserve">EL RECURRENTE </w:t>
      </w:r>
      <w:r w:rsidRPr="000A5C3B">
        <w:rPr>
          <w:rFonts w:ascii="Palatino Linotype" w:eastAsia="Palatino Linotype" w:hAnsi="Palatino Linotype" w:cs="Palatino Linotype"/>
        </w:rPr>
        <w:t xml:space="preserve">manifestara lo que a su derecho conviniera, a efecto de presentar pruebas o alegatos y, en su caso, </w:t>
      </w:r>
      <w:r w:rsidRPr="000A5C3B">
        <w:rPr>
          <w:rFonts w:ascii="Palatino Linotype" w:eastAsia="Palatino Linotype" w:hAnsi="Palatino Linotype" w:cs="Palatino Linotype"/>
          <w:b/>
        </w:rPr>
        <w:t xml:space="preserve">EL SUJETO OBLIGADO </w:t>
      </w:r>
      <w:r w:rsidRPr="000A5C3B">
        <w:rPr>
          <w:rFonts w:ascii="Palatino Linotype" w:eastAsia="Palatino Linotype" w:hAnsi="Palatino Linotype" w:cs="Palatino Linotype"/>
        </w:rPr>
        <w:t>rindiera su correspondiente Informe Justificado.</w:t>
      </w:r>
    </w:p>
    <w:p w:rsidR="000D1908" w:rsidRPr="000A5C3B" w:rsidRDefault="000D1908" w:rsidP="000A5C3B">
      <w:pPr>
        <w:tabs>
          <w:tab w:val="center" w:pos="4252"/>
          <w:tab w:val="right" w:pos="8504"/>
        </w:tabs>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b/>
        </w:rPr>
        <w:t>b) Informe Justificado y manifestaciones.</w:t>
      </w: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De acuerdo a las constancias digitales que obran en </w:t>
      </w:r>
      <w:r w:rsidRPr="000A5C3B">
        <w:rPr>
          <w:rFonts w:ascii="Palatino Linotype" w:eastAsia="Palatino Linotype" w:hAnsi="Palatino Linotype" w:cs="Palatino Linotype"/>
          <w:b/>
        </w:rPr>
        <w:t>EL</w:t>
      </w:r>
      <w:r w:rsidRPr="000A5C3B">
        <w:rPr>
          <w:rFonts w:ascii="Palatino Linotype" w:eastAsia="Palatino Linotype" w:hAnsi="Palatino Linotype" w:cs="Palatino Linotype"/>
        </w:rPr>
        <w:t xml:space="preserve"> </w:t>
      </w:r>
      <w:r w:rsidRPr="000A5C3B">
        <w:rPr>
          <w:rFonts w:ascii="Palatino Linotype" w:eastAsia="Palatino Linotype" w:hAnsi="Palatino Linotype" w:cs="Palatino Linotype"/>
          <w:b/>
        </w:rPr>
        <w:t>SAIMEX</w:t>
      </w:r>
      <w:r w:rsidRPr="000A5C3B">
        <w:rPr>
          <w:rFonts w:ascii="Palatino Linotype" w:eastAsia="Palatino Linotype" w:hAnsi="Palatino Linotype" w:cs="Palatino Linotype"/>
        </w:rPr>
        <w:t xml:space="preserve"> se desprende que las partes omitieron realizar manifestación alguna.</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0A5C3B">
        <w:rPr>
          <w:rFonts w:ascii="Palatino Linotype" w:eastAsia="Palatino Linotype" w:hAnsi="Palatino Linotype" w:cs="Palatino Linotype"/>
          <w:b/>
          <w:color w:val="000000"/>
        </w:rPr>
        <w:t>c) Cierre de Instrucción.</w:t>
      </w: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Una vez analizado el estado procesal que guarda el expediente, el </w:t>
      </w:r>
      <w:r w:rsidRPr="000A5C3B">
        <w:rPr>
          <w:rFonts w:ascii="Palatino Linotype" w:eastAsia="Palatino Linotype" w:hAnsi="Palatino Linotype" w:cs="Palatino Linotype"/>
          <w:b/>
        </w:rPr>
        <w:t>trece de febrero de dos mil veinticuatro</w:t>
      </w:r>
      <w:r w:rsidRPr="000A5C3B">
        <w:rPr>
          <w:rFonts w:ascii="Palatino Linotype" w:eastAsia="Palatino Linotype" w:hAnsi="Palatino Linotype" w:cs="Palatino Linotype"/>
        </w:rPr>
        <w:t xml:space="preserve">, la </w:t>
      </w:r>
      <w:r w:rsidRPr="000A5C3B">
        <w:rPr>
          <w:rFonts w:ascii="Palatino Linotype" w:eastAsia="Palatino Linotype" w:hAnsi="Palatino Linotype" w:cs="Palatino Linotype"/>
          <w:b/>
        </w:rPr>
        <w:t>Comisionada Sharon Cristina Morales Martínez</w:t>
      </w:r>
      <w:r w:rsidRPr="000A5C3B">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center"/>
        <w:rPr>
          <w:rFonts w:ascii="Palatino Linotype" w:eastAsia="Palatino Linotype" w:hAnsi="Palatino Linotype" w:cs="Palatino Linotype"/>
          <w:b/>
        </w:rPr>
      </w:pPr>
      <w:r w:rsidRPr="000A5C3B">
        <w:rPr>
          <w:rFonts w:ascii="Palatino Linotype" w:eastAsia="Palatino Linotype" w:hAnsi="Palatino Linotype" w:cs="Palatino Linotype"/>
          <w:b/>
        </w:rPr>
        <w:t>CONSIDERANDOS</w:t>
      </w:r>
    </w:p>
    <w:p w:rsidR="000D1908" w:rsidRPr="000A5C3B" w:rsidRDefault="000D1908" w:rsidP="000A5C3B">
      <w:pPr>
        <w:spacing w:line="360" w:lineRule="auto"/>
        <w:jc w:val="center"/>
        <w:rPr>
          <w:rFonts w:ascii="Palatino Linotype" w:eastAsia="Palatino Linotype" w:hAnsi="Palatino Linotype" w:cs="Palatino Linotype"/>
          <w:b/>
        </w:rPr>
      </w:pPr>
    </w:p>
    <w:p w:rsidR="000D1908" w:rsidRPr="000A5C3B" w:rsidRDefault="002122F0" w:rsidP="000A5C3B">
      <w:pPr>
        <w:spacing w:line="360" w:lineRule="auto"/>
        <w:ind w:right="50"/>
        <w:jc w:val="both"/>
        <w:rPr>
          <w:rFonts w:ascii="Palatino Linotype" w:eastAsia="Palatino Linotype" w:hAnsi="Palatino Linotype" w:cs="Palatino Linotype"/>
          <w:b/>
        </w:rPr>
      </w:pPr>
      <w:r w:rsidRPr="000A5C3B">
        <w:rPr>
          <w:rFonts w:ascii="Palatino Linotype" w:eastAsia="Palatino Linotype" w:hAnsi="Palatino Linotype" w:cs="Palatino Linotype"/>
          <w:b/>
        </w:rPr>
        <w:t>PRIMERO.</w:t>
      </w:r>
      <w:r w:rsidRPr="000A5C3B">
        <w:rPr>
          <w:rFonts w:ascii="Palatino Linotype" w:eastAsia="Palatino Linotype" w:hAnsi="Palatino Linotype" w:cs="Palatino Linotype"/>
        </w:rPr>
        <w:t xml:space="preserve"> </w:t>
      </w:r>
      <w:r w:rsidRPr="000A5C3B">
        <w:rPr>
          <w:rFonts w:ascii="Palatino Linotype" w:eastAsia="Palatino Linotype" w:hAnsi="Palatino Linotype" w:cs="Palatino Linotype"/>
          <w:b/>
        </w:rPr>
        <w:t>Competencia</w:t>
      </w:r>
      <w:r w:rsidRPr="000A5C3B">
        <w:rPr>
          <w:rFonts w:ascii="Palatino Linotype" w:eastAsia="Palatino Linotype" w:hAnsi="Palatino Linotype" w:cs="Palatino Linotype"/>
        </w:rPr>
        <w:t>.</w:t>
      </w:r>
    </w:p>
    <w:p w:rsidR="000D1908" w:rsidRPr="000A5C3B" w:rsidRDefault="002122F0" w:rsidP="000A5C3B">
      <w:pPr>
        <w:spacing w:line="360" w:lineRule="auto"/>
        <w:ind w:right="50"/>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w:t>
      </w:r>
      <w:r w:rsidRPr="000A5C3B">
        <w:rPr>
          <w:rFonts w:ascii="Palatino Linotype" w:eastAsia="Palatino Linotype" w:hAnsi="Palatino Linotype" w:cs="Palatino Linotype"/>
        </w:rPr>
        <w:lastRenderedPageBreak/>
        <w:t>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0D1908" w:rsidRPr="000A5C3B" w:rsidRDefault="000D1908" w:rsidP="000A5C3B">
      <w:pPr>
        <w:spacing w:line="360" w:lineRule="auto"/>
        <w:ind w:right="50"/>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b/>
        </w:rPr>
        <w:t>SEGUNDO. Interés.</w:t>
      </w: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El Recurso Revisión fue interpuesto por parte legítima, en atención a que se presentó por </w:t>
      </w:r>
      <w:r w:rsidRPr="000A5C3B">
        <w:rPr>
          <w:rFonts w:ascii="Palatino Linotype" w:eastAsia="Palatino Linotype" w:hAnsi="Palatino Linotype" w:cs="Palatino Linotype"/>
          <w:b/>
        </w:rPr>
        <w:t>EL RECURRENTE,</w:t>
      </w:r>
      <w:r w:rsidRPr="000A5C3B">
        <w:rPr>
          <w:rFonts w:ascii="Palatino Linotype" w:eastAsia="Palatino Linotype" w:hAnsi="Palatino Linotype" w:cs="Palatino Linotype"/>
        </w:rPr>
        <w:t xml:space="preserve"> quien es la misma persona que formuló la solicitud de acceso a la Información Pública al </w:t>
      </w:r>
      <w:r w:rsidRPr="000A5C3B">
        <w:rPr>
          <w:rFonts w:ascii="Palatino Linotype" w:eastAsia="Palatino Linotype" w:hAnsi="Palatino Linotype" w:cs="Palatino Linotype"/>
          <w:b/>
        </w:rPr>
        <w:t xml:space="preserve">SUJETO OBLIGADO, </w:t>
      </w:r>
      <w:r w:rsidRPr="000A5C3B">
        <w:rPr>
          <w:rFonts w:ascii="Palatino Linotype" w:eastAsia="Palatino Linotype" w:hAnsi="Palatino Linotype" w:cs="Palatino Linotype"/>
        </w:rPr>
        <w:t xml:space="preserve">pues para ello, es necesario que el particular ingrese al </w:t>
      </w:r>
      <w:r w:rsidRPr="000A5C3B">
        <w:rPr>
          <w:rFonts w:ascii="Palatino Linotype" w:eastAsia="Palatino Linotype" w:hAnsi="Palatino Linotype" w:cs="Palatino Linotype"/>
          <w:b/>
        </w:rPr>
        <w:t xml:space="preserve">SAIMEX </w:t>
      </w:r>
      <w:r w:rsidRPr="000A5C3B">
        <w:rPr>
          <w:rFonts w:ascii="Palatino Linotype" w:eastAsia="Palatino Linotype" w:hAnsi="Palatino Linotype" w:cs="Palatino Linotype"/>
        </w:rPr>
        <w:t>mediante la utilización de su clave de usuario y contraseña.</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ind w:right="49"/>
        <w:jc w:val="both"/>
        <w:rPr>
          <w:rFonts w:ascii="Palatino Linotype" w:eastAsia="Palatino Linotype" w:hAnsi="Palatino Linotype" w:cs="Palatino Linotype"/>
          <w:b/>
        </w:rPr>
      </w:pPr>
      <w:r w:rsidRPr="000A5C3B">
        <w:rPr>
          <w:rFonts w:ascii="Palatino Linotype" w:eastAsia="Palatino Linotype" w:hAnsi="Palatino Linotype" w:cs="Palatino Linotype"/>
          <w:b/>
        </w:rPr>
        <w:t xml:space="preserve">TERCERO. Oportunidad. </w:t>
      </w: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0A5C3B">
        <w:rPr>
          <w:rFonts w:ascii="Palatino Linotype" w:eastAsia="Palatino Linotype" w:hAnsi="Palatino Linotype" w:cs="Palatino Linotype"/>
          <w:b/>
        </w:rPr>
        <w:t>EL RECURRENTE</w:t>
      </w:r>
      <w:r w:rsidRPr="000A5C3B">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ind w:left="851" w:right="850"/>
        <w:jc w:val="both"/>
        <w:rPr>
          <w:rFonts w:ascii="Palatino Linotype" w:eastAsia="Palatino Linotype" w:hAnsi="Palatino Linotype" w:cs="Palatino Linotype"/>
          <w:i/>
        </w:rPr>
      </w:pPr>
      <w:r w:rsidRPr="000A5C3B">
        <w:rPr>
          <w:rFonts w:ascii="Palatino Linotype" w:eastAsia="Palatino Linotype" w:hAnsi="Palatino Linotype" w:cs="Palatino Linotype"/>
          <w:b/>
          <w:i/>
        </w:rPr>
        <w:lastRenderedPageBreak/>
        <w:t>“Artículo 178</w:t>
      </w:r>
      <w:r w:rsidRPr="000A5C3B">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0D1908" w:rsidRPr="000A5C3B" w:rsidRDefault="000D1908" w:rsidP="000A5C3B">
      <w:pPr>
        <w:ind w:left="851" w:right="850" w:hanging="851"/>
        <w:jc w:val="both"/>
        <w:rPr>
          <w:rFonts w:ascii="Palatino Linotype" w:eastAsia="Palatino Linotype" w:hAnsi="Palatino Linotype" w:cs="Palatino Linotype"/>
          <w:i/>
        </w:rPr>
      </w:pPr>
    </w:p>
    <w:p w:rsidR="000D1908" w:rsidRPr="000A5C3B" w:rsidRDefault="002122F0" w:rsidP="000A5C3B">
      <w:pPr>
        <w:ind w:left="851" w:right="850"/>
        <w:jc w:val="both"/>
        <w:rPr>
          <w:rFonts w:ascii="Palatino Linotype" w:eastAsia="Palatino Linotype" w:hAnsi="Palatino Linotype" w:cs="Palatino Linotype"/>
          <w:i/>
        </w:rPr>
      </w:pPr>
      <w:r w:rsidRPr="000A5C3B">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rsidR="000D1908" w:rsidRPr="000A5C3B" w:rsidRDefault="000D1908" w:rsidP="000A5C3B">
      <w:pPr>
        <w:ind w:left="851" w:right="850" w:hanging="851"/>
        <w:jc w:val="both"/>
        <w:rPr>
          <w:rFonts w:ascii="Palatino Linotype" w:eastAsia="Palatino Linotype" w:hAnsi="Palatino Linotype" w:cs="Palatino Linotype"/>
          <w:i/>
        </w:rPr>
      </w:pPr>
    </w:p>
    <w:p w:rsidR="000D1908" w:rsidRPr="000A5C3B" w:rsidRDefault="002122F0" w:rsidP="000A5C3B">
      <w:pPr>
        <w:ind w:left="851" w:right="850"/>
        <w:jc w:val="both"/>
        <w:rPr>
          <w:rFonts w:ascii="Palatino Linotype" w:eastAsia="Palatino Linotype" w:hAnsi="Palatino Linotype" w:cs="Palatino Linotype"/>
          <w:i/>
        </w:rPr>
      </w:pPr>
      <w:r w:rsidRPr="000A5C3B">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0A5C3B">
        <w:rPr>
          <w:rFonts w:ascii="Palatino Linotype" w:eastAsia="Palatino Linotype" w:hAnsi="Palatino Linotype" w:cs="Palatino Linotype"/>
        </w:rPr>
        <w:t>(Sic).</w:t>
      </w:r>
    </w:p>
    <w:p w:rsidR="000D1908" w:rsidRPr="000A5C3B" w:rsidRDefault="000D1908" w:rsidP="000A5C3B">
      <w:pPr>
        <w:spacing w:line="360" w:lineRule="auto"/>
        <w:ind w:left="851" w:right="616"/>
        <w:jc w:val="both"/>
        <w:rPr>
          <w:rFonts w:ascii="Palatino Linotype" w:eastAsia="Palatino Linotype" w:hAnsi="Palatino Linotype" w:cs="Palatino Linotype"/>
          <w:i/>
        </w:rPr>
      </w:pP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En esa tesitura, atendiendo a que </w:t>
      </w:r>
      <w:r w:rsidRPr="000A5C3B">
        <w:rPr>
          <w:rFonts w:ascii="Palatino Linotype" w:eastAsia="Palatino Linotype" w:hAnsi="Palatino Linotype" w:cs="Palatino Linotype"/>
          <w:b/>
        </w:rPr>
        <w:t>EL SUJETO OBLIGADO</w:t>
      </w:r>
      <w:r w:rsidRPr="000A5C3B">
        <w:rPr>
          <w:rFonts w:ascii="Palatino Linotype" w:eastAsia="Palatino Linotype" w:hAnsi="Palatino Linotype" w:cs="Palatino Linotype"/>
        </w:rPr>
        <w:t xml:space="preserve"> notificó la respuesta a la solicitud de Acceso a la Información Pública el </w:t>
      </w:r>
      <w:r w:rsidRPr="000A5C3B">
        <w:rPr>
          <w:rFonts w:ascii="Palatino Linotype" w:eastAsia="Palatino Linotype" w:hAnsi="Palatino Linotype" w:cs="Palatino Linotype"/>
          <w:b/>
        </w:rPr>
        <w:t>diecinueve de enero de dos mil veinticuatro</w:t>
      </w:r>
      <w:r w:rsidRPr="000A5C3B">
        <w:rPr>
          <w:rFonts w:ascii="Palatino Linotype" w:eastAsia="Palatino Linotype" w:hAnsi="Palatino Linotype" w:cs="Palatino Linotype"/>
        </w:rPr>
        <w:t xml:space="preserve">, así, el plazo de quince días hábiles que el artículo 178 de la Ley de la materia otorga a la hoy </w:t>
      </w:r>
      <w:r w:rsidRPr="000A5C3B">
        <w:rPr>
          <w:rFonts w:ascii="Palatino Linotype" w:eastAsia="Palatino Linotype" w:hAnsi="Palatino Linotype" w:cs="Palatino Linotype"/>
          <w:b/>
        </w:rPr>
        <w:t>RECURRENTE</w:t>
      </w:r>
      <w:r w:rsidRPr="000A5C3B">
        <w:rPr>
          <w:rFonts w:ascii="Palatino Linotype" w:eastAsia="Palatino Linotype" w:hAnsi="Palatino Linotype" w:cs="Palatino Linotype"/>
        </w:rPr>
        <w:t xml:space="preserve"> para presentar el respectivo Recurso de Revisión, transcurrió del </w:t>
      </w:r>
      <w:r w:rsidRPr="000A5C3B">
        <w:rPr>
          <w:rFonts w:ascii="Palatino Linotype" w:eastAsia="Palatino Linotype" w:hAnsi="Palatino Linotype" w:cs="Palatino Linotype"/>
          <w:b/>
        </w:rPr>
        <w:t>veintidós de enero al doce de febrero de dos mil veinticuatro</w:t>
      </w:r>
      <w:r w:rsidRPr="000A5C3B">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 así como aquellos contemplados como días de suspensión de actividades, de conformidad con lo previsto en el calendario oficial de este Instituto.</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Por tanto, si el Recurso de Revisión que nos ocupa, se tuvo por interpuesto el</w:t>
      </w:r>
      <w:r w:rsidRPr="000A5C3B">
        <w:rPr>
          <w:rFonts w:ascii="Palatino Linotype" w:eastAsia="Palatino Linotype" w:hAnsi="Palatino Linotype" w:cs="Palatino Linotype"/>
          <w:b/>
        </w:rPr>
        <w:t xml:space="preserve"> veinte de enero de dos mil veinticuatro</w:t>
      </w:r>
      <w:r w:rsidRPr="000A5C3B">
        <w:rPr>
          <w:rFonts w:ascii="Palatino Linotype" w:eastAsia="Palatino Linotype" w:hAnsi="Palatino Linotype" w:cs="Palatino Linotype"/>
        </w:rPr>
        <w:t xml:space="preserve">, éste se encuentra dentro de los márgenes temporales </w:t>
      </w:r>
      <w:r w:rsidRPr="000A5C3B">
        <w:rPr>
          <w:rFonts w:ascii="Palatino Linotype" w:eastAsia="Palatino Linotype" w:hAnsi="Palatino Linotype" w:cs="Palatino Linotype"/>
        </w:rPr>
        <w:lastRenderedPageBreak/>
        <w:t>previstos en el precepto legal citado en el párrafo anterior y, por tanto, su interposición se considera oportuna.</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ind w:right="49"/>
        <w:jc w:val="both"/>
        <w:rPr>
          <w:rFonts w:ascii="Palatino Linotype" w:eastAsia="Palatino Linotype" w:hAnsi="Palatino Linotype" w:cs="Palatino Linotype"/>
          <w:b/>
        </w:rPr>
      </w:pPr>
      <w:r w:rsidRPr="000A5C3B">
        <w:rPr>
          <w:rFonts w:ascii="Palatino Linotype" w:eastAsia="Palatino Linotype" w:hAnsi="Palatino Linotype" w:cs="Palatino Linotype"/>
          <w:b/>
        </w:rPr>
        <w:t>CUARTO. Procedibilidad.</w:t>
      </w:r>
    </w:p>
    <w:p w:rsidR="000D1908" w:rsidRPr="000A5C3B" w:rsidRDefault="002122F0" w:rsidP="000A5C3B">
      <w:pPr>
        <w:spacing w:line="360" w:lineRule="auto"/>
        <w:ind w:right="49"/>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Esté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rsidR="000D1908" w:rsidRPr="000A5C3B" w:rsidRDefault="000D1908" w:rsidP="000A5C3B">
      <w:pPr>
        <w:spacing w:line="360" w:lineRule="auto"/>
        <w:ind w:right="49"/>
        <w:jc w:val="both"/>
        <w:rPr>
          <w:rFonts w:ascii="Palatino Linotype" w:eastAsia="Palatino Linotype" w:hAnsi="Palatino Linotype" w:cs="Palatino Linotype"/>
        </w:rPr>
      </w:pPr>
    </w:p>
    <w:p w:rsidR="000D1908" w:rsidRPr="000A5C3B" w:rsidRDefault="002122F0" w:rsidP="000A5C3B">
      <w:pPr>
        <w:tabs>
          <w:tab w:val="left" w:pos="851"/>
        </w:tabs>
        <w:ind w:left="851" w:right="901"/>
        <w:jc w:val="both"/>
        <w:rPr>
          <w:rFonts w:ascii="Palatino Linotype" w:eastAsia="Palatino Linotype" w:hAnsi="Palatino Linotype" w:cs="Palatino Linotype"/>
          <w:b/>
          <w:i/>
          <w:sz w:val="22"/>
          <w:szCs w:val="22"/>
        </w:rPr>
      </w:pPr>
      <w:r w:rsidRPr="000A5C3B">
        <w:rPr>
          <w:rFonts w:ascii="Palatino Linotype" w:eastAsia="Palatino Linotype" w:hAnsi="Palatino Linotype" w:cs="Palatino Linotype"/>
          <w:b/>
          <w:i/>
          <w:sz w:val="22"/>
          <w:szCs w:val="22"/>
        </w:rPr>
        <w:t xml:space="preserve">“Artículo 180. </w:t>
      </w:r>
      <w:r w:rsidRPr="000A5C3B">
        <w:rPr>
          <w:rFonts w:ascii="Palatino Linotype" w:eastAsia="Palatino Linotype" w:hAnsi="Palatino Linotype" w:cs="Palatino Linotype"/>
          <w:i/>
          <w:sz w:val="22"/>
          <w:szCs w:val="22"/>
        </w:rPr>
        <w:t>El Recurso Revisión contendrá:</w:t>
      </w:r>
      <w:r w:rsidRPr="000A5C3B">
        <w:rPr>
          <w:rFonts w:ascii="Palatino Linotype" w:eastAsia="Palatino Linotype" w:hAnsi="Palatino Linotype" w:cs="Palatino Linotype"/>
          <w:b/>
          <w:i/>
          <w:sz w:val="22"/>
          <w:szCs w:val="22"/>
        </w:rPr>
        <w:t xml:space="preserve"> </w:t>
      </w:r>
    </w:p>
    <w:p w:rsidR="000D1908" w:rsidRPr="000A5C3B" w:rsidRDefault="002122F0" w:rsidP="000A5C3B">
      <w:pPr>
        <w:tabs>
          <w:tab w:val="left" w:pos="851"/>
        </w:tabs>
        <w:ind w:left="851" w:right="901"/>
        <w:jc w:val="both"/>
        <w:rPr>
          <w:rFonts w:ascii="Palatino Linotype" w:eastAsia="Palatino Linotype" w:hAnsi="Palatino Linotype" w:cs="Palatino Linotype"/>
          <w:b/>
          <w:i/>
          <w:sz w:val="22"/>
          <w:szCs w:val="22"/>
        </w:rPr>
      </w:pPr>
      <w:r w:rsidRPr="000A5C3B">
        <w:rPr>
          <w:rFonts w:ascii="Palatino Linotype" w:eastAsia="Palatino Linotype" w:hAnsi="Palatino Linotype" w:cs="Palatino Linotype"/>
          <w:b/>
          <w:i/>
          <w:sz w:val="22"/>
          <w:szCs w:val="22"/>
        </w:rPr>
        <w:t>…</w:t>
      </w:r>
    </w:p>
    <w:p w:rsidR="000D1908" w:rsidRPr="000A5C3B" w:rsidRDefault="002122F0" w:rsidP="000A5C3B">
      <w:pPr>
        <w:tabs>
          <w:tab w:val="left" w:pos="851"/>
        </w:tabs>
        <w:ind w:left="851" w:right="901"/>
        <w:jc w:val="both"/>
        <w:rPr>
          <w:rFonts w:ascii="Palatino Linotype" w:eastAsia="Palatino Linotype" w:hAnsi="Palatino Linotype" w:cs="Palatino Linotype"/>
          <w:i/>
          <w:sz w:val="22"/>
          <w:szCs w:val="22"/>
        </w:rPr>
      </w:pPr>
      <w:r w:rsidRPr="000A5C3B">
        <w:rPr>
          <w:rFonts w:ascii="Palatino Linotype" w:eastAsia="Palatino Linotype" w:hAnsi="Palatino Linotype" w:cs="Palatino Linotype"/>
          <w:b/>
          <w:i/>
          <w:sz w:val="22"/>
          <w:szCs w:val="22"/>
        </w:rPr>
        <w:t xml:space="preserve">II. El nombre del solicitante </w:t>
      </w:r>
      <w:r w:rsidRPr="000A5C3B">
        <w:rPr>
          <w:rFonts w:ascii="Palatino Linotype" w:eastAsia="Palatino Linotype" w:hAnsi="Palatino Linotype" w:cs="Palatino Linotype"/>
          <w:b/>
          <w:i/>
          <w:color w:val="222222"/>
          <w:sz w:val="22"/>
          <w:szCs w:val="22"/>
        </w:rPr>
        <w:t>que</w:t>
      </w:r>
      <w:r w:rsidRPr="000A5C3B">
        <w:rPr>
          <w:rFonts w:ascii="Palatino Linotype" w:eastAsia="Palatino Linotype" w:hAnsi="Palatino Linotype" w:cs="Palatino Linotype"/>
          <w:b/>
          <w:i/>
          <w:sz w:val="22"/>
          <w:szCs w:val="22"/>
        </w:rPr>
        <w:t xml:space="preserve"> recurre </w:t>
      </w:r>
      <w:r w:rsidRPr="000A5C3B">
        <w:rPr>
          <w:rFonts w:ascii="Palatino Linotype" w:eastAsia="Palatino Linotype" w:hAnsi="Palatino Linotype" w:cs="Palatino Linotype"/>
          <w:i/>
          <w:sz w:val="22"/>
          <w:szCs w:val="22"/>
        </w:rPr>
        <w:t>o de su representante y, en su caso</w:t>
      </w:r>
      <w:proofErr w:type="gramStart"/>
      <w:r w:rsidRPr="000A5C3B">
        <w:rPr>
          <w:rFonts w:ascii="Palatino Linotype" w:eastAsia="Palatino Linotype" w:hAnsi="Palatino Linotype" w:cs="Palatino Linotype"/>
          <w:i/>
          <w:sz w:val="22"/>
          <w:szCs w:val="22"/>
        </w:rPr>
        <w:t>, …</w:t>
      </w:r>
      <w:proofErr w:type="gramEnd"/>
    </w:p>
    <w:p w:rsidR="000D1908" w:rsidRPr="000A5C3B" w:rsidRDefault="002122F0" w:rsidP="000A5C3B">
      <w:pPr>
        <w:tabs>
          <w:tab w:val="left" w:pos="851"/>
        </w:tabs>
        <w:ind w:left="851" w:right="901"/>
        <w:jc w:val="both"/>
        <w:rPr>
          <w:rFonts w:ascii="Palatino Linotype" w:eastAsia="Palatino Linotype" w:hAnsi="Palatino Linotype" w:cs="Palatino Linotype"/>
          <w:b/>
          <w:i/>
          <w:sz w:val="22"/>
          <w:szCs w:val="22"/>
        </w:rPr>
      </w:pPr>
      <w:r w:rsidRPr="000A5C3B">
        <w:rPr>
          <w:rFonts w:ascii="Palatino Linotype" w:eastAsia="Palatino Linotype" w:hAnsi="Palatino Linotype" w:cs="Palatino Linotype"/>
          <w:b/>
          <w:i/>
          <w:sz w:val="22"/>
          <w:szCs w:val="22"/>
        </w:rPr>
        <w:t xml:space="preserve">En caso de </w:t>
      </w:r>
      <w:r w:rsidRPr="000A5C3B">
        <w:rPr>
          <w:rFonts w:ascii="Palatino Linotype" w:eastAsia="Palatino Linotype" w:hAnsi="Palatino Linotype" w:cs="Palatino Linotype"/>
          <w:b/>
          <w:i/>
          <w:color w:val="222222"/>
          <w:sz w:val="22"/>
          <w:szCs w:val="22"/>
        </w:rPr>
        <w:t>que</w:t>
      </w:r>
      <w:r w:rsidRPr="000A5C3B">
        <w:rPr>
          <w:rFonts w:ascii="Palatino Linotype" w:eastAsia="Palatino Linotype" w:hAnsi="Palatino Linotype" w:cs="Palatino Linotype"/>
          <w:b/>
          <w:i/>
          <w:sz w:val="22"/>
          <w:szCs w:val="22"/>
        </w:rPr>
        <w:t xml:space="preserve"> el recurso se interponga de manera electrónica no será indispensable que contengan los requisitos establecidos en las fracciones II</w:t>
      </w:r>
      <w:r w:rsidRPr="000A5C3B">
        <w:rPr>
          <w:rFonts w:ascii="Palatino Linotype" w:eastAsia="Palatino Linotype" w:hAnsi="Palatino Linotype" w:cs="Palatino Linotype"/>
          <w:i/>
          <w:sz w:val="22"/>
          <w:szCs w:val="22"/>
        </w:rPr>
        <w:t>, IV, VII y VIII.</w:t>
      </w:r>
      <w:r w:rsidRPr="000A5C3B">
        <w:rPr>
          <w:rFonts w:ascii="Palatino Linotype" w:eastAsia="Palatino Linotype" w:hAnsi="Palatino Linotype" w:cs="Palatino Linotype"/>
          <w:b/>
          <w:i/>
          <w:sz w:val="22"/>
          <w:szCs w:val="22"/>
        </w:rPr>
        <w:t>”</w:t>
      </w:r>
    </w:p>
    <w:p w:rsidR="000D1908" w:rsidRPr="000A5C3B" w:rsidRDefault="000D1908" w:rsidP="000A5C3B">
      <w:pPr>
        <w:tabs>
          <w:tab w:val="left" w:pos="851"/>
        </w:tabs>
        <w:ind w:right="901"/>
        <w:jc w:val="both"/>
        <w:rPr>
          <w:rFonts w:ascii="Palatino Linotype" w:eastAsia="Palatino Linotype" w:hAnsi="Palatino Linotype" w:cs="Palatino Linotype"/>
          <w:i/>
          <w:sz w:val="22"/>
          <w:szCs w:val="22"/>
        </w:rPr>
      </w:pP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Con fundamento en el precepto legal antes citado, el Recurso Revisión materia del presente asunto, se interpuso de manera electrónica y, por ende, no es necesario que contenga determinados requisitos, entre ellos, el nombre del</w:t>
      </w:r>
      <w:r w:rsidRPr="000A5C3B">
        <w:rPr>
          <w:rFonts w:ascii="Palatino Linotype" w:eastAsia="Palatino Linotype" w:hAnsi="Palatino Linotype" w:cs="Palatino Linotype"/>
          <w:b/>
        </w:rPr>
        <w:t xml:space="preserve"> RECURRENTE;</w:t>
      </w:r>
      <w:r w:rsidRPr="000A5C3B">
        <w:rPr>
          <w:rFonts w:ascii="Palatino Linotype" w:eastAsia="Palatino Linotype" w:hAnsi="Palatino Linotype" w:cs="Palatino Linotype"/>
        </w:rPr>
        <w:t xml:space="preserve"> en ese sentido en el presente caso, al haber sido presentados los Recursos de Revisión vía </w:t>
      </w:r>
      <w:r w:rsidRPr="000A5C3B">
        <w:rPr>
          <w:rFonts w:ascii="Palatino Linotype" w:eastAsia="Palatino Linotype" w:hAnsi="Palatino Linotype" w:cs="Palatino Linotype"/>
          <w:b/>
        </w:rPr>
        <w:t>SAIMEX</w:t>
      </w:r>
      <w:r w:rsidRPr="000A5C3B">
        <w:rPr>
          <w:rFonts w:ascii="Palatino Linotype" w:eastAsia="Palatino Linotype" w:hAnsi="Palatino Linotype" w:cs="Palatino Linotype"/>
        </w:rPr>
        <w:t>, dicho requisito resulta innecesario.</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color w:val="000000"/>
        </w:rPr>
      </w:pPr>
      <w:r w:rsidRPr="000A5C3B">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w:t>
      </w:r>
      <w:r w:rsidRPr="000A5C3B">
        <w:rPr>
          <w:rFonts w:ascii="Palatino Linotype" w:eastAsia="Palatino Linotype" w:hAnsi="Palatino Linotype" w:cs="Palatino Linotype"/>
          <w:color w:val="000000"/>
        </w:rPr>
        <w:t xml:space="preserve">sin necesidad de acreditar interés alguno o justificar su </w:t>
      </w:r>
      <w:r w:rsidRPr="000A5C3B">
        <w:rPr>
          <w:rFonts w:ascii="Palatino Linotype" w:eastAsia="Palatino Linotype" w:hAnsi="Palatino Linotype" w:cs="Palatino Linotype"/>
          <w:color w:val="000000"/>
        </w:rPr>
        <w:lastRenderedPageBreak/>
        <w:t xml:space="preserve">utilización, de lo que se infiere que para el </w:t>
      </w:r>
      <w:r w:rsidRPr="000A5C3B">
        <w:rPr>
          <w:rFonts w:ascii="Palatino Linotype" w:eastAsia="Palatino Linotype" w:hAnsi="Palatino Linotype" w:cs="Palatino Linotype"/>
        </w:rPr>
        <w:t>ejercicio</w:t>
      </w:r>
      <w:r w:rsidRPr="000A5C3B">
        <w:rPr>
          <w:rFonts w:ascii="Palatino Linotype" w:eastAsia="Palatino Linotype" w:hAnsi="Palatino Linotype" w:cs="Palatino Linotype"/>
          <w:color w:val="000000"/>
        </w:rPr>
        <w:t xml:space="preserve"> del derecho de acceso a la Información Pública, </w:t>
      </w:r>
      <w:r w:rsidRPr="000A5C3B">
        <w:rPr>
          <w:rFonts w:ascii="Palatino Linotype" w:eastAsia="Palatino Linotype" w:hAnsi="Palatino Linotype" w:cs="Palatino Linotype"/>
          <w:b/>
          <w:color w:val="000000"/>
          <w:u w:val="single"/>
        </w:rPr>
        <w:t xml:space="preserve">el nombre no es un requisito </w:t>
      </w:r>
      <w:r w:rsidRPr="000A5C3B">
        <w:rPr>
          <w:rFonts w:ascii="Palatino Linotype" w:eastAsia="Palatino Linotype" w:hAnsi="Palatino Linotype" w:cs="Palatino Linotype"/>
          <w:b/>
          <w:i/>
          <w:color w:val="000000"/>
          <w:u w:val="single"/>
        </w:rPr>
        <w:t>sine qua non</w:t>
      </w:r>
      <w:r w:rsidRPr="000A5C3B">
        <w:rPr>
          <w:rFonts w:ascii="Palatino Linotype" w:eastAsia="Palatino Linotype" w:hAnsi="Palatino Linotype" w:cs="Palatino Linotype"/>
          <w:color w:val="000000"/>
        </w:rPr>
        <w:t xml:space="preserve"> (sin el cual)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rsidR="000D1908" w:rsidRPr="000A5C3B" w:rsidRDefault="000D1908" w:rsidP="000A5C3B">
      <w:pPr>
        <w:spacing w:line="360" w:lineRule="auto"/>
        <w:jc w:val="both"/>
        <w:rPr>
          <w:rFonts w:ascii="Palatino Linotype" w:eastAsia="Palatino Linotype" w:hAnsi="Palatino Linotype" w:cs="Palatino Linotype"/>
          <w:color w:val="000000"/>
        </w:rPr>
      </w:pPr>
    </w:p>
    <w:p w:rsidR="000D1908" w:rsidRPr="000A5C3B" w:rsidRDefault="002122F0" w:rsidP="000A5C3B">
      <w:pPr>
        <w:spacing w:line="360" w:lineRule="auto"/>
        <w:jc w:val="both"/>
        <w:rPr>
          <w:rFonts w:ascii="Palatino Linotype" w:eastAsia="Palatino Linotype" w:hAnsi="Palatino Linotype" w:cs="Palatino Linotype"/>
          <w:sz w:val="22"/>
          <w:szCs w:val="22"/>
        </w:rPr>
      </w:pPr>
      <w:r w:rsidRPr="000A5C3B">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rsidR="000D1908" w:rsidRPr="000A5C3B" w:rsidRDefault="000D1908" w:rsidP="000A5C3B">
      <w:pPr>
        <w:tabs>
          <w:tab w:val="left" w:pos="851"/>
        </w:tabs>
        <w:ind w:left="851" w:right="901"/>
        <w:jc w:val="both"/>
        <w:rPr>
          <w:rFonts w:ascii="Palatino Linotype" w:eastAsia="Palatino Linotype" w:hAnsi="Palatino Linotype" w:cs="Palatino Linotype"/>
          <w:sz w:val="22"/>
          <w:szCs w:val="22"/>
        </w:rPr>
      </w:pP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Así mismo, se estima que el requisito relativo al nombre del </w:t>
      </w:r>
      <w:r w:rsidRPr="000A5C3B">
        <w:rPr>
          <w:rFonts w:ascii="Palatino Linotype" w:eastAsia="Palatino Linotype" w:hAnsi="Palatino Linotype" w:cs="Palatino Linotype"/>
          <w:b/>
        </w:rPr>
        <w:t>RECURRENTE</w:t>
      </w:r>
      <w:r w:rsidRPr="000A5C3B">
        <w:rPr>
          <w:rFonts w:ascii="Palatino Linotype" w:eastAsia="Palatino Linotype" w:hAnsi="Palatino Linotype" w:cs="Palatino Linotype"/>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w:t>
      </w:r>
      <w:r w:rsidRPr="000A5C3B">
        <w:rPr>
          <w:rFonts w:ascii="Palatino Linotype" w:eastAsia="Palatino Linotype" w:hAnsi="Palatino Linotype" w:cs="Palatino Linotype"/>
        </w:rPr>
        <w:lastRenderedPageBreak/>
        <w:t xml:space="preserve">expediente, de las que se desprende que </w:t>
      </w:r>
      <w:r w:rsidRPr="000A5C3B">
        <w:rPr>
          <w:rFonts w:ascii="Palatino Linotype" w:eastAsia="Palatino Linotype" w:hAnsi="Palatino Linotype" w:cs="Palatino Linotype"/>
          <w:b/>
        </w:rPr>
        <w:t>EL RECURRENTE</w:t>
      </w:r>
      <w:r w:rsidRPr="000A5C3B">
        <w:rPr>
          <w:rFonts w:ascii="Palatino Linotype" w:eastAsia="Palatino Linotype" w:hAnsi="Palatino Linotype" w:cs="Palatino Linotype"/>
        </w:rPr>
        <w:t xml:space="preserve"> es la misma persona que realizó las solicitudes de acceso a la Información Pública que ahora se impugnan.</w:t>
      </w:r>
    </w:p>
    <w:p w:rsidR="000D1908" w:rsidRPr="000A5C3B" w:rsidRDefault="000D1908" w:rsidP="000A5C3B">
      <w:pPr>
        <w:tabs>
          <w:tab w:val="left" w:pos="851"/>
        </w:tabs>
        <w:ind w:left="851" w:right="901"/>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Es así que, para el estudio de la materia sobre la que se resuelve el presente Recurso Revisión, resulta intrascendente conocer el nombre de la persona que lo hubiere promovido, en virtud de que tanto la </w:t>
      </w:r>
      <w:r w:rsidRPr="000A5C3B">
        <w:rPr>
          <w:rFonts w:ascii="Palatino Linotype" w:eastAsia="Palatino Linotype" w:hAnsi="Palatino Linotype" w:cs="Palatino Linotype"/>
          <w:color w:val="000000"/>
        </w:rPr>
        <w:t>Constitución Política de los Estados Unidos Mexicanos</w:t>
      </w:r>
      <w:r w:rsidRPr="000A5C3B">
        <w:rPr>
          <w:rFonts w:ascii="Palatino Linotype" w:eastAsia="Palatino Linotype" w:hAnsi="Palatino Linotype" w:cs="Palatino Linotype"/>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rsidR="000D1908" w:rsidRPr="000A5C3B" w:rsidRDefault="000D1908" w:rsidP="000A5C3B">
      <w:pPr>
        <w:spacing w:line="360" w:lineRule="auto"/>
        <w:ind w:right="899"/>
        <w:jc w:val="both"/>
        <w:rPr>
          <w:rFonts w:ascii="Palatino Linotype" w:eastAsia="Palatino Linotype" w:hAnsi="Palatino Linotype" w:cs="Palatino Linotype"/>
          <w:i/>
        </w:rPr>
      </w:pPr>
    </w:p>
    <w:p w:rsidR="000D1908" w:rsidRPr="000A5C3B" w:rsidRDefault="002122F0" w:rsidP="000A5C3B">
      <w:pPr>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b/>
        </w:rPr>
        <w:t>QUINTO. Análisis y estudio de la resolución.</w:t>
      </w:r>
    </w:p>
    <w:p w:rsidR="000D1908" w:rsidRPr="000A5C3B" w:rsidRDefault="002122F0" w:rsidP="000A5C3B">
      <w:pPr>
        <w:spacing w:line="360" w:lineRule="auto"/>
        <w:jc w:val="both"/>
        <w:rPr>
          <w:rFonts w:ascii="Palatino Linotype" w:eastAsia="Palatino Linotype" w:hAnsi="Palatino Linotype" w:cs="Palatino Linotype"/>
        </w:rPr>
      </w:pPr>
      <w:bookmarkStart w:id="1" w:name="_heading=h.gjdgxs" w:colFirst="0" w:colLast="0"/>
      <w:bookmarkEnd w:id="1"/>
      <w:r w:rsidRPr="000A5C3B">
        <w:rPr>
          <w:rFonts w:ascii="Palatino Linotype" w:eastAsia="Palatino Linotype" w:hAnsi="Palatino Linotype" w:cs="Palatino Linotype"/>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se considera información pública </w:t>
      </w:r>
      <w:r w:rsidRPr="000A5C3B">
        <w:rPr>
          <w:rFonts w:ascii="Palatino Linotype" w:eastAsia="Palatino Linotype" w:hAnsi="Palatino Linotype" w:cs="Palatino Linotype"/>
        </w:rPr>
        <w:lastRenderedPageBreak/>
        <w:t>al conjunto de datos que posee cualquier autoridad, obtenidos en virtud del ejercicio de sus funciones de derecho público, criterio que ha sostenido la Suprema Corte de Justicia de la Nación</w:t>
      </w:r>
      <w:r w:rsidRPr="000A5C3B">
        <w:rPr>
          <w:rFonts w:ascii="Palatino Linotype" w:eastAsia="Palatino Linotype" w:hAnsi="Palatino Linotype" w:cs="Palatino Linotype"/>
          <w:vertAlign w:val="superscript"/>
        </w:rPr>
        <w:footnoteReference w:id="1"/>
      </w:r>
      <w:r w:rsidRPr="000A5C3B">
        <w:rPr>
          <w:rFonts w:ascii="Palatino Linotype" w:eastAsia="Palatino Linotype" w:hAnsi="Palatino Linotype" w:cs="Palatino Linotype"/>
        </w:rPr>
        <w:t>.</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Por lo tanto, conforme a lo que establece el artículo 24 de la Ley en cita, el cual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ind w:right="49"/>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Por consiguiente, una vez fijado el marco constitucional y legal, procederemos al análisis del caso en concreto. Por lo que, con la finalidad de estar en posibilidad de dictar el fallo correspondiente conforme a derecho, el presente estudio se basará en el </w:t>
      </w:r>
      <w:r w:rsidRPr="000A5C3B">
        <w:rPr>
          <w:rFonts w:ascii="Palatino Linotype" w:eastAsia="Palatino Linotype" w:hAnsi="Palatino Linotype" w:cs="Palatino Linotype"/>
        </w:rPr>
        <w:lastRenderedPageBreak/>
        <w:t>contenido íntegro de las actuaciones que del expediente electrónico que obra en EL SAIMEX.</w:t>
      </w:r>
    </w:p>
    <w:p w:rsidR="000D1908" w:rsidRPr="000A5C3B" w:rsidRDefault="000D1908" w:rsidP="000A5C3B">
      <w:pPr>
        <w:spacing w:line="360" w:lineRule="auto"/>
        <w:ind w:right="49"/>
        <w:jc w:val="both"/>
        <w:rPr>
          <w:rFonts w:ascii="Palatino Linotype" w:eastAsia="Palatino Linotype" w:hAnsi="Palatino Linotype" w:cs="Palatino Linotype"/>
        </w:rPr>
      </w:pPr>
    </w:p>
    <w:p w:rsidR="000D1908" w:rsidRPr="000A5C3B" w:rsidRDefault="002122F0" w:rsidP="000A5C3B">
      <w:pPr>
        <w:spacing w:line="360" w:lineRule="auto"/>
        <w:ind w:right="49"/>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Así las cosas, es indispensable recordar que el particular en uso de su derecho de acceso a la información, requirió del </w:t>
      </w:r>
      <w:r w:rsidRPr="000A5C3B">
        <w:rPr>
          <w:rFonts w:ascii="Palatino Linotype" w:eastAsia="Palatino Linotype" w:hAnsi="Palatino Linotype" w:cs="Palatino Linotype"/>
          <w:b/>
        </w:rPr>
        <w:t>SUJETO OBLIGADO</w:t>
      </w:r>
      <w:r w:rsidRPr="000A5C3B">
        <w:rPr>
          <w:rFonts w:ascii="Palatino Linotype" w:eastAsia="Palatino Linotype" w:hAnsi="Palatino Linotype" w:cs="Palatino Linotype"/>
        </w:rPr>
        <w:t xml:space="preserve"> la lista de asistencia al 2do informe del Presidente Municipal de Zinacantepec.</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Derivado de lo anterior, </w:t>
      </w:r>
      <w:r w:rsidRPr="000A5C3B">
        <w:rPr>
          <w:rFonts w:ascii="Palatino Linotype" w:eastAsia="Palatino Linotype" w:hAnsi="Palatino Linotype" w:cs="Palatino Linotype"/>
          <w:b/>
        </w:rPr>
        <w:t>EL SUJETO OBLIGADO</w:t>
      </w:r>
      <w:r w:rsidRPr="000A5C3B">
        <w:rPr>
          <w:rFonts w:ascii="Palatino Linotype" w:eastAsia="Palatino Linotype" w:hAnsi="Palatino Linotype" w:cs="Palatino Linotype"/>
        </w:rPr>
        <w:t xml:space="preserve"> remitió su respuesta a través de la Secretaría Particular del Presidente Municipal, señalando que no fueron generadas listas de asistencia para el evento del segundo informe del Presidente Municipal, debido a que fue un evento público.</w:t>
      </w:r>
    </w:p>
    <w:p w:rsidR="000D1908" w:rsidRPr="000A5C3B" w:rsidRDefault="000D1908" w:rsidP="000A5C3B">
      <w:pPr>
        <w:spacing w:line="360" w:lineRule="auto"/>
        <w:jc w:val="both"/>
        <w:rPr>
          <w:rFonts w:ascii="Palatino Linotype" w:eastAsia="Palatino Linotype" w:hAnsi="Palatino Linotype" w:cs="Palatino Linotype"/>
        </w:rPr>
      </w:pPr>
    </w:p>
    <w:p w:rsidR="000D1908" w:rsidRPr="000A5C3B" w:rsidRDefault="002122F0" w:rsidP="000A5C3B">
      <w:pPr>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Posterior a la respuesta, el particular se inconformó de la misma, señalando la negativa a la información solicitada, actualizándose la causal de procedencia establecida en el artículo 179, fracción I de la Ley de Transparencia local.</w:t>
      </w:r>
    </w:p>
    <w:p w:rsidR="000D1908" w:rsidRPr="000A5C3B" w:rsidRDefault="000D1908" w:rsidP="000A5C3B">
      <w:pPr>
        <w:spacing w:line="360" w:lineRule="auto"/>
        <w:ind w:right="49"/>
        <w:jc w:val="both"/>
        <w:rPr>
          <w:rFonts w:ascii="Palatino Linotype" w:eastAsia="Palatino Linotype" w:hAnsi="Palatino Linotype" w:cs="Palatino Linotype"/>
        </w:rPr>
      </w:pPr>
    </w:p>
    <w:p w:rsidR="000D1908" w:rsidRPr="000A5C3B" w:rsidRDefault="002122F0" w:rsidP="000A5C3B">
      <w:pPr>
        <w:spacing w:line="360" w:lineRule="auto"/>
        <w:ind w:right="49"/>
        <w:jc w:val="both"/>
        <w:rPr>
          <w:rFonts w:ascii="Palatino Linotype" w:eastAsia="Palatino Linotype" w:hAnsi="Palatino Linotype" w:cs="Palatino Linotype"/>
        </w:rPr>
      </w:pPr>
      <w:r w:rsidRPr="000A5C3B">
        <w:rPr>
          <w:rFonts w:ascii="Palatino Linotype" w:eastAsia="Palatino Linotype" w:hAnsi="Palatino Linotype" w:cs="Palatino Linotype"/>
        </w:rPr>
        <w:t>Por otra parte, se reitera que las partes omitieron realizar manifestación alguna en la etapa procesal oportuna.</w:t>
      </w:r>
    </w:p>
    <w:p w:rsidR="000D1908" w:rsidRPr="000A5C3B" w:rsidRDefault="000D1908" w:rsidP="000A5C3B">
      <w:pPr>
        <w:spacing w:line="360" w:lineRule="auto"/>
        <w:ind w:right="49"/>
        <w:jc w:val="both"/>
        <w:rPr>
          <w:rFonts w:ascii="Palatino Linotype" w:eastAsia="Palatino Linotype" w:hAnsi="Palatino Linotype" w:cs="Palatino Linotype"/>
        </w:rPr>
      </w:pPr>
    </w:p>
    <w:p w:rsidR="000D1908" w:rsidRPr="000A5C3B" w:rsidRDefault="002122F0" w:rsidP="000A5C3B">
      <w:pPr>
        <w:spacing w:line="360" w:lineRule="auto"/>
        <w:ind w:right="49"/>
        <w:jc w:val="both"/>
        <w:rPr>
          <w:rFonts w:ascii="Palatino Linotype" w:eastAsia="Palatino Linotype" w:hAnsi="Palatino Linotype" w:cs="Palatino Linotype"/>
        </w:rPr>
      </w:pPr>
      <w:r w:rsidRPr="000A5C3B">
        <w:rPr>
          <w:rFonts w:ascii="Palatino Linotype" w:eastAsia="Palatino Linotype" w:hAnsi="Palatino Linotype" w:cs="Palatino Linotype"/>
        </w:rPr>
        <w:t xml:space="preserve">Ahora bien, es importante señalar que, para dar atención y respuesta a la solicitud del particular, se pronunció el servidor público habilitado que se estima competente a saber del Director de Protección Civil y Bomberos, dada la propia y especial naturaleza del requerimiento y a lo establecido en el artículo 24 y 25 del Reglamento </w:t>
      </w:r>
      <w:r w:rsidRPr="000A5C3B">
        <w:rPr>
          <w:rFonts w:ascii="Palatino Linotype" w:eastAsia="Palatino Linotype" w:hAnsi="Palatino Linotype" w:cs="Palatino Linotype"/>
        </w:rPr>
        <w:lastRenderedPageBreak/>
        <w:t>Orgánico Municipal de Zinacantepec, fragmento normativo que se transcribe a continuación para una mayor referencia.</w:t>
      </w:r>
    </w:p>
    <w:p w:rsidR="000D1908" w:rsidRPr="000A5C3B" w:rsidRDefault="000D1908" w:rsidP="000A5C3B">
      <w:pPr>
        <w:spacing w:line="360" w:lineRule="auto"/>
        <w:ind w:right="49"/>
        <w:jc w:val="both"/>
        <w:rPr>
          <w:rFonts w:ascii="Palatino Linotype" w:eastAsia="Palatino Linotype" w:hAnsi="Palatino Linotype" w:cs="Palatino Linotype"/>
        </w:rPr>
      </w:pPr>
    </w:p>
    <w:p w:rsidR="000D1908" w:rsidRPr="000A5C3B" w:rsidRDefault="002122F0" w:rsidP="000A5C3B">
      <w:pPr>
        <w:spacing w:line="276" w:lineRule="auto"/>
        <w:ind w:left="851" w:right="850"/>
        <w:jc w:val="both"/>
        <w:rPr>
          <w:rFonts w:ascii="Palatino Linotype" w:eastAsia="Palatino Linotype" w:hAnsi="Palatino Linotype" w:cs="Palatino Linotype"/>
          <w:b/>
          <w:i/>
        </w:rPr>
      </w:pPr>
      <w:r w:rsidRPr="000A5C3B">
        <w:rPr>
          <w:rFonts w:ascii="Palatino Linotype" w:eastAsia="Palatino Linotype" w:hAnsi="Palatino Linotype" w:cs="Palatino Linotype"/>
          <w:i/>
        </w:rPr>
        <w:t>“</w:t>
      </w:r>
      <w:r w:rsidRPr="000A5C3B">
        <w:rPr>
          <w:rFonts w:ascii="Palatino Linotype" w:eastAsia="Palatino Linotype" w:hAnsi="Palatino Linotype" w:cs="Palatino Linotype"/>
          <w:b/>
          <w:i/>
        </w:rPr>
        <w:t xml:space="preserve">Artículo 24. </w:t>
      </w:r>
      <w:r w:rsidRPr="000A5C3B">
        <w:rPr>
          <w:rFonts w:ascii="Palatino Linotype" w:eastAsia="Palatino Linotype" w:hAnsi="Palatino Linotype" w:cs="Palatino Linotype"/>
          <w:i/>
        </w:rPr>
        <w:t>La Secretaría Particular es la Unidad Administrativa encargada de atender los asuntos relacionados con las actividades ordinarias, extraordinarias y oficiales del Presidente Municipal, las relaciones públicas, la instrumentación y vigilancia de los programas de atención a la ciudadanía</w:t>
      </w:r>
      <w:r w:rsidRPr="000A5C3B">
        <w:rPr>
          <w:rFonts w:ascii="Palatino Linotype" w:eastAsia="Palatino Linotype" w:hAnsi="Palatino Linotype" w:cs="Palatino Linotype"/>
          <w:b/>
          <w:i/>
        </w:rPr>
        <w:t>.</w:t>
      </w:r>
    </w:p>
    <w:p w:rsidR="000D1908" w:rsidRPr="000A5C3B" w:rsidRDefault="000D1908" w:rsidP="000A5C3B">
      <w:pPr>
        <w:spacing w:line="276" w:lineRule="auto"/>
        <w:ind w:left="851" w:right="850"/>
        <w:jc w:val="both"/>
        <w:rPr>
          <w:rFonts w:ascii="Palatino Linotype" w:eastAsia="Palatino Linotype" w:hAnsi="Palatino Linotype" w:cs="Palatino Linotype"/>
          <w:i/>
        </w:rPr>
      </w:pPr>
    </w:p>
    <w:p w:rsidR="000D1908" w:rsidRPr="000A5C3B" w:rsidRDefault="002122F0" w:rsidP="000A5C3B">
      <w:pPr>
        <w:spacing w:line="276" w:lineRule="auto"/>
        <w:ind w:left="851" w:right="850"/>
        <w:jc w:val="both"/>
        <w:rPr>
          <w:rFonts w:ascii="Palatino Linotype" w:eastAsia="Palatino Linotype" w:hAnsi="Palatino Linotype" w:cs="Palatino Linotype"/>
          <w:i/>
        </w:rPr>
      </w:pPr>
      <w:r w:rsidRPr="000A5C3B">
        <w:rPr>
          <w:rFonts w:ascii="Palatino Linotype" w:eastAsia="Palatino Linotype" w:hAnsi="Palatino Linotype" w:cs="Palatino Linotype"/>
          <w:b/>
          <w:i/>
        </w:rPr>
        <w:t>Artículo 25.</w:t>
      </w:r>
      <w:r w:rsidRPr="000A5C3B">
        <w:rPr>
          <w:rFonts w:ascii="Palatino Linotype" w:eastAsia="Palatino Linotype" w:hAnsi="Palatino Linotype" w:cs="Palatino Linotype"/>
          <w:i/>
        </w:rPr>
        <w:t xml:space="preserve"> Además de las previstas en las disposiciones normativas y administrativas en la materia, la Secretaría Particular tiene las siguientes funciones y atribuciones:  </w:t>
      </w:r>
    </w:p>
    <w:p w:rsidR="000D1908" w:rsidRPr="000A5C3B" w:rsidRDefault="002122F0" w:rsidP="000A5C3B">
      <w:pPr>
        <w:spacing w:line="276" w:lineRule="auto"/>
        <w:ind w:left="851" w:right="850"/>
        <w:jc w:val="both"/>
        <w:rPr>
          <w:rFonts w:ascii="Palatino Linotype" w:eastAsia="Palatino Linotype" w:hAnsi="Palatino Linotype" w:cs="Palatino Linotype"/>
          <w:i/>
        </w:rPr>
      </w:pPr>
      <w:r w:rsidRPr="000A5C3B">
        <w:rPr>
          <w:rFonts w:ascii="Palatino Linotype" w:eastAsia="Palatino Linotype" w:hAnsi="Palatino Linotype" w:cs="Palatino Linotype"/>
          <w:b/>
          <w:i/>
        </w:rPr>
        <w:t>I</w:t>
      </w:r>
      <w:r w:rsidRPr="000A5C3B">
        <w:rPr>
          <w:rFonts w:ascii="Palatino Linotype" w:eastAsia="Palatino Linotype" w:hAnsi="Palatino Linotype" w:cs="Palatino Linotype"/>
          <w:i/>
        </w:rPr>
        <w:t xml:space="preserve">. Registrar y administrar la agenda del Presidente Municipal; </w:t>
      </w:r>
    </w:p>
    <w:p w:rsidR="000D1908" w:rsidRPr="000A5C3B" w:rsidRDefault="002122F0" w:rsidP="000A5C3B">
      <w:pPr>
        <w:spacing w:line="276" w:lineRule="auto"/>
        <w:ind w:left="851" w:right="850"/>
        <w:jc w:val="both"/>
        <w:rPr>
          <w:rFonts w:ascii="Palatino Linotype" w:eastAsia="Palatino Linotype" w:hAnsi="Palatino Linotype" w:cs="Palatino Linotype"/>
          <w:i/>
        </w:rPr>
      </w:pPr>
      <w:r w:rsidRPr="000A5C3B">
        <w:rPr>
          <w:rFonts w:ascii="Palatino Linotype" w:eastAsia="Palatino Linotype" w:hAnsi="Palatino Linotype" w:cs="Palatino Linotype"/>
          <w:b/>
          <w:i/>
        </w:rPr>
        <w:t>II</w:t>
      </w:r>
      <w:r w:rsidRPr="000A5C3B">
        <w:rPr>
          <w:rFonts w:ascii="Palatino Linotype" w:eastAsia="Palatino Linotype" w:hAnsi="Palatino Linotype" w:cs="Palatino Linotype"/>
          <w:i/>
        </w:rPr>
        <w:t xml:space="preserve">. Remitir las peticiones y requerimientos realizados al Presidente Municipal a los titulares de las Unidades Administrativas, Organismos Descentralizados, Desconcentrado y Autónomo de la administración pública municipal a través del Sistema de Tarjetas de Asuntos Turnados.  </w:t>
      </w:r>
    </w:p>
    <w:p w:rsidR="000D1908" w:rsidRPr="000A5C3B" w:rsidRDefault="002122F0" w:rsidP="000A5C3B">
      <w:pPr>
        <w:spacing w:line="276" w:lineRule="auto"/>
        <w:ind w:left="851" w:right="850"/>
        <w:jc w:val="both"/>
        <w:rPr>
          <w:rFonts w:ascii="Palatino Linotype" w:eastAsia="Palatino Linotype" w:hAnsi="Palatino Linotype" w:cs="Palatino Linotype"/>
          <w:i/>
        </w:rPr>
      </w:pPr>
      <w:r w:rsidRPr="000A5C3B">
        <w:rPr>
          <w:rFonts w:ascii="Palatino Linotype" w:eastAsia="Palatino Linotype" w:hAnsi="Palatino Linotype" w:cs="Palatino Linotype"/>
          <w:b/>
          <w:i/>
        </w:rPr>
        <w:t>III</w:t>
      </w:r>
      <w:r w:rsidRPr="000A5C3B">
        <w:rPr>
          <w:rFonts w:ascii="Palatino Linotype" w:eastAsia="Palatino Linotype" w:hAnsi="Palatino Linotype" w:cs="Palatino Linotype"/>
          <w:i/>
        </w:rPr>
        <w:t xml:space="preserve">. Revisar la correspondencia oficial del Presidente Municipal y dar seguimiento de la misma. </w:t>
      </w:r>
    </w:p>
    <w:p w:rsidR="000D1908" w:rsidRPr="000A5C3B" w:rsidRDefault="002122F0" w:rsidP="000A5C3B">
      <w:pPr>
        <w:spacing w:line="276" w:lineRule="auto"/>
        <w:ind w:left="851" w:right="850"/>
        <w:jc w:val="both"/>
        <w:rPr>
          <w:rFonts w:ascii="Palatino Linotype" w:eastAsia="Palatino Linotype" w:hAnsi="Palatino Linotype" w:cs="Palatino Linotype"/>
          <w:i/>
        </w:rPr>
      </w:pPr>
      <w:r w:rsidRPr="000A5C3B">
        <w:rPr>
          <w:rFonts w:ascii="Palatino Linotype" w:eastAsia="Palatino Linotype" w:hAnsi="Palatino Linotype" w:cs="Palatino Linotype"/>
          <w:b/>
          <w:i/>
        </w:rPr>
        <w:t>IV</w:t>
      </w:r>
      <w:r w:rsidRPr="000A5C3B">
        <w:rPr>
          <w:rFonts w:ascii="Palatino Linotype" w:eastAsia="Palatino Linotype" w:hAnsi="Palatino Linotype" w:cs="Palatino Linotype"/>
          <w:i/>
        </w:rPr>
        <w:t xml:space="preserve">. Informar al Presidente Municipal de los eventos oficiales que le sean remitidos vía oficio por las Unidades Administrativas, Organismos Descentralizados, Desconcentrado y Autónomos de la administración pública municipal; </w:t>
      </w:r>
    </w:p>
    <w:p w:rsidR="000D1908" w:rsidRPr="000A5C3B" w:rsidRDefault="002122F0" w:rsidP="000A5C3B">
      <w:pPr>
        <w:spacing w:line="276" w:lineRule="auto"/>
        <w:ind w:left="851" w:right="850"/>
        <w:jc w:val="both"/>
        <w:rPr>
          <w:rFonts w:ascii="Palatino Linotype" w:eastAsia="Palatino Linotype" w:hAnsi="Palatino Linotype" w:cs="Palatino Linotype"/>
          <w:i/>
        </w:rPr>
      </w:pPr>
      <w:r w:rsidRPr="000A5C3B">
        <w:rPr>
          <w:rFonts w:ascii="Palatino Linotype" w:eastAsia="Palatino Linotype" w:hAnsi="Palatino Linotype" w:cs="Palatino Linotype"/>
          <w:b/>
          <w:i/>
        </w:rPr>
        <w:t>V</w:t>
      </w:r>
      <w:r w:rsidRPr="000A5C3B">
        <w:rPr>
          <w:rFonts w:ascii="Palatino Linotype" w:eastAsia="Palatino Linotype" w:hAnsi="Palatino Linotype" w:cs="Palatino Linotype"/>
          <w:i/>
        </w:rPr>
        <w:t xml:space="preserve">. Coordinar las audiencias privadas que lleve a cabo el Presidente Municipal, y en su caso, turnar las instrucciones que deriven a las Unidades Administrativas, Organismos Descentralizados, Desconcentrado y Autónomo de la Administración Pública Municipal;  </w:t>
      </w:r>
    </w:p>
    <w:p w:rsidR="000D1908" w:rsidRPr="000A5C3B" w:rsidRDefault="002122F0" w:rsidP="000A5C3B">
      <w:pPr>
        <w:spacing w:line="276" w:lineRule="auto"/>
        <w:ind w:left="851" w:right="850"/>
        <w:jc w:val="both"/>
        <w:rPr>
          <w:rFonts w:ascii="Palatino Linotype" w:eastAsia="Palatino Linotype" w:hAnsi="Palatino Linotype" w:cs="Palatino Linotype"/>
          <w:i/>
        </w:rPr>
      </w:pPr>
      <w:r w:rsidRPr="000A5C3B">
        <w:rPr>
          <w:rFonts w:ascii="Palatino Linotype" w:eastAsia="Palatino Linotype" w:hAnsi="Palatino Linotype" w:cs="Palatino Linotype"/>
          <w:b/>
          <w:i/>
        </w:rPr>
        <w:t>VI</w:t>
      </w:r>
      <w:r w:rsidRPr="000A5C3B">
        <w:rPr>
          <w:rFonts w:ascii="Palatino Linotype" w:eastAsia="Palatino Linotype" w:hAnsi="Palatino Linotype" w:cs="Palatino Linotype"/>
          <w:i/>
        </w:rPr>
        <w:t>. Preparar en coordinación con la Secretaría Técnica, los acuerdos del Presidente Municipal con titulares de la administración municipal, del Gobierno Estatal o Federal, así como también para las reuniones con organizaciones políticas, populares y sociales.”</w:t>
      </w:r>
    </w:p>
    <w:p w:rsidR="000D1908" w:rsidRPr="000A5C3B" w:rsidRDefault="002122F0" w:rsidP="000A5C3B">
      <w:pPr>
        <w:spacing w:line="360" w:lineRule="auto"/>
        <w:jc w:val="both"/>
        <w:rPr>
          <w:rFonts w:ascii="Palatino Linotype" w:eastAsia="Palatino Linotype" w:hAnsi="Palatino Linotype" w:cs="Palatino Linotype"/>
          <w:color w:val="222222"/>
        </w:rPr>
      </w:pPr>
      <w:r w:rsidRPr="000A5C3B">
        <w:rPr>
          <w:rFonts w:ascii="Palatino Linotype" w:eastAsia="Palatino Linotype" w:hAnsi="Palatino Linotype" w:cs="Palatino Linotype"/>
          <w:color w:val="222222"/>
        </w:rPr>
        <w:lastRenderedPageBreak/>
        <w:t>Ahora bien, retomando la respuesta proporcionada por el Sujeto Obligado, resulta importante destacar que no existe normatividad alguna que constriña al Ayuntamiento de Zinacantepec a elaborar la información requerida por el particular.</w:t>
      </w:r>
    </w:p>
    <w:p w:rsidR="000D1908" w:rsidRPr="000A5C3B" w:rsidRDefault="000D1908" w:rsidP="000A5C3B">
      <w:pPr>
        <w:spacing w:line="360" w:lineRule="auto"/>
        <w:jc w:val="both"/>
        <w:rPr>
          <w:rFonts w:ascii="Palatino Linotype" w:eastAsia="Palatino Linotype" w:hAnsi="Palatino Linotype" w:cs="Palatino Linotype"/>
          <w:color w:val="222222"/>
        </w:rPr>
      </w:pPr>
    </w:p>
    <w:p w:rsidR="000D1908" w:rsidRPr="000A5C3B" w:rsidRDefault="002122F0" w:rsidP="000A5C3B">
      <w:pPr>
        <w:spacing w:line="360" w:lineRule="auto"/>
        <w:jc w:val="both"/>
        <w:rPr>
          <w:rFonts w:ascii="Palatino Linotype" w:eastAsia="Palatino Linotype" w:hAnsi="Palatino Linotype" w:cs="Palatino Linotype"/>
          <w:color w:val="222222"/>
        </w:rPr>
      </w:pPr>
      <w:r w:rsidRPr="000A5C3B">
        <w:rPr>
          <w:rFonts w:ascii="Palatino Linotype" w:eastAsia="Palatino Linotype" w:hAnsi="Palatino Linotype" w:cs="Palatino Linotype"/>
          <w:color w:val="222222"/>
        </w:rPr>
        <w:t xml:space="preserve">Sirva de apoyo por analogía </w:t>
      </w:r>
      <w:r w:rsidRPr="000A5C3B">
        <w:rPr>
          <w:rFonts w:ascii="Palatino Linotype" w:eastAsia="Palatino Linotype" w:hAnsi="Palatino Linotype" w:cs="Palatino Linotype"/>
        </w:rPr>
        <w:t>la tesis con número de registro 267287 de la sexta época, de la Segunda Sala, publicado en el Semanario Judicial de la Federación, Volumen LII, Tercera Parte, página 101, que a la literalidad menciona lo siguiente:</w:t>
      </w:r>
    </w:p>
    <w:p w:rsidR="000D1908" w:rsidRPr="000A5C3B" w:rsidRDefault="000D1908" w:rsidP="000A5C3B">
      <w:pPr>
        <w:widowControl w:val="0"/>
        <w:jc w:val="both"/>
        <w:rPr>
          <w:rFonts w:ascii="Palatino Linotype" w:eastAsia="Palatino Linotype" w:hAnsi="Palatino Linotype" w:cs="Palatino Linotype"/>
        </w:rPr>
      </w:pPr>
    </w:p>
    <w:p w:rsidR="000D1908" w:rsidRPr="000A5C3B" w:rsidRDefault="002122F0" w:rsidP="000A5C3B">
      <w:pPr>
        <w:widowControl w:val="0"/>
        <w:ind w:left="851" w:right="899"/>
        <w:jc w:val="both"/>
        <w:rPr>
          <w:rFonts w:ascii="Palatino Linotype" w:eastAsia="Palatino Linotype" w:hAnsi="Palatino Linotype" w:cs="Palatino Linotype"/>
          <w:b/>
          <w:i/>
        </w:rPr>
      </w:pPr>
      <w:r w:rsidRPr="000A5C3B">
        <w:rPr>
          <w:rFonts w:ascii="Palatino Linotype" w:eastAsia="Palatino Linotype" w:hAnsi="Palatino Linotype" w:cs="Palatino Linotype"/>
          <w:i/>
        </w:rPr>
        <w:t>“</w:t>
      </w:r>
      <w:r w:rsidRPr="000A5C3B">
        <w:rPr>
          <w:rFonts w:ascii="Palatino Linotype" w:eastAsia="Palatino Linotype" w:hAnsi="Palatino Linotype" w:cs="Palatino Linotype"/>
          <w:b/>
          <w:i/>
        </w:rPr>
        <w:t>HECHOS NEGATIVOS, NO SON SUSCEPTIBLES DE DEMOSTRACIÓN.</w:t>
      </w:r>
    </w:p>
    <w:p w:rsidR="000D1908" w:rsidRPr="000A5C3B" w:rsidRDefault="000D1908" w:rsidP="000A5C3B">
      <w:pPr>
        <w:widowControl w:val="0"/>
        <w:ind w:left="851" w:right="899"/>
        <w:jc w:val="both"/>
        <w:rPr>
          <w:rFonts w:ascii="Palatino Linotype" w:eastAsia="Palatino Linotype" w:hAnsi="Palatino Linotype" w:cs="Palatino Linotype"/>
          <w:i/>
        </w:rPr>
      </w:pPr>
    </w:p>
    <w:p w:rsidR="000D1908" w:rsidRPr="000A5C3B" w:rsidRDefault="002122F0" w:rsidP="000A5C3B">
      <w:pPr>
        <w:widowControl w:val="0"/>
        <w:ind w:left="851" w:right="899"/>
        <w:jc w:val="both"/>
        <w:rPr>
          <w:rFonts w:ascii="Palatino Linotype" w:eastAsia="Palatino Linotype" w:hAnsi="Palatino Linotype" w:cs="Palatino Linotype"/>
          <w:i/>
        </w:rPr>
      </w:pPr>
      <w:r w:rsidRPr="000A5C3B">
        <w:rPr>
          <w:rFonts w:ascii="Palatino Linotype" w:eastAsia="Palatino Linotype" w:hAnsi="Palatino Linotype" w:cs="Palatino Linotype"/>
          <w:i/>
        </w:rPr>
        <w:t>Tratándose de un hecho negativo, el Juez no tiene por qué invocar prueba alguna de la que se desprenda, ya que es bien sabido que esta clase de hechos no son susceptibles de demostración.”</w:t>
      </w:r>
    </w:p>
    <w:p w:rsidR="000D1908" w:rsidRPr="000A5C3B" w:rsidRDefault="000D1908" w:rsidP="000A5C3B">
      <w:pPr>
        <w:spacing w:line="360" w:lineRule="auto"/>
        <w:jc w:val="both"/>
        <w:rPr>
          <w:rFonts w:ascii="Palatino Linotype" w:eastAsia="Palatino Linotype" w:hAnsi="Palatino Linotype" w:cs="Palatino Linotype"/>
          <w:color w:val="222222"/>
        </w:rPr>
      </w:pPr>
    </w:p>
    <w:p w:rsidR="000D1908" w:rsidRPr="000A5C3B" w:rsidRDefault="002122F0" w:rsidP="000A5C3B">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A5C3B">
        <w:rPr>
          <w:rFonts w:ascii="Palatino Linotype" w:eastAsia="Palatino Linotype" w:hAnsi="Palatino Linotype" w:cs="Palatino Linotype"/>
          <w:color w:val="000000"/>
        </w:rPr>
        <w:t>Robustece lo hasta aquí expuesto, lo previsto por el artículo 12, párrafo segundo de la Ley de Transparencia y Acceso a la Información Pública del Estado de México y Municipios y el Criterio 03/17 emitido por el Instituto Nacional de Transparencia, Acceso a la Información y Protección de Datos Personales, que la letra establecen lo siguiente:</w:t>
      </w:r>
    </w:p>
    <w:p w:rsidR="000D1908" w:rsidRPr="000A5C3B" w:rsidRDefault="000D1908" w:rsidP="000A5C3B">
      <w:pPr>
        <w:pBdr>
          <w:top w:val="nil"/>
          <w:left w:val="nil"/>
          <w:bottom w:val="nil"/>
          <w:right w:val="nil"/>
          <w:between w:val="nil"/>
        </w:pBdr>
        <w:rPr>
          <w:rFonts w:ascii="Palatino Linotype" w:eastAsia="Palatino Linotype" w:hAnsi="Palatino Linotype" w:cs="Palatino Linotype"/>
          <w:color w:val="000000"/>
        </w:rPr>
      </w:pPr>
    </w:p>
    <w:p w:rsidR="000D1908" w:rsidRPr="000A5C3B" w:rsidRDefault="002122F0" w:rsidP="000A5C3B">
      <w:pPr>
        <w:ind w:left="851" w:right="567"/>
        <w:jc w:val="both"/>
        <w:rPr>
          <w:rFonts w:ascii="Palatino Linotype" w:eastAsia="Palatino Linotype" w:hAnsi="Palatino Linotype" w:cs="Palatino Linotype"/>
          <w:i/>
        </w:rPr>
      </w:pPr>
      <w:r w:rsidRPr="000A5C3B">
        <w:rPr>
          <w:rFonts w:ascii="Palatino Linotype" w:eastAsia="Palatino Linotype" w:hAnsi="Palatino Linotype" w:cs="Palatino Linotype"/>
          <w:b/>
          <w:i/>
        </w:rPr>
        <w:t>Artículo 12.</w:t>
      </w:r>
      <w:r w:rsidRPr="000A5C3B">
        <w:rPr>
          <w:rFonts w:ascii="Palatino Linotype" w:eastAsia="Palatino Linotype" w:hAnsi="Palatino Linotype" w:cs="Palatino Linotype"/>
          <w:i/>
        </w:rPr>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0D1908" w:rsidRPr="000A5C3B" w:rsidRDefault="000D1908" w:rsidP="000A5C3B">
      <w:pPr>
        <w:spacing w:line="360" w:lineRule="auto"/>
        <w:jc w:val="both"/>
      </w:pPr>
    </w:p>
    <w:p w:rsidR="000D1908" w:rsidRPr="000A5C3B" w:rsidRDefault="002122F0" w:rsidP="000A5C3B">
      <w:pPr>
        <w:ind w:left="851" w:right="567"/>
        <w:jc w:val="both"/>
        <w:rPr>
          <w:rFonts w:ascii="Palatino Linotype" w:eastAsia="Palatino Linotype" w:hAnsi="Palatino Linotype" w:cs="Palatino Linotype"/>
          <w:i/>
        </w:rPr>
      </w:pPr>
      <w:r w:rsidRPr="000A5C3B">
        <w:rPr>
          <w:rFonts w:ascii="Palatino Linotype" w:eastAsia="Palatino Linotype" w:hAnsi="Palatino Linotype" w:cs="Palatino Linotype"/>
          <w:b/>
          <w:i/>
        </w:rPr>
        <w:lastRenderedPageBreak/>
        <w:t xml:space="preserve">“No existe obligación de elaborar documentos ad hoc para atender las solicitudes de acceso a la información. </w:t>
      </w:r>
      <w:r w:rsidRPr="000A5C3B">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rsidR="000D1908" w:rsidRPr="000A5C3B" w:rsidRDefault="000D1908" w:rsidP="000A5C3B">
      <w:pPr>
        <w:widowControl w:val="0"/>
        <w:spacing w:line="360" w:lineRule="auto"/>
        <w:jc w:val="both"/>
        <w:rPr>
          <w:rFonts w:ascii="Palatino Linotype" w:eastAsia="Palatino Linotype" w:hAnsi="Palatino Linotype" w:cs="Palatino Linotype"/>
          <w:color w:val="000000"/>
        </w:rPr>
      </w:pPr>
    </w:p>
    <w:p w:rsidR="000D1908" w:rsidRPr="000A5C3B" w:rsidRDefault="002122F0" w:rsidP="000A5C3B">
      <w:pPr>
        <w:widowControl w:val="0"/>
        <w:tabs>
          <w:tab w:val="left" w:pos="1701"/>
          <w:tab w:val="left" w:pos="1843"/>
        </w:tabs>
        <w:spacing w:line="360" w:lineRule="auto"/>
        <w:jc w:val="both"/>
        <w:rPr>
          <w:rFonts w:ascii="Palatino Linotype" w:eastAsia="Palatino Linotype" w:hAnsi="Palatino Linotype" w:cs="Palatino Linotype"/>
          <w:color w:val="000000"/>
        </w:rPr>
      </w:pPr>
      <w:r w:rsidRPr="000A5C3B">
        <w:rPr>
          <w:rFonts w:ascii="Palatino Linotype" w:eastAsia="Palatino Linotype" w:hAnsi="Palatino Linotype" w:cs="Palatino Linotype"/>
          <w:color w:val="000000"/>
        </w:rPr>
        <w:t xml:space="preserve">Finalmente, en razón de lo anteriormente expuesto, éste Instituto estima que las razones o motivos de inconformidad hechos valer por </w:t>
      </w:r>
      <w:r w:rsidRPr="000A5C3B">
        <w:rPr>
          <w:rFonts w:ascii="Palatino Linotype" w:eastAsia="Palatino Linotype" w:hAnsi="Palatino Linotype" w:cs="Palatino Linotype"/>
          <w:b/>
          <w:color w:val="000000"/>
        </w:rPr>
        <w:t>LA RECURRENTE</w:t>
      </w:r>
      <w:r w:rsidRPr="000A5C3B">
        <w:rPr>
          <w:rFonts w:ascii="Palatino Linotype" w:eastAsia="Palatino Linotype" w:hAnsi="Palatino Linotype" w:cs="Palatino Linotype"/>
          <w:color w:val="000000"/>
        </w:rPr>
        <w:t xml:space="preserve"> devienen </w:t>
      </w:r>
      <w:r w:rsidRPr="000A5C3B">
        <w:rPr>
          <w:rFonts w:ascii="Palatino Linotype" w:eastAsia="Palatino Linotype" w:hAnsi="Palatino Linotype" w:cs="Palatino Linotype"/>
          <w:b/>
          <w:color w:val="000000"/>
        </w:rPr>
        <w:t>infundadas</w:t>
      </w:r>
      <w:r w:rsidRPr="000A5C3B">
        <w:rPr>
          <w:rFonts w:ascii="Palatino Linotype" w:eastAsia="Palatino Linotype" w:hAnsi="Palatino Linotype" w:cs="Palatino Linotype"/>
          <w:color w:val="000000"/>
        </w:rPr>
        <w:t xml:space="preserve">; motivo por el cual, este Órgano Garante determina </w:t>
      </w:r>
      <w:r w:rsidRPr="000A5C3B">
        <w:rPr>
          <w:rFonts w:ascii="Palatino Linotype" w:eastAsia="Palatino Linotype" w:hAnsi="Palatino Linotype" w:cs="Palatino Linotype"/>
          <w:b/>
          <w:color w:val="000000"/>
        </w:rPr>
        <w:t xml:space="preserve">CONFIRMAR </w:t>
      </w:r>
      <w:r w:rsidRPr="000A5C3B">
        <w:rPr>
          <w:rFonts w:ascii="Palatino Linotype" w:eastAsia="Palatino Linotype" w:hAnsi="Palatino Linotype" w:cs="Palatino Linotype"/>
          <w:color w:val="000000"/>
        </w:rPr>
        <w:t xml:space="preserve">la respuesta otorgada por </w:t>
      </w:r>
      <w:r w:rsidRPr="000A5C3B">
        <w:rPr>
          <w:rFonts w:ascii="Palatino Linotype" w:eastAsia="Palatino Linotype" w:hAnsi="Palatino Linotype" w:cs="Palatino Linotype"/>
          <w:b/>
          <w:color w:val="000000"/>
        </w:rPr>
        <w:t>EL SUJETO OBLIGADO</w:t>
      </w:r>
      <w:r w:rsidRPr="000A5C3B">
        <w:rPr>
          <w:rFonts w:ascii="Palatino Linotype" w:eastAsia="Palatino Linotype" w:hAnsi="Palatino Linotype" w:cs="Palatino Linotype"/>
          <w:b/>
        </w:rPr>
        <w:t xml:space="preserve">, </w:t>
      </w:r>
      <w:r w:rsidRPr="000A5C3B">
        <w:rPr>
          <w:rFonts w:ascii="Palatino Linotype" w:eastAsia="Palatino Linotype" w:hAnsi="Palatino Linotype" w:cs="Palatino Linotype"/>
          <w:color w:val="000000"/>
        </w:rPr>
        <w:t>en términos del artículo 186, fracción II de la Ley de Transparencia y Acceso a la Información Pública del Estado de México y Municipios por las razones expuestas en el presente considerando.</w:t>
      </w:r>
    </w:p>
    <w:p w:rsidR="000D1908" w:rsidRPr="000A5C3B" w:rsidRDefault="000D1908" w:rsidP="000A5C3B">
      <w:pPr>
        <w:widowControl w:val="0"/>
        <w:tabs>
          <w:tab w:val="left" w:pos="1701"/>
          <w:tab w:val="left" w:pos="1843"/>
        </w:tabs>
        <w:spacing w:line="360" w:lineRule="auto"/>
        <w:jc w:val="both"/>
        <w:rPr>
          <w:rFonts w:ascii="Palatino Linotype" w:eastAsia="Palatino Linotype" w:hAnsi="Palatino Linotype" w:cs="Palatino Linotype"/>
          <w:color w:val="000000"/>
        </w:rPr>
      </w:pPr>
    </w:p>
    <w:p w:rsidR="000D1908" w:rsidRPr="000A5C3B" w:rsidRDefault="002122F0" w:rsidP="000A5C3B">
      <w:pPr>
        <w:widowControl w:val="0"/>
        <w:spacing w:line="360" w:lineRule="auto"/>
        <w:jc w:val="both"/>
        <w:rPr>
          <w:rFonts w:ascii="Palatino Linotype" w:eastAsia="Palatino Linotype" w:hAnsi="Palatino Linotype" w:cs="Palatino Linotype"/>
          <w:color w:val="000000"/>
        </w:rPr>
      </w:pPr>
      <w:r w:rsidRPr="000A5C3B">
        <w:rPr>
          <w:rFonts w:ascii="Palatino Linotype" w:eastAsia="Palatino Linotype" w:hAnsi="Palatino Linotype" w:cs="Palatino Linotype"/>
          <w:color w:val="000000"/>
        </w:rPr>
        <w:t>Por lo que, con fundamento en lo prescrito en los artículos 5, párrafos</w:t>
      </w:r>
      <w:r w:rsidRPr="000A5C3B">
        <w:rPr>
          <w:rFonts w:ascii="Palatino Linotype" w:eastAsia="Palatino Linotype" w:hAnsi="Palatino Linotype" w:cs="Palatino Linotype"/>
        </w:rPr>
        <w:t xml:space="preserve"> trigésimo segundo, trigésimo tercero y trigésimo cuarto,</w:t>
      </w:r>
      <w:r w:rsidRPr="000A5C3B">
        <w:rPr>
          <w:rFonts w:ascii="Palatino Linotype" w:eastAsia="Palatino Linotype" w:hAnsi="Palatino Linotype" w:cs="Palatino Linotype"/>
          <w:color w:val="000000"/>
        </w:rPr>
        <w:t xml:space="preserve">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rsidR="000D1908" w:rsidRPr="000A5C3B" w:rsidRDefault="000D1908" w:rsidP="000A5C3B">
      <w:pPr>
        <w:widowControl w:val="0"/>
        <w:spacing w:line="360" w:lineRule="auto"/>
        <w:jc w:val="both"/>
        <w:rPr>
          <w:rFonts w:ascii="Palatino Linotype" w:eastAsia="Palatino Linotype" w:hAnsi="Palatino Linotype" w:cs="Palatino Linotype"/>
          <w:color w:val="000000"/>
        </w:rPr>
      </w:pPr>
    </w:p>
    <w:p w:rsidR="000A5C3B" w:rsidRDefault="000A5C3B" w:rsidP="000A5C3B">
      <w:pPr>
        <w:jc w:val="center"/>
        <w:rPr>
          <w:rFonts w:ascii="Palatino Linotype" w:eastAsia="Palatino Linotype" w:hAnsi="Palatino Linotype" w:cs="Palatino Linotype"/>
          <w:b/>
          <w:color w:val="000000"/>
        </w:rPr>
      </w:pPr>
    </w:p>
    <w:p w:rsidR="000A5C3B" w:rsidRDefault="000A5C3B" w:rsidP="000A5C3B">
      <w:pPr>
        <w:jc w:val="center"/>
        <w:rPr>
          <w:rFonts w:ascii="Palatino Linotype" w:eastAsia="Palatino Linotype" w:hAnsi="Palatino Linotype" w:cs="Palatino Linotype"/>
          <w:b/>
          <w:color w:val="000000"/>
        </w:rPr>
      </w:pPr>
    </w:p>
    <w:p w:rsidR="000D1908" w:rsidRPr="000A5C3B" w:rsidRDefault="002122F0" w:rsidP="000A5C3B">
      <w:pPr>
        <w:jc w:val="center"/>
        <w:rPr>
          <w:rFonts w:ascii="Palatino Linotype" w:eastAsia="Palatino Linotype" w:hAnsi="Palatino Linotype" w:cs="Palatino Linotype"/>
          <w:b/>
          <w:color w:val="000000"/>
        </w:rPr>
      </w:pPr>
      <w:r w:rsidRPr="000A5C3B">
        <w:rPr>
          <w:rFonts w:ascii="Palatino Linotype" w:eastAsia="Palatino Linotype" w:hAnsi="Palatino Linotype" w:cs="Palatino Linotype"/>
          <w:b/>
          <w:color w:val="000000"/>
        </w:rPr>
        <w:lastRenderedPageBreak/>
        <w:t>R</w:t>
      </w:r>
      <w:r w:rsidR="000A5C3B">
        <w:rPr>
          <w:rFonts w:ascii="Palatino Linotype" w:eastAsia="Palatino Linotype" w:hAnsi="Palatino Linotype" w:cs="Palatino Linotype"/>
          <w:b/>
          <w:color w:val="000000"/>
        </w:rPr>
        <w:t xml:space="preserve"> </w:t>
      </w:r>
      <w:r w:rsidRPr="000A5C3B">
        <w:rPr>
          <w:rFonts w:ascii="Palatino Linotype" w:eastAsia="Palatino Linotype" w:hAnsi="Palatino Linotype" w:cs="Palatino Linotype"/>
          <w:b/>
          <w:color w:val="000000"/>
        </w:rPr>
        <w:t>E</w:t>
      </w:r>
      <w:r w:rsidR="000A5C3B">
        <w:rPr>
          <w:rFonts w:ascii="Palatino Linotype" w:eastAsia="Palatino Linotype" w:hAnsi="Palatino Linotype" w:cs="Palatino Linotype"/>
          <w:b/>
          <w:color w:val="000000"/>
        </w:rPr>
        <w:t xml:space="preserve"> </w:t>
      </w:r>
      <w:r w:rsidRPr="000A5C3B">
        <w:rPr>
          <w:rFonts w:ascii="Palatino Linotype" w:eastAsia="Palatino Linotype" w:hAnsi="Palatino Linotype" w:cs="Palatino Linotype"/>
          <w:b/>
          <w:color w:val="000000"/>
        </w:rPr>
        <w:t>S</w:t>
      </w:r>
      <w:r w:rsidR="000A5C3B">
        <w:rPr>
          <w:rFonts w:ascii="Palatino Linotype" w:eastAsia="Palatino Linotype" w:hAnsi="Palatino Linotype" w:cs="Palatino Linotype"/>
          <w:b/>
          <w:color w:val="000000"/>
        </w:rPr>
        <w:t xml:space="preserve"> </w:t>
      </w:r>
      <w:r w:rsidRPr="000A5C3B">
        <w:rPr>
          <w:rFonts w:ascii="Palatino Linotype" w:eastAsia="Palatino Linotype" w:hAnsi="Palatino Linotype" w:cs="Palatino Linotype"/>
          <w:b/>
          <w:color w:val="000000"/>
        </w:rPr>
        <w:t>U</w:t>
      </w:r>
      <w:r w:rsidR="000A5C3B">
        <w:rPr>
          <w:rFonts w:ascii="Palatino Linotype" w:eastAsia="Palatino Linotype" w:hAnsi="Palatino Linotype" w:cs="Palatino Linotype"/>
          <w:b/>
          <w:color w:val="000000"/>
        </w:rPr>
        <w:t xml:space="preserve"> </w:t>
      </w:r>
      <w:r w:rsidRPr="000A5C3B">
        <w:rPr>
          <w:rFonts w:ascii="Palatino Linotype" w:eastAsia="Palatino Linotype" w:hAnsi="Palatino Linotype" w:cs="Palatino Linotype"/>
          <w:b/>
          <w:color w:val="000000"/>
        </w:rPr>
        <w:t>E</w:t>
      </w:r>
      <w:r w:rsidR="000A5C3B">
        <w:rPr>
          <w:rFonts w:ascii="Palatino Linotype" w:eastAsia="Palatino Linotype" w:hAnsi="Palatino Linotype" w:cs="Palatino Linotype"/>
          <w:b/>
          <w:color w:val="000000"/>
        </w:rPr>
        <w:t xml:space="preserve"> </w:t>
      </w:r>
      <w:r w:rsidRPr="000A5C3B">
        <w:rPr>
          <w:rFonts w:ascii="Palatino Linotype" w:eastAsia="Palatino Linotype" w:hAnsi="Palatino Linotype" w:cs="Palatino Linotype"/>
          <w:b/>
          <w:color w:val="000000"/>
        </w:rPr>
        <w:t>L</w:t>
      </w:r>
      <w:r w:rsidR="000A5C3B">
        <w:rPr>
          <w:rFonts w:ascii="Palatino Linotype" w:eastAsia="Palatino Linotype" w:hAnsi="Palatino Linotype" w:cs="Palatino Linotype"/>
          <w:b/>
          <w:color w:val="000000"/>
        </w:rPr>
        <w:t xml:space="preserve"> </w:t>
      </w:r>
      <w:r w:rsidRPr="000A5C3B">
        <w:rPr>
          <w:rFonts w:ascii="Palatino Linotype" w:eastAsia="Palatino Linotype" w:hAnsi="Palatino Linotype" w:cs="Palatino Linotype"/>
          <w:b/>
          <w:color w:val="000000"/>
        </w:rPr>
        <w:t>V</w:t>
      </w:r>
      <w:r w:rsidR="000A5C3B">
        <w:rPr>
          <w:rFonts w:ascii="Palatino Linotype" w:eastAsia="Palatino Linotype" w:hAnsi="Palatino Linotype" w:cs="Palatino Linotype"/>
          <w:b/>
          <w:color w:val="000000"/>
        </w:rPr>
        <w:t xml:space="preserve"> </w:t>
      </w:r>
      <w:r w:rsidRPr="000A5C3B">
        <w:rPr>
          <w:rFonts w:ascii="Palatino Linotype" w:eastAsia="Palatino Linotype" w:hAnsi="Palatino Linotype" w:cs="Palatino Linotype"/>
          <w:b/>
          <w:color w:val="000000"/>
        </w:rPr>
        <w:t>E</w:t>
      </w:r>
    </w:p>
    <w:p w:rsidR="000D1908" w:rsidRPr="000A5C3B" w:rsidRDefault="000D1908" w:rsidP="000A5C3B">
      <w:pPr>
        <w:jc w:val="center"/>
        <w:rPr>
          <w:rFonts w:ascii="Palatino Linotype" w:eastAsia="Palatino Linotype" w:hAnsi="Palatino Linotype" w:cs="Palatino Linotype"/>
          <w:b/>
          <w:color w:val="000000"/>
        </w:rPr>
      </w:pPr>
    </w:p>
    <w:p w:rsidR="000D1908" w:rsidRPr="000A5C3B" w:rsidRDefault="002122F0" w:rsidP="000A5C3B">
      <w:pPr>
        <w:widowControl w:val="0"/>
        <w:spacing w:line="360" w:lineRule="auto"/>
        <w:jc w:val="both"/>
        <w:rPr>
          <w:rFonts w:ascii="Palatino Linotype" w:eastAsia="Palatino Linotype" w:hAnsi="Palatino Linotype" w:cs="Palatino Linotype"/>
          <w:color w:val="000000"/>
        </w:rPr>
      </w:pPr>
      <w:r w:rsidRPr="000A5C3B">
        <w:rPr>
          <w:rFonts w:ascii="Palatino Linotype" w:eastAsia="Palatino Linotype" w:hAnsi="Palatino Linotype" w:cs="Palatino Linotype"/>
          <w:b/>
          <w:color w:val="000000"/>
        </w:rPr>
        <w:t>PRIMERO.</w:t>
      </w:r>
      <w:r w:rsidRPr="000A5C3B">
        <w:rPr>
          <w:rFonts w:ascii="Palatino Linotype" w:eastAsia="Palatino Linotype" w:hAnsi="Palatino Linotype" w:cs="Palatino Linotype"/>
          <w:color w:val="000000"/>
        </w:rPr>
        <w:t xml:space="preserve"> Resultan </w:t>
      </w:r>
      <w:r w:rsidRPr="000A5C3B">
        <w:rPr>
          <w:rFonts w:ascii="Palatino Linotype" w:eastAsia="Palatino Linotype" w:hAnsi="Palatino Linotype" w:cs="Palatino Linotype"/>
          <w:b/>
          <w:color w:val="000000"/>
        </w:rPr>
        <w:t>infundadas</w:t>
      </w:r>
      <w:r w:rsidRPr="000A5C3B">
        <w:rPr>
          <w:rFonts w:ascii="Palatino Linotype" w:eastAsia="Palatino Linotype" w:hAnsi="Palatino Linotype" w:cs="Palatino Linotype"/>
          <w:color w:val="000000"/>
        </w:rPr>
        <w:t xml:space="preserve"> las razones o motivos de inconformidad planteadas por </w:t>
      </w:r>
      <w:r w:rsidRPr="000A5C3B">
        <w:rPr>
          <w:rFonts w:ascii="Palatino Linotype" w:eastAsia="Palatino Linotype" w:hAnsi="Palatino Linotype" w:cs="Palatino Linotype"/>
          <w:b/>
          <w:color w:val="000000"/>
        </w:rPr>
        <w:t>EL RECURRENTE</w:t>
      </w:r>
      <w:r w:rsidRPr="000A5C3B">
        <w:rPr>
          <w:rFonts w:ascii="Palatino Linotype" w:eastAsia="Palatino Linotype" w:hAnsi="Palatino Linotype" w:cs="Palatino Linotype"/>
          <w:color w:val="000000"/>
        </w:rPr>
        <w:t xml:space="preserve"> en términos del Considerando </w:t>
      </w:r>
      <w:r w:rsidRPr="000A5C3B">
        <w:rPr>
          <w:rFonts w:ascii="Palatino Linotype" w:eastAsia="Palatino Linotype" w:hAnsi="Palatino Linotype" w:cs="Palatino Linotype"/>
          <w:b/>
          <w:color w:val="000000"/>
        </w:rPr>
        <w:t>Quinto</w:t>
      </w:r>
      <w:r w:rsidRPr="000A5C3B">
        <w:rPr>
          <w:rFonts w:ascii="Palatino Linotype" w:eastAsia="Palatino Linotype" w:hAnsi="Palatino Linotype" w:cs="Palatino Linotype"/>
          <w:color w:val="000000"/>
        </w:rPr>
        <w:t xml:space="preserve"> de esta resolución.</w:t>
      </w:r>
    </w:p>
    <w:p w:rsidR="000D1908" w:rsidRPr="000A5C3B" w:rsidRDefault="000D1908" w:rsidP="000A5C3B">
      <w:pPr>
        <w:widowControl w:val="0"/>
        <w:spacing w:line="360" w:lineRule="auto"/>
        <w:jc w:val="both"/>
        <w:rPr>
          <w:rFonts w:ascii="Palatino Linotype" w:eastAsia="Palatino Linotype" w:hAnsi="Palatino Linotype" w:cs="Palatino Linotype"/>
          <w:color w:val="000000"/>
        </w:rPr>
      </w:pPr>
    </w:p>
    <w:p w:rsidR="000D1908" w:rsidRPr="000A5C3B" w:rsidRDefault="002122F0" w:rsidP="000A5C3B">
      <w:pPr>
        <w:spacing w:line="360" w:lineRule="auto"/>
        <w:jc w:val="both"/>
        <w:rPr>
          <w:rFonts w:ascii="Palatino Linotype" w:eastAsia="Palatino Linotype" w:hAnsi="Palatino Linotype" w:cs="Palatino Linotype"/>
          <w:b/>
        </w:rPr>
      </w:pPr>
      <w:r w:rsidRPr="000A5C3B">
        <w:rPr>
          <w:rFonts w:ascii="Palatino Linotype" w:eastAsia="Palatino Linotype" w:hAnsi="Palatino Linotype" w:cs="Palatino Linotype"/>
          <w:b/>
          <w:color w:val="000000"/>
        </w:rPr>
        <w:t xml:space="preserve">SEGUNDO. </w:t>
      </w:r>
      <w:r w:rsidRPr="000A5C3B">
        <w:rPr>
          <w:rFonts w:ascii="Palatino Linotype" w:eastAsia="Palatino Linotype" w:hAnsi="Palatino Linotype" w:cs="Palatino Linotype"/>
          <w:color w:val="000000"/>
        </w:rPr>
        <w:t>Se</w:t>
      </w:r>
      <w:r w:rsidRPr="000A5C3B">
        <w:rPr>
          <w:rFonts w:ascii="Palatino Linotype" w:eastAsia="Palatino Linotype" w:hAnsi="Palatino Linotype" w:cs="Palatino Linotype"/>
          <w:b/>
          <w:color w:val="000000"/>
        </w:rPr>
        <w:t xml:space="preserve"> CONFIRMA </w:t>
      </w:r>
      <w:r w:rsidRPr="000A5C3B">
        <w:rPr>
          <w:rFonts w:ascii="Palatino Linotype" w:eastAsia="Palatino Linotype" w:hAnsi="Palatino Linotype" w:cs="Palatino Linotype"/>
          <w:color w:val="000000"/>
        </w:rPr>
        <w:t xml:space="preserve">la respuesta del </w:t>
      </w:r>
      <w:r w:rsidRPr="000A5C3B">
        <w:rPr>
          <w:rFonts w:ascii="Palatino Linotype" w:eastAsia="Palatino Linotype" w:hAnsi="Palatino Linotype" w:cs="Palatino Linotype"/>
          <w:b/>
          <w:color w:val="000000"/>
        </w:rPr>
        <w:t xml:space="preserve">SUJETO OBLIGADO </w:t>
      </w:r>
      <w:r w:rsidRPr="000A5C3B">
        <w:rPr>
          <w:rFonts w:ascii="Palatino Linotype" w:eastAsia="Palatino Linotype" w:hAnsi="Palatino Linotype" w:cs="Palatino Linotype"/>
          <w:color w:val="000000"/>
        </w:rPr>
        <w:t xml:space="preserve">otorgada a la solicitud de acceso a la información que dio origen al Recurso de Revisión </w:t>
      </w:r>
      <w:r w:rsidRPr="000A5C3B">
        <w:rPr>
          <w:rFonts w:ascii="Palatino Linotype" w:eastAsia="Palatino Linotype" w:hAnsi="Palatino Linotype" w:cs="Palatino Linotype"/>
          <w:b/>
        </w:rPr>
        <w:t>00177/INFOEM/IP/RR/2024</w:t>
      </w:r>
      <w:r w:rsidRPr="000A5C3B">
        <w:rPr>
          <w:rFonts w:ascii="Palatino Linotype" w:eastAsia="Palatino Linotype" w:hAnsi="Palatino Linotype" w:cs="Palatino Linotype"/>
          <w:color w:val="000000"/>
        </w:rPr>
        <w:t>.</w:t>
      </w:r>
    </w:p>
    <w:p w:rsidR="000D1908" w:rsidRPr="000A5C3B" w:rsidRDefault="000D1908" w:rsidP="000A5C3B">
      <w:pPr>
        <w:pBdr>
          <w:top w:val="nil"/>
          <w:left w:val="nil"/>
          <w:bottom w:val="nil"/>
          <w:right w:val="nil"/>
          <w:between w:val="nil"/>
        </w:pBdr>
        <w:spacing w:line="360" w:lineRule="auto"/>
        <w:ind w:left="708"/>
        <w:rPr>
          <w:rFonts w:ascii="Palatino Linotype" w:eastAsia="Palatino Linotype" w:hAnsi="Palatino Linotype" w:cs="Palatino Linotype"/>
          <w:b/>
          <w:color w:val="000000"/>
        </w:rPr>
      </w:pPr>
    </w:p>
    <w:p w:rsidR="000D1908" w:rsidRPr="000A5C3B" w:rsidRDefault="002122F0" w:rsidP="000A5C3B">
      <w:pPr>
        <w:widowControl w:val="0"/>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b/>
          <w:color w:val="000000"/>
        </w:rPr>
        <w:t>TERCERO.</w:t>
      </w:r>
      <w:r w:rsidRPr="000A5C3B">
        <w:rPr>
          <w:rFonts w:ascii="Palatino Linotype" w:eastAsia="Palatino Linotype" w:hAnsi="Palatino Linotype" w:cs="Palatino Linotype"/>
          <w:b/>
        </w:rPr>
        <w:t xml:space="preserve"> Notifíquese </w:t>
      </w:r>
      <w:r w:rsidRPr="000A5C3B">
        <w:rPr>
          <w:rFonts w:ascii="Palatino Linotype" w:eastAsia="Palatino Linotype" w:hAnsi="Palatino Linotype" w:cs="Palatino Linotype"/>
        </w:rPr>
        <w:t xml:space="preserve">la presente resolución a </w:t>
      </w:r>
      <w:r w:rsidRPr="000A5C3B">
        <w:rPr>
          <w:rFonts w:ascii="Palatino Linotype" w:eastAsia="Palatino Linotype" w:hAnsi="Palatino Linotype" w:cs="Palatino Linotype"/>
          <w:b/>
        </w:rPr>
        <w:t>EL</w:t>
      </w:r>
      <w:r w:rsidRPr="000A5C3B">
        <w:rPr>
          <w:rFonts w:ascii="Palatino Linotype" w:eastAsia="Palatino Linotype" w:hAnsi="Palatino Linotype" w:cs="Palatino Linotype"/>
        </w:rPr>
        <w:t xml:space="preserve"> </w:t>
      </w:r>
      <w:r w:rsidRPr="000A5C3B">
        <w:rPr>
          <w:rFonts w:ascii="Palatino Linotype" w:eastAsia="Palatino Linotype" w:hAnsi="Palatino Linotype" w:cs="Palatino Linotype"/>
          <w:b/>
          <w:color w:val="000000"/>
        </w:rPr>
        <w:t xml:space="preserve">RECURRENTE </w:t>
      </w:r>
      <w:r w:rsidRPr="000A5C3B">
        <w:rPr>
          <w:rFonts w:ascii="Palatino Linotype" w:eastAsia="Palatino Linotype" w:hAnsi="Palatino Linotype" w:cs="Palatino Linotype"/>
        </w:rPr>
        <w:t xml:space="preserve">a través del Sistema de Acceso a la Información Mexiquense (SAIMEX) </w:t>
      </w:r>
      <w:r w:rsidRPr="000A5C3B">
        <w:rPr>
          <w:rFonts w:ascii="Palatino Linotype" w:eastAsia="Palatino Linotype" w:hAnsi="Palatino Linotype" w:cs="Palatino Linotype"/>
          <w:color w:val="000000"/>
        </w:rPr>
        <w:t xml:space="preserve">y hágase de su conocimiento </w:t>
      </w:r>
      <w:r w:rsidRPr="000A5C3B">
        <w:rPr>
          <w:rFonts w:ascii="Palatino Linotype" w:eastAsia="Palatino Linotype" w:hAnsi="Palatino Linotype" w:cs="Palatino Linotype"/>
          <w:color w:val="222222"/>
        </w:rPr>
        <w:t>que de conformidad con lo establecido en el artículo 196 de la Ley de Transparencia y Acceso a la Información Pública del Estado de México y Municipios, podrá impugnarla vía Juicio de Amparo en los términos de las leyes aplicables.</w:t>
      </w:r>
    </w:p>
    <w:p w:rsidR="000D1908" w:rsidRPr="000A5C3B" w:rsidRDefault="000D1908" w:rsidP="000A5C3B">
      <w:pPr>
        <w:spacing w:line="360" w:lineRule="auto"/>
        <w:ind w:right="49"/>
        <w:jc w:val="both"/>
        <w:rPr>
          <w:rFonts w:ascii="Palatino Linotype" w:eastAsia="Palatino Linotype" w:hAnsi="Palatino Linotype" w:cs="Palatino Linotype"/>
        </w:rPr>
      </w:pPr>
    </w:p>
    <w:p w:rsidR="000D1908" w:rsidRPr="000A5C3B" w:rsidRDefault="002122F0" w:rsidP="000A5C3B">
      <w:pPr>
        <w:widowControl w:val="0"/>
        <w:spacing w:line="360" w:lineRule="auto"/>
        <w:jc w:val="both"/>
        <w:rPr>
          <w:rFonts w:ascii="Palatino Linotype" w:eastAsia="Palatino Linotype" w:hAnsi="Palatino Linotype" w:cs="Palatino Linotype"/>
        </w:rPr>
      </w:pPr>
      <w:r w:rsidRPr="000A5C3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w:t>
      </w:r>
    </w:p>
    <w:p w:rsidR="000D1908" w:rsidRDefault="002122F0" w:rsidP="000A5C3B">
      <w:pPr>
        <w:tabs>
          <w:tab w:val="left" w:pos="2325"/>
        </w:tabs>
        <w:spacing w:line="360" w:lineRule="auto"/>
        <w:jc w:val="both"/>
        <w:rPr>
          <w:rFonts w:ascii="Palatino Linotype" w:eastAsia="Palatino Linotype" w:hAnsi="Palatino Linotype" w:cs="Palatino Linotype"/>
          <w:sz w:val="16"/>
          <w:szCs w:val="16"/>
        </w:rPr>
      </w:pPr>
      <w:r w:rsidRPr="000A5C3B">
        <w:rPr>
          <w:rFonts w:ascii="Palatino Linotype" w:eastAsia="Palatino Linotype" w:hAnsi="Palatino Linotype" w:cs="Palatino Linotype"/>
          <w:sz w:val="16"/>
          <w:szCs w:val="16"/>
        </w:rPr>
        <w:t>SCMM/AGZ/DEMF/DLM</w:t>
      </w: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p w:rsidR="000D1908" w:rsidRDefault="000D1908" w:rsidP="000A5C3B">
      <w:pPr>
        <w:spacing w:line="360" w:lineRule="auto"/>
        <w:rPr>
          <w:rFonts w:ascii="Palatino Linotype" w:eastAsia="Palatino Linotype" w:hAnsi="Palatino Linotype" w:cs="Palatino Linotype"/>
          <w:b/>
        </w:rPr>
      </w:pPr>
    </w:p>
    <w:sectPr w:rsidR="000D1908">
      <w:headerReference w:type="even" r:id="rId8"/>
      <w:headerReference w:type="default" r:id="rId9"/>
      <w:footerReference w:type="default" r:id="rId10"/>
      <w:headerReference w:type="first" r:id="rId11"/>
      <w:footerReference w:type="first" r:id="rId12"/>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2F0" w:rsidRDefault="002122F0">
      <w:r>
        <w:separator/>
      </w:r>
    </w:p>
  </w:endnote>
  <w:endnote w:type="continuationSeparator" w:id="0">
    <w:p w:rsidR="002122F0" w:rsidRDefault="0021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08" w:rsidRDefault="002122F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A074E">
      <w:rPr>
        <w:rFonts w:ascii="Palatino Linotype" w:eastAsia="Palatino Linotype" w:hAnsi="Palatino Linotype" w:cs="Palatino Linotype"/>
        <w:noProof/>
        <w:color w:val="000000"/>
        <w:sz w:val="22"/>
        <w:szCs w:val="22"/>
      </w:rPr>
      <w:t>17</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A074E">
      <w:rPr>
        <w:rFonts w:ascii="Palatino Linotype" w:eastAsia="Palatino Linotype" w:hAnsi="Palatino Linotype" w:cs="Palatino Linotype"/>
        <w:noProof/>
        <w:color w:val="000000"/>
        <w:sz w:val="22"/>
        <w:szCs w:val="22"/>
      </w:rPr>
      <w:t>17</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08" w:rsidRDefault="002122F0">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A074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A074E">
      <w:rPr>
        <w:rFonts w:ascii="Palatino Linotype" w:eastAsia="Palatino Linotype" w:hAnsi="Palatino Linotype" w:cs="Palatino Linotype"/>
        <w:noProof/>
        <w:color w:val="000000"/>
        <w:sz w:val="22"/>
        <w:szCs w:val="22"/>
      </w:rPr>
      <w:t>17</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2F0" w:rsidRDefault="002122F0">
      <w:r>
        <w:separator/>
      </w:r>
    </w:p>
  </w:footnote>
  <w:footnote w:type="continuationSeparator" w:id="0">
    <w:p w:rsidR="002122F0" w:rsidRDefault="002122F0">
      <w:r>
        <w:continuationSeparator/>
      </w:r>
    </w:p>
  </w:footnote>
  <w:footnote w:id="1">
    <w:p w:rsidR="000D1908" w:rsidRDefault="002122F0">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libri" w:eastAsia="Calibri" w:hAnsi="Calibri" w:cs="Calibri"/>
          <w:color w:val="000000"/>
          <w:sz w:val="16"/>
          <w:szCs w:val="16"/>
        </w:rPr>
        <w:t xml:space="preserve"> 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08" w:rsidRDefault="00FA074E">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08" w:rsidRDefault="00FA074E">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02319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42pt;margin-top:-92.35pt;width:540pt;height:10in;z-index:-251659776;mso-position-horizontal:absolute;mso-position-horizontal-relative:margin;mso-position-vertical:absolute;mso-position-vertical-relative:margin">
          <v:imagedata r:id="rId1" o:title="image2"/>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0D1908">
      <w:tc>
        <w:tcPr>
          <w:tcW w:w="3261" w:type="dxa"/>
          <w:vMerge w:val="restart"/>
        </w:tcPr>
        <w:p w:rsidR="000D1908" w:rsidRDefault="002122F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extent cx="1692162" cy="852673"/>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rsidR="000D1908" w:rsidRDefault="002122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rsidR="000D1908" w:rsidRDefault="002122F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00177/INFOEM/IP/RR/2024</w:t>
          </w:r>
        </w:p>
      </w:tc>
    </w:tr>
    <w:tr w:rsidR="000D1908">
      <w:tc>
        <w:tcPr>
          <w:tcW w:w="3261" w:type="dxa"/>
          <w:vMerge/>
        </w:tcPr>
        <w:p w:rsidR="000D1908" w:rsidRDefault="000D190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rsidR="000D1908" w:rsidRDefault="002122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rsidR="000D1908" w:rsidRDefault="002122F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0D1908">
      <w:trPr>
        <w:trHeight w:val="228"/>
      </w:trPr>
      <w:tc>
        <w:tcPr>
          <w:tcW w:w="3261" w:type="dxa"/>
          <w:vMerge/>
        </w:tcPr>
        <w:p w:rsidR="000D1908" w:rsidRDefault="000D190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rsidR="000D1908" w:rsidRDefault="002122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rsidR="000D1908" w:rsidRDefault="002122F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0D1908" w:rsidRDefault="000D1908">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08" w:rsidRDefault="00FA074E">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2"/>
      <w:tblW w:w="10490" w:type="dxa"/>
      <w:tblInd w:w="-1276" w:type="dxa"/>
      <w:tblLayout w:type="fixed"/>
      <w:tblLook w:val="0400" w:firstRow="0" w:lastRow="0" w:firstColumn="0" w:lastColumn="0" w:noHBand="0" w:noVBand="1"/>
    </w:tblPr>
    <w:tblGrid>
      <w:gridCol w:w="4253"/>
      <w:gridCol w:w="2552"/>
      <w:gridCol w:w="3685"/>
    </w:tblGrid>
    <w:tr w:rsidR="000D1908">
      <w:tc>
        <w:tcPr>
          <w:tcW w:w="4253" w:type="dxa"/>
          <w:vMerge w:val="restart"/>
          <w:shd w:val="clear" w:color="auto" w:fill="auto"/>
        </w:tcPr>
        <w:p w:rsidR="000D1908" w:rsidRDefault="002122F0">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extent cx="1692162" cy="852673"/>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rsidR="000D1908" w:rsidRDefault="002122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rsidR="000D1908" w:rsidRDefault="002122F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00177/INFOEM/IP/RR/2024</w:t>
          </w:r>
        </w:p>
      </w:tc>
    </w:tr>
    <w:tr w:rsidR="000D1908">
      <w:tc>
        <w:tcPr>
          <w:tcW w:w="4253" w:type="dxa"/>
          <w:vMerge/>
          <w:shd w:val="clear" w:color="auto" w:fill="auto"/>
        </w:tcPr>
        <w:p w:rsidR="000D1908" w:rsidRDefault="000D190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0D1908" w:rsidRDefault="002122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rsidR="000D1908" w:rsidRDefault="000D1908">
          <w:pPr>
            <w:jc w:val="both"/>
            <w:rPr>
              <w:rFonts w:ascii="Palatino Linotype" w:eastAsia="Palatino Linotype" w:hAnsi="Palatino Linotype" w:cs="Palatino Linotype"/>
              <w:b/>
              <w:sz w:val="22"/>
              <w:szCs w:val="22"/>
            </w:rPr>
          </w:pPr>
        </w:p>
      </w:tc>
    </w:tr>
    <w:tr w:rsidR="000D1908">
      <w:trPr>
        <w:trHeight w:val="228"/>
      </w:trPr>
      <w:tc>
        <w:tcPr>
          <w:tcW w:w="4253" w:type="dxa"/>
          <w:vMerge/>
          <w:shd w:val="clear" w:color="auto" w:fill="auto"/>
        </w:tcPr>
        <w:p w:rsidR="000D1908" w:rsidRDefault="000D190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0D1908" w:rsidRDefault="002122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rsidR="000D1908" w:rsidRDefault="002122F0">
          <w:pPr>
            <w:jc w:val="both"/>
          </w:pPr>
          <w:r>
            <w:rPr>
              <w:rFonts w:ascii="Palatino Linotype" w:eastAsia="Palatino Linotype" w:hAnsi="Palatino Linotype" w:cs="Palatino Linotype"/>
              <w:b/>
              <w:sz w:val="22"/>
              <w:szCs w:val="22"/>
            </w:rPr>
            <w:t>Ayuntamiento de Zinacantepec</w:t>
          </w:r>
        </w:p>
      </w:tc>
    </w:tr>
    <w:tr w:rsidR="000D1908">
      <w:tc>
        <w:tcPr>
          <w:tcW w:w="4253" w:type="dxa"/>
          <w:vMerge/>
          <w:shd w:val="clear" w:color="auto" w:fill="auto"/>
        </w:tcPr>
        <w:p w:rsidR="000D1908" w:rsidRDefault="000D1908">
          <w:pPr>
            <w:widowControl w:val="0"/>
            <w:pBdr>
              <w:top w:val="nil"/>
              <w:left w:val="nil"/>
              <w:bottom w:val="nil"/>
              <w:right w:val="nil"/>
              <w:between w:val="nil"/>
            </w:pBdr>
            <w:spacing w:line="276" w:lineRule="auto"/>
          </w:pPr>
        </w:p>
      </w:tc>
      <w:tc>
        <w:tcPr>
          <w:tcW w:w="2552" w:type="dxa"/>
          <w:shd w:val="clear" w:color="auto" w:fill="auto"/>
        </w:tcPr>
        <w:p w:rsidR="000D1908" w:rsidRDefault="002122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rsidR="000D1908" w:rsidRDefault="002122F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0D1908" w:rsidRDefault="000D1908">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667A8"/>
    <w:multiLevelType w:val="multilevel"/>
    <w:tmpl w:val="B202A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08"/>
    <w:rsid w:val="000A5C3B"/>
    <w:rsid w:val="000D1908"/>
    <w:rsid w:val="002122F0"/>
    <w:rsid w:val="00FA074E"/>
    <w:rsid w:val="00FD5D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F6F3A4C-64B9-476B-91EA-0EF3F66C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B1">
    <w:name w:val="ADB1"/>
    <w:basedOn w:val="Normal"/>
    <w:next w:val="Textonotapie"/>
    <w:uiPriority w:val="99"/>
    <w:unhideWhenUsed/>
    <w:qFormat/>
    <w:rsid w:val="006C151C"/>
    <w:rPr>
      <w:rFonts w:asciiTheme="minorHAnsi" w:eastAsiaTheme="minorEastAsia" w:hAnsiTheme="minorHAnsi"/>
      <w:kern w:val="2"/>
      <w:sz w:val="20"/>
      <w:szCs w:val="20"/>
      <w:lang w:eastAsia="en-US"/>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rbq25l9hpJUY/8SK4XJWBPHzKQ==">CgMxLjAyCWguM3pueXNoNzIIaC5namRneHM4AHIhMTdSUWU4YzZyWlJuSE81S1l1clBULXBZZzk5TzZiRm1V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3640</Words>
  <Characters>20023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4</cp:revision>
  <cp:lastPrinted>2024-02-15T23:40:00Z</cp:lastPrinted>
  <dcterms:created xsi:type="dcterms:W3CDTF">2024-02-08T01:07:00Z</dcterms:created>
  <dcterms:modified xsi:type="dcterms:W3CDTF">2024-02-15T23:40:00Z</dcterms:modified>
</cp:coreProperties>
</file>