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2"/>
          <w:lang w:val="es-ES" w:eastAsia="es-ES"/>
        </w:rPr>
        <w:id w:val="1492215735"/>
        <w:docPartObj>
          <w:docPartGallery w:val="Table of Contents"/>
          <w:docPartUnique/>
        </w:docPartObj>
      </w:sdtPr>
      <w:sdtEndPr>
        <w:rPr>
          <w:b/>
          <w:bCs/>
        </w:rPr>
      </w:sdtEndPr>
      <w:sdtContent>
        <w:p w14:paraId="1AE18B79" w14:textId="6B195B53" w:rsidR="00AE3DA7" w:rsidRPr="00FD4F09" w:rsidRDefault="00AE3DA7" w:rsidP="00FD4F09">
          <w:pPr>
            <w:pStyle w:val="TtulodeTDC"/>
            <w:spacing w:before="0" w:line="240" w:lineRule="auto"/>
            <w:rPr>
              <w:rFonts w:ascii="Palatino Linotype" w:hAnsi="Palatino Linotype"/>
              <w:color w:val="auto"/>
              <w:sz w:val="22"/>
              <w:szCs w:val="22"/>
              <w:lang w:val="es-ES"/>
            </w:rPr>
          </w:pPr>
          <w:r w:rsidRPr="00FD4F09">
            <w:rPr>
              <w:rFonts w:ascii="Palatino Linotype" w:hAnsi="Palatino Linotype"/>
              <w:color w:val="auto"/>
              <w:sz w:val="22"/>
              <w:szCs w:val="22"/>
              <w:lang w:val="es-ES"/>
            </w:rPr>
            <w:t>Contenido</w:t>
          </w:r>
        </w:p>
        <w:p w14:paraId="3EB312A7" w14:textId="77777777" w:rsidR="00AA6EA9" w:rsidRPr="00FD4F09" w:rsidRDefault="00AA6EA9" w:rsidP="00FD4F09">
          <w:pPr>
            <w:spacing w:line="240" w:lineRule="auto"/>
            <w:rPr>
              <w:szCs w:val="22"/>
              <w:lang w:val="es-ES" w:eastAsia="es-MX"/>
            </w:rPr>
          </w:pPr>
        </w:p>
        <w:p w14:paraId="40B3838C" w14:textId="22E8E0FE" w:rsidR="00FD4F09" w:rsidRDefault="00AE3DA7">
          <w:pPr>
            <w:pStyle w:val="TDC1"/>
            <w:tabs>
              <w:tab w:val="right" w:leader="dot" w:pos="9034"/>
            </w:tabs>
            <w:rPr>
              <w:rFonts w:asciiTheme="minorHAnsi" w:eastAsiaTheme="minorEastAsia" w:hAnsiTheme="minorHAnsi" w:cstheme="minorBidi"/>
              <w:noProof/>
              <w:szCs w:val="22"/>
              <w:lang w:eastAsia="es-MX"/>
            </w:rPr>
          </w:pPr>
          <w:r w:rsidRPr="00FD4F09">
            <w:rPr>
              <w:szCs w:val="22"/>
            </w:rPr>
            <w:fldChar w:fldCharType="begin"/>
          </w:r>
          <w:r w:rsidRPr="00FD4F09">
            <w:rPr>
              <w:szCs w:val="22"/>
            </w:rPr>
            <w:instrText xml:space="preserve"> TOC \o "1-3" \h \z \u </w:instrText>
          </w:r>
          <w:r w:rsidRPr="00FD4F09">
            <w:rPr>
              <w:szCs w:val="22"/>
            </w:rPr>
            <w:fldChar w:fldCharType="separate"/>
          </w:r>
          <w:hyperlink w:anchor="_Toc178879254" w:history="1">
            <w:r w:rsidR="00FD4F09" w:rsidRPr="007C73DF">
              <w:rPr>
                <w:rStyle w:val="Hipervnculo"/>
                <w:noProof/>
              </w:rPr>
              <w:t>ANTECEDENTES</w:t>
            </w:r>
            <w:r w:rsidR="00FD4F09">
              <w:rPr>
                <w:noProof/>
                <w:webHidden/>
              </w:rPr>
              <w:tab/>
            </w:r>
            <w:r w:rsidR="00FD4F09">
              <w:rPr>
                <w:noProof/>
                <w:webHidden/>
              </w:rPr>
              <w:fldChar w:fldCharType="begin"/>
            </w:r>
            <w:r w:rsidR="00FD4F09">
              <w:rPr>
                <w:noProof/>
                <w:webHidden/>
              </w:rPr>
              <w:instrText xml:space="preserve"> PAGEREF _Toc178879254 \h </w:instrText>
            </w:r>
            <w:r w:rsidR="00FD4F09">
              <w:rPr>
                <w:noProof/>
                <w:webHidden/>
              </w:rPr>
            </w:r>
            <w:r w:rsidR="00FD4F09">
              <w:rPr>
                <w:noProof/>
                <w:webHidden/>
              </w:rPr>
              <w:fldChar w:fldCharType="separate"/>
            </w:r>
            <w:r w:rsidR="003A473C">
              <w:rPr>
                <w:noProof/>
                <w:webHidden/>
              </w:rPr>
              <w:t>1</w:t>
            </w:r>
            <w:r w:rsidR="00FD4F09">
              <w:rPr>
                <w:noProof/>
                <w:webHidden/>
              </w:rPr>
              <w:fldChar w:fldCharType="end"/>
            </w:r>
          </w:hyperlink>
        </w:p>
        <w:p w14:paraId="41CA67F4" w14:textId="4E6718EC" w:rsidR="00FD4F09" w:rsidRDefault="00DF2490">
          <w:pPr>
            <w:pStyle w:val="TDC2"/>
            <w:rPr>
              <w:rFonts w:asciiTheme="minorHAnsi" w:eastAsiaTheme="minorEastAsia" w:hAnsiTheme="minorHAnsi" w:cstheme="minorBidi"/>
              <w:noProof/>
              <w:szCs w:val="22"/>
              <w:lang w:eastAsia="es-MX"/>
            </w:rPr>
          </w:pPr>
          <w:hyperlink w:anchor="_Toc178879255" w:history="1">
            <w:r w:rsidR="00FD4F09" w:rsidRPr="007C73DF">
              <w:rPr>
                <w:rStyle w:val="Hipervnculo"/>
                <w:noProof/>
              </w:rPr>
              <w:t>DE LA SOLICITUD DE INFORMACIÓN</w:t>
            </w:r>
            <w:r w:rsidR="00FD4F09">
              <w:rPr>
                <w:noProof/>
                <w:webHidden/>
              </w:rPr>
              <w:tab/>
            </w:r>
            <w:r w:rsidR="00FD4F09">
              <w:rPr>
                <w:noProof/>
                <w:webHidden/>
              </w:rPr>
              <w:fldChar w:fldCharType="begin"/>
            </w:r>
            <w:r w:rsidR="00FD4F09">
              <w:rPr>
                <w:noProof/>
                <w:webHidden/>
              </w:rPr>
              <w:instrText xml:space="preserve"> PAGEREF _Toc178879255 \h </w:instrText>
            </w:r>
            <w:r w:rsidR="00FD4F09">
              <w:rPr>
                <w:noProof/>
                <w:webHidden/>
              </w:rPr>
            </w:r>
            <w:r w:rsidR="00FD4F09">
              <w:rPr>
                <w:noProof/>
                <w:webHidden/>
              </w:rPr>
              <w:fldChar w:fldCharType="separate"/>
            </w:r>
            <w:r w:rsidR="003A473C">
              <w:rPr>
                <w:noProof/>
                <w:webHidden/>
              </w:rPr>
              <w:t>1</w:t>
            </w:r>
            <w:r w:rsidR="00FD4F09">
              <w:rPr>
                <w:noProof/>
                <w:webHidden/>
              </w:rPr>
              <w:fldChar w:fldCharType="end"/>
            </w:r>
          </w:hyperlink>
        </w:p>
        <w:p w14:paraId="0D02CA2B" w14:textId="76A27029" w:rsidR="00FD4F09" w:rsidRDefault="00DF2490">
          <w:pPr>
            <w:pStyle w:val="TDC3"/>
            <w:rPr>
              <w:rFonts w:asciiTheme="minorHAnsi" w:eastAsiaTheme="minorEastAsia" w:hAnsiTheme="minorHAnsi" w:cstheme="minorBidi"/>
              <w:noProof/>
              <w:szCs w:val="22"/>
              <w:lang w:eastAsia="es-MX"/>
            </w:rPr>
          </w:pPr>
          <w:hyperlink w:anchor="_Toc178879256" w:history="1">
            <w:r w:rsidR="00FD4F09" w:rsidRPr="007C73DF">
              <w:rPr>
                <w:rStyle w:val="Hipervnculo"/>
                <w:noProof/>
              </w:rPr>
              <w:t>a) Solicitud de información</w:t>
            </w:r>
            <w:r w:rsidR="00FD4F09">
              <w:rPr>
                <w:noProof/>
                <w:webHidden/>
              </w:rPr>
              <w:tab/>
            </w:r>
            <w:r w:rsidR="00FD4F09">
              <w:rPr>
                <w:noProof/>
                <w:webHidden/>
              </w:rPr>
              <w:fldChar w:fldCharType="begin"/>
            </w:r>
            <w:r w:rsidR="00FD4F09">
              <w:rPr>
                <w:noProof/>
                <w:webHidden/>
              </w:rPr>
              <w:instrText xml:space="preserve"> PAGEREF _Toc178879256 \h </w:instrText>
            </w:r>
            <w:r w:rsidR="00FD4F09">
              <w:rPr>
                <w:noProof/>
                <w:webHidden/>
              </w:rPr>
            </w:r>
            <w:r w:rsidR="00FD4F09">
              <w:rPr>
                <w:noProof/>
                <w:webHidden/>
              </w:rPr>
              <w:fldChar w:fldCharType="separate"/>
            </w:r>
            <w:r w:rsidR="003A473C">
              <w:rPr>
                <w:noProof/>
                <w:webHidden/>
              </w:rPr>
              <w:t>1</w:t>
            </w:r>
            <w:r w:rsidR="00FD4F09">
              <w:rPr>
                <w:noProof/>
                <w:webHidden/>
              </w:rPr>
              <w:fldChar w:fldCharType="end"/>
            </w:r>
          </w:hyperlink>
        </w:p>
        <w:p w14:paraId="3F1294E2" w14:textId="63196F5D" w:rsidR="00FD4F09" w:rsidRDefault="00DF2490">
          <w:pPr>
            <w:pStyle w:val="TDC3"/>
            <w:rPr>
              <w:rFonts w:asciiTheme="minorHAnsi" w:eastAsiaTheme="minorEastAsia" w:hAnsiTheme="minorHAnsi" w:cstheme="minorBidi"/>
              <w:noProof/>
              <w:szCs w:val="22"/>
              <w:lang w:eastAsia="es-MX"/>
            </w:rPr>
          </w:pPr>
          <w:hyperlink w:anchor="_Toc178879257" w:history="1">
            <w:r w:rsidR="00FD4F09" w:rsidRPr="007C73DF">
              <w:rPr>
                <w:rStyle w:val="Hipervnculo"/>
                <w:noProof/>
              </w:rPr>
              <w:t xml:space="preserve">b) </w:t>
            </w:r>
            <w:r w:rsidR="00FD4F09" w:rsidRPr="007C73DF">
              <w:rPr>
                <w:rStyle w:val="Hipervnculo"/>
                <w:noProof/>
                <w:lang w:val="es-ES"/>
              </w:rPr>
              <w:t xml:space="preserve">Respuesta </w:t>
            </w:r>
            <w:r w:rsidR="00FD4F09" w:rsidRPr="007C73DF">
              <w:rPr>
                <w:rStyle w:val="Hipervnculo"/>
                <w:rFonts w:eastAsia="Calibri"/>
                <w:noProof/>
                <w:lang w:eastAsia="en-US"/>
              </w:rPr>
              <w:t>del Sujeto Obligado</w:t>
            </w:r>
            <w:r w:rsidR="00FD4F09">
              <w:rPr>
                <w:noProof/>
                <w:webHidden/>
              </w:rPr>
              <w:tab/>
            </w:r>
            <w:r w:rsidR="00FD4F09">
              <w:rPr>
                <w:noProof/>
                <w:webHidden/>
              </w:rPr>
              <w:fldChar w:fldCharType="begin"/>
            </w:r>
            <w:r w:rsidR="00FD4F09">
              <w:rPr>
                <w:noProof/>
                <w:webHidden/>
              </w:rPr>
              <w:instrText xml:space="preserve"> PAGEREF _Toc178879257 \h </w:instrText>
            </w:r>
            <w:r w:rsidR="00FD4F09">
              <w:rPr>
                <w:noProof/>
                <w:webHidden/>
              </w:rPr>
            </w:r>
            <w:r w:rsidR="00FD4F09">
              <w:rPr>
                <w:noProof/>
                <w:webHidden/>
              </w:rPr>
              <w:fldChar w:fldCharType="separate"/>
            </w:r>
            <w:r w:rsidR="003A473C">
              <w:rPr>
                <w:noProof/>
                <w:webHidden/>
              </w:rPr>
              <w:t>2</w:t>
            </w:r>
            <w:r w:rsidR="00FD4F09">
              <w:rPr>
                <w:noProof/>
                <w:webHidden/>
              </w:rPr>
              <w:fldChar w:fldCharType="end"/>
            </w:r>
          </w:hyperlink>
        </w:p>
        <w:p w14:paraId="46E683F5" w14:textId="3CDDC08B" w:rsidR="00FD4F09" w:rsidRDefault="00DF2490">
          <w:pPr>
            <w:pStyle w:val="TDC2"/>
            <w:rPr>
              <w:rFonts w:asciiTheme="minorHAnsi" w:eastAsiaTheme="minorEastAsia" w:hAnsiTheme="minorHAnsi" w:cstheme="minorBidi"/>
              <w:noProof/>
              <w:szCs w:val="22"/>
              <w:lang w:eastAsia="es-MX"/>
            </w:rPr>
          </w:pPr>
          <w:hyperlink w:anchor="_Toc178879258" w:history="1">
            <w:r w:rsidR="00FD4F09" w:rsidRPr="007C73DF">
              <w:rPr>
                <w:rStyle w:val="Hipervnculo"/>
                <w:noProof/>
              </w:rPr>
              <w:t>DEL RECURSO DE REVISIÓN</w:t>
            </w:r>
            <w:r w:rsidR="00FD4F09">
              <w:rPr>
                <w:noProof/>
                <w:webHidden/>
              </w:rPr>
              <w:tab/>
            </w:r>
            <w:r w:rsidR="00FD4F09">
              <w:rPr>
                <w:noProof/>
                <w:webHidden/>
              </w:rPr>
              <w:fldChar w:fldCharType="begin"/>
            </w:r>
            <w:r w:rsidR="00FD4F09">
              <w:rPr>
                <w:noProof/>
                <w:webHidden/>
              </w:rPr>
              <w:instrText xml:space="preserve"> PAGEREF _Toc178879258 \h </w:instrText>
            </w:r>
            <w:r w:rsidR="00FD4F09">
              <w:rPr>
                <w:noProof/>
                <w:webHidden/>
              </w:rPr>
            </w:r>
            <w:r w:rsidR="00FD4F09">
              <w:rPr>
                <w:noProof/>
                <w:webHidden/>
              </w:rPr>
              <w:fldChar w:fldCharType="separate"/>
            </w:r>
            <w:r w:rsidR="003A473C">
              <w:rPr>
                <w:noProof/>
                <w:webHidden/>
              </w:rPr>
              <w:t>3</w:t>
            </w:r>
            <w:r w:rsidR="00FD4F09">
              <w:rPr>
                <w:noProof/>
                <w:webHidden/>
              </w:rPr>
              <w:fldChar w:fldCharType="end"/>
            </w:r>
          </w:hyperlink>
        </w:p>
        <w:p w14:paraId="14613063" w14:textId="4A2B5E9F" w:rsidR="00FD4F09" w:rsidRDefault="00DF2490">
          <w:pPr>
            <w:pStyle w:val="TDC3"/>
            <w:rPr>
              <w:rFonts w:asciiTheme="minorHAnsi" w:eastAsiaTheme="minorEastAsia" w:hAnsiTheme="minorHAnsi" w:cstheme="minorBidi"/>
              <w:noProof/>
              <w:szCs w:val="22"/>
              <w:lang w:eastAsia="es-MX"/>
            </w:rPr>
          </w:pPr>
          <w:hyperlink w:anchor="_Toc178879259" w:history="1">
            <w:r w:rsidR="00FD4F09" w:rsidRPr="007C73DF">
              <w:rPr>
                <w:rStyle w:val="Hipervnculo"/>
                <w:noProof/>
              </w:rPr>
              <w:t>a) Interposición del Recurso de Revisión</w:t>
            </w:r>
            <w:r w:rsidR="00FD4F09">
              <w:rPr>
                <w:noProof/>
                <w:webHidden/>
              </w:rPr>
              <w:tab/>
            </w:r>
            <w:r w:rsidR="00FD4F09">
              <w:rPr>
                <w:noProof/>
                <w:webHidden/>
              </w:rPr>
              <w:fldChar w:fldCharType="begin"/>
            </w:r>
            <w:r w:rsidR="00FD4F09">
              <w:rPr>
                <w:noProof/>
                <w:webHidden/>
              </w:rPr>
              <w:instrText xml:space="preserve"> PAGEREF _Toc178879259 \h </w:instrText>
            </w:r>
            <w:r w:rsidR="00FD4F09">
              <w:rPr>
                <w:noProof/>
                <w:webHidden/>
              </w:rPr>
            </w:r>
            <w:r w:rsidR="00FD4F09">
              <w:rPr>
                <w:noProof/>
                <w:webHidden/>
              </w:rPr>
              <w:fldChar w:fldCharType="separate"/>
            </w:r>
            <w:r w:rsidR="003A473C">
              <w:rPr>
                <w:noProof/>
                <w:webHidden/>
              </w:rPr>
              <w:t>3</w:t>
            </w:r>
            <w:r w:rsidR="00FD4F09">
              <w:rPr>
                <w:noProof/>
                <w:webHidden/>
              </w:rPr>
              <w:fldChar w:fldCharType="end"/>
            </w:r>
          </w:hyperlink>
        </w:p>
        <w:p w14:paraId="6F8A0C65" w14:textId="61DD46A3" w:rsidR="00FD4F09" w:rsidRDefault="00DF2490">
          <w:pPr>
            <w:pStyle w:val="TDC3"/>
            <w:rPr>
              <w:rFonts w:asciiTheme="minorHAnsi" w:eastAsiaTheme="minorEastAsia" w:hAnsiTheme="minorHAnsi" w:cstheme="minorBidi"/>
              <w:noProof/>
              <w:szCs w:val="22"/>
              <w:lang w:eastAsia="es-MX"/>
            </w:rPr>
          </w:pPr>
          <w:hyperlink w:anchor="_Toc178879260" w:history="1">
            <w:r w:rsidR="00FD4F09" w:rsidRPr="007C73DF">
              <w:rPr>
                <w:rStyle w:val="Hipervnculo"/>
                <w:noProof/>
              </w:rPr>
              <w:t>b) Turno del Recurso de Revisión</w:t>
            </w:r>
            <w:r w:rsidR="00FD4F09">
              <w:rPr>
                <w:noProof/>
                <w:webHidden/>
              </w:rPr>
              <w:tab/>
            </w:r>
            <w:r w:rsidR="00FD4F09">
              <w:rPr>
                <w:noProof/>
                <w:webHidden/>
              </w:rPr>
              <w:fldChar w:fldCharType="begin"/>
            </w:r>
            <w:r w:rsidR="00FD4F09">
              <w:rPr>
                <w:noProof/>
                <w:webHidden/>
              </w:rPr>
              <w:instrText xml:space="preserve"> PAGEREF _Toc178879260 \h </w:instrText>
            </w:r>
            <w:r w:rsidR="00FD4F09">
              <w:rPr>
                <w:noProof/>
                <w:webHidden/>
              </w:rPr>
            </w:r>
            <w:r w:rsidR="00FD4F09">
              <w:rPr>
                <w:noProof/>
                <w:webHidden/>
              </w:rPr>
              <w:fldChar w:fldCharType="separate"/>
            </w:r>
            <w:r w:rsidR="003A473C">
              <w:rPr>
                <w:noProof/>
                <w:webHidden/>
              </w:rPr>
              <w:t>3</w:t>
            </w:r>
            <w:r w:rsidR="00FD4F09">
              <w:rPr>
                <w:noProof/>
                <w:webHidden/>
              </w:rPr>
              <w:fldChar w:fldCharType="end"/>
            </w:r>
          </w:hyperlink>
        </w:p>
        <w:p w14:paraId="1E0A7501" w14:textId="11449A93" w:rsidR="00FD4F09" w:rsidRDefault="00DF2490">
          <w:pPr>
            <w:pStyle w:val="TDC3"/>
            <w:rPr>
              <w:rFonts w:asciiTheme="minorHAnsi" w:eastAsiaTheme="minorEastAsia" w:hAnsiTheme="minorHAnsi" w:cstheme="minorBidi"/>
              <w:noProof/>
              <w:szCs w:val="22"/>
              <w:lang w:eastAsia="es-MX"/>
            </w:rPr>
          </w:pPr>
          <w:hyperlink w:anchor="_Toc178879261" w:history="1">
            <w:r w:rsidR="00FD4F09" w:rsidRPr="007C73DF">
              <w:rPr>
                <w:rStyle w:val="Hipervnculo"/>
                <w:noProof/>
              </w:rPr>
              <w:t>c) Admisión del Recurso de Revisión</w:t>
            </w:r>
            <w:r w:rsidR="00FD4F09">
              <w:rPr>
                <w:noProof/>
                <w:webHidden/>
              </w:rPr>
              <w:tab/>
            </w:r>
            <w:r w:rsidR="00FD4F09">
              <w:rPr>
                <w:noProof/>
                <w:webHidden/>
              </w:rPr>
              <w:fldChar w:fldCharType="begin"/>
            </w:r>
            <w:r w:rsidR="00FD4F09">
              <w:rPr>
                <w:noProof/>
                <w:webHidden/>
              </w:rPr>
              <w:instrText xml:space="preserve"> PAGEREF _Toc178879261 \h </w:instrText>
            </w:r>
            <w:r w:rsidR="00FD4F09">
              <w:rPr>
                <w:noProof/>
                <w:webHidden/>
              </w:rPr>
            </w:r>
            <w:r w:rsidR="00FD4F09">
              <w:rPr>
                <w:noProof/>
                <w:webHidden/>
              </w:rPr>
              <w:fldChar w:fldCharType="separate"/>
            </w:r>
            <w:r w:rsidR="003A473C">
              <w:rPr>
                <w:noProof/>
                <w:webHidden/>
              </w:rPr>
              <w:t>4</w:t>
            </w:r>
            <w:r w:rsidR="00FD4F09">
              <w:rPr>
                <w:noProof/>
                <w:webHidden/>
              </w:rPr>
              <w:fldChar w:fldCharType="end"/>
            </w:r>
          </w:hyperlink>
        </w:p>
        <w:p w14:paraId="12377A03" w14:textId="7B65A0CA" w:rsidR="00FD4F09" w:rsidRDefault="00DF2490">
          <w:pPr>
            <w:pStyle w:val="TDC3"/>
            <w:rPr>
              <w:rFonts w:asciiTheme="minorHAnsi" w:eastAsiaTheme="minorEastAsia" w:hAnsiTheme="minorHAnsi" w:cstheme="minorBidi"/>
              <w:noProof/>
              <w:szCs w:val="22"/>
              <w:lang w:eastAsia="es-MX"/>
            </w:rPr>
          </w:pPr>
          <w:hyperlink w:anchor="_Toc178879262" w:history="1">
            <w:r w:rsidR="00FD4F09" w:rsidRPr="007C73DF">
              <w:rPr>
                <w:rStyle w:val="Hipervnculo"/>
                <w:noProof/>
              </w:rPr>
              <w:t>d) Informe Justificado del Sujeto Obligado</w:t>
            </w:r>
            <w:r w:rsidR="00FD4F09">
              <w:rPr>
                <w:noProof/>
                <w:webHidden/>
              </w:rPr>
              <w:tab/>
            </w:r>
            <w:r w:rsidR="00FD4F09">
              <w:rPr>
                <w:noProof/>
                <w:webHidden/>
              </w:rPr>
              <w:fldChar w:fldCharType="begin"/>
            </w:r>
            <w:r w:rsidR="00FD4F09">
              <w:rPr>
                <w:noProof/>
                <w:webHidden/>
              </w:rPr>
              <w:instrText xml:space="preserve"> PAGEREF _Toc178879262 \h </w:instrText>
            </w:r>
            <w:r w:rsidR="00FD4F09">
              <w:rPr>
                <w:noProof/>
                <w:webHidden/>
              </w:rPr>
            </w:r>
            <w:r w:rsidR="00FD4F09">
              <w:rPr>
                <w:noProof/>
                <w:webHidden/>
              </w:rPr>
              <w:fldChar w:fldCharType="separate"/>
            </w:r>
            <w:r w:rsidR="003A473C">
              <w:rPr>
                <w:noProof/>
                <w:webHidden/>
              </w:rPr>
              <w:t>4</w:t>
            </w:r>
            <w:r w:rsidR="00FD4F09">
              <w:rPr>
                <w:noProof/>
                <w:webHidden/>
              </w:rPr>
              <w:fldChar w:fldCharType="end"/>
            </w:r>
          </w:hyperlink>
        </w:p>
        <w:p w14:paraId="755085FA" w14:textId="51B113AD" w:rsidR="00FD4F09" w:rsidRDefault="00DF2490">
          <w:pPr>
            <w:pStyle w:val="TDC3"/>
            <w:rPr>
              <w:rFonts w:asciiTheme="minorHAnsi" w:eastAsiaTheme="minorEastAsia" w:hAnsiTheme="minorHAnsi" w:cstheme="minorBidi"/>
              <w:noProof/>
              <w:szCs w:val="22"/>
              <w:lang w:eastAsia="es-MX"/>
            </w:rPr>
          </w:pPr>
          <w:hyperlink w:anchor="_Toc178879263" w:history="1">
            <w:r w:rsidR="00FD4F09" w:rsidRPr="007C73DF">
              <w:rPr>
                <w:rStyle w:val="Hipervnculo"/>
                <w:rFonts w:eastAsia="Calibri"/>
                <w:bCs/>
                <w:noProof/>
                <w:lang w:eastAsia="en-US"/>
              </w:rPr>
              <w:t>e)</w:t>
            </w:r>
            <w:r w:rsidR="00FD4F09" w:rsidRPr="007C73DF">
              <w:rPr>
                <w:rStyle w:val="Hipervnculo"/>
                <w:noProof/>
              </w:rPr>
              <w:t xml:space="preserve"> </w:t>
            </w:r>
            <w:r w:rsidR="00FD4F09" w:rsidRPr="007C73DF">
              <w:rPr>
                <w:rStyle w:val="Hipervnculo"/>
                <w:noProof/>
                <w:lang w:val="es-ES"/>
              </w:rPr>
              <w:t>Manifestaciones de la Parte Recurrente</w:t>
            </w:r>
            <w:r w:rsidR="00FD4F09">
              <w:rPr>
                <w:noProof/>
                <w:webHidden/>
              </w:rPr>
              <w:tab/>
            </w:r>
            <w:r w:rsidR="00FD4F09">
              <w:rPr>
                <w:noProof/>
                <w:webHidden/>
              </w:rPr>
              <w:fldChar w:fldCharType="begin"/>
            </w:r>
            <w:r w:rsidR="00FD4F09">
              <w:rPr>
                <w:noProof/>
                <w:webHidden/>
              </w:rPr>
              <w:instrText xml:space="preserve"> PAGEREF _Toc178879263 \h </w:instrText>
            </w:r>
            <w:r w:rsidR="00FD4F09">
              <w:rPr>
                <w:noProof/>
                <w:webHidden/>
              </w:rPr>
            </w:r>
            <w:r w:rsidR="00FD4F09">
              <w:rPr>
                <w:noProof/>
                <w:webHidden/>
              </w:rPr>
              <w:fldChar w:fldCharType="separate"/>
            </w:r>
            <w:r w:rsidR="003A473C">
              <w:rPr>
                <w:noProof/>
                <w:webHidden/>
              </w:rPr>
              <w:t>4</w:t>
            </w:r>
            <w:r w:rsidR="00FD4F09">
              <w:rPr>
                <w:noProof/>
                <w:webHidden/>
              </w:rPr>
              <w:fldChar w:fldCharType="end"/>
            </w:r>
          </w:hyperlink>
        </w:p>
        <w:p w14:paraId="2D30AD33" w14:textId="17C34655" w:rsidR="00FD4F09" w:rsidRDefault="00DF2490">
          <w:pPr>
            <w:pStyle w:val="TDC3"/>
            <w:rPr>
              <w:rFonts w:asciiTheme="minorHAnsi" w:eastAsiaTheme="minorEastAsia" w:hAnsiTheme="minorHAnsi" w:cstheme="minorBidi"/>
              <w:noProof/>
              <w:szCs w:val="22"/>
              <w:lang w:eastAsia="es-MX"/>
            </w:rPr>
          </w:pPr>
          <w:hyperlink w:anchor="_Toc178879264" w:history="1">
            <w:r w:rsidR="00FD4F09" w:rsidRPr="007C73DF">
              <w:rPr>
                <w:rStyle w:val="Hipervnculo"/>
                <w:rFonts w:eastAsia="Calibri"/>
                <w:noProof/>
              </w:rPr>
              <w:t xml:space="preserve">f) </w:t>
            </w:r>
            <w:r w:rsidR="00FD4F09" w:rsidRPr="007C73DF">
              <w:rPr>
                <w:rStyle w:val="Hipervnculo"/>
                <w:noProof/>
              </w:rPr>
              <w:t>Cierre de instrucción</w:t>
            </w:r>
            <w:r w:rsidR="00FD4F09">
              <w:rPr>
                <w:noProof/>
                <w:webHidden/>
              </w:rPr>
              <w:tab/>
            </w:r>
            <w:r w:rsidR="00FD4F09">
              <w:rPr>
                <w:noProof/>
                <w:webHidden/>
              </w:rPr>
              <w:fldChar w:fldCharType="begin"/>
            </w:r>
            <w:r w:rsidR="00FD4F09">
              <w:rPr>
                <w:noProof/>
                <w:webHidden/>
              </w:rPr>
              <w:instrText xml:space="preserve"> PAGEREF _Toc178879264 \h </w:instrText>
            </w:r>
            <w:r w:rsidR="00FD4F09">
              <w:rPr>
                <w:noProof/>
                <w:webHidden/>
              </w:rPr>
            </w:r>
            <w:r w:rsidR="00FD4F09">
              <w:rPr>
                <w:noProof/>
                <w:webHidden/>
              </w:rPr>
              <w:fldChar w:fldCharType="separate"/>
            </w:r>
            <w:r w:rsidR="003A473C">
              <w:rPr>
                <w:noProof/>
                <w:webHidden/>
              </w:rPr>
              <w:t>4</w:t>
            </w:r>
            <w:r w:rsidR="00FD4F09">
              <w:rPr>
                <w:noProof/>
                <w:webHidden/>
              </w:rPr>
              <w:fldChar w:fldCharType="end"/>
            </w:r>
          </w:hyperlink>
        </w:p>
        <w:p w14:paraId="3F714E3A" w14:textId="4B825850" w:rsidR="00FD4F09" w:rsidRDefault="00DF2490">
          <w:pPr>
            <w:pStyle w:val="TDC1"/>
            <w:tabs>
              <w:tab w:val="right" w:leader="dot" w:pos="9034"/>
            </w:tabs>
            <w:rPr>
              <w:rFonts w:asciiTheme="minorHAnsi" w:eastAsiaTheme="minorEastAsia" w:hAnsiTheme="minorHAnsi" w:cstheme="minorBidi"/>
              <w:noProof/>
              <w:szCs w:val="22"/>
              <w:lang w:eastAsia="es-MX"/>
            </w:rPr>
          </w:pPr>
          <w:hyperlink w:anchor="_Toc178879265" w:history="1">
            <w:r w:rsidR="00FD4F09" w:rsidRPr="007C73DF">
              <w:rPr>
                <w:rStyle w:val="Hipervnculo"/>
                <w:rFonts w:eastAsiaTheme="minorHAnsi"/>
                <w:noProof/>
                <w:lang w:eastAsia="en-US"/>
              </w:rPr>
              <w:t>CONSIDERANDOS</w:t>
            </w:r>
            <w:r w:rsidR="00FD4F09">
              <w:rPr>
                <w:noProof/>
                <w:webHidden/>
              </w:rPr>
              <w:tab/>
            </w:r>
            <w:r w:rsidR="00FD4F09">
              <w:rPr>
                <w:noProof/>
                <w:webHidden/>
              </w:rPr>
              <w:fldChar w:fldCharType="begin"/>
            </w:r>
            <w:r w:rsidR="00FD4F09">
              <w:rPr>
                <w:noProof/>
                <w:webHidden/>
              </w:rPr>
              <w:instrText xml:space="preserve"> PAGEREF _Toc178879265 \h </w:instrText>
            </w:r>
            <w:r w:rsidR="00FD4F09">
              <w:rPr>
                <w:noProof/>
                <w:webHidden/>
              </w:rPr>
            </w:r>
            <w:r w:rsidR="00FD4F09">
              <w:rPr>
                <w:noProof/>
                <w:webHidden/>
              </w:rPr>
              <w:fldChar w:fldCharType="separate"/>
            </w:r>
            <w:r w:rsidR="003A473C">
              <w:rPr>
                <w:noProof/>
                <w:webHidden/>
              </w:rPr>
              <w:t>5</w:t>
            </w:r>
            <w:r w:rsidR="00FD4F09">
              <w:rPr>
                <w:noProof/>
                <w:webHidden/>
              </w:rPr>
              <w:fldChar w:fldCharType="end"/>
            </w:r>
          </w:hyperlink>
        </w:p>
        <w:p w14:paraId="78D2D298" w14:textId="7E3B7C49" w:rsidR="00FD4F09" w:rsidRDefault="00DF2490">
          <w:pPr>
            <w:pStyle w:val="TDC2"/>
            <w:rPr>
              <w:rFonts w:asciiTheme="minorHAnsi" w:eastAsiaTheme="minorEastAsia" w:hAnsiTheme="minorHAnsi" w:cstheme="minorBidi"/>
              <w:noProof/>
              <w:szCs w:val="22"/>
              <w:lang w:eastAsia="es-MX"/>
            </w:rPr>
          </w:pPr>
          <w:hyperlink w:anchor="_Toc178879266" w:history="1">
            <w:r w:rsidR="00FD4F09" w:rsidRPr="007C73DF">
              <w:rPr>
                <w:rStyle w:val="Hipervnculo"/>
                <w:rFonts w:eastAsia="Batang"/>
                <w:noProof/>
              </w:rPr>
              <w:t>PRIMERO. Procedibilidad</w:t>
            </w:r>
            <w:r w:rsidR="00FD4F09">
              <w:rPr>
                <w:noProof/>
                <w:webHidden/>
              </w:rPr>
              <w:tab/>
            </w:r>
            <w:r w:rsidR="00FD4F09">
              <w:rPr>
                <w:noProof/>
                <w:webHidden/>
              </w:rPr>
              <w:fldChar w:fldCharType="begin"/>
            </w:r>
            <w:r w:rsidR="00FD4F09">
              <w:rPr>
                <w:noProof/>
                <w:webHidden/>
              </w:rPr>
              <w:instrText xml:space="preserve"> PAGEREF _Toc178879266 \h </w:instrText>
            </w:r>
            <w:r w:rsidR="00FD4F09">
              <w:rPr>
                <w:noProof/>
                <w:webHidden/>
              </w:rPr>
            </w:r>
            <w:r w:rsidR="00FD4F09">
              <w:rPr>
                <w:noProof/>
                <w:webHidden/>
              </w:rPr>
              <w:fldChar w:fldCharType="separate"/>
            </w:r>
            <w:r w:rsidR="003A473C">
              <w:rPr>
                <w:noProof/>
                <w:webHidden/>
              </w:rPr>
              <w:t>5</w:t>
            </w:r>
            <w:r w:rsidR="00FD4F09">
              <w:rPr>
                <w:noProof/>
                <w:webHidden/>
              </w:rPr>
              <w:fldChar w:fldCharType="end"/>
            </w:r>
          </w:hyperlink>
        </w:p>
        <w:p w14:paraId="4AE61504" w14:textId="27DE3093" w:rsidR="00FD4F09" w:rsidRDefault="00DF2490">
          <w:pPr>
            <w:pStyle w:val="TDC3"/>
            <w:rPr>
              <w:rFonts w:asciiTheme="minorHAnsi" w:eastAsiaTheme="minorEastAsia" w:hAnsiTheme="minorHAnsi" w:cstheme="minorBidi"/>
              <w:noProof/>
              <w:szCs w:val="22"/>
              <w:lang w:eastAsia="es-MX"/>
            </w:rPr>
          </w:pPr>
          <w:hyperlink w:anchor="_Toc178879267" w:history="1">
            <w:r w:rsidR="00FD4F09" w:rsidRPr="007C73DF">
              <w:rPr>
                <w:rStyle w:val="Hipervnculo"/>
                <w:noProof/>
              </w:rPr>
              <w:t>a) Competencia del Instituto</w:t>
            </w:r>
            <w:r w:rsidR="00FD4F09">
              <w:rPr>
                <w:noProof/>
                <w:webHidden/>
              </w:rPr>
              <w:tab/>
            </w:r>
            <w:r w:rsidR="00FD4F09">
              <w:rPr>
                <w:noProof/>
                <w:webHidden/>
              </w:rPr>
              <w:fldChar w:fldCharType="begin"/>
            </w:r>
            <w:r w:rsidR="00FD4F09">
              <w:rPr>
                <w:noProof/>
                <w:webHidden/>
              </w:rPr>
              <w:instrText xml:space="preserve"> PAGEREF _Toc178879267 \h </w:instrText>
            </w:r>
            <w:r w:rsidR="00FD4F09">
              <w:rPr>
                <w:noProof/>
                <w:webHidden/>
              </w:rPr>
            </w:r>
            <w:r w:rsidR="00FD4F09">
              <w:rPr>
                <w:noProof/>
                <w:webHidden/>
              </w:rPr>
              <w:fldChar w:fldCharType="separate"/>
            </w:r>
            <w:r w:rsidR="003A473C">
              <w:rPr>
                <w:noProof/>
                <w:webHidden/>
              </w:rPr>
              <w:t>5</w:t>
            </w:r>
            <w:r w:rsidR="00FD4F09">
              <w:rPr>
                <w:noProof/>
                <w:webHidden/>
              </w:rPr>
              <w:fldChar w:fldCharType="end"/>
            </w:r>
          </w:hyperlink>
        </w:p>
        <w:p w14:paraId="77C127C5" w14:textId="7279F14B" w:rsidR="00FD4F09" w:rsidRDefault="00DF2490">
          <w:pPr>
            <w:pStyle w:val="TDC3"/>
            <w:rPr>
              <w:rFonts w:asciiTheme="minorHAnsi" w:eastAsiaTheme="minorEastAsia" w:hAnsiTheme="minorHAnsi" w:cstheme="minorBidi"/>
              <w:noProof/>
              <w:szCs w:val="22"/>
              <w:lang w:eastAsia="es-MX"/>
            </w:rPr>
          </w:pPr>
          <w:hyperlink w:anchor="_Toc178879268" w:history="1">
            <w:r w:rsidR="00FD4F09" w:rsidRPr="007C73DF">
              <w:rPr>
                <w:rStyle w:val="Hipervnculo"/>
                <w:noProof/>
              </w:rPr>
              <w:t>b) Legitimidad de la parte recurrente</w:t>
            </w:r>
            <w:r w:rsidR="00FD4F09">
              <w:rPr>
                <w:noProof/>
                <w:webHidden/>
              </w:rPr>
              <w:tab/>
            </w:r>
            <w:r w:rsidR="00FD4F09">
              <w:rPr>
                <w:noProof/>
                <w:webHidden/>
              </w:rPr>
              <w:fldChar w:fldCharType="begin"/>
            </w:r>
            <w:r w:rsidR="00FD4F09">
              <w:rPr>
                <w:noProof/>
                <w:webHidden/>
              </w:rPr>
              <w:instrText xml:space="preserve"> PAGEREF _Toc178879268 \h </w:instrText>
            </w:r>
            <w:r w:rsidR="00FD4F09">
              <w:rPr>
                <w:noProof/>
                <w:webHidden/>
              </w:rPr>
            </w:r>
            <w:r w:rsidR="00FD4F09">
              <w:rPr>
                <w:noProof/>
                <w:webHidden/>
              </w:rPr>
              <w:fldChar w:fldCharType="separate"/>
            </w:r>
            <w:r w:rsidR="003A473C">
              <w:rPr>
                <w:noProof/>
                <w:webHidden/>
              </w:rPr>
              <w:t>5</w:t>
            </w:r>
            <w:r w:rsidR="00FD4F09">
              <w:rPr>
                <w:noProof/>
                <w:webHidden/>
              </w:rPr>
              <w:fldChar w:fldCharType="end"/>
            </w:r>
          </w:hyperlink>
        </w:p>
        <w:p w14:paraId="481FB14B" w14:textId="38FF5DF3" w:rsidR="00FD4F09" w:rsidRDefault="00DF2490">
          <w:pPr>
            <w:pStyle w:val="TDC3"/>
            <w:rPr>
              <w:rFonts w:asciiTheme="minorHAnsi" w:eastAsiaTheme="minorEastAsia" w:hAnsiTheme="minorHAnsi" w:cstheme="minorBidi"/>
              <w:noProof/>
              <w:szCs w:val="22"/>
              <w:lang w:eastAsia="es-MX"/>
            </w:rPr>
          </w:pPr>
          <w:hyperlink w:anchor="_Toc178879269" w:history="1">
            <w:r w:rsidR="00FD4F09" w:rsidRPr="007C73DF">
              <w:rPr>
                <w:rStyle w:val="Hipervnculo"/>
                <w:rFonts w:eastAsia="Calibri"/>
                <w:noProof/>
                <w:lang w:eastAsia="es-ES_tradnl"/>
              </w:rPr>
              <w:t>c) Plazo para interponer el recurso</w:t>
            </w:r>
            <w:r w:rsidR="00FD4F09">
              <w:rPr>
                <w:noProof/>
                <w:webHidden/>
              </w:rPr>
              <w:tab/>
            </w:r>
            <w:r w:rsidR="00FD4F09">
              <w:rPr>
                <w:noProof/>
                <w:webHidden/>
              </w:rPr>
              <w:fldChar w:fldCharType="begin"/>
            </w:r>
            <w:r w:rsidR="00FD4F09">
              <w:rPr>
                <w:noProof/>
                <w:webHidden/>
              </w:rPr>
              <w:instrText xml:space="preserve"> PAGEREF _Toc178879269 \h </w:instrText>
            </w:r>
            <w:r w:rsidR="00FD4F09">
              <w:rPr>
                <w:noProof/>
                <w:webHidden/>
              </w:rPr>
            </w:r>
            <w:r w:rsidR="00FD4F09">
              <w:rPr>
                <w:noProof/>
                <w:webHidden/>
              </w:rPr>
              <w:fldChar w:fldCharType="separate"/>
            </w:r>
            <w:r w:rsidR="003A473C">
              <w:rPr>
                <w:noProof/>
                <w:webHidden/>
              </w:rPr>
              <w:t>5</w:t>
            </w:r>
            <w:r w:rsidR="00FD4F09">
              <w:rPr>
                <w:noProof/>
                <w:webHidden/>
              </w:rPr>
              <w:fldChar w:fldCharType="end"/>
            </w:r>
          </w:hyperlink>
        </w:p>
        <w:p w14:paraId="02E1667D" w14:textId="56663B1C" w:rsidR="00FD4F09" w:rsidRDefault="00DF2490">
          <w:pPr>
            <w:pStyle w:val="TDC3"/>
            <w:rPr>
              <w:rFonts w:asciiTheme="minorHAnsi" w:eastAsiaTheme="minorEastAsia" w:hAnsiTheme="minorHAnsi" w:cstheme="minorBidi"/>
              <w:noProof/>
              <w:szCs w:val="22"/>
              <w:lang w:eastAsia="es-MX"/>
            </w:rPr>
          </w:pPr>
          <w:hyperlink w:anchor="_Toc178879270" w:history="1">
            <w:r w:rsidR="00FD4F09" w:rsidRPr="007C73DF">
              <w:rPr>
                <w:rStyle w:val="Hipervnculo"/>
                <w:rFonts w:eastAsia="Calibri"/>
                <w:noProof/>
                <w:lang w:eastAsia="es-ES_tradnl"/>
              </w:rPr>
              <w:t>d) Causal de Procedencia</w:t>
            </w:r>
            <w:r w:rsidR="00FD4F09">
              <w:rPr>
                <w:noProof/>
                <w:webHidden/>
              </w:rPr>
              <w:tab/>
            </w:r>
            <w:r w:rsidR="00FD4F09">
              <w:rPr>
                <w:noProof/>
                <w:webHidden/>
              </w:rPr>
              <w:fldChar w:fldCharType="begin"/>
            </w:r>
            <w:r w:rsidR="00FD4F09">
              <w:rPr>
                <w:noProof/>
                <w:webHidden/>
              </w:rPr>
              <w:instrText xml:space="preserve"> PAGEREF _Toc178879270 \h </w:instrText>
            </w:r>
            <w:r w:rsidR="00FD4F09">
              <w:rPr>
                <w:noProof/>
                <w:webHidden/>
              </w:rPr>
            </w:r>
            <w:r w:rsidR="00FD4F09">
              <w:rPr>
                <w:noProof/>
                <w:webHidden/>
              </w:rPr>
              <w:fldChar w:fldCharType="separate"/>
            </w:r>
            <w:r w:rsidR="003A473C">
              <w:rPr>
                <w:noProof/>
                <w:webHidden/>
              </w:rPr>
              <w:t>7</w:t>
            </w:r>
            <w:r w:rsidR="00FD4F09">
              <w:rPr>
                <w:noProof/>
                <w:webHidden/>
              </w:rPr>
              <w:fldChar w:fldCharType="end"/>
            </w:r>
          </w:hyperlink>
        </w:p>
        <w:p w14:paraId="1C256D87" w14:textId="41A2E8AD" w:rsidR="00FD4F09" w:rsidRDefault="00DF2490">
          <w:pPr>
            <w:pStyle w:val="TDC3"/>
            <w:rPr>
              <w:rFonts w:asciiTheme="minorHAnsi" w:eastAsiaTheme="minorEastAsia" w:hAnsiTheme="minorHAnsi" w:cstheme="minorBidi"/>
              <w:noProof/>
              <w:szCs w:val="22"/>
              <w:lang w:eastAsia="es-MX"/>
            </w:rPr>
          </w:pPr>
          <w:hyperlink w:anchor="_Toc178879271" w:history="1">
            <w:r w:rsidR="00FD4F09" w:rsidRPr="007C73DF">
              <w:rPr>
                <w:rStyle w:val="Hipervnculo"/>
                <w:noProof/>
              </w:rPr>
              <w:t>e) Requisitos formales para la interposición del recurso</w:t>
            </w:r>
            <w:r w:rsidR="00FD4F09">
              <w:rPr>
                <w:noProof/>
                <w:webHidden/>
              </w:rPr>
              <w:tab/>
            </w:r>
            <w:r w:rsidR="00FD4F09">
              <w:rPr>
                <w:noProof/>
                <w:webHidden/>
              </w:rPr>
              <w:fldChar w:fldCharType="begin"/>
            </w:r>
            <w:r w:rsidR="00FD4F09">
              <w:rPr>
                <w:noProof/>
                <w:webHidden/>
              </w:rPr>
              <w:instrText xml:space="preserve"> PAGEREF _Toc178879271 \h </w:instrText>
            </w:r>
            <w:r w:rsidR="00FD4F09">
              <w:rPr>
                <w:noProof/>
                <w:webHidden/>
              </w:rPr>
            </w:r>
            <w:r w:rsidR="00FD4F09">
              <w:rPr>
                <w:noProof/>
                <w:webHidden/>
              </w:rPr>
              <w:fldChar w:fldCharType="separate"/>
            </w:r>
            <w:r w:rsidR="003A473C">
              <w:rPr>
                <w:noProof/>
                <w:webHidden/>
              </w:rPr>
              <w:t>7</w:t>
            </w:r>
            <w:r w:rsidR="00FD4F09">
              <w:rPr>
                <w:noProof/>
                <w:webHidden/>
              </w:rPr>
              <w:fldChar w:fldCharType="end"/>
            </w:r>
          </w:hyperlink>
        </w:p>
        <w:p w14:paraId="62E79CA6" w14:textId="6454E34D" w:rsidR="00FD4F09" w:rsidRDefault="00DF2490">
          <w:pPr>
            <w:pStyle w:val="TDC2"/>
            <w:rPr>
              <w:rFonts w:asciiTheme="minorHAnsi" w:eastAsiaTheme="minorEastAsia" w:hAnsiTheme="minorHAnsi" w:cstheme="minorBidi"/>
              <w:noProof/>
              <w:szCs w:val="22"/>
              <w:lang w:eastAsia="es-MX"/>
            </w:rPr>
          </w:pPr>
          <w:hyperlink w:anchor="_Toc178879272" w:history="1">
            <w:r w:rsidR="00FD4F09" w:rsidRPr="007C73DF">
              <w:rPr>
                <w:rStyle w:val="Hipervnculo"/>
                <w:noProof/>
              </w:rPr>
              <w:t>SEGUNDO. Estudio de Fondo</w:t>
            </w:r>
            <w:r w:rsidR="00FD4F09">
              <w:rPr>
                <w:noProof/>
                <w:webHidden/>
              </w:rPr>
              <w:tab/>
            </w:r>
            <w:r w:rsidR="00FD4F09">
              <w:rPr>
                <w:noProof/>
                <w:webHidden/>
              </w:rPr>
              <w:fldChar w:fldCharType="begin"/>
            </w:r>
            <w:r w:rsidR="00FD4F09">
              <w:rPr>
                <w:noProof/>
                <w:webHidden/>
              </w:rPr>
              <w:instrText xml:space="preserve"> PAGEREF _Toc178879272 \h </w:instrText>
            </w:r>
            <w:r w:rsidR="00FD4F09">
              <w:rPr>
                <w:noProof/>
                <w:webHidden/>
              </w:rPr>
            </w:r>
            <w:r w:rsidR="00FD4F09">
              <w:rPr>
                <w:noProof/>
                <w:webHidden/>
              </w:rPr>
              <w:fldChar w:fldCharType="separate"/>
            </w:r>
            <w:r w:rsidR="003A473C">
              <w:rPr>
                <w:noProof/>
                <w:webHidden/>
              </w:rPr>
              <w:t>7</w:t>
            </w:r>
            <w:r w:rsidR="00FD4F09">
              <w:rPr>
                <w:noProof/>
                <w:webHidden/>
              </w:rPr>
              <w:fldChar w:fldCharType="end"/>
            </w:r>
          </w:hyperlink>
        </w:p>
        <w:p w14:paraId="6A717D85" w14:textId="248CDD52" w:rsidR="00FD4F09" w:rsidRDefault="00DF2490">
          <w:pPr>
            <w:pStyle w:val="TDC3"/>
            <w:rPr>
              <w:rFonts w:asciiTheme="minorHAnsi" w:eastAsiaTheme="minorEastAsia" w:hAnsiTheme="minorHAnsi" w:cstheme="minorBidi"/>
              <w:noProof/>
              <w:szCs w:val="22"/>
              <w:lang w:eastAsia="es-MX"/>
            </w:rPr>
          </w:pPr>
          <w:hyperlink w:anchor="_Toc178879273" w:history="1">
            <w:r w:rsidR="00FD4F09" w:rsidRPr="007C73DF">
              <w:rPr>
                <w:rStyle w:val="Hipervnculo"/>
                <w:noProof/>
              </w:rPr>
              <w:t>a) Mandato de transparencia y responsabilidad del Sujeto Obligado</w:t>
            </w:r>
            <w:r w:rsidR="00FD4F09">
              <w:rPr>
                <w:noProof/>
                <w:webHidden/>
              </w:rPr>
              <w:tab/>
            </w:r>
            <w:r w:rsidR="00FD4F09">
              <w:rPr>
                <w:noProof/>
                <w:webHidden/>
              </w:rPr>
              <w:fldChar w:fldCharType="begin"/>
            </w:r>
            <w:r w:rsidR="00FD4F09">
              <w:rPr>
                <w:noProof/>
                <w:webHidden/>
              </w:rPr>
              <w:instrText xml:space="preserve"> PAGEREF _Toc178879273 \h </w:instrText>
            </w:r>
            <w:r w:rsidR="00FD4F09">
              <w:rPr>
                <w:noProof/>
                <w:webHidden/>
              </w:rPr>
            </w:r>
            <w:r w:rsidR="00FD4F09">
              <w:rPr>
                <w:noProof/>
                <w:webHidden/>
              </w:rPr>
              <w:fldChar w:fldCharType="separate"/>
            </w:r>
            <w:r w:rsidR="003A473C">
              <w:rPr>
                <w:noProof/>
                <w:webHidden/>
              </w:rPr>
              <w:t>7</w:t>
            </w:r>
            <w:r w:rsidR="00FD4F09">
              <w:rPr>
                <w:noProof/>
                <w:webHidden/>
              </w:rPr>
              <w:fldChar w:fldCharType="end"/>
            </w:r>
          </w:hyperlink>
        </w:p>
        <w:p w14:paraId="1EE942C4" w14:textId="7F3A0D30" w:rsidR="00FD4F09" w:rsidRDefault="00DF2490">
          <w:pPr>
            <w:pStyle w:val="TDC3"/>
            <w:rPr>
              <w:rFonts w:asciiTheme="minorHAnsi" w:eastAsiaTheme="minorEastAsia" w:hAnsiTheme="minorHAnsi" w:cstheme="minorBidi"/>
              <w:noProof/>
              <w:szCs w:val="22"/>
              <w:lang w:eastAsia="es-MX"/>
            </w:rPr>
          </w:pPr>
          <w:hyperlink w:anchor="_Toc178879274" w:history="1">
            <w:r w:rsidR="00FD4F09" w:rsidRPr="007C73DF">
              <w:rPr>
                <w:rStyle w:val="Hipervnculo"/>
                <w:rFonts w:eastAsia="Calibri"/>
                <w:noProof/>
                <w:lang w:eastAsia="es-ES_tradnl"/>
              </w:rPr>
              <w:t>b) Controversia a resolver</w:t>
            </w:r>
            <w:r w:rsidR="00FD4F09">
              <w:rPr>
                <w:noProof/>
                <w:webHidden/>
              </w:rPr>
              <w:tab/>
            </w:r>
            <w:r w:rsidR="00FD4F09">
              <w:rPr>
                <w:noProof/>
                <w:webHidden/>
              </w:rPr>
              <w:fldChar w:fldCharType="begin"/>
            </w:r>
            <w:r w:rsidR="00FD4F09">
              <w:rPr>
                <w:noProof/>
                <w:webHidden/>
              </w:rPr>
              <w:instrText xml:space="preserve"> PAGEREF _Toc178879274 \h </w:instrText>
            </w:r>
            <w:r w:rsidR="00FD4F09">
              <w:rPr>
                <w:noProof/>
                <w:webHidden/>
              </w:rPr>
            </w:r>
            <w:r w:rsidR="00FD4F09">
              <w:rPr>
                <w:noProof/>
                <w:webHidden/>
              </w:rPr>
              <w:fldChar w:fldCharType="separate"/>
            </w:r>
            <w:r w:rsidR="003A473C">
              <w:rPr>
                <w:noProof/>
                <w:webHidden/>
              </w:rPr>
              <w:t>10</w:t>
            </w:r>
            <w:r w:rsidR="00FD4F09">
              <w:rPr>
                <w:noProof/>
                <w:webHidden/>
              </w:rPr>
              <w:fldChar w:fldCharType="end"/>
            </w:r>
          </w:hyperlink>
        </w:p>
        <w:p w14:paraId="75B31ECF" w14:textId="38CBD8BE" w:rsidR="00FD4F09" w:rsidRDefault="00DF2490">
          <w:pPr>
            <w:pStyle w:val="TDC3"/>
            <w:rPr>
              <w:rFonts w:asciiTheme="minorHAnsi" w:eastAsiaTheme="minorEastAsia" w:hAnsiTheme="minorHAnsi" w:cstheme="minorBidi"/>
              <w:noProof/>
              <w:szCs w:val="22"/>
              <w:lang w:eastAsia="es-MX"/>
            </w:rPr>
          </w:pPr>
          <w:hyperlink w:anchor="_Toc178879275" w:history="1">
            <w:r w:rsidR="00FD4F09" w:rsidRPr="007C73DF">
              <w:rPr>
                <w:rStyle w:val="Hipervnculo"/>
                <w:noProof/>
              </w:rPr>
              <w:t>c) Estudio de la controversia</w:t>
            </w:r>
            <w:r w:rsidR="00FD4F09">
              <w:rPr>
                <w:noProof/>
                <w:webHidden/>
              </w:rPr>
              <w:tab/>
            </w:r>
            <w:r w:rsidR="00FD4F09">
              <w:rPr>
                <w:noProof/>
                <w:webHidden/>
              </w:rPr>
              <w:fldChar w:fldCharType="begin"/>
            </w:r>
            <w:r w:rsidR="00FD4F09">
              <w:rPr>
                <w:noProof/>
                <w:webHidden/>
              </w:rPr>
              <w:instrText xml:space="preserve"> PAGEREF _Toc178879275 \h </w:instrText>
            </w:r>
            <w:r w:rsidR="00FD4F09">
              <w:rPr>
                <w:noProof/>
                <w:webHidden/>
              </w:rPr>
            </w:r>
            <w:r w:rsidR="00FD4F09">
              <w:rPr>
                <w:noProof/>
                <w:webHidden/>
              </w:rPr>
              <w:fldChar w:fldCharType="separate"/>
            </w:r>
            <w:r w:rsidR="003A473C">
              <w:rPr>
                <w:noProof/>
                <w:webHidden/>
              </w:rPr>
              <w:t>11</w:t>
            </w:r>
            <w:r w:rsidR="00FD4F09">
              <w:rPr>
                <w:noProof/>
                <w:webHidden/>
              </w:rPr>
              <w:fldChar w:fldCharType="end"/>
            </w:r>
          </w:hyperlink>
        </w:p>
        <w:p w14:paraId="73B1E195" w14:textId="2D1D97E9" w:rsidR="00FD4F09" w:rsidRDefault="00DF2490">
          <w:pPr>
            <w:pStyle w:val="TDC3"/>
            <w:rPr>
              <w:rFonts w:asciiTheme="minorHAnsi" w:eastAsiaTheme="minorEastAsia" w:hAnsiTheme="minorHAnsi" w:cstheme="minorBidi"/>
              <w:noProof/>
              <w:szCs w:val="22"/>
              <w:lang w:eastAsia="es-MX"/>
            </w:rPr>
          </w:pPr>
          <w:hyperlink w:anchor="_Toc178879276" w:history="1">
            <w:r w:rsidR="00FD4F09" w:rsidRPr="007C73DF">
              <w:rPr>
                <w:rStyle w:val="Hipervnculo"/>
                <w:noProof/>
              </w:rPr>
              <w:t>d) Versión pública</w:t>
            </w:r>
            <w:r w:rsidR="00FD4F09">
              <w:rPr>
                <w:noProof/>
                <w:webHidden/>
              </w:rPr>
              <w:tab/>
            </w:r>
            <w:r w:rsidR="00FD4F09">
              <w:rPr>
                <w:noProof/>
                <w:webHidden/>
              </w:rPr>
              <w:fldChar w:fldCharType="begin"/>
            </w:r>
            <w:r w:rsidR="00FD4F09">
              <w:rPr>
                <w:noProof/>
                <w:webHidden/>
              </w:rPr>
              <w:instrText xml:space="preserve"> PAGEREF _Toc178879276 \h </w:instrText>
            </w:r>
            <w:r w:rsidR="00FD4F09">
              <w:rPr>
                <w:noProof/>
                <w:webHidden/>
              </w:rPr>
            </w:r>
            <w:r w:rsidR="00FD4F09">
              <w:rPr>
                <w:noProof/>
                <w:webHidden/>
              </w:rPr>
              <w:fldChar w:fldCharType="separate"/>
            </w:r>
            <w:r w:rsidR="003A473C">
              <w:rPr>
                <w:noProof/>
                <w:webHidden/>
              </w:rPr>
              <w:t>22</w:t>
            </w:r>
            <w:r w:rsidR="00FD4F09">
              <w:rPr>
                <w:noProof/>
                <w:webHidden/>
              </w:rPr>
              <w:fldChar w:fldCharType="end"/>
            </w:r>
          </w:hyperlink>
        </w:p>
        <w:p w14:paraId="0A281109" w14:textId="7F64AB3D" w:rsidR="00FD4F09" w:rsidRDefault="00DF2490">
          <w:pPr>
            <w:pStyle w:val="TDC3"/>
            <w:rPr>
              <w:rFonts w:asciiTheme="minorHAnsi" w:eastAsiaTheme="minorEastAsia" w:hAnsiTheme="minorHAnsi" w:cstheme="minorBidi"/>
              <w:noProof/>
              <w:szCs w:val="22"/>
              <w:lang w:eastAsia="es-MX"/>
            </w:rPr>
          </w:pPr>
          <w:hyperlink w:anchor="_Toc178879277" w:history="1">
            <w:r w:rsidR="00FD4F09" w:rsidRPr="007C73DF">
              <w:rPr>
                <w:rStyle w:val="Hipervnculo"/>
                <w:rFonts w:eastAsia="Calibri"/>
                <w:noProof/>
              </w:rPr>
              <w:t xml:space="preserve">e) </w:t>
            </w:r>
            <w:r w:rsidR="00FD4F09" w:rsidRPr="007C73DF">
              <w:rPr>
                <w:rStyle w:val="Hipervnculo"/>
                <w:noProof/>
              </w:rPr>
              <w:t>Conclusión</w:t>
            </w:r>
            <w:r w:rsidR="00FD4F09">
              <w:rPr>
                <w:noProof/>
                <w:webHidden/>
              </w:rPr>
              <w:tab/>
            </w:r>
            <w:r w:rsidR="00FD4F09">
              <w:rPr>
                <w:noProof/>
                <w:webHidden/>
              </w:rPr>
              <w:fldChar w:fldCharType="begin"/>
            </w:r>
            <w:r w:rsidR="00FD4F09">
              <w:rPr>
                <w:noProof/>
                <w:webHidden/>
              </w:rPr>
              <w:instrText xml:space="preserve"> PAGEREF _Toc178879277 \h </w:instrText>
            </w:r>
            <w:r w:rsidR="00FD4F09">
              <w:rPr>
                <w:noProof/>
                <w:webHidden/>
              </w:rPr>
            </w:r>
            <w:r w:rsidR="00FD4F09">
              <w:rPr>
                <w:noProof/>
                <w:webHidden/>
              </w:rPr>
              <w:fldChar w:fldCharType="separate"/>
            </w:r>
            <w:r w:rsidR="003A473C">
              <w:rPr>
                <w:noProof/>
                <w:webHidden/>
              </w:rPr>
              <w:t>34</w:t>
            </w:r>
            <w:r w:rsidR="00FD4F09">
              <w:rPr>
                <w:noProof/>
                <w:webHidden/>
              </w:rPr>
              <w:fldChar w:fldCharType="end"/>
            </w:r>
          </w:hyperlink>
        </w:p>
        <w:p w14:paraId="0C82FD7A" w14:textId="795AADAE" w:rsidR="009B2945" w:rsidRPr="00FD4F09" w:rsidRDefault="00DF2490" w:rsidP="00FD4F09">
          <w:pPr>
            <w:pStyle w:val="TDC1"/>
            <w:tabs>
              <w:tab w:val="right" w:leader="dot" w:pos="9034"/>
            </w:tabs>
            <w:rPr>
              <w:b/>
              <w:bCs/>
              <w:szCs w:val="22"/>
              <w:lang w:val="es-ES"/>
            </w:rPr>
          </w:pPr>
          <w:hyperlink w:anchor="_Toc178879278" w:history="1">
            <w:r w:rsidR="00FD4F09" w:rsidRPr="007C73DF">
              <w:rPr>
                <w:rStyle w:val="Hipervnculo"/>
                <w:noProof/>
              </w:rPr>
              <w:t>RESUELVE</w:t>
            </w:r>
            <w:r w:rsidR="00FD4F09">
              <w:rPr>
                <w:noProof/>
                <w:webHidden/>
              </w:rPr>
              <w:tab/>
            </w:r>
            <w:r w:rsidR="00FD4F09">
              <w:rPr>
                <w:noProof/>
                <w:webHidden/>
              </w:rPr>
              <w:fldChar w:fldCharType="begin"/>
            </w:r>
            <w:r w:rsidR="00FD4F09">
              <w:rPr>
                <w:noProof/>
                <w:webHidden/>
              </w:rPr>
              <w:instrText xml:space="preserve"> PAGEREF _Toc178879278 \h </w:instrText>
            </w:r>
            <w:r w:rsidR="00FD4F09">
              <w:rPr>
                <w:noProof/>
                <w:webHidden/>
              </w:rPr>
            </w:r>
            <w:r w:rsidR="00FD4F09">
              <w:rPr>
                <w:noProof/>
                <w:webHidden/>
              </w:rPr>
              <w:fldChar w:fldCharType="separate"/>
            </w:r>
            <w:r w:rsidR="003A473C">
              <w:rPr>
                <w:noProof/>
                <w:webHidden/>
              </w:rPr>
              <w:t>35</w:t>
            </w:r>
            <w:r w:rsidR="00FD4F09">
              <w:rPr>
                <w:noProof/>
                <w:webHidden/>
              </w:rPr>
              <w:fldChar w:fldCharType="end"/>
            </w:r>
          </w:hyperlink>
          <w:r w:rsidR="00AE3DA7" w:rsidRPr="00FD4F09">
            <w:rPr>
              <w:b/>
              <w:bCs/>
              <w:szCs w:val="22"/>
              <w:lang w:val="es-ES"/>
            </w:rPr>
            <w:fldChar w:fldCharType="end"/>
          </w:r>
        </w:p>
      </w:sdtContent>
    </w:sdt>
    <w:p w14:paraId="603A07E2" w14:textId="77777777" w:rsidR="00646436" w:rsidRPr="00FD4F09" w:rsidRDefault="00646436" w:rsidP="00FD4F09">
      <w:pPr>
        <w:rPr>
          <w:rFonts w:cs="Tahoma"/>
          <w:szCs w:val="22"/>
        </w:rPr>
        <w:sectPr w:rsidR="00646436" w:rsidRPr="00FD4F09"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46CF0E97" w:rsidR="00775BFC" w:rsidRPr="00FD4F09" w:rsidRDefault="00775BFC" w:rsidP="00FD4F09">
      <w:pPr>
        <w:rPr>
          <w:b/>
          <w:szCs w:val="22"/>
        </w:rPr>
      </w:pPr>
      <w:r w:rsidRPr="00FD4F09">
        <w:rPr>
          <w:szCs w:val="22"/>
        </w:rPr>
        <w:lastRenderedPageBreak/>
        <w:t xml:space="preserve">Resolución del Pleno del Instituto de Transparencia, Acceso a la Información Pública y Protección de Datos Personales del Estado de México y Municipios, con domicilio en Metepec, Estado de México, de </w:t>
      </w:r>
      <w:r w:rsidR="00DA0C81" w:rsidRPr="00FD4F09">
        <w:rPr>
          <w:b/>
          <w:szCs w:val="22"/>
        </w:rPr>
        <w:t>tres de octubre</w:t>
      </w:r>
      <w:r w:rsidR="00ED7170" w:rsidRPr="00FD4F09">
        <w:rPr>
          <w:b/>
          <w:szCs w:val="22"/>
        </w:rPr>
        <w:t xml:space="preserve"> de dos mil veinticuatro.</w:t>
      </w:r>
    </w:p>
    <w:p w14:paraId="0AF3AAC4" w14:textId="77777777" w:rsidR="00775BFC" w:rsidRPr="00FD4F09" w:rsidRDefault="00775BFC" w:rsidP="00FD4F09">
      <w:pPr>
        <w:rPr>
          <w:szCs w:val="22"/>
        </w:rPr>
      </w:pPr>
    </w:p>
    <w:p w14:paraId="40EAE038" w14:textId="368521F6" w:rsidR="00775BFC" w:rsidRPr="00FD4F09" w:rsidRDefault="00775BFC" w:rsidP="00FD4F09">
      <w:pPr>
        <w:rPr>
          <w:szCs w:val="22"/>
        </w:rPr>
      </w:pPr>
      <w:r w:rsidRPr="00FD4F09">
        <w:rPr>
          <w:b/>
          <w:szCs w:val="22"/>
        </w:rPr>
        <w:t xml:space="preserve">VISTO </w:t>
      </w:r>
      <w:r w:rsidRPr="00FD4F09">
        <w:rPr>
          <w:szCs w:val="22"/>
        </w:rPr>
        <w:t xml:space="preserve">el expediente formado con motivo del Recurso de Revisión </w:t>
      </w:r>
      <w:r w:rsidR="00DA0C81" w:rsidRPr="00FD4F09">
        <w:rPr>
          <w:rFonts w:eastAsia="Calibri"/>
          <w:b/>
          <w:szCs w:val="22"/>
          <w:lang w:eastAsia="en-US"/>
        </w:rPr>
        <w:t>05567/INFOEM/IP/RR/2024</w:t>
      </w:r>
      <w:r w:rsidRPr="00FD4F09">
        <w:rPr>
          <w:rFonts w:eastAsia="Calibri"/>
          <w:szCs w:val="22"/>
          <w:lang w:eastAsia="en-US"/>
        </w:rPr>
        <w:t xml:space="preserve"> </w:t>
      </w:r>
      <w:r w:rsidRPr="00FD4F09">
        <w:rPr>
          <w:szCs w:val="22"/>
        </w:rPr>
        <w:t xml:space="preserve">interpuesto por </w:t>
      </w:r>
      <w:r w:rsidR="00281B63">
        <w:rPr>
          <w:b/>
          <w:bCs/>
          <w:szCs w:val="22"/>
        </w:rPr>
        <w:t>XXXX XXXXXX XXXXXXXX XXXXX</w:t>
      </w:r>
      <w:r w:rsidRPr="00FD4F09">
        <w:rPr>
          <w:szCs w:val="22"/>
        </w:rPr>
        <w:t xml:space="preserve">, a quien en lo subsecuente se le denominará </w:t>
      </w:r>
      <w:r w:rsidRPr="00FD4F09">
        <w:rPr>
          <w:b/>
          <w:bCs/>
          <w:szCs w:val="22"/>
        </w:rPr>
        <w:t>LA PARTE RECURRENTE</w:t>
      </w:r>
      <w:r w:rsidRPr="00FD4F09">
        <w:rPr>
          <w:szCs w:val="22"/>
        </w:rPr>
        <w:t>, en contra de la respuesta emitida por</w:t>
      </w:r>
      <w:r w:rsidR="00A0449B" w:rsidRPr="00FD4F09">
        <w:rPr>
          <w:szCs w:val="22"/>
        </w:rPr>
        <w:t xml:space="preserve"> </w:t>
      </w:r>
      <w:r w:rsidR="00F62522" w:rsidRPr="00FD4F09">
        <w:rPr>
          <w:szCs w:val="22"/>
        </w:rPr>
        <w:t>el</w:t>
      </w:r>
      <w:r w:rsidR="000748DF" w:rsidRPr="00FD4F09">
        <w:rPr>
          <w:szCs w:val="22"/>
        </w:rPr>
        <w:t xml:space="preserve"> </w:t>
      </w:r>
      <w:r w:rsidR="008F136E" w:rsidRPr="00FD4F09">
        <w:rPr>
          <w:b/>
          <w:bCs/>
          <w:szCs w:val="22"/>
        </w:rPr>
        <w:t>Ayuntamiento de Texcoco</w:t>
      </w:r>
      <w:r w:rsidRPr="00FD4F09">
        <w:rPr>
          <w:szCs w:val="22"/>
        </w:rPr>
        <w:t xml:space="preserve">, en adelante </w:t>
      </w:r>
      <w:r w:rsidRPr="00FD4F09">
        <w:rPr>
          <w:b/>
          <w:bCs/>
          <w:szCs w:val="22"/>
        </w:rPr>
        <w:t>EL SUJETO OBLIGADO</w:t>
      </w:r>
      <w:r w:rsidRPr="00FD4F09">
        <w:rPr>
          <w:rFonts w:eastAsia="Calibri"/>
          <w:szCs w:val="22"/>
          <w:lang w:eastAsia="en-US"/>
        </w:rPr>
        <w:t xml:space="preserve">, </w:t>
      </w:r>
      <w:r w:rsidRPr="00FD4F09">
        <w:rPr>
          <w:szCs w:val="22"/>
        </w:rPr>
        <w:t>se emite la presente Resolución con base en los Antecedentes y Considerandos que se exponen a continuación:</w:t>
      </w:r>
    </w:p>
    <w:p w14:paraId="2116968C" w14:textId="77777777" w:rsidR="00775BFC" w:rsidRPr="00FD4F09" w:rsidRDefault="00775BFC" w:rsidP="00FD4F09">
      <w:pPr>
        <w:rPr>
          <w:szCs w:val="22"/>
        </w:rPr>
      </w:pPr>
    </w:p>
    <w:p w14:paraId="5A444FB6" w14:textId="639D3567" w:rsidR="00664420" w:rsidRPr="00FD4F09" w:rsidRDefault="00664420" w:rsidP="00FD4F09">
      <w:pPr>
        <w:pStyle w:val="Ttulo1"/>
        <w:rPr>
          <w:szCs w:val="22"/>
        </w:rPr>
      </w:pPr>
      <w:bookmarkStart w:id="2" w:name="_Toc178879254"/>
      <w:r w:rsidRPr="00FD4F09">
        <w:rPr>
          <w:szCs w:val="22"/>
        </w:rPr>
        <w:t>ANTECEDENTES</w:t>
      </w:r>
      <w:bookmarkEnd w:id="2"/>
    </w:p>
    <w:p w14:paraId="7CE9E53D" w14:textId="77777777" w:rsidR="00E37A3F" w:rsidRPr="00FD4F09" w:rsidRDefault="00E37A3F" w:rsidP="00FD4F09">
      <w:pPr>
        <w:rPr>
          <w:szCs w:val="22"/>
        </w:rPr>
      </w:pPr>
    </w:p>
    <w:p w14:paraId="09B2D38F" w14:textId="6E49D146" w:rsidR="00664420" w:rsidRPr="00FD4F09" w:rsidRDefault="00E37A3F" w:rsidP="00FD4F09">
      <w:pPr>
        <w:pStyle w:val="Ttulo2"/>
        <w:rPr>
          <w:szCs w:val="22"/>
        </w:rPr>
      </w:pPr>
      <w:bookmarkStart w:id="3" w:name="_Toc178879255"/>
      <w:r w:rsidRPr="00FD4F09">
        <w:rPr>
          <w:szCs w:val="22"/>
        </w:rPr>
        <w:t>DE LA SOLICITUD DE INFORMACIÓN</w:t>
      </w:r>
      <w:bookmarkEnd w:id="3"/>
    </w:p>
    <w:p w14:paraId="2C6AD1A5" w14:textId="0405B3CD" w:rsidR="00664420" w:rsidRPr="00FD4F09" w:rsidRDefault="00E37A3F" w:rsidP="00FD4F09">
      <w:pPr>
        <w:pStyle w:val="Ttulo3"/>
        <w:rPr>
          <w:szCs w:val="22"/>
        </w:rPr>
      </w:pPr>
      <w:bookmarkStart w:id="4" w:name="_Toc178879256"/>
      <w:r w:rsidRPr="00FD4F09">
        <w:rPr>
          <w:szCs w:val="22"/>
        </w:rPr>
        <w:t xml:space="preserve">a) </w:t>
      </w:r>
      <w:r w:rsidR="006B10B0" w:rsidRPr="00FD4F09">
        <w:rPr>
          <w:szCs w:val="22"/>
        </w:rPr>
        <w:t>S</w:t>
      </w:r>
      <w:r w:rsidR="00664420" w:rsidRPr="00FD4F09">
        <w:rPr>
          <w:szCs w:val="22"/>
        </w:rPr>
        <w:t xml:space="preserve">olicitud de </w:t>
      </w:r>
      <w:r w:rsidR="006B10B0" w:rsidRPr="00FD4F09">
        <w:rPr>
          <w:szCs w:val="22"/>
        </w:rPr>
        <w:t>i</w:t>
      </w:r>
      <w:r w:rsidR="00664420" w:rsidRPr="00FD4F09">
        <w:rPr>
          <w:szCs w:val="22"/>
        </w:rPr>
        <w:t>nformación</w:t>
      </w:r>
      <w:bookmarkEnd w:id="4"/>
    </w:p>
    <w:p w14:paraId="06DCD29D" w14:textId="7858285D" w:rsidR="009A2D78" w:rsidRPr="00FD4F09" w:rsidRDefault="006B10B0" w:rsidP="00FD4F09">
      <w:pPr>
        <w:pStyle w:val="Prrafodelista"/>
        <w:tabs>
          <w:tab w:val="left" w:pos="851"/>
        </w:tabs>
        <w:ind w:left="0"/>
        <w:contextualSpacing w:val="0"/>
        <w:rPr>
          <w:rFonts w:cs="Tahoma"/>
          <w:szCs w:val="22"/>
        </w:rPr>
      </w:pPr>
      <w:r w:rsidRPr="00FD4F09">
        <w:rPr>
          <w:rFonts w:cs="Tahoma"/>
          <w:szCs w:val="22"/>
        </w:rPr>
        <w:t>El</w:t>
      </w:r>
      <w:r w:rsidR="00664420" w:rsidRPr="00FD4F09">
        <w:rPr>
          <w:rFonts w:cs="Tahoma"/>
          <w:szCs w:val="22"/>
        </w:rPr>
        <w:t xml:space="preserve"> </w:t>
      </w:r>
      <w:r w:rsidR="00537B5B" w:rsidRPr="00FD4F09">
        <w:rPr>
          <w:rFonts w:cs="Tahoma"/>
          <w:b/>
          <w:bCs/>
          <w:szCs w:val="22"/>
        </w:rPr>
        <w:t>seis de septiembre</w:t>
      </w:r>
      <w:r w:rsidR="00664420" w:rsidRPr="00FD4F09">
        <w:rPr>
          <w:rFonts w:cs="Tahoma"/>
          <w:b/>
          <w:bCs/>
          <w:szCs w:val="22"/>
        </w:rPr>
        <w:t xml:space="preserve"> de dos mil </w:t>
      </w:r>
      <w:r w:rsidR="004B56B4" w:rsidRPr="00FD4F09">
        <w:rPr>
          <w:rFonts w:cs="Tahoma"/>
          <w:b/>
          <w:bCs/>
          <w:szCs w:val="22"/>
        </w:rPr>
        <w:t>veinticuatro</w:t>
      </w:r>
      <w:r w:rsidR="00664420" w:rsidRPr="00FD4F09">
        <w:rPr>
          <w:rFonts w:cs="Tahoma"/>
          <w:szCs w:val="22"/>
        </w:rPr>
        <w:t xml:space="preserve">, </w:t>
      </w:r>
      <w:r w:rsidRPr="00FD4F09">
        <w:rPr>
          <w:b/>
          <w:bCs/>
          <w:szCs w:val="22"/>
        </w:rPr>
        <w:t>LA PARTE RECURRENTE</w:t>
      </w:r>
      <w:r w:rsidR="00664420" w:rsidRPr="00FD4F09">
        <w:rPr>
          <w:rFonts w:cs="Tahoma"/>
          <w:szCs w:val="22"/>
        </w:rPr>
        <w:t xml:space="preserve"> presentó una solicitud de acceso a la información pública </w:t>
      </w:r>
      <w:r w:rsidR="001F3515" w:rsidRPr="00FD4F09">
        <w:rPr>
          <w:rFonts w:cs="Tahoma"/>
          <w:szCs w:val="22"/>
        </w:rPr>
        <w:t xml:space="preserve">ante el </w:t>
      </w:r>
      <w:r w:rsidR="001F3515" w:rsidRPr="00FD4F09">
        <w:rPr>
          <w:rFonts w:cs="Tahoma"/>
          <w:b/>
          <w:bCs/>
          <w:szCs w:val="22"/>
        </w:rPr>
        <w:t>SUJETO OBLIGADO</w:t>
      </w:r>
      <w:r w:rsidR="001F3515" w:rsidRPr="00FD4F09">
        <w:rPr>
          <w:rFonts w:cs="Tahoma"/>
          <w:szCs w:val="22"/>
        </w:rPr>
        <w:t xml:space="preserve">, </w:t>
      </w:r>
      <w:r w:rsidR="00664420" w:rsidRPr="00FD4F09">
        <w:rPr>
          <w:rFonts w:cs="Tahoma"/>
          <w:szCs w:val="22"/>
        </w:rPr>
        <w:t>a través del Sistema de Acceso a la Información Mexiquense</w:t>
      </w:r>
      <w:r w:rsidRPr="00FD4F09">
        <w:rPr>
          <w:rFonts w:cs="Tahoma"/>
          <w:szCs w:val="22"/>
        </w:rPr>
        <w:t xml:space="preserve"> </w:t>
      </w:r>
      <w:r w:rsidR="009A2D78" w:rsidRPr="00FD4F09">
        <w:rPr>
          <w:rFonts w:cs="Tahoma"/>
          <w:szCs w:val="22"/>
        </w:rPr>
        <w:t>(</w:t>
      </w:r>
      <w:r w:rsidRPr="00FD4F09">
        <w:rPr>
          <w:rFonts w:cs="Tahoma"/>
          <w:b/>
          <w:szCs w:val="22"/>
        </w:rPr>
        <w:t>SAIMEX</w:t>
      </w:r>
      <w:r w:rsidR="009A2D78" w:rsidRPr="00FD4F09">
        <w:rPr>
          <w:rFonts w:cs="Tahoma"/>
          <w:szCs w:val="22"/>
        </w:rPr>
        <w:t>). Dicha solicitud quedó</w:t>
      </w:r>
      <w:r w:rsidRPr="00FD4F09">
        <w:rPr>
          <w:rFonts w:cs="Tahoma"/>
          <w:szCs w:val="22"/>
        </w:rPr>
        <w:t xml:space="preserve"> registrada c</w:t>
      </w:r>
      <w:r w:rsidR="00664420" w:rsidRPr="00FD4F09">
        <w:rPr>
          <w:rFonts w:cs="Tahoma"/>
          <w:szCs w:val="22"/>
        </w:rPr>
        <w:t>on el número de folio</w:t>
      </w:r>
      <w:r w:rsidR="00664420" w:rsidRPr="00FD4F09">
        <w:rPr>
          <w:rFonts w:cs="Tahoma"/>
          <w:b/>
          <w:bCs/>
          <w:szCs w:val="22"/>
        </w:rPr>
        <w:t xml:space="preserve"> </w:t>
      </w:r>
      <w:r w:rsidR="00537B5B" w:rsidRPr="00FD4F09">
        <w:rPr>
          <w:rFonts w:cs="Tahoma"/>
          <w:b/>
          <w:bCs/>
          <w:szCs w:val="22"/>
        </w:rPr>
        <w:t>00214/TEXCOCO/IP/2024</w:t>
      </w:r>
      <w:r w:rsidR="002A3601" w:rsidRPr="00FD4F09">
        <w:rPr>
          <w:rFonts w:cs="Tahoma"/>
          <w:szCs w:val="22"/>
        </w:rPr>
        <w:t xml:space="preserve"> y en ella </w:t>
      </w:r>
      <w:r w:rsidR="009A2D78" w:rsidRPr="00FD4F09">
        <w:rPr>
          <w:rFonts w:cs="Tahoma"/>
          <w:szCs w:val="22"/>
        </w:rPr>
        <w:t>se requirió la siguiente información:</w:t>
      </w:r>
    </w:p>
    <w:p w14:paraId="0459D6AC" w14:textId="77777777" w:rsidR="00664420" w:rsidRPr="00FD4F09" w:rsidRDefault="00664420" w:rsidP="00FD4F09">
      <w:pPr>
        <w:tabs>
          <w:tab w:val="left" w:pos="4667"/>
        </w:tabs>
        <w:ind w:left="567" w:right="567"/>
        <w:rPr>
          <w:rFonts w:cs="Tahoma"/>
          <w:b/>
          <w:bCs/>
          <w:szCs w:val="22"/>
        </w:rPr>
      </w:pPr>
    </w:p>
    <w:p w14:paraId="211DB020" w14:textId="5DA294C1" w:rsidR="00BB7B48" w:rsidRPr="00FD4F09" w:rsidRDefault="00B87EBE" w:rsidP="00FD4F09">
      <w:pPr>
        <w:pStyle w:val="Puesto"/>
      </w:pPr>
      <w:r w:rsidRPr="00FD4F09">
        <w:t xml:space="preserve">Quiero saber de cuánto es el presupuesto anual programado para el ejercicio fiscal 2024 ejercido o destinado para el área </w:t>
      </w:r>
      <w:proofErr w:type="spellStart"/>
      <w:r w:rsidRPr="00FD4F09">
        <w:t>adminisrativa</w:t>
      </w:r>
      <w:proofErr w:type="spellEnd"/>
      <w:r w:rsidRPr="00FD4F09">
        <w:t xml:space="preserve">, ya sea dirección, jefatura, departamento o similar destinado a atender específicamente a la diversidad sexual y de género o población LGBTTTIQ+ del Ayuntamiento. Que se desglose cómo se ejercen dichos recursos, tanto a salarios, gastos fijos de operación y programas o acciones específicas. Se señale cuántas personas están adscritas al área </w:t>
      </w:r>
      <w:proofErr w:type="spellStart"/>
      <w:r w:rsidRPr="00FD4F09">
        <w:t>adminisrativa</w:t>
      </w:r>
      <w:proofErr w:type="spellEnd"/>
      <w:r w:rsidRPr="00FD4F09">
        <w:t xml:space="preserve"> del Ayuntamiento, ya sea dirección, jefatura, departamento o similar destinado a atender específicamente a la diversidad sexual y de género o población LGBTTTIQ+ y cuáles son los perfiles </w:t>
      </w:r>
      <w:proofErr w:type="spellStart"/>
      <w:r w:rsidRPr="00FD4F09">
        <w:t>proesionales</w:t>
      </w:r>
      <w:proofErr w:type="spellEnd"/>
      <w:r w:rsidRPr="00FD4F09">
        <w:t xml:space="preserve"> con los que cuenta. También que señalen los servicios que lleva a cabo dicha unidad administrativa. Y se </w:t>
      </w:r>
      <w:proofErr w:type="gramStart"/>
      <w:r w:rsidRPr="00FD4F09">
        <w:t>mencione ,</w:t>
      </w:r>
      <w:proofErr w:type="gramEnd"/>
      <w:r w:rsidRPr="00FD4F09">
        <w:t xml:space="preserve"> de manera desagregada, cuáles son las metas e indicadores programados para </w:t>
      </w:r>
      <w:r w:rsidRPr="00FD4F09">
        <w:lastRenderedPageBreak/>
        <w:t>el ejercicio fiscal 2024 que contempla el esa unidad administrativa, para atender a la población LGBTTTIQ+. Y finalmente que se señalen cuántas personas LGBTTTIQ+ fueron atendidas en los servicios que brindó dicha unidad administrativa en 2023, cuántas han sido atendidas en 2024 y cuál es el promedio de población a quienes se les ofrece atención de manera mensual.</w:t>
      </w:r>
    </w:p>
    <w:p w14:paraId="4131968A" w14:textId="77777777" w:rsidR="00B87EBE" w:rsidRPr="00FD4F09" w:rsidRDefault="00B87EBE" w:rsidP="00FD4F09">
      <w:pPr>
        <w:tabs>
          <w:tab w:val="left" w:pos="4667"/>
        </w:tabs>
        <w:ind w:right="567"/>
        <w:rPr>
          <w:rFonts w:cs="Tahoma"/>
          <w:bCs/>
          <w:szCs w:val="22"/>
        </w:rPr>
      </w:pPr>
    </w:p>
    <w:p w14:paraId="0BD6321D" w14:textId="21D5D84C" w:rsidR="00664420" w:rsidRPr="00FD4F09" w:rsidRDefault="009A2D78" w:rsidP="00FD4F09">
      <w:pPr>
        <w:tabs>
          <w:tab w:val="left" w:pos="4667"/>
        </w:tabs>
        <w:ind w:left="567" w:right="567"/>
        <w:rPr>
          <w:rFonts w:cs="Tahoma"/>
          <w:bCs/>
          <w:i/>
          <w:szCs w:val="22"/>
        </w:rPr>
      </w:pPr>
      <w:r w:rsidRPr="00FD4F09">
        <w:rPr>
          <w:rFonts w:cs="Tahoma"/>
          <w:b/>
          <w:bCs/>
          <w:szCs w:val="22"/>
        </w:rPr>
        <w:t>Modalidad de entrega</w:t>
      </w:r>
      <w:r w:rsidRPr="00FD4F09">
        <w:rPr>
          <w:rFonts w:cs="Tahoma"/>
          <w:bCs/>
          <w:szCs w:val="22"/>
        </w:rPr>
        <w:t>: a</w:t>
      </w:r>
      <w:r w:rsidR="00664420" w:rsidRPr="00FD4F09">
        <w:rPr>
          <w:rFonts w:cs="Tahoma"/>
          <w:bCs/>
          <w:i/>
          <w:szCs w:val="22"/>
        </w:rPr>
        <w:t xml:space="preserve"> través del </w:t>
      </w:r>
      <w:r w:rsidR="00664420" w:rsidRPr="00FD4F09">
        <w:rPr>
          <w:rFonts w:cs="Tahoma"/>
          <w:b/>
          <w:bCs/>
          <w:i/>
          <w:szCs w:val="22"/>
        </w:rPr>
        <w:t>SAIMEX</w:t>
      </w:r>
      <w:r w:rsidRPr="00FD4F09">
        <w:rPr>
          <w:rFonts w:cs="Tahoma"/>
          <w:bCs/>
          <w:i/>
          <w:szCs w:val="22"/>
        </w:rPr>
        <w:t>.</w:t>
      </w:r>
    </w:p>
    <w:p w14:paraId="23D7A976" w14:textId="77777777" w:rsidR="000748DF" w:rsidRPr="00FD4F09" w:rsidRDefault="000748DF" w:rsidP="00FD4F09">
      <w:pPr>
        <w:tabs>
          <w:tab w:val="left" w:pos="4667"/>
        </w:tabs>
        <w:ind w:right="567"/>
        <w:rPr>
          <w:rFonts w:cs="Tahoma"/>
          <w:bCs/>
          <w:szCs w:val="22"/>
        </w:rPr>
      </w:pPr>
    </w:p>
    <w:p w14:paraId="3212BA4D" w14:textId="008871BF" w:rsidR="00664420" w:rsidRPr="00FD4F09" w:rsidRDefault="00F62522" w:rsidP="00FD4F09">
      <w:pPr>
        <w:pStyle w:val="Ttulo3"/>
        <w:rPr>
          <w:szCs w:val="22"/>
        </w:rPr>
      </w:pPr>
      <w:bookmarkStart w:id="5" w:name="_Toc178879257"/>
      <w:r w:rsidRPr="00FD4F09">
        <w:rPr>
          <w:szCs w:val="22"/>
        </w:rPr>
        <w:t xml:space="preserve">b) </w:t>
      </w:r>
      <w:r w:rsidR="00664420" w:rsidRPr="00FD4F09">
        <w:rPr>
          <w:szCs w:val="22"/>
          <w:lang w:val="es-ES"/>
        </w:rPr>
        <w:t xml:space="preserve">Respuesta </w:t>
      </w:r>
      <w:r w:rsidR="00664420" w:rsidRPr="00FD4F09">
        <w:rPr>
          <w:rFonts w:eastAsia="Calibri"/>
          <w:szCs w:val="22"/>
          <w:lang w:eastAsia="en-US"/>
        </w:rPr>
        <w:t>del Sujeto Obligado</w:t>
      </w:r>
      <w:bookmarkEnd w:id="5"/>
    </w:p>
    <w:p w14:paraId="79199CC1" w14:textId="6E597A33" w:rsidR="00664420" w:rsidRPr="00FD4F09" w:rsidRDefault="00664420" w:rsidP="00FD4F09">
      <w:pPr>
        <w:pStyle w:val="Sinespaciado"/>
        <w:spacing w:line="360" w:lineRule="auto"/>
        <w:rPr>
          <w:szCs w:val="22"/>
          <w:lang w:val="es-ES"/>
        </w:rPr>
      </w:pPr>
      <w:r w:rsidRPr="00FD4F09">
        <w:rPr>
          <w:szCs w:val="22"/>
          <w:lang w:val="es-ES"/>
        </w:rPr>
        <w:t xml:space="preserve">El </w:t>
      </w:r>
      <w:r w:rsidR="00B87EBE" w:rsidRPr="00FD4F09">
        <w:rPr>
          <w:rFonts w:eastAsia="Calibri" w:cs="Arial"/>
          <w:b/>
          <w:bCs/>
          <w:szCs w:val="22"/>
          <w:lang w:val="es-ES" w:eastAsia="en-US"/>
        </w:rPr>
        <w:t>nueve de septiembre</w:t>
      </w:r>
      <w:r w:rsidR="000748DF" w:rsidRPr="00FD4F09">
        <w:rPr>
          <w:rFonts w:eastAsia="Calibri" w:cs="Arial"/>
          <w:b/>
          <w:bCs/>
          <w:szCs w:val="22"/>
          <w:lang w:val="es-ES" w:eastAsia="en-US"/>
        </w:rPr>
        <w:t xml:space="preserve"> </w:t>
      </w:r>
      <w:r w:rsidR="000748DF" w:rsidRPr="00FD4F09">
        <w:rPr>
          <w:rFonts w:eastAsia="Calibri" w:cs="Arial"/>
          <w:b/>
          <w:szCs w:val="22"/>
          <w:lang w:val="es-ES" w:eastAsia="en-US"/>
        </w:rPr>
        <w:t>de dos mil veinticuatro</w:t>
      </w:r>
      <w:r w:rsidR="00983EEF" w:rsidRPr="00FD4F09">
        <w:rPr>
          <w:b/>
          <w:szCs w:val="22"/>
          <w:lang w:val="es-ES"/>
        </w:rPr>
        <w:t xml:space="preserve">, </w:t>
      </w:r>
      <w:r w:rsidR="00F62522" w:rsidRPr="00FD4F09">
        <w:rPr>
          <w:szCs w:val="22"/>
          <w:lang w:val="es-ES"/>
        </w:rPr>
        <w:t>el</w:t>
      </w:r>
      <w:r w:rsidR="00F07EE6" w:rsidRPr="00FD4F09">
        <w:rPr>
          <w:szCs w:val="22"/>
          <w:lang w:val="es-ES"/>
        </w:rPr>
        <w:t xml:space="preserve"> Titular de la Unidad de Transparencia del </w:t>
      </w:r>
      <w:r w:rsidR="00F07EE6" w:rsidRPr="00FD4F09">
        <w:rPr>
          <w:b/>
          <w:szCs w:val="22"/>
          <w:lang w:val="es-ES"/>
        </w:rPr>
        <w:t>SUJETO OBLIGADO</w:t>
      </w:r>
      <w:r w:rsidR="00F07EE6" w:rsidRPr="00FD4F09">
        <w:rPr>
          <w:szCs w:val="22"/>
          <w:lang w:val="es-ES"/>
        </w:rPr>
        <w:t xml:space="preserve"> notificó la siguiente respuesta a través del </w:t>
      </w:r>
      <w:r w:rsidRPr="00FD4F09">
        <w:rPr>
          <w:szCs w:val="22"/>
          <w:lang w:val="es-ES"/>
        </w:rPr>
        <w:t>SAIMEX</w:t>
      </w:r>
      <w:r w:rsidR="00F07EE6" w:rsidRPr="00FD4F09">
        <w:rPr>
          <w:szCs w:val="22"/>
          <w:lang w:val="es-ES"/>
        </w:rPr>
        <w:t>:</w:t>
      </w:r>
    </w:p>
    <w:p w14:paraId="669F7EFD" w14:textId="77777777" w:rsidR="00664420" w:rsidRPr="00FD4F09" w:rsidRDefault="00664420" w:rsidP="00FD4F09">
      <w:pPr>
        <w:tabs>
          <w:tab w:val="left" w:pos="4667"/>
        </w:tabs>
        <w:ind w:left="567" w:right="567"/>
        <w:rPr>
          <w:rFonts w:cs="Tahoma"/>
          <w:b/>
          <w:bCs/>
          <w:szCs w:val="22"/>
        </w:rPr>
      </w:pPr>
    </w:p>
    <w:p w14:paraId="76FE2550" w14:textId="38F6DF94" w:rsidR="00B87EBE" w:rsidRPr="00FD4F09" w:rsidRDefault="00B87EBE" w:rsidP="00FD4F09">
      <w:pPr>
        <w:pStyle w:val="Puesto"/>
        <w:jc w:val="right"/>
      </w:pPr>
      <w:r w:rsidRPr="00FD4F09">
        <w:t>Folio de la solicitud: 00214/TEXCOCO/IP/2024</w:t>
      </w:r>
    </w:p>
    <w:p w14:paraId="0EEA5FCF" w14:textId="77777777" w:rsidR="00B87EBE" w:rsidRPr="00FD4F09" w:rsidRDefault="00B87EBE" w:rsidP="00FD4F09">
      <w:pPr>
        <w:pStyle w:val="Puesto"/>
      </w:pPr>
      <w:r w:rsidRPr="00FD4F09">
        <w:t xml:space="preserve">Sirva la presente para informarle que cuenta con nuevo requerimiento: Quiero saber de cuánto es el presupuesto anual programado para el ejercicio fiscal 2024 ejercido o destinado para el área </w:t>
      </w:r>
      <w:proofErr w:type="spellStart"/>
      <w:r w:rsidRPr="00FD4F09">
        <w:t>adminisrativa</w:t>
      </w:r>
      <w:proofErr w:type="spellEnd"/>
      <w:r w:rsidRPr="00FD4F09">
        <w:t xml:space="preserve">, ya sea dirección, jefatura, departamento o similar destinado a atender específicamente a la diversidad sexual y de género o población LGBTTTIQ+ del Ayuntamiento. Que se desglose cómo se ejercen dichos recursos, tanto a salarios, gastos fijos de operación y programas o acciones específicas. Se señale cuántas personas están adscritas al área </w:t>
      </w:r>
      <w:proofErr w:type="spellStart"/>
      <w:r w:rsidRPr="00FD4F09">
        <w:t>adminisrativa</w:t>
      </w:r>
      <w:proofErr w:type="spellEnd"/>
      <w:r w:rsidRPr="00FD4F09">
        <w:t xml:space="preserve"> del Ayuntamiento, ya sea dirección, jefatura, departamento o similar destinado a atender específicamente a la diversidad sexual y de género o población LGBTTTIQ+ y cuáles son los perfiles </w:t>
      </w:r>
      <w:proofErr w:type="spellStart"/>
      <w:r w:rsidRPr="00FD4F09">
        <w:t>proesionales</w:t>
      </w:r>
      <w:proofErr w:type="spellEnd"/>
      <w:r w:rsidRPr="00FD4F09">
        <w:t xml:space="preserve"> con los que cuenta. También que señalen los servicios que lleva a cabo dicha unidad administrativa. Y se </w:t>
      </w:r>
      <w:proofErr w:type="gramStart"/>
      <w:r w:rsidRPr="00FD4F09">
        <w:t>mencione ,</w:t>
      </w:r>
      <w:proofErr w:type="gramEnd"/>
      <w:r w:rsidRPr="00FD4F09">
        <w:t xml:space="preserve"> de manera desagregada, cuáles son las metas e indicadores programados para el ejercicio fiscal 2024 que contempla el esa unidad administrativa, para atender a la población LGBTTTIQ+. </w:t>
      </w:r>
      <w:bookmarkStart w:id="6" w:name="_GoBack"/>
      <w:r w:rsidRPr="00FD4F09">
        <w:t xml:space="preserve">Y finalmente que se señalen cuántas personas LGBTTTIQ+ fueron atendidas en los servicios que brindó dicha unidad administrativa en 2023, cuántas han sido atendidas en 2024 y cuál es el promedio de población a quienes se les ofrece atención de manera mensual. </w:t>
      </w:r>
      <w:proofErr w:type="gramStart"/>
      <w:r w:rsidRPr="00FD4F09">
        <w:t>que</w:t>
      </w:r>
      <w:proofErr w:type="gramEnd"/>
      <w:r w:rsidRPr="00FD4F09">
        <w:t xml:space="preserve"> si su área es competente para atender parcialmente la solicitud de acceso a la información, deberá dar respuesta respecto de dicha parte</w:t>
      </w:r>
      <w:bookmarkEnd w:id="6"/>
      <w:r w:rsidRPr="00FD4F09">
        <w:t>. Respecto de la información sobre la cual es incompetente corresponderá informar a la brevedad a la Unidad de Transparencia y se procederá a canalizar la solicitud ante el enlace competente. Teniendo un término de tres días hábiles para cualquier aclaración o cinco días hábiles para dar contestación a la misma contados a partir de la presente notificación. Sin más por el momento quedo a la orden.</w:t>
      </w:r>
    </w:p>
    <w:p w14:paraId="59CAB4F6" w14:textId="77777777" w:rsidR="00B87EBE" w:rsidRPr="00FD4F09" w:rsidRDefault="00B87EBE" w:rsidP="00FD4F09">
      <w:pPr>
        <w:pStyle w:val="Puesto"/>
      </w:pPr>
    </w:p>
    <w:p w14:paraId="506A317C" w14:textId="03BF37C2" w:rsidR="00B87EBE" w:rsidRPr="00FD4F09" w:rsidRDefault="00B87EBE" w:rsidP="00FD4F09">
      <w:pPr>
        <w:pStyle w:val="Puesto"/>
      </w:pPr>
      <w:r w:rsidRPr="00FD4F09">
        <w:lastRenderedPageBreak/>
        <w:t>ATENTAMENTE</w:t>
      </w:r>
    </w:p>
    <w:p w14:paraId="0B661978" w14:textId="14F93F1C" w:rsidR="006210F1" w:rsidRPr="00FD4F09" w:rsidRDefault="00B87EBE" w:rsidP="00FD4F09">
      <w:pPr>
        <w:pStyle w:val="Puesto"/>
      </w:pPr>
      <w:r w:rsidRPr="00FD4F09">
        <w:t>Lic. René Jonathan Sandoval Tinoco</w:t>
      </w:r>
    </w:p>
    <w:p w14:paraId="46049203" w14:textId="77777777" w:rsidR="008F136E" w:rsidRPr="00FD4F09" w:rsidRDefault="008F136E" w:rsidP="00FD4F09">
      <w:pPr>
        <w:rPr>
          <w:rFonts w:eastAsiaTheme="majorEastAsia"/>
          <w:szCs w:val="22"/>
        </w:rPr>
      </w:pPr>
    </w:p>
    <w:p w14:paraId="5A5DAB9E" w14:textId="77777777" w:rsidR="00E37A3F" w:rsidRPr="00FD4F09" w:rsidRDefault="00E37A3F" w:rsidP="00FD4F09">
      <w:pPr>
        <w:pStyle w:val="Ttulo2"/>
        <w:jc w:val="left"/>
        <w:rPr>
          <w:szCs w:val="22"/>
        </w:rPr>
      </w:pPr>
      <w:bookmarkStart w:id="7" w:name="_Toc178879258"/>
      <w:r w:rsidRPr="00FD4F09">
        <w:rPr>
          <w:szCs w:val="22"/>
        </w:rPr>
        <w:t>DEL RECURSO DE REVISIÓN</w:t>
      </w:r>
      <w:bookmarkEnd w:id="7"/>
    </w:p>
    <w:p w14:paraId="2B216813" w14:textId="61ADBB2B" w:rsidR="00664420" w:rsidRPr="00FD4F09" w:rsidRDefault="006E25BC" w:rsidP="00FD4F09">
      <w:pPr>
        <w:pStyle w:val="Ttulo3"/>
        <w:rPr>
          <w:szCs w:val="22"/>
        </w:rPr>
      </w:pPr>
      <w:bookmarkStart w:id="8" w:name="_Toc178879259"/>
      <w:r w:rsidRPr="00FD4F09">
        <w:rPr>
          <w:szCs w:val="22"/>
        </w:rPr>
        <w:t xml:space="preserve">a) </w:t>
      </w:r>
      <w:r w:rsidR="00664420" w:rsidRPr="00FD4F09">
        <w:rPr>
          <w:szCs w:val="22"/>
        </w:rPr>
        <w:t>Interposición del Recurso de Revisión</w:t>
      </w:r>
      <w:bookmarkEnd w:id="8"/>
    </w:p>
    <w:p w14:paraId="6279C622" w14:textId="41BF73D8" w:rsidR="00664420" w:rsidRPr="00FD4F09" w:rsidRDefault="00664420" w:rsidP="00FD4F09">
      <w:pPr>
        <w:autoSpaceDE w:val="0"/>
        <w:autoSpaceDN w:val="0"/>
        <w:adjustRightInd w:val="0"/>
        <w:ind w:right="-28"/>
        <w:rPr>
          <w:rFonts w:cs="Tahoma"/>
          <w:szCs w:val="22"/>
        </w:rPr>
      </w:pPr>
      <w:r w:rsidRPr="00FD4F09">
        <w:rPr>
          <w:rFonts w:cs="Tahoma"/>
          <w:szCs w:val="22"/>
        </w:rPr>
        <w:t xml:space="preserve">El </w:t>
      </w:r>
      <w:r w:rsidR="00B87EBE" w:rsidRPr="00FD4F09">
        <w:rPr>
          <w:rFonts w:cs="Tahoma"/>
          <w:b/>
          <w:bCs/>
          <w:szCs w:val="22"/>
        </w:rPr>
        <w:t>nueve de septiembre</w:t>
      </w:r>
      <w:r w:rsidRPr="00FD4F09">
        <w:rPr>
          <w:rFonts w:cs="Tahoma"/>
          <w:b/>
          <w:bCs/>
          <w:szCs w:val="22"/>
        </w:rPr>
        <w:t xml:space="preserve"> de dos mil </w:t>
      </w:r>
      <w:r w:rsidR="00E810F7" w:rsidRPr="00FD4F09">
        <w:rPr>
          <w:rFonts w:cs="Tahoma"/>
          <w:b/>
          <w:bCs/>
          <w:szCs w:val="22"/>
        </w:rPr>
        <w:t>veinticuatro</w:t>
      </w:r>
      <w:r w:rsidR="00A61D5A" w:rsidRPr="00FD4F09">
        <w:rPr>
          <w:rFonts w:cs="Tahoma"/>
          <w:b/>
          <w:bCs/>
          <w:szCs w:val="22"/>
        </w:rPr>
        <w:t>,</w:t>
      </w:r>
      <w:r w:rsidRPr="00FD4F09">
        <w:rPr>
          <w:rFonts w:cs="Tahoma"/>
          <w:szCs w:val="22"/>
        </w:rPr>
        <w:t xml:space="preserve"> </w:t>
      </w:r>
      <w:r w:rsidR="00F75D23" w:rsidRPr="00FD4F09">
        <w:rPr>
          <w:rFonts w:cs="Tahoma"/>
          <w:b/>
          <w:bCs/>
          <w:szCs w:val="22"/>
        </w:rPr>
        <w:t>LA PARTE RECURRENTE</w:t>
      </w:r>
      <w:r w:rsidR="00F75D23" w:rsidRPr="00FD4F09">
        <w:rPr>
          <w:rFonts w:cs="Tahoma"/>
          <w:szCs w:val="22"/>
        </w:rPr>
        <w:t xml:space="preserve"> interpuso el recurso de revisión en contra de la respuesta emitida por el </w:t>
      </w:r>
      <w:r w:rsidR="00F75D23" w:rsidRPr="00FD4F09">
        <w:rPr>
          <w:rFonts w:cs="Tahoma"/>
          <w:b/>
          <w:bCs/>
          <w:szCs w:val="22"/>
        </w:rPr>
        <w:t>SUJETO OBLIGADO</w:t>
      </w:r>
      <w:r w:rsidR="00953430" w:rsidRPr="00FD4F09">
        <w:rPr>
          <w:rFonts w:cs="Tahoma"/>
          <w:szCs w:val="22"/>
        </w:rPr>
        <w:t xml:space="preserve">, mismo que fue registrado en el SAIMEX con el número de expediente </w:t>
      </w:r>
      <w:r w:rsidR="00DA0C81" w:rsidRPr="00FD4F09">
        <w:rPr>
          <w:rFonts w:cs="Tahoma"/>
          <w:b/>
          <w:bCs/>
          <w:szCs w:val="22"/>
        </w:rPr>
        <w:t>05567/INFOEM/IP/RR/2024</w:t>
      </w:r>
      <w:r w:rsidR="00953430" w:rsidRPr="00FD4F09">
        <w:rPr>
          <w:rFonts w:cs="Tahoma"/>
          <w:szCs w:val="22"/>
        </w:rPr>
        <w:t>, y en el cual manifiesta lo siguiente</w:t>
      </w:r>
      <w:r w:rsidRPr="00FD4F09">
        <w:rPr>
          <w:rFonts w:cs="Tahoma"/>
          <w:szCs w:val="22"/>
        </w:rPr>
        <w:t>:</w:t>
      </w:r>
    </w:p>
    <w:p w14:paraId="74B30008" w14:textId="77777777" w:rsidR="00664420" w:rsidRPr="00FD4F09" w:rsidRDefault="00664420" w:rsidP="00FD4F09">
      <w:pPr>
        <w:tabs>
          <w:tab w:val="left" w:pos="4667"/>
        </w:tabs>
        <w:ind w:right="539"/>
        <w:rPr>
          <w:rFonts w:cs="Tahoma"/>
          <w:szCs w:val="22"/>
        </w:rPr>
      </w:pPr>
    </w:p>
    <w:p w14:paraId="66EBC1E5" w14:textId="77777777" w:rsidR="006210F1" w:rsidRPr="00FD4F09" w:rsidRDefault="00664420" w:rsidP="00FD4F09">
      <w:pPr>
        <w:tabs>
          <w:tab w:val="left" w:pos="4667"/>
        </w:tabs>
        <w:ind w:left="567" w:right="539"/>
        <w:rPr>
          <w:rFonts w:cs="Tahoma"/>
          <w:b/>
          <w:iCs/>
          <w:szCs w:val="22"/>
        </w:rPr>
      </w:pPr>
      <w:r w:rsidRPr="00FD4F09">
        <w:rPr>
          <w:rFonts w:cs="Tahoma"/>
          <w:b/>
          <w:iCs/>
          <w:szCs w:val="22"/>
        </w:rPr>
        <w:t>ACTO IMPUGNADO</w:t>
      </w:r>
    </w:p>
    <w:p w14:paraId="358EA4F6" w14:textId="77777777" w:rsidR="00262510" w:rsidRPr="00FD4F09" w:rsidRDefault="00262510" w:rsidP="00FD4F09">
      <w:pPr>
        <w:tabs>
          <w:tab w:val="left" w:pos="4667"/>
        </w:tabs>
        <w:ind w:left="567" w:right="539"/>
        <w:rPr>
          <w:rFonts w:cs="Tahoma"/>
          <w:b/>
          <w:iCs/>
          <w:szCs w:val="22"/>
        </w:rPr>
      </w:pPr>
    </w:p>
    <w:p w14:paraId="6AE8EA9A" w14:textId="3A50FE24" w:rsidR="00664420" w:rsidRPr="00FD4F09" w:rsidRDefault="00A61D5A" w:rsidP="00FD4F09">
      <w:pPr>
        <w:pStyle w:val="Puesto"/>
        <w:rPr>
          <w:szCs w:val="22"/>
        </w:rPr>
      </w:pPr>
      <w:r w:rsidRPr="00FD4F09">
        <w:rPr>
          <w:szCs w:val="22"/>
        </w:rPr>
        <w:t>“</w:t>
      </w:r>
      <w:r w:rsidR="00B87EBE" w:rsidRPr="00FD4F09">
        <w:rPr>
          <w:szCs w:val="22"/>
        </w:rPr>
        <w:t>EL DOCUMENTO ADJUNTADO COMO RESPUESTA A MI SOLICITUD DE TRANSPARENCIA.</w:t>
      </w:r>
      <w:r w:rsidR="005856CA" w:rsidRPr="00FD4F09">
        <w:rPr>
          <w:szCs w:val="22"/>
        </w:rPr>
        <w:t>"</w:t>
      </w:r>
    </w:p>
    <w:p w14:paraId="6238FEEF" w14:textId="77777777" w:rsidR="005856CA" w:rsidRPr="00FD4F09" w:rsidRDefault="005856CA" w:rsidP="00FD4F09">
      <w:pPr>
        <w:tabs>
          <w:tab w:val="left" w:pos="4667"/>
        </w:tabs>
        <w:ind w:left="567" w:right="539"/>
        <w:rPr>
          <w:rFonts w:cs="Tahoma"/>
          <w:b/>
          <w:iCs/>
          <w:szCs w:val="22"/>
        </w:rPr>
      </w:pPr>
    </w:p>
    <w:p w14:paraId="5A26CA2D" w14:textId="77777777" w:rsidR="006210F1" w:rsidRPr="00FD4F09" w:rsidRDefault="00664420" w:rsidP="00FD4F09">
      <w:pPr>
        <w:tabs>
          <w:tab w:val="left" w:pos="4667"/>
        </w:tabs>
        <w:ind w:left="567" w:right="539"/>
        <w:rPr>
          <w:rFonts w:cs="Tahoma"/>
          <w:b/>
          <w:iCs/>
          <w:szCs w:val="22"/>
        </w:rPr>
      </w:pPr>
      <w:r w:rsidRPr="00FD4F09">
        <w:rPr>
          <w:rFonts w:cs="Tahoma"/>
          <w:b/>
          <w:iCs/>
          <w:szCs w:val="22"/>
        </w:rPr>
        <w:t>RAZONES O MOTIVOS DE LA INCONFORMIDAD</w:t>
      </w:r>
    </w:p>
    <w:p w14:paraId="3C5B418A" w14:textId="77777777" w:rsidR="00262510" w:rsidRPr="00FD4F09" w:rsidRDefault="00262510" w:rsidP="00FD4F09">
      <w:pPr>
        <w:tabs>
          <w:tab w:val="left" w:pos="4667"/>
        </w:tabs>
        <w:ind w:left="567" w:right="539"/>
        <w:rPr>
          <w:rFonts w:cs="Tahoma"/>
          <w:b/>
          <w:iCs/>
          <w:szCs w:val="22"/>
        </w:rPr>
      </w:pPr>
    </w:p>
    <w:p w14:paraId="34DE365F" w14:textId="1E2FED25" w:rsidR="00A61D5A" w:rsidRPr="00FD4F09" w:rsidRDefault="00B87EBE" w:rsidP="00FD4F09">
      <w:pPr>
        <w:pStyle w:val="Puesto"/>
      </w:pPr>
      <w:r w:rsidRPr="00FD4F09">
        <w:t>EL OFICIO ADJUNTO COMO RESPUESTA ES UN DOCUMENTO EN EL QUE SE INDICAN SOLAMENTE LAS PREGUNTAS QUE YO MANDÉ SIN NADA MÁS. PRESUPONGO QUE EL DOCUMENTO FUE TURNADO A UNA ÁREA INTERNA Y NO ESTÁN CONTESTANDO NADA DE LO QUE SOLICITÉ.</w:t>
      </w:r>
    </w:p>
    <w:p w14:paraId="2FA96362" w14:textId="77777777" w:rsidR="00B87EBE" w:rsidRPr="00FD4F09" w:rsidRDefault="00B87EBE" w:rsidP="00FD4F09">
      <w:pPr>
        <w:tabs>
          <w:tab w:val="left" w:pos="4667"/>
        </w:tabs>
        <w:ind w:right="567"/>
        <w:rPr>
          <w:rFonts w:cs="Tahoma"/>
          <w:b/>
          <w:bCs/>
          <w:szCs w:val="22"/>
        </w:rPr>
      </w:pPr>
    </w:p>
    <w:p w14:paraId="6804DEF1" w14:textId="3C4F6CB5" w:rsidR="00664420" w:rsidRPr="00FD4F09" w:rsidRDefault="006E25BC" w:rsidP="00FD4F09">
      <w:pPr>
        <w:pStyle w:val="Ttulo3"/>
        <w:rPr>
          <w:szCs w:val="22"/>
        </w:rPr>
      </w:pPr>
      <w:bookmarkStart w:id="9" w:name="_Toc178879260"/>
      <w:r w:rsidRPr="00FD4F09">
        <w:rPr>
          <w:szCs w:val="22"/>
        </w:rPr>
        <w:t>b</w:t>
      </w:r>
      <w:r w:rsidR="00664420" w:rsidRPr="00FD4F09">
        <w:rPr>
          <w:szCs w:val="22"/>
        </w:rPr>
        <w:t>) Turno del Recurso de Revisión</w:t>
      </w:r>
      <w:bookmarkEnd w:id="9"/>
    </w:p>
    <w:p w14:paraId="1173671B" w14:textId="7B78A773" w:rsidR="00C72DAA" w:rsidRPr="00FD4F09" w:rsidRDefault="00C72DAA" w:rsidP="00FD4F09">
      <w:pPr>
        <w:rPr>
          <w:szCs w:val="22"/>
        </w:rPr>
      </w:pPr>
      <w:r w:rsidRPr="00FD4F09">
        <w:rPr>
          <w:szCs w:val="22"/>
        </w:rPr>
        <w:t>Con fundamento en el artículo 185, fracción I de la Ley de Transparencia y Acceso a la Información Pública del Estado de México y Municipios, el</w:t>
      </w:r>
      <w:r w:rsidRPr="00FD4F09">
        <w:rPr>
          <w:b/>
          <w:bCs/>
          <w:szCs w:val="22"/>
        </w:rPr>
        <w:t xml:space="preserve"> </w:t>
      </w:r>
      <w:r w:rsidR="00B87EBE" w:rsidRPr="00FD4F09">
        <w:rPr>
          <w:rFonts w:cs="Tahoma"/>
          <w:b/>
          <w:bCs/>
          <w:szCs w:val="22"/>
        </w:rPr>
        <w:t>nueve de septiembre</w:t>
      </w:r>
      <w:r w:rsidR="00A61D5A" w:rsidRPr="00FD4F09">
        <w:rPr>
          <w:rFonts w:cs="Tahoma"/>
          <w:b/>
          <w:bCs/>
          <w:szCs w:val="22"/>
        </w:rPr>
        <w:t xml:space="preserve"> de dos mil veinticuatro,</w:t>
      </w:r>
      <w:r w:rsidRPr="00FD4F09">
        <w:rPr>
          <w:szCs w:val="22"/>
        </w:rPr>
        <w:t xml:space="preserve"> se turnó el recurso de revisión a través del</w:t>
      </w:r>
      <w:r w:rsidRPr="00FD4F09">
        <w:rPr>
          <w:rFonts w:eastAsia="Arial Unicode MS"/>
          <w:szCs w:val="22"/>
        </w:rPr>
        <w:t xml:space="preserve"> </w:t>
      </w:r>
      <w:r w:rsidRPr="00FD4F09">
        <w:rPr>
          <w:rFonts w:eastAsia="Arial Unicode MS"/>
          <w:bCs/>
          <w:szCs w:val="22"/>
        </w:rPr>
        <w:t>SAIMEX</w:t>
      </w:r>
      <w:r w:rsidRPr="00FD4F09">
        <w:rPr>
          <w:szCs w:val="22"/>
        </w:rPr>
        <w:t xml:space="preserve"> a la </w:t>
      </w:r>
      <w:r w:rsidRPr="00FD4F09">
        <w:rPr>
          <w:b/>
          <w:szCs w:val="22"/>
        </w:rPr>
        <w:t>Comisionada Sharon Cristina Morales Martínez</w:t>
      </w:r>
      <w:r w:rsidRPr="00FD4F09">
        <w:rPr>
          <w:bCs/>
          <w:szCs w:val="22"/>
        </w:rPr>
        <w:t xml:space="preserve">, </w:t>
      </w:r>
      <w:r w:rsidRPr="00FD4F09">
        <w:rPr>
          <w:szCs w:val="22"/>
        </w:rPr>
        <w:t xml:space="preserve">a efecto de decretar su admisión o </w:t>
      </w:r>
      <w:proofErr w:type="spellStart"/>
      <w:r w:rsidRPr="00FD4F09">
        <w:rPr>
          <w:szCs w:val="22"/>
        </w:rPr>
        <w:t>desechamiento</w:t>
      </w:r>
      <w:proofErr w:type="spellEnd"/>
      <w:r w:rsidRPr="00FD4F09">
        <w:rPr>
          <w:szCs w:val="22"/>
        </w:rPr>
        <w:t xml:space="preserve">. </w:t>
      </w:r>
    </w:p>
    <w:p w14:paraId="18F305CB" w14:textId="77777777" w:rsidR="00664420" w:rsidRPr="00FD4F09" w:rsidRDefault="00664420" w:rsidP="00FD4F09">
      <w:pPr>
        <w:rPr>
          <w:rFonts w:eastAsia="Batang" w:cs="Tahoma"/>
          <w:bCs/>
          <w:szCs w:val="22"/>
        </w:rPr>
      </w:pPr>
    </w:p>
    <w:p w14:paraId="3E31EC2D" w14:textId="295256A1" w:rsidR="00664420" w:rsidRPr="00FD4F09" w:rsidRDefault="006E25BC" w:rsidP="00FD4F09">
      <w:pPr>
        <w:pStyle w:val="Ttulo3"/>
        <w:rPr>
          <w:szCs w:val="22"/>
        </w:rPr>
      </w:pPr>
      <w:bookmarkStart w:id="10" w:name="_Toc178879261"/>
      <w:r w:rsidRPr="00FD4F09">
        <w:rPr>
          <w:szCs w:val="22"/>
        </w:rPr>
        <w:lastRenderedPageBreak/>
        <w:t>c</w:t>
      </w:r>
      <w:r w:rsidR="00664420" w:rsidRPr="00FD4F09">
        <w:rPr>
          <w:szCs w:val="22"/>
        </w:rPr>
        <w:t>) Admisión del Recurso de Revisión</w:t>
      </w:r>
      <w:bookmarkEnd w:id="10"/>
    </w:p>
    <w:p w14:paraId="240447D5" w14:textId="719A52DD" w:rsidR="000E09C4" w:rsidRPr="00FD4F09" w:rsidRDefault="000E09C4" w:rsidP="00FD4F09">
      <w:pPr>
        <w:rPr>
          <w:rFonts w:cs="Arial"/>
          <w:szCs w:val="22"/>
        </w:rPr>
      </w:pPr>
      <w:r w:rsidRPr="00FD4F09">
        <w:rPr>
          <w:rFonts w:cs="Arial"/>
          <w:szCs w:val="22"/>
        </w:rPr>
        <w:t xml:space="preserve">El </w:t>
      </w:r>
      <w:r w:rsidR="00B87EBE" w:rsidRPr="00FD4F09">
        <w:rPr>
          <w:rFonts w:cs="Tahoma"/>
          <w:b/>
          <w:bCs/>
          <w:szCs w:val="22"/>
        </w:rPr>
        <w:t>doce de septiembre</w:t>
      </w:r>
      <w:r w:rsidR="00A61D5A" w:rsidRPr="00FD4F09">
        <w:rPr>
          <w:rFonts w:cs="Tahoma"/>
          <w:b/>
          <w:bCs/>
          <w:szCs w:val="22"/>
        </w:rPr>
        <w:t xml:space="preserve"> de dos mil veinticuatro</w:t>
      </w:r>
      <w:r w:rsidR="00A61D5A" w:rsidRPr="00FD4F09">
        <w:rPr>
          <w:rFonts w:cs="Tahoma"/>
          <w:szCs w:val="22"/>
        </w:rPr>
        <w:t xml:space="preserve">, </w:t>
      </w:r>
      <w:r w:rsidRPr="00FD4F09">
        <w:rPr>
          <w:rFonts w:cs="Arial"/>
          <w:szCs w:val="22"/>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FD4F09">
        <w:rPr>
          <w:rFonts w:cs="Arial"/>
          <w:szCs w:val="22"/>
        </w:rPr>
        <w:t>, fracción II</w:t>
      </w:r>
      <w:r w:rsidRPr="00FD4F09">
        <w:rPr>
          <w:rFonts w:cs="Arial"/>
          <w:szCs w:val="22"/>
        </w:rPr>
        <w:t xml:space="preserve"> de la Ley de Transparencia y Acceso a la Información Pública del Estado de México y Municipios.</w:t>
      </w:r>
    </w:p>
    <w:p w14:paraId="34EC3F86" w14:textId="77777777" w:rsidR="00D2790D" w:rsidRPr="00FD4F09" w:rsidRDefault="00D2790D" w:rsidP="00FD4F09">
      <w:pPr>
        <w:rPr>
          <w:rFonts w:cs="Arial"/>
          <w:szCs w:val="22"/>
        </w:rPr>
      </w:pPr>
    </w:p>
    <w:p w14:paraId="3B820F58" w14:textId="5EBF1699" w:rsidR="00865CF4" w:rsidRPr="00FD4F09" w:rsidRDefault="006E25BC" w:rsidP="00FD4F09">
      <w:pPr>
        <w:pStyle w:val="Ttulo3"/>
        <w:rPr>
          <w:szCs w:val="22"/>
        </w:rPr>
      </w:pPr>
      <w:bookmarkStart w:id="11" w:name="_Toc178879262"/>
      <w:r w:rsidRPr="00FD4F09">
        <w:rPr>
          <w:szCs w:val="22"/>
        </w:rPr>
        <w:t>d</w:t>
      </w:r>
      <w:r w:rsidR="00D2790D" w:rsidRPr="00FD4F09">
        <w:rPr>
          <w:szCs w:val="22"/>
        </w:rPr>
        <w:t xml:space="preserve">) </w:t>
      </w:r>
      <w:r w:rsidR="00865CF4" w:rsidRPr="00FD4F09">
        <w:rPr>
          <w:szCs w:val="22"/>
        </w:rPr>
        <w:t>Informe Justificado del Sujeto Obligado</w:t>
      </w:r>
      <w:bookmarkEnd w:id="11"/>
    </w:p>
    <w:p w14:paraId="596A6973" w14:textId="77777777" w:rsidR="006E4326" w:rsidRPr="00FD4F09" w:rsidRDefault="006E4326" w:rsidP="00FD4F09">
      <w:pPr>
        <w:rPr>
          <w:szCs w:val="22"/>
        </w:rPr>
      </w:pPr>
      <w:r w:rsidRPr="00FD4F09">
        <w:rPr>
          <w:b/>
          <w:szCs w:val="22"/>
        </w:rPr>
        <w:t xml:space="preserve">EL SUJETO OBLIGADO </w:t>
      </w:r>
      <w:r w:rsidRPr="00FD4F09">
        <w:rPr>
          <w:szCs w:val="22"/>
        </w:rPr>
        <w:t>no rindió su informe justificado dentro del término legalmente concedido para tal efecto.</w:t>
      </w:r>
    </w:p>
    <w:p w14:paraId="4F89B277" w14:textId="77777777" w:rsidR="00961F5C" w:rsidRPr="00FD4F09" w:rsidRDefault="00961F5C" w:rsidP="00FD4F09">
      <w:pPr>
        <w:rPr>
          <w:rFonts w:cs="Tahoma"/>
          <w:bCs/>
          <w:szCs w:val="22"/>
        </w:rPr>
      </w:pPr>
    </w:p>
    <w:p w14:paraId="755B7730" w14:textId="2A0EB956" w:rsidR="00664420" w:rsidRPr="00FD4F09" w:rsidRDefault="00E810F7" w:rsidP="00FD4F09">
      <w:pPr>
        <w:pStyle w:val="Ttulo3"/>
        <w:rPr>
          <w:szCs w:val="22"/>
          <w:lang w:val="es-ES"/>
        </w:rPr>
      </w:pPr>
      <w:bookmarkStart w:id="12" w:name="_Toc178879263"/>
      <w:r w:rsidRPr="00FD4F09">
        <w:rPr>
          <w:rFonts w:eastAsia="Calibri"/>
          <w:bCs/>
          <w:szCs w:val="22"/>
          <w:lang w:eastAsia="en-US"/>
        </w:rPr>
        <w:t>e</w:t>
      </w:r>
      <w:r w:rsidR="00664420" w:rsidRPr="00FD4F09">
        <w:rPr>
          <w:rFonts w:eastAsia="Calibri"/>
          <w:bCs/>
          <w:szCs w:val="22"/>
          <w:lang w:eastAsia="en-US"/>
        </w:rPr>
        <w:t>)</w:t>
      </w:r>
      <w:r w:rsidR="00664420" w:rsidRPr="00FD4F09">
        <w:rPr>
          <w:szCs w:val="22"/>
        </w:rPr>
        <w:t xml:space="preserve"> </w:t>
      </w:r>
      <w:r w:rsidR="00865CF4" w:rsidRPr="00FD4F09">
        <w:rPr>
          <w:szCs w:val="22"/>
          <w:lang w:val="es-ES"/>
        </w:rPr>
        <w:t>Manifestaciones de la Parte Recurrente</w:t>
      </w:r>
      <w:bookmarkEnd w:id="12"/>
    </w:p>
    <w:p w14:paraId="001585DB" w14:textId="7D358610" w:rsidR="00A61D5A" w:rsidRPr="00FD4F09" w:rsidRDefault="00A61D5A" w:rsidP="00FD4F09">
      <w:pPr>
        <w:rPr>
          <w:szCs w:val="22"/>
        </w:rPr>
      </w:pPr>
      <w:r w:rsidRPr="00FD4F09">
        <w:rPr>
          <w:b/>
          <w:szCs w:val="22"/>
        </w:rPr>
        <w:t xml:space="preserve">LA PARTE RECURRENTE </w:t>
      </w:r>
      <w:r w:rsidRPr="00FD4F09">
        <w:rPr>
          <w:szCs w:val="22"/>
        </w:rPr>
        <w:t>no realizó manifestación alguna dentro del término legalmente concedido para tal efecto, ni presentó pruebas o alegatos.</w:t>
      </w:r>
    </w:p>
    <w:p w14:paraId="09650BC7" w14:textId="77777777" w:rsidR="00A61D5A" w:rsidRPr="00FD4F09" w:rsidRDefault="00A61D5A" w:rsidP="00FD4F09">
      <w:pPr>
        <w:rPr>
          <w:szCs w:val="22"/>
        </w:rPr>
      </w:pPr>
    </w:p>
    <w:p w14:paraId="68F89733" w14:textId="20DD0672" w:rsidR="00961F5C" w:rsidRPr="00FD4F09" w:rsidRDefault="00961F5C" w:rsidP="00FD4F09">
      <w:pPr>
        <w:pStyle w:val="Ttulo3"/>
        <w:rPr>
          <w:szCs w:val="22"/>
        </w:rPr>
      </w:pPr>
      <w:bookmarkStart w:id="13" w:name="_Toc165402852"/>
      <w:bookmarkStart w:id="14" w:name="_Toc174007527"/>
      <w:bookmarkStart w:id="15" w:name="_Toc178879264"/>
      <w:r w:rsidRPr="00FD4F09">
        <w:rPr>
          <w:rFonts w:eastAsia="Calibri"/>
          <w:szCs w:val="22"/>
        </w:rPr>
        <w:t>f</w:t>
      </w:r>
      <w:r w:rsidR="00D332D7" w:rsidRPr="00FD4F09">
        <w:rPr>
          <w:rFonts w:eastAsia="Calibri"/>
          <w:szCs w:val="22"/>
        </w:rPr>
        <w:t xml:space="preserve">) </w:t>
      </w:r>
      <w:bookmarkEnd w:id="13"/>
      <w:bookmarkEnd w:id="14"/>
      <w:r w:rsidRPr="00FD4F09">
        <w:rPr>
          <w:szCs w:val="22"/>
        </w:rPr>
        <w:t>Cierre de instrucción</w:t>
      </w:r>
      <w:bookmarkEnd w:id="15"/>
    </w:p>
    <w:p w14:paraId="23CD783D" w14:textId="04DD00EE" w:rsidR="00961F5C" w:rsidRPr="00FD4F09" w:rsidRDefault="00961F5C" w:rsidP="00FD4F09">
      <w:pPr>
        <w:rPr>
          <w:rFonts w:cs="Tahoma"/>
          <w:szCs w:val="22"/>
        </w:rPr>
      </w:pPr>
      <w:r w:rsidRPr="00FD4F09">
        <w:rPr>
          <w:rFonts w:cs="Tahoma"/>
          <w:szCs w:val="22"/>
        </w:rPr>
        <w:t>Al no existir diligencias pendientes por desahogar</w:t>
      </w:r>
      <w:r w:rsidRPr="00FD4F09">
        <w:rPr>
          <w:rFonts w:cs="Arial"/>
          <w:szCs w:val="22"/>
        </w:rPr>
        <w:t xml:space="preserve">, el </w:t>
      </w:r>
      <w:r w:rsidR="00B87EBE" w:rsidRPr="00FD4F09">
        <w:rPr>
          <w:rFonts w:cs="Tahoma"/>
          <w:b/>
          <w:bCs/>
          <w:szCs w:val="22"/>
        </w:rPr>
        <w:t>veinticinco de septiembre</w:t>
      </w:r>
      <w:r w:rsidRPr="00FD4F09">
        <w:rPr>
          <w:rFonts w:cs="Tahoma"/>
          <w:b/>
          <w:bCs/>
          <w:szCs w:val="22"/>
        </w:rPr>
        <w:t xml:space="preserve"> de dos mil veinticuatro</w:t>
      </w:r>
      <w:r w:rsidRPr="00FD4F09">
        <w:rPr>
          <w:rFonts w:cs="Tahoma"/>
          <w:szCs w:val="22"/>
        </w:rPr>
        <w:t xml:space="preserve"> </w:t>
      </w:r>
      <w:r w:rsidRPr="00FD4F09">
        <w:rPr>
          <w:rFonts w:cs="Arial"/>
          <w:szCs w:val="22"/>
        </w:rPr>
        <w:t xml:space="preserve">la </w:t>
      </w:r>
      <w:r w:rsidRPr="00FD4F09">
        <w:rPr>
          <w:rFonts w:cs="Arial"/>
          <w:b/>
          <w:bCs/>
          <w:szCs w:val="22"/>
        </w:rPr>
        <w:t xml:space="preserve">Comisionada </w:t>
      </w:r>
      <w:r w:rsidRPr="00FD4F09">
        <w:rPr>
          <w:b/>
          <w:szCs w:val="22"/>
        </w:rPr>
        <w:t xml:space="preserve">Sharon Cristina Morales Martínez </w:t>
      </w:r>
      <w:r w:rsidRPr="00FD4F09">
        <w:rPr>
          <w:rFonts w:cs="Arial"/>
          <w:szCs w:val="22"/>
        </w:rPr>
        <w:t>acordó el cierre de instrucción y la remisión del expediente a efecto de ser resuelto, de conformidad con lo establecido en el artículo 185 fracciones VI y VIII de la Ley de Transparencia y Acceso a la Información Pública del Estado de México y Municipios</w:t>
      </w:r>
      <w:r w:rsidRPr="00FD4F09">
        <w:rPr>
          <w:szCs w:val="22"/>
        </w:rPr>
        <w:t xml:space="preserve">. Dicho acuerdo </w:t>
      </w:r>
      <w:r w:rsidRPr="00FD4F09">
        <w:rPr>
          <w:rFonts w:cs="Tahoma"/>
          <w:szCs w:val="22"/>
        </w:rPr>
        <w:t xml:space="preserve">fue notificado a las partes el mismo día a través del </w:t>
      </w:r>
      <w:r w:rsidRPr="00FD4F09">
        <w:rPr>
          <w:rFonts w:cs="Tahoma"/>
          <w:b/>
          <w:szCs w:val="22"/>
          <w:lang w:val="es-ES"/>
        </w:rPr>
        <w:t>SAIMEX</w:t>
      </w:r>
      <w:r w:rsidRPr="00FD4F09">
        <w:rPr>
          <w:rFonts w:cs="Tahoma"/>
          <w:szCs w:val="22"/>
        </w:rPr>
        <w:t>.</w:t>
      </w:r>
    </w:p>
    <w:p w14:paraId="674BFB67" w14:textId="77777777" w:rsidR="00961F5C" w:rsidRPr="00FD4F09" w:rsidRDefault="00961F5C" w:rsidP="00FD4F09">
      <w:pPr>
        <w:pStyle w:val="paragraph"/>
        <w:spacing w:before="0" w:beforeAutospacing="0" w:after="0" w:afterAutospacing="0"/>
        <w:textAlignment w:val="baseline"/>
        <w:rPr>
          <w:rStyle w:val="eop"/>
          <w:rFonts w:cs="Segoe UI"/>
          <w:sz w:val="22"/>
          <w:szCs w:val="22"/>
        </w:rPr>
      </w:pPr>
    </w:p>
    <w:p w14:paraId="741683E3" w14:textId="77777777" w:rsidR="0011350D" w:rsidRPr="00FD4F09" w:rsidRDefault="0011350D" w:rsidP="00FD4F09">
      <w:pPr>
        <w:rPr>
          <w:rFonts w:cs="Tahoma"/>
          <w:szCs w:val="22"/>
        </w:rPr>
      </w:pPr>
    </w:p>
    <w:p w14:paraId="7A9629DE" w14:textId="77777777" w:rsidR="00664420" w:rsidRPr="00FD4F09" w:rsidRDefault="00664420" w:rsidP="00FD4F09">
      <w:pPr>
        <w:pStyle w:val="Ttulo1"/>
        <w:rPr>
          <w:rFonts w:eastAsiaTheme="minorHAnsi"/>
          <w:szCs w:val="22"/>
          <w:lang w:eastAsia="en-US"/>
        </w:rPr>
      </w:pPr>
      <w:bookmarkStart w:id="16" w:name="_Toc178879265"/>
      <w:r w:rsidRPr="00FD4F09">
        <w:rPr>
          <w:rFonts w:eastAsiaTheme="minorHAnsi"/>
          <w:szCs w:val="22"/>
          <w:lang w:eastAsia="en-US"/>
        </w:rPr>
        <w:lastRenderedPageBreak/>
        <w:t>CONSIDERANDOS</w:t>
      </w:r>
      <w:bookmarkEnd w:id="16"/>
    </w:p>
    <w:p w14:paraId="6DD1243B" w14:textId="77777777" w:rsidR="00664420" w:rsidRPr="00FD4F09" w:rsidRDefault="00664420" w:rsidP="00FD4F09">
      <w:pPr>
        <w:contextualSpacing/>
        <w:jc w:val="center"/>
        <w:rPr>
          <w:rFonts w:eastAsiaTheme="minorHAnsi" w:cs="Tahoma"/>
          <w:b/>
          <w:szCs w:val="22"/>
          <w:lang w:eastAsia="en-US"/>
        </w:rPr>
      </w:pPr>
    </w:p>
    <w:p w14:paraId="0B67CB92" w14:textId="2E307D3B" w:rsidR="00664420" w:rsidRPr="00FD4F09" w:rsidRDefault="00664420" w:rsidP="00FD4F09">
      <w:pPr>
        <w:pStyle w:val="Ttulo2"/>
        <w:rPr>
          <w:rFonts w:eastAsia="Batang"/>
          <w:szCs w:val="22"/>
        </w:rPr>
      </w:pPr>
      <w:bookmarkStart w:id="17" w:name="_Toc178879266"/>
      <w:r w:rsidRPr="00FD4F09">
        <w:rPr>
          <w:rFonts w:eastAsia="Batang"/>
          <w:szCs w:val="22"/>
        </w:rPr>
        <w:t xml:space="preserve">PRIMERO. </w:t>
      </w:r>
      <w:proofErr w:type="spellStart"/>
      <w:r w:rsidR="00BA55A8" w:rsidRPr="00FD4F09">
        <w:rPr>
          <w:rFonts w:eastAsia="Batang"/>
          <w:szCs w:val="22"/>
        </w:rPr>
        <w:t>Procedibilidad</w:t>
      </w:r>
      <w:bookmarkEnd w:id="17"/>
      <w:proofErr w:type="spellEnd"/>
    </w:p>
    <w:p w14:paraId="39C52BC1" w14:textId="56FCC20D" w:rsidR="00BA55A8" w:rsidRPr="00FD4F09" w:rsidRDefault="00BA55A8" w:rsidP="00FD4F09">
      <w:pPr>
        <w:pStyle w:val="Ttulo3"/>
        <w:rPr>
          <w:szCs w:val="22"/>
        </w:rPr>
      </w:pPr>
      <w:bookmarkStart w:id="18" w:name="_Toc178879267"/>
      <w:r w:rsidRPr="00FD4F09">
        <w:rPr>
          <w:szCs w:val="22"/>
        </w:rPr>
        <w:t>a) Competencia</w:t>
      </w:r>
      <w:r w:rsidR="00150C49" w:rsidRPr="00FD4F09">
        <w:rPr>
          <w:szCs w:val="22"/>
        </w:rPr>
        <w:t xml:space="preserve"> del Instituto</w:t>
      </w:r>
      <w:bookmarkEnd w:id="18"/>
    </w:p>
    <w:p w14:paraId="56E64942" w14:textId="6572EDF7" w:rsidR="0011350D" w:rsidRPr="00FD4F09" w:rsidRDefault="0011350D" w:rsidP="00FD4F09">
      <w:pPr>
        <w:rPr>
          <w:rFonts w:cs="Arial"/>
          <w:szCs w:val="22"/>
        </w:rPr>
      </w:pPr>
      <w:r w:rsidRPr="00FD4F09">
        <w:rPr>
          <w:szCs w:val="22"/>
        </w:rPr>
        <w:t xml:space="preserve">Este Instituto de Transparencia, Acceso a la Información Pública y Protección de Datos Personales del Estado de México y Municipios es competente para conocer y resolver </w:t>
      </w:r>
      <w:r w:rsidR="005F65B7" w:rsidRPr="00FD4F09">
        <w:rPr>
          <w:szCs w:val="22"/>
        </w:rPr>
        <w:t xml:space="preserve">el </w:t>
      </w:r>
      <w:r w:rsidRPr="00FD4F09">
        <w:rPr>
          <w:szCs w:val="22"/>
        </w:rPr>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FD4F09">
        <w:rPr>
          <w:rFonts w:cs="Arial"/>
          <w:szCs w:val="22"/>
        </w:rPr>
        <w:t>; y 9, fracciones I y XXIII y 11 del Reglamento Interior del Instituto de Transparencia, Acceso a la Información Pública y Protección de Datos Personales del Estado de México y Municipios.</w:t>
      </w:r>
    </w:p>
    <w:p w14:paraId="6C36A399" w14:textId="77777777" w:rsidR="00DB1C09" w:rsidRPr="00FD4F09" w:rsidRDefault="00DB1C09" w:rsidP="00FD4F09">
      <w:pPr>
        <w:rPr>
          <w:rFonts w:cs="Arial"/>
          <w:szCs w:val="22"/>
        </w:rPr>
      </w:pPr>
    </w:p>
    <w:p w14:paraId="517A2DD6" w14:textId="4169BE4D" w:rsidR="00664420" w:rsidRPr="00FD4F09" w:rsidRDefault="00BA55A8" w:rsidP="00FD4F09">
      <w:pPr>
        <w:pStyle w:val="Ttulo3"/>
        <w:rPr>
          <w:szCs w:val="22"/>
        </w:rPr>
      </w:pPr>
      <w:bookmarkStart w:id="19" w:name="_Toc178879268"/>
      <w:r w:rsidRPr="00FD4F09">
        <w:rPr>
          <w:szCs w:val="22"/>
        </w:rPr>
        <w:t>b)</w:t>
      </w:r>
      <w:r w:rsidR="00664420" w:rsidRPr="00FD4F09">
        <w:rPr>
          <w:szCs w:val="22"/>
        </w:rPr>
        <w:t xml:space="preserve"> </w:t>
      </w:r>
      <w:r w:rsidR="00D91CB4" w:rsidRPr="00FD4F09">
        <w:rPr>
          <w:szCs w:val="22"/>
        </w:rPr>
        <w:t>Legitimidad</w:t>
      </w:r>
      <w:r w:rsidRPr="00FD4F09">
        <w:rPr>
          <w:szCs w:val="22"/>
        </w:rPr>
        <w:t xml:space="preserve"> de la parte recurrente</w:t>
      </w:r>
      <w:bookmarkEnd w:id="19"/>
    </w:p>
    <w:p w14:paraId="26FEA382" w14:textId="0B06695C" w:rsidR="00D91CB4" w:rsidRPr="00FD4F09" w:rsidRDefault="00D91CB4" w:rsidP="00FD4F09">
      <w:pPr>
        <w:rPr>
          <w:rFonts w:cs="Arial"/>
          <w:bCs/>
          <w:szCs w:val="22"/>
        </w:rPr>
      </w:pPr>
      <w:r w:rsidRPr="00FD4F09">
        <w:rPr>
          <w:rFonts w:cs="Arial"/>
          <w:bCs/>
          <w:szCs w:val="22"/>
        </w:rPr>
        <w:t>El recurso de revisión fue interpuesto por parte legítima, ya que se presentó por la misma persona que formuló la solicitud de acceso a la Información Pública,</w:t>
      </w:r>
      <w:r w:rsidRPr="00FD4F09">
        <w:rPr>
          <w:rFonts w:cs="Arial"/>
          <w:b/>
          <w:bCs/>
          <w:szCs w:val="22"/>
        </w:rPr>
        <w:t xml:space="preserve"> </w:t>
      </w:r>
      <w:r w:rsidRPr="00FD4F09">
        <w:rPr>
          <w:rFonts w:cs="Arial"/>
          <w:szCs w:val="22"/>
        </w:rPr>
        <w:t>debido a que los datos de acceso</w:t>
      </w:r>
      <w:r w:rsidRPr="00FD4F09">
        <w:rPr>
          <w:rFonts w:cs="Arial"/>
          <w:b/>
          <w:bCs/>
          <w:szCs w:val="22"/>
        </w:rPr>
        <w:t xml:space="preserve"> </w:t>
      </w:r>
      <w:r w:rsidRPr="00FD4F09">
        <w:rPr>
          <w:rFonts w:cs="Arial"/>
          <w:b/>
          <w:szCs w:val="22"/>
        </w:rPr>
        <w:t>SAIMEX</w:t>
      </w:r>
      <w:r w:rsidRPr="00FD4F09">
        <w:rPr>
          <w:rFonts w:eastAsia="Calibri" w:cs="Arial"/>
          <w:szCs w:val="22"/>
          <w:lang w:eastAsia="en-US"/>
        </w:rPr>
        <w:t xml:space="preserve"> son personales e irrepetibles.</w:t>
      </w:r>
    </w:p>
    <w:p w14:paraId="2C367810" w14:textId="77777777" w:rsidR="00D91CB4" w:rsidRPr="00FD4F09" w:rsidRDefault="00D91CB4" w:rsidP="00FD4F09">
      <w:pPr>
        <w:rPr>
          <w:szCs w:val="22"/>
        </w:rPr>
      </w:pPr>
    </w:p>
    <w:p w14:paraId="496490FC" w14:textId="1A5F3FDB" w:rsidR="00D91CB4" w:rsidRPr="00FD4F09" w:rsidRDefault="00BA55A8" w:rsidP="00FD4F09">
      <w:pPr>
        <w:pStyle w:val="Ttulo3"/>
        <w:rPr>
          <w:rFonts w:eastAsia="Calibri"/>
          <w:szCs w:val="22"/>
          <w:lang w:eastAsia="es-ES_tradnl"/>
        </w:rPr>
      </w:pPr>
      <w:bookmarkStart w:id="20" w:name="_Toc178879269"/>
      <w:r w:rsidRPr="00FD4F09">
        <w:rPr>
          <w:rFonts w:eastAsia="Calibri"/>
          <w:szCs w:val="22"/>
          <w:lang w:eastAsia="es-ES_tradnl"/>
        </w:rPr>
        <w:t>c)</w:t>
      </w:r>
      <w:r w:rsidR="00664420" w:rsidRPr="00FD4F09">
        <w:rPr>
          <w:rFonts w:eastAsia="Calibri"/>
          <w:szCs w:val="22"/>
          <w:lang w:eastAsia="es-ES_tradnl"/>
        </w:rPr>
        <w:t xml:space="preserve"> </w:t>
      </w:r>
      <w:r w:rsidR="00D91CB4" w:rsidRPr="00FD4F09">
        <w:rPr>
          <w:rFonts w:eastAsia="Calibri"/>
          <w:szCs w:val="22"/>
          <w:lang w:eastAsia="es-ES_tradnl"/>
        </w:rPr>
        <w:t>Plazo para interponer el recurso</w:t>
      </w:r>
      <w:bookmarkEnd w:id="20"/>
    </w:p>
    <w:p w14:paraId="106D37EE" w14:textId="534E706E" w:rsidR="00D91CB4" w:rsidRPr="00FD4F09" w:rsidRDefault="00D91CB4" w:rsidP="00FD4F09">
      <w:pPr>
        <w:rPr>
          <w:rFonts w:eastAsiaTheme="minorEastAsia" w:cs="Arial"/>
          <w:szCs w:val="22"/>
          <w:lang w:val="es-ES_tradnl"/>
        </w:rPr>
      </w:pPr>
      <w:r w:rsidRPr="00FD4F09">
        <w:rPr>
          <w:rFonts w:cs="Arial"/>
          <w:b/>
          <w:szCs w:val="22"/>
        </w:rPr>
        <w:t>EL SUJETO OBLIGADO</w:t>
      </w:r>
      <w:r w:rsidRPr="00FD4F09">
        <w:rPr>
          <w:rFonts w:cs="Arial"/>
          <w:szCs w:val="22"/>
        </w:rPr>
        <w:t xml:space="preserve"> notificó la respuesta a la solicitud de acceso a la Información Pública el </w:t>
      </w:r>
      <w:r w:rsidR="00866186" w:rsidRPr="00FD4F09">
        <w:rPr>
          <w:rFonts w:cs="Tahoma"/>
          <w:b/>
          <w:bCs/>
          <w:szCs w:val="22"/>
        </w:rPr>
        <w:t>nueve de septiembre</w:t>
      </w:r>
      <w:r w:rsidR="00DE285A" w:rsidRPr="00FD4F09">
        <w:rPr>
          <w:rFonts w:cs="Tahoma"/>
          <w:b/>
          <w:bCs/>
          <w:szCs w:val="22"/>
        </w:rPr>
        <w:t xml:space="preserve"> de dos mil veinticuatro</w:t>
      </w:r>
      <w:r w:rsidR="00DE285A" w:rsidRPr="00FD4F09">
        <w:rPr>
          <w:rFonts w:cs="Tahoma"/>
          <w:szCs w:val="22"/>
        </w:rPr>
        <w:t xml:space="preserve"> </w:t>
      </w:r>
      <w:r w:rsidR="00A53315" w:rsidRPr="00FD4F09">
        <w:rPr>
          <w:rFonts w:cs="Arial"/>
          <w:szCs w:val="22"/>
        </w:rPr>
        <w:t xml:space="preserve">y el recurso </w:t>
      </w:r>
      <w:r w:rsidR="00A53315" w:rsidRPr="00FD4F09">
        <w:rPr>
          <w:rFonts w:eastAsia="Palatino Linotype" w:cs="Palatino Linotype"/>
          <w:szCs w:val="22"/>
        </w:rPr>
        <w:t xml:space="preserve">que nos ocupa se </w:t>
      </w:r>
      <w:r w:rsidR="006A61F1" w:rsidRPr="00FD4F09">
        <w:rPr>
          <w:rFonts w:eastAsia="Palatino Linotype" w:cs="Palatino Linotype"/>
          <w:szCs w:val="22"/>
        </w:rPr>
        <w:t>tuvo por presentado</w:t>
      </w:r>
      <w:r w:rsidR="00A53315" w:rsidRPr="00FD4F09">
        <w:rPr>
          <w:rFonts w:eastAsia="Palatino Linotype" w:cs="Palatino Linotype"/>
          <w:szCs w:val="22"/>
        </w:rPr>
        <w:t xml:space="preserve"> el </w:t>
      </w:r>
      <w:r w:rsidR="00866186" w:rsidRPr="00FD4F09">
        <w:rPr>
          <w:rFonts w:cs="Tahoma"/>
          <w:b/>
          <w:bCs/>
          <w:szCs w:val="22"/>
        </w:rPr>
        <w:t>nueve de septiembre</w:t>
      </w:r>
      <w:r w:rsidR="00DE285A" w:rsidRPr="00FD4F09">
        <w:rPr>
          <w:rFonts w:cs="Tahoma"/>
          <w:b/>
          <w:bCs/>
          <w:szCs w:val="22"/>
        </w:rPr>
        <w:t xml:space="preserve"> de dos mil veinticuatro</w:t>
      </w:r>
      <w:r w:rsidR="00A53315" w:rsidRPr="00FD4F09">
        <w:rPr>
          <w:rFonts w:eastAsia="Palatino Linotype" w:cs="Palatino Linotype"/>
          <w:bCs/>
          <w:szCs w:val="22"/>
        </w:rPr>
        <w:t>;</w:t>
      </w:r>
      <w:r w:rsidR="00A53315" w:rsidRPr="00FD4F09">
        <w:rPr>
          <w:rFonts w:eastAsia="Palatino Linotype" w:cs="Palatino Linotype"/>
          <w:szCs w:val="22"/>
        </w:rPr>
        <w:t xml:space="preserve"> por lo tanto, éste se encuentra </w:t>
      </w:r>
      <w:r w:rsidR="00A53315" w:rsidRPr="00FD4F09">
        <w:rPr>
          <w:rFonts w:eastAsia="Palatino Linotype" w:cs="Palatino Linotype"/>
          <w:szCs w:val="22"/>
        </w:rPr>
        <w:lastRenderedPageBreak/>
        <w:t xml:space="preserve">dentro del margen temporal previsto en el artículo 178 de la </w:t>
      </w:r>
      <w:r w:rsidR="00A53315" w:rsidRPr="00FD4F09">
        <w:rPr>
          <w:rFonts w:cs="Arial"/>
          <w:szCs w:val="22"/>
        </w:rPr>
        <w:t>Ley de Transparencia y Acceso a la Información Pública del Estado de México y Municipios</w:t>
      </w:r>
      <w:r w:rsidR="00CB7E9A" w:rsidRPr="00FD4F09">
        <w:rPr>
          <w:rFonts w:eastAsiaTheme="minorEastAsia" w:cs="Arial"/>
          <w:szCs w:val="22"/>
          <w:lang w:val="es-ES_tradnl"/>
        </w:rPr>
        <w:t>.</w:t>
      </w:r>
    </w:p>
    <w:p w14:paraId="49076992" w14:textId="77777777" w:rsidR="00D91CB4" w:rsidRPr="00FD4F09" w:rsidRDefault="00D91CB4" w:rsidP="00FD4F09">
      <w:pPr>
        <w:rPr>
          <w:rFonts w:eastAsia="Palatino Linotype" w:cs="Palatino Linotype"/>
          <w:szCs w:val="22"/>
        </w:rPr>
      </w:pPr>
    </w:p>
    <w:p w14:paraId="39EC4A25" w14:textId="2EFDFC57" w:rsidR="00262510" w:rsidRPr="00FD4F09" w:rsidRDefault="00262510" w:rsidP="00FD4F09">
      <w:pPr>
        <w:rPr>
          <w:sz w:val="24"/>
          <w:szCs w:val="24"/>
        </w:rPr>
      </w:pPr>
      <w:r w:rsidRPr="00FD4F09">
        <w:rPr>
          <w:sz w:val="24"/>
          <w:szCs w:val="24"/>
        </w:rPr>
        <w:t xml:space="preserve">Lo anterior es así, toda vez que aun cuando el medio de impugnación que nos ocupa, se haya interpuesto el mismo día en que fue notificada la respuesta impugnada, ello es insuficiente para desechar el Recurso de Revisión de mérito, toda vez que el precepto legal citado, sólo establece que estos medios de defensa se han de promover dentro de los quince días hábiles siguientes al en que </w:t>
      </w:r>
      <w:r w:rsidRPr="00FD4F09">
        <w:rPr>
          <w:b/>
          <w:sz w:val="24"/>
          <w:szCs w:val="24"/>
        </w:rPr>
        <w:t>L</w:t>
      </w:r>
      <w:r w:rsidR="00C84CFC" w:rsidRPr="00FD4F09">
        <w:rPr>
          <w:b/>
          <w:sz w:val="24"/>
          <w:szCs w:val="24"/>
        </w:rPr>
        <w:t>A PARTE</w:t>
      </w:r>
      <w:r w:rsidRPr="00FD4F09">
        <w:rPr>
          <w:b/>
          <w:sz w:val="24"/>
          <w:szCs w:val="24"/>
        </w:rPr>
        <w:t xml:space="preserve"> RECURRENTE</w:t>
      </w:r>
      <w:r w:rsidRPr="00FD4F09">
        <w:rPr>
          <w:sz w:val="24"/>
          <w:szCs w:val="24"/>
        </w:rPr>
        <w:t xml:space="preserve"> tenga conocimiento de la respuesta impugnada; sin embargo, no prohíbe que el Recurso de Revisión, se presente el mismo día en que aquélla fue notificada.</w:t>
      </w:r>
    </w:p>
    <w:p w14:paraId="38E54F60" w14:textId="77777777" w:rsidR="00262510" w:rsidRPr="00FD4F09" w:rsidRDefault="00262510" w:rsidP="00FD4F09">
      <w:pPr>
        <w:rPr>
          <w:sz w:val="24"/>
          <w:szCs w:val="24"/>
        </w:rPr>
      </w:pPr>
    </w:p>
    <w:p w14:paraId="5022D8DC" w14:textId="77777777" w:rsidR="00262510" w:rsidRPr="00FD4F09" w:rsidRDefault="00262510" w:rsidP="00FD4F09">
      <w:pPr>
        <w:rPr>
          <w:sz w:val="24"/>
          <w:szCs w:val="24"/>
        </w:rPr>
      </w:pPr>
      <w:r w:rsidRPr="00FD4F09">
        <w:rPr>
          <w:sz w:val="24"/>
          <w:szCs w:val="24"/>
        </w:rPr>
        <w:t>En sustento a lo anterior, es aplicable por analogía la Jurisprudencia número 1a</w:t>
      </w:r>
      <w:proofErr w:type="gramStart"/>
      <w:r w:rsidRPr="00FD4F09">
        <w:rPr>
          <w:sz w:val="24"/>
          <w:szCs w:val="24"/>
        </w:rPr>
        <w:t>./</w:t>
      </w:r>
      <w:proofErr w:type="gramEnd"/>
      <w:r w:rsidRPr="00FD4F09">
        <w:rPr>
          <w:sz w:val="24"/>
          <w:szCs w:val="24"/>
        </w:rPr>
        <w:t>J. 41/2015 (10a.), Décima época, sustentada por la Primera Sala de la Suprema Corte de Justicia de la Nación, visible en la página 569, libro 19, tomo I, de la Gaceta del Semanario Judicial de la Federación, del mes de junio de 2015, cuyo rubro y texto esgrimen:</w:t>
      </w:r>
    </w:p>
    <w:p w14:paraId="63E65898" w14:textId="77777777" w:rsidR="00262510" w:rsidRPr="00FD4F09" w:rsidRDefault="00262510" w:rsidP="00FD4F09">
      <w:pPr>
        <w:tabs>
          <w:tab w:val="left" w:pos="851"/>
        </w:tabs>
        <w:spacing w:line="240" w:lineRule="auto"/>
        <w:ind w:left="851" w:right="901"/>
        <w:rPr>
          <w:sz w:val="24"/>
          <w:szCs w:val="24"/>
        </w:rPr>
      </w:pPr>
    </w:p>
    <w:p w14:paraId="16E1B5E8" w14:textId="77777777" w:rsidR="00262510" w:rsidRPr="00FD4F09" w:rsidRDefault="00262510" w:rsidP="00FD4F09">
      <w:pPr>
        <w:tabs>
          <w:tab w:val="left" w:pos="851"/>
        </w:tabs>
        <w:spacing w:line="240" w:lineRule="auto"/>
        <w:ind w:left="851" w:right="901"/>
        <w:rPr>
          <w:i/>
          <w:szCs w:val="22"/>
        </w:rPr>
      </w:pPr>
      <w:r w:rsidRPr="00FD4F09">
        <w:rPr>
          <w:b/>
          <w:i/>
          <w:szCs w:val="22"/>
        </w:rPr>
        <w:t xml:space="preserve">“RECURSO DE RECLAMACIÓN. SU INTERPOSICIÓN NO ES EXTEMPORÁNEA SI SE REALIZA ANTES DE QUE INICIE EL PLAZO PARA HACERLO. </w:t>
      </w:r>
      <w:r w:rsidRPr="00FD4F09">
        <w:rPr>
          <w:i/>
          <w:szCs w:val="22"/>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6C0C5454" w14:textId="77777777" w:rsidR="00262510" w:rsidRPr="00FD4F09" w:rsidRDefault="00262510" w:rsidP="00FD4F09">
      <w:pPr>
        <w:tabs>
          <w:tab w:val="left" w:pos="851"/>
        </w:tabs>
        <w:spacing w:line="240" w:lineRule="auto"/>
        <w:ind w:left="851" w:right="901"/>
        <w:rPr>
          <w:sz w:val="24"/>
          <w:szCs w:val="24"/>
        </w:rPr>
      </w:pPr>
    </w:p>
    <w:p w14:paraId="300C0C8F" w14:textId="77777777" w:rsidR="00262510" w:rsidRPr="00FD4F09" w:rsidRDefault="00262510" w:rsidP="00FD4F09">
      <w:pPr>
        <w:autoSpaceDE w:val="0"/>
        <w:autoSpaceDN w:val="0"/>
        <w:adjustRightInd w:val="0"/>
        <w:ind w:right="49"/>
        <w:rPr>
          <w:sz w:val="24"/>
          <w:szCs w:val="24"/>
        </w:rPr>
      </w:pPr>
      <w:r w:rsidRPr="00FD4F09">
        <w:rPr>
          <w:sz w:val="24"/>
          <w:szCs w:val="24"/>
        </w:rPr>
        <w:lastRenderedPageBreak/>
        <w:t>Por lo tanto, en aras de privilegiar el derecho de acceso a la información se entra al estudio del presente Recurso de Revisión, sin que la fecha en que se presentó afecte la Resolución.</w:t>
      </w:r>
    </w:p>
    <w:p w14:paraId="13EE329D" w14:textId="77777777" w:rsidR="00262510" w:rsidRPr="00FD4F09" w:rsidRDefault="00262510" w:rsidP="00FD4F09">
      <w:pPr>
        <w:rPr>
          <w:rFonts w:eastAsia="Palatino Linotype" w:cs="Palatino Linotype"/>
          <w:szCs w:val="22"/>
        </w:rPr>
      </w:pPr>
    </w:p>
    <w:p w14:paraId="46C0EB3A" w14:textId="2C03BC70" w:rsidR="00A53315" w:rsidRPr="00FD4F09" w:rsidRDefault="00BA55A8" w:rsidP="00FD4F09">
      <w:pPr>
        <w:pStyle w:val="Ttulo3"/>
        <w:rPr>
          <w:rFonts w:eastAsia="Calibri"/>
          <w:szCs w:val="22"/>
          <w:lang w:eastAsia="es-ES_tradnl"/>
        </w:rPr>
      </w:pPr>
      <w:bookmarkStart w:id="21" w:name="_Toc178879270"/>
      <w:r w:rsidRPr="00FD4F09">
        <w:rPr>
          <w:rFonts w:eastAsia="Calibri"/>
          <w:szCs w:val="22"/>
          <w:lang w:eastAsia="es-ES_tradnl"/>
        </w:rPr>
        <w:t>d)</w:t>
      </w:r>
      <w:r w:rsidR="00D91CB4" w:rsidRPr="00FD4F09">
        <w:rPr>
          <w:rFonts w:eastAsia="Calibri"/>
          <w:szCs w:val="22"/>
          <w:lang w:eastAsia="es-ES_tradnl"/>
        </w:rPr>
        <w:t xml:space="preserve"> </w:t>
      </w:r>
      <w:r w:rsidR="007C6859" w:rsidRPr="00FD4F09">
        <w:rPr>
          <w:rFonts w:eastAsia="Calibri"/>
          <w:szCs w:val="22"/>
          <w:lang w:eastAsia="es-ES_tradnl"/>
        </w:rPr>
        <w:t>Causal de Procedencia</w:t>
      </w:r>
      <w:bookmarkEnd w:id="21"/>
    </w:p>
    <w:p w14:paraId="190404A6" w14:textId="54429E76" w:rsidR="00BA55A8" w:rsidRPr="00FD4F09" w:rsidRDefault="00BA55A8" w:rsidP="00FD4F09">
      <w:pPr>
        <w:rPr>
          <w:szCs w:val="22"/>
        </w:rPr>
      </w:pPr>
      <w:r w:rsidRPr="00FD4F09">
        <w:rPr>
          <w:rFonts w:cs="Arial"/>
          <w:szCs w:val="22"/>
        </w:rPr>
        <w:t xml:space="preserve">Resulta procedente la interposición del recurso de revisión, ya que </w:t>
      </w:r>
      <w:r w:rsidRPr="00FD4F09">
        <w:rPr>
          <w:rFonts w:eastAsia="Calibri" w:cs="Tahoma"/>
          <w:szCs w:val="22"/>
          <w:lang w:eastAsia="es-MX"/>
        </w:rPr>
        <w:t>se actualiza la causal de procedencia señalada en el artículo 179, fracci</w:t>
      </w:r>
      <w:r w:rsidR="007C6859" w:rsidRPr="00FD4F09">
        <w:rPr>
          <w:rFonts w:eastAsia="Calibri" w:cs="Tahoma"/>
          <w:szCs w:val="22"/>
          <w:lang w:eastAsia="es-MX"/>
        </w:rPr>
        <w:t>ón</w:t>
      </w:r>
      <w:r w:rsidR="00EE1B1C" w:rsidRPr="00FD4F09">
        <w:rPr>
          <w:rFonts w:eastAsia="Calibri" w:cs="Tahoma"/>
          <w:szCs w:val="22"/>
          <w:lang w:eastAsia="es-MX"/>
        </w:rPr>
        <w:t xml:space="preserve"> I </w:t>
      </w:r>
      <w:r w:rsidRPr="00FD4F09">
        <w:rPr>
          <w:rFonts w:cs="Arial"/>
          <w:szCs w:val="22"/>
        </w:rPr>
        <w:t xml:space="preserve">de la </w:t>
      </w:r>
      <w:r w:rsidRPr="00FD4F09">
        <w:rPr>
          <w:szCs w:val="22"/>
        </w:rPr>
        <w:t>Ley de Transparencia y Acceso a la Información Pública del Estado de México y Municipios.</w:t>
      </w:r>
    </w:p>
    <w:p w14:paraId="0EFF7141" w14:textId="77777777" w:rsidR="00362A11" w:rsidRPr="00FD4F09" w:rsidRDefault="00362A11" w:rsidP="00FD4F09">
      <w:pPr>
        <w:rPr>
          <w:szCs w:val="22"/>
        </w:rPr>
      </w:pPr>
    </w:p>
    <w:p w14:paraId="2284D7EB" w14:textId="3EE1D036" w:rsidR="00BA55A8" w:rsidRPr="00FD4F09" w:rsidRDefault="00362A11" w:rsidP="00FD4F09">
      <w:pPr>
        <w:pStyle w:val="Ttulo3"/>
        <w:rPr>
          <w:szCs w:val="22"/>
        </w:rPr>
      </w:pPr>
      <w:bookmarkStart w:id="22" w:name="_Toc178879271"/>
      <w:r w:rsidRPr="00FD4F09">
        <w:rPr>
          <w:szCs w:val="22"/>
        </w:rPr>
        <w:t>e) Requisitos formales para la interposición del recurso</w:t>
      </w:r>
      <w:bookmarkEnd w:id="22"/>
    </w:p>
    <w:p w14:paraId="0E05989F" w14:textId="77777777" w:rsidR="00866186" w:rsidRPr="00FD4F09" w:rsidRDefault="00866186" w:rsidP="00FD4F09">
      <w:pPr>
        <w:rPr>
          <w:rFonts w:cs="Arial"/>
        </w:rPr>
      </w:pPr>
      <w:r w:rsidRPr="00FD4F09">
        <w:rPr>
          <w:rFonts w:cs="Arial"/>
          <w:b/>
          <w:bCs/>
        </w:rPr>
        <w:t xml:space="preserve">LA PARTE RECURRENTE </w:t>
      </w:r>
      <w:r w:rsidRPr="00FD4F09">
        <w:rPr>
          <w:rFonts w:cs="Arial"/>
        </w:rPr>
        <w:t>acreditó todos y cada uno de los elementos formales exigidos por el artículo 180 de la misma normatividad.</w:t>
      </w:r>
    </w:p>
    <w:p w14:paraId="3A121826" w14:textId="77777777" w:rsidR="00C461EC" w:rsidRPr="00FD4F09" w:rsidRDefault="00C461EC" w:rsidP="00FD4F09">
      <w:pPr>
        <w:rPr>
          <w:bCs/>
          <w:szCs w:val="22"/>
          <w:lang w:val="es-ES_tradnl"/>
        </w:rPr>
      </w:pPr>
    </w:p>
    <w:p w14:paraId="457548E9" w14:textId="3F7AF03B" w:rsidR="00C71CEF" w:rsidRPr="00FD4F09" w:rsidRDefault="00C71CEF" w:rsidP="00FD4F09">
      <w:pPr>
        <w:pStyle w:val="Ttulo2"/>
        <w:rPr>
          <w:szCs w:val="22"/>
        </w:rPr>
      </w:pPr>
      <w:bookmarkStart w:id="23" w:name="_Toc178879272"/>
      <w:r w:rsidRPr="00FD4F09">
        <w:rPr>
          <w:szCs w:val="22"/>
        </w:rPr>
        <w:t>SEGUNDO. Estudio de Fondo</w:t>
      </w:r>
      <w:bookmarkEnd w:id="23"/>
    </w:p>
    <w:p w14:paraId="2A308F59" w14:textId="0FF373F0" w:rsidR="00C049E2" w:rsidRPr="00FD4F09" w:rsidRDefault="00C71CEF" w:rsidP="00FD4F09">
      <w:pPr>
        <w:pStyle w:val="Ttulo3"/>
        <w:rPr>
          <w:szCs w:val="22"/>
        </w:rPr>
      </w:pPr>
      <w:bookmarkStart w:id="24" w:name="_Toc178879273"/>
      <w:r w:rsidRPr="00FD4F09">
        <w:rPr>
          <w:szCs w:val="22"/>
        </w:rPr>
        <w:t>a</w:t>
      </w:r>
      <w:r w:rsidR="00C049E2" w:rsidRPr="00FD4F09">
        <w:rPr>
          <w:szCs w:val="22"/>
        </w:rPr>
        <w:t>) Mandato de transparencia y responsabilidad del Sujeto Obligado</w:t>
      </w:r>
      <w:bookmarkEnd w:id="24"/>
    </w:p>
    <w:p w14:paraId="6901A889" w14:textId="59EEDAE1" w:rsidR="00C049E2" w:rsidRPr="00FD4F09" w:rsidRDefault="00C049E2" w:rsidP="00FD4F09">
      <w:pPr>
        <w:rPr>
          <w:rFonts w:eastAsia="Palatino Linotype"/>
          <w:szCs w:val="22"/>
        </w:rPr>
      </w:pPr>
      <w:r w:rsidRPr="00FD4F09">
        <w:rPr>
          <w:rFonts w:eastAsia="Palatino Linotype"/>
          <w:szCs w:val="22"/>
        </w:rPr>
        <w:t xml:space="preserve">El </w:t>
      </w:r>
      <w:r w:rsidR="00717E59" w:rsidRPr="00FD4F09">
        <w:rPr>
          <w:rFonts w:eastAsia="Palatino Linotype"/>
          <w:szCs w:val="22"/>
        </w:rPr>
        <w:t>d</w:t>
      </w:r>
      <w:r w:rsidRPr="00FD4F09">
        <w:rPr>
          <w:rFonts w:eastAsia="Palatino Linotype"/>
          <w:szCs w:val="22"/>
        </w:rPr>
        <w:t xml:space="preserve">erecho de </w:t>
      </w:r>
      <w:r w:rsidR="00717E59" w:rsidRPr="00FD4F09">
        <w:rPr>
          <w:rFonts w:eastAsia="Palatino Linotype"/>
          <w:szCs w:val="22"/>
        </w:rPr>
        <w:t>a</w:t>
      </w:r>
      <w:r w:rsidRPr="00FD4F09">
        <w:rPr>
          <w:rFonts w:eastAsia="Palatino Linotype"/>
          <w:szCs w:val="22"/>
        </w:rPr>
        <w:t xml:space="preserve">cceso a la </w:t>
      </w:r>
      <w:r w:rsidR="00717E59" w:rsidRPr="00FD4F09">
        <w:rPr>
          <w:rFonts w:eastAsia="Palatino Linotype"/>
          <w:szCs w:val="22"/>
        </w:rPr>
        <w:t>i</w:t>
      </w:r>
      <w:r w:rsidRPr="00FD4F09">
        <w:rPr>
          <w:rFonts w:eastAsia="Palatino Linotype"/>
          <w:szCs w:val="22"/>
        </w:rPr>
        <w:t xml:space="preserve">nformación </w:t>
      </w:r>
      <w:r w:rsidR="00717E59" w:rsidRPr="00FD4F09">
        <w:rPr>
          <w:rFonts w:eastAsia="Palatino Linotype"/>
          <w:szCs w:val="22"/>
        </w:rPr>
        <w:t>p</w:t>
      </w:r>
      <w:r w:rsidRPr="00FD4F09">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FD4F09">
        <w:rPr>
          <w:rFonts w:eastAsia="Palatino Linotype"/>
          <w:szCs w:val="22"/>
        </w:rPr>
        <w:t>:</w:t>
      </w:r>
    </w:p>
    <w:p w14:paraId="7FAB8D32" w14:textId="77777777" w:rsidR="00C049E2" w:rsidRPr="00FD4F09" w:rsidRDefault="00C049E2" w:rsidP="00FD4F09">
      <w:pPr>
        <w:rPr>
          <w:rFonts w:eastAsia="Palatino Linotype"/>
          <w:szCs w:val="22"/>
        </w:rPr>
      </w:pPr>
    </w:p>
    <w:p w14:paraId="05320813" w14:textId="77777777" w:rsidR="00C049E2" w:rsidRPr="00FD4F09" w:rsidRDefault="00C049E2" w:rsidP="00FD4F09">
      <w:pPr>
        <w:spacing w:line="240" w:lineRule="auto"/>
        <w:ind w:left="567" w:right="539"/>
        <w:rPr>
          <w:rFonts w:eastAsia="Palatino Linotype"/>
          <w:b/>
          <w:i/>
          <w:szCs w:val="22"/>
        </w:rPr>
      </w:pPr>
      <w:r w:rsidRPr="00FD4F09">
        <w:rPr>
          <w:rFonts w:eastAsia="Palatino Linotype"/>
          <w:b/>
          <w:i/>
          <w:szCs w:val="22"/>
        </w:rPr>
        <w:t>Constitución Política de los Estados Unidos Mexicanos</w:t>
      </w:r>
    </w:p>
    <w:p w14:paraId="6B6C67B6" w14:textId="77777777" w:rsidR="00C049E2" w:rsidRPr="00FD4F09" w:rsidRDefault="00C049E2" w:rsidP="00FD4F09">
      <w:pPr>
        <w:spacing w:line="240" w:lineRule="auto"/>
        <w:ind w:left="567" w:right="539"/>
        <w:rPr>
          <w:rFonts w:eastAsia="Palatino Linotype"/>
          <w:b/>
          <w:i/>
          <w:szCs w:val="22"/>
        </w:rPr>
      </w:pPr>
      <w:r w:rsidRPr="00FD4F09">
        <w:rPr>
          <w:rFonts w:eastAsia="Palatino Linotype"/>
          <w:b/>
          <w:i/>
          <w:szCs w:val="22"/>
        </w:rPr>
        <w:t>“Artículo 6.</w:t>
      </w:r>
    </w:p>
    <w:p w14:paraId="38D3B4C4" w14:textId="77777777" w:rsidR="00C049E2" w:rsidRPr="00FD4F09" w:rsidRDefault="00C049E2" w:rsidP="00FD4F09">
      <w:pPr>
        <w:spacing w:line="240" w:lineRule="auto"/>
        <w:ind w:left="567" w:right="539"/>
        <w:rPr>
          <w:rFonts w:eastAsia="Palatino Linotype"/>
          <w:i/>
          <w:szCs w:val="22"/>
        </w:rPr>
      </w:pPr>
      <w:r w:rsidRPr="00FD4F09">
        <w:rPr>
          <w:rFonts w:eastAsia="Palatino Linotype"/>
          <w:i/>
          <w:szCs w:val="22"/>
        </w:rPr>
        <w:t>(…)</w:t>
      </w:r>
    </w:p>
    <w:p w14:paraId="2CCAA297" w14:textId="6602827B" w:rsidR="00C049E2" w:rsidRPr="00FD4F09" w:rsidRDefault="00C049E2" w:rsidP="00FD4F09">
      <w:pPr>
        <w:spacing w:line="240" w:lineRule="auto"/>
        <w:ind w:left="567" w:right="539"/>
        <w:rPr>
          <w:rFonts w:eastAsia="Palatino Linotype"/>
          <w:i/>
          <w:szCs w:val="22"/>
        </w:rPr>
      </w:pPr>
      <w:r w:rsidRPr="00FD4F09">
        <w:rPr>
          <w:rFonts w:eastAsia="Palatino Linotype"/>
          <w:i/>
          <w:szCs w:val="22"/>
        </w:rPr>
        <w:t>Para efectos de lo dispuesto en el presente artículo se observará lo siguiente:</w:t>
      </w:r>
    </w:p>
    <w:p w14:paraId="74CC3718" w14:textId="77777777" w:rsidR="00C049E2" w:rsidRPr="00FD4F09" w:rsidRDefault="00C049E2" w:rsidP="00FD4F09">
      <w:pPr>
        <w:spacing w:line="240" w:lineRule="auto"/>
        <w:ind w:left="567" w:right="539"/>
        <w:rPr>
          <w:rFonts w:eastAsia="Palatino Linotype"/>
          <w:b/>
          <w:i/>
          <w:szCs w:val="22"/>
        </w:rPr>
      </w:pPr>
      <w:r w:rsidRPr="00FD4F09">
        <w:rPr>
          <w:rFonts w:eastAsia="Palatino Linotype"/>
          <w:b/>
          <w:i/>
          <w:szCs w:val="22"/>
        </w:rPr>
        <w:t>A</w:t>
      </w:r>
      <w:r w:rsidRPr="00FD4F09">
        <w:rPr>
          <w:rFonts w:eastAsia="Palatino Linotype"/>
          <w:i/>
          <w:szCs w:val="22"/>
        </w:rPr>
        <w:t xml:space="preserve">. </w:t>
      </w:r>
      <w:r w:rsidRPr="00FD4F09">
        <w:rPr>
          <w:rFonts w:eastAsia="Palatino Linotype"/>
          <w:b/>
          <w:i/>
          <w:szCs w:val="22"/>
        </w:rPr>
        <w:t>Para el ejercicio del derecho de acceso a la información</w:t>
      </w:r>
      <w:r w:rsidRPr="00FD4F09">
        <w:rPr>
          <w:rFonts w:eastAsia="Palatino Linotype"/>
          <w:i/>
          <w:szCs w:val="22"/>
        </w:rPr>
        <w:t xml:space="preserve">, la Federación y </w:t>
      </w:r>
      <w:r w:rsidRPr="00FD4F09">
        <w:rPr>
          <w:rFonts w:eastAsia="Palatino Linotype"/>
          <w:b/>
          <w:i/>
          <w:szCs w:val="22"/>
        </w:rPr>
        <w:t>las entidades federativas, en el ámbito de sus respectivas competencias, se regirán por los siguientes principios y bases:</w:t>
      </w:r>
    </w:p>
    <w:p w14:paraId="596A956B" w14:textId="77777777" w:rsidR="00C049E2" w:rsidRPr="00FD4F09" w:rsidRDefault="00C049E2" w:rsidP="00FD4F09">
      <w:pPr>
        <w:spacing w:line="240" w:lineRule="auto"/>
        <w:ind w:left="567" w:right="539"/>
        <w:rPr>
          <w:rFonts w:eastAsia="Palatino Linotype"/>
          <w:i/>
          <w:szCs w:val="22"/>
        </w:rPr>
      </w:pPr>
      <w:r w:rsidRPr="00FD4F09">
        <w:rPr>
          <w:rFonts w:eastAsia="Palatino Linotype"/>
          <w:b/>
          <w:i/>
          <w:szCs w:val="22"/>
        </w:rPr>
        <w:lastRenderedPageBreak/>
        <w:t xml:space="preserve">I. </w:t>
      </w:r>
      <w:r w:rsidRPr="00FD4F09">
        <w:rPr>
          <w:rFonts w:eastAsia="Palatino Linotype"/>
          <w:b/>
          <w:i/>
          <w:szCs w:val="22"/>
        </w:rPr>
        <w:tab/>
        <w:t>Toda la información en posesión de cualquier</w:t>
      </w:r>
      <w:r w:rsidRPr="00FD4F09">
        <w:rPr>
          <w:rFonts w:eastAsia="Palatino Linotype"/>
          <w:i/>
          <w:szCs w:val="22"/>
        </w:rPr>
        <w:t xml:space="preserve"> </w:t>
      </w:r>
      <w:r w:rsidRPr="00FD4F09">
        <w:rPr>
          <w:rFonts w:eastAsia="Palatino Linotype"/>
          <w:b/>
          <w:i/>
          <w:szCs w:val="22"/>
        </w:rPr>
        <w:t>autoridad</w:t>
      </w:r>
      <w:r w:rsidRPr="00FD4F09">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FD4F09">
        <w:rPr>
          <w:rFonts w:eastAsia="Palatino Linotype"/>
          <w:b/>
          <w:i/>
          <w:szCs w:val="22"/>
        </w:rPr>
        <w:t>municipal</w:t>
      </w:r>
      <w:r w:rsidRPr="00FD4F09">
        <w:rPr>
          <w:rFonts w:eastAsia="Palatino Linotype"/>
          <w:i/>
          <w:szCs w:val="22"/>
        </w:rPr>
        <w:t xml:space="preserve">, </w:t>
      </w:r>
      <w:r w:rsidRPr="00FD4F09">
        <w:rPr>
          <w:rFonts w:eastAsia="Palatino Linotype"/>
          <w:b/>
          <w:i/>
          <w:szCs w:val="22"/>
        </w:rPr>
        <w:t>es pública</w:t>
      </w:r>
      <w:r w:rsidRPr="00FD4F09">
        <w:rPr>
          <w:rFonts w:eastAsia="Palatino Linotype"/>
          <w:i/>
          <w:szCs w:val="22"/>
        </w:rPr>
        <w:t xml:space="preserve"> y sólo podrá ser reservada temporalmente por razones de interés público y seguridad nacional, en los términos que fijen las leyes. </w:t>
      </w:r>
      <w:r w:rsidRPr="00FD4F09">
        <w:rPr>
          <w:rFonts w:eastAsia="Palatino Linotype"/>
          <w:b/>
          <w:i/>
          <w:szCs w:val="22"/>
        </w:rPr>
        <w:t>En la interpretación de este derecho deberá prevalecer el principio de máxima publicidad. Los sujetos obligados deberán documentar todo acto que derive del ejercicio de sus facultades, competencias o funciones</w:t>
      </w:r>
      <w:r w:rsidRPr="00FD4F09">
        <w:rPr>
          <w:rFonts w:eastAsia="Palatino Linotype"/>
          <w:i/>
          <w:szCs w:val="22"/>
        </w:rPr>
        <w:t>, la ley determinará los supuestos específicos bajo los cuales procederá la declaración de inexistencia de la información.”</w:t>
      </w:r>
    </w:p>
    <w:p w14:paraId="68F313E4" w14:textId="77777777" w:rsidR="00C049E2" w:rsidRPr="00FD4F09" w:rsidRDefault="00C049E2" w:rsidP="00FD4F09">
      <w:pPr>
        <w:spacing w:line="240" w:lineRule="auto"/>
        <w:ind w:left="567" w:right="539"/>
        <w:rPr>
          <w:rFonts w:eastAsia="Palatino Linotype"/>
          <w:b/>
          <w:i/>
          <w:szCs w:val="22"/>
        </w:rPr>
      </w:pPr>
    </w:p>
    <w:p w14:paraId="504F12DB" w14:textId="77777777" w:rsidR="00C049E2" w:rsidRPr="00FD4F09" w:rsidRDefault="00C049E2" w:rsidP="00FD4F09">
      <w:pPr>
        <w:spacing w:line="240" w:lineRule="auto"/>
        <w:ind w:left="567" w:right="539"/>
        <w:rPr>
          <w:rFonts w:eastAsia="Palatino Linotype"/>
          <w:b/>
          <w:i/>
          <w:szCs w:val="22"/>
        </w:rPr>
      </w:pPr>
      <w:r w:rsidRPr="00FD4F09">
        <w:rPr>
          <w:rFonts w:eastAsia="Palatino Linotype"/>
          <w:b/>
          <w:i/>
          <w:szCs w:val="22"/>
        </w:rPr>
        <w:t>Constitución Política del Estado Libre y Soberano de México</w:t>
      </w:r>
    </w:p>
    <w:p w14:paraId="04932D29" w14:textId="77777777" w:rsidR="00C049E2" w:rsidRPr="00FD4F09" w:rsidRDefault="00C049E2" w:rsidP="00FD4F09">
      <w:pPr>
        <w:spacing w:line="240" w:lineRule="auto"/>
        <w:ind w:left="567" w:right="539"/>
        <w:rPr>
          <w:rFonts w:eastAsia="Palatino Linotype"/>
          <w:i/>
          <w:szCs w:val="22"/>
        </w:rPr>
      </w:pPr>
      <w:r w:rsidRPr="00FD4F09">
        <w:rPr>
          <w:rFonts w:eastAsia="Palatino Linotype"/>
          <w:b/>
          <w:i/>
          <w:szCs w:val="22"/>
        </w:rPr>
        <w:t>“Artículo 5</w:t>
      </w:r>
      <w:r w:rsidRPr="00FD4F09">
        <w:rPr>
          <w:rFonts w:eastAsia="Palatino Linotype"/>
          <w:i/>
          <w:szCs w:val="22"/>
        </w:rPr>
        <w:t xml:space="preserve">.- </w:t>
      </w:r>
    </w:p>
    <w:p w14:paraId="1D3829F4" w14:textId="77777777" w:rsidR="00C049E2" w:rsidRPr="00FD4F09" w:rsidRDefault="00C049E2" w:rsidP="00FD4F09">
      <w:pPr>
        <w:spacing w:line="240" w:lineRule="auto"/>
        <w:ind w:left="567" w:right="539"/>
        <w:rPr>
          <w:rFonts w:eastAsia="Palatino Linotype"/>
          <w:i/>
          <w:szCs w:val="22"/>
        </w:rPr>
      </w:pPr>
      <w:r w:rsidRPr="00FD4F09">
        <w:rPr>
          <w:rFonts w:eastAsia="Palatino Linotype"/>
          <w:i/>
          <w:szCs w:val="22"/>
        </w:rPr>
        <w:t>(…)</w:t>
      </w:r>
    </w:p>
    <w:p w14:paraId="0EAE47FD" w14:textId="77777777" w:rsidR="00C049E2" w:rsidRPr="00FD4F09" w:rsidRDefault="00C049E2" w:rsidP="00FD4F09">
      <w:pPr>
        <w:spacing w:line="240" w:lineRule="auto"/>
        <w:ind w:left="567" w:right="539"/>
        <w:rPr>
          <w:rFonts w:eastAsia="Palatino Linotype"/>
          <w:i/>
          <w:szCs w:val="22"/>
        </w:rPr>
      </w:pPr>
      <w:r w:rsidRPr="00FD4F09">
        <w:rPr>
          <w:rFonts w:eastAsia="Palatino Linotype"/>
          <w:b/>
          <w:i/>
          <w:szCs w:val="22"/>
        </w:rPr>
        <w:t>El derecho a la información será garantizado por el Estado. La ley establecerá las previsiones que permitan asegurar la protección, el respeto y la difusión de este derecho</w:t>
      </w:r>
      <w:r w:rsidRPr="00FD4F09">
        <w:rPr>
          <w:rFonts w:eastAsia="Palatino Linotype"/>
          <w:i/>
          <w:szCs w:val="22"/>
        </w:rPr>
        <w:t>.</w:t>
      </w:r>
    </w:p>
    <w:p w14:paraId="4F0C804A" w14:textId="77777777" w:rsidR="00C049E2" w:rsidRPr="00FD4F09" w:rsidRDefault="00C049E2" w:rsidP="00FD4F09">
      <w:pPr>
        <w:spacing w:line="240" w:lineRule="auto"/>
        <w:ind w:left="567" w:right="539"/>
        <w:rPr>
          <w:rFonts w:eastAsia="Palatino Linotype"/>
          <w:i/>
          <w:szCs w:val="22"/>
        </w:rPr>
      </w:pPr>
      <w:r w:rsidRPr="00FD4F09">
        <w:rPr>
          <w:rFonts w:eastAsia="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FD4F09" w:rsidRDefault="00C049E2" w:rsidP="00FD4F09">
      <w:pPr>
        <w:spacing w:line="240" w:lineRule="auto"/>
        <w:ind w:left="567" w:right="539"/>
        <w:rPr>
          <w:rFonts w:eastAsia="Palatino Linotype"/>
          <w:i/>
          <w:szCs w:val="22"/>
        </w:rPr>
      </w:pPr>
      <w:r w:rsidRPr="00FD4F09">
        <w:rPr>
          <w:rFonts w:eastAsia="Palatino Linotype"/>
          <w:b/>
          <w:i/>
          <w:szCs w:val="22"/>
        </w:rPr>
        <w:t>Este derecho se regirá por los principios y bases siguientes</w:t>
      </w:r>
      <w:r w:rsidRPr="00FD4F09">
        <w:rPr>
          <w:rFonts w:eastAsia="Palatino Linotype"/>
          <w:i/>
          <w:szCs w:val="22"/>
        </w:rPr>
        <w:t>:</w:t>
      </w:r>
    </w:p>
    <w:p w14:paraId="4A3E8CBA" w14:textId="77777777" w:rsidR="00C049E2" w:rsidRPr="00FD4F09" w:rsidRDefault="00C049E2" w:rsidP="00FD4F09">
      <w:pPr>
        <w:spacing w:line="240" w:lineRule="auto"/>
        <w:ind w:left="567" w:right="539"/>
        <w:rPr>
          <w:rFonts w:eastAsia="Palatino Linotype"/>
          <w:i/>
          <w:szCs w:val="22"/>
        </w:rPr>
      </w:pPr>
      <w:r w:rsidRPr="00FD4F09">
        <w:rPr>
          <w:rFonts w:eastAsia="Palatino Linotype"/>
          <w:b/>
          <w:i/>
          <w:szCs w:val="22"/>
        </w:rPr>
        <w:t>I. Toda la información en posesión de cualquier autoridad, entidad, órgano y organismos de los</w:t>
      </w:r>
      <w:r w:rsidRPr="00FD4F09">
        <w:rPr>
          <w:rFonts w:eastAsia="Palatino Linotype"/>
          <w:i/>
          <w:szCs w:val="22"/>
        </w:rPr>
        <w:t xml:space="preserve"> Poderes Ejecutivo, Legislativo y Judicial, órganos autónomos, partidos políticos, fideicomisos y fondos públicos estatales y </w:t>
      </w:r>
      <w:r w:rsidRPr="00FD4F09">
        <w:rPr>
          <w:rFonts w:eastAsia="Palatino Linotype"/>
          <w:b/>
          <w:i/>
          <w:szCs w:val="22"/>
        </w:rPr>
        <w:t>municipales</w:t>
      </w:r>
      <w:r w:rsidRPr="00FD4F09">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FD4F09">
        <w:rPr>
          <w:rFonts w:eastAsia="Palatino Linotype"/>
          <w:b/>
          <w:i/>
          <w:szCs w:val="22"/>
        </w:rPr>
        <w:t>es pública</w:t>
      </w:r>
      <w:r w:rsidRPr="00FD4F09">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FD4F09">
        <w:rPr>
          <w:rFonts w:eastAsia="Palatino Linotype"/>
          <w:b/>
          <w:i/>
          <w:szCs w:val="22"/>
        </w:rPr>
        <w:t>En la interpretación de este derecho deberá prevalecer el principio de máxima publicidad</w:t>
      </w:r>
      <w:r w:rsidRPr="00FD4F09">
        <w:rPr>
          <w:rFonts w:eastAsia="Palatino Linotype"/>
          <w:i/>
          <w:szCs w:val="22"/>
        </w:rPr>
        <w:t xml:space="preserve">. </w:t>
      </w:r>
      <w:r w:rsidRPr="00FD4F09">
        <w:rPr>
          <w:rFonts w:eastAsia="Palatino Linotype"/>
          <w:b/>
          <w:i/>
          <w:szCs w:val="22"/>
        </w:rPr>
        <w:t>Los sujetos obligados deberán documentar todo acto que derive del ejercicio de sus facultades, competencias o funciones</w:t>
      </w:r>
      <w:r w:rsidRPr="00FD4F09">
        <w:rPr>
          <w:rFonts w:eastAsia="Palatino Linotype"/>
          <w:i/>
          <w:szCs w:val="22"/>
        </w:rPr>
        <w:t>, la ley determinará los supuestos específicos bajo los cuales procederá la declaración de inexistencia de la información.”</w:t>
      </w:r>
    </w:p>
    <w:p w14:paraId="0F41530D" w14:textId="77777777" w:rsidR="00AB34C6" w:rsidRPr="00FD4F09" w:rsidRDefault="00AB34C6" w:rsidP="00FD4F09">
      <w:pPr>
        <w:rPr>
          <w:rFonts w:eastAsia="Palatino Linotype"/>
          <w:szCs w:val="22"/>
        </w:rPr>
      </w:pPr>
    </w:p>
    <w:p w14:paraId="6FC1BB3B" w14:textId="33779FFC" w:rsidR="00C049E2" w:rsidRPr="00FD4F09" w:rsidRDefault="00717E59" w:rsidP="00FD4F09">
      <w:pPr>
        <w:rPr>
          <w:rFonts w:eastAsia="Palatino Linotype"/>
          <w:i/>
          <w:szCs w:val="22"/>
        </w:rPr>
      </w:pPr>
      <w:r w:rsidRPr="00FD4F09">
        <w:rPr>
          <w:rFonts w:eastAsia="Palatino Linotype"/>
          <w:szCs w:val="22"/>
        </w:rPr>
        <w:t xml:space="preserve">Asimismo, </w:t>
      </w:r>
      <w:r w:rsidR="00C049E2" w:rsidRPr="00FD4F09">
        <w:rPr>
          <w:rFonts w:eastAsia="Palatino Linotype"/>
          <w:szCs w:val="22"/>
        </w:rPr>
        <w:t>el artículo 150 de la Ley de Transparencia y Acceso a la Información Pública del Estado de México y Municipios</w:t>
      </w:r>
      <w:r w:rsidR="00057B2D" w:rsidRPr="00FD4F09">
        <w:rPr>
          <w:rFonts w:eastAsia="Palatino Linotype"/>
          <w:szCs w:val="22"/>
        </w:rPr>
        <w:t xml:space="preserve"> </w:t>
      </w:r>
      <w:r w:rsidR="00E9335C" w:rsidRPr="00FD4F09">
        <w:rPr>
          <w:rFonts w:eastAsia="Palatino Linotype"/>
          <w:szCs w:val="22"/>
        </w:rPr>
        <w:t xml:space="preserve">indica </w:t>
      </w:r>
      <w:r w:rsidR="00057B2D" w:rsidRPr="00FD4F09">
        <w:rPr>
          <w:rFonts w:eastAsia="Palatino Linotype"/>
          <w:szCs w:val="22"/>
        </w:rPr>
        <w:t>que</w:t>
      </w:r>
      <w:r w:rsidR="00C049E2" w:rsidRPr="00FD4F09">
        <w:rPr>
          <w:rFonts w:eastAsia="Palatino Linotype"/>
          <w:szCs w:val="22"/>
        </w:rPr>
        <w:t xml:space="preserve"> la solicitud es la garantía primaria del Derecho de </w:t>
      </w:r>
      <w:r w:rsidR="00C049E2" w:rsidRPr="00FD4F09">
        <w:rPr>
          <w:rFonts w:eastAsia="Palatino Linotype"/>
          <w:szCs w:val="22"/>
        </w:rPr>
        <w:lastRenderedPageBreak/>
        <w:t xml:space="preserve">Acceso a la Información, además, establece que se regirá </w:t>
      </w:r>
      <w:r w:rsidR="00C049E2" w:rsidRPr="00FD4F09">
        <w:rPr>
          <w:rFonts w:eastAsia="Palatino Linotype"/>
          <w:i/>
          <w:szCs w:val="22"/>
        </w:rPr>
        <w:t>por los principios de simplicidad, rapidez</w:t>
      </w:r>
      <w:r w:rsidR="005F65B7" w:rsidRPr="00FD4F09">
        <w:rPr>
          <w:rFonts w:eastAsia="Palatino Linotype"/>
          <w:i/>
          <w:szCs w:val="22"/>
        </w:rPr>
        <w:t>,</w:t>
      </w:r>
      <w:r w:rsidR="00C049E2" w:rsidRPr="00FD4F09">
        <w:rPr>
          <w:rFonts w:eastAsia="Palatino Linotype"/>
          <w:i/>
          <w:szCs w:val="22"/>
        </w:rPr>
        <w:t xml:space="preserve"> gratuidad del procedimiento, auxilio y orientación a los particulare</w:t>
      </w:r>
      <w:r w:rsidR="001A58B3" w:rsidRPr="00FD4F09">
        <w:rPr>
          <w:rFonts w:eastAsia="Palatino Linotype"/>
          <w:i/>
          <w:szCs w:val="22"/>
        </w:rPr>
        <w:t>s.</w:t>
      </w:r>
    </w:p>
    <w:p w14:paraId="594A8F1B" w14:textId="77777777" w:rsidR="00262510" w:rsidRPr="00FD4F09" w:rsidRDefault="00262510" w:rsidP="00FD4F09">
      <w:pPr>
        <w:rPr>
          <w:rFonts w:eastAsia="Palatino Linotype"/>
          <w:i/>
          <w:szCs w:val="22"/>
        </w:rPr>
      </w:pPr>
    </w:p>
    <w:p w14:paraId="04ADA10B" w14:textId="574A944A" w:rsidR="001A58B3" w:rsidRPr="00FD4F09" w:rsidRDefault="00233F17" w:rsidP="00FD4F09">
      <w:pPr>
        <w:rPr>
          <w:rFonts w:eastAsia="Palatino Linotype" w:cs="Palatino Linotype"/>
          <w:i/>
          <w:szCs w:val="22"/>
        </w:rPr>
      </w:pPr>
      <w:r w:rsidRPr="00FD4F09">
        <w:rPr>
          <w:rFonts w:eastAsia="Palatino Linotype" w:cs="Palatino Linotype"/>
          <w:szCs w:val="22"/>
        </w:rPr>
        <w:t xml:space="preserve">Por su parte, el artículo 4 de </w:t>
      </w:r>
      <w:r w:rsidR="001A58B3" w:rsidRPr="00FD4F09">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FD4F09">
        <w:rPr>
          <w:rFonts w:eastAsia="Palatino Linotype" w:cs="Palatino Linotype"/>
          <w:szCs w:val="22"/>
        </w:rPr>
        <w:t>.</w:t>
      </w:r>
    </w:p>
    <w:p w14:paraId="1407DBB8" w14:textId="77777777" w:rsidR="001A58B3" w:rsidRPr="00FD4F09" w:rsidRDefault="001A58B3" w:rsidP="00FD4F09">
      <w:pPr>
        <w:rPr>
          <w:rFonts w:eastAsia="Palatino Linotype" w:cs="Palatino Linotype"/>
          <w:szCs w:val="22"/>
        </w:rPr>
      </w:pPr>
    </w:p>
    <w:p w14:paraId="7552AA79" w14:textId="5C52E4A4" w:rsidR="001A58B3" w:rsidRPr="00FD4F09" w:rsidRDefault="001A58B3" w:rsidP="00FD4F09">
      <w:pPr>
        <w:rPr>
          <w:rFonts w:eastAsia="Palatino Linotype" w:cs="Palatino Linotype"/>
          <w:szCs w:val="22"/>
        </w:rPr>
      </w:pPr>
      <w:r w:rsidRPr="00FD4F09">
        <w:rPr>
          <w:rFonts w:eastAsia="Palatino Linotype" w:cs="Palatino Linotype"/>
          <w:szCs w:val="22"/>
        </w:rPr>
        <w:t xml:space="preserve">Esto es, que los Sujetos Obligados </w:t>
      </w:r>
      <w:r w:rsidR="00FA5957" w:rsidRPr="00FD4F09">
        <w:rPr>
          <w:rFonts w:eastAsia="Palatino Linotype" w:cs="Palatino Linotype"/>
          <w:szCs w:val="22"/>
        </w:rPr>
        <w:t>deben</w:t>
      </w:r>
      <w:r w:rsidRPr="00FD4F09">
        <w:rPr>
          <w:rFonts w:eastAsia="Palatino Linotype" w:cs="Palatino Linotype"/>
          <w:szCs w:val="22"/>
        </w:rPr>
        <w:t xml:space="preserve"> atender las solicitudes de acceso a la información pública que se les </w:t>
      </w:r>
      <w:r w:rsidR="00FA5957" w:rsidRPr="00FD4F09">
        <w:rPr>
          <w:rFonts w:eastAsia="Palatino Linotype" w:cs="Palatino Linotype"/>
          <w:szCs w:val="22"/>
        </w:rPr>
        <w:t>sean realizadas,</w:t>
      </w:r>
      <w:r w:rsidRPr="00FD4F09">
        <w:rPr>
          <w:rFonts w:eastAsia="Palatino Linotype" w:cs="Palatino Linotype"/>
          <w:szCs w:val="22"/>
        </w:rPr>
        <w:t xml:space="preserve"> y proporcionar la información pública que obre en su poder</w:t>
      </w:r>
      <w:r w:rsidR="00FA5957" w:rsidRPr="00FD4F09">
        <w:rPr>
          <w:rFonts w:eastAsia="Palatino Linotype" w:cs="Palatino Linotype"/>
          <w:szCs w:val="22"/>
        </w:rPr>
        <w:t>,</w:t>
      </w:r>
      <w:r w:rsidRPr="00FD4F09">
        <w:rPr>
          <w:rFonts w:eastAsia="Palatino Linotype" w:cs="Palatino Linotype"/>
          <w:szCs w:val="22"/>
        </w:rPr>
        <w:t xml:space="preserve"> conforme </w:t>
      </w:r>
      <w:r w:rsidR="00FA5957" w:rsidRPr="00FD4F09">
        <w:rPr>
          <w:rFonts w:eastAsia="Palatino Linotype" w:cs="Palatino Linotype"/>
          <w:szCs w:val="22"/>
        </w:rPr>
        <w:t>a</w:t>
      </w:r>
      <w:r w:rsidRPr="00FD4F09">
        <w:rPr>
          <w:rFonts w:eastAsia="Palatino Linotype" w:cs="Palatino Linotype"/>
          <w:szCs w:val="22"/>
        </w:rPr>
        <w:t xml:space="preserve">l estado </w:t>
      </w:r>
      <w:r w:rsidR="00FA5957" w:rsidRPr="00FD4F09">
        <w:rPr>
          <w:rFonts w:eastAsia="Palatino Linotype" w:cs="Palatino Linotype"/>
          <w:szCs w:val="22"/>
        </w:rPr>
        <w:t xml:space="preserve">en </w:t>
      </w:r>
      <w:r w:rsidRPr="00FD4F09">
        <w:rPr>
          <w:rFonts w:eastAsia="Palatino Linotype" w:cs="Palatino Linotype"/>
          <w:szCs w:val="22"/>
        </w:rPr>
        <w:t>que se encuentr</w:t>
      </w:r>
      <w:r w:rsidR="00FA5957" w:rsidRPr="00FD4F09">
        <w:rPr>
          <w:rFonts w:eastAsia="Palatino Linotype" w:cs="Palatino Linotype"/>
          <w:szCs w:val="22"/>
        </w:rPr>
        <w:t>e, sin que sea necesario</w:t>
      </w:r>
      <w:r w:rsidRPr="00FD4F09">
        <w:rPr>
          <w:rFonts w:eastAsia="Palatino Linotype" w:cs="Palatino Linotype"/>
          <w:szCs w:val="22"/>
        </w:rPr>
        <w:t xml:space="preserve"> </w:t>
      </w:r>
      <w:r w:rsidR="00FA5957" w:rsidRPr="00FD4F09">
        <w:rPr>
          <w:rFonts w:eastAsia="Palatino Linotype" w:cs="Palatino Linotype"/>
          <w:szCs w:val="22"/>
        </w:rPr>
        <w:t>procesar</w:t>
      </w:r>
      <w:r w:rsidRPr="00FD4F09">
        <w:rPr>
          <w:rFonts w:eastAsia="Palatino Linotype" w:cs="Palatino Linotype"/>
          <w:szCs w:val="22"/>
        </w:rPr>
        <w:t xml:space="preserve"> la misma, ni presentarla conforme al interés del solicitante; </w:t>
      </w:r>
      <w:r w:rsidR="00FA5957" w:rsidRPr="00FD4F09">
        <w:rPr>
          <w:rFonts w:eastAsia="Palatino Linotype" w:cs="Palatino Linotype"/>
          <w:szCs w:val="22"/>
        </w:rPr>
        <w:t>tal y como</w:t>
      </w:r>
      <w:r w:rsidRPr="00FD4F09">
        <w:rPr>
          <w:rFonts w:eastAsia="Palatino Linotype" w:cs="Palatino Linotype"/>
          <w:szCs w:val="22"/>
        </w:rPr>
        <w:t xml:space="preserve"> lo establece el artículo 12 de la Ley de Transparencia y Acceso a la Información Pública del Estado de México y Municipios</w:t>
      </w:r>
      <w:r w:rsidR="00970EB3" w:rsidRPr="00FD4F09">
        <w:rPr>
          <w:rFonts w:eastAsia="Palatino Linotype" w:cs="Palatino Linotype"/>
          <w:szCs w:val="22"/>
        </w:rPr>
        <w:t>.</w:t>
      </w:r>
    </w:p>
    <w:p w14:paraId="73245195" w14:textId="77777777" w:rsidR="00970EB3" w:rsidRPr="00FD4F09" w:rsidRDefault="00970EB3" w:rsidP="00FD4F09">
      <w:pPr>
        <w:rPr>
          <w:rFonts w:eastAsia="Palatino Linotype" w:cs="Palatino Linotype"/>
          <w:szCs w:val="22"/>
        </w:rPr>
      </w:pPr>
    </w:p>
    <w:p w14:paraId="7F62D4DF" w14:textId="775730E1" w:rsidR="001A58B3" w:rsidRPr="00FD4F09" w:rsidRDefault="001A58B3" w:rsidP="00FD4F09">
      <w:pPr>
        <w:rPr>
          <w:rFonts w:eastAsia="Palatino Linotype" w:cs="Palatino Linotype"/>
          <w:szCs w:val="22"/>
        </w:rPr>
      </w:pPr>
      <w:r w:rsidRPr="00FD4F09">
        <w:rPr>
          <w:rFonts w:eastAsia="Palatino Linotype" w:cs="Palatino Linotype"/>
          <w:szCs w:val="22"/>
        </w:rPr>
        <w:t>Es decir, que todo sujeto obligado que genere, recopile, administre, procese, archive, posea o conserven, son responsables de la misma</w:t>
      </w:r>
      <w:r w:rsidR="00970EB3" w:rsidRPr="00FD4F09">
        <w:rPr>
          <w:rFonts w:eastAsia="Palatino Linotype" w:cs="Palatino Linotype"/>
          <w:szCs w:val="22"/>
        </w:rPr>
        <w:t>,</w:t>
      </w:r>
      <w:r w:rsidRPr="00FD4F09">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FD4F09">
        <w:rPr>
          <w:rFonts w:eastAsia="Palatino Linotype" w:cs="Palatino Linotype"/>
          <w:szCs w:val="22"/>
        </w:rPr>
        <w:t>o</w:t>
      </w:r>
      <w:r w:rsidRPr="00FD4F09">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FD4F09" w:rsidRDefault="001A58B3" w:rsidP="00FD4F09">
      <w:pPr>
        <w:rPr>
          <w:rFonts w:eastAsia="Palatino Linotype" w:cs="Palatino Linotype"/>
          <w:szCs w:val="22"/>
        </w:rPr>
      </w:pPr>
    </w:p>
    <w:p w14:paraId="04E42DFE" w14:textId="573F1198" w:rsidR="001A58B3" w:rsidRPr="00FD4F09" w:rsidRDefault="001A58B3" w:rsidP="00FD4F09">
      <w:pPr>
        <w:rPr>
          <w:rFonts w:eastAsia="Palatino Linotype" w:cs="Palatino Linotype"/>
          <w:szCs w:val="22"/>
        </w:rPr>
      </w:pPr>
      <w:r w:rsidRPr="00FD4F09">
        <w:rPr>
          <w:rFonts w:eastAsia="Palatino Linotype" w:cs="Palatino Linotype"/>
          <w:szCs w:val="22"/>
        </w:rPr>
        <w:t xml:space="preserve">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w:t>
      </w:r>
      <w:r w:rsidRPr="00FD4F09">
        <w:rPr>
          <w:rFonts w:eastAsia="Palatino Linotype" w:cs="Palatino Linotype"/>
          <w:szCs w:val="22"/>
        </w:rPr>
        <w:lastRenderedPageBreak/>
        <w:t>garantizar el Derecho de Acceso a la Información Pública</w:t>
      </w:r>
      <w:r w:rsidR="00331F35" w:rsidRPr="00FD4F09">
        <w:rPr>
          <w:rFonts w:eastAsia="Palatino Linotype" w:cs="Palatino Linotype"/>
          <w:szCs w:val="22"/>
        </w:rPr>
        <w:t>, s</w:t>
      </w:r>
      <w:r w:rsidRPr="00FD4F09">
        <w:rPr>
          <w:rFonts w:eastAsia="Palatino Linotype" w:cs="Palatino Linotype"/>
          <w:szCs w:val="22"/>
        </w:rPr>
        <w:t xml:space="preserve">iempre y cuando no se trate de información reservada o </w:t>
      </w:r>
      <w:r w:rsidR="00331F35" w:rsidRPr="00FD4F09">
        <w:rPr>
          <w:rFonts w:eastAsia="Palatino Linotype" w:cs="Palatino Linotype"/>
          <w:szCs w:val="22"/>
        </w:rPr>
        <w:t>confidencial.</w:t>
      </w:r>
    </w:p>
    <w:p w14:paraId="40C5219F" w14:textId="77777777" w:rsidR="001A58B3" w:rsidRPr="00FD4F09" w:rsidRDefault="001A58B3" w:rsidP="00FD4F09">
      <w:pPr>
        <w:rPr>
          <w:rFonts w:eastAsia="Palatino Linotype" w:cs="Palatino Linotype"/>
          <w:szCs w:val="22"/>
        </w:rPr>
      </w:pPr>
    </w:p>
    <w:p w14:paraId="51A0E8B4" w14:textId="676DCA47" w:rsidR="00664420" w:rsidRPr="00FD4F09" w:rsidRDefault="00C71CEF" w:rsidP="00FD4F09">
      <w:pPr>
        <w:pStyle w:val="Ttulo3"/>
        <w:rPr>
          <w:rFonts w:eastAsia="Calibri"/>
          <w:szCs w:val="22"/>
          <w:lang w:eastAsia="es-ES_tradnl"/>
        </w:rPr>
      </w:pPr>
      <w:bookmarkStart w:id="25" w:name="_heading=h.2s8eyo1" w:colFirst="0" w:colLast="0"/>
      <w:bookmarkStart w:id="26" w:name="_Toc178879274"/>
      <w:bookmarkEnd w:id="25"/>
      <w:r w:rsidRPr="00FD4F09">
        <w:rPr>
          <w:rFonts w:eastAsia="Calibri"/>
          <w:szCs w:val="22"/>
          <w:lang w:eastAsia="es-ES_tradnl"/>
        </w:rPr>
        <w:t>b)</w:t>
      </w:r>
      <w:r w:rsidR="00A53315" w:rsidRPr="00FD4F09">
        <w:rPr>
          <w:rFonts w:eastAsia="Calibri"/>
          <w:szCs w:val="22"/>
          <w:lang w:eastAsia="es-ES_tradnl"/>
        </w:rPr>
        <w:t xml:space="preserve"> </w:t>
      </w:r>
      <w:r w:rsidR="00A21A20" w:rsidRPr="00FD4F09">
        <w:rPr>
          <w:rFonts w:eastAsia="Calibri"/>
          <w:szCs w:val="22"/>
          <w:lang w:eastAsia="es-ES_tradnl"/>
        </w:rPr>
        <w:t>Controversia a resolver</w:t>
      </w:r>
      <w:bookmarkEnd w:id="26"/>
    </w:p>
    <w:p w14:paraId="5DAE2A65" w14:textId="3E1426A0" w:rsidR="00664420" w:rsidRPr="00FD4F09" w:rsidRDefault="00664420" w:rsidP="00FD4F09">
      <w:pPr>
        <w:rPr>
          <w:rFonts w:eastAsia="Calibri"/>
          <w:szCs w:val="22"/>
          <w:lang w:eastAsia="es-ES_tradnl"/>
        </w:rPr>
      </w:pPr>
      <w:r w:rsidRPr="00FD4F09">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FD4F09">
        <w:rPr>
          <w:rFonts w:eastAsia="Calibri"/>
          <w:b/>
          <w:bCs/>
          <w:szCs w:val="22"/>
          <w:lang w:eastAsia="es-ES_tradnl"/>
        </w:rPr>
        <w:t>LA PARTE RECURRENTE</w:t>
      </w:r>
      <w:r w:rsidRPr="00FD4F09">
        <w:rPr>
          <w:rFonts w:eastAsia="Calibri"/>
          <w:szCs w:val="22"/>
          <w:lang w:eastAsia="es-ES_tradnl"/>
        </w:rPr>
        <w:t xml:space="preserve"> solicitó lo siguiente:</w:t>
      </w:r>
    </w:p>
    <w:p w14:paraId="261A9A40" w14:textId="659C3FB9" w:rsidR="00AB34C6" w:rsidRPr="00FD4F09" w:rsidRDefault="00AB34C6" w:rsidP="00FD4F09">
      <w:pPr>
        <w:rPr>
          <w:rFonts w:eastAsia="Calibri"/>
          <w:szCs w:val="22"/>
          <w:lang w:eastAsia="es-ES_tradnl"/>
        </w:rPr>
      </w:pPr>
    </w:p>
    <w:p w14:paraId="36457812" w14:textId="2992C868" w:rsidR="00AB34C6" w:rsidRPr="00FD4F09" w:rsidRDefault="00AB34C6" w:rsidP="00FD4F09">
      <w:pPr>
        <w:pStyle w:val="Puesto"/>
        <w:rPr>
          <w:rFonts w:eastAsia="Calibri"/>
          <w:lang w:eastAsia="es-ES_tradnl"/>
        </w:rPr>
      </w:pPr>
      <w:r w:rsidRPr="00FD4F09">
        <w:t>De la dirección, jefatura, departamento o similar destinado a atender específicamente a la diversidad sexual y de género o población LGBTTTIQ+:</w:t>
      </w:r>
    </w:p>
    <w:p w14:paraId="6328D20E" w14:textId="4D080659" w:rsidR="00C70B3F" w:rsidRPr="00FD4F09" w:rsidRDefault="00C70B3F" w:rsidP="00FD4F09">
      <w:pPr>
        <w:pStyle w:val="Puesto"/>
      </w:pPr>
    </w:p>
    <w:p w14:paraId="7243FC05" w14:textId="5DC32844" w:rsidR="00AB34C6" w:rsidRPr="00FD4F09" w:rsidRDefault="00AB34C6" w:rsidP="00FD4F09">
      <w:pPr>
        <w:pStyle w:val="Puesto"/>
        <w:numPr>
          <w:ilvl w:val="0"/>
          <w:numId w:val="3"/>
        </w:numPr>
      </w:pPr>
      <w:r w:rsidRPr="00FD4F09">
        <w:t>P</w:t>
      </w:r>
      <w:r w:rsidR="00181725" w:rsidRPr="00FD4F09">
        <w:t>resupuesto anual programado para el ejercicio fiscal 2024 ejercido o destinado</w:t>
      </w:r>
      <w:r w:rsidRPr="00FD4F09">
        <w:t xml:space="preserve">, al mayor grado de desagregación en </w:t>
      </w:r>
      <w:r w:rsidR="00181725" w:rsidRPr="00FD4F09">
        <w:t xml:space="preserve">salarios, gastos fijos de operación y programas o acciones específicas. </w:t>
      </w:r>
    </w:p>
    <w:p w14:paraId="62F1107B" w14:textId="77777777" w:rsidR="00AB34C6" w:rsidRPr="00FD4F09" w:rsidRDefault="00AB34C6" w:rsidP="00FD4F09">
      <w:pPr>
        <w:pStyle w:val="Puesto"/>
      </w:pPr>
    </w:p>
    <w:p w14:paraId="767BD2CE" w14:textId="608776EF" w:rsidR="00AB34C6" w:rsidRPr="00FD4F09" w:rsidRDefault="00AB34C6" w:rsidP="00FD4F09">
      <w:pPr>
        <w:pStyle w:val="Puesto"/>
        <w:numPr>
          <w:ilvl w:val="0"/>
          <w:numId w:val="3"/>
        </w:numPr>
      </w:pPr>
      <w:r w:rsidRPr="00FD4F09">
        <w:t>Número de</w:t>
      </w:r>
      <w:r w:rsidR="00181725" w:rsidRPr="00FD4F09">
        <w:t xml:space="preserve"> personas adscritas</w:t>
      </w:r>
      <w:r w:rsidR="005B4153" w:rsidRPr="00FD4F09">
        <w:t>.</w:t>
      </w:r>
    </w:p>
    <w:p w14:paraId="1C011A51" w14:textId="77777777" w:rsidR="00AB34C6" w:rsidRPr="00FD4F09" w:rsidRDefault="00AB34C6" w:rsidP="00FD4F09">
      <w:pPr>
        <w:pStyle w:val="Puesto"/>
      </w:pPr>
    </w:p>
    <w:p w14:paraId="5E954921" w14:textId="36E048C4" w:rsidR="00AB34C6" w:rsidRPr="00FD4F09" w:rsidRDefault="00AB34C6" w:rsidP="00FD4F09">
      <w:pPr>
        <w:pStyle w:val="Puesto"/>
        <w:numPr>
          <w:ilvl w:val="0"/>
          <w:numId w:val="3"/>
        </w:numPr>
      </w:pPr>
      <w:r w:rsidRPr="00FD4F09">
        <w:t>P</w:t>
      </w:r>
      <w:r w:rsidR="00181725" w:rsidRPr="00FD4F09">
        <w:t xml:space="preserve">erfiles </w:t>
      </w:r>
      <w:r w:rsidRPr="00FD4F09">
        <w:t>profesionales</w:t>
      </w:r>
      <w:r w:rsidR="005B4153" w:rsidRPr="00FD4F09">
        <w:t>.</w:t>
      </w:r>
    </w:p>
    <w:p w14:paraId="39B849FA" w14:textId="77777777" w:rsidR="00AB34C6" w:rsidRPr="00FD4F09" w:rsidRDefault="00AB34C6" w:rsidP="00FD4F09">
      <w:pPr>
        <w:pStyle w:val="Puesto"/>
      </w:pPr>
    </w:p>
    <w:p w14:paraId="0625B8D8" w14:textId="2C63F6BF" w:rsidR="00AB34C6" w:rsidRPr="00FD4F09" w:rsidRDefault="00AB34C6" w:rsidP="00FD4F09">
      <w:pPr>
        <w:pStyle w:val="Puesto"/>
        <w:numPr>
          <w:ilvl w:val="0"/>
          <w:numId w:val="3"/>
        </w:numPr>
      </w:pPr>
      <w:r w:rsidRPr="00FD4F09">
        <w:t>S</w:t>
      </w:r>
      <w:r w:rsidR="00181725" w:rsidRPr="00FD4F09">
        <w:t xml:space="preserve">ervicios que </w:t>
      </w:r>
      <w:r w:rsidRPr="00FD4F09">
        <w:t>se brindan</w:t>
      </w:r>
      <w:r w:rsidR="00181725" w:rsidRPr="00FD4F09">
        <w:t xml:space="preserve">. </w:t>
      </w:r>
    </w:p>
    <w:p w14:paraId="206ED05F" w14:textId="77777777" w:rsidR="00AB34C6" w:rsidRPr="00FD4F09" w:rsidRDefault="00AB34C6" w:rsidP="00FD4F09">
      <w:pPr>
        <w:pStyle w:val="Puesto"/>
      </w:pPr>
    </w:p>
    <w:p w14:paraId="34208CC3" w14:textId="11FDD86D" w:rsidR="00AB34C6" w:rsidRPr="00FD4F09" w:rsidRDefault="00AB34C6" w:rsidP="00FD4F09">
      <w:pPr>
        <w:pStyle w:val="Puesto"/>
        <w:numPr>
          <w:ilvl w:val="0"/>
          <w:numId w:val="3"/>
        </w:numPr>
      </w:pPr>
      <w:r w:rsidRPr="00FD4F09">
        <w:t>M</w:t>
      </w:r>
      <w:r w:rsidR="00181725" w:rsidRPr="00FD4F09">
        <w:t>etas e indicadores programados para el ejercicio fiscal 2024 para atender a la población LGBTTTIQ+</w:t>
      </w:r>
      <w:r w:rsidRPr="00FD4F09">
        <w:t>, al mayor grado de desagregación.</w:t>
      </w:r>
    </w:p>
    <w:p w14:paraId="1D7623E2" w14:textId="77777777" w:rsidR="00AB34C6" w:rsidRPr="00FD4F09" w:rsidRDefault="00AB34C6" w:rsidP="00FD4F09">
      <w:pPr>
        <w:pStyle w:val="Puesto"/>
      </w:pPr>
    </w:p>
    <w:p w14:paraId="2AE0E9AC" w14:textId="77777777" w:rsidR="00AB34C6" w:rsidRPr="00FD4F09" w:rsidRDefault="00AB34C6" w:rsidP="00FD4F09">
      <w:pPr>
        <w:pStyle w:val="Puesto"/>
        <w:numPr>
          <w:ilvl w:val="0"/>
          <w:numId w:val="3"/>
        </w:numPr>
      </w:pPr>
      <w:r w:rsidRPr="00FD4F09">
        <w:t>Número de</w:t>
      </w:r>
      <w:r w:rsidR="00181725" w:rsidRPr="00FD4F09">
        <w:t xml:space="preserve"> personas LGBTTTIQ+ fueron atendidas en 2023</w:t>
      </w:r>
      <w:r w:rsidRPr="00FD4F09">
        <w:t xml:space="preserve"> y </w:t>
      </w:r>
      <w:r w:rsidR="00181725" w:rsidRPr="00FD4F09">
        <w:t>2024</w:t>
      </w:r>
      <w:r w:rsidRPr="00FD4F09">
        <w:t>.</w:t>
      </w:r>
    </w:p>
    <w:p w14:paraId="3CFF2A95" w14:textId="77777777" w:rsidR="00AB34C6" w:rsidRPr="00FD4F09" w:rsidRDefault="00AB34C6" w:rsidP="00FD4F09">
      <w:pPr>
        <w:pStyle w:val="Puesto"/>
      </w:pPr>
    </w:p>
    <w:p w14:paraId="25FADFA7" w14:textId="4E32B0BC" w:rsidR="00961F5C" w:rsidRPr="00FD4F09" w:rsidRDefault="00AB34C6" w:rsidP="00FD4F09">
      <w:pPr>
        <w:pStyle w:val="Puesto"/>
        <w:numPr>
          <w:ilvl w:val="0"/>
          <w:numId w:val="3"/>
        </w:numPr>
      </w:pPr>
      <w:r w:rsidRPr="00FD4F09">
        <w:t>P</w:t>
      </w:r>
      <w:r w:rsidR="00181725" w:rsidRPr="00FD4F09">
        <w:t>romedio de población a quienes se les ofrece atención de manera mensual.</w:t>
      </w:r>
    </w:p>
    <w:p w14:paraId="18FAF0F5" w14:textId="77777777" w:rsidR="00181725" w:rsidRPr="00FD4F09" w:rsidRDefault="00181725" w:rsidP="00FD4F09">
      <w:pPr>
        <w:tabs>
          <w:tab w:val="left" w:pos="4962"/>
        </w:tabs>
        <w:contextualSpacing/>
        <w:rPr>
          <w:rFonts w:cs="Tahoma"/>
          <w:bCs/>
          <w:iCs/>
          <w:szCs w:val="22"/>
        </w:rPr>
      </w:pPr>
    </w:p>
    <w:p w14:paraId="32BCEBA4" w14:textId="219E2AD2" w:rsidR="000820ED" w:rsidRPr="00FD4F09" w:rsidRDefault="00664420" w:rsidP="00FD4F09">
      <w:pPr>
        <w:tabs>
          <w:tab w:val="left" w:pos="4962"/>
        </w:tabs>
        <w:contextualSpacing/>
        <w:rPr>
          <w:rFonts w:eastAsiaTheme="minorHAnsi" w:cs="Tahoma"/>
          <w:bCs/>
          <w:iCs/>
          <w:szCs w:val="22"/>
          <w:lang w:eastAsia="en-US"/>
        </w:rPr>
      </w:pPr>
      <w:r w:rsidRPr="00FD4F09">
        <w:rPr>
          <w:rFonts w:eastAsiaTheme="minorHAnsi" w:cs="Tahoma"/>
          <w:bCs/>
          <w:iCs/>
          <w:szCs w:val="22"/>
          <w:lang w:eastAsia="en-US"/>
        </w:rPr>
        <w:t>En respuesta,</w:t>
      </w:r>
      <w:r w:rsidR="000820ED" w:rsidRPr="00FD4F09">
        <w:rPr>
          <w:rFonts w:eastAsiaTheme="minorHAnsi" w:cs="Tahoma"/>
          <w:bCs/>
          <w:iCs/>
          <w:szCs w:val="22"/>
          <w:lang w:eastAsia="en-US"/>
        </w:rPr>
        <w:t xml:space="preserve"> conforme a las constancias que obran en</w:t>
      </w:r>
      <w:r w:rsidR="00837517" w:rsidRPr="00FD4F09">
        <w:rPr>
          <w:rFonts w:eastAsiaTheme="minorHAnsi" w:cs="Tahoma"/>
          <w:bCs/>
          <w:iCs/>
          <w:szCs w:val="22"/>
          <w:lang w:eastAsia="en-US"/>
        </w:rPr>
        <w:t xml:space="preserve"> el</w:t>
      </w:r>
      <w:r w:rsidR="000820ED" w:rsidRPr="00FD4F09">
        <w:rPr>
          <w:rFonts w:eastAsiaTheme="minorHAnsi" w:cs="Tahoma"/>
          <w:bCs/>
          <w:iCs/>
          <w:szCs w:val="22"/>
          <w:lang w:eastAsia="en-US"/>
        </w:rPr>
        <w:t xml:space="preserve"> </w:t>
      </w:r>
      <w:r w:rsidR="000820ED" w:rsidRPr="00FD4F09">
        <w:rPr>
          <w:rFonts w:eastAsiaTheme="minorHAnsi" w:cs="Tahoma"/>
          <w:b/>
          <w:bCs/>
          <w:iCs/>
          <w:szCs w:val="22"/>
          <w:lang w:eastAsia="en-US"/>
        </w:rPr>
        <w:t>SAIMEX</w:t>
      </w:r>
      <w:r w:rsidR="000820ED" w:rsidRPr="00FD4F09">
        <w:rPr>
          <w:rFonts w:eastAsiaTheme="minorHAnsi" w:cs="Tahoma"/>
          <w:bCs/>
          <w:iCs/>
          <w:szCs w:val="22"/>
          <w:lang w:eastAsia="en-US"/>
        </w:rPr>
        <w:t>,</w:t>
      </w:r>
      <w:r w:rsidRPr="00FD4F09">
        <w:rPr>
          <w:rFonts w:eastAsiaTheme="minorHAnsi" w:cs="Tahoma"/>
          <w:bCs/>
          <w:iCs/>
          <w:szCs w:val="22"/>
          <w:lang w:eastAsia="en-US"/>
        </w:rPr>
        <w:t xml:space="preserve"> </w:t>
      </w:r>
      <w:r w:rsidR="005D5A50" w:rsidRPr="00FD4F09">
        <w:rPr>
          <w:rFonts w:eastAsiaTheme="minorHAnsi" w:cs="Tahoma"/>
          <w:b/>
          <w:iCs/>
          <w:szCs w:val="22"/>
          <w:lang w:eastAsia="en-US"/>
        </w:rPr>
        <w:t>EL SUJETO OBLIGADO</w:t>
      </w:r>
      <w:r w:rsidRPr="00FD4F09">
        <w:rPr>
          <w:rFonts w:eastAsiaTheme="minorHAnsi" w:cs="Tahoma"/>
          <w:bCs/>
          <w:iCs/>
          <w:szCs w:val="22"/>
          <w:lang w:eastAsia="en-US"/>
        </w:rPr>
        <w:t xml:space="preserve"> </w:t>
      </w:r>
      <w:r w:rsidR="00181725" w:rsidRPr="00FD4F09">
        <w:rPr>
          <w:rFonts w:eastAsiaTheme="minorHAnsi" w:cs="Tahoma"/>
          <w:bCs/>
          <w:iCs/>
          <w:szCs w:val="22"/>
          <w:lang w:eastAsia="en-US"/>
        </w:rPr>
        <w:t>informó que contaba con un nuevo requerimiento y citó textualmente la solicitud de información</w:t>
      </w:r>
      <w:r w:rsidR="00931CFA" w:rsidRPr="00FD4F09">
        <w:rPr>
          <w:rFonts w:eastAsiaTheme="minorHAnsi" w:cs="Tahoma"/>
          <w:bCs/>
          <w:iCs/>
          <w:szCs w:val="22"/>
          <w:lang w:eastAsia="en-US"/>
        </w:rPr>
        <w:t>.</w:t>
      </w:r>
    </w:p>
    <w:p w14:paraId="366A4404" w14:textId="77777777" w:rsidR="00B93231" w:rsidRPr="00FD4F09" w:rsidRDefault="00B93231" w:rsidP="00FD4F09">
      <w:pPr>
        <w:rPr>
          <w:szCs w:val="22"/>
        </w:rPr>
      </w:pPr>
    </w:p>
    <w:p w14:paraId="570E4E2F" w14:textId="579D1D9A" w:rsidR="00BC67B0" w:rsidRPr="00FD4F09" w:rsidRDefault="00CF7586" w:rsidP="00FD4F09">
      <w:pPr>
        <w:tabs>
          <w:tab w:val="left" w:pos="4962"/>
        </w:tabs>
        <w:contextualSpacing/>
        <w:rPr>
          <w:rFonts w:eastAsiaTheme="minorHAnsi" w:cs="Tahoma"/>
          <w:b/>
          <w:bCs/>
          <w:iCs/>
          <w:szCs w:val="22"/>
          <w:lang w:eastAsia="en-US"/>
        </w:rPr>
      </w:pPr>
      <w:r w:rsidRPr="00FD4F09">
        <w:rPr>
          <w:rFonts w:eastAsiaTheme="minorHAnsi" w:cs="Tahoma"/>
          <w:bCs/>
          <w:iCs/>
          <w:szCs w:val="22"/>
          <w:lang w:eastAsia="en-US"/>
        </w:rPr>
        <w:lastRenderedPageBreak/>
        <w:t xml:space="preserve">Ahora bien, en la interposición del presente recurso </w:t>
      </w:r>
      <w:r w:rsidRPr="00FD4F09">
        <w:rPr>
          <w:rFonts w:eastAsiaTheme="minorHAnsi" w:cs="Tahoma"/>
          <w:b/>
          <w:iCs/>
          <w:szCs w:val="22"/>
          <w:lang w:eastAsia="en-US"/>
        </w:rPr>
        <w:t>LA PARTE RECURRENTE</w:t>
      </w:r>
      <w:r w:rsidR="00664420" w:rsidRPr="00FD4F09">
        <w:rPr>
          <w:rFonts w:eastAsiaTheme="minorHAnsi" w:cs="Tahoma"/>
          <w:bCs/>
          <w:iCs/>
          <w:szCs w:val="22"/>
          <w:lang w:eastAsia="en-US"/>
        </w:rPr>
        <w:t xml:space="preserve"> se inconformó de</w:t>
      </w:r>
      <w:r w:rsidR="00B03AB8" w:rsidRPr="00FD4F09">
        <w:rPr>
          <w:rFonts w:eastAsiaTheme="minorHAnsi" w:cs="Tahoma"/>
          <w:bCs/>
          <w:iCs/>
          <w:szCs w:val="22"/>
          <w:lang w:eastAsia="en-US"/>
        </w:rPr>
        <w:t xml:space="preserve"> que </w:t>
      </w:r>
      <w:r w:rsidR="00181725" w:rsidRPr="00FD4F09">
        <w:rPr>
          <w:rFonts w:eastAsiaTheme="minorHAnsi" w:cs="Tahoma"/>
          <w:iCs/>
          <w:szCs w:val="22"/>
          <w:lang w:eastAsia="en-US"/>
        </w:rPr>
        <w:t>en la respuesta se indica solamente las preguntas que él mandó, y que no estaban contestando lo que había solicitado.</w:t>
      </w:r>
      <w:r w:rsidR="00181725" w:rsidRPr="00FD4F09">
        <w:rPr>
          <w:rFonts w:eastAsiaTheme="minorHAnsi" w:cs="Tahoma"/>
          <w:b/>
          <w:bCs/>
          <w:iCs/>
          <w:szCs w:val="22"/>
          <w:lang w:eastAsia="en-US"/>
        </w:rPr>
        <w:t xml:space="preserve"> </w:t>
      </w:r>
    </w:p>
    <w:p w14:paraId="1C60F1C0" w14:textId="77777777" w:rsidR="00262510" w:rsidRPr="00FD4F09" w:rsidRDefault="00262510" w:rsidP="00FD4F09">
      <w:pPr>
        <w:tabs>
          <w:tab w:val="left" w:pos="4962"/>
        </w:tabs>
        <w:contextualSpacing/>
        <w:rPr>
          <w:rFonts w:eastAsiaTheme="minorHAnsi" w:cs="Tahoma"/>
          <w:bCs/>
          <w:iCs/>
          <w:szCs w:val="22"/>
          <w:lang w:eastAsia="en-US"/>
        </w:rPr>
      </w:pPr>
    </w:p>
    <w:p w14:paraId="2C7A9299" w14:textId="5BD8D720" w:rsidR="00BC67B0" w:rsidRPr="00FD4F09" w:rsidRDefault="00BC67B0" w:rsidP="00FD4F09">
      <w:pPr>
        <w:tabs>
          <w:tab w:val="left" w:pos="4962"/>
        </w:tabs>
        <w:rPr>
          <w:szCs w:val="22"/>
          <w:lang w:val="es-ES"/>
        </w:rPr>
      </w:pPr>
      <w:r w:rsidRPr="00FD4F09">
        <w:rPr>
          <w:szCs w:val="22"/>
          <w:lang w:val="es-ES"/>
        </w:rPr>
        <w:t xml:space="preserve">Abierta la etapa de instrucción, </w:t>
      </w:r>
      <w:r w:rsidRPr="00FD4F09">
        <w:rPr>
          <w:b/>
          <w:szCs w:val="22"/>
          <w:lang w:val="es-ES"/>
        </w:rPr>
        <w:t>EL SUJETO OBLIGADO</w:t>
      </w:r>
      <w:r w:rsidR="00787340" w:rsidRPr="00FD4F09">
        <w:rPr>
          <w:szCs w:val="22"/>
          <w:lang w:val="es-ES"/>
        </w:rPr>
        <w:t xml:space="preserve"> </w:t>
      </w:r>
      <w:r w:rsidR="00181725" w:rsidRPr="00FD4F09">
        <w:rPr>
          <w:szCs w:val="22"/>
          <w:lang w:val="es-ES"/>
        </w:rPr>
        <w:t xml:space="preserve">no </w:t>
      </w:r>
      <w:r w:rsidRPr="00FD4F09">
        <w:rPr>
          <w:szCs w:val="22"/>
          <w:lang w:val="es-ES"/>
        </w:rPr>
        <w:t xml:space="preserve">rindió su Informe Justificado, </w:t>
      </w:r>
      <w:r w:rsidR="00181725" w:rsidRPr="00FD4F09">
        <w:rPr>
          <w:szCs w:val="22"/>
          <w:lang w:val="es-ES"/>
        </w:rPr>
        <w:t xml:space="preserve">así como </w:t>
      </w:r>
      <w:r w:rsidR="00052100" w:rsidRPr="00FD4F09">
        <w:rPr>
          <w:b/>
          <w:bCs/>
          <w:szCs w:val="22"/>
          <w:lang w:val="es-ES"/>
        </w:rPr>
        <w:t>LA PERSONA</w:t>
      </w:r>
      <w:r w:rsidR="00052100" w:rsidRPr="00FD4F09">
        <w:rPr>
          <w:szCs w:val="22"/>
          <w:lang w:val="es-ES"/>
        </w:rPr>
        <w:t xml:space="preserve"> </w:t>
      </w:r>
      <w:r w:rsidR="00076EF6" w:rsidRPr="00FD4F09">
        <w:rPr>
          <w:b/>
          <w:bCs/>
          <w:szCs w:val="22"/>
          <w:lang w:val="es-ES"/>
        </w:rPr>
        <w:t>R</w:t>
      </w:r>
      <w:r w:rsidR="00787340" w:rsidRPr="00FD4F09">
        <w:rPr>
          <w:b/>
          <w:szCs w:val="22"/>
          <w:lang w:val="es-ES"/>
        </w:rPr>
        <w:t xml:space="preserve">ECURRENTE </w:t>
      </w:r>
      <w:r w:rsidR="00181725" w:rsidRPr="00FD4F09">
        <w:rPr>
          <w:bCs/>
          <w:szCs w:val="22"/>
          <w:lang w:val="es-ES"/>
        </w:rPr>
        <w:t xml:space="preserve">tampoco </w:t>
      </w:r>
      <w:r w:rsidR="00787340" w:rsidRPr="00FD4F09">
        <w:rPr>
          <w:szCs w:val="22"/>
          <w:lang w:val="es-ES"/>
        </w:rPr>
        <w:t>realizó manifestación alguna.</w:t>
      </w:r>
    </w:p>
    <w:p w14:paraId="54E09151" w14:textId="77777777" w:rsidR="00787340" w:rsidRPr="00FD4F09" w:rsidRDefault="00787340" w:rsidP="00FD4F09">
      <w:pPr>
        <w:tabs>
          <w:tab w:val="left" w:pos="4962"/>
        </w:tabs>
        <w:rPr>
          <w:szCs w:val="22"/>
          <w:lang w:val="es-ES"/>
        </w:rPr>
      </w:pPr>
    </w:p>
    <w:p w14:paraId="414FD2D5" w14:textId="702FC6A8" w:rsidR="00664420" w:rsidRPr="00FD4F09" w:rsidRDefault="00A21A20" w:rsidP="00FD4F09">
      <w:pPr>
        <w:pStyle w:val="Ttulo3"/>
        <w:rPr>
          <w:szCs w:val="22"/>
        </w:rPr>
      </w:pPr>
      <w:bookmarkStart w:id="27" w:name="_Toc178879275"/>
      <w:r w:rsidRPr="00FD4F09">
        <w:rPr>
          <w:szCs w:val="22"/>
        </w:rPr>
        <w:t>c)</w:t>
      </w:r>
      <w:r w:rsidR="00664420" w:rsidRPr="00FD4F09">
        <w:rPr>
          <w:szCs w:val="22"/>
        </w:rPr>
        <w:t xml:space="preserve"> </w:t>
      </w:r>
      <w:r w:rsidRPr="00FD4F09">
        <w:rPr>
          <w:szCs w:val="22"/>
        </w:rPr>
        <w:t>Estudio de la controversia</w:t>
      </w:r>
      <w:bookmarkEnd w:id="27"/>
    </w:p>
    <w:p w14:paraId="5D5F0084" w14:textId="2E4EB2D7" w:rsidR="00C956F3" w:rsidRPr="00FD4F09" w:rsidRDefault="005B44F7" w:rsidP="00FD4F09">
      <w:pPr>
        <w:ind w:right="-28"/>
      </w:pPr>
      <w:r w:rsidRPr="00FD4F09">
        <w:t xml:space="preserve">Por ello, y a fin de resolver la controversia en cuestión, se estima necesario contextualizar la información solicitada. Partiendo así, con lo que se debe entender por el acrónimo </w:t>
      </w:r>
      <w:r w:rsidR="00DC342A" w:rsidRPr="00FD4F09">
        <w:t xml:space="preserve">LGBTTTIQ+, </w:t>
      </w:r>
      <w:r w:rsidRPr="00FD4F09">
        <w:t>cuyos</w:t>
      </w:r>
      <w:r w:rsidR="00534A35" w:rsidRPr="00FD4F09">
        <w:t xml:space="preserve"> términos</w:t>
      </w:r>
      <w:r w:rsidRPr="00FD4F09">
        <w:t xml:space="preserve"> están</w:t>
      </w:r>
      <w:r w:rsidR="00534A35" w:rsidRPr="00FD4F09">
        <w:t xml:space="preserve"> contenidos en el </w:t>
      </w:r>
      <w:r w:rsidR="00C956F3" w:rsidRPr="00FD4F09">
        <w:t>Glosario de la diversidad sexual, de género y características sexuales” del Consejo Nacional Para Prevenir la Discriminación (CONAPRED)</w:t>
      </w:r>
      <w:r w:rsidR="00534A35" w:rsidRPr="00FD4F09">
        <w:t>, siendo los siguientes:</w:t>
      </w:r>
    </w:p>
    <w:p w14:paraId="20EEDF48" w14:textId="77777777" w:rsidR="00703686" w:rsidRPr="00FD4F09" w:rsidRDefault="00703686" w:rsidP="00FD4F09">
      <w:pPr>
        <w:ind w:right="-28"/>
        <w:contextualSpacing/>
      </w:pPr>
    </w:p>
    <w:p w14:paraId="4240465F" w14:textId="4FE85D56" w:rsidR="00C956F3" w:rsidRPr="00FD4F09" w:rsidRDefault="005E0BED" w:rsidP="00FD4F09">
      <w:pPr>
        <w:pStyle w:val="Puesto"/>
      </w:pPr>
      <w:r w:rsidRPr="00FD4F09">
        <w:rPr>
          <w:b/>
          <w:bCs/>
        </w:rPr>
        <w:t>“</w:t>
      </w:r>
      <w:r w:rsidR="00C956F3" w:rsidRPr="00FD4F09">
        <w:rPr>
          <w:b/>
          <w:bCs/>
        </w:rPr>
        <w:t>Lesbiana:</w:t>
      </w:r>
      <w:r w:rsidR="00C956F3" w:rsidRPr="00FD4F09">
        <w:t xml:space="preserve"> Mujer que se siente atraída erótica y afectivamente por mujeres.</w:t>
      </w:r>
    </w:p>
    <w:p w14:paraId="36D89150" w14:textId="77777777" w:rsidR="00C956F3" w:rsidRPr="00FD4F09" w:rsidRDefault="00C956F3" w:rsidP="00FD4F09">
      <w:pPr>
        <w:pStyle w:val="Puesto"/>
      </w:pPr>
      <w:r w:rsidRPr="00FD4F09">
        <w:rPr>
          <w:b/>
          <w:bCs/>
        </w:rPr>
        <w:t>Gay:</w:t>
      </w:r>
      <w:r w:rsidRPr="00FD4F09">
        <w:t xml:space="preserve"> Hombre que se siente atraído erótico  afectivamente hacia otro hombre.</w:t>
      </w:r>
    </w:p>
    <w:p w14:paraId="2D4B8BFF" w14:textId="77777777" w:rsidR="00C956F3" w:rsidRPr="00FD4F09" w:rsidRDefault="00C956F3" w:rsidP="00FD4F09">
      <w:pPr>
        <w:pStyle w:val="Puesto"/>
      </w:pPr>
      <w:r w:rsidRPr="00FD4F09">
        <w:rPr>
          <w:b/>
          <w:bCs/>
        </w:rPr>
        <w:t>Bisexual:</w:t>
      </w:r>
      <w:r w:rsidRPr="00FD4F09">
        <w:t xml:space="preserve"> Personas que sienten atracción erótica afectiva por personas de un género diferente al suyo y de su mismo género, así como de mantener relaciones íntimas y sexuales con ellas.</w:t>
      </w:r>
    </w:p>
    <w:p w14:paraId="4646789F" w14:textId="77777777" w:rsidR="00C956F3" w:rsidRPr="00FD4F09" w:rsidRDefault="00C956F3" w:rsidP="00FD4F09">
      <w:pPr>
        <w:pStyle w:val="Puesto"/>
      </w:pPr>
      <w:proofErr w:type="spellStart"/>
      <w:r w:rsidRPr="00FD4F09">
        <w:rPr>
          <w:b/>
          <w:bCs/>
        </w:rPr>
        <w:t>Transgénero</w:t>
      </w:r>
      <w:proofErr w:type="spellEnd"/>
      <w:r w:rsidRPr="00FD4F09">
        <w:rPr>
          <w:b/>
          <w:bCs/>
        </w:rPr>
        <w:t>:</w:t>
      </w:r>
      <w:r w:rsidRPr="00FD4F09">
        <w:t xml:space="preserve"> Personas que se sienten y se conciben a sí mismas como pertenecientes al género opuesto al que social y culturalmente se asigna a su sexo de nacimiento, y quienes, por lo general, sólo optan por una reasignación hormonal.</w:t>
      </w:r>
    </w:p>
    <w:p w14:paraId="188E5470" w14:textId="77777777" w:rsidR="00C956F3" w:rsidRPr="00FD4F09" w:rsidRDefault="00C956F3" w:rsidP="00FD4F09">
      <w:pPr>
        <w:pStyle w:val="Puesto"/>
      </w:pPr>
      <w:r w:rsidRPr="00FD4F09">
        <w:rPr>
          <w:b/>
          <w:bCs/>
        </w:rPr>
        <w:t>Transexual:</w:t>
      </w:r>
      <w:r w:rsidRPr="00FD4F09">
        <w:t xml:space="preserve"> Personas que se sienten y se conciben a sí mismas como pertenecientes al género y al sexo opuesto a los que social y culturalmente se les asigna en función de su sexo de nacimiento y pueden optar una intervención quirúrgica.</w:t>
      </w:r>
    </w:p>
    <w:p w14:paraId="274A1D03" w14:textId="77777777" w:rsidR="00C956F3" w:rsidRPr="00FD4F09" w:rsidRDefault="00C956F3" w:rsidP="00FD4F09">
      <w:pPr>
        <w:pStyle w:val="Puesto"/>
      </w:pPr>
      <w:r w:rsidRPr="00FD4F09">
        <w:rPr>
          <w:b/>
          <w:bCs/>
        </w:rPr>
        <w:t>Travesti:</w:t>
      </w:r>
      <w:r w:rsidRPr="00FD4F09">
        <w:t xml:space="preserve"> Personas que gustan de presentar de manera transitoria o duradera una apariencia opuesta a la del género que socialmente se asigna a su sexo de nacimiento, mediante la utilización de prendas de vestir, actitudes y comportamientos.</w:t>
      </w:r>
    </w:p>
    <w:p w14:paraId="6147CB23" w14:textId="77777777" w:rsidR="00C956F3" w:rsidRPr="00FD4F09" w:rsidRDefault="00C956F3" w:rsidP="00FD4F09">
      <w:pPr>
        <w:pStyle w:val="Puesto"/>
      </w:pPr>
      <w:r w:rsidRPr="00FD4F09">
        <w:t>Intersexual: El término intersexual es el adecuado para su uso, rechazando el de hermafroditismo</w:t>
      </w:r>
    </w:p>
    <w:p w14:paraId="0E15EE09" w14:textId="41C7437A" w:rsidR="00780DB4" w:rsidRPr="00FD4F09" w:rsidRDefault="00C956F3" w:rsidP="00FD4F09">
      <w:pPr>
        <w:pStyle w:val="Puesto"/>
      </w:pPr>
      <w:proofErr w:type="spellStart"/>
      <w:r w:rsidRPr="00FD4F09">
        <w:rPr>
          <w:b/>
          <w:bCs/>
        </w:rPr>
        <w:lastRenderedPageBreak/>
        <w:t>Queer</w:t>
      </w:r>
      <w:proofErr w:type="spellEnd"/>
      <w:r w:rsidRPr="00FD4F09">
        <w:rPr>
          <w:b/>
          <w:bCs/>
        </w:rPr>
        <w:t>:</w:t>
      </w:r>
      <w:r w:rsidRPr="00FD4F09">
        <w:t xml:space="preserve"> Personas que además de no identificarse y rechazar el género socialmente asignado a su sexo de nacimiento, tampoco se identifican con el otro género o con alguno en particular</w:t>
      </w:r>
      <w:r w:rsidR="00534A35" w:rsidRPr="00FD4F09">
        <w:t>.</w:t>
      </w:r>
      <w:r w:rsidR="005E0BED" w:rsidRPr="00FD4F09">
        <w:t>” Sic.</w:t>
      </w:r>
    </w:p>
    <w:p w14:paraId="167D1470" w14:textId="77777777" w:rsidR="00534A35" w:rsidRPr="00FD4F09" w:rsidRDefault="00534A35" w:rsidP="00FD4F09">
      <w:pPr>
        <w:spacing w:after="160" w:line="259" w:lineRule="auto"/>
        <w:jc w:val="left"/>
        <w:rPr>
          <w:rFonts w:eastAsia="Palatino Linotype" w:cs="Palatino Linotype"/>
        </w:rPr>
      </w:pPr>
    </w:p>
    <w:p w14:paraId="6DA8CC58" w14:textId="5E531F54" w:rsidR="00703686" w:rsidRPr="00FD4F09" w:rsidRDefault="005E0BED" w:rsidP="00FD4F09">
      <w:pPr>
        <w:spacing w:after="160"/>
      </w:pPr>
      <w:r w:rsidRPr="00FD4F09">
        <w:t xml:space="preserve">En ese contexto, los artículos 11, 12 y 13 del </w:t>
      </w:r>
      <w:r w:rsidR="00703686" w:rsidRPr="00FD4F09">
        <w:t>Reglamento para la Igualdad Sustantiva entre Mujeres y Hombres en el municipio de Texcoco</w:t>
      </w:r>
      <w:r w:rsidR="00703686" w:rsidRPr="00FD4F09">
        <w:rPr>
          <w:rStyle w:val="Refdenotaalpie"/>
        </w:rPr>
        <w:footnoteReference w:id="1"/>
      </w:r>
      <w:r w:rsidR="00703686" w:rsidRPr="00FD4F09">
        <w:t xml:space="preserve">, </w:t>
      </w:r>
      <w:r w:rsidRPr="00FD4F09">
        <w:t xml:space="preserve">establecen la existencia de la Unidad de Igualdad de Género, conforme a lo siguiente: </w:t>
      </w:r>
    </w:p>
    <w:p w14:paraId="3332D46E" w14:textId="4CEE6795" w:rsidR="00257C07" w:rsidRPr="00FD4F09" w:rsidRDefault="00257C07" w:rsidP="00FD4F09">
      <w:pPr>
        <w:pStyle w:val="Puesto"/>
        <w:ind w:right="822"/>
        <w:jc w:val="center"/>
        <w:rPr>
          <w:b/>
          <w:bCs/>
        </w:rPr>
      </w:pPr>
      <w:r w:rsidRPr="00FD4F09">
        <w:rPr>
          <w:b/>
          <w:bCs/>
        </w:rPr>
        <w:t>TITULO TERCERO</w:t>
      </w:r>
    </w:p>
    <w:p w14:paraId="155595A8" w14:textId="71088C4D" w:rsidR="00257C07" w:rsidRPr="00FD4F09" w:rsidRDefault="00257C07" w:rsidP="00FD4F09">
      <w:pPr>
        <w:pStyle w:val="Puesto"/>
        <w:ind w:right="822"/>
        <w:jc w:val="center"/>
        <w:rPr>
          <w:b/>
          <w:bCs/>
        </w:rPr>
      </w:pPr>
      <w:r w:rsidRPr="00FD4F09">
        <w:rPr>
          <w:b/>
          <w:bCs/>
        </w:rPr>
        <w:t>DE LA UNIDAD DE IGUALDAD DE GÉNERO Y ERRADICACIÓN DE LA VIOLENCIA</w:t>
      </w:r>
    </w:p>
    <w:p w14:paraId="35C3D4CD" w14:textId="6FFB699E" w:rsidR="00257C07" w:rsidRPr="00FD4F09" w:rsidRDefault="00257C07" w:rsidP="00FD4F09">
      <w:pPr>
        <w:pStyle w:val="Puesto"/>
        <w:ind w:right="822"/>
        <w:jc w:val="center"/>
        <w:rPr>
          <w:b/>
          <w:bCs/>
        </w:rPr>
      </w:pPr>
      <w:r w:rsidRPr="00FD4F09">
        <w:rPr>
          <w:b/>
          <w:bCs/>
        </w:rPr>
        <w:t>CAPÍTULO I</w:t>
      </w:r>
    </w:p>
    <w:p w14:paraId="646334D3" w14:textId="1B0FD826" w:rsidR="00257C07" w:rsidRPr="00FD4F09" w:rsidRDefault="00257C07" w:rsidP="00FD4F09">
      <w:pPr>
        <w:pStyle w:val="Puesto"/>
        <w:ind w:right="822"/>
        <w:jc w:val="center"/>
        <w:rPr>
          <w:b/>
          <w:bCs/>
        </w:rPr>
      </w:pPr>
      <w:r w:rsidRPr="00FD4F09">
        <w:rPr>
          <w:b/>
          <w:bCs/>
        </w:rPr>
        <w:t>Disposiciones Generales</w:t>
      </w:r>
    </w:p>
    <w:p w14:paraId="11E054A6" w14:textId="77777777" w:rsidR="00257C07" w:rsidRPr="00FD4F09" w:rsidRDefault="00257C07" w:rsidP="00FD4F09">
      <w:pPr>
        <w:pStyle w:val="Puesto"/>
        <w:ind w:right="822"/>
      </w:pPr>
    </w:p>
    <w:p w14:paraId="1E6AC846" w14:textId="30784AF5" w:rsidR="00257C07" w:rsidRPr="00FD4F09" w:rsidRDefault="00257C07" w:rsidP="00FD4F09">
      <w:pPr>
        <w:pStyle w:val="Puesto"/>
        <w:ind w:right="822"/>
      </w:pPr>
      <w:r w:rsidRPr="00FD4F09">
        <w:rPr>
          <w:b/>
          <w:bCs/>
        </w:rPr>
        <w:t>Artículo 11.</w:t>
      </w:r>
      <w:r w:rsidRPr="00FD4F09">
        <w:t xml:space="preserve"> La Unidad de Igualdad de Género es el área administrativa dependiente de la Dirección de Desarrollo Social, Educativo y del Deporte, será responsable de diseñar e implementar estrategias que promuevan la igualdad en las áreas de la Administración Pública Municipal, así como de identificar y abordar las necesidades específicas de las mujeres, hombres y </w:t>
      </w:r>
      <w:r w:rsidRPr="00FD4F09">
        <w:rPr>
          <w:b/>
          <w:bCs/>
          <w:u w:val="single"/>
        </w:rPr>
        <w:t>comunidad LGBTQ+</w:t>
      </w:r>
      <w:r w:rsidRPr="00FD4F09">
        <w:t xml:space="preserve"> en el Municipio. Además, fungirá como enlace con organizaciones de la sociedad civil y otros actores relevantes en la promoción de la igualdad de género y la eliminación de la violencia. </w:t>
      </w:r>
    </w:p>
    <w:p w14:paraId="03AD7543" w14:textId="77777777" w:rsidR="00257C07" w:rsidRPr="00FD4F09" w:rsidRDefault="00257C07" w:rsidP="00FD4F09">
      <w:pPr>
        <w:pStyle w:val="Puesto"/>
        <w:ind w:right="822"/>
      </w:pPr>
    </w:p>
    <w:p w14:paraId="355A2D64" w14:textId="4B512962" w:rsidR="00257C07" w:rsidRPr="00FD4F09" w:rsidRDefault="00257C07" w:rsidP="00FD4F09">
      <w:pPr>
        <w:pStyle w:val="Puesto"/>
        <w:ind w:right="822"/>
      </w:pPr>
      <w:r w:rsidRPr="00FD4F09">
        <w:rPr>
          <w:b/>
          <w:bCs/>
        </w:rPr>
        <w:t>Artículo 12</w:t>
      </w:r>
      <w:r w:rsidRPr="00FD4F09">
        <w:t xml:space="preserve">. La titularidad de la Unidad de Igualdad de Género recae en una mujer que designará la Presidenta Municipal. Tendrá a su cargo el despacho de los asuntos de su competencia y dependerá jerárquicamente del Director. </w:t>
      </w:r>
    </w:p>
    <w:p w14:paraId="3D85A67F" w14:textId="77777777" w:rsidR="00257C07" w:rsidRPr="00FD4F09" w:rsidRDefault="00257C07" w:rsidP="00FD4F09">
      <w:pPr>
        <w:pStyle w:val="Puesto"/>
        <w:ind w:right="822"/>
      </w:pPr>
    </w:p>
    <w:p w14:paraId="1E93EF57" w14:textId="77777777" w:rsidR="00257C07" w:rsidRPr="00FD4F09" w:rsidRDefault="00257C07" w:rsidP="00FD4F09">
      <w:pPr>
        <w:pStyle w:val="Puesto"/>
        <w:ind w:right="822"/>
      </w:pPr>
      <w:r w:rsidRPr="00FD4F09">
        <w:rPr>
          <w:b/>
          <w:bCs/>
        </w:rPr>
        <w:t>Artículo 13</w:t>
      </w:r>
      <w:r w:rsidRPr="00FD4F09">
        <w:t xml:space="preserve">. Los servidores públicos integrantes de la Unidad de Igualdad de Género, orientarán su conducta y prestación de los servicios a la ciudadanía de conformidad con el Código de Ética y Conducta de los Servidores Públicos del Gobierno Municipal de Texcoco, con lo dispuesto en el presente Reglamento y demás ordenamientos jurídicos – administrativos aplicables, a fin de fortalecer la transparencia, la rendición de cuentas, la equidad de género y la prevención, atención, sanción y erradicación de la violencia contra mujeres. Además, del combate a la corrupción. </w:t>
      </w:r>
    </w:p>
    <w:p w14:paraId="509B4118" w14:textId="77777777" w:rsidR="00257C07" w:rsidRPr="00FD4F09" w:rsidRDefault="00257C07" w:rsidP="00FD4F09">
      <w:pPr>
        <w:pStyle w:val="Puesto"/>
        <w:rPr>
          <w:rFonts w:eastAsia="Times New Roman" w:cs="Times New Roman"/>
          <w:szCs w:val="20"/>
        </w:rPr>
      </w:pPr>
    </w:p>
    <w:p w14:paraId="1BF143BE" w14:textId="77777777" w:rsidR="00FA33F6" w:rsidRPr="00FD4F09" w:rsidRDefault="00257C07" w:rsidP="00FD4F09">
      <w:pPr>
        <w:pStyle w:val="Puesto"/>
        <w:spacing w:line="360" w:lineRule="auto"/>
        <w:ind w:left="0" w:right="-28"/>
        <w:rPr>
          <w:rFonts w:eastAsia="Times New Roman" w:cs="Times New Roman"/>
          <w:i w:val="0"/>
          <w:kern w:val="0"/>
          <w:szCs w:val="20"/>
        </w:rPr>
      </w:pPr>
      <w:r w:rsidRPr="00FD4F09">
        <w:rPr>
          <w:rFonts w:eastAsia="Times New Roman" w:cs="Times New Roman"/>
          <w:i w:val="0"/>
          <w:kern w:val="0"/>
          <w:szCs w:val="20"/>
        </w:rPr>
        <w:lastRenderedPageBreak/>
        <w:t xml:space="preserve">De lo transcrito, se advierte que existe una unidad administrativa del </w:t>
      </w:r>
      <w:r w:rsidRPr="00FD4F09">
        <w:rPr>
          <w:rFonts w:eastAsia="Times New Roman" w:cs="Times New Roman"/>
          <w:b/>
          <w:bCs/>
          <w:i w:val="0"/>
          <w:kern w:val="0"/>
          <w:szCs w:val="20"/>
        </w:rPr>
        <w:t xml:space="preserve">SUJETO OBLIGADO </w:t>
      </w:r>
      <w:r w:rsidRPr="00FD4F09">
        <w:rPr>
          <w:rFonts w:eastAsia="Times New Roman" w:cs="Times New Roman"/>
          <w:i w:val="0"/>
          <w:kern w:val="0"/>
          <w:szCs w:val="20"/>
        </w:rPr>
        <w:t xml:space="preserve">denominada Unidad de Igualdad de Género, dependiente de la Dirección de Desarrollo Social, Educativo y del Deporte, responsable de diseñar e implementar estrategias que promuevan la igualdad en las áreas de la Administración Pública Municipal, así como de identificar y abordar las necesidades específicas de las mujeres, hombres y comunidad LGBTQ+ en el Municipio, quién además, fungirá como enlace con organizaciones de la sociedad civil y otros actores relevantes en la promoción de la igualdad de género y la eliminación de la violencia. </w:t>
      </w:r>
    </w:p>
    <w:p w14:paraId="0FCB3B14" w14:textId="77777777" w:rsidR="00D600EF" w:rsidRPr="00FD4F09" w:rsidRDefault="00D600EF" w:rsidP="00FD4F09">
      <w:pPr>
        <w:pStyle w:val="Puesto"/>
        <w:spacing w:line="360" w:lineRule="auto"/>
        <w:ind w:left="0" w:right="-28"/>
        <w:rPr>
          <w:rFonts w:eastAsia="Times New Roman" w:cs="Times New Roman"/>
          <w:i w:val="0"/>
          <w:kern w:val="0"/>
          <w:szCs w:val="20"/>
        </w:rPr>
      </w:pPr>
    </w:p>
    <w:p w14:paraId="10B7184A" w14:textId="77777777" w:rsidR="00C82498" w:rsidRPr="00FD4F09" w:rsidRDefault="00C82498" w:rsidP="00FD4F09">
      <w:pPr>
        <w:ind w:right="-28"/>
      </w:pPr>
      <w:r w:rsidRPr="00FD4F09">
        <w:rPr>
          <w:szCs w:val="22"/>
        </w:rPr>
        <w:t xml:space="preserve">Puntualizado lo anterior, </w:t>
      </w:r>
      <w:r w:rsidRPr="00FD4F09">
        <w:rPr>
          <w:rFonts w:eastAsia="Palatino Linotype"/>
        </w:rPr>
        <w:t xml:space="preserve">es necesario señalar que </w:t>
      </w:r>
      <w:r w:rsidRPr="00FD4F09">
        <w:t>de una revisión al expediente que nos ocupa dentro del Sistema de Acceso a la Información Mexiquense, no se advierte el apartado de requerimientos; de lo que se infiere que el Titular de la Unidad de Transparencia no turnó la solicitud al área competente.</w:t>
      </w:r>
    </w:p>
    <w:p w14:paraId="5B2B9BE8" w14:textId="77777777" w:rsidR="00C82498" w:rsidRPr="00FD4F09" w:rsidRDefault="00C82498" w:rsidP="00FD4F09">
      <w:pPr>
        <w:ind w:right="-28"/>
      </w:pPr>
    </w:p>
    <w:p w14:paraId="330908FF" w14:textId="77777777" w:rsidR="00C82498" w:rsidRPr="00FD4F09" w:rsidRDefault="00C82498" w:rsidP="00FD4F09">
      <w:pPr>
        <w:pBdr>
          <w:top w:val="nil"/>
          <w:left w:val="nil"/>
          <w:bottom w:val="nil"/>
          <w:right w:val="nil"/>
          <w:between w:val="nil"/>
        </w:pBdr>
        <w:spacing w:after="240"/>
        <w:ind w:right="-28"/>
        <w:contextualSpacing/>
        <w:rPr>
          <w:b/>
        </w:rPr>
      </w:pPr>
      <w:r w:rsidRPr="00FD4F09">
        <w:t>En ese tenor, si bien la Titular de la Unidad de Transparencia es la encargada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tramitar ante las Áreas poseedoras de la información que se solicita, a efecto de entregarla al solicitante, de acuerdo a la forma en que la Unidad Administrativa correspondiente, la genere, recopile, administre, maneje, procese, archive o conserve, esto de conformidad con los artículos 51 y 53 fracción IV de la Ley en cita, que refieren:</w:t>
      </w:r>
      <w:r w:rsidRPr="00FD4F09">
        <w:rPr>
          <w:b/>
        </w:rPr>
        <w:t xml:space="preserve"> </w:t>
      </w:r>
    </w:p>
    <w:p w14:paraId="7CAADFD2" w14:textId="77777777" w:rsidR="00C82498" w:rsidRPr="00FD4F09" w:rsidRDefault="00C82498" w:rsidP="00FD4F09">
      <w:pPr>
        <w:pStyle w:val="Puesto"/>
        <w:jc w:val="center"/>
        <w:rPr>
          <w:b/>
          <w:bCs/>
        </w:rPr>
      </w:pPr>
      <w:r w:rsidRPr="00FD4F09">
        <w:t>“</w:t>
      </w:r>
      <w:r w:rsidRPr="00FD4F09">
        <w:rPr>
          <w:b/>
          <w:bCs/>
        </w:rPr>
        <w:t>Ley de Transparencia y Acceso a la Información Pública del Estado de México y Municipios</w:t>
      </w:r>
    </w:p>
    <w:p w14:paraId="42597C8A" w14:textId="77777777" w:rsidR="00C82498" w:rsidRPr="00FD4F09" w:rsidRDefault="00C82498" w:rsidP="00FD4F09"/>
    <w:p w14:paraId="7E0BA0B5" w14:textId="77777777" w:rsidR="00C82498" w:rsidRPr="00FD4F09" w:rsidRDefault="00C82498" w:rsidP="00FD4F09">
      <w:pPr>
        <w:pStyle w:val="Puesto"/>
      </w:pPr>
      <w:r w:rsidRPr="00FD4F09">
        <w:t>“</w:t>
      </w:r>
      <w:r w:rsidRPr="00FD4F09">
        <w:rPr>
          <w:b/>
          <w:bCs/>
        </w:rPr>
        <w:t>Artículo 50.</w:t>
      </w:r>
      <w:r w:rsidRPr="00FD4F09">
        <w:t xml:space="preserve"> Los sujetos obligados contarán con un área responsable para la atención de las solicitudes de información, a la que se le denominará Unidad de Transparencia. </w:t>
      </w:r>
    </w:p>
    <w:p w14:paraId="1F213325" w14:textId="77777777" w:rsidR="00C82498" w:rsidRPr="00FD4F09" w:rsidRDefault="00C82498" w:rsidP="00FD4F09">
      <w:pPr>
        <w:pStyle w:val="Puesto"/>
      </w:pPr>
    </w:p>
    <w:p w14:paraId="57B3E1CA" w14:textId="77777777" w:rsidR="00C82498" w:rsidRPr="00FD4F09" w:rsidRDefault="00C82498" w:rsidP="00FD4F09">
      <w:pPr>
        <w:pStyle w:val="Puesto"/>
      </w:pPr>
      <w:r w:rsidRPr="00FD4F09">
        <w:rPr>
          <w:b/>
          <w:bCs/>
        </w:rPr>
        <w:lastRenderedPageBreak/>
        <w:t>Artículo 51.</w:t>
      </w:r>
      <w:r w:rsidRPr="00FD4F09">
        <w:t xml:space="preserve"> Los sujetos obligados designaran a un responsable para atender la Unidad de Transparencia, quien fungirá como enlace entre éstos y los solicitantes. Dicha Unidad será la encargada de tramitar internamente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2AE9E9EF" w14:textId="77777777" w:rsidR="00C82498" w:rsidRPr="00FD4F09" w:rsidRDefault="00C82498" w:rsidP="00FD4F09">
      <w:pPr>
        <w:pStyle w:val="Puesto"/>
      </w:pPr>
      <w:r w:rsidRPr="00FD4F09">
        <w:t>…</w:t>
      </w:r>
    </w:p>
    <w:p w14:paraId="6AC050B6" w14:textId="77777777" w:rsidR="00C82498" w:rsidRPr="00FD4F09" w:rsidRDefault="00C82498" w:rsidP="00FD4F09">
      <w:pPr>
        <w:pStyle w:val="Puesto"/>
      </w:pPr>
      <w:r w:rsidRPr="00FD4F09">
        <w:rPr>
          <w:b/>
          <w:bCs/>
        </w:rPr>
        <w:t>Artículo 53</w:t>
      </w:r>
      <w:r w:rsidRPr="00FD4F09">
        <w:t>. Las Unidades de Transparencia tendrán las siguientes funciones:</w:t>
      </w:r>
    </w:p>
    <w:p w14:paraId="6EE53C9E" w14:textId="77777777" w:rsidR="00C82498" w:rsidRPr="00FD4F09" w:rsidRDefault="00C82498" w:rsidP="00FD4F09">
      <w:pPr>
        <w:pStyle w:val="Puesto"/>
      </w:pPr>
      <w:r w:rsidRPr="00FD4F09">
        <w:t>…</w:t>
      </w:r>
    </w:p>
    <w:p w14:paraId="6B5365D1" w14:textId="77777777" w:rsidR="00C82498" w:rsidRPr="00FD4F09" w:rsidRDefault="00C82498" w:rsidP="00FD4F09">
      <w:pPr>
        <w:pStyle w:val="Puesto"/>
      </w:pPr>
      <w:r w:rsidRPr="00FD4F09">
        <w:t xml:space="preserve">II. Recibir, tramitar y dar respuesta a las solicitudes de acceso a la información; </w:t>
      </w:r>
    </w:p>
    <w:p w14:paraId="7975FCD5" w14:textId="77777777" w:rsidR="00C82498" w:rsidRPr="00FD4F09" w:rsidRDefault="00C82498" w:rsidP="00FD4F09">
      <w:pPr>
        <w:pStyle w:val="Puesto"/>
      </w:pPr>
      <w:r w:rsidRPr="00FD4F09">
        <w:t>…</w:t>
      </w:r>
    </w:p>
    <w:p w14:paraId="3E716599" w14:textId="77777777" w:rsidR="00C82498" w:rsidRPr="00FD4F09" w:rsidRDefault="00C82498" w:rsidP="00FD4F09">
      <w:pPr>
        <w:pStyle w:val="Puesto"/>
      </w:pPr>
      <w:r w:rsidRPr="00FD4F09">
        <w:t xml:space="preserve">IV. Realizar, con efectividad, los trámites internos necesarios para la atención de las solicitudes de acceso a la información; </w:t>
      </w:r>
    </w:p>
    <w:p w14:paraId="1F537FEB" w14:textId="77777777" w:rsidR="00C82498" w:rsidRPr="00FD4F09" w:rsidRDefault="00C82498" w:rsidP="00FD4F09">
      <w:pPr>
        <w:pStyle w:val="Puesto"/>
      </w:pPr>
      <w:r w:rsidRPr="00FD4F09">
        <w:t xml:space="preserve">V. Entregar, en su caso, a los particulares la información solicitada; </w:t>
      </w:r>
    </w:p>
    <w:p w14:paraId="615F0BF9" w14:textId="77777777" w:rsidR="00C82498" w:rsidRPr="00FD4F09" w:rsidRDefault="00C82498" w:rsidP="00FD4F09">
      <w:pPr>
        <w:pStyle w:val="Puesto"/>
      </w:pPr>
      <w:r w:rsidRPr="00FD4F09">
        <w:t>VI. Efectuar las notificaciones a los solicitantes;” (Sic)</w:t>
      </w:r>
    </w:p>
    <w:p w14:paraId="165B32BD" w14:textId="77777777" w:rsidR="00C82498" w:rsidRPr="00FD4F09" w:rsidRDefault="00C82498" w:rsidP="00FD4F09">
      <w:pPr>
        <w:tabs>
          <w:tab w:val="left" w:pos="709"/>
        </w:tabs>
        <w:ind w:left="851" w:right="-28"/>
      </w:pPr>
    </w:p>
    <w:p w14:paraId="0CF9AAF9" w14:textId="77777777" w:rsidR="00C82498" w:rsidRPr="00FD4F09" w:rsidRDefault="00C82498" w:rsidP="00FD4F09">
      <w:pPr>
        <w:ind w:right="-28"/>
      </w:pPr>
      <w:r w:rsidRPr="00FD4F09">
        <w:t>En otras palabras, no se cumplió con lo que, para tal efecto, dispone el artículo 162 de la Ley de Transparencia y Acceso a la Información Pública del Estado de México y Municipios, que índica:</w:t>
      </w:r>
    </w:p>
    <w:p w14:paraId="6120C27C" w14:textId="77777777" w:rsidR="00C82498" w:rsidRPr="00FD4F09" w:rsidRDefault="00C82498" w:rsidP="00FD4F09">
      <w:pPr>
        <w:ind w:right="-28"/>
      </w:pPr>
    </w:p>
    <w:p w14:paraId="40D1F972" w14:textId="77777777" w:rsidR="00C82498" w:rsidRPr="00FD4F09" w:rsidRDefault="00C82498" w:rsidP="00FD4F09">
      <w:pPr>
        <w:pStyle w:val="Puesto"/>
      </w:pPr>
      <w:r w:rsidRPr="00FD4F09">
        <w:t>“</w:t>
      </w:r>
      <w:r w:rsidRPr="00FD4F09">
        <w:rPr>
          <w:b/>
          <w:bCs/>
        </w:rPr>
        <w:t xml:space="preserve">Artículo </w:t>
      </w:r>
      <w:r w:rsidRPr="00FD4F09">
        <w:rPr>
          <w:rStyle w:val="PuestoCar"/>
          <w:b/>
          <w:bCs/>
          <w:i/>
        </w:rPr>
        <w:t>162.</w:t>
      </w:r>
      <w:r w:rsidRPr="00FD4F09">
        <w:rPr>
          <w:rStyle w:val="PuestoCar"/>
          <w:i/>
        </w:rPr>
        <w:t xml:space="preserve">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 (Sic</w:t>
      </w:r>
      <w:r w:rsidRPr="00FD4F09">
        <w:t>)</w:t>
      </w:r>
    </w:p>
    <w:p w14:paraId="525B618E" w14:textId="77777777" w:rsidR="00C82498" w:rsidRPr="00FD4F09" w:rsidRDefault="00C82498" w:rsidP="00FD4F09">
      <w:pPr>
        <w:spacing w:after="240"/>
        <w:ind w:left="567" w:right="-28"/>
        <w:contextualSpacing/>
      </w:pPr>
    </w:p>
    <w:p w14:paraId="1C9E5E9D" w14:textId="77777777" w:rsidR="005B44F7" w:rsidRPr="00FD4F09" w:rsidRDefault="005B44F7" w:rsidP="00FD4F09">
      <w:pPr>
        <w:ind w:right="-28"/>
      </w:pPr>
      <w:r w:rsidRPr="00FD4F09">
        <w:t xml:space="preserve">Aunado a lo anterior, se debe señalar que aunque la solicitud de información y la respuesta estén dirigidas y atendidas por un </w:t>
      </w:r>
      <w:r w:rsidRPr="00FD4F09">
        <w:rPr>
          <w:b/>
        </w:rPr>
        <w:t>SUJETO OBLIGADO</w:t>
      </w:r>
      <w:r w:rsidRPr="00FD4F09">
        <w:t xml:space="preserve">, lo cierto es que también tienen diversas Unidades Administrativas y cada área cuenta con un Servidor Público Habilitado,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w:t>
      </w:r>
      <w:r w:rsidRPr="00FD4F09">
        <w:lastRenderedPageBreak/>
        <w:t>Obligados, lo anterior de conformidad con los artículos 3 fracción XXXIX, 58 y 59  de la Ley en la materia, que estipulan lo siguiente:</w:t>
      </w:r>
    </w:p>
    <w:p w14:paraId="02A06DA1" w14:textId="77777777" w:rsidR="005B44F7" w:rsidRPr="00FD4F09" w:rsidRDefault="005B44F7" w:rsidP="00FD4F09">
      <w:pPr>
        <w:spacing w:line="276" w:lineRule="auto"/>
        <w:ind w:right="-28"/>
      </w:pPr>
    </w:p>
    <w:p w14:paraId="5F9A5CA1" w14:textId="77777777" w:rsidR="005B44F7" w:rsidRPr="00FD4F09" w:rsidRDefault="005B44F7" w:rsidP="00FD4F09">
      <w:pPr>
        <w:pStyle w:val="Puesto"/>
      </w:pPr>
      <w:r w:rsidRPr="00FD4F09">
        <w:t>“</w:t>
      </w:r>
      <w:r w:rsidRPr="00FD4F09">
        <w:rPr>
          <w:b/>
          <w:bCs/>
        </w:rPr>
        <w:t>Artículo 3.</w:t>
      </w:r>
      <w:r w:rsidRPr="00FD4F09">
        <w:t xml:space="preserve"> Para los efectos de la presente Ley se entenderá por:</w:t>
      </w:r>
    </w:p>
    <w:p w14:paraId="3FE06D99" w14:textId="77777777" w:rsidR="005B44F7" w:rsidRPr="00FD4F09" w:rsidRDefault="005B44F7" w:rsidP="00FD4F09">
      <w:pPr>
        <w:pStyle w:val="Puesto"/>
      </w:pPr>
      <w:r w:rsidRPr="00FD4F09">
        <w:t>…</w:t>
      </w:r>
    </w:p>
    <w:p w14:paraId="1FD960A6" w14:textId="77777777" w:rsidR="005B44F7" w:rsidRPr="00FD4F09" w:rsidRDefault="005B44F7" w:rsidP="00FD4F09">
      <w:pPr>
        <w:pStyle w:val="Puesto"/>
      </w:pPr>
      <w:r w:rsidRPr="00FD4F09">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715D8084" w14:textId="77777777" w:rsidR="005B44F7" w:rsidRPr="00FD4F09" w:rsidRDefault="005B44F7" w:rsidP="00FD4F09">
      <w:pPr>
        <w:pStyle w:val="Puesto"/>
      </w:pPr>
      <w:r w:rsidRPr="00FD4F09">
        <w:t>…</w:t>
      </w:r>
    </w:p>
    <w:p w14:paraId="2B183B58" w14:textId="77777777" w:rsidR="005B44F7" w:rsidRPr="00FD4F09" w:rsidRDefault="005B44F7" w:rsidP="00FD4F09">
      <w:pPr>
        <w:pStyle w:val="Puesto"/>
      </w:pPr>
      <w:r w:rsidRPr="00FD4F09">
        <w:rPr>
          <w:b/>
          <w:bCs/>
        </w:rPr>
        <w:t>Artículo 58.</w:t>
      </w:r>
      <w:r w:rsidRPr="00FD4F09">
        <w:t xml:space="preserve"> Los servidores públicos habilitados serán designados por el titular del sujeto obligado a propuesta del responsable de la Unidad de Transparencia.</w:t>
      </w:r>
    </w:p>
    <w:p w14:paraId="5BA96E51" w14:textId="77777777" w:rsidR="005B44F7" w:rsidRPr="00FD4F09" w:rsidRDefault="005B44F7" w:rsidP="00FD4F09">
      <w:pPr>
        <w:pStyle w:val="Puesto"/>
        <w:rPr>
          <w:b/>
          <w:bCs/>
        </w:rPr>
      </w:pPr>
    </w:p>
    <w:p w14:paraId="0DFA00FB" w14:textId="77777777" w:rsidR="005B44F7" w:rsidRPr="00FD4F09" w:rsidRDefault="005B44F7" w:rsidP="00FD4F09">
      <w:pPr>
        <w:pStyle w:val="Puesto"/>
      </w:pPr>
      <w:r w:rsidRPr="00FD4F09">
        <w:rPr>
          <w:b/>
          <w:bCs/>
        </w:rPr>
        <w:t>Artículo 59.</w:t>
      </w:r>
      <w:r w:rsidRPr="00FD4F09">
        <w:t xml:space="preserve"> Los servidores públicos habilitados tendrán las funciones siguientes:</w:t>
      </w:r>
    </w:p>
    <w:p w14:paraId="4B0451B5" w14:textId="77777777" w:rsidR="005B44F7" w:rsidRPr="00FD4F09" w:rsidRDefault="005B44F7" w:rsidP="00FD4F09">
      <w:pPr>
        <w:pStyle w:val="Puesto"/>
      </w:pPr>
      <w:r w:rsidRPr="00FD4F09">
        <w:t>I. Localizar la información que le solicite la Unidad de Transparencia;</w:t>
      </w:r>
    </w:p>
    <w:p w14:paraId="7FBF7341" w14:textId="77777777" w:rsidR="005B44F7" w:rsidRPr="00FD4F09" w:rsidRDefault="005B44F7" w:rsidP="00FD4F09">
      <w:pPr>
        <w:pStyle w:val="Puesto"/>
      </w:pPr>
      <w:r w:rsidRPr="00FD4F09">
        <w:t>II. Proporcionar la información que obre en los archivos y que le sea solicitada por la Unidad de Transparencia;</w:t>
      </w:r>
    </w:p>
    <w:p w14:paraId="6EB57108" w14:textId="77777777" w:rsidR="005B44F7" w:rsidRPr="00FD4F09" w:rsidRDefault="005B44F7" w:rsidP="00FD4F09">
      <w:pPr>
        <w:pStyle w:val="Puesto"/>
      </w:pPr>
      <w:r w:rsidRPr="00FD4F09">
        <w:t>III. Apoyar a la Unidad de Transparencia en lo que esta le solicite para el cumplimiento de sus funciones;</w:t>
      </w:r>
    </w:p>
    <w:p w14:paraId="41BE39D1" w14:textId="77777777" w:rsidR="005B44F7" w:rsidRPr="00FD4F09" w:rsidRDefault="005B44F7" w:rsidP="00FD4F09">
      <w:pPr>
        <w:pStyle w:val="Puesto"/>
      </w:pPr>
      <w:r w:rsidRPr="00FD4F09">
        <w:t>IV. Proporcionar a la Unidad de Transparencia, las modificaciones a la información pública de oficio que obre en su poder;</w:t>
      </w:r>
    </w:p>
    <w:p w14:paraId="39BCCEC8" w14:textId="77777777" w:rsidR="005B44F7" w:rsidRPr="00FD4F09" w:rsidRDefault="005B44F7" w:rsidP="00FD4F09">
      <w:pPr>
        <w:pStyle w:val="Puesto"/>
      </w:pPr>
      <w:r w:rsidRPr="00FD4F09">
        <w:t>V. Integrar y presentar al responsable de la Unidad de Transparencia la propuesta de clasificación de información, la cual tendrá los fundamentos y argumentos en que se basa dicha propuesta;</w:t>
      </w:r>
    </w:p>
    <w:p w14:paraId="1B55AFEA" w14:textId="77777777" w:rsidR="005B44F7" w:rsidRPr="00FD4F09" w:rsidRDefault="005B44F7" w:rsidP="00FD4F09">
      <w:pPr>
        <w:pStyle w:val="Puesto"/>
      </w:pPr>
      <w:r w:rsidRPr="00FD4F09">
        <w:t>VI. Verificar, una vez analizado el contenido de la información, que no se encuentre en los supuestos de información clasificada; y</w:t>
      </w:r>
    </w:p>
    <w:p w14:paraId="414A7501" w14:textId="77777777" w:rsidR="005B44F7" w:rsidRPr="00FD4F09" w:rsidRDefault="005B44F7" w:rsidP="00FD4F09">
      <w:pPr>
        <w:pStyle w:val="Puesto"/>
      </w:pPr>
      <w:r w:rsidRPr="00FD4F09">
        <w:t>VII. Dar cuenta a la Unidad de Transparencia del vencimiento de los plazos de reserva.” (Sic)</w:t>
      </w:r>
    </w:p>
    <w:p w14:paraId="60778EC3" w14:textId="77777777" w:rsidR="005B44F7" w:rsidRPr="00FD4F09" w:rsidRDefault="005B44F7" w:rsidP="00FD4F09">
      <w:pPr>
        <w:spacing w:before="240" w:line="276" w:lineRule="auto"/>
        <w:ind w:left="567" w:right="-28"/>
        <w:contextualSpacing/>
        <w:rPr>
          <w:i/>
        </w:rPr>
      </w:pPr>
    </w:p>
    <w:p w14:paraId="0F20B193" w14:textId="6429CC45" w:rsidR="00C82498" w:rsidRPr="00FD4F09" w:rsidRDefault="00C82498" w:rsidP="00FD4F09">
      <w:pPr>
        <w:ind w:right="-28"/>
        <w:contextualSpacing/>
      </w:pPr>
      <w:r w:rsidRPr="00FD4F09">
        <w:t xml:space="preserve">De lo que se concluye, que no basta con que </w:t>
      </w:r>
      <w:r w:rsidRPr="00FD4F09">
        <w:rPr>
          <w:b/>
        </w:rPr>
        <w:t>EL SUJETO OBLIGADO</w:t>
      </w:r>
      <w:r w:rsidRPr="00FD4F09">
        <w:t xml:space="preserve"> únicamente remita la respuesta formulada por cada servidor público habilitado, por el contrario, deberá recabar la información, difundirla y actualizarla para poder entregar una sola respuesta de manera íntegra conforme a la normatividad aplicable en materia de transparencia, incluyendo todas y </w:t>
      </w:r>
      <w:r w:rsidRPr="00FD4F09">
        <w:lastRenderedPageBreak/>
        <w:t>cada una de las áreas que lo conforman y por supuesto en donde pudiera obrar la información que se solicita.</w:t>
      </w:r>
    </w:p>
    <w:p w14:paraId="1FD2DD1E" w14:textId="3BD37413" w:rsidR="005B44F7" w:rsidRPr="00FD4F09" w:rsidRDefault="005B44F7" w:rsidP="00FD4F09">
      <w:pPr>
        <w:pStyle w:val="Puesto"/>
        <w:spacing w:line="360" w:lineRule="auto"/>
        <w:ind w:left="0" w:right="-28"/>
        <w:rPr>
          <w:rFonts w:eastAsia="Times New Roman" w:cs="Times New Roman"/>
          <w:i w:val="0"/>
          <w:kern w:val="0"/>
          <w:szCs w:val="20"/>
        </w:rPr>
      </w:pPr>
    </w:p>
    <w:p w14:paraId="37CCA407" w14:textId="77777777" w:rsidR="005B44F7" w:rsidRPr="00FD4F09" w:rsidRDefault="005B44F7" w:rsidP="00FD4F09">
      <w:pPr>
        <w:rPr>
          <w:rFonts w:eastAsia="Calibri"/>
        </w:rPr>
      </w:pPr>
      <w:r w:rsidRPr="00FD4F09">
        <w:rPr>
          <w:rFonts w:eastAsia="Calibri"/>
        </w:rPr>
        <w:t xml:space="preserve">Por lo anterior, </w:t>
      </w:r>
      <w:r w:rsidRPr="00FD4F09">
        <w:rPr>
          <w:rFonts w:cs="Arial"/>
          <w:lang w:eastAsia="es-MX"/>
        </w:rPr>
        <w:t>e</w:t>
      </w:r>
      <w:r w:rsidRPr="00FD4F09">
        <w:rPr>
          <w:rFonts w:cs="Arial"/>
        </w:rPr>
        <w:t xml:space="preserve">s de destacar que de las documentales que integran el expediente electrónico no se advierte que el Titular de la Unidad de Transparencia haya turnado la solicitud de manera enunciativa más no limitativa a la Tesorería Municipal, </w:t>
      </w:r>
      <w:r w:rsidRPr="00FD4F09">
        <w:t xml:space="preserve">área que de acuerdo a </w:t>
      </w:r>
      <w:r w:rsidRPr="00FD4F09">
        <w:rPr>
          <w:rFonts w:eastAsia="Calibri"/>
        </w:rPr>
        <w:t>sus funciones y atribuciones se encuentran constreñida a conocer acerca de la información en análisis, pues los artículos 31, fracciones XVIII y XIX y 95, fracciones I y IV de la Ley Orgánica Municipal del Estado de México disponen lo siguiente:</w:t>
      </w:r>
    </w:p>
    <w:p w14:paraId="40BD7F8D" w14:textId="77777777" w:rsidR="005B44F7" w:rsidRPr="00FD4F09" w:rsidRDefault="005B44F7" w:rsidP="00FD4F09">
      <w:pPr>
        <w:autoSpaceDE w:val="0"/>
        <w:autoSpaceDN w:val="0"/>
        <w:adjustRightInd w:val="0"/>
        <w:ind w:right="51"/>
        <w:rPr>
          <w:rFonts w:eastAsiaTheme="minorEastAsia" w:cs="Arial"/>
          <w:sz w:val="20"/>
        </w:rPr>
      </w:pPr>
    </w:p>
    <w:p w14:paraId="40D32A5A" w14:textId="77777777" w:rsidR="005B44F7" w:rsidRPr="00FD4F09" w:rsidRDefault="005B44F7" w:rsidP="00FD4F09">
      <w:pPr>
        <w:pStyle w:val="Puesto"/>
        <w:rPr>
          <w:b/>
        </w:rPr>
      </w:pPr>
      <w:r w:rsidRPr="00FD4F09">
        <w:t>“</w:t>
      </w:r>
      <w:r w:rsidRPr="00FD4F09">
        <w:rPr>
          <w:b/>
        </w:rPr>
        <w:t>Artículo 31.- Son atribuciones de los ayuntamientos:</w:t>
      </w:r>
    </w:p>
    <w:p w14:paraId="000C8847" w14:textId="77777777" w:rsidR="005B44F7" w:rsidRPr="00FD4F09" w:rsidRDefault="005B44F7" w:rsidP="00FD4F09">
      <w:pPr>
        <w:pStyle w:val="Puesto"/>
      </w:pPr>
      <w:r w:rsidRPr="00FD4F09">
        <w:t>…</w:t>
      </w:r>
    </w:p>
    <w:p w14:paraId="7BD4CD80" w14:textId="77777777" w:rsidR="005B44F7" w:rsidRPr="00FD4F09" w:rsidRDefault="005B44F7" w:rsidP="00FD4F09">
      <w:pPr>
        <w:pStyle w:val="Puesto"/>
        <w:rPr>
          <w:b/>
        </w:rPr>
      </w:pPr>
      <w:r w:rsidRPr="00FD4F09">
        <w:t xml:space="preserve">XVIII. Administrar su hacienda en términos de ley, y </w:t>
      </w:r>
      <w:r w:rsidRPr="00FD4F09">
        <w:rPr>
          <w:b/>
        </w:rPr>
        <w:t>controlar a través del presidente y síndico la aplicación del presupuesto de egresos del municipio;</w:t>
      </w:r>
    </w:p>
    <w:p w14:paraId="2DDCB32B" w14:textId="77777777" w:rsidR="005B44F7" w:rsidRPr="00FD4F09" w:rsidRDefault="005B44F7" w:rsidP="00FD4F09">
      <w:pPr>
        <w:pStyle w:val="Puesto"/>
      </w:pPr>
      <w:r w:rsidRPr="00FD4F09">
        <w:t>…</w:t>
      </w:r>
    </w:p>
    <w:p w14:paraId="06D25011" w14:textId="77777777" w:rsidR="005B44F7" w:rsidRPr="00FD4F09" w:rsidRDefault="005B44F7" w:rsidP="00FD4F09">
      <w:pPr>
        <w:pStyle w:val="Puesto"/>
      </w:pPr>
      <w:r w:rsidRPr="00FD4F09">
        <w:rPr>
          <w:b/>
        </w:rPr>
        <w:t>XIX. Aprobar anualmente a más tardar el 20 de diciembre, su Presupuesto de Egresos, en base a los ingresos presupuestados para el ejercicio que corresponda</w:t>
      </w:r>
      <w:r w:rsidRPr="00FD4F09">
        <w:t>, el cual podrá ser adecuado en función de las implicaciones que deriven de la aprobación de la Ley de Ingresos Municipal que haga la Legislatura, así como por la asignación de las participaciones y aportaciones federales y estatales</w:t>
      </w:r>
    </w:p>
    <w:p w14:paraId="4D564EAD" w14:textId="77777777" w:rsidR="005B44F7" w:rsidRPr="00FD4F09" w:rsidRDefault="005B44F7" w:rsidP="00FD4F09">
      <w:pPr>
        <w:pStyle w:val="Puesto"/>
      </w:pPr>
      <w:r w:rsidRPr="00FD4F09">
        <w:t>…</w:t>
      </w:r>
    </w:p>
    <w:p w14:paraId="03152D06" w14:textId="77777777" w:rsidR="005B44F7" w:rsidRPr="00FD4F09" w:rsidRDefault="005B44F7" w:rsidP="00FD4F09">
      <w:pPr>
        <w:pStyle w:val="Puesto"/>
        <w:rPr>
          <w:b/>
        </w:rPr>
      </w:pPr>
      <w:r w:rsidRPr="00FD4F09">
        <w:rPr>
          <w:b/>
        </w:rPr>
        <w:t>Artículo 95.-</w:t>
      </w:r>
      <w:r w:rsidRPr="00FD4F09">
        <w:t xml:space="preserve"> Son </w:t>
      </w:r>
      <w:r w:rsidRPr="00FD4F09">
        <w:rPr>
          <w:b/>
        </w:rPr>
        <w:t>atribuciones del tesorero municipal:</w:t>
      </w:r>
    </w:p>
    <w:p w14:paraId="5E6D016A" w14:textId="77777777" w:rsidR="005B44F7" w:rsidRPr="00FD4F09" w:rsidRDefault="005B44F7" w:rsidP="00FD4F09">
      <w:pPr>
        <w:pStyle w:val="Puesto"/>
      </w:pPr>
      <w:r w:rsidRPr="00FD4F09">
        <w:t xml:space="preserve">I. </w:t>
      </w:r>
      <w:r w:rsidRPr="00FD4F09">
        <w:rPr>
          <w:b/>
        </w:rPr>
        <w:t>Administrar la hacienda pública municipal</w:t>
      </w:r>
      <w:r w:rsidRPr="00FD4F09">
        <w:t>, de conformidad con las disposiciones legales aplicables;</w:t>
      </w:r>
    </w:p>
    <w:p w14:paraId="16DC2F3B" w14:textId="77777777" w:rsidR="005B44F7" w:rsidRPr="00FD4F09" w:rsidRDefault="005B44F7" w:rsidP="00FD4F09">
      <w:pPr>
        <w:pStyle w:val="Puesto"/>
      </w:pPr>
      <w:r w:rsidRPr="00FD4F09">
        <w:t>…</w:t>
      </w:r>
    </w:p>
    <w:p w14:paraId="180CAE3F" w14:textId="77777777" w:rsidR="005B44F7" w:rsidRPr="00FD4F09" w:rsidRDefault="005B44F7" w:rsidP="00FD4F09">
      <w:pPr>
        <w:pStyle w:val="Puesto"/>
        <w:rPr>
          <w:b/>
        </w:rPr>
      </w:pPr>
      <w:r w:rsidRPr="00FD4F09">
        <w:rPr>
          <w:b/>
        </w:rPr>
        <w:t>IV. Llevar los registros contables, financieros y administrativos de los ingresos, egresos, e inventarios;</w:t>
      </w:r>
    </w:p>
    <w:p w14:paraId="39856920" w14:textId="77777777" w:rsidR="005B44F7" w:rsidRPr="00FD4F09" w:rsidRDefault="005B44F7" w:rsidP="00FD4F09">
      <w:pPr>
        <w:pStyle w:val="Puesto"/>
      </w:pPr>
      <w:r w:rsidRPr="00FD4F09">
        <w:t>…”</w:t>
      </w:r>
    </w:p>
    <w:p w14:paraId="4E1EB9FB" w14:textId="77777777" w:rsidR="005B44F7" w:rsidRPr="00FD4F09" w:rsidRDefault="005B44F7" w:rsidP="00FD4F09">
      <w:pPr>
        <w:pStyle w:val="Puesto"/>
      </w:pPr>
      <w:r w:rsidRPr="00FD4F09">
        <w:t>(Énfasis añadido).</w:t>
      </w:r>
    </w:p>
    <w:p w14:paraId="0BD1A55C" w14:textId="77777777" w:rsidR="005B44F7" w:rsidRPr="00FD4F09" w:rsidRDefault="005B44F7" w:rsidP="00FD4F09">
      <w:pPr>
        <w:rPr>
          <w:rFonts w:cs="Arial"/>
        </w:rPr>
      </w:pPr>
    </w:p>
    <w:p w14:paraId="04C15F5E" w14:textId="77777777" w:rsidR="005B44F7" w:rsidRPr="00FD4F09" w:rsidRDefault="005B44F7" w:rsidP="00FD4F09">
      <w:pPr>
        <w:rPr>
          <w:rFonts w:eastAsia="Calibri"/>
        </w:rPr>
      </w:pPr>
      <w:r w:rsidRPr="00FD4F09">
        <w:rPr>
          <w:rFonts w:eastAsia="Calibri"/>
        </w:rPr>
        <w:t xml:space="preserve">De lo anterior se advierte que los ayuntamientos tienen la atribución de administrar libremente su hacienda y controlar la aplicación del presupuesto de egresos aprobado por </w:t>
      </w:r>
      <w:r w:rsidRPr="00FD4F09">
        <w:rPr>
          <w:rFonts w:eastAsia="Calibri"/>
        </w:rPr>
        <w:lastRenderedPageBreak/>
        <w:t>dicho cuerpo colegiado, siendo atribución del Tesorero Municipal la de llevar los registros contables, financieros y administrativos de los ingresos, egresos e inventarios.</w:t>
      </w:r>
    </w:p>
    <w:p w14:paraId="0E13DA4C" w14:textId="77777777" w:rsidR="005B44F7" w:rsidRPr="00FD4F09" w:rsidRDefault="005B44F7" w:rsidP="00FD4F09">
      <w:pPr>
        <w:pStyle w:val="Puesto"/>
        <w:spacing w:line="360" w:lineRule="auto"/>
        <w:ind w:left="0" w:right="-28"/>
        <w:rPr>
          <w:rFonts w:eastAsia="Times New Roman" w:cs="Times New Roman"/>
          <w:i w:val="0"/>
          <w:kern w:val="0"/>
          <w:szCs w:val="20"/>
        </w:rPr>
      </w:pPr>
    </w:p>
    <w:p w14:paraId="53478309" w14:textId="3F6C2597" w:rsidR="005B44F7" w:rsidRPr="00FD4F09" w:rsidRDefault="005B44F7" w:rsidP="00FD4F09">
      <w:pPr>
        <w:pStyle w:val="Prrafodelista"/>
        <w:widowControl w:val="0"/>
        <w:autoSpaceDE w:val="0"/>
        <w:autoSpaceDN w:val="0"/>
        <w:adjustRightInd w:val="0"/>
        <w:ind w:left="0"/>
        <w:rPr>
          <w:rFonts w:eastAsia="Calibri" w:cs="Arial"/>
        </w:rPr>
      </w:pPr>
      <w:r w:rsidRPr="00FD4F09">
        <w:rPr>
          <w:lang w:eastAsia="es-MX"/>
        </w:rPr>
        <w:t>Una vez precisado lo anterior, y considerando la materia de la solicitud, es importante destacar q</w:t>
      </w:r>
      <w:r w:rsidRPr="00FD4F09">
        <w:rPr>
          <w:rFonts w:cs="Arial"/>
        </w:rPr>
        <w:t xml:space="preserve">ue el </w:t>
      </w:r>
      <w:r w:rsidRPr="00FD4F09">
        <w:rPr>
          <w:rFonts w:eastAsia="Calibri" w:cs="Arial"/>
        </w:rPr>
        <w:t>Manual para la Planeación, Programación y Presupuesto de Egresos Municipal para el ejercicio fiscal de 2023, define al presupuesto municipal de acuerdo con lo establecido en el artículo 285 del Código Financiero del Estado de México y Municipios, como el instrumento jurídico, de política económica y de política de gasto, que aprueba el Cabildo, conforme a la propuesta que presenta el C. Presidente Municipal, en el cual se establece el ejercicio, control y evaluación del gasto público de las Dependencias Administrativas y Organismos Municipales Descentralizados, a través de los programas derivados del Plan de Desarrollo Municipal, durante el ejercicio fiscal correspondiente.</w:t>
      </w:r>
    </w:p>
    <w:p w14:paraId="797ADB90" w14:textId="77777777" w:rsidR="005B44F7" w:rsidRPr="00FD4F09" w:rsidRDefault="005B44F7" w:rsidP="00FD4F09">
      <w:pPr>
        <w:pStyle w:val="Prrafodelista"/>
        <w:widowControl w:val="0"/>
        <w:autoSpaceDE w:val="0"/>
        <w:autoSpaceDN w:val="0"/>
        <w:adjustRightInd w:val="0"/>
        <w:ind w:left="0"/>
        <w:rPr>
          <w:rFonts w:eastAsia="Calibri" w:cs="Arial"/>
        </w:rPr>
      </w:pPr>
    </w:p>
    <w:p w14:paraId="794627B5" w14:textId="77777777" w:rsidR="005B44F7" w:rsidRPr="00FD4F09" w:rsidRDefault="005B44F7" w:rsidP="00FD4F09">
      <w:pPr>
        <w:rPr>
          <w:rFonts w:eastAsia="Calibri" w:cs="Arial"/>
        </w:rPr>
      </w:pPr>
      <w:r w:rsidRPr="00FD4F09">
        <w:rPr>
          <w:rFonts w:eastAsia="Calibri" w:cs="Arial"/>
        </w:rPr>
        <w:t>Para las administraciones municipales, el Presupuesto basado en Resultados (</w:t>
      </w:r>
      <w:proofErr w:type="spellStart"/>
      <w:r w:rsidRPr="00FD4F09">
        <w:rPr>
          <w:rFonts w:eastAsia="Calibri" w:cs="Arial"/>
        </w:rPr>
        <w:t>PbR</w:t>
      </w:r>
      <w:proofErr w:type="spellEnd"/>
      <w:r w:rsidRPr="00FD4F09">
        <w:rPr>
          <w:rFonts w:eastAsia="Calibri" w:cs="Arial"/>
        </w:rPr>
        <w:t>), es un instrumento que permite mediante el proceso de evaluación, apoyar las decisiones presupuestarias con información sustantiva de los resultados de la aplicación de los recursos públicos, incorporando los principales hallazgos al proceso de programación, del ejercicio fiscal subsecuente a la evaluación, permitiendo establecer compromisos a fin de optimizar la calidad del gasto público.</w:t>
      </w:r>
    </w:p>
    <w:p w14:paraId="136E4976" w14:textId="77777777" w:rsidR="005B44F7" w:rsidRPr="00FD4F09" w:rsidRDefault="005B44F7" w:rsidP="00FD4F09">
      <w:pPr>
        <w:rPr>
          <w:rFonts w:eastAsia="Calibri" w:cs="Arial"/>
        </w:rPr>
      </w:pPr>
    </w:p>
    <w:p w14:paraId="0904ED57" w14:textId="77777777" w:rsidR="005B44F7" w:rsidRPr="00FD4F09" w:rsidRDefault="005B44F7" w:rsidP="00FD4F09">
      <w:pPr>
        <w:rPr>
          <w:rFonts w:eastAsia="Calibri" w:cs="Arial"/>
        </w:rPr>
      </w:pPr>
      <w:r w:rsidRPr="00FD4F09">
        <w:rPr>
          <w:rFonts w:eastAsia="Calibri" w:cs="Arial"/>
        </w:rPr>
        <w:t xml:space="preserve">Con base en lo anterior el Clasificador por objeto del gasto para el ejercicio fiscal 2020, es el que se estableció en cumplimiento al artículo cuarto transitorio de la Ley General de Contabilidad Gubernamental, el Gobierno del Estado de México, ya que realiza las acciones pertinentes para armonizar los sistemas contables de las dependencias, los poderes Legislativo y Judicial; las entidades públicas, los órganos autónomos y los municipios de la entidad, </w:t>
      </w:r>
      <w:r w:rsidRPr="00FD4F09">
        <w:rPr>
          <w:rFonts w:eastAsia="Calibri" w:cs="Arial"/>
          <w:b/>
        </w:rPr>
        <w:t xml:space="preserve">para que éstos cuenten con un catálogo de partidas presupuestarias que se alinean al </w:t>
      </w:r>
      <w:r w:rsidRPr="00FD4F09">
        <w:rPr>
          <w:rFonts w:eastAsia="Calibri" w:cs="Arial"/>
          <w:b/>
        </w:rPr>
        <w:lastRenderedPageBreak/>
        <w:t>Clasificador por Objeto del Gasto autorizado por el CONAC</w:t>
      </w:r>
      <w:r w:rsidRPr="00FD4F09">
        <w:rPr>
          <w:rFonts w:eastAsia="Calibri" w:cs="Arial"/>
        </w:rPr>
        <w:t xml:space="preserve"> en la reunión celebrada el 28 de mayo del 2010 y que fue publicado en Gaceta del Gobierno del estado de México No. 118 del 23 de junio de 2010, el cual se integra por Capítulo, Concepto y Partida Genérica.</w:t>
      </w:r>
    </w:p>
    <w:p w14:paraId="1D11E24C" w14:textId="77777777" w:rsidR="005B44F7" w:rsidRPr="00FD4F09" w:rsidRDefault="005B44F7" w:rsidP="00FD4F09">
      <w:pPr>
        <w:rPr>
          <w:rFonts w:eastAsia="Calibri" w:cs="Arial"/>
        </w:rPr>
      </w:pPr>
    </w:p>
    <w:p w14:paraId="52234038" w14:textId="77777777" w:rsidR="005B44F7" w:rsidRPr="00FD4F09" w:rsidRDefault="005B44F7" w:rsidP="00FD4F09">
      <w:pPr>
        <w:rPr>
          <w:rFonts w:eastAsia="Calibri" w:cs="Arial"/>
        </w:rPr>
      </w:pPr>
      <w:r w:rsidRPr="00FD4F09">
        <w:rPr>
          <w:rFonts w:eastAsia="Calibri" w:cs="Arial"/>
        </w:rPr>
        <w:t>Así, al ser un instrumento que permite la obtención de información para el análisis y seguimiento de la gestión financiera gubernamental, es considerado la clasificación operativa que permite conocer en qué se gasta, (base del registro de las transacciones económico – financieras) y a su vez permite cuantificar la demanda de bienes y servicios que realiza el Sector Público; teniendo como objetivos principales los siguientes:</w:t>
      </w:r>
    </w:p>
    <w:p w14:paraId="2D63908B" w14:textId="77777777" w:rsidR="005B44F7" w:rsidRPr="00FD4F09" w:rsidRDefault="005B44F7" w:rsidP="00FD4F09">
      <w:pPr>
        <w:rPr>
          <w:rFonts w:eastAsia="Calibri" w:cs="Arial"/>
        </w:rPr>
      </w:pPr>
    </w:p>
    <w:p w14:paraId="5FACE30F" w14:textId="77777777" w:rsidR="005B44F7" w:rsidRPr="00FD4F09" w:rsidRDefault="005B44F7" w:rsidP="00FD4F09">
      <w:pPr>
        <w:pStyle w:val="Prrafodelista"/>
        <w:numPr>
          <w:ilvl w:val="0"/>
          <w:numId w:val="1"/>
        </w:numPr>
        <w:contextualSpacing w:val="0"/>
        <w:rPr>
          <w:rFonts w:eastAsia="Calibri" w:cs="Arial"/>
        </w:rPr>
      </w:pPr>
      <w:r w:rsidRPr="00FD4F09">
        <w:rPr>
          <w:rFonts w:eastAsia="Calibri" w:cs="Arial"/>
        </w:rPr>
        <w:t>Ofrecer información valiosa de la demanda de bienes y servicios que realiza el Sector Público.</w:t>
      </w:r>
    </w:p>
    <w:p w14:paraId="068FA9FE" w14:textId="77777777" w:rsidR="005B44F7" w:rsidRPr="00FD4F09" w:rsidRDefault="005B44F7" w:rsidP="00FD4F09">
      <w:pPr>
        <w:pStyle w:val="Prrafodelista"/>
        <w:numPr>
          <w:ilvl w:val="0"/>
          <w:numId w:val="1"/>
        </w:numPr>
        <w:contextualSpacing w:val="0"/>
        <w:rPr>
          <w:rFonts w:eastAsia="Calibri" w:cs="Arial"/>
        </w:rPr>
      </w:pPr>
      <w:r w:rsidRPr="00FD4F09">
        <w:rPr>
          <w:rFonts w:eastAsia="Calibri" w:cs="Arial"/>
        </w:rPr>
        <w:t>Permite identificar con claridad y transparencia los bienes y servicios que se adquieren, las transferencias que se realizan y las aplicaciones previstas en el presupuesto.</w:t>
      </w:r>
    </w:p>
    <w:p w14:paraId="50792C32" w14:textId="77777777" w:rsidR="005B44F7" w:rsidRPr="00FD4F09" w:rsidRDefault="005B44F7" w:rsidP="00FD4F09">
      <w:pPr>
        <w:pStyle w:val="Prrafodelista"/>
        <w:numPr>
          <w:ilvl w:val="0"/>
          <w:numId w:val="1"/>
        </w:numPr>
        <w:contextualSpacing w:val="0"/>
        <w:rPr>
          <w:rFonts w:eastAsia="Calibri" w:cs="Arial"/>
        </w:rPr>
      </w:pPr>
      <w:r w:rsidRPr="00FD4F09">
        <w:rPr>
          <w:rFonts w:eastAsia="Calibri" w:cs="Arial"/>
        </w:rPr>
        <w:t>Facilitar la programación de las adquisiciones de bienes y servicios y otras acciones relacionadas con administración de bienes del Estado.</w:t>
      </w:r>
    </w:p>
    <w:p w14:paraId="53A15979" w14:textId="77777777" w:rsidR="005B44F7" w:rsidRPr="00FD4F09" w:rsidRDefault="005B44F7" w:rsidP="00FD4F09">
      <w:pPr>
        <w:pStyle w:val="Prrafodelista"/>
        <w:numPr>
          <w:ilvl w:val="0"/>
          <w:numId w:val="1"/>
        </w:numPr>
        <w:contextualSpacing w:val="0"/>
        <w:rPr>
          <w:rFonts w:eastAsia="Calibri" w:cs="Arial"/>
        </w:rPr>
      </w:pPr>
      <w:r w:rsidRPr="00FD4F09">
        <w:rPr>
          <w:rFonts w:eastAsia="Calibri" w:cs="Arial"/>
        </w:rPr>
        <w:t>En el marco del sistema de cuentas gubernamentales, integradas e interrelacionadas, el Clasificador por Objeto del Gasto es uno de los principales elementos para obtener clasificaciones agregadas.</w:t>
      </w:r>
    </w:p>
    <w:p w14:paraId="6FF25297" w14:textId="77777777" w:rsidR="005B44F7" w:rsidRPr="00FD4F09" w:rsidRDefault="005B44F7" w:rsidP="00FD4F09">
      <w:pPr>
        <w:pStyle w:val="Prrafodelista"/>
        <w:numPr>
          <w:ilvl w:val="0"/>
          <w:numId w:val="1"/>
        </w:numPr>
        <w:contextualSpacing w:val="0"/>
        <w:rPr>
          <w:rFonts w:eastAsia="Calibri" w:cs="Arial"/>
        </w:rPr>
      </w:pPr>
      <w:r w:rsidRPr="00FD4F09">
        <w:rPr>
          <w:rFonts w:eastAsia="Calibri" w:cs="Arial"/>
        </w:rPr>
        <w:t>Facilitar el ejercicio del control interno y externo de las transacciones de los entes públicos.</w:t>
      </w:r>
    </w:p>
    <w:p w14:paraId="3E5770AE" w14:textId="77777777" w:rsidR="005B44F7" w:rsidRPr="00FD4F09" w:rsidRDefault="005B44F7" w:rsidP="00FD4F09">
      <w:pPr>
        <w:pStyle w:val="Prrafodelista"/>
        <w:numPr>
          <w:ilvl w:val="0"/>
          <w:numId w:val="1"/>
        </w:numPr>
        <w:contextualSpacing w:val="0"/>
        <w:rPr>
          <w:rFonts w:eastAsia="Calibri" w:cs="Arial"/>
        </w:rPr>
      </w:pPr>
      <w:r w:rsidRPr="00FD4F09">
        <w:rPr>
          <w:rFonts w:eastAsia="Calibri" w:cs="Arial"/>
        </w:rPr>
        <w:t>Promover el desarrollo y aplicación de los sistemas de programación y gestión del gasto público.</w:t>
      </w:r>
    </w:p>
    <w:p w14:paraId="3B8A8692" w14:textId="77777777" w:rsidR="005B44F7" w:rsidRPr="00FD4F09" w:rsidRDefault="005B44F7" w:rsidP="00FD4F09">
      <w:pPr>
        <w:pStyle w:val="Prrafodelista"/>
        <w:numPr>
          <w:ilvl w:val="0"/>
          <w:numId w:val="1"/>
        </w:numPr>
        <w:contextualSpacing w:val="0"/>
        <w:rPr>
          <w:rFonts w:eastAsia="Calibri" w:cs="Arial"/>
        </w:rPr>
      </w:pPr>
      <w:r w:rsidRPr="00FD4F09">
        <w:rPr>
          <w:rFonts w:eastAsia="Calibri" w:cs="Arial"/>
        </w:rPr>
        <w:t>Permitir el análisis de los efectos del gasto público y la proyección del mismo.</w:t>
      </w:r>
    </w:p>
    <w:p w14:paraId="4C597431" w14:textId="77777777" w:rsidR="005B44F7" w:rsidRPr="00FD4F09" w:rsidRDefault="005B44F7" w:rsidP="00FD4F09">
      <w:pPr>
        <w:pStyle w:val="Prrafodelista"/>
        <w:rPr>
          <w:rFonts w:eastAsia="Calibri" w:cs="Arial"/>
        </w:rPr>
      </w:pPr>
    </w:p>
    <w:p w14:paraId="1ECB5DE2" w14:textId="77777777" w:rsidR="005B44F7" w:rsidRPr="00FD4F09" w:rsidRDefault="005B44F7" w:rsidP="00FD4F09">
      <w:pPr>
        <w:rPr>
          <w:rFonts w:eastAsia="Calibri" w:cs="Arial"/>
        </w:rPr>
      </w:pPr>
      <w:r w:rsidRPr="00FD4F09">
        <w:rPr>
          <w:rFonts w:eastAsia="Calibri" w:cs="Arial"/>
        </w:rPr>
        <w:lastRenderedPageBreak/>
        <w:t>Entonces, la estructura del Clasificador por Objeto del Gasto se diseñó con un nivel de desagregación que permite que sus cuentas faciliten el registro único de todas las transacciones con incidencia económica – financiera es por ello que la armonización se realiza a tercer digito que corresponde a la partida genérica, dejando en poder de las entidades federativas, la desagregación e identificación de la partida específica, dando origen a la siguiente estructura:</w:t>
      </w:r>
    </w:p>
    <w:p w14:paraId="7ADD7805" w14:textId="77777777" w:rsidR="005B44F7" w:rsidRPr="00FD4F09" w:rsidRDefault="005B44F7" w:rsidP="00FD4F09">
      <w:pPr>
        <w:rPr>
          <w:rFonts w:eastAsia="Calibri" w:cs="Arial"/>
        </w:rPr>
      </w:pPr>
    </w:p>
    <w:p w14:paraId="1D525E9D" w14:textId="77777777" w:rsidR="005B44F7" w:rsidRPr="00FD4F09" w:rsidRDefault="005B44F7" w:rsidP="00FD4F09">
      <w:pPr>
        <w:jc w:val="center"/>
        <w:rPr>
          <w:rFonts w:eastAsia="Calibri" w:cs="Arial"/>
        </w:rPr>
      </w:pPr>
      <w:r w:rsidRPr="00FD4F09">
        <w:rPr>
          <w:noProof/>
          <w:lang w:eastAsia="es-MX"/>
        </w:rPr>
        <w:drawing>
          <wp:inline distT="0" distB="0" distL="0" distR="0" wp14:anchorId="7D93C564" wp14:editId="29089A32">
            <wp:extent cx="4982152" cy="928048"/>
            <wp:effectExtent l="0" t="0" r="0" b="571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9440" t="43798" r="20464" b="36291"/>
                    <a:stretch/>
                  </pic:blipFill>
                  <pic:spPr bwMode="auto">
                    <a:xfrm>
                      <a:off x="0" y="0"/>
                      <a:ext cx="5000776" cy="931517"/>
                    </a:xfrm>
                    <a:prstGeom prst="rect">
                      <a:avLst/>
                    </a:prstGeom>
                    <a:ln>
                      <a:noFill/>
                    </a:ln>
                    <a:extLs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7C047E2E" w14:textId="77777777" w:rsidR="005B44F7" w:rsidRPr="00FD4F09" w:rsidRDefault="005B44F7" w:rsidP="00FD4F09">
      <w:pPr>
        <w:jc w:val="center"/>
        <w:rPr>
          <w:rFonts w:eastAsia="Calibri" w:cs="Arial"/>
        </w:rPr>
      </w:pPr>
    </w:p>
    <w:p w14:paraId="5369A00C" w14:textId="77777777" w:rsidR="005B44F7" w:rsidRPr="00FD4F09" w:rsidRDefault="005B44F7" w:rsidP="00FD4F09">
      <w:pPr>
        <w:rPr>
          <w:rFonts w:eastAsia="Calibri" w:cs="Arial"/>
        </w:rPr>
      </w:pPr>
      <w:r w:rsidRPr="00FD4F09">
        <w:rPr>
          <w:rFonts w:eastAsia="Calibri" w:cs="Arial"/>
        </w:rPr>
        <w:t>Debiendo definir cada una de las partes que lo integran como sigue:</w:t>
      </w:r>
    </w:p>
    <w:p w14:paraId="162DD796" w14:textId="77777777" w:rsidR="005B44F7" w:rsidRPr="00FD4F09" w:rsidRDefault="005B44F7" w:rsidP="00FD4F09">
      <w:pPr>
        <w:pStyle w:val="Prrafodelista"/>
        <w:numPr>
          <w:ilvl w:val="0"/>
          <w:numId w:val="2"/>
        </w:numPr>
        <w:contextualSpacing w:val="0"/>
        <w:rPr>
          <w:rFonts w:eastAsia="Calibri" w:cs="Arial"/>
        </w:rPr>
      </w:pPr>
      <w:r w:rsidRPr="00FD4F09">
        <w:rPr>
          <w:rFonts w:eastAsia="Calibri" w:cs="Arial"/>
          <w:b/>
        </w:rPr>
        <w:t>Capítulo:</w:t>
      </w:r>
      <w:r w:rsidRPr="00FD4F09">
        <w:rPr>
          <w:rFonts w:eastAsia="Calibri" w:cs="Arial"/>
        </w:rPr>
        <w:t xml:space="preserve"> Es el mayor nivel de agregación que identifica el conjunto homogéneo y ordenado de los bienes y servicios requeridos por los entes públicos.</w:t>
      </w:r>
    </w:p>
    <w:p w14:paraId="77B44631" w14:textId="77777777" w:rsidR="005B44F7" w:rsidRPr="00FD4F09" w:rsidRDefault="005B44F7" w:rsidP="00FD4F09">
      <w:pPr>
        <w:pStyle w:val="Prrafodelista"/>
        <w:numPr>
          <w:ilvl w:val="0"/>
          <w:numId w:val="2"/>
        </w:numPr>
        <w:contextualSpacing w:val="0"/>
        <w:rPr>
          <w:rFonts w:eastAsia="Calibri" w:cs="Arial"/>
        </w:rPr>
      </w:pPr>
      <w:r w:rsidRPr="00FD4F09">
        <w:rPr>
          <w:rFonts w:eastAsia="Calibri" w:cs="Arial"/>
          <w:b/>
        </w:rPr>
        <w:t>Concepto:</w:t>
      </w:r>
      <w:r w:rsidRPr="00FD4F09">
        <w:rPr>
          <w:rFonts w:eastAsia="Calibri" w:cs="Arial"/>
        </w:rPr>
        <w:t xml:space="preserve"> Son subconjuntos homogéneos y ordenados en forma específica, producto de la desagregación de los bienes y servicios, incluidos en cada capítulo. Partida: Es el nivel de agregación más específico en el cual se describen las expresiones concretas y detalladas de los bienes y servicios que se adquieren y se compone de: </w:t>
      </w:r>
    </w:p>
    <w:p w14:paraId="59F5C88D" w14:textId="77777777" w:rsidR="005B44F7" w:rsidRPr="00FD4F09" w:rsidRDefault="005B44F7" w:rsidP="00FD4F09">
      <w:pPr>
        <w:pStyle w:val="Prrafodelista"/>
        <w:rPr>
          <w:rFonts w:eastAsia="Calibri" w:cs="Arial"/>
        </w:rPr>
      </w:pPr>
      <w:r w:rsidRPr="00FD4F09">
        <w:rPr>
          <w:rFonts w:eastAsia="Calibri" w:cs="Arial"/>
          <w:b/>
        </w:rPr>
        <w:t>a) La Partida Genérica</w:t>
      </w:r>
      <w:r w:rsidRPr="00FD4F09">
        <w:rPr>
          <w:rFonts w:eastAsia="Calibri" w:cs="Arial"/>
        </w:rPr>
        <w:t xml:space="preserve"> se refiere al tercer dígito, el cual logrará la armonización a todos los niveles de gobierno. </w:t>
      </w:r>
    </w:p>
    <w:p w14:paraId="451BA1B7" w14:textId="77777777" w:rsidR="005B44F7" w:rsidRPr="00FD4F09" w:rsidRDefault="005B44F7" w:rsidP="00FD4F09">
      <w:pPr>
        <w:pStyle w:val="Prrafodelista"/>
        <w:rPr>
          <w:rFonts w:eastAsia="Calibri" w:cs="Arial"/>
        </w:rPr>
      </w:pPr>
      <w:r w:rsidRPr="00FD4F09">
        <w:rPr>
          <w:rFonts w:eastAsia="Calibri" w:cs="Arial"/>
          <w:b/>
        </w:rPr>
        <w:t>b) La Partida Específica</w:t>
      </w:r>
      <w:r w:rsidRPr="00FD4F09">
        <w:rPr>
          <w:rFonts w:eastAsia="Calibri" w:cs="Arial"/>
        </w:rPr>
        <w:t xml:space="preserve"> corresponde al cuarto dígito, el cual permitirá que las unidades administrativas o instancias competentes en materia de Contabilidad Gubernamental y de Presupuesto de cada orden de gobierno, con base en sus necesidades, generen su apertura, conservando la estructura básica (capítulo, concepto y partida genérica), con el fin de mantener la armonización con el Plan de Cuenta.</w:t>
      </w:r>
    </w:p>
    <w:p w14:paraId="5017B0D0" w14:textId="77777777" w:rsidR="005B44F7" w:rsidRPr="00FD4F09" w:rsidRDefault="005B44F7" w:rsidP="00FD4F09">
      <w:pPr>
        <w:pStyle w:val="Prrafodelista"/>
        <w:widowControl w:val="0"/>
        <w:autoSpaceDE w:val="0"/>
        <w:autoSpaceDN w:val="0"/>
        <w:adjustRightInd w:val="0"/>
        <w:ind w:left="0"/>
      </w:pPr>
    </w:p>
    <w:p w14:paraId="37E6F268" w14:textId="77777777" w:rsidR="005B44F7" w:rsidRPr="00FD4F09" w:rsidRDefault="005B44F7" w:rsidP="00FD4F09">
      <w:pPr>
        <w:pStyle w:val="Prrafodelista"/>
        <w:widowControl w:val="0"/>
        <w:autoSpaceDE w:val="0"/>
        <w:autoSpaceDN w:val="0"/>
        <w:adjustRightInd w:val="0"/>
        <w:ind w:left="0"/>
      </w:pPr>
      <w:r w:rsidRPr="00FD4F09">
        <w:t xml:space="preserve">Bajo ese tenor, de una interpretación armónica a lo hasta aquí expuesto, es claro que el presupuesto municipal se debe dar a conocer de manera clasificada, es decir, se debe hacer del conocimiento de la ciudadanía el propósito que tendrá, en qué y cómo se ejercerá dicho presupuesto por las dependencias, garantizando así que el recurso público sea ejecutado de acuerdo a lo que previamente se ha planeado. </w:t>
      </w:r>
    </w:p>
    <w:p w14:paraId="31EE4744" w14:textId="77777777" w:rsidR="005B44F7" w:rsidRPr="00FD4F09" w:rsidRDefault="005B44F7" w:rsidP="00FD4F09">
      <w:pPr>
        <w:pStyle w:val="Prrafodelista"/>
        <w:widowControl w:val="0"/>
        <w:autoSpaceDE w:val="0"/>
        <w:autoSpaceDN w:val="0"/>
        <w:adjustRightInd w:val="0"/>
        <w:ind w:left="0"/>
      </w:pPr>
    </w:p>
    <w:p w14:paraId="1D30BA1F" w14:textId="77777777" w:rsidR="005B44F7" w:rsidRPr="00FD4F09" w:rsidRDefault="005B44F7" w:rsidP="00FD4F09">
      <w:pPr>
        <w:rPr>
          <w:rFonts w:cs="Arial"/>
        </w:rPr>
      </w:pPr>
      <w:r w:rsidRPr="00FD4F09">
        <w:rPr>
          <w:rFonts w:cs="Arial"/>
        </w:rPr>
        <w:t>Asimismo, es importante destacar que la información solicitada se encuentra considerada dentro de las obligaciones de transparencias comunes que l</w:t>
      </w:r>
      <w:r w:rsidRPr="00FD4F09">
        <w:t xml:space="preserve">os Sujetos Obligados tienen el deber de poner a disposición del público de manera permanente y actualizada de forma sencilla, precisa y entendible, en los respectivos medios electrónicos, de acuerdo con sus facultades, atribuciones, funciones u objeto social, según corresponda; esto conforme a lo establecido en </w:t>
      </w:r>
      <w:r w:rsidRPr="00FD4F09">
        <w:rPr>
          <w:rFonts w:cs="Arial"/>
        </w:rPr>
        <w:t>el artículo 92 de la de la Ley de Transparencia y Acceso a la Información Pública del Estado de México y Municipios, en su fracción XXI, XXV, que disponen lo siguiente:</w:t>
      </w:r>
    </w:p>
    <w:p w14:paraId="7160F680" w14:textId="77777777" w:rsidR="005B44F7" w:rsidRPr="00FD4F09" w:rsidRDefault="005B44F7" w:rsidP="00FD4F09">
      <w:pPr>
        <w:rPr>
          <w:rFonts w:cs="Arial"/>
        </w:rPr>
      </w:pPr>
    </w:p>
    <w:p w14:paraId="2FDD7207" w14:textId="77777777" w:rsidR="005B44F7" w:rsidRPr="00FD4F09" w:rsidRDefault="005B44F7" w:rsidP="00FD4F09">
      <w:pPr>
        <w:pStyle w:val="Puesto"/>
      </w:pPr>
      <w:r w:rsidRPr="00FD4F09">
        <w:rPr>
          <w:b/>
          <w:bCs/>
        </w:rPr>
        <w:t>“Artículo 92. </w:t>
      </w:r>
      <w:r w:rsidRPr="00FD4F09">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5D6C552D" w14:textId="77777777" w:rsidR="005B44F7" w:rsidRPr="00FD4F09" w:rsidRDefault="005B44F7" w:rsidP="00FD4F09">
      <w:pPr>
        <w:pStyle w:val="Puesto"/>
      </w:pPr>
      <w:r w:rsidRPr="00FD4F09">
        <w:t>…</w:t>
      </w:r>
    </w:p>
    <w:p w14:paraId="200C8900" w14:textId="77777777" w:rsidR="005B44F7" w:rsidRPr="00FD4F09" w:rsidRDefault="005B44F7" w:rsidP="00FD4F09">
      <w:pPr>
        <w:pStyle w:val="Puesto"/>
        <w:rPr>
          <w:b/>
        </w:rPr>
      </w:pPr>
      <w:r w:rsidRPr="00FD4F09">
        <w:rPr>
          <w:b/>
        </w:rPr>
        <w:t>XXI. La información curricular, desde el nivel de jefe de departamento o equivalente, hasta el titular del sujeto obligado, así como, en su caso, las sanciones administrativas de que haya sido objeto;</w:t>
      </w:r>
    </w:p>
    <w:p w14:paraId="1BF07CD3" w14:textId="77777777" w:rsidR="005B44F7" w:rsidRPr="00FD4F09" w:rsidRDefault="005B44F7" w:rsidP="00FD4F09">
      <w:pPr>
        <w:pStyle w:val="Puesto"/>
      </w:pPr>
      <w:r w:rsidRPr="00FD4F09">
        <w:t>…</w:t>
      </w:r>
    </w:p>
    <w:p w14:paraId="73F16A7D" w14:textId="77777777" w:rsidR="005B44F7" w:rsidRPr="00FD4F09" w:rsidRDefault="005B44F7" w:rsidP="00FD4F09">
      <w:pPr>
        <w:pStyle w:val="Puesto"/>
        <w:rPr>
          <w:b/>
        </w:rPr>
      </w:pPr>
      <w:r w:rsidRPr="00FD4F09">
        <w:rPr>
          <w:b/>
        </w:rPr>
        <w:t>XXV. La información financiera sobre el presupuesto asignado</w:t>
      </w:r>
      <w:r w:rsidRPr="00FD4F09">
        <w:t xml:space="preserve">, así como los informes del ejercicio trimestral del gasto, </w:t>
      </w:r>
      <w:r w:rsidRPr="00FD4F09">
        <w:rPr>
          <w:b/>
        </w:rPr>
        <w:t>en términos de la Ley General de Contabilidad Gubernamental y demás disposiciones jurídicas aplicables;</w:t>
      </w:r>
    </w:p>
    <w:p w14:paraId="0F8F3453" w14:textId="77777777" w:rsidR="005B44F7" w:rsidRPr="00FD4F09" w:rsidRDefault="005B44F7" w:rsidP="00FD4F09">
      <w:pPr>
        <w:pStyle w:val="Puesto"/>
      </w:pPr>
      <w:r w:rsidRPr="00FD4F09">
        <w:t>…”</w:t>
      </w:r>
    </w:p>
    <w:p w14:paraId="03D711D3" w14:textId="77777777" w:rsidR="005B44F7" w:rsidRPr="00FD4F09" w:rsidRDefault="005B44F7" w:rsidP="00FD4F09">
      <w:pPr>
        <w:pStyle w:val="Puesto"/>
      </w:pPr>
      <w:r w:rsidRPr="00FD4F09">
        <w:t>(Énfasis añadido)</w:t>
      </w:r>
    </w:p>
    <w:p w14:paraId="76899E0D" w14:textId="77777777" w:rsidR="005B44F7" w:rsidRPr="00FD4F09" w:rsidRDefault="005B44F7" w:rsidP="00FD4F09">
      <w:pPr>
        <w:rPr>
          <w:rFonts w:cs="Arial"/>
        </w:rPr>
      </w:pPr>
    </w:p>
    <w:p w14:paraId="05D2A86B" w14:textId="32EAD8BD" w:rsidR="005B44F7" w:rsidRPr="00FD4F09" w:rsidRDefault="005B44F7" w:rsidP="00FD4F09">
      <w:pPr>
        <w:rPr>
          <w:rFonts w:cs="Arial"/>
        </w:rPr>
      </w:pPr>
      <w:r w:rsidRPr="00FD4F09">
        <w:rPr>
          <w:rFonts w:cs="Arial"/>
        </w:rPr>
        <w:lastRenderedPageBreak/>
        <w:t>De lo anterior, se desprende que los Sujetos Obligados están compelidos a poner a disposición del público de manera constante y actualizada, de forma sencilla, precisa y entendible, en los respectivos medios electrónicos, la información referente al presupuesto que les es asignado, el perfil profesional, los servicios que se brindan.</w:t>
      </w:r>
    </w:p>
    <w:p w14:paraId="6CC17575" w14:textId="77777777" w:rsidR="005B44F7" w:rsidRPr="00FD4F09" w:rsidRDefault="005B44F7" w:rsidP="00FD4F09">
      <w:pPr>
        <w:pStyle w:val="Prrafodelista"/>
        <w:tabs>
          <w:tab w:val="left" w:pos="709"/>
        </w:tabs>
        <w:spacing w:before="100" w:beforeAutospacing="1" w:after="100" w:afterAutospacing="1"/>
        <w:ind w:left="0"/>
        <w:rPr>
          <w:rFonts w:cs="Arial"/>
          <w:bCs/>
          <w:iCs/>
        </w:rPr>
      </w:pPr>
      <w:r w:rsidRPr="00FD4F09">
        <w:rPr>
          <w:rFonts w:eastAsia="Palatino Linotype" w:cs="Palatino Linotype"/>
        </w:rPr>
        <w:t xml:space="preserve">Atento a lo anterior, se concluye que, si bien </w:t>
      </w:r>
      <w:r w:rsidRPr="00FD4F09">
        <w:rPr>
          <w:rFonts w:eastAsia="Palatino Linotype" w:cs="Palatino Linotype"/>
          <w:b/>
        </w:rPr>
        <w:t>EL SUJETO OBLIGADO</w:t>
      </w:r>
      <w:r w:rsidRPr="00FD4F09">
        <w:rPr>
          <w:rFonts w:eastAsia="Palatino Linotype" w:cs="Palatino Linotype"/>
        </w:rPr>
        <w:t xml:space="preserve"> procuro brindar una respuesta al peticionario, este Órgano Garante advierte que lo manifestado, no fue congruente y exhaustiva, pues únicamente se limitó a realizar un requerimiento y a citar la información peticionada por la persona solicitante.</w:t>
      </w:r>
      <w:r w:rsidRPr="00FD4F09">
        <w:rPr>
          <w:rFonts w:cs="Arial"/>
          <w:b/>
          <w:bCs/>
          <w:iCs/>
        </w:rPr>
        <w:t xml:space="preserve"> </w:t>
      </w:r>
    </w:p>
    <w:p w14:paraId="54C40B21" w14:textId="77777777" w:rsidR="005B44F7" w:rsidRPr="00FD4F09" w:rsidRDefault="005B44F7" w:rsidP="00FD4F09">
      <w:pPr>
        <w:spacing w:before="100" w:beforeAutospacing="1" w:after="100" w:afterAutospacing="1"/>
        <w:contextualSpacing/>
        <w:rPr>
          <w:rFonts w:cs="Arial"/>
          <w:lang w:val="es-ES"/>
        </w:rPr>
      </w:pPr>
      <w:r w:rsidRPr="00FD4F09">
        <w:rPr>
          <w:rFonts w:cs="Arial"/>
        </w:rPr>
        <w:t xml:space="preserve">Lo anterior es así, pues </w:t>
      </w:r>
      <w:r w:rsidRPr="00FD4F09">
        <w:rPr>
          <w:rFonts w:cs="Arial"/>
          <w:noProof/>
          <w:lang w:val="es-ES" w:eastAsia="es-MX"/>
        </w:rPr>
        <w:t xml:space="preserve">la respuesta primigenia del </w:t>
      </w:r>
      <w:r w:rsidRPr="00FD4F09">
        <w:rPr>
          <w:rFonts w:cs="Arial"/>
          <w:b/>
          <w:noProof/>
          <w:lang w:val="es-ES" w:eastAsia="es-MX"/>
        </w:rPr>
        <w:t xml:space="preserve">SUJETO OBLIGADO no </w:t>
      </w:r>
      <w:r w:rsidRPr="00FD4F09">
        <w:rPr>
          <w:rFonts w:cs="Arial"/>
          <w:noProof/>
          <w:lang w:val="es-ES" w:eastAsia="es-MX"/>
        </w:rPr>
        <w:t xml:space="preserve">se encuentra dotada de los principios de </w:t>
      </w:r>
      <w:r w:rsidRPr="00FD4F09">
        <w:rPr>
          <w:rFonts w:cs="Arial"/>
          <w:lang w:val="es-ES"/>
        </w:rPr>
        <w:t xml:space="preserve">congruencia y exhaustividad, los cuales a toda luz garantizan el derecho de acceso a la información pública. Robustece lo anterior el criterio </w:t>
      </w:r>
      <w:r w:rsidRPr="00FD4F09">
        <w:rPr>
          <w:rFonts w:cs="Arial"/>
          <w:b/>
          <w:lang w:val="es-ES"/>
        </w:rPr>
        <w:t xml:space="preserve">02/17 </w:t>
      </w:r>
      <w:r w:rsidRPr="00FD4F09">
        <w:rPr>
          <w:rFonts w:cs="Arial"/>
          <w:lang w:val="es-ES"/>
        </w:rPr>
        <w:t xml:space="preserve">del Instituto Nacional de Transparencia, Acceso a la Información y Protección de Datos Personales que dispone a la literalidad lo siguiente: </w:t>
      </w:r>
    </w:p>
    <w:p w14:paraId="153568A7" w14:textId="77777777" w:rsidR="005B44F7" w:rsidRPr="00FD4F09" w:rsidRDefault="005B44F7" w:rsidP="00FD4F09">
      <w:pPr>
        <w:pStyle w:val="Puesto"/>
        <w:rPr>
          <w:lang w:val="es-ES"/>
        </w:rPr>
      </w:pPr>
      <w:r w:rsidRPr="00FD4F09">
        <w:rPr>
          <w:b/>
          <w:lang w:val="es-ES"/>
        </w:rPr>
        <w:t xml:space="preserve">“CONGRUENCIA Y EXHAUSTIVIDAD. SUS ALCANCES PARA GARANTIZAR EL DERECHO DE ACCESO A LA INFORMACIÓN.  </w:t>
      </w:r>
      <w:r w:rsidRPr="00FD4F09">
        <w:rPr>
          <w:lang w:val="es-ES"/>
        </w:rPr>
        <w:t xml:space="preserve">De conformidad con el artículo </w:t>
      </w:r>
      <w:r w:rsidRPr="00FD4F09">
        <w:rPr>
          <w:lang w:val="es-ES_tradnl"/>
        </w:rPr>
        <w:t>3 de la Ley Federal de Procedimiento Administrativo</w:t>
      </w:r>
      <w:r w:rsidRPr="00FD4F09">
        <w:rPr>
          <w:lang w:val="es-ES"/>
        </w:rPr>
        <w:t>, de aplicación supletoria a la Ley Federal de Transparencia y Acceso a la Información Pública, en términos de su artículo 7</w:t>
      </w:r>
      <w:r w:rsidRPr="00FD4F09">
        <w:rPr>
          <w:b/>
          <w:u w:val="single"/>
          <w:lang w:val="es-ES"/>
        </w:rPr>
        <w:t>; todo acto administrativo debe cumplir con los principios de congruencia y exhaustividad.</w:t>
      </w:r>
      <w:r w:rsidRPr="00FD4F09">
        <w:rPr>
          <w:lang w:val="es-ES"/>
        </w:rPr>
        <w:t xml:space="preserve">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 </w:t>
      </w:r>
      <w:r w:rsidRPr="00FD4F09">
        <w:rPr>
          <w:b/>
          <w:lang w:val="es-ES_tradnl"/>
        </w:rPr>
        <w:t>(Sic)</w:t>
      </w:r>
    </w:p>
    <w:p w14:paraId="3CFC9BEB" w14:textId="77777777" w:rsidR="005B44F7" w:rsidRPr="00FD4F09" w:rsidRDefault="005B44F7" w:rsidP="00FD4F09">
      <w:pPr>
        <w:tabs>
          <w:tab w:val="left" w:pos="709"/>
        </w:tabs>
        <w:spacing w:before="100" w:beforeAutospacing="1" w:after="100" w:afterAutospacing="1" w:line="276" w:lineRule="auto"/>
        <w:ind w:left="850" w:right="850"/>
        <w:jc w:val="right"/>
        <w:rPr>
          <w:rFonts w:cs="Arial"/>
          <w:iCs/>
          <w:szCs w:val="22"/>
          <w:lang w:eastAsia="es-MX"/>
        </w:rPr>
      </w:pPr>
      <w:r w:rsidRPr="00FD4F09">
        <w:rPr>
          <w:rFonts w:cs="Arial"/>
          <w:iCs/>
          <w:szCs w:val="22"/>
          <w:lang w:eastAsia="es-MX"/>
        </w:rPr>
        <w:t xml:space="preserve"> (Énfasis añadido)</w:t>
      </w:r>
    </w:p>
    <w:p w14:paraId="41F66AA0" w14:textId="77777777" w:rsidR="005B44F7" w:rsidRPr="00FD4F09" w:rsidRDefault="005B44F7" w:rsidP="00FD4F09">
      <w:pPr>
        <w:spacing w:before="100" w:beforeAutospacing="1" w:after="100" w:afterAutospacing="1"/>
        <w:rPr>
          <w:rFonts w:cs="Tahoma"/>
          <w:bCs/>
          <w:lang w:val="es-ES_tradnl" w:eastAsia="es-MX"/>
        </w:rPr>
      </w:pPr>
      <w:r w:rsidRPr="00FD4F09">
        <w:rPr>
          <w:rFonts w:cs="Tahoma"/>
          <w:szCs w:val="22"/>
        </w:rPr>
        <w:lastRenderedPageBreak/>
        <w:t>Sobre el tema</w:t>
      </w:r>
      <w:r w:rsidRPr="00FD4F09">
        <w:rPr>
          <w:rFonts w:eastAsia="Calibri" w:cs="Tahoma"/>
          <w:szCs w:val="22"/>
          <w:lang w:eastAsia="en-US"/>
        </w:rPr>
        <w:t>, e</w:t>
      </w:r>
      <w:r w:rsidRPr="00FD4F09">
        <w:rPr>
          <w:rFonts w:cs="Tahoma"/>
          <w:szCs w:val="22"/>
        </w:rPr>
        <w:t xml:space="preserve">l artículo 1.8, fracción XIII, del Código Administrativo del Estado de México, establece que para que tenga validez, todo acto administrativo deberá resolver todos los puntos propuestos por los interesados. </w:t>
      </w:r>
    </w:p>
    <w:p w14:paraId="25655751" w14:textId="77777777" w:rsidR="005B44F7" w:rsidRPr="00FD4F09" w:rsidRDefault="005B44F7" w:rsidP="00FD4F09">
      <w:pPr>
        <w:spacing w:before="100" w:beforeAutospacing="1" w:after="100" w:afterAutospacing="1"/>
        <w:rPr>
          <w:rFonts w:cs="Arial"/>
        </w:rPr>
      </w:pPr>
      <w:r w:rsidRPr="00FD4F09">
        <w:rPr>
          <w:rFonts w:cs="Arial"/>
          <w:lang w:val="es-ES" w:eastAsia="es-MX"/>
        </w:rPr>
        <w:t xml:space="preserve">Por lo tanto, bajo los principios de certeza, eficacia y objetividad, establecidos en el artículo 9, de la Ley de Transparencia y Acceso a la Información Pública del Estado de México y Municipios, este Instituto como Órgano Garante determina que </w:t>
      </w:r>
      <w:r w:rsidRPr="00FD4F09">
        <w:rPr>
          <w:rFonts w:cs="Arial"/>
          <w:b/>
          <w:lang w:val="es-ES" w:eastAsia="es-MX"/>
        </w:rPr>
        <w:t xml:space="preserve">EL SUJETO OBLIGADO </w:t>
      </w:r>
      <w:r w:rsidRPr="00FD4F09">
        <w:rPr>
          <w:rFonts w:cs="Arial"/>
          <w:lang w:val="es-ES" w:eastAsia="es-MX"/>
        </w:rPr>
        <w:t xml:space="preserve">no atendió el derecho accionado por el particular, </w:t>
      </w:r>
      <w:r w:rsidRPr="00FD4F09">
        <w:rPr>
          <w:rFonts w:cs="Arial"/>
        </w:rPr>
        <w:t>en razón de lo anteriormente expuesto.</w:t>
      </w:r>
    </w:p>
    <w:p w14:paraId="3059771F" w14:textId="77777777" w:rsidR="000C391F" w:rsidRPr="00FD4F09" w:rsidRDefault="000C391F" w:rsidP="00FD4F09">
      <w:pPr>
        <w:pStyle w:val="Ttulo3"/>
        <w:rPr>
          <w:szCs w:val="22"/>
        </w:rPr>
      </w:pPr>
      <w:bookmarkStart w:id="28" w:name="_Toc172153688"/>
      <w:bookmarkStart w:id="29" w:name="_Toc178879276"/>
      <w:r w:rsidRPr="00FD4F09">
        <w:rPr>
          <w:szCs w:val="22"/>
        </w:rPr>
        <w:t>d) Versión pública</w:t>
      </w:r>
      <w:bookmarkEnd w:id="28"/>
      <w:bookmarkEnd w:id="29"/>
    </w:p>
    <w:p w14:paraId="733B9ADA" w14:textId="77777777" w:rsidR="000C391F" w:rsidRPr="00FD4F09" w:rsidRDefault="000C391F" w:rsidP="00FD4F09">
      <w:pPr>
        <w:rPr>
          <w:szCs w:val="22"/>
        </w:rPr>
      </w:pPr>
      <w:r w:rsidRPr="00FD4F09">
        <w:rPr>
          <w:szCs w:val="22"/>
        </w:rPr>
        <w:t xml:space="preserve">Para el caso de que el o los documentos de los cuales se ordena su entrega contengan datos personales susceptibles de ser testados, deberán ser entregados en </w:t>
      </w:r>
      <w:r w:rsidRPr="00FD4F09">
        <w:rPr>
          <w:b/>
          <w:szCs w:val="22"/>
        </w:rPr>
        <w:t>versión pública</w:t>
      </w:r>
      <w:r w:rsidRPr="00FD4F09">
        <w:rPr>
          <w:szCs w:val="22"/>
        </w:rPr>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50B09F0C" w14:textId="77777777" w:rsidR="000C391F" w:rsidRPr="00FD4F09" w:rsidRDefault="000C391F" w:rsidP="00FD4F09">
      <w:pPr>
        <w:rPr>
          <w:szCs w:val="22"/>
        </w:rPr>
      </w:pPr>
    </w:p>
    <w:p w14:paraId="22D260F5" w14:textId="77777777" w:rsidR="000C391F" w:rsidRPr="00FD4F09" w:rsidRDefault="000C391F" w:rsidP="00FD4F09">
      <w:pPr>
        <w:rPr>
          <w:szCs w:val="22"/>
        </w:rPr>
      </w:pPr>
      <w:r w:rsidRPr="00FD4F09">
        <w:rPr>
          <w:szCs w:val="22"/>
        </w:rPr>
        <w:t>A este respecto, los artículos 3, fracciones IX, XX, XXI y XLV; 51 y 52 de la Ley de Transparencia y Acceso a la Información Pública del Estado de México y Municipios establecen:</w:t>
      </w:r>
    </w:p>
    <w:p w14:paraId="7BDE696C" w14:textId="77777777" w:rsidR="000C391F" w:rsidRPr="00FD4F09" w:rsidRDefault="000C391F" w:rsidP="00FD4F09">
      <w:pPr>
        <w:rPr>
          <w:szCs w:val="22"/>
        </w:rPr>
      </w:pPr>
    </w:p>
    <w:p w14:paraId="1E7F4CF2" w14:textId="77777777" w:rsidR="000C391F" w:rsidRPr="00FD4F09" w:rsidRDefault="000C391F" w:rsidP="00FD4F09">
      <w:pPr>
        <w:pStyle w:val="Puesto"/>
        <w:rPr>
          <w:szCs w:val="22"/>
        </w:rPr>
      </w:pPr>
      <w:r w:rsidRPr="00FD4F09">
        <w:rPr>
          <w:b/>
          <w:szCs w:val="22"/>
        </w:rPr>
        <w:t xml:space="preserve">“Artículo 3. </w:t>
      </w:r>
      <w:r w:rsidRPr="00FD4F09">
        <w:rPr>
          <w:szCs w:val="22"/>
        </w:rPr>
        <w:t xml:space="preserve">Para los efectos de la presente Ley se entenderá por: </w:t>
      </w:r>
    </w:p>
    <w:p w14:paraId="14B7AB5F" w14:textId="77777777" w:rsidR="000C391F" w:rsidRPr="00FD4F09" w:rsidRDefault="000C391F" w:rsidP="00FD4F09">
      <w:pPr>
        <w:pStyle w:val="Puesto"/>
        <w:rPr>
          <w:szCs w:val="22"/>
        </w:rPr>
      </w:pPr>
      <w:r w:rsidRPr="00FD4F09">
        <w:rPr>
          <w:b/>
          <w:szCs w:val="22"/>
        </w:rPr>
        <w:lastRenderedPageBreak/>
        <w:t>IX.</w:t>
      </w:r>
      <w:r w:rsidRPr="00FD4F09">
        <w:rPr>
          <w:szCs w:val="22"/>
        </w:rPr>
        <w:t xml:space="preserve"> </w:t>
      </w:r>
      <w:r w:rsidRPr="00FD4F09">
        <w:rPr>
          <w:b/>
          <w:szCs w:val="22"/>
        </w:rPr>
        <w:t xml:space="preserve">Datos personales: </w:t>
      </w:r>
      <w:r w:rsidRPr="00FD4F09">
        <w:rPr>
          <w:szCs w:val="22"/>
        </w:rPr>
        <w:t xml:space="preserve">La información concerniente a una persona, identificada o identificable según lo dispuesto por la Ley de Protección de Datos Personales del Estado de México; </w:t>
      </w:r>
    </w:p>
    <w:p w14:paraId="65360B9D" w14:textId="77777777" w:rsidR="000C391F" w:rsidRPr="00FD4F09" w:rsidRDefault="000C391F" w:rsidP="00FD4F09">
      <w:pPr>
        <w:pStyle w:val="Puesto"/>
        <w:rPr>
          <w:szCs w:val="22"/>
        </w:rPr>
      </w:pPr>
    </w:p>
    <w:p w14:paraId="65687766" w14:textId="77777777" w:rsidR="000C391F" w:rsidRPr="00FD4F09" w:rsidRDefault="000C391F" w:rsidP="00FD4F09">
      <w:pPr>
        <w:pStyle w:val="Puesto"/>
        <w:rPr>
          <w:szCs w:val="22"/>
        </w:rPr>
      </w:pPr>
      <w:r w:rsidRPr="00FD4F09">
        <w:rPr>
          <w:b/>
          <w:szCs w:val="22"/>
        </w:rPr>
        <w:t>XX.</w:t>
      </w:r>
      <w:r w:rsidRPr="00FD4F09">
        <w:rPr>
          <w:szCs w:val="22"/>
        </w:rPr>
        <w:t xml:space="preserve"> </w:t>
      </w:r>
      <w:r w:rsidRPr="00FD4F09">
        <w:rPr>
          <w:b/>
          <w:szCs w:val="22"/>
        </w:rPr>
        <w:t>Información clasificada:</w:t>
      </w:r>
      <w:r w:rsidRPr="00FD4F09">
        <w:rPr>
          <w:szCs w:val="22"/>
        </w:rPr>
        <w:t xml:space="preserve"> Aquella considerada por la presente Ley como reservada o confidencial; </w:t>
      </w:r>
    </w:p>
    <w:p w14:paraId="73B97D70" w14:textId="77777777" w:rsidR="000C391F" w:rsidRPr="00FD4F09" w:rsidRDefault="000C391F" w:rsidP="00FD4F09">
      <w:pPr>
        <w:pStyle w:val="Puesto"/>
        <w:rPr>
          <w:szCs w:val="22"/>
        </w:rPr>
      </w:pPr>
    </w:p>
    <w:p w14:paraId="2E0E156B" w14:textId="77777777" w:rsidR="000C391F" w:rsidRPr="00FD4F09" w:rsidRDefault="000C391F" w:rsidP="00FD4F09">
      <w:pPr>
        <w:pStyle w:val="Puesto"/>
        <w:rPr>
          <w:szCs w:val="22"/>
        </w:rPr>
      </w:pPr>
      <w:r w:rsidRPr="00FD4F09">
        <w:rPr>
          <w:b/>
          <w:szCs w:val="22"/>
        </w:rPr>
        <w:t>XXI.</w:t>
      </w:r>
      <w:r w:rsidRPr="00FD4F09">
        <w:rPr>
          <w:szCs w:val="22"/>
        </w:rPr>
        <w:t xml:space="preserve"> </w:t>
      </w:r>
      <w:r w:rsidRPr="00FD4F09">
        <w:rPr>
          <w:b/>
          <w:szCs w:val="22"/>
        </w:rPr>
        <w:t>Información confidencial</w:t>
      </w:r>
      <w:r w:rsidRPr="00FD4F09">
        <w:rPr>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D587AB7" w14:textId="77777777" w:rsidR="000C391F" w:rsidRPr="00FD4F09" w:rsidRDefault="000C391F" w:rsidP="00FD4F09">
      <w:pPr>
        <w:pStyle w:val="Puesto"/>
        <w:rPr>
          <w:szCs w:val="22"/>
        </w:rPr>
      </w:pPr>
    </w:p>
    <w:p w14:paraId="7668BE4E" w14:textId="77777777" w:rsidR="000C391F" w:rsidRPr="00FD4F09" w:rsidRDefault="000C391F" w:rsidP="00FD4F09">
      <w:pPr>
        <w:pStyle w:val="Puesto"/>
        <w:rPr>
          <w:szCs w:val="22"/>
        </w:rPr>
      </w:pPr>
      <w:r w:rsidRPr="00FD4F09">
        <w:rPr>
          <w:b/>
          <w:szCs w:val="22"/>
        </w:rPr>
        <w:t>XLV. Versión pública:</w:t>
      </w:r>
      <w:r w:rsidRPr="00FD4F09">
        <w:rPr>
          <w:szCs w:val="22"/>
        </w:rPr>
        <w:t xml:space="preserve"> Documento en el que se elimine, suprime o borra la información clasificada como reservada o confidencial para permitir su acceso. </w:t>
      </w:r>
    </w:p>
    <w:p w14:paraId="2B59B20B" w14:textId="77777777" w:rsidR="000C391F" w:rsidRPr="00FD4F09" w:rsidRDefault="000C391F" w:rsidP="00FD4F09">
      <w:pPr>
        <w:pStyle w:val="Puesto"/>
        <w:rPr>
          <w:szCs w:val="22"/>
        </w:rPr>
      </w:pPr>
    </w:p>
    <w:p w14:paraId="2B1025A4" w14:textId="77777777" w:rsidR="000C391F" w:rsidRPr="00FD4F09" w:rsidRDefault="000C391F" w:rsidP="00FD4F09">
      <w:pPr>
        <w:pStyle w:val="Puesto"/>
        <w:rPr>
          <w:szCs w:val="22"/>
        </w:rPr>
      </w:pPr>
      <w:r w:rsidRPr="00FD4F09">
        <w:rPr>
          <w:b/>
          <w:szCs w:val="22"/>
        </w:rPr>
        <w:t>Artículo 51.</w:t>
      </w:r>
      <w:r w:rsidRPr="00FD4F09">
        <w:rPr>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FD4F09">
        <w:rPr>
          <w:b/>
          <w:szCs w:val="22"/>
        </w:rPr>
        <w:t xml:space="preserve">y tendrá la responsabilidad de verificar en cada caso que la misma no sea confidencial o reservada. </w:t>
      </w:r>
      <w:r w:rsidRPr="00FD4F09">
        <w:rPr>
          <w:szCs w:val="22"/>
        </w:rPr>
        <w:t>Dicha Unidad contará con las facultades internas necesarias para gestionar la atención a las solicitudes de información en los términos de la Ley General y la presente Ley.</w:t>
      </w:r>
    </w:p>
    <w:p w14:paraId="2580CFA9" w14:textId="77777777" w:rsidR="000C391F" w:rsidRPr="00FD4F09" w:rsidRDefault="000C391F" w:rsidP="00FD4F09">
      <w:pPr>
        <w:pStyle w:val="Puesto"/>
        <w:rPr>
          <w:szCs w:val="22"/>
        </w:rPr>
      </w:pPr>
    </w:p>
    <w:p w14:paraId="59AB3A05" w14:textId="77777777" w:rsidR="000C391F" w:rsidRPr="00FD4F09" w:rsidRDefault="000C391F" w:rsidP="00FD4F09">
      <w:pPr>
        <w:pStyle w:val="Puesto"/>
        <w:rPr>
          <w:szCs w:val="22"/>
        </w:rPr>
      </w:pPr>
      <w:r w:rsidRPr="00FD4F09">
        <w:rPr>
          <w:b/>
          <w:szCs w:val="22"/>
        </w:rPr>
        <w:t>Artículo 52.</w:t>
      </w:r>
      <w:r w:rsidRPr="00FD4F09">
        <w:rPr>
          <w:szCs w:val="22"/>
        </w:rPr>
        <w:t xml:space="preserve"> Las solicitudes de acceso a la información y las respuestas que se les dé, incluyendo, en su caso, </w:t>
      </w:r>
      <w:r w:rsidRPr="00FD4F09">
        <w:rPr>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FD4F09">
        <w:rPr>
          <w:szCs w:val="22"/>
        </w:rPr>
        <w:t>, siempre y cuando la resolución de referencia se someta a un proceso de disociación, es decir, no haga identificable al titular de tales datos personales.” (Énfasis añadido)</w:t>
      </w:r>
    </w:p>
    <w:p w14:paraId="18DDB16D" w14:textId="77777777" w:rsidR="000C391F" w:rsidRPr="00FD4F09" w:rsidRDefault="000C391F" w:rsidP="00FD4F09">
      <w:pPr>
        <w:rPr>
          <w:szCs w:val="22"/>
        </w:rPr>
      </w:pPr>
    </w:p>
    <w:p w14:paraId="0BEC73C0" w14:textId="77777777" w:rsidR="000C391F" w:rsidRPr="00FD4F09" w:rsidRDefault="000C391F" w:rsidP="00FD4F09">
      <w:pPr>
        <w:rPr>
          <w:szCs w:val="22"/>
        </w:rPr>
      </w:pPr>
      <w:r w:rsidRPr="00FD4F09">
        <w:rPr>
          <w:szCs w:val="22"/>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w:t>
      </w:r>
      <w:r w:rsidRPr="00FD4F09">
        <w:rPr>
          <w:szCs w:val="22"/>
        </w:rPr>
        <w:lastRenderedPageBreak/>
        <w:t xml:space="preserve">Datos Personales en Posesión de Sujetos Obligados del Estado de México y Municipios, los cuales se transcriben para mayor referencia: </w:t>
      </w:r>
    </w:p>
    <w:p w14:paraId="0921355D" w14:textId="77777777" w:rsidR="000C391F" w:rsidRPr="00FD4F09" w:rsidRDefault="000C391F" w:rsidP="00FD4F09">
      <w:pPr>
        <w:rPr>
          <w:szCs w:val="22"/>
        </w:rPr>
      </w:pPr>
    </w:p>
    <w:p w14:paraId="5A08F57E" w14:textId="77777777" w:rsidR="000C391F" w:rsidRPr="00FD4F09" w:rsidRDefault="000C391F" w:rsidP="00FD4F09">
      <w:pPr>
        <w:pStyle w:val="Puesto"/>
        <w:rPr>
          <w:szCs w:val="22"/>
        </w:rPr>
      </w:pPr>
      <w:r w:rsidRPr="00FD4F09">
        <w:rPr>
          <w:b/>
          <w:szCs w:val="22"/>
        </w:rPr>
        <w:t>“Artículo 22.</w:t>
      </w:r>
      <w:r w:rsidRPr="00FD4F09">
        <w:rPr>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24BED245" w14:textId="77777777" w:rsidR="000C391F" w:rsidRPr="00FD4F09" w:rsidRDefault="000C391F" w:rsidP="00FD4F09">
      <w:pPr>
        <w:rPr>
          <w:szCs w:val="22"/>
        </w:rPr>
      </w:pPr>
    </w:p>
    <w:p w14:paraId="47955F55" w14:textId="77777777" w:rsidR="000C391F" w:rsidRPr="00FD4F09" w:rsidRDefault="000C391F" w:rsidP="00FD4F09">
      <w:pPr>
        <w:pStyle w:val="Puesto"/>
        <w:rPr>
          <w:szCs w:val="22"/>
        </w:rPr>
      </w:pPr>
      <w:r w:rsidRPr="00FD4F09">
        <w:rPr>
          <w:b/>
          <w:szCs w:val="22"/>
        </w:rPr>
        <w:t>Artículo 38.</w:t>
      </w:r>
      <w:r w:rsidRPr="00FD4F09">
        <w:rPr>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FD4F09">
        <w:rPr>
          <w:b/>
          <w:szCs w:val="22"/>
        </w:rPr>
        <w:t>”</w:t>
      </w:r>
      <w:r w:rsidRPr="00FD4F09">
        <w:rPr>
          <w:szCs w:val="22"/>
        </w:rPr>
        <w:t xml:space="preserve"> </w:t>
      </w:r>
    </w:p>
    <w:p w14:paraId="4877178B" w14:textId="77777777" w:rsidR="000C391F" w:rsidRPr="00FD4F09" w:rsidRDefault="000C391F" w:rsidP="00FD4F09">
      <w:pPr>
        <w:rPr>
          <w:i/>
          <w:szCs w:val="22"/>
        </w:rPr>
      </w:pPr>
    </w:p>
    <w:p w14:paraId="1BCF1D45" w14:textId="77777777" w:rsidR="000C391F" w:rsidRPr="00FD4F09" w:rsidRDefault="000C391F" w:rsidP="00FD4F09">
      <w:pPr>
        <w:rPr>
          <w:szCs w:val="22"/>
        </w:rPr>
      </w:pPr>
      <w:r w:rsidRPr="00FD4F09">
        <w:rPr>
          <w:szCs w:val="22"/>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73A29783" w14:textId="77777777" w:rsidR="000C391F" w:rsidRPr="00FD4F09" w:rsidRDefault="000C391F" w:rsidP="00FD4F09">
      <w:pPr>
        <w:rPr>
          <w:szCs w:val="22"/>
        </w:rPr>
      </w:pPr>
    </w:p>
    <w:p w14:paraId="3F9B6650" w14:textId="77777777" w:rsidR="000C391F" w:rsidRPr="00FD4F09" w:rsidRDefault="000C391F" w:rsidP="00FD4F09">
      <w:pPr>
        <w:rPr>
          <w:szCs w:val="22"/>
        </w:rPr>
      </w:pPr>
      <w:r w:rsidRPr="00FD4F09">
        <w:rPr>
          <w:szCs w:val="22"/>
        </w:rPr>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FD4F09">
        <w:rPr>
          <w:b/>
          <w:szCs w:val="22"/>
        </w:rPr>
        <w:t>EL SUJETO OBLIGADO,</w:t>
      </w:r>
      <w:r w:rsidRPr="00FD4F09">
        <w:rPr>
          <w:szCs w:val="22"/>
        </w:rPr>
        <w:t xml:space="preserve"> por lo que, todo dato personal susceptible de clasificación debe ser protegido.</w:t>
      </w:r>
    </w:p>
    <w:p w14:paraId="47B0F04A" w14:textId="77777777" w:rsidR="000C391F" w:rsidRPr="00FD4F09" w:rsidRDefault="000C391F" w:rsidP="00FD4F09">
      <w:pPr>
        <w:rPr>
          <w:szCs w:val="22"/>
        </w:rPr>
      </w:pPr>
    </w:p>
    <w:p w14:paraId="69FF2FEE" w14:textId="77777777" w:rsidR="000C391F" w:rsidRPr="00FD4F09" w:rsidRDefault="000C391F" w:rsidP="00FD4F09">
      <w:pPr>
        <w:rPr>
          <w:szCs w:val="22"/>
        </w:rPr>
      </w:pPr>
      <w:r w:rsidRPr="00FD4F09">
        <w:rPr>
          <w:szCs w:val="22"/>
        </w:rPr>
        <w:lastRenderedPageBreak/>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7DDEB09F" w14:textId="77777777" w:rsidR="000C391F" w:rsidRPr="00FD4F09" w:rsidRDefault="000C391F" w:rsidP="00FD4F09">
      <w:pPr>
        <w:rPr>
          <w:szCs w:val="22"/>
        </w:rPr>
      </w:pPr>
    </w:p>
    <w:p w14:paraId="632ACAEE" w14:textId="77777777" w:rsidR="000C391F" w:rsidRPr="00FD4F09" w:rsidRDefault="000C391F" w:rsidP="00FD4F09">
      <w:pPr>
        <w:rPr>
          <w:szCs w:val="22"/>
        </w:rPr>
      </w:pPr>
      <w:r w:rsidRPr="00FD4F09">
        <w:rPr>
          <w:szCs w:val="22"/>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7BB8005F" w14:textId="77777777" w:rsidR="000C391F" w:rsidRPr="00FD4F09" w:rsidRDefault="000C391F" w:rsidP="00FD4F09">
      <w:pPr>
        <w:rPr>
          <w:szCs w:val="22"/>
        </w:rPr>
      </w:pPr>
    </w:p>
    <w:p w14:paraId="5CF33CA3" w14:textId="77777777" w:rsidR="000C391F" w:rsidRPr="00FD4F09" w:rsidRDefault="000C391F" w:rsidP="00FD4F09">
      <w:pPr>
        <w:pStyle w:val="Puesto"/>
        <w:rPr>
          <w:b/>
          <w:szCs w:val="22"/>
        </w:rPr>
      </w:pPr>
      <w:r w:rsidRPr="00FD4F09">
        <w:rPr>
          <w:b/>
          <w:szCs w:val="22"/>
        </w:rPr>
        <w:t>Ley de Transparencia y Acceso a la Información Pública del Estado de México y Municipios</w:t>
      </w:r>
    </w:p>
    <w:p w14:paraId="7A6A2A6E" w14:textId="77777777" w:rsidR="000C391F" w:rsidRPr="00FD4F09" w:rsidRDefault="000C391F" w:rsidP="00FD4F09">
      <w:pPr>
        <w:rPr>
          <w:szCs w:val="22"/>
        </w:rPr>
      </w:pPr>
    </w:p>
    <w:p w14:paraId="55EAA968" w14:textId="77777777" w:rsidR="000C391F" w:rsidRPr="00FD4F09" w:rsidRDefault="000C391F" w:rsidP="00FD4F09">
      <w:pPr>
        <w:pStyle w:val="Puesto"/>
        <w:rPr>
          <w:szCs w:val="22"/>
        </w:rPr>
      </w:pPr>
      <w:r w:rsidRPr="00FD4F09">
        <w:rPr>
          <w:b/>
          <w:szCs w:val="22"/>
        </w:rPr>
        <w:t xml:space="preserve">“Artículo 49. </w:t>
      </w:r>
      <w:r w:rsidRPr="00FD4F09">
        <w:rPr>
          <w:szCs w:val="22"/>
        </w:rPr>
        <w:t>Los Comités de Transparencia tendrán las siguientes atribuciones:</w:t>
      </w:r>
    </w:p>
    <w:p w14:paraId="2671E6E8" w14:textId="77777777" w:rsidR="000C391F" w:rsidRPr="00FD4F09" w:rsidRDefault="000C391F" w:rsidP="00FD4F09">
      <w:pPr>
        <w:pStyle w:val="Puesto"/>
        <w:rPr>
          <w:szCs w:val="22"/>
        </w:rPr>
      </w:pPr>
      <w:r w:rsidRPr="00FD4F09">
        <w:rPr>
          <w:b/>
          <w:szCs w:val="22"/>
        </w:rPr>
        <w:t>VIII.</w:t>
      </w:r>
      <w:r w:rsidRPr="00FD4F09">
        <w:rPr>
          <w:szCs w:val="22"/>
        </w:rPr>
        <w:t xml:space="preserve"> Aprobar, modificar o revocar la clasificación de la información;</w:t>
      </w:r>
    </w:p>
    <w:p w14:paraId="7AB409E0" w14:textId="77777777" w:rsidR="000C391F" w:rsidRPr="00FD4F09" w:rsidRDefault="000C391F" w:rsidP="00FD4F09">
      <w:pPr>
        <w:pStyle w:val="Puesto"/>
        <w:rPr>
          <w:szCs w:val="22"/>
        </w:rPr>
      </w:pPr>
    </w:p>
    <w:p w14:paraId="67EBCE09" w14:textId="77777777" w:rsidR="000C391F" w:rsidRPr="00FD4F09" w:rsidRDefault="000C391F" w:rsidP="00FD4F09">
      <w:pPr>
        <w:pStyle w:val="Puesto"/>
        <w:rPr>
          <w:szCs w:val="22"/>
        </w:rPr>
      </w:pPr>
      <w:r w:rsidRPr="00FD4F09">
        <w:rPr>
          <w:b/>
          <w:szCs w:val="22"/>
        </w:rPr>
        <w:t>Artículo 132.</w:t>
      </w:r>
      <w:r w:rsidRPr="00FD4F09">
        <w:rPr>
          <w:szCs w:val="22"/>
        </w:rPr>
        <w:t xml:space="preserve"> La clasificación de la información se llevará a cabo en el momento en que:</w:t>
      </w:r>
    </w:p>
    <w:p w14:paraId="5C4C0C41" w14:textId="77777777" w:rsidR="000C391F" w:rsidRPr="00FD4F09" w:rsidRDefault="000C391F" w:rsidP="00FD4F09">
      <w:pPr>
        <w:pStyle w:val="Puesto"/>
        <w:rPr>
          <w:szCs w:val="22"/>
        </w:rPr>
      </w:pPr>
      <w:r w:rsidRPr="00FD4F09">
        <w:rPr>
          <w:b/>
          <w:szCs w:val="22"/>
        </w:rPr>
        <w:t>I.</w:t>
      </w:r>
      <w:r w:rsidRPr="00FD4F09">
        <w:rPr>
          <w:szCs w:val="22"/>
        </w:rPr>
        <w:t xml:space="preserve"> Se reciba una solicitud de acceso a la información;</w:t>
      </w:r>
    </w:p>
    <w:p w14:paraId="6C7F0369" w14:textId="77777777" w:rsidR="000C391F" w:rsidRPr="00FD4F09" w:rsidRDefault="000C391F" w:rsidP="00FD4F09">
      <w:pPr>
        <w:pStyle w:val="Puesto"/>
        <w:rPr>
          <w:szCs w:val="22"/>
        </w:rPr>
      </w:pPr>
      <w:r w:rsidRPr="00FD4F09">
        <w:rPr>
          <w:b/>
          <w:szCs w:val="22"/>
        </w:rPr>
        <w:t>II.</w:t>
      </w:r>
      <w:r w:rsidRPr="00FD4F09">
        <w:rPr>
          <w:szCs w:val="22"/>
        </w:rPr>
        <w:t xml:space="preserve"> Se determine mediante resolución de autoridad competente; o</w:t>
      </w:r>
    </w:p>
    <w:p w14:paraId="5FB2BF44" w14:textId="77777777" w:rsidR="000C391F" w:rsidRPr="00FD4F09" w:rsidRDefault="000C391F" w:rsidP="00FD4F09">
      <w:pPr>
        <w:pStyle w:val="Puesto"/>
        <w:rPr>
          <w:b/>
          <w:szCs w:val="22"/>
        </w:rPr>
      </w:pPr>
      <w:r w:rsidRPr="00FD4F09">
        <w:rPr>
          <w:b/>
          <w:szCs w:val="22"/>
        </w:rPr>
        <w:t>III.</w:t>
      </w:r>
      <w:r w:rsidRPr="00FD4F09">
        <w:rPr>
          <w:szCs w:val="22"/>
        </w:rPr>
        <w:t xml:space="preserve"> Se generen versiones públicas para dar cumplimiento a las obligaciones de transparencia previstas en esta Ley.</w:t>
      </w:r>
      <w:r w:rsidRPr="00FD4F09">
        <w:rPr>
          <w:b/>
          <w:szCs w:val="22"/>
        </w:rPr>
        <w:t>”</w:t>
      </w:r>
    </w:p>
    <w:p w14:paraId="676071BC" w14:textId="77777777" w:rsidR="000C391F" w:rsidRPr="00FD4F09" w:rsidRDefault="000C391F" w:rsidP="00FD4F09">
      <w:pPr>
        <w:pStyle w:val="Puesto"/>
        <w:rPr>
          <w:szCs w:val="22"/>
        </w:rPr>
      </w:pPr>
    </w:p>
    <w:p w14:paraId="79F837EC" w14:textId="77777777" w:rsidR="000C391F" w:rsidRPr="00FD4F09" w:rsidRDefault="000C391F" w:rsidP="00FD4F09">
      <w:pPr>
        <w:pStyle w:val="Puesto"/>
        <w:rPr>
          <w:szCs w:val="22"/>
        </w:rPr>
      </w:pPr>
      <w:r w:rsidRPr="00FD4F09">
        <w:rPr>
          <w:b/>
          <w:szCs w:val="22"/>
        </w:rPr>
        <w:t>“Segundo. -</w:t>
      </w:r>
      <w:r w:rsidRPr="00FD4F09">
        <w:rPr>
          <w:szCs w:val="22"/>
        </w:rPr>
        <w:t xml:space="preserve"> Para efectos de los presentes Lineamientos Generales, se entenderá por:</w:t>
      </w:r>
    </w:p>
    <w:p w14:paraId="428657E3" w14:textId="77777777" w:rsidR="000C391F" w:rsidRPr="00FD4F09" w:rsidRDefault="000C391F" w:rsidP="00FD4F09">
      <w:pPr>
        <w:pStyle w:val="Puesto"/>
        <w:rPr>
          <w:szCs w:val="22"/>
        </w:rPr>
      </w:pPr>
      <w:r w:rsidRPr="00FD4F09">
        <w:rPr>
          <w:b/>
          <w:szCs w:val="22"/>
        </w:rPr>
        <w:t>XVIII.</w:t>
      </w:r>
      <w:r w:rsidRPr="00FD4F09">
        <w:rPr>
          <w:szCs w:val="22"/>
        </w:rPr>
        <w:t xml:space="preserve">  </w:t>
      </w:r>
      <w:r w:rsidRPr="00FD4F09">
        <w:rPr>
          <w:b/>
          <w:szCs w:val="22"/>
        </w:rPr>
        <w:t>Versión pública:</w:t>
      </w:r>
      <w:r w:rsidRPr="00FD4F09">
        <w:rPr>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36E682BF" w14:textId="77777777" w:rsidR="000C391F" w:rsidRPr="00FD4F09" w:rsidRDefault="000C391F" w:rsidP="00FD4F09">
      <w:pPr>
        <w:pStyle w:val="Puesto"/>
        <w:rPr>
          <w:szCs w:val="22"/>
        </w:rPr>
      </w:pPr>
    </w:p>
    <w:p w14:paraId="4432A6B6" w14:textId="77777777" w:rsidR="000C391F" w:rsidRPr="00FD4F09" w:rsidRDefault="000C391F" w:rsidP="00FD4F09">
      <w:pPr>
        <w:pStyle w:val="Puesto"/>
        <w:rPr>
          <w:b/>
          <w:szCs w:val="22"/>
        </w:rPr>
      </w:pPr>
      <w:r w:rsidRPr="00FD4F09">
        <w:rPr>
          <w:b/>
          <w:szCs w:val="22"/>
        </w:rPr>
        <w:t>Lineamientos Generales en materia de Clasificación y Desclasificación de la Información</w:t>
      </w:r>
    </w:p>
    <w:p w14:paraId="66327F56" w14:textId="77777777" w:rsidR="000C391F" w:rsidRPr="00FD4F09" w:rsidRDefault="000C391F" w:rsidP="00FD4F09">
      <w:pPr>
        <w:pStyle w:val="Puesto"/>
        <w:rPr>
          <w:szCs w:val="22"/>
        </w:rPr>
      </w:pPr>
    </w:p>
    <w:p w14:paraId="3A4C03AC" w14:textId="77777777" w:rsidR="000C391F" w:rsidRPr="00FD4F09" w:rsidRDefault="000C391F" w:rsidP="00FD4F09">
      <w:pPr>
        <w:pStyle w:val="Puesto"/>
        <w:rPr>
          <w:szCs w:val="22"/>
        </w:rPr>
      </w:pPr>
      <w:r w:rsidRPr="00FD4F09">
        <w:rPr>
          <w:b/>
          <w:szCs w:val="22"/>
        </w:rPr>
        <w:t>Cuarto.</w:t>
      </w:r>
      <w:r w:rsidRPr="00FD4F09">
        <w:rPr>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135B9E0" w14:textId="77777777" w:rsidR="000C391F" w:rsidRPr="00FD4F09" w:rsidRDefault="000C391F" w:rsidP="00FD4F09">
      <w:pPr>
        <w:pStyle w:val="Puesto"/>
        <w:rPr>
          <w:szCs w:val="22"/>
        </w:rPr>
      </w:pPr>
      <w:r w:rsidRPr="00FD4F09">
        <w:rPr>
          <w:szCs w:val="22"/>
        </w:rPr>
        <w:t>Los sujetos obligados deberán aplicar, de manera estricta, las excepciones al derecho de acceso a la información y sólo podrán invocarlas cuando acrediten su procedencia.</w:t>
      </w:r>
    </w:p>
    <w:p w14:paraId="5528786D" w14:textId="77777777" w:rsidR="000C391F" w:rsidRPr="00FD4F09" w:rsidRDefault="000C391F" w:rsidP="00FD4F09">
      <w:pPr>
        <w:pStyle w:val="Puesto"/>
        <w:rPr>
          <w:szCs w:val="22"/>
        </w:rPr>
      </w:pPr>
    </w:p>
    <w:p w14:paraId="0CA0D454" w14:textId="77777777" w:rsidR="000C391F" w:rsidRPr="00FD4F09" w:rsidRDefault="000C391F" w:rsidP="00FD4F09">
      <w:pPr>
        <w:pStyle w:val="Puesto"/>
        <w:rPr>
          <w:szCs w:val="22"/>
        </w:rPr>
      </w:pPr>
      <w:r w:rsidRPr="00FD4F09">
        <w:rPr>
          <w:b/>
          <w:szCs w:val="22"/>
        </w:rPr>
        <w:t>Quinto.</w:t>
      </w:r>
      <w:r w:rsidRPr="00FD4F09">
        <w:rPr>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0FE4F1E" w14:textId="77777777" w:rsidR="000C391F" w:rsidRPr="00FD4F09" w:rsidRDefault="000C391F" w:rsidP="00FD4F09">
      <w:pPr>
        <w:pStyle w:val="Puesto"/>
        <w:rPr>
          <w:szCs w:val="22"/>
        </w:rPr>
      </w:pPr>
    </w:p>
    <w:p w14:paraId="072DF902" w14:textId="77777777" w:rsidR="000C391F" w:rsidRPr="00FD4F09" w:rsidRDefault="000C391F" w:rsidP="00FD4F09">
      <w:pPr>
        <w:pStyle w:val="Puesto"/>
        <w:rPr>
          <w:szCs w:val="22"/>
        </w:rPr>
      </w:pPr>
      <w:r w:rsidRPr="00FD4F09">
        <w:rPr>
          <w:b/>
          <w:szCs w:val="22"/>
        </w:rPr>
        <w:t>Sexto.</w:t>
      </w:r>
      <w:r w:rsidRPr="00FD4F09">
        <w:rPr>
          <w:szCs w:val="22"/>
        </w:rPr>
        <w:t xml:space="preserve"> Se deroga.</w:t>
      </w:r>
    </w:p>
    <w:p w14:paraId="09B683AB" w14:textId="77777777" w:rsidR="000C391F" w:rsidRPr="00FD4F09" w:rsidRDefault="000C391F" w:rsidP="00FD4F09">
      <w:pPr>
        <w:pStyle w:val="Puesto"/>
        <w:rPr>
          <w:szCs w:val="22"/>
        </w:rPr>
      </w:pPr>
    </w:p>
    <w:p w14:paraId="39E5E49A" w14:textId="77777777" w:rsidR="000C391F" w:rsidRPr="00FD4F09" w:rsidRDefault="000C391F" w:rsidP="00FD4F09">
      <w:pPr>
        <w:pStyle w:val="Puesto"/>
        <w:rPr>
          <w:szCs w:val="22"/>
        </w:rPr>
      </w:pPr>
      <w:r w:rsidRPr="00FD4F09">
        <w:rPr>
          <w:b/>
          <w:szCs w:val="22"/>
        </w:rPr>
        <w:t>Séptimo.</w:t>
      </w:r>
      <w:r w:rsidRPr="00FD4F09">
        <w:rPr>
          <w:szCs w:val="22"/>
        </w:rPr>
        <w:t xml:space="preserve"> La clasificación de la información se llevará a cabo en el momento en que:</w:t>
      </w:r>
    </w:p>
    <w:p w14:paraId="437FCB9A" w14:textId="77777777" w:rsidR="000C391F" w:rsidRPr="00FD4F09" w:rsidRDefault="000C391F" w:rsidP="00FD4F09">
      <w:pPr>
        <w:pStyle w:val="Puesto"/>
        <w:rPr>
          <w:szCs w:val="22"/>
        </w:rPr>
      </w:pPr>
      <w:r w:rsidRPr="00FD4F09">
        <w:rPr>
          <w:b/>
          <w:szCs w:val="22"/>
        </w:rPr>
        <w:t>I.</w:t>
      </w:r>
      <w:r w:rsidRPr="00FD4F09">
        <w:rPr>
          <w:szCs w:val="22"/>
        </w:rPr>
        <w:t xml:space="preserve">        Se reciba una solicitud de acceso a la información;</w:t>
      </w:r>
    </w:p>
    <w:p w14:paraId="18B29CC1" w14:textId="77777777" w:rsidR="000C391F" w:rsidRPr="00FD4F09" w:rsidRDefault="000C391F" w:rsidP="00FD4F09">
      <w:pPr>
        <w:pStyle w:val="Puesto"/>
        <w:rPr>
          <w:szCs w:val="22"/>
        </w:rPr>
      </w:pPr>
      <w:r w:rsidRPr="00FD4F09">
        <w:rPr>
          <w:b/>
          <w:szCs w:val="22"/>
        </w:rPr>
        <w:t>II.</w:t>
      </w:r>
      <w:r w:rsidRPr="00FD4F09">
        <w:rPr>
          <w:szCs w:val="22"/>
        </w:rPr>
        <w:t xml:space="preserve">       Se determine mediante resolución del Comité de Transparencia, el órgano garante competente, o en cumplimiento a una sentencia del Poder Judicial; o</w:t>
      </w:r>
    </w:p>
    <w:p w14:paraId="1734485F" w14:textId="77777777" w:rsidR="000C391F" w:rsidRPr="00FD4F09" w:rsidRDefault="000C391F" w:rsidP="00FD4F09">
      <w:pPr>
        <w:pStyle w:val="Puesto"/>
        <w:rPr>
          <w:szCs w:val="22"/>
        </w:rPr>
      </w:pPr>
      <w:r w:rsidRPr="00FD4F09">
        <w:rPr>
          <w:b/>
          <w:szCs w:val="22"/>
        </w:rPr>
        <w:t>III.</w:t>
      </w:r>
      <w:r w:rsidRPr="00FD4F09">
        <w:rPr>
          <w:szCs w:val="22"/>
        </w:rPr>
        <w:t xml:space="preserve">      Se generen versiones públicas para dar cumplimiento a las obligaciones de transparencia previstas en la Ley General, la Ley Federal y las correspondientes de las entidades federativas.</w:t>
      </w:r>
    </w:p>
    <w:p w14:paraId="4BC91717" w14:textId="77777777" w:rsidR="000C391F" w:rsidRPr="00FD4F09" w:rsidRDefault="000C391F" w:rsidP="00FD4F09">
      <w:pPr>
        <w:pStyle w:val="Puesto"/>
        <w:rPr>
          <w:szCs w:val="22"/>
        </w:rPr>
      </w:pPr>
      <w:r w:rsidRPr="00FD4F09">
        <w:rPr>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7C879821" w14:textId="77777777" w:rsidR="000C391F" w:rsidRPr="00FD4F09" w:rsidRDefault="000C391F" w:rsidP="00FD4F09">
      <w:pPr>
        <w:pStyle w:val="Puesto"/>
        <w:rPr>
          <w:szCs w:val="22"/>
        </w:rPr>
      </w:pPr>
    </w:p>
    <w:p w14:paraId="78E434D4" w14:textId="77777777" w:rsidR="000C391F" w:rsidRPr="00FD4F09" w:rsidRDefault="000C391F" w:rsidP="00FD4F09">
      <w:pPr>
        <w:pStyle w:val="Puesto"/>
        <w:rPr>
          <w:szCs w:val="22"/>
        </w:rPr>
      </w:pPr>
      <w:r w:rsidRPr="00FD4F09">
        <w:rPr>
          <w:b/>
          <w:szCs w:val="22"/>
        </w:rPr>
        <w:t>Octavo.</w:t>
      </w:r>
      <w:r w:rsidRPr="00FD4F09">
        <w:rPr>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65CB992E" w14:textId="77777777" w:rsidR="000C391F" w:rsidRPr="00FD4F09" w:rsidRDefault="000C391F" w:rsidP="00FD4F09">
      <w:pPr>
        <w:pStyle w:val="Puesto"/>
        <w:rPr>
          <w:szCs w:val="22"/>
        </w:rPr>
      </w:pPr>
      <w:r w:rsidRPr="00FD4F09">
        <w:rPr>
          <w:szCs w:val="22"/>
        </w:rPr>
        <w:lastRenderedPageBreak/>
        <w:t>Para motivar la clasificación se deberán señalar las razones o circunstancias especiales que lo llevaron a concluir que el caso particular se ajusta al supuesto previsto por la norma legal invocada como fundamento.</w:t>
      </w:r>
    </w:p>
    <w:p w14:paraId="4EC076C4" w14:textId="77777777" w:rsidR="000C391F" w:rsidRPr="00FD4F09" w:rsidRDefault="000C391F" w:rsidP="00FD4F09">
      <w:pPr>
        <w:pStyle w:val="Puesto"/>
        <w:rPr>
          <w:szCs w:val="22"/>
        </w:rPr>
      </w:pPr>
      <w:r w:rsidRPr="00FD4F09">
        <w:rPr>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48991D1C" w14:textId="77777777" w:rsidR="000C391F" w:rsidRPr="00FD4F09" w:rsidRDefault="000C391F" w:rsidP="00FD4F09">
      <w:pPr>
        <w:pStyle w:val="Puesto"/>
        <w:rPr>
          <w:szCs w:val="22"/>
        </w:rPr>
      </w:pPr>
    </w:p>
    <w:p w14:paraId="34FEA832" w14:textId="77777777" w:rsidR="000C391F" w:rsidRPr="00FD4F09" w:rsidRDefault="000C391F" w:rsidP="00FD4F09">
      <w:pPr>
        <w:pStyle w:val="Puesto"/>
        <w:rPr>
          <w:szCs w:val="22"/>
        </w:rPr>
      </w:pPr>
      <w:r w:rsidRPr="00FD4F09">
        <w:rPr>
          <w:b/>
          <w:szCs w:val="22"/>
        </w:rPr>
        <w:t>Noveno.</w:t>
      </w:r>
      <w:r w:rsidRPr="00FD4F09">
        <w:rPr>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88744A8" w14:textId="77777777" w:rsidR="000C391F" w:rsidRPr="00FD4F09" w:rsidRDefault="000C391F" w:rsidP="00FD4F09">
      <w:pPr>
        <w:pStyle w:val="Puesto"/>
        <w:rPr>
          <w:szCs w:val="22"/>
        </w:rPr>
      </w:pPr>
    </w:p>
    <w:p w14:paraId="6861A73D" w14:textId="77777777" w:rsidR="000C391F" w:rsidRPr="00FD4F09" w:rsidRDefault="000C391F" w:rsidP="00FD4F09">
      <w:pPr>
        <w:pStyle w:val="Puesto"/>
        <w:rPr>
          <w:szCs w:val="22"/>
        </w:rPr>
      </w:pPr>
      <w:r w:rsidRPr="00FD4F09">
        <w:rPr>
          <w:b/>
          <w:szCs w:val="22"/>
        </w:rPr>
        <w:t>Décimo.</w:t>
      </w:r>
      <w:r w:rsidRPr="00FD4F09">
        <w:rPr>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0559B092" w14:textId="77777777" w:rsidR="000C391F" w:rsidRPr="00FD4F09" w:rsidRDefault="000C391F" w:rsidP="00FD4F09">
      <w:pPr>
        <w:pStyle w:val="Puesto"/>
        <w:rPr>
          <w:szCs w:val="22"/>
        </w:rPr>
      </w:pPr>
      <w:r w:rsidRPr="00FD4F09">
        <w:rPr>
          <w:szCs w:val="22"/>
        </w:rPr>
        <w:t>En ausencia de los titulares de las áreas, la información será clasificada o desclasificada por la persona que lo supla, en términos de la normativa que rija la actuación del sujeto obligado.</w:t>
      </w:r>
    </w:p>
    <w:p w14:paraId="5CD7899C" w14:textId="77777777" w:rsidR="000C391F" w:rsidRPr="00FD4F09" w:rsidRDefault="000C391F" w:rsidP="00FD4F09">
      <w:pPr>
        <w:pStyle w:val="Puesto"/>
        <w:rPr>
          <w:b/>
          <w:szCs w:val="22"/>
        </w:rPr>
      </w:pPr>
      <w:r w:rsidRPr="00FD4F09">
        <w:rPr>
          <w:b/>
          <w:szCs w:val="22"/>
        </w:rPr>
        <w:t>Décimo primero.</w:t>
      </w:r>
      <w:r w:rsidRPr="00FD4F09">
        <w:rPr>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FD4F09">
        <w:rPr>
          <w:b/>
          <w:szCs w:val="22"/>
        </w:rPr>
        <w:t>”</w:t>
      </w:r>
    </w:p>
    <w:p w14:paraId="53C704D4" w14:textId="77777777" w:rsidR="000C391F" w:rsidRPr="00FD4F09" w:rsidRDefault="000C391F" w:rsidP="00FD4F09">
      <w:pPr>
        <w:rPr>
          <w:szCs w:val="22"/>
        </w:rPr>
      </w:pPr>
    </w:p>
    <w:p w14:paraId="15112D15" w14:textId="77777777" w:rsidR="000C391F" w:rsidRPr="00FD4F09" w:rsidRDefault="000C391F" w:rsidP="00FD4F09">
      <w:pPr>
        <w:rPr>
          <w:szCs w:val="22"/>
        </w:rPr>
      </w:pPr>
      <w:r w:rsidRPr="00FD4F09">
        <w:rPr>
          <w:szCs w:val="22"/>
        </w:rPr>
        <w:t xml:space="preserve">Consecuentemente, se destaca que la versión pública que elabore </w:t>
      </w:r>
      <w:r w:rsidRPr="00FD4F09">
        <w:rPr>
          <w:b/>
          <w:szCs w:val="22"/>
        </w:rPr>
        <w:t>EL SUJETO OBLIGADO</w:t>
      </w:r>
      <w:r w:rsidRPr="00FD4F09">
        <w:rPr>
          <w:szCs w:val="22"/>
        </w:rPr>
        <w:t xml:space="preserve"> debe cumplir con las formalidades exigidas en la Ley, por lo que para tal efecto emitirá el </w:t>
      </w:r>
      <w:r w:rsidRPr="00FD4F09">
        <w:rPr>
          <w:b/>
          <w:szCs w:val="22"/>
        </w:rPr>
        <w:t>Acuerdo del Comité de Transparencia</w:t>
      </w:r>
      <w:r w:rsidRPr="00FD4F09">
        <w:rPr>
          <w:szCs w:val="22"/>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w:t>
      </w:r>
      <w:r w:rsidRPr="00FD4F09">
        <w:rPr>
          <w:szCs w:val="22"/>
        </w:rPr>
        <w:lastRenderedPageBreak/>
        <w:t>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4EFB3FF7" w14:textId="77777777" w:rsidR="000C391F" w:rsidRPr="00FD4F09" w:rsidRDefault="000C391F" w:rsidP="00FD4F09">
      <w:pPr>
        <w:rPr>
          <w:szCs w:val="22"/>
        </w:rPr>
      </w:pPr>
    </w:p>
    <w:p w14:paraId="17D1CF8F" w14:textId="0FE807DA" w:rsidR="000C391F" w:rsidRPr="00FD4F09" w:rsidRDefault="000C391F" w:rsidP="00FD4F09">
      <w:pPr>
        <w:rPr>
          <w:szCs w:val="22"/>
        </w:rPr>
      </w:pPr>
      <w:r w:rsidRPr="00FD4F09">
        <w:rPr>
          <w:szCs w:val="22"/>
        </w:rPr>
        <w:t>Es importante señalar que, para el caso en concreto, se deben tomar en consideración los siguientes criterios respecto a la información que debe ser, o no, clasificada como confidencial:</w:t>
      </w:r>
    </w:p>
    <w:p w14:paraId="5381FF53" w14:textId="75647AB4" w:rsidR="009A6453" w:rsidRPr="00FD4F09" w:rsidRDefault="009A6453" w:rsidP="00FD4F09">
      <w:pPr>
        <w:rPr>
          <w:szCs w:val="22"/>
        </w:rPr>
      </w:pPr>
    </w:p>
    <w:p w14:paraId="180DE9A6" w14:textId="77777777" w:rsidR="00AF544C" w:rsidRPr="00FD4F09" w:rsidRDefault="00AF544C" w:rsidP="00FD4F09">
      <w:pPr>
        <w:autoSpaceDE w:val="0"/>
        <w:autoSpaceDN w:val="0"/>
        <w:adjustRightInd w:val="0"/>
        <w:ind w:right="-91"/>
        <w:rPr>
          <w:rFonts w:cs="Arial"/>
          <w:lang w:eastAsia="es-MX"/>
        </w:rPr>
      </w:pPr>
      <w:r w:rsidRPr="00FD4F09">
        <w:rPr>
          <w:rFonts w:cs="Arial"/>
        </w:rPr>
        <w:t>En cuanto al RFC de las personas físicas constituye un dato personal, ya que para su obtención es necesario acreditar ante la autoridad fiscal previamente la identidad de la persona, su fecha de nacimiento, entre otros aspectos.</w:t>
      </w:r>
    </w:p>
    <w:p w14:paraId="68C94D75" w14:textId="77777777" w:rsidR="00AF544C" w:rsidRPr="00FD4F09" w:rsidRDefault="00AF544C" w:rsidP="00FD4F09">
      <w:pPr>
        <w:autoSpaceDE w:val="0"/>
        <w:autoSpaceDN w:val="0"/>
        <w:adjustRightInd w:val="0"/>
        <w:ind w:right="-91"/>
        <w:rPr>
          <w:rFonts w:cs="Arial"/>
        </w:rPr>
      </w:pPr>
    </w:p>
    <w:p w14:paraId="0DAD7EA3" w14:textId="77777777" w:rsidR="00AF544C" w:rsidRPr="00FD4F09" w:rsidRDefault="00AF544C" w:rsidP="00FD4F09">
      <w:pPr>
        <w:ind w:right="-91"/>
        <w:rPr>
          <w:rFonts w:cs="Arial"/>
        </w:rPr>
      </w:pPr>
      <w:r w:rsidRPr="00FD4F09">
        <w:rPr>
          <w:rFonts w:cs="Arial"/>
        </w:rPr>
        <w:t>Ahora bien, las personas físicas tramitan su inscripción en el registro con el propósito de realizar —mediante esa clave de identificación— operaciones o actividades de naturaleza fiscal, la cual, les permite hacer identificable respecto de una situación fiscal determinada.</w:t>
      </w:r>
    </w:p>
    <w:p w14:paraId="53DFF3BA" w14:textId="77777777" w:rsidR="00AF544C" w:rsidRPr="00FD4F09" w:rsidRDefault="00AF544C" w:rsidP="00FD4F09">
      <w:pPr>
        <w:ind w:right="-91"/>
        <w:rPr>
          <w:rFonts w:cs="Arial"/>
        </w:rPr>
      </w:pPr>
    </w:p>
    <w:p w14:paraId="51960F78" w14:textId="77777777" w:rsidR="00AF544C" w:rsidRPr="00FD4F09" w:rsidRDefault="00AF544C" w:rsidP="00FD4F09">
      <w:pPr>
        <w:ind w:right="-91"/>
        <w:rPr>
          <w:rFonts w:cs="Arial"/>
        </w:rPr>
      </w:pPr>
      <w:r w:rsidRPr="00FD4F09">
        <w:rPr>
          <w:rFonts w:cs="Arial"/>
        </w:rPr>
        <w:t xml:space="preserve">Lo anterior es compartido por el ahora </w:t>
      </w:r>
      <w:r w:rsidRPr="00FD4F09">
        <w:rPr>
          <w:rFonts w:cs="Arial"/>
          <w:b/>
          <w:bCs/>
        </w:rPr>
        <w:t>Instituto Nacional de Transparencia, Acceso a la Información y Protección de Datos Personales</w:t>
      </w:r>
      <w:r w:rsidRPr="00FD4F09">
        <w:rPr>
          <w:rFonts w:cs="Arial"/>
        </w:rPr>
        <w:t xml:space="preserve"> (INAI), conforme al criterio </w:t>
      </w:r>
      <w:r w:rsidRPr="00FD4F09">
        <w:rPr>
          <w:rFonts w:cs="Arial"/>
          <w:b/>
        </w:rPr>
        <w:t>19/17,</w:t>
      </w:r>
      <w:r w:rsidRPr="00FD4F09">
        <w:rPr>
          <w:rFonts w:cs="Arial"/>
        </w:rPr>
        <w:t xml:space="preserve"> el cual es del tenor literal siguiente:</w:t>
      </w:r>
    </w:p>
    <w:p w14:paraId="04DC53D3" w14:textId="77777777" w:rsidR="00AF544C" w:rsidRPr="00FD4F09" w:rsidRDefault="00AF544C" w:rsidP="00FD4F09">
      <w:pPr>
        <w:ind w:right="-91"/>
        <w:rPr>
          <w:rFonts w:cs="Arial"/>
        </w:rPr>
      </w:pPr>
    </w:p>
    <w:p w14:paraId="13888857" w14:textId="77777777" w:rsidR="00AF544C" w:rsidRPr="00FD4F09" w:rsidRDefault="00AF544C" w:rsidP="00FD4F09">
      <w:pPr>
        <w:autoSpaceDE w:val="0"/>
        <w:autoSpaceDN w:val="0"/>
        <w:adjustRightInd w:val="0"/>
        <w:ind w:left="851" w:right="899"/>
        <w:jc w:val="center"/>
        <w:rPr>
          <w:rFonts w:cs="Arial"/>
          <w:b/>
          <w:bCs/>
          <w:i/>
        </w:rPr>
      </w:pPr>
      <w:r w:rsidRPr="00FD4F09">
        <w:rPr>
          <w:rFonts w:cs="Arial"/>
          <w:bCs/>
          <w:i/>
        </w:rPr>
        <w:t>“</w:t>
      </w:r>
      <w:r w:rsidRPr="00FD4F09">
        <w:rPr>
          <w:rFonts w:cs="Arial"/>
          <w:b/>
          <w:bCs/>
          <w:i/>
        </w:rPr>
        <w:t>REGISTRO FEDERAL DE CONTRIBUYENTES (RFC) DE PERSONAS FÍSICAS.</w:t>
      </w:r>
    </w:p>
    <w:p w14:paraId="77E33E67" w14:textId="77777777" w:rsidR="00AF544C" w:rsidRPr="00FD4F09" w:rsidRDefault="00AF544C" w:rsidP="00FD4F09">
      <w:pPr>
        <w:autoSpaceDE w:val="0"/>
        <w:autoSpaceDN w:val="0"/>
        <w:adjustRightInd w:val="0"/>
        <w:ind w:left="851" w:right="899"/>
        <w:rPr>
          <w:rFonts w:cs="Arial"/>
          <w:bCs/>
          <w:i/>
        </w:rPr>
      </w:pPr>
      <w:r w:rsidRPr="00FD4F09">
        <w:rPr>
          <w:rFonts w:cs="Arial"/>
          <w:bCs/>
          <w:i/>
        </w:rPr>
        <w:lastRenderedPageBreak/>
        <w:t>El RFC es una clave de carácter fiscal, única e irrepetible, que permite identificar al titular, su edad y fecha de nacimiento, por lo que es un dato personal de carácter confidencial.”</w:t>
      </w:r>
      <w:r w:rsidRPr="00FD4F09">
        <w:rPr>
          <w:rStyle w:val="Refdenotaalpie"/>
          <w:rFonts w:eastAsiaTheme="majorEastAsia" w:cs="Arial"/>
          <w:bCs/>
          <w:i/>
        </w:rPr>
        <w:footnoteReference w:id="2"/>
      </w:r>
    </w:p>
    <w:p w14:paraId="63DDFC96" w14:textId="77777777" w:rsidR="00AF544C" w:rsidRPr="00FD4F09" w:rsidRDefault="00AF544C" w:rsidP="00FD4F09">
      <w:pPr>
        <w:autoSpaceDE w:val="0"/>
        <w:autoSpaceDN w:val="0"/>
        <w:adjustRightInd w:val="0"/>
        <w:ind w:left="567" w:right="850"/>
        <w:rPr>
          <w:rFonts w:cs="Arial"/>
          <w:i/>
        </w:rPr>
      </w:pPr>
    </w:p>
    <w:p w14:paraId="562FFA68" w14:textId="77777777" w:rsidR="00AF544C" w:rsidRPr="00FD4F09" w:rsidRDefault="00AF544C" w:rsidP="00FD4F09">
      <w:pPr>
        <w:rPr>
          <w:rFonts w:cs="Arial"/>
        </w:rPr>
      </w:pPr>
      <w:r w:rsidRPr="00FD4F09">
        <w:rPr>
          <w:rFonts w:cs="Arial"/>
        </w:rPr>
        <w:t xml:space="preserve">Así, el RFC se vincula al nombre de su titular, permite identificar la edad de la persona, su fecha de nacimiento, así como su </w:t>
      </w:r>
      <w:proofErr w:type="spellStart"/>
      <w:r w:rsidRPr="00FD4F09">
        <w:rPr>
          <w:rFonts w:cs="Arial"/>
        </w:rPr>
        <w:t>homoclave</w:t>
      </w:r>
      <w:proofErr w:type="spellEnd"/>
      <w:r w:rsidRPr="00FD4F09">
        <w:rPr>
          <w:rFonts w:cs="Arial"/>
        </w:rPr>
        <w:t>, la cual es única e irrepetible y determina justamente la identificación de dicha persona para efectos fiscales, por lo éste constituye un dato personal que concierne a una persona física identificada e identificable.</w:t>
      </w:r>
    </w:p>
    <w:p w14:paraId="09A6418D" w14:textId="77777777" w:rsidR="00AF544C" w:rsidRPr="00FD4F09" w:rsidRDefault="00AF544C" w:rsidP="00FD4F09">
      <w:pPr>
        <w:rPr>
          <w:rFonts w:cs="Arial"/>
        </w:rPr>
      </w:pPr>
    </w:p>
    <w:p w14:paraId="4A2D6290" w14:textId="77777777" w:rsidR="00AF544C" w:rsidRPr="00FD4F09" w:rsidRDefault="00AF544C" w:rsidP="00FD4F09">
      <w:pPr>
        <w:rPr>
          <w:rFonts w:cs="Arial"/>
        </w:rPr>
      </w:pPr>
      <w:r w:rsidRPr="00FD4F09">
        <w:rPr>
          <w:rFonts w:cs="Arial"/>
        </w:rPr>
        <w:t xml:space="preserve">No obstante, el RFC tratándose de proveedores o contratistas encuadra dentro de las fronteras conceptuales del interés general y el alcance público, al tratarse de un elemento que, en el caso en particular abona a la transparencia y rendición de cuentas. </w:t>
      </w:r>
    </w:p>
    <w:p w14:paraId="4A2B0BD3" w14:textId="77777777" w:rsidR="00AF544C" w:rsidRPr="00FD4F09" w:rsidRDefault="00AF544C" w:rsidP="00FD4F09">
      <w:pPr>
        <w:rPr>
          <w:rFonts w:cs="Arial"/>
        </w:rPr>
      </w:pPr>
    </w:p>
    <w:p w14:paraId="70716B80" w14:textId="77777777" w:rsidR="00AF544C" w:rsidRPr="00FD4F09" w:rsidRDefault="00AF544C" w:rsidP="00FD4F09">
      <w:pPr>
        <w:rPr>
          <w:rFonts w:cs="Arial"/>
        </w:rPr>
      </w:pPr>
      <w:r w:rsidRPr="00FD4F09">
        <w:rPr>
          <w:rFonts w:cs="Arial"/>
        </w:rPr>
        <w:t xml:space="preserve">Robustece lo anterior, el criterio </w:t>
      </w:r>
      <w:r w:rsidRPr="00FD4F09">
        <w:rPr>
          <w:rFonts w:cs="Arial"/>
          <w:b/>
          <w:bCs/>
        </w:rPr>
        <w:t xml:space="preserve">04/21 </w:t>
      </w:r>
      <w:r w:rsidRPr="00FD4F09">
        <w:rPr>
          <w:rFonts w:cs="Arial"/>
        </w:rPr>
        <w:t xml:space="preserve">emitido por el Órgano Garante Nacional, cuyo rubro y texto disponen a la literalidad lo siguiente: </w:t>
      </w:r>
    </w:p>
    <w:p w14:paraId="4A360323" w14:textId="77777777" w:rsidR="00AF544C" w:rsidRPr="00FD4F09" w:rsidRDefault="00AF544C" w:rsidP="00FD4F09">
      <w:pPr>
        <w:rPr>
          <w:rFonts w:cs="Arial"/>
        </w:rPr>
      </w:pPr>
    </w:p>
    <w:p w14:paraId="15233673" w14:textId="77777777" w:rsidR="00AF544C" w:rsidRPr="00FD4F09" w:rsidRDefault="00AF544C" w:rsidP="00FD4F09">
      <w:pPr>
        <w:pStyle w:val="Citas"/>
        <w:spacing w:before="0" w:after="0" w:line="240" w:lineRule="auto"/>
        <w:ind w:right="899"/>
        <w:rPr>
          <w:b/>
        </w:rPr>
      </w:pPr>
      <w:r w:rsidRPr="00FD4F09">
        <w:rPr>
          <w:b/>
        </w:rPr>
        <w:t xml:space="preserve">“REGISTRO FEDERAL DE CONTRIBUYENTES (RFC) DE PERSONAS FÍSICAS PROVEEDORES O CONTRATISTAS. </w:t>
      </w:r>
    </w:p>
    <w:p w14:paraId="02ECA05D" w14:textId="77777777" w:rsidR="00AF544C" w:rsidRPr="00FD4F09" w:rsidRDefault="00AF544C" w:rsidP="00FD4F09">
      <w:pPr>
        <w:pStyle w:val="Citas"/>
        <w:spacing w:before="0" w:after="0" w:line="240" w:lineRule="auto"/>
        <w:ind w:right="899"/>
      </w:pPr>
      <w:r w:rsidRPr="00FD4F09">
        <w:t>El RFC de contratistas o proveedores de sujetos obligados debe ser público, ya que al tratarse de personas relacionadas con contrataciones públicas, su difusión favorece la transparencia con la que deben administrarse los recursos públicos, en términos del artículo 134 de la Constitución Política de los Estados Unidos Mexicanos.”</w:t>
      </w:r>
      <w:r w:rsidRPr="00FD4F09">
        <w:rPr>
          <w:rStyle w:val="Refdenotaalpie"/>
        </w:rPr>
        <w:footnoteReference w:id="3"/>
      </w:r>
      <w:r w:rsidRPr="00FD4F09">
        <w:t xml:space="preserve"> </w:t>
      </w:r>
    </w:p>
    <w:p w14:paraId="4AD0C74F" w14:textId="77777777" w:rsidR="00AF544C" w:rsidRPr="00FD4F09" w:rsidRDefault="00AF544C" w:rsidP="00FD4F09">
      <w:pPr>
        <w:pStyle w:val="Citas"/>
        <w:spacing w:before="0" w:after="0" w:line="240" w:lineRule="auto"/>
      </w:pPr>
    </w:p>
    <w:p w14:paraId="467AEC08" w14:textId="77777777" w:rsidR="00AF544C" w:rsidRPr="00FD4F09" w:rsidRDefault="00AF544C" w:rsidP="00FD4F09">
      <w:pPr>
        <w:rPr>
          <w:rFonts w:eastAsia="Calibri" w:cs="Arial"/>
        </w:rPr>
      </w:pPr>
      <w:r w:rsidRPr="00FD4F09">
        <w:rPr>
          <w:rFonts w:cs="Arial"/>
        </w:rPr>
        <w:t xml:space="preserve">En cuanto a la Clave Única de Registro de Población (CURP), se </w:t>
      </w:r>
      <w:r w:rsidRPr="00FD4F09">
        <w:rPr>
          <w:rFonts w:eastAsia="Calibri" w:cs="Arial"/>
        </w:rPr>
        <w:t>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74BDC093" w14:textId="77777777" w:rsidR="00AF544C" w:rsidRPr="00FD4F09" w:rsidRDefault="00AF544C" w:rsidP="00FD4F09">
      <w:pPr>
        <w:rPr>
          <w:rFonts w:eastAsia="Calibri" w:cs="Arial"/>
        </w:rPr>
      </w:pPr>
    </w:p>
    <w:p w14:paraId="2E91C728" w14:textId="77777777" w:rsidR="00AF544C" w:rsidRPr="00FD4F09" w:rsidRDefault="00AF544C" w:rsidP="00FD4F09">
      <w:pPr>
        <w:ind w:right="-91"/>
        <w:rPr>
          <w:rFonts w:eastAsia="Palatino Linotype" w:cs="Arial"/>
        </w:rPr>
      </w:pPr>
      <w:r w:rsidRPr="00FD4F09">
        <w:rPr>
          <w:rFonts w:cs="Arial"/>
        </w:rPr>
        <w:t xml:space="preserve">Argumento que es compartido por el </w:t>
      </w:r>
      <w:r w:rsidRPr="00FD4F09">
        <w:rPr>
          <w:rStyle w:val="Textoennegrita"/>
          <w:rFonts w:eastAsiaTheme="majorEastAsia" w:cs="Arial"/>
        </w:rPr>
        <w:t xml:space="preserve">Instituto Nacional de Transparencia, Acceso a la Información y Protección de Datos Personales, conforme al </w:t>
      </w:r>
      <w:r w:rsidRPr="00FD4F09">
        <w:rPr>
          <w:rFonts w:cs="Arial"/>
        </w:rPr>
        <w:t xml:space="preserve">criterio número 18/17 el cual refiere: </w:t>
      </w:r>
    </w:p>
    <w:p w14:paraId="299217D5" w14:textId="77777777" w:rsidR="00AF544C" w:rsidRPr="00FD4F09" w:rsidRDefault="00AF544C" w:rsidP="00FD4F09">
      <w:pPr>
        <w:ind w:right="-91"/>
        <w:rPr>
          <w:rFonts w:cs="Arial"/>
        </w:rPr>
      </w:pPr>
    </w:p>
    <w:p w14:paraId="64A91919" w14:textId="77777777" w:rsidR="00AF544C" w:rsidRPr="00FD4F09" w:rsidRDefault="00AF544C" w:rsidP="00FD4F09">
      <w:pPr>
        <w:autoSpaceDE w:val="0"/>
        <w:autoSpaceDN w:val="0"/>
        <w:adjustRightInd w:val="0"/>
        <w:ind w:left="567" w:right="539"/>
        <w:jc w:val="center"/>
        <w:rPr>
          <w:rFonts w:cs="Arial"/>
          <w:b/>
          <w:bCs/>
          <w:i/>
        </w:rPr>
      </w:pPr>
      <w:r w:rsidRPr="00FD4F09">
        <w:rPr>
          <w:rFonts w:cs="Arial"/>
          <w:bCs/>
          <w:i/>
        </w:rPr>
        <w:t>“</w:t>
      </w:r>
      <w:r w:rsidRPr="00FD4F09">
        <w:rPr>
          <w:rFonts w:cs="Arial"/>
          <w:b/>
          <w:bCs/>
          <w:i/>
        </w:rPr>
        <w:t>CLAVE ÚNICA DE REGISTRO DE POBLACIÓN (CURP).</w:t>
      </w:r>
    </w:p>
    <w:p w14:paraId="4634C24D" w14:textId="77777777" w:rsidR="00AF544C" w:rsidRPr="00FD4F09" w:rsidRDefault="00AF544C" w:rsidP="00FD4F09">
      <w:pPr>
        <w:autoSpaceDE w:val="0"/>
        <w:autoSpaceDN w:val="0"/>
        <w:adjustRightInd w:val="0"/>
        <w:ind w:left="567" w:right="539"/>
        <w:rPr>
          <w:rFonts w:cs="Arial"/>
        </w:rPr>
      </w:pPr>
      <w:r w:rsidRPr="00FD4F09">
        <w:rPr>
          <w:rFonts w:cs="Arial"/>
          <w:bCs/>
          <w:i/>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r w:rsidRPr="00FD4F09">
        <w:rPr>
          <w:rStyle w:val="Refdenotaalpie"/>
          <w:rFonts w:eastAsiaTheme="majorEastAsia" w:cs="Arial"/>
          <w:bCs/>
          <w:i/>
        </w:rPr>
        <w:footnoteReference w:id="4"/>
      </w:r>
      <w:r w:rsidRPr="00FD4F09">
        <w:rPr>
          <w:rFonts w:cs="Arial"/>
          <w:bCs/>
          <w:i/>
        </w:rPr>
        <w:t xml:space="preserve">. </w:t>
      </w:r>
      <w:r w:rsidRPr="00FD4F09">
        <w:rPr>
          <w:rFonts w:cs="Arial"/>
          <w:i/>
        </w:rPr>
        <w:t xml:space="preserve"> </w:t>
      </w:r>
    </w:p>
    <w:p w14:paraId="710EE53A" w14:textId="77777777" w:rsidR="00AF544C" w:rsidRPr="00FD4F09" w:rsidRDefault="00AF544C" w:rsidP="00FD4F09">
      <w:pPr>
        <w:ind w:right="51"/>
        <w:rPr>
          <w:rFonts w:cs="Arial"/>
        </w:rPr>
      </w:pPr>
    </w:p>
    <w:p w14:paraId="637CD96E" w14:textId="77777777" w:rsidR="00AF544C" w:rsidRPr="00FD4F09" w:rsidRDefault="00AF544C" w:rsidP="00FD4F09">
      <w:pPr>
        <w:ind w:right="51"/>
        <w:rPr>
          <w:rFonts w:cs="Arial"/>
        </w:rPr>
      </w:pPr>
      <w:r w:rsidRPr="00FD4F09">
        <w:rPr>
          <w:rFonts w:cs="Arial"/>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local, así como los numerales aplicables de los </w:t>
      </w:r>
      <w:r w:rsidRPr="00FD4F09">
        <w:rPr>
          <w:rFonts w:cs="Arial"/>
          <w:b/>
        </w:rPr>
        <w:t>Lineamientos Generales en Materia de Clasificación y Desclasificación de la Información, así como para la Elaboración de Versiones Públicas,</w:t>
      </w:r>
      <w:r w:rsidRPr="00FD4F09">
        <w:rPr>
          <w:rFonts w:cs="Arial"/>
        </w:rPr>
        <w:t xml:space="preserve"> publicados en el Diario Oficial de la Federación en fecha quince de abril de dos mil dieciséis, mediante Acuerdo del Consejo Nacional del Sistema Nacional de Transparencia, Acceso a la Información Pública y Protección de Datos Personales</w:t>
      </w:r>
      <w:r w:rsidRPr="00FD4F09">
        <w:rPr>
          <w:rFonts w:cs="Arial"/>
          <w:vertAlign w:val="superscript"/>
        </w:rPr>
        <w:footnoteReference w:id="5"/>
      </w:r>
      <w:r w:rsidRPr="00FD4F09">
        <w:rPr>
          <w:rFonts w:cs="Arial"/>
        </w:rPr>
        <w:t xml:space="preserve">. </w:t>
      </w:r>
    </w:p>
    <w:p w14:paraId="47AE3870" w14:textId="77777777" w:rsidR="00AF544C" w:rsidRPr="00FD4F09" w:rsidRDefault="00AF544C" w:rsidP="00FD4F09">
      <w:pPr>
        <w:rPr>
          <w:rFonts w:cs="Palatino Linotype"/>
          <w:b/>
        </w:rPr>
      </w:pPr>
    </w:p>
    <w:p w14:paraId="01B7F49C" w14:textId="77777777" w:rsidR="00AF544C" w:rsidRPr="00FD4F09" w:rsidRDefault="00AF544C" w:rsidP="00FD4F09">
      <w:pPr>
        <w:rPr>
          <w:rFonts w:eastAsia="Calibri" w:cs="Tahoma"/>
          <w:b/>
          <w:bCs/>
          <w:lang w:eastAsia="en-US"/>
        </w:rPr>
      </w:pPr>
      <w:r w:rsidRPr="00FD4F09">
        <w:rPr>
          <w:rFonts w:eastAsia="Calibri" w:cs="Tahoma"/>
          <w:bCs/>
          <w:lang w:eastAsia="en-US"/>
        </w:rPr>
        <w:t xml:space="preserve">El  </w:t>
      </w:r>
      <w:r w:rsidRPr="00FD4F09">
        <w:rPr>
          <w:rFonts w:eastAsia="Calibri" w:cs="Tahoma"/>
          <w:b/>
          <w:bCs/>
          <w:lang w:eastAsia="en-US"/>
        </w:rPr>
        <w:t>Nombres de personas que no son servidores públicos</w:t>
      </w:r>
      <w:r w:rsidRPr="00FD4F09">
        <w:rPr>
          <w:rFonts w:eastAsia="Calibri" w:cs="Tahoma"/>
          <w:bCs/>
          <w:lang w:eastAsia="en-US"/>
        </w:rPr>
        <w:t xml:space="preserve">, al respecto, se considera que el nombre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FD4F09">
        <w:rPr>
          <w:rFonts w:eastAsia="Calibri" w:cs="Tahoma"/>
          <w:bCs/>
          <w:i/>
          <w:lang w:eastAsia="en-US"/>
        </w:rPr>
        <w:t>per se</w:t>
      </w:r>
      <w:r w:rsidRPr="00FD4F09">
        <w:rPr>
          <w:rFonts w:eastAsia="Calibri" w:cs="Tahoma"/>
          <w:bCs/>
          <w:lang w:eastAsia="en-US"/>
        </w:rPr>
        <w:t xml:space="preserve"> es un elemento que hace a una persona física identificada o identificable, por lo que, </w:t>
      </w:r>
      <w:r w:rsidRPr="00FD4F09">
        <w:rPr>
          <w:rFonts w:eastAsia="Calibri" w:cs="Tahoma"/>
          <w:b/>
          <w:bCs/>
          <w:lang w:eastAsia="en-US"/>
        </w:rPr>
        <w:t>se considera un dato personal.</w:t>
      </w:r>
    </w:p>
    <w:p w14:paraId="092FC8EF" w14:textId="77777777" w:rsidR="00AF544C" w:rsidRPr="00FD4F09" w:rsidRDefault="00AF544C" w:rsidP="00FD4F09">
      <w:pPr>
        <w:rPr>
          <w:rFonts w:eastAsia="Calibri" w:cs="Tahoma"/>
          <w:b/>
          <w:bCs/>
          <w:lang w:eastAsia="en-US"/>
        </w:rPr>
      </w:pPr>
    </w:p>
    <w:p w14:paraId="093C3E83" w14:textId="77777777" w:rsidR="00AF544C" w:rsidRPr="00FD4F09" w:rsidRDefault="00AF544C" w:rsidP="00FD4F09">
      <w:pPr>
        <w:rPr>
          <w:rFonts w:eastAsia="Calibri" w:cs="Tahoma"/>
          <w:bCs/>
          <w:lang w:val="es-ES" w:eastAsia="en-US"/>
        </w:rPr>
      </w:pPr>
      <w:r w:rsidRPr="00FD4F09">
        <w:rPr>
          <w:rFonts w:eastAsia="Calibri" w:cs="Tahoma"/>
          <w:bCs/>
          <w:lang w:eastAsia="en-US"/>
        </w:rPr>
        <w:t>Con base en lo anterior, procede su eliminación de las versiones públicas, pues</w:t>
      </w:r>
      <w:r w:rsidRPr="00FD4F09">
        <w:rPr>
          <w:rFonts w:eastAsia="Calibri" w:cs="Tahoma"/>
          <w:bCs/>
          <w:lang w:val="es-ES" w:eastAsia="en-US"/>
        </w:rPr>
        <w:t xml:space="preserve"> se considera un dato personal en términos del artículo 143, fracción I de la Ley de Transparencia y Acceso a la Información Pública del Estado de México y Municipios.</w:t>
      </w:r>
    </w:p>
    <w:p w14:paraId="4B8BC038" w14:textId="77777777" w:rsidR="00AF544C" w:rsidRPr="00FD4F09" w:rsidRDefault="00AF544C" w:rsidP="00FD4F09">
      <w:pPr>
        <w:rPr>
          <w:szCs w:val="22"/>
        </w:rPr>
      </w:pPr>
    </w:p>
    <w:p w14:paraId="2B34ACBE" w14:textId="223AF9BE" w:rsidR="00F201D7" w:rsidRPr="00FD4F09" w:rsidRDefault="00F201D7" w:rsidP="00FD4F09">
      <w:pPr>
        <w:rPr>
          <w:szCs w:val="22"/>
        </w:rPr>
      </w:pPr>
      <w:r w:rsidRPr="00FD4F09">
        <w:rPr>
          <w:szCs w:val="22"/>
        </w:rPr>
        <w:t>E</w:t>
      </w:r>
      <w:r w:rsidR="00AF544C" w:rsidRPr="00FD4F09">
        <w:rPr>
          <w:szCs w:val="22"/>
        </w:rPr>
        <w:t>l caso de la fotografía, e</w:t>
      </w:r>
      <w:r w:rsidRPr="00FD4F09">
        <w:rPr>
          <w:szCs w:val="22"/>
        </w:rPr>
        <w:t>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15DB899D" w14:textId="77777777" w:rsidR="00AF544C" w:rsidRPr="00FD4F09" w:rsidRDefault="00AF544C" w:rsidP="00FD4F09">
      <w:pPr>
        <w:rPr>
          <w:szCs w:val="22"/>
        </w:rPr>
      </w:pPr>
    </w:p>
    <w:p w14:paraId="1ED3B23E" w14:textId="35EE6669" w:rsidR="00F201D7" w:rsidRPr="00FD4F09" w:rsidRDefault="00F201D7" w:rsidP="00FD4F09">
      <w:pPr>
        <w:rPr>
          <w:szCs w:val="22"/>
        </w:rPr>
      </w:pPr>
      <w:r w:rsidRPr="00FD4F09">
        <w:rPr>
          <w:szCs w:val="22"/>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6B7F3D55" w14:textId="77777777" w:rsidR="00AF544C" w:rsidRPr="00FD4F09" w:rsidRDefault="00AF544C" w:rsidP="00FD4F09">
      <w:pPr>
        <w:rPr>
          <w:szCs w:val="22"/>
        </w:rPr>
      </w:pPr>
    </w:p>
    <w:p w14:paraId="3A69B75C" w14:textId="2F86302C" w:rsidR="00F201D7" w:rsidRPr="00FD4F09" w:rsidRDefault="00F201D7" w:rsidP="00FD4F09">
      <w:pPr>
        <w:rPr>
          <w:szCs w:val="22"/>
        </w:rPr>
      </w:pPr>
      <w:r w:rsidRPr="00FD4F09">
        <w:rPr>
          <w:szCs w:val="22"/>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49F2D90E" w14:textId="77777777" w:rsidR="00AF544C" w:rsidRPr="00FD4F09" w:rsidRDefault="00AF544C" w:rsidP="00FD4F09">
      <w:pPr>
        <w:rPr>
          <w:szCs w:val="22"/>
        </w:rPr>
      </w:pPr>
    </w:p>
    <w:p w14:paraId="04AC1F2A" w14:textId="1C2B9BC6" w:rsidR="00F201D7" w:rsidRPr="00FD4F09" w:rsidRDefault="00F201D7" w:rsidP="00FD4F09">
      <w:pPr>
        <w:rPr>
          <w:szCs w:val="22"/>
        </w:rPr>
      </w:pPr>
      <w:r w:rsidRPr="00FD4F09">
        <w:rPr>
          <w:szCs w:val="22"/>
        </w:rPr>
        <w:lastRenderedPageBreak/>
        <w:t>En este sentido, resultan aplicables por analogía, los Criterios SO/015/2017 y SO/001/2013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5003C4E2" w14:textId="77777777" w:rsidR="00AF544C" w:rsidRPr="00FD4F09" w:rsidRDefault="00AF544C" w:rsidP="00FD4F09">
      <w:pPr>
        <w:rPr>
          <w:szCs w:val="22"/>
        </w:rPr>
      </w:pPr>
    </w:p>
    <w:p w14:paraId="5A344075" w14:textId="77777777" w:rsidR="00F201D7" w:rsidRPr="00FD4F09" w:rsidRDefault="00F201D7" w:rsidP="00FD4F09">
      <w:pPr>
        <w:rPr>
          <w:szCs w:val="22"/>
        </w:rPr>
      </w:pPr>
      <w:r w:rsidRPr="00FD4F09">
        <w:rPr>
          <w:szCs w:val="22"/>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14:paraId="3AA170FB" w14:textId="77777777" w:rsidR="00F201D7" w:rsidRPr="00FD4F09" w:rsidRDefault="00F201D7" w:rsidP="00FD4F09">
      <w:pPr>
        <w:rPr>
          <w:szCs w:val="22"/>
        </w:rPr>
      </w:pPr>
    </w:p>
    <w:p w14:paraId="2199BD2B" w14:textId="5B006EA4" w:rsidR="00F201D7" w:rsidRPr="00FD4F09" w:rsidRDefault="00F201D7" w:rsidP="00FD4F09">
      <w:pPr>
        <w:rPr>
          <w:szCs w:val="22"/>
        </w:rPr>
      </w:pPr>
      <w:r w:rsidRPr="00FD4F09">
        <w:rPr>
          <w:szCs w:val="22"/>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21FAED58" w14:textId="77777777" w:rsidR="00F201D7" w:rsidRPr="00FD4F09" w:rsidRDefault="00F201D7" w:rsidP="00FD4F09">
      <w:pPr>
        <w:rPr>
          <w:szCs w:val="22"/>
        </w:rPr>
      </w:pPr>
    </w:p>
    <w:p w14:paraId="327010D3" w14:textId="5E781A22" w:rsidR="00F201D7" w:rsidRPr="00FD4F09" w:rsidRDefault="00F201D7" w:rsidP="00FD4F09">
      <w:pPr>
        <w:rPr>
          <w:szCs w:val="22"/>
        </w:rPr>
      </w:pPr>
      <w:r w:rsidRPr="00FD4F09">
        <w:rPr>
          <w:szCs w:val="22"/>
        </w:rPr>
        <w:lastRenderedPageBreak/>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14:paraId="408F7919" w14:textId="77777777" w:rsidR="00F201D7" w:rsidRPr="00FD4F09" w:rsidRDefault="00F201D7" w:rsidP="00FD4F09">
      <w:pPr>
        <w:rPr>
          <w:szCs w:val="22"/>
        </w:rPr>
      </w:pPr>
    </w:p>
    <w:p w14:paraId="3C2191CF" w14:textId="10424FEA" w:rsidR="00F201D7" w:rsidRPr="00FD4F09" w:rsidRDefault="00F201D7" w:rsidP="00FD4F09">
      <w:pPr>
        <w:rPr>
          <w:szCs w:val="22"/>
        </w:rPr>
      </w:pPr>
      <w:r w:rsidRPr="00FD4F09">
        <w:rPr>
          <w:szCs w:val="22"/>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397B69C3" w14:textId="4E952CAA" w:rsidR="009A6453" w:rsidRPr="00FD4F09" w:rsidRDefault="009A6453" w:rsidP="00FD4F09">
      <w:pPr>
        <w:rPr>
          <w:szCs w:val="22"/>
        </w:rPr>
      </w:pPr>
    </w:p>
    <w:p w14:paraId="6CD05AC4" w14:textId="27BA992A" w:rsidR="00BD5A7C" w:rsidRPr="00FD4F09" w:rsidRDefault="001E0ACD" w:rsidP="00FD4F09">
      <w:pPr>
        <w:pStyle w:val="Ttulo3"/>
        <w:rPr>
          <w:szCs w:val="22"/>
        </w:rPr>
      </w:pPr>
      <w:bookmarkStart w:id="30" w:name="_Toc165304079"/>
      <w:bookmarkStart w:id="31" w:name="_Toc178879277"/>
      <w:r w:rsidRPr="00FD4F09">
        <w:rPr>
          <w:rFonts w:eastAsia="Calibri"/>
          <w:szCs w:val="22"/>
        </w:rPr>
        <w:t>e</w:t>
      </w:r>
      <w:r w:rsidR="00335CDF" w:rsidRPr="00FD4F09">
        <w:rPr>
          <w:rFonts w:eastAsia="Calibri"/>
          <w:szCs w:val="22"/>
        </w:rPr>
        <w:t xml:space="preserve">) </w:t>
      </w:r>
      <w:bookmarkEnd w:id="30"/>
      <w:r w:rsidR="00BD5A7C" w:rsidRPr="00FD4F09">
        <w:rPr>
          <w:szCs w:val="22"/>
        </w:rPr>
        <w:t>Conclusión</w:t>
      </w:r>
      <w:bookmarkEnd w:id="31"/>
    </w:p>
    <w:p w14:paraId="7B4ED5B9" w14:textId="77777777" w:rsidR="00AE39F2" w:rsidRPr="00FD4F09" w:rsidRDefault="00AE39F2" w:rsidP="00FD4F09">
      <w:pPr>
        <w:widowControl w:val="0"/>
        <w:tabs>
          <w:tab w:val="left" w:pos="1701"/>
          <w:tab w:val="left" w:pos="1843"/>
        </w:tabs>
        <w:rPr>
          <w:rFonts w:eastAsia="Palatino Linotype" w:cs="Palatino Linotype"/>
        </w:rPr>
      </w:pPr>
      <w:r w:rsidRPr="00FD4F09">
        <w:rPr>
          <w:rFonts w:eastAsia="Palatino Linotype" w:cs="Palatino Linotype"/>
        </w:rPr>
        <w:t xml:space="preserve">En razón de lo anteriormente expuesto, este Instituto estima que las razones o motivos de inconformidad hechos valer por </w:t>
      </w:r>
      <w:r w:rsidRPr="00FD4F09">
        <w:rPr>
          <w:rFonts w:eastAsiaTheme="minorHAnsi" w:cs="Tahoma"/>
          <w:b/>
          <w:iCs/>
          <w:szCs w:val="22"/>
          <w:lang w:eastAsia="en-US"/>
        </w:rPr>
        <w:t>LA PARTE RECURRENTE</w:t>
      </w:r>
      <w:r w:rsidRPr="00FD4F09">
        <w:rPr>
          <w:rFonts w:eastAsiaTheme="minorHAnsi" w:cs="Tahoma"/>
          <w:bCs/>
          <w:iCs/>
          <w:szCs w:val="22"/>
          <w:lang w:eastAsia="en-US"/>
        </w:rPr>
        <w:t xml:space="preserve"> </w:t>
      </w:r>
      <w:r w:rsidRPr="00FD4F09">
        <w:rPr>
          <w:rFonts w:eastAsia="Palatino Linotype" w:cs="Palatino Linotype"/>
        </w:rPr>
        <w:t xml:space="preserve">devienen </w:t>
      </w:r>
      <w:r w:rsidRPr="00FD4F09">
        <w:rPr>
          <w:rFonts w:eastAsia="Palatino Linotype" w:cs="Palatino Linotype"/>
          <w:b/>
        </w:rPr>
        <w:t>fundadas</w:t>
      </w:r>
      <w:r w:rsidRPr="00FD4F09">
        <w:rPr>
          <w:rFonts w:eastAsia="Palatino Linotype" w:cs="Palatino Linotype"/>
        </w:rPr>
        <w:t xml:space="preserve"> y suficientes para </w:t>
      </w:r>
      <w:r w:rsidRPr="00FD4F09">
        <w:rPr>
          <w:rFonts w:eastAsia="Palatino Linotype" w:cs="Palatino Linotype"/>
          <w:b/>
        </w:rPr>
        <w:t>REVOCAR</w:t>
      </w:r>
      <w:r w:rsidRPr="00FD4F09">
        <w:rPr>
          <w:rFonts w:eastAsia="Palatino Linotype" w:cs="Palatino Linotype"/>
        </w:rPr>
        <w:t xml:space="preserve"> la respuesta del </w:t>
      </w:r>
      <w:r w:rsidRPr="00FD4F09">
        <w:rPr>
          <w:rFonts w:eastAsia="Palatino Linotype" w:cs="Palatino Linotype"/>
          <w:b/>
        </w:rPr>
        <w:t>SUJETO OBLIGADO</w:t>
      </w:r>
      <w:r w:rsidRPr="00FD4F09">
        <w:rPr>
          <w:rFonts w:eastAsia="Palatino Linotype" w:cs="Palatino Linotype"/>
        </w:rPr>
        <w:t xml:space="preserve"> y ordenarle haga entrega de la información materia de la solicitud.</w:t>
      </w:r>
    </w:p>
    <w:p w14:paraId="196B4CF4" w14:textId="77777777" w:rsidR="00C83FDB" w:rsidRPr="00FD4F09" w:rsidRDefault="00C83FDB" w:rsidP="00FD4F09">
      <w:pPr>
        <w:widowControl w:val="0"/>
        <w:tabs>
          <w:tab w:val="left" w:pos="1701"/>
          <w:tab w:val="left" w:pos="1843"/>
        </w:tabs>
        <w:rPr>
          <w:rFonts w:eastAsia="Palatino Linotype" w:cs="Palatino Linotype"/>
        </w:rPr>
      </w:pPr>
    </w:p>
    <w:p w14:paraId="2AC44E85" w14:textId="73AC3632" w:rsidR="00C83FDB" w:rsidRPr="00FD4F09" w:rsidRDefault="00C83FDB" w:rsidP="00FD4F09">
      <w:pPr>
        <w:widowControl w:val="0"/>
        <w:tabs>
          <w:tab w:val="left" w:pos="1701"/>
          <w:tab w:val="left" w:pos="1843"/>
        </w:tabs>
      </w:pPr>
      <w:r w:rsidRPr="00FD4F09">
        <w:rPr>
          <w:rFonts w:eastAsia="Palatino Linotype" w:cs="Palatino Linotype"/>
        </w:rPr>
        <w:t xml:space="preserve">Con la precisión, que por lo que concierne a los pedimentos relativos a las metas e indicadores programados para atender a la población LGBTTTIQ+ </w:t>
      </w:r>
      <w:r w:rsidR="007F46E3" w:rsidRPr="00FD4F09">
        <w:t xml:space="preserve">del 01 de enero al 06 de septiembre de 2024; </w:t>
      </w:r>
      <w:r w:rsidRPr="00FD4F09">
        <w:rPr>
          <w:rFonts w:eastAsia="Palatino Linotype" w:cs="Palatino Linotype"/>
        </w:rPr>
        <w:t xml:space="preserve">así como el número de personas LGBTTTIQ+ fueron atendidas, </w:t>
      </w:r>
      <w:r w:rsidR="007F46E3" w:rsidRPr="00FD4F09">
        <w:rPr>
          <w:rFonts w:eastAsia="Palatino Linotype" w:cs="Palatino Linotype"/>
        </w:rPr>
        <w:t xml:space="preserve">en el ejercicio 2023 y del 01 de enero al 06 de septiembre de 2024; </w:t>
      </w:r>
      <w:r w:rsidRPr="00FD4F09">
        <w:rPr>
          <w:rFonts w:eastAsia="Palatino Linotype" w:cs="Palatino Linotype"/>
        </w:rPr>
        <w:t xml:space="preserve">para el caso, </w:t>
      </w:r>
      <w:r w:rsidRPr="00FD4F09">
        <w:t xml:space="preserve">de que después de realizar la búsqueda de la información y no se localizará, por no haberse generado la información, bastará que </w:t>
      </w:r>
      <w:r w:rsidRPr="00FD4F09">
        <w:rPr>
          <w:b/>
        </w:rPr>
        <w:t xml:space="preserve">EL SUJETO OBLIGADO </w:t>
      </w:r>
      <w:r w:rsidRPr="00FD4F09">
        <w:t>lo haga del conocimiento del particular, para tener por colmado dichos requerimientos, atendiendo de manera supletoria a las formalidades que establece el artículo 19, párrafo segundo de la Ley de Transparencia y Acceso a la Información Pública del Estado de México y Municipios.</w:t>
      </w:r>
    </w:p>
    <w:p w14:paraId="5320C221" w14:textId="77777777" w:rsidR="00C83FDB" w:rsidRPr="00FD4F09" w:rsidRDefault="00C83FDB" w:rsidP="00FD4F09">
      <w:pPr>
        <w:widowControl w:val="0"/>
        <w:tabs>
          <w:tab w:val="left" w:pos="1701"/>
          <w:tab w:val="left" w:pos="1843"/>
        </w:tabs>
        <w:rPr>
          <w:rFonts w:eastAsia="Palatino Linotype" w:cs="Palatino Linotype"/>
        </w:rPr>
      </w:pPr>
    </w:p>
    <w:p w14:paraId="6C4C444E" w14:textId="16F1DC79" w:rsidR="00BD5A7C" w:rsidRPr="00FD4F09" w:rsidRDefault="00BD5A7C" w:rsidP="00FD4F09">
      <w:pPr>
        <w:ind w:right="-93"/>
        <w:rPr>
          <w:rFonts w:cs="Tahoma"/>
          <w:bCs/>
          <w:szCs w:val="22"/>
        </w:rPr>
      </w:pPr>
      <w:bookmarkStart w:id="32" w:name="_Hlk165381027"/>
      <w:r w:rsidRPr="00FD4F09">
        <w:rPr>
          <w:rFonts w:cs="Tahoma"/>
          <w:bCs/>
          <w:szCs w:val="22"/>
        </w:rPr>
        <w:lastRenderedPageBreak/>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2"/>
    <w:p w14:paraId="7C13D1A0" w14:textId="77777777" w:rsidR="00BD5A7C" w:rsidRPr="00FD4F09" w:rsidRDefault="00BD5A7C" w:rsidP="00FD4F09">
      <w:pPr>
        <w:rPr>
          <w:szCs w:val="22"/>
        </w:rPr>
      </w:pPr>
    </w:p>
    <w:p w14:paraId="5C396097" w14:textId="684A0E4F" w:rsidR="00664420" w:rsidRPr="00FD4F09" w:rsidRDefault="00664420" w:rsidP="00FD4F09">
      <w:pPr>
        <w:pStyle w:val="Ttulo1"/>
        <w:rPr>
          <w:szCs w:val="22"/>
        </w:rPr>
      </w:pPr>
      <w:bookmarkStart w:id="33" w:name="_Toc178879278"/>
      <w:r w:rsidRPr="00FD4F09">
        <w:rPr>
          <w:szCs w:val="22"/>
        </w:rPr>
        <w:t>RESUELVE</w:t>
      </w:r>
      <w:bookmarkEnd w:id="33"/>
    </w:p>
    <w:p w14:paraId="203B7093" w14:textId="77777777" w:rsidR="00664420" w:rsidRPr="00FD4F09" w:rsidRDefault="00664420" w:rsidP="00FD4F09">
      <w:pPr>
        <w:ind w:right="113"/>
        <w:rPr>
          <w:rFonts w:cs="Arial"/>
          <w:b/>
          <w:szCs w:val="22"/>
        </w:rPr>
      </w:pPr>
    </w:p>
    <w:p w14:paraId="68DFB650" w14:textId="0B1F222A" w:rsidR="008629A5" w:rsidRPr="00FD4F09" w:rsidRDefault="008629A5" w:rsidP="00FD4F09">
      <w:pPr>
        <w:widowControl w:val="0"/>
        <w:rPr>
          <w:rFonts w:eastAsia="Calibri" w:cs="Tahoma"/>
          <w:bCs/>
          <w:szCs w:val="22"/>
          <w:lang w:eastAsia="en-US"/>
        </w:rPr>
      </w:pPr>
      <w:r w:rsidRPr="00FD4F09">
        <w:rPr>
          <w:b/>
          <w:bCs/>
          <w:szCs w:val="22"/>
        </w:rPr>
        <w:t>PRIMERO.</w:t>
      </w:r>
      <w:r w:rsidRPr="00FD4F09">
        <w:rPr>
          <w:szCs w:val="22"/>
        </w:rPr>
        <w:t xml:space="preserve"> </w:t>
      </w:r>
      <w:r w:rsidRPr="00FD4F09">
        <w:rPr>
          <w:rFonts w:cs="Tahoma"/>
          <w:szCs w:val="22"/>
        </w:rPr>
        <w:t xml:space="preserve">Se </w:t>
      </w:r>
      <w:r w:rsidRPr="00FD4F09">
        <w:rPr>
          <w:rFonts w:cs="Tahoma"/>
          <w:b/>
          <w:bCs/>
          <w:szCs w:val="22"/>
        </w:rPr>
        <w:t>REVOCA</w:t>
      </w:r>
      <w:r w:rsidRPr="00FD4F09">
        <w:rPr>
          <w:rFonts w:cs="Tahoma"/>
          <w:szCs w:val="22"/>
        </w:rPr>
        <w:t xml:space="preserve"> la respuesta entregada por el </w:t>
      </w:r>
      <w:r w:rsidRPr="00FD4F09">
        <w:rPr>
          <w:rFonts w:cs="Tahoma"/>
          <w:b/>
          <w:bCs/>
          <w:szCs w:val="22"/>
        </w:rPr>
        <w:t>SUJETO OBLIGADO</w:t>
      </w:r>
      <w:r w:rsidRPr="00FD4F09">
        <w:rPr>
          <w:rFonts w:cs="Tahoma"/>
          <w:szCs w:val="22"/>
        </w:rPr>
        <w:t xml:space="preserve"> en la solicitud de información </w:t>
      </w:r>
      <w:r w:rsidR="00F94AB4" w:rsidRPr="00FD4F09">
        <w:rPr>
          <w:rFonts w:cs="Tahoma"/>
          <w:b/>
          <w:szCs w:val="22"/>
        </w:rPr>
        <w:t>00214/TEXCOCO/IP/2024</w:t>
      </w:r>
      <w:r w:rsidRPr="00FD4F09">
        <w:rPr>
          <w:rFonts w:cs="Tahoma"/>
          <w:bCs/>
          <w:szCs w:val="22"/>
        </w:rPr>
        <w:t xml:space="preserve">, </w:t>
      </w:r>
      <w:r w:rsidRPr="00FD4F09">
        <w:rPr>
          <w:rFonts w:eastAsia="Calibri" w:cs="Tahoma"/>
          <w:bCs/>
          <w:szCs w:val="22"/>
          <w:lang w:eastAsia="en-US"/>
        </w:rPr>
        <w:t xml:space="preserve">por resultar </w:t>
      </w:r>
      <w:r w:rsidRPr="00FD4F09">
        <w:rPr>
          <w:rFonts w:eastAsia="Calibri" w:cs="Tahoma"/>
          <w:b/>
          <w:bCs/>
          <w:szCs w:val="22"/>
          <w:lang w:eastAsia="en-US"/>
        </w:rPr>
        <w:t>FUNDADAS</w:t>
      </w:r>
      <w:r w:rsidRPr="00FD4F09">
        <w:rPr>
          <w:rFonts w:eastAsia="Calibri" w:cs="Tahoma"/>
          <w:bCs/>
          <w:szCs w:val="22"/>
          <w:lang w:eastAsia="en-US"/>
        </w:rPr>
        <w:t xml:space="preserve"> las razones o motivos de inconformidad hechos valer por </w:t>
      </w:r>
      <w:r w:rsidRPr="00FD4F09">
        <w:rPr>
          <w:rFonts w:eastAsia="Calibri" w:cs="Tahoma"/>
          <w:b/>
          <w:szCs w:val="22"/>
          <w:lang w:eastAsia="en-US"/>
        </w:rPr>
        <w:t>LA PARTE RECURRENTE</w:t>
      </w:r>
      <w:r w:rsidRPr="00FD4F09">
        <w:rPr>
          <w:rFonts w:eastAsia="Calibri" w:cs="Tahoma"/>
          <w:bCs/>
          <w:szCs w:val="22"/>
          <w:lang w:eastAsia="en-US"/>
        </w:rPr>
        <w:t xml:space="preserve"> en el Recurso de Revisión </w:t>
      </w:r>
      <w:r w:rsidR="00DA0C81" w:rsidRPr="00FD4F09">
        <w:rPr>
          <w:rFonts w:eastAsiaTheme="minorHAnsi" w:cstheme="minorBidi"/>
          <w:b/>
          <w:bCs/>
          <w:szCs w:val="22"/>
          <w:lang w:eastAsia="en-US"/>
        </w:rPr>
        <w:t>05567/INFOEM/IP/RR/2024</w:t>
      </w:r>
      <w:r w:rsidRPr="00FD4F09">
        <w:rPr>
          <w:rFonts w:eastAsiaTheme="minorHAnsi" w:cstheme="minorBidi"/>
          <w:szCs w:val="22"/>
          <w:lang w:eastAsia="en-US"/>
        </w:rPr>
        <w:t>,</w:t>
      </w:r>
      <w:r w:rsidRPr="00FD4F09">
        <w:rPr>
          <w:rFonts w:cs="Tahoma"/>
          <w:b/>
          <w:szCs w:val="22"/>
        </w:rPr>
        <w:t xml:space="preserve"> </w:t>
      </w:r>
      <w:r w:rsidRPr="00FD4F09">
        <w:rPr>
          <w:rFonts w:eastAsia="Calibri" w:cs="Tahoma"/>
          <w:bCs/>
          <w:szCs w:val="22"/>
          <w:lang w:eastAsia="en-US"/>
        </w:rPr>
        <w:t xml:space="preserve">en términos del considerando </w:t>
      </w:r>
      <w:r w:rsidRPr="00FD4F09">
        <w:rPr>
          <w:rFonts w:eastAsia="Calibri" w:cs="Tahoma"/>
          <w:b/>
          <w:szCs w:val="22"/>
          <w:lang w:eastAsia="en-US"/>
        </w:rPr>
        <w:t>SEGUNDO</w:t>
      </w:r>
      <w:r w:rsidRPr="00FD4F09">
        <w:rPr>
          <w:rFonts w:eastAsia="Calibri" w:cs="Tahoma"/>
          <w:bCs/>
          <w:szCs w:val="22"/>
          <w:lang w:eastAsia="en-US"/>
        </w:rPr>
        <w:t xml:space="preserve"> de la presente Resolución.</w:t>
      </w:r>
    </w:p>
    <w:p w14:paraId="6961F8DF" w14:textId="77777777" w:rsidR="008629A5" w:rsidRPr="00FD4F09" w:rsidRDefault="008629A5" w:rsidP="00FD4F09">
      <w:pPr>
        <w:widowControl w:val="0"/>
        <w:rPr>
          <w:rFonts w:eastAsia="Calibri" w:cs="Tahoma"/>
          <w:bCs/>
          <w:szCs w:val="22"/>
          <w:lang w:eastAsia="en-US"/>
        </w:rPr>
      </w:pPr>
    </w:p>
    <w:p w14:paraId="6E956CBC" w14:textId="517BEC90" w:rsidR="008629A5" w:rsidRPr="00FD4F09" w:rsidRDefault="008629A5" w:rsidP="00FD4F09">
      <w:pPr>
        <w:ind w:right="-93"/>
        <w:rPr>
          <w:rFonts w:eastAsia="Calibri" w:cs="Tahoma"/>
          <w:bCs/>
          <w:szCs w:val="22"/>
          <w:lang w:eastAsia="en-US"/>
        </w:rPr>
      </w:pPr>
      <w:r w:rsidRPr="00FD4F09">
        <w:rPr>
          <w:rFonts w:eastAsia="Calibri" w:cs="Tahoma"/>
          <w:b/>
          <w:bCs/>
          <w:szCs w:val="22"/>
          <w:lang w:eastAsia="en-US"/>
        </w:rPr>
        <w:t>SEGUNDO.</w:t>
      </w:r>
      <w:r w:rsidRPr="00FD4F09">
        <w:rPr>
          <w:rFonts w:eastAsia="Calibri" w:cs="Tahoma"/>
          <w:szCs w:val="22"/>
          <w:lang w:eastAsia="es-MX"/>
        </w:rPr>
        <w:t xml:space="preserve"> Se </w:t>
      </w:r>
      <w:r w:rsidRPr="00FD4F09">
        <w:rPr>
          <w:rFonts w:eastAsia="Calibri" w:cs="Tahoma"/>
          <w:b/>
          <w:szCs w:val="22"/>
          <w:lang w:eastAsia="es-MX"/>
        </w:rPr>
        <w:t xml:space="preserve">ORDENA </w:t>
      </w:r>
      <w:r w:rsidRPr="00FD4F09">
        <w:rPr>
          <w:rFonts w:eastAsia="Calibri" w:cs="Tahoma"/>
          <w:szCs w:val="22"/>
          <w:lang w:eastAsia="es-MX"/>
        </w:rPr>
        <w:t xml:space="preserve">al </w:t>
      </w:r>
      <w:r w:rsidRPr="00FD4F09">
        <w:rPr>
          <w:rFonts w:eastAsia="Calibri" w:cs="Tahoma"/>
          <w:b/>
          <w:bCs/>
          <w:szCs w:val="22"/>
          <w:lang w:eastAsia="es-MX"/>
        </w:rPr>
        <w:t>SUJETO OBLIGADO</w:t>
      </w:r>
      <w:r w:rsidRPr="00FD4F09">
        <w:rPr>
          <w:rFonts w:eastAsia="Calibri" w:cs="Tahoma"/>
          <w:szCs w:val="22"/>
          <w:lang w:eastAsia="es-MX"/>
        </w:rPr>
        <w:t xml:space="preserve">, </w:t>
      </w:r>
      <w:r w:rsidRPr="00FD4F09">
        <w:rPr>
          <w:rFonts w:eastAsia="Calibri" w:cs="Tahoma"/>
          <w:bCs/>
          <w:szCs w:val="22"/>
          <w:lang w:eastAsia="en-US"/>
        </w:rPr>
        <w:t xml:space="preserve">a efecto de que, previa búsqueda exhaustiva y razonable de la información, entregue a través del </w:t>
      </w:r>
      <w:r w:rsidRPr="00FD4F09">
        <w:rPr>
          <w:rFonts w:eastAsia="Calibri" w:cs="Tahoma"/>
          <w:b/>
          <w:bCs/>
          <w:szCs w:val="22"/>
          <w:lang w:eastAsia="en-US"/>
        </w:rPr>
        <w:t>SAIMEX</w:t>
      </w:r>
      <w:r w:rsidRPr="00FD4F09">
        <w:rPr>
          <w:rFonts w:eastAsia="Calibri" w:cs="Tahoma"/>
          <w:bCs/>
          <w:szCs w:val="22"/>
          <w:lang w:eastAsia="en-US"/>
        </w:rPr>
        <w:t xml:space="preserve">, </w:t>
      </w:r>
      <w:r w:rsidR="005D5645" w:rsidRPr="00FD4F09">
        <w:rPr>
          <w:rFonts w:eastAsia="Calibri" w:cs="Tahoma"/>
          <w:bCs/>
          <w:szCs w:val="22"/>
          <w:lang w:eastAsia="en-US"/>
        </w:rPr>
        <w:t xml:space="preserve">de ser procedente </w:t>
      </w:r>
      <w:r w:rsidRPr="00FD4F09">
        <w:rPr>
          <w:rFonts w:eastAsia="Calibri" w:cs="Tahoma"/>
          <w:bCs/>
          <w:szCs w:val="22"/>
          <w:lang w:eastAsia="en-US"/>
        </w:rPr>
        <w:t xml:space="preserve">en </w:t>
      </w:r>
      <w:r w:rsidRPr="00FD4F09">
        <w:rPr>
          <w:rFonts w:eastAsia="Calibri" w:cs="Tahoma"/>
          <w:b/>
          <w:bCs/>
          <w:szCs w:val="22"/>
          <w:lang w:eastAsia="en-US"/>
        </w:rPr>
        <w:t>versión pública</w:t>
      </w:r>
      <w:r w:rsidRPr="00FD4F09">
        <w:rPr>
          <w:rFonts w:eastAsia="Calibri" w:cs="Tahoma"/>
          <w:bCs/>
          <w:szCs w:val="22"/>
          <w:lang w:eastAsia="en-US"/>
        </w:rPr>
        <w:t xml:space="preserve">, </w:t>
      </w:r>
      <w:r w:rsidR="00A701FB" w:rsidRPr="00FD4F09">
        <w:rPr>
          <w:rFonts w:eastAsia="Calibri" w:cs="Tahoma"/>
          <w:bCs/>
          <w:szCs w:val="22"/>
          <w:lang w:eastAsia="en-US"/>
        </w:rPr>
        <w:t xml:space="preserve">el soporte documental que dé </w:t>
      </w:r>
      <w:r w:rsidRPr="00FD4F09">
        <w:rPr>
          <w:rFonts w:eastAsia="Calibri" w:cs="Tahoma"/>
          <w:bCs/>
          <w:szCs w:val="22"/>
          <w:lang w:eastAsia="en-US"/>
        </w:rPr>
        <w:t>cuenta de lo siguiente:</w:t>
      </w:r>
    </w:p>
    <w:p w14:paraId="0C757368" w14:textId="77777777" w:rsidR="00BB67A6" w:rsidRPr="00FD4F09" w:rsidRDefault="00BB67A6" w:rsidP="00FD4F09">
      <w:pPr>
        <w:ind w:right="-93"/>
        <w:rPr>
          <w:rFonts w:eastAsia="Calibri" w:cs="Tahoma"/>
          <w:bCs/>
          <w:szCs w:val="22"/>
          <w:lang w:eastAsia="en-US"/>
        </w:rPr>
      </w:pPr>
    </w:p>
    <w:p w14:paraId="7EEA59CC" w14:textId="77777777" w:rsidR="00110D9A" w:rsidRPr="00FD4F09" w:rsidRDefault="00110D9A" w:rsidP="00FD4F09">
      <w:pPr>
        <w:pStyle w:val="Puesto"/>
        <w:rPr>
          <w:rFonts w:eastAsia="Calibri"/>
          <w:lang w:eastAsia="es-ES_tradnl"/>
        </w:rPr>
      </w:pPr>
      <w:r w:rsidRPr="00FD4F09">
        <w:t>De la dirección, jefatura, departamento o similar destinado a atender específicamente a la diversidad sexual y de género o población LGBTTTIQ+:</w:t>
      </w:r>
    </w:p>
    <w:p w14:paraId="7F83D7CC" w14:textId="77777777" w:rsidR="00110D9A" w:rsidRPr="00FD4F09" w:rsidRDefault="00110D9A" w:rsidP="00FD4F09">
      <w:pPr>
        <w:pStyle w:val="Puesto"/>
      </w:pPr>
    </w:p>
    <w:p w14:paraId="3B8A1DC0" w14:textId="77777777" w:rsidR="00F90747" w:rsidRPr="00FD4F09" w:rsidRDefault="00110D9A" w:rsidP="00FD4F09">
      <w:pPr>
        <w:pStyle w:val="Puesto"/>
        <w:numPr>
          <w:ilvl w:val="0"/>
          <w:numId w:val="4"/>
        </w:numPr>
      </w:pPr>
      <w:r w:rsidRPr="00FD4F09">
        <w:t>Presupuesto anual programado para el ejercicio fiscal 2024</w:t>
      </w:r>
      <w:r w:rsidR="00F90747" w:rsidRPr="00FD4F09">
        <w:t>.</w:t>
      </w:r>
    </w:p>
    <w:p w14:paraId="7D0FC48E" w14:textId="77777777" w:rsidR="00F90747" w:rsidRPr="00FD4F09" w:rsidRDefault="00F90747" w:rsidP="00FD4F09">
      <w:pPr>
        <w:pStyle w:val="Puesto"/>
        <w:ind w:left="1287"/>
      </w:pPr>
    </w:p>
    <w:p w14:paraId="7FFAB480" w14:textId="7F58341C" w:rsidR="00110D9A" w:rsidRPr="00FD4F09" w:rsidRDefault="00F90747" w:rsidP="00FD4F09">
      <w:pPr>
        <w:pStyle w:val="Puesto"/>
        <w:numPr>
          <w:ilvl w:val="0"/>
          <w:numId w:val="4"/>
        </w:numPr>
      </w:pPr>
      <w:r w:rsidRPr="00FD4F09">
        <w:t>El presupuesto</w:t>
      </w:r>
      <w:r w:rsidR="00110D9A" w:rsidRPr="00FD4F09">
        <w:t xml:space="preserve"> ejercido o destinado, al mayor grado de desagregación </w:t>
      </w:r>
      <w:r w:rsidRPr="00FD4F09">
        <w:t xml:space="preserve">en los que se advierta, </w:t>
      </w:r>
      <w:r w:rsidR="00110D9A" w:rsidRPr="00FD4F09">
        <w:t>salarios, gastos fijos de operación y programas o acciones específicas</w:t>
      </w:r>
      <w:r w:rsidRPr="00FD4F09">
        <w:t>, del 01 de enero al 06 de septiembre de 2024</w:t>
      </w:r>
      <w:r w:rsidR="00110D9A" w:rsidRPr="00FD4F09">
        <w:t xml:space="preserve">. </w:t>
      </w:r>
    </w:p>
    <w:p w14:paraId="4FEB9B65" w14:textId="77777777" w:rsidR="00110D9A" w:rsidRPr="00FD4F09" w:rsidRDefault="00110D9A" w:rsidP="00FD4F09">
      <w:pPr>
        <w:pStyle w:val="Puesto"/>
      </w:pPr>
    </w:p>
    <w:p w14:paraId="1CB54623" w14:textId="5E6943B8" w:rsidR="00110D9A" w:rsidRPr="00FD4F09" w:rsidRDefault="00110D9A" w:rsidP="00FD4F09">
      <w:pPr>
        <w:pStyle w:val="Puesto"/>
        <w:numPr>
          <w:ilvl w:val="0"/>
          <w:numId w:val="4"/>
        </w:numPr>
      </w:pPr>
      <w:r w:rsidRPr="00FD4F09">
        <w:t xml:space="preserve">Número de </w:t>
      </w:r>
      <w:r w:rsidR="00F90747" w:rsidRPr="00FD4F09">
        <w:t xml:space="preserve">servidores públicos </w:t>
      </w:r>
      <w:r w:rsidRPr="00FD4F09">
        <w:t>adscrit</w:t>
      </w:r>
      <w:r w:rsidR="00F90747" w:rsidRPr="00FD4F09">
        <w:t>os</w:t>
      </w:r>
      <w:r w:rsidR="00C715BA" w:rsidRPr="00FD4F09">
        <w:t xml:space="preserve"> al 06 de septiembre de 2024</w:t>
      </w:r>
      <w:r w:rsidRPr="00FD4F09">
        <w:t>.</w:t>
      </w:r>
    </w:p>
    <w:p w14:paraId="71507B63" w14:textId="77777777" w:rsidR="00110D9A" w:rsidRPr="00FD4F09" w:rsidRDefault="00110D9A" w:rsidP="00FD4F09">
      <w:pPr>
        <w:pStyle w:val="Puesto"/>
      </w:pPr>
    </w:p>
    <w:p w14:paraId="34BB01B9" w14:textId="51EE8936" w:rsidR="00C715BA" w:rsidRPr="00FD4F09" w:rsidRDefault="00110D9A" w:rsidP="00FD4F09">
      <w:pPr>
        <w:pStyle w:val="Puesto"/>
        <w:numPr>
          <w:ilvl w:val="0"/>
          <w:numId w:val="4"/>
        </w:numPr>
      </w:pPr>
      <w:r w:rsidRPr="00FD4F09">
        <w:t>Perfiles profesionales</w:t>
      </w:r>
      <w:r w:rsidR="00C715BA" w:rsidRPr="00FD4F09">
        <w:t xml:space="preserve"> del personal adscrito al 06 de septiembre de 2024.</w:t>
      </w:r>
    </w:p>
    <w:p w14:paraId="7516E70E" w14:textId="0942C454" w:rsidR="00C715BA" w:rsidRPr="00FD4F09" w:rsidRDefault="00110D9A" w:rsidP="00FD4F09">
      <w:pPr>
        <w:pStyle w:val="Puesto"/>
        <w:numPr>
          <w:ilvl w:val="0"/>
          <w:numId w:val="4"/>
        </w:numPr>
      </w:pPr>
      <w:r w:rsidRPr="00FD4F09">
        <w:lastRenderedPageBreak/>
        <w:t>Servicios que se brindan</w:t>
      </w:r>
      <w:r w:rsidR="00C715BA" w:rsidRPr="00FD4F09">
        <w:t xml:space="preserve"> al 06 de septiembre de 2024.</w:t>
      </w:r>
    </w:p>
    <w:p w14:paraId="049E5A8B" w14:textId="77777777" w:rsidR="00110D9A" w:rsidRPr="00FD4F09" w:rsidRDefault="00110D9A" w:rsidP="00FD4F09">
      <w:pPr>
        <w:pStyle w:val="Puesto"/>
      </w:pPr>
    </w:p>
    <w:p w14:paraId="4A042D9C" w14:textId="5101734F" w:rsidR="00110D9A" w:rsidRPr="00FD4F09" w:rsidRDefault="00110D9A" w:rsidP="00FD4F09">
      <w:pPr>
        <w:pStyle w:val="Puesto"/>
        <w:numPr>
          <w:ilvl w:val="0"/>
          <w:numId w:val="4"/>
        </w:numPr>
      </w:pPr>
      <w:r w:rsidRPr="00FD4F09">
        <w:t>Metas e indicadores programados para atender a la población LGBTTTIQ+</w:t>
      </w:r>
      <w:r w:rsidR="00C715BA" w:rsidRPr="00FD4F09">
        <w:t xml:space="preserve"> del 01 de enero al 06 de septiembre de 2024.</w:t>
      </w:r>
    </w:p>
    <w:p w14:paraId="1D568C78" w14:textId="77777777" w:rsidR="00110D9A" w:rsidRPr="00FD4F09" w:rsidRDefault="00110D9A" w:rsidP="00FD4F09">
      <w:pPr>
        <w:pStyle w:val="Puesto"/>
      </w:pPr>
    </w:p>
    <w:p w14:paraId="18C54D6D" w14:textId="743CF16A" w:rsidR="00C715BA" w:rsidRPr="00FD4F09" w:rsidRDefault="00110D9A" w:rsidP="00FD4F09">
      <w:pPr>
        <w:pStyle w:val="Puesto"/>
        <w:numPr>
          <w:ilvl w:val="0"/>
          <w:numId w:val="4"/>
        </w:numPr>
      </w:pPr>
      <w:r w:rsidRPr="00FD4F09">
        <w:t xml:space="preserve">Número de personas LGBTTTIQ+ </w:t>
      </w:r>
      <w:r w:rsidR="003D1537" w:rsidRPr="00FD4F09">
        <w:t xml:space="preserve">que </w:t>
      </w:r>
      <w:r w:rsidRPr="00FD4F09">
        <w:t>fueron atendidas en</w:t>
      </w:r>
      <w:r w:rsidR="00C715BA" w:rsidRPr="00FD4F09">
        <w:t xml:space="preserve"> el ejercicio</w:t>
      </w:r>
      <w:r w:rsidRPr="00FD4F09">
        <w:t xml:space="preserve"> 2023 y </w:t>
      </w:r>
      <w:r w:rsidR="00C715BA" w:rsidRPr="00FD4F09">
        <w:t>del 01 de enero al 06 de septiembre de 2024.</w:t>
      </w:r>
    </w:p>
    <w:p w14:paraId="69983401" w14:textId="77777777" w:rsidR="00110D9A" w:rsidRPr="00FD4F09" w:rsidRDefault="00110D9A" w:rsidP="00FD4F09">
      <w:pPr>
        <w:pStyle w:val="Puesto"/>
      </w:pPr>
    </w:p>
    <w:p w14:paraId="72BD7962" w14:textId="2E2C80EC" w:rsidR="00C715BA" w:rsidRPr="00FD4F09" w:rsidRDefault="00110D9A" w:rsidP="00FD4F09">
      <w:pPr>
        <w:pStyle w:val="Puesto"/>
        <w:numPr>
          <w:ilvl w:val="0"/>
          <w:numId w:val="4"/>
        </w:numPr>
      </w:pPr>
      <w:r w:rsidRPr="00FD4F09">
        <w:t>Promedio de población a quienes se les ofrece atención de manera mensual</w:t>
      </w:r>
      <w:r w:rsidR="00C715BA" w:rsidRPr="00FD4F09">
        <w:t>,</w:t>
      </w:r>
      <w:r w:rsidR="00262510" w:rsidRPr="00FD4F09">
        <w:t xml:space="preserve"> en el periodo comprendido </w:t>
      </w:r>
      <w:r w:rsidR="00C715BA" w:rsidRPr="00FD4F09">
        <w:t>del 06 de septiembre de 2023 al 06 de septiembre de 2024.</w:t>
      </w:r>
    </w:p>
    <w:p w14:paraId="64C44EB0" w14:textId="77777777" w:rsidR="00F90747" w:rsidRPr="00FD4F09" w:rsidRDefault="00F90747" w:rsidP="00FD4F09"/>
    <w:p w14:paraId="659BAD7B" w14:textId="77777777" w:rsidR="006963F6" w:rsidRPr="00FD4F09" w:rsidRDefault="006963F6" w:rsidP="00FD4F09">
      <w:pPr>
        <w:ind w:right="-93"/>
        <w:rPr>
          <w:rFonts w:eastAsia="Calibri" w:cs="Tahoma"/>
          <w:bCs/>
          <w:szCs w:val="22"/>
          <w:lang w:eastAsia="en-US"/>
        </w:rPr>
      </w:pPr>
      <w:r w:rsidRPr="00FD4F09">
        <w:rPr>
          <w:rFonts w:eastAsia="Calibri" w:cs="Tahoma"/>
          <w:b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1BAE09C8" w14:textId="77777777" w:rsidR="008E4248" w:rsidRPr="00FD4F09" w:rsidRDefault="008E4248" w:rsidP="00FD4F09">
      <w:pPr>
        <w:ind w:right="-93"/>
        <w:rPr>
          <w:rFonts w:eastAsia="Calibri" w:cs="Tahoma"/>
          <w:bCs/>
          <w:szCs w:val="22"/>
          <w:lang w:eastAsia="en-US"/>
        </w:rPr>
      </w:pPr>
    </w:p>
    <w:p w14:paraId="7EBA0895" w14:textId="6F22C9C5" w:rsidR="008E4248" w:rsidRPr="00FD4F09" w:rsidRDefault="008E4248" w:rsidP="00FD4F09">
      <w:pPr>
        <w:ind w:right="-93"/>
        <w:rPr>
          <w:rFonts w:eastAsia="Calibri" w:cs="Tahoma"/>
          <w:bCs/>
          <w:szCs w:val="22"/>
          <w:lang w:eastAsia="en-US"/>
        </w:rPr>
      </w:pPr>
      <w:r w:rsidRPr="00FD4F09">
        <w:rPr>
          <w:rFonts w:eastAsia="Calibri" w:cs="Tahoma"/>
          <w:bCs/>
          <w:szCs w:val="22"/>
          <w:lang w:eastAsia="en-US"/>
        </w:rPr>
        <w:t xml:space="preserve">En el supuesto que la información ordenada en los numerales 6 y 7 no obre en los archivos del </w:t>
      </w:r>
      <w:r w:rsidRPr="00FD4F09">
        <w:rPr>
          <w:rFonts w:eastAsia="Calibri" w:cs="Tahoma"/>
          <w:b/>
          <w:bCs/>
          <w:szCs w:val="22"/>
          <w:lang w:eastAsia="en-US"/>
        </w:rPr>
        <w:t>SUJETO OBLIGADO</w:t>
      </w:r>
      <w:r w:rsidRPr="00FD4F09">
        <w:rPr>
          <w:rFonts w:eastAsia="Calibri" w:cs="Tahoma"/>
          <w:bCs/>
          <w:szCs w:val="22"/>
          <w:lang w:eastAsia="en-US"/>
        </w:rPr>
        <w:t xml:space="preserve">, por no haberse generado, bastará con que así se haga del conocimiento de </w:t>
      </w:r>
      <w:r w:rsidRPr="00FD4F09">
        <w:rPr>
          <w:rFonts w:eastAsia="Calibri" w:cs="Tahoma"/>
          <w:b/>
          <w:bCs/>
          <w:szCs w:val="22"/>
          <w:lang w:eastAsia="en-US"/>
        </w:rPr>
        <w:t>LA PARTE RECURRENTE</w:t>
      </w:r>
      <w:r w:rsidRPr="00FD4F09">
        <w:rPr>
          <w:rFonts w:eastAsia="Calibri" w:cs="Tahoma"/>
          <w:bCs/>
          <w:szCs w:val="22"/>
          <w:lang w:eastAsia="en-US"/>
        </w:rPr>
        <w:t>.</w:t>
      </w:r>
    </w:p>
    <w:p w14:paraId="72B97BB2" w14:textId="77777777" w:rsidR="009D69F6" w:rsidRPr="00FD4F09" w:rsidRDefault="009D69F6" w:rsidP="00FD4F09">
      <w:pPr>
        <w:spacing w:line="240" w:lineRule="auto"/>
        <w:ind w:right="539"/>
        <w:rPr>
          <w:rFonts w:eastAsia="Calibri"/>
          <w:i/>
          <w:szCs w:val="22"/>
          <w:lang w:eastAsia="en-US"/>
        </w:rPr>
      </w:pPr>
    </w:p>
    <w:p w14:paraId="68C87C12" w14:textId="77777777" w:rsidR="008629A5" w:rsidRPr="00FD4F09" w:rsidRDefault="008629A5" w:rsidP="00FD4F09">
      <w:pPr>
        <w:rPr>
          <w:szCs w:val="22"/>
        </w:rPr>
      </w:pPr>
      <w:r w:rsidRPr="00FD4F09">
        <w:rPr>
          <w:b/>
          <w:bCs/>
          <w:szCs w:val="22"/>
        </w:rPr>
        <w:t>TERCERO.</w:t>
      </w:r>
      <w:r w:rsidRPr="00FD4F09">
        <w:rPr>
          <w:szCs w:val="22"/>
        </w:rPr>
        <w:t xml:space="preserve"> Notifíquese vía Sistema de Acceso a la Información Mexiquense (</w:t>
      </w:r>
      <w:r w:rsidRPr="00FD4F09">
        <w:rPr>
          <w:b/>
          <w:szCs w:val="22"/>
        </w:rPr>
        <w:t>SAIMEX</w:t>
      </w:r>
      <w:r w:rsidRPr="00FD4F09">
        <w:rPr>
          <w:szCs w:val="22"/>
        </w:rPr>
        <w:t xml:space="preserve">) la presente resolución al Titular de la Unidad de Transparencia del </w:t>
      </w:r>
      <w:r w:rsidRPr="00FD4F09">
        <w:rPr>
          <w:b/>
          <w:bCs/>
          <w:szCs w:val="22"/>
        </w:rPr>
        <w:t>SUJETO OBLIGADO</w:t>
      </w:r>
      <w:r w:rsidRPr="00FD4F09">
        <w:rPr>
          <w:szCs w:val="22"/>
        </w:rPr>
        <w:t xml:space="preserve">, para que conforme al artículo 186 último párrafo, 189 segundo párrafo y 194 de la Ley de Transparencia y Acceso a la Información Pública del Estado de México y Municipios, dé cumplimiento a lo ordenado dentro del plazo de </w:t>
      </w:r>
      <w:r w:rsidRPr="00FD4F09">
        <w:rPr>
          <w:b/>
          <w:bCs/>
          <w:szCs w:val="22"/>
        </w:rPr>
        <w:t>diez días hábiles</w:t>
      </w:r>
      <w:r w:rsidRPr="00FD4F09">
        <w:rPr>
          <w:szCs w:val="22"/>
        </w:rPr>
        <w:t xml:space="preserve">, e informe a este Instituto en un plazo de </w:t>
      </w:r>
      <w:r w:rsidRPr="00FD4F09">
        <w:rPr>
          <w:b/>
          <w:bCs/>
          <w:szCs w:val="22"/>
        </w:rPr>
        <w:t>tres días hábiles</w:t>
      </w:r>
      <w:r w:rsidRPr="00FD4F09">
        <w:rPr>
          <w:szCs w:val="22"/>
        </w:rPr>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D1100CF" w14:textId="02924BE8" w:rsidR="008629A5" w:rsidRPr="00FD4F09" w:rsidRDefault="008629A5" w:rsidP="00FD4F09">
      <w:pPr>
        <w:rPr>
          <w:szCs w:val="22"/>
        </w:rPr>
      </w:pPr>
      <w:r w:rsidRPr="00FD4F09">
        <w:rPr>
          <w:b/>
          <w:bCs/>
          <w:szCs w:val="22"/>
        </w:rPr>
        <w:lastRenderedPageBreak/>
        <w:t>CUARTO.</w:t>
      </w:r>
      <w:r w:rsidRPr="00FD4F09">
        <w:rPr>
          <w:szCs w:val="22"/>
        </w:rPr>
        <w:t xml:space="preserve"> Notifíquese a </w:t>
      </w:r>
      <w:r w:rsidRPr="00FD4F09">
        <w:rPr>
          <w:b/>
          <w:bCs/>
          <w:szCs w:val="22"/>
        </w:rPr>
        <w:t>LA PARTE RECURRENTE</w:t>
      </w:r>
      <w:r w:rsidRPr="00FD4F09">
        <w:rPr>
          <w:szCs w:val="22"/>
        </w:rPr>
        <w:t xml:space="preserve"> la presente resolución vía Sistema de Acceso a la Información Mexiquense (</w:t>
      </w:r>
      <w:r w:rsidRPr="00FD4F09">
        <w:rPr>
          <w:b/>
          <w:szCs w:val="22"/>
        </w:rPr>
        <w:t>SAIMEX</w:t>
      </w:r>
      <w:r w:rsidRPr="00FD4F09">
        <w:rPr>
          <w:szCs w:val="22"/>
        </w:rPr>
        <w:t>).</w:t>
      </w:r>
    </w:p>
    <w:p w14:paraId="6058B6E0" w14:textId="77777777" w:rsidR="008629A5" w:rsidRPr="00FD4F09" w:rsidRDefault="008629A5" w:rsidP="00FD4F09">
      <w:pPr>
        <w:rPr>
          <w:szCs w:val="22"/>
        </w:rPr>
      </w:pPr>
    </w:p>
    <w:p w14:paraId="466C99A0" w14:textId="6A09B956" w:rsidR="008629A5" w:rsidRPr="00FD4F09" w:rsidRDefault="008629A5" w:rsidP="00FD4F09">
      <w:pPr>
        <w:rPr>
          <w:szCs w:val="22"/>
        </w:rPr>
      </w:pPr>
      <w:r w:rsidRPr="00FD4F09">
        <w:rPr>
          <w:b/>
          <w:bCs/>
          <w:szCs w:val="22"/>
        </w:rPr>
        <w:t>QUINTO</w:t>
      </w:r>
      <w:r w:rsidRPr="00FD4F09">
        <w:rPr>
          <w:szCs w:val="22"/>
        </w:rPr>
        <w:t xml:space="preserve">. Hágase del conocimiento a </w:t>
      </w:r>
      <w:r w:rsidRPr="00FD4F09">
        <w:rPr>
          <w:b/>
          <w:bCs/>
          <w:szCs w:val="22"/>
        </w:rPr>
        <w:t>LA PARTE RECURRENTE</w:t>
      </w:r>
      <w:r w:rsidRPr="00FD4F09">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r w:rsidR="000340A4" w:rsidRPr="00FD4F09">
        <w:rPr>
          <w:szCs w:val="22"/>
        </w:rPr>
        <w:t>.</w:t>
      </w:r>
    </w:p>
    <w:p w14:paraId="4F4E5854" w14:textId="77777777" w:rsidR="008629A5" w:rsidRPr="00FD4F09" w:rsidRDefault="008629A5" w:rsidP="00FD4F09">
      <w:pPr>
        <w:rPr>
          <w:szCs w:val="22"/>
        </w:rPr>
      </w:pPr>
    </w:p>
    <w:p w14:paraId="0B9F7A1E" w14:textId="77777777" w:rsidR="008629A5" w:rsidRPr="00FD4F09" w:rsidRDefault="008629A5" w:rsidP="00FD4F09">
      <w:pPr>
        <w:rPr>
          <w:szCs w:val="22"/>
        </w:rPr>
      </w:pPr>
      <w:r w:rsidRPr="00FD4F09">
        <w:rPr>
          <w:b/>
          <w:bCs/>
          <w:szCs w:val="22"/>
        </w:rPr>
        <w:t>SEXTO.</w:t>
      </w:r>
      <w:r w:rsidRPr="00FD4F09">
        <w:rPr>
          <w:szCs w:val="22"/>
        </w:rPr>
        <w:t xml:space="preserve"> De conformidad con el artículo 198 de la Ley de Transparencia y Acceso a la Información Pública del Estado de México y Municipios, el </w:t>
      </w:r>
      <w:r w:rsidRPr="00FD4F09">
        <w:rPr>
          <w:b/>
          <w:bCs/>
          <w:szCs w:val="22"/>
        </w:rPr>
        <w:t>SUJETO OBLIGADO</w:t>
      </w:r>
      <w:r w:rsidRPr="00FD4F09">
        <w:rPr>
          <w:szCs w:val="22"/>
        </w:rPr>
        <w:t xml:space="preserve"> podrá solicitar una ampliación de plazo de manera fundada y motivada, para el cumplimiento de la presente resolución.</w:t>
      </w:r>
    </w:p>
    <w:p w14:paraId="2BC8564F" w14:textId="77777777" w:rsidR="00FC3CE0" w:rsidRPr="00FD4F09" w:rsidRDefault="00FC3CE0" w:rsidP="00FD4F09">
      <w:pPr>
        <w:ind w:right="113"/>
        <w:rPr>
          <w:rFonts w:cs="Arial"/>
          <w:b/>
          <w:szCs w:val="22"/>
        </w:rPr>
      </w:pPr>
    </w:p>
    <w:p w14:paraId="77AD47E9" w14:textId="1510BE5D" w:rsidR="005E1DDD" w:rsidRPr="00FD4F09" w:rsidRDefault="005E1DDD" w:rsidP="00FD4F09">
      <w:pPr>
        <w:rPr>
          <w:rFonts w:eastAsia="Palatino Linotype" w:cs="Palatino Linotype"/>
          <w:szCs w:val="22"/>
        </w:rPr>
      </w:pPr>
      <w:r w:rsidRPr="00FD4F09">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5C6427" w:rsidRPr="00FD4F09">
        <w:rPr>
          <w:rFonts w:eastAsia="Palatino Linotype" w:cs="Palatino Linotype"/>
          <w:szCs w:val="22"/>
        </w:rPr>
        <w:t>TRI</w:t>
      </w:r>
      <w:r w:rsidRPr="00FD4F09">
        <w:rPr>
          <w:rFonts w:eastAsia="Palatino Linotype" w:cs="Palatino Linotype"/>
          <w:szCs w:val="22"/>
        </w:rPr>
        <w:t xml:space="preserve">GÉSIMA </w:t>
      </w:r>
      <w:r w:rsidR="005C6427" w:rsidRPr="00FD4F09">
        <w:rPr>
          <w:rFonts w:eastAsia="Palatino Linotype" w:cs="Palatino Linotype"/>
          <w:szCs w:val="22"/>
        </w:rPr>
        <w:t>QUINTA</w:t>
      </w:r>
      <w:r w:rsidRPr="00FD4F09">
        <w:rPr>
          <w:rFonts w:eastAsia="Palatino Linotype" w:cs="Palatino Linotype"/>
          <w:szCs w:val="22"/>
        </w:rPr>
        <w:t xml:space="preserve"> SESIÓN ORDINARIA, CELEBRADA EL </w:t>
      </w:r>
      <w:r w:rsidR="005C6427" w:rsidRPr="00FD4F09">
        <w:rPr>
          <w:rFonts w:eastAsia="Palatino Linotype" w:cs="Palatino Linotype"/>
          <w:szCs w:val="22"/>
        </w:rPr>
        <w:t>TRES DE OCTUBRE</w:t>
      </w:r>
      <w:r w:rsidRPr="00FD4F09">
        <w:rPr>
          <w:rFonts w:eastAsia="Palatino Linotype" w:cs="Palatino Linotype"/>
          <w:szCs w:val="22"/>
        </w:rPr>
        <w:t xml:space="preserve"> DE DOS MIL VEINTICUATRO, ANTE EL SECRETARIO TÉCNICO DEL PLENO, ALEXIS TAPIA RAMÍREZ.</w:t>
      </w:r>
    </w:p>
    <w:p w14:paraId="26F5FDEB" w14:textId="77777777" w:rsidR="008629A5" w:rsidRPr="00FD4F09" w:rsidRDefault="008629A5" w:rsidP="00FD4F09">
      <w:pPr>
        <w:ind w:right="-93"/>
        <w:rPr>
          <w:szCs w:val="22"/>
        </w:rPr>
      </w:pPr>
      <w:r w:rsidRPr="00FD4F09">
        <w:rPr>
          <w:rFonts w:eastAsia="Palatino Linotype" w:cs="Palatino Linotype"/>
          <w:szCs w:val="22"/>
        </w:rPr>
        <w:t>SCMM/AGZ/DEMF/PAG</w:t>
      </w:r>
    </w:p>
    <w:p w14:paraId="49D72DA3" w14:textId="77777777" w:rsidR="00664420" w:rsidRPr="00FD4F09" w:rsidRDefault="00664420" w:rsidP="00FD4F09">
      <w:pPr>
        <w:ind w:right="-93"/>
        <w:rPr>
          <w:rFonts w:eastAsia="Calibri" w:cs="Tahoma"/>
          <w:bCs/>
          <w:szCs w:val="22"/>
          <w:lang w:eastAsia="en-US"/>
        </w:rPr>
      </w:pPr>
    </w:p>
    <w:p w14:paraId="5EFEA0CD" w14:textId="77777777" w:rsidR="00664420" w:rsidRPr="00FD4F09" w:rsidRDefault="00664420" w:rsidP="00FD4F09">
      <w:pPr>
        <w:ind w:right="-93"/>
        <w:rPr>
          <w:rFonts w:eastAsia="Calibri" w:cs="Tahoma"/>
          <w:szCs w:val="22"/>
          <w:lang w:val="es-ES"/>
        </w:rPr>
      </w:pPr>
    </w:p>
    <w:p w14:paraId="696BC976" w14:textId="77777777" w:rsidR="00664420" w:rsidRPr="00FD4F09" w:rsidRDefault="00664420" w:rsidP="00FD4F09">
      <w:pPr>
        <w:ind w:right="-93"/>
        <w:rPr>
          <w:rFonts w:eastAsia="Calibri" w:cs="Tahoma"/>
          <w:bCs/>
          <w:szCs w:val="22"/>
          <w:lang w:val="es-ES" w:eastAsia="en-US"/>
        </w:rPr>
      </w:pPr>
    </w:p>
    <w:p w14:paraId="671CB0C5" w14:textId="77777777" w:rsidR="00664420" w:rsidRPr="00FD4F09" w:rsidRDefault="00664420" w:rsidP="00FD4F09">
      <w:pPr>
        <w:ind w:right="-93"/>
        <w:rPr>
          <w:rFonts w:eastAsia="Calibri" w:cs="Tahoma"/>
          <w:bCs/>
          <w:szCs w:val="22"/>
          <w:lang w:val="es-ES_tradnl" w:eastAsia="en-US"/>
        </w:rPr>
      </w:pPr>
    </w:p>
    <w:p w14:paraId="52B66DE7" w14:textId="77777777" w:rsidR="00664420" w:rsidRPr="00FD4F09" w:rsidRDefault="00664420" w:rsidP="00FD4F09">
      <w:pPr>
        <w:ind w:right="-93"/>
        <w:rPr>
          <w:rFonts w:eastAsia="Calibri" w:cs="Tahoma"/>
          <w:bCs/>
          <w:szCs w:val="22"/>
          <w:lang w:val="es-ES_tradnl" w:eastAsia="en-US"/>
        </w:rPr>
      </w:pPr>
    </w:p>
    <w:p w14:paraId="3BA305D1" w14:textId="77777777" w:rsidR="00664420" w:rsidRPr="00FD4F09" w:rsidRDefault="00664420" w:rsidP="00FD4F09">
      <w:pPr>
        <w:ind w:right="-93"/>
        <w:rPr>
          <w:rFonts w:eastAsia="Calibri" w:cs="Tahoma"/>
          <w:bCs/>
          <w:szCs w:val="22"/>
          <w:lang w:val="es-ES_tradnl" w:eastAsia="en-US"/>
        </w:rPr>
      </w:pPr>
    </w:p>
    <w:p w14:paraId="78230707" w14:textId="77777777" w:rsidR="00664420" w:rsidRPr="00FD4F09" w:rsidRDefault="00664420" w:rsidP="00FD4F09">
      <w:pPr>
        <w:ind w:right="-93"/>
        <w:rPr>
          <w:rFonts w:eastAsia="Calibri" w:cs="Tahoma"/>
          <w:bCs/>
          <w:szCs w:val="22"/>
          <w:lang w:val="es-ES_tradnl" w:eastAsia="en-US"/>
        </w:rPr>
      </w:pPr>
    </w:p>
    <w:p w14:paraId="72D18B28" w14:textId="77777777" w:rsidR="00664420" w:rsidRPr="00FD4F09" w:rsidRDefault="00664420" w:rsidP="00FD4F09">
      <w:pPr>
        <w:ind w:right="-93"/>
        <w:rPr>
          <w:rFonts w:eastAsia="Calibri" w:cs="Tahoma"/>
          <w:bCs/>
          <w:szCs w:val="22"/>
          <w:lang w:val="es-ES_tradnl" w:eastAsia="en-US"/>
        </w:rPr>
      </w:pPr>
    </w:p>
    <w:p w14:paraId="6BD461DC" w14:textId="77777777" w:rsidR="00664420" w:rsidRPr="00FD4F09" w:rsidRDefault="00664420" w:rsidP="00FD4F09">
      <w:pPr>
        <w:tabs>
          <w:tab w:val="center" w:pos="4568"/>
        </w:tabs>
        <w:ind w:right="-93"/>
        <w:rPr>
          <w:rFonts w:eastAsia="Calibri" w:cs="Tahoma"/>
          <w:bCs/>
          <w:szCs w:val="22"/>
          <w:lang w:eastAsia="en-US"/>
        </w:rPr>
      </w:pPr>
    </w:p>
    <w:p w14:paraId="4DBB1727" w14:textId="77777777" w:rsidR="00664420" w:rsidRPr="00FD4F09" w:rsidRDefault="00664420" w:rsidP="00FD4F09">
      <w:pPr>
        <w:tabs>
          <w:tab w:val="center" w:pos="4568"/>
        </w:tabs>
        <w:ind w:right="-93"/>
        <w:rPr>
          <w:rFonts w:eastAsia="Calibri" w:cs="Tahoma"/>
          <w:bCs/>
          <w:szCs w:val="22"/>
          <w:lang w:eastAsia="en-US"/>
        </w:rPr>
      </w:pPr>
    </w:p>
    <w:p w14:paraId="1D74121B" w14:textId="77777777" w:rsidR="00664420" w:rsidRPr="00FD4F09" w:rsidRDefault="00664420" w:rsidP="00FD4F09">
      <w:pPr>
        <w:tabs>
          <w:tab w:val="center" w:pos="4568"/>
        </w:tabs>
        <w:ind w:right="-93"/>
        <w:rPr>
          <w:rFonts w:eastAsia="Calibri" w:cs="Tahoma"/>
          <w:bCs/>
          <w:szCs w:val="22"/>
          <w:lang w:eastAsia="en-US"/>
        </w:rPr>
      </w:pPr>
    </w:p>
    <w:p w14:paraId="08E74E9C" w14:textId="77777777" w:rsidR="00664420" w:rsidRPr="00FD4F09" w:rsidRDefault="00664420" w:rsidP="00FD4F09">
      <w:pPr>
        <w:tabs>
          <w:tab w:val="center" w:pos="4568"/>
        </w:tabs>
        <w:ind w:right="-93"/>
        <w:rPr>
          <w:rFonts w:eastAsia="Calibri" w:cs="Tahoma"/>
          <w:bCs/>
          <w:szCs w:val="22"/>
          <w:lang w:eastAsia="en-US"/>
        </w:rPr>
      </w:pPr>
    </w:p>
    <w:p w14:paraId="2CBF5E03" w14:textId="77777777" w:rsidR="00664420" w:rsidRPr="00FD4F09" w:rsidRDefault="00664420" w:rsidP="00FD4F09">
      <w:pPr>
        <w:tabs>
          <w:tab w:val="center" w:pos="4568"/>
        </w:tabs>
        <w:ind w:right="-93"/>
        <w:rPr>
          <w:rFonts w:eastAsia="Calibri" w:cs="Tahoma"/>
          <w:bCs/>
          <w:szCs w:val="22"/>
          <w:lang w:eastAsia="en-US"/>
        </w:rPr>
      </w:pPr>
    </w:p>
    <w:p w14:paraId="44865A6D" w14:textId="77777777" w:rsidR="00664420" w:rsidRPr="00FD4F09" w:rsidRDefault="00664420" w:rsidP="00FD4F09">
      <w:pPr>
        <w:tabs>
          <w:tab w:val="center" w:pos="4568"/>
        </w:tabs>
        <w:ind w:right="-93"/>
        <w:rPr>
          <w:rFonts w:eastAsia="Calibri" w:cs="Tahoma"/>
          <w:bCs/>
          <w:szCs w:val="22"/>
          <w:lang w:eastAsia="en-US"/>
        </w:rPr>
      </w:pPr>
    </w:p>
    <w:p w14:paraId="7147F06B" w14:textId="77777777" w:rsidR="00664420" w:rsidRPr="00FD4F09" w:rsidRDefault="00664420" w:rsidP="00FD4F09">
      <w:pPr>
        <w:tabs>
          <w:tab w:val="center" w:pos="4568"/>
        </w:tabs>
        <w:ind w:right="-93"/>
        <w:rPr>
          <w:rFonts w:eastAsia="Calibri" w:cs="Tahoma"/>
          <w:bCs/>
          <w:szCs w:val="22"/>
          <w:lang w:eastAsia="en-US"/>
        </w:rPr>
      </w:pPr>
    </w:p>
    <w:p w14:paraId="6FDF3D7E" w14:textId="77777777" w:rsidR="00664420" w:rsidRPr="00FD4F09" w:rsidRDefault="00664420" w:rsidP="00FD4F09">
      <w:pPr>
        <w:tabs>
          <w:tab w:val="center" w:pos="4568"/>
        </w:tabs>
        <w:ind w:right="-93"/>
        <w:rPr>
          <w:rFonts w:eastAsia="Calibri" w:cs="Tahoma"/>
          <w:bCs/>
          <w:szCs w:val="22"/>
          <w:lang w:eastAsia="en-US"/>
        </w:rPr>
      </w:pPr>
    </w:p>
    <w:p w14:paraId="6246F818" w14:textId="77777777" w:rsidR="00664420" w:rsidRPr="00FD4F09" w:rsidRDefault="00664420" w:rsidP="00FD4F09">
      <w:pPr>
        <w:tabs>
          <w:tab w:val="center" w:pos="4568"/>
        </w:tabs>
        <w:ind w:right="-93"/>
        <w:rPr>
          <w:rFonts w:eastAsia="Calibri" w:cs="Tahoma"/>
          <w:bCs/>
          <w:szCs w:val="22"/>
          <w:lang w:eastAsia="en-US"/>
        </w:rPr>
      </w:pPr>
    </w:p>
    <w:p w14:paraId="57A88B28" w14:textId="77777777" w:rsidR="00664420" w:rsidRPr="00FD4F09" w:rsidRDefault="00664420" w:rsidP="00FD4F09">
      <w:pPr>
        <w:tabs>
          <w:tab w:val="center" w:pos="4568"/>
        </w:tabs>
        <w:ind w:right="-93"/>
        <w:rPr>
          <w:rFonts w:eastAsia="Calibri" w:cs="Tahoma"/>
          <w:bCs/>
          <w:szCs w:val="22"/>
          <w:lang w:eastAsia="en-US"/>
        </w:rPr>
      </w:pPr>
    </w:p>
    <w:p w14:paraId="77EF6095" w14:textId="77777777" w:rsidR="00664420" w:rsidRPr="00FD4F09" w:rsidRDefault="00664420" w:rsidP="00FD4F09">
      <w:pPr>
        <w:tabs>
          <w:tab w:val="center" w:pos="4568"/>
        </w:tabs>
        <w:ind w:right="-93"/>
        <w:rPr>
          <w:rFonts w:eastAsia="Calibri" w:cs="Tahoma"/>
          <w:bCs/>
          <w:szCs w:val="22"/>
          <w:lang w:eastAsia="en-US"/>
        </w:rPr>
      </w:pPr>
    </w:p>
    <w:p w14:paraId="35593947" w14:textId="77777777" w:rsidR="00664420" w:rsidRPr="00FD4F09" w:rsidRDefault="00664420" w:rsidP="00FD4F09">
      <w:pPr>
        <w:tabs>
          <w:tab w:val="center" w:pos="4568"/>
        </w:tabs>
        <w:ind w:right="-93"/>
        <w:rPr>
          <w:rFonts w:eastAsia="Calibri" w:cs="Tahoma"/>
          <w:bCs/>
          <w:szCs w:val="22"/>
          <w:lang w:eastAsia="en-US"/>
        </w:rPr>
      </w:pPr>
    </w:p>
    <w:p w14:paraId="3AF72A17" w14:textId="77777777" w:rsidR="00664420" w:rsidRPr="00FD4F09" w:rsidRDefault="00664420" w:rsidP="00FD4F09">
      <w:pPr>
        <w:tabs>
          <w:tab w:val="center" w:pos="4568"/>
        </w:tabs>
        <w:ind w:right="-93"/>
        <w:rPr>
          <w:rFonts w:eastAsia="Calibri" w:cs="Tahoma"/>
          <w:bCs/>
          <w:szCs w:val="22"/>
          <w:lang w:eastAsia="en-US"/>
        </w:rPr>
      </w:pPr>
    </w:p>
    <w:p w14:paraId="37169144" w14:textId="77777777" w:rsidR="00664420" w:rsidRPr="00FD4F09" w:rsidRDefault="00664420" w:rsidP="00FD4F09">
      <w:pPr>
        <w:tabs>
          <w:tab w:val="center" w:pos="4568"/>
        </w:tabs>
        <w:ind w:right="-93"/>
        <w:rPr>
          <w:rFonts w:eastAsia="Calibri" w:cs="Tahoma"/>
          <w:bCs/>
          <w:szCs w:val="22"/>
          <w:lang w:eastAsia="en-US"/>
        </w:rPr>
      </w:pPr>
    </w:p>
    <w:p w14:paraId="77CFC088" w14:textId="77777777" w:rsidR="00664420" w:rsidRPr="00FD4F09" w:rsidRDefault="00664420" w:rsidP="00FD4F09">
      <w:pPr>
        <w:tabs>
          <w:tab w:val="center" w:pos="4568"/>
        </w:tabs>
        <w:ind w:right="-93"/>
        <w:rPr>
          <w:rFonts w:eastAsia="Calibri" w:cs="Tahoma"/>
          <w:bCs/>
          <w:szCs w:val="22"/>
          <w:lang w:eastAsia="en-US"/>
        </w:rPr>
      </w:pPr>
    </w:p>
    <w:p w14:paraId="781A11A5" w14:textId="77777777" w:rsidR="00664420" w:rsidRPr="00FD4F09" w:rsidRDefault="00664420" w:rsidP="00FD4F09">
      <w:pPr>
        <w:tabs>
          <w:tab w:val="center" w:pos="4568"/>
        </w:tabs>
        <w:ind w:right="-93"/>
        <w:rPr>
          <w:rFonts w:eastAsia="Calibri" w:cs="Tahoma"/>
          <w:bCs/>
          <w:szCs w:val="22"/>
          <w:lang w:eastAsia="en-US"/>
        </w:rPr>
      </w:pPr>
    </w:p>
    <w:p w14:paraId="5B4ADFF3" w14:textId="5A0B90AD" w:rsidR="00A131AC" w:rsidRPr="00FD4F09" w:rsidRDefault="00A131AC" w:rsidP="00FD4F09">
      <w:pPr>
        <w:rPr>
          <w:szCs w:val="22"/>
        </w:rPr>
      </w:pPr>
    </w:p>
    <w:p w14:paraId="08BA156B" w14:textId="65D451CE" w:rsidR="00F90747" w:rsidRPr="00FD4F09" w:rsidRDefault="00F90747" w:rsidP="00FD4F09">
      <w:pPr>
        <w:rPr>
          <w:szCs w:val="22"/>
        </w:rPr>
      </w:pPr>
    </w:p>
    <w:p w14:paraId="1D5344EC" w14:textId="1E87D998" w:rsidR="00F90747" w:rsidRPr="00FD4F09" w:rsidRDefault="00F90747" w:rsidP="00FD4F09">
      <w:pPr>
        <w:rPr>
          <w:szCs w:val="22"/>
        </w:rPr>
      </w:pPr>
    </w:p>
    <w:p w14:paraId="5CB3571C" w14:textId="6721C488" w:rsidR="00F90747" w:rsidRPr="00FD4F09" w:rsidRDefault="00F90747" w:rsidP="00FD4F09">
      <w:pPr>
        <w:rPr>
          <w:szCs w:val="22"/>
        </w:rPr>
      </w:pPr>
    </w:p>
    <w:p w14:paraId="157D7CCF" w14:textId="0A29DE27" w:rsidR="00F90747" w:rsidRPr="00FD4F09" w:rsidRDefault="00F90747" w:rsidP="00FD4F09">
      <w:pPr>
        <w:rPr>
          <w:szCs w:val="22"/>
        </w:rPr>
      </w:pPr>
    </w:p>
    <w:p w14:paraId="384F69A7" w14:textId="77777777" w:rsidR="00F90747" w:rsidRPr="00FD4F09" w:rsidRDefault="00F90747" w:rsidP="00FD4F09">
      <w:pPr>
        <w:rPr>
          <w:szCs w:val="22"/>
        </w:rPr>
      </w:pPr>
    </w:p>
    <w:sectPr w:rsidR="00F90747" w:rsidRPr="00FD4F09"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3B12F" w14:textId="77777777" w:rsidR="00DF2490" w:rsidRDefault="00DF2490" w:rsidP="00664420">
      <w:pPr>
        <w:spacing w:line="240" w:lineRule="auto"/>
      </w:pPr>
      <w:r>
        <w:separator/>
      </w:r>
    </w:p>
  </w:endnote>
  <w:endnote w:type="continuationSeparator" w:id="0">
    <w:p w14:paraId="6DB4C03B" w14:textId="77777777" w:rsidR="00DF2490" w:rsidRDefault="00DF2490"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262510" w:rsidRDefault="00262510">
    <w:pPr>
      <w:tabs>
        <w:tab w:val="center" w:pos="4550"/>
        <w:tab w:val="left" w:pos="5818"/>
      </w:tabs>
      <w:ind w:right="260"/>
      <w:jc w:val="right"/>
      <w:rPr>
        <w:color w:val="071320" w:themeColor="text2" w:themeShade="80"/>
        <w:sz w:val="24"/>
        <w:szCs w:val="24"/>
      </w:rPr>
    </w:pPr>
  </w:p>
  <w:p w14:paraId="1BCA7F23" w14:textId="77777777" w:rsidR="00262510" w:rsidRDefault="0026251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262510" w:rsidRDefault="00262510">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281B63" w:rsidRPr="00281B63">
      <w:rPr>
        <w:noProof/>
        <w:color w:val="0A1D30" w:themeColor="text2" w:themeShade="BF"/>
        <w:sz w:val="24"/>
        <w:szCs w:val="24"/>
        <w:lang w:val="es-ES"/>
      </w:rPr>
      <w:t>37</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281B63" w:rsidRPr="00281B63">
      <w:rPr>
        <w:noProof/>
        <w:color w:val="0A1D30" w:themeColor="text2" w:themeShade="BF"/>
        <w:sz w:val="24"/>
        <w:szCs w:val="24"/>
        <w:lang w:val="es-ES"/>
      </w:rPr>
      <w:t>39</w:t>
    </w:r>
    <w:r>
      <w:rPr>
        <w:color w:val="0A1D30" w:themeColor="text2" w:themeShade="BF"/>
        <w:sz w:val="24"/>
        <w:szCs w:val="24"/>
      </w:rPr>
      <w:fldChar w:fldCharType="end"/>
    </w:r>
  </w:p>
  <w:p w14:paraId="310E15C0" w14:textId="77777777" w:rsidR="00262510" w:rsidRDefault="0026251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9BF445" w14:textId="77777777" w:rsidR="00DF2490" w:rsidRDefault="00DF2490" w:rsidP="00664420">
      <w:pPr>
        <w:spacing w:line="240" w:lineRule="auto"/>
      </w:pPr>
      <w:r>
        <w:separator/>
      </w:r>
    </w:p>
  </w:footnote>
  <w:footnote w:type="continuationSeparator" w:id="0">
    <w:p w14:paraId="4E96E8CF" w14:textId="77777777" w:rsidR="00DF2490" w:rsidRDefault="00DF2490" w:rsidP="00664420">
      <w:pPr>
        <w:spacing w:line="240" w:lineRule="auto"/>
      </w:pPr>
      <w:r>
        <w:continuationSeparator/>
      </w:r>
    </w:p>
  </w:footnote>
  <w:footnote w:id="1">
    <w:p w14:paraId="1E376DF6" w14:textId="06CD6C7E" w:rsidR="00262510" w:rsidRDefault="00262510">
      <w:pPr>
        <w:pStyle w:val="Textonotapie"/>
      </w:pPr>
      <w:r>
        <w:rPr>
          <w:rStyle w:val="Refdenotaalpie"/>
        </w:rPr>
        <w:footnoteRef/>
      </w:r>
      <w:r>
        <w:t xml:space="preserve"> </w:t>
      </w:r>
      <w:hyperlink r:id="rId1" w:history="1">
        <w:r>
          <w:rPr>
            <w:rStyle w:val="Hipervnculo"/>
            <w:rFonts w:eastAsiaTheme="majorEastAsia"/>
          </w:rPr>
          <w:t>Reglamento para la Igualdad Sustantiva entre Mujeres y Hombres.pdf (texcocoedomex.gob.mx)</w:t>
        </w:r>
      </w:hyperlink>
      <w:r>
        <w:t xml:space="preserve"> </w:t>
      </w:r>
    </w:p>
  </w:footnote>
  <w:footnote w:id="2">
    <w:p w14:paraId="6736EF36" w14:textId="77777777" w:rsidR="00262510" w:rsidRDefault="00262510" w:rsidP="00AF544C">
      <w:pPr>
        <w:pStyle w:val="Textonotapie"/>
        <w:rPr>
          <w:rFonts w:eastAsiaTheme="minorHAnsi" w:cstheme="minorBidi"/>
          <w:sz w:val="18"/>
          <w:szCs w:val="18"/>
          <w:lang w:eastAsia="en-US"/>
        </w:rPr>
      </w:pPr>
      <w:r>
        <w:rPr>
          <w:rStyle w:val="Refdenotaalpie"/>
          <w:rFonts w:eastAsiaTheme="majorEastAsia"/>
          <w:sz w:val="18"/>
          <w:szCs w:val="18"/>
        </w:rPr>
        <w:footnoteRef/>
      </w:r>
      <w:r>
        <w:rPr>
          <w:sz w:val="18"/>
          <w:szCs w:val="18"/>
        </w:rPr>
        <w:t xml:space="preserve"> Resoluciones:</w:t>
      </w:r>
    </w:p>
    <w:p w14:paraId="4183CE13" w14:textId="77777777" w:rsidR="00262510" w:rsidRDefault="00262510" w:rsidP="00AF544C">
      <w:pPr>
        <w:pStyle w:val="Textonotapie"/>
        <w:rPr>
          <w:sz w:val="18"/>
          <w:szCs w:val="18"/>
        </w:rPr>
      </w:pPr>
      <w:r>
        <w:rPr>
          <w:sz w:val="18"/>
          <w:szCs w:val="18"/>
        </w:rPr>
        <w:t>RRA 0189/17. Morena. 08 de febrero de 2017. Por unanimidad. Comisionado Ponente Joel Salas Suárez.</w:t>
      </w:r>
    </w:p>
    <w:p w14:paraId="78859194" w14:textId="77777777" w:rsidR="00262510" w:rsidRDefault="00262510" w:rsidP="00AF544C">
      <w:pPr>
        <w:pStyle w:val="Textonotapie"/>
        <w:rPr>
          <w:sz w:val="18"/>
          <w:szCs w:val="18"/>
        </w:rPr>
      </w:pPr>
      <w:r>
        <w:rPr>
          <w:sz w:val="18"/>
          <w:szCs w:val="18"/>
        </w:rPr>
        <w:t xml:space="preserve">RRA 0677/17. Universidad Nacional Autónoma de México. 08 de marzo de 2017. Por unanimidad. Comisionado Ponente </w:t>
      </w:r>
      <w:proofErr w:type="spellStart"/>
      <w:r>
        <w:rPr>
          <w:sz w:val="18"/>
          <w:szCs w:val="18"/>
        </w:rPr>
        <w:t>Rosendoevgueni</w:t>
      </w:r>
      <w:proofErr w:type="spellEnd"/>
      <w:r>
        <w:rPr>
          <w:sz w:val="18"/>
          <w:szCs w:val="18"/>
        </w:rPr>
        <w:t xml:space="preserve"> Monterrey </w:t>
      </w:r>
      <w:proofErr w:type="spellStart"/>
      <w:r>
        <w:rPr>
          <w:sz w:val="18"/>
          <w:szCs w:val="18"/>
        </w:rPr>
        <w:t>Chepov</w:t>
      </w:r>
      <w:proofErr w:type="spellEnd"/>
      <w:r>
        <w:rPr>
          <w:sz w:val="18"/>
          <w:szCs w:val="18"/>
        </w:rPr>
        <w:t xml:space="preserve">. </w:t>
      </w:r>
    </w:p>
    <w:p w14:paraId="372EE370" w14:textId="77777777" w:rsidR="00262510" w:rsidRDefault="00262510" w:rsidP="00AF544C">
      <w:pPr>
        <w:pStyle w:val="Textonotapie"/>
        <w:rPr>
          <w:sz w:val="18"/>
          <w:szCs w:val="18"/>
        </w:rPr>
      </w:pPr>
      <w:r>
        <w:rPr>
          <w:sz w:val="18"/>
          <w:szCs w:val="18"/>
        </w:rPr>
        <w:t>RRA 1564/17. Tribunal Electoral del Poder Judicial de la Federación. 26 de abril de 2017. Por unanimidad. Comisionado Ponente Oscar Mauricio Guerra Ford.</w:t>
      </w:r>
    </w:p>
  </w:footnote>
  <w:footnote w:id="3">
    <w:p w14:paraId="1CD7FF27" w14:textId="77777777" w:rsidR="00262510" w:rsidRDefault="00262510" w:rsidP="00AF544C">
      <w:pPr>
        <w:pStyle w:val="Textonotapie"/>
        <w:rPr>
          <w:sz w:val="18"/>
          <w:szCs w:val="18"/>
        </w:rPr>
      </w:pPr>
      <w:r>
        <w:rPr>
          <w:rStyle w:val="Refdenotaalpie"/>
          <w:rFonts w:eastAsiaTheme="majorEastAsia"/>
          <w:sz w:val="18"/>
          <w:szCs w:val="18"/>
        </w:rPr>
        <w:footnoteRef/>
      </w:r>
      <w:r>
        <w:rPr>
          <w:sz w:val="18"/>
          <w:szCs w:val="18"/>
        </w:rPr>
        <w:t xml:space="preserve"> Precedentes:</w:t>
      </w:r>
    </w:p>
    <w:p w14:paraId="25644F3D" w14:textId="77777777" w:rsidR="00262510" w:rsidRDefault="00262510" w:rsidP="00AF544C">
      <w:pPr>
        <w:pStyle w:val="Textonotapie"/>
        <w:rPr>
          <w:sz w:val="18"/>
          <w:szCs w:val="18"/>
        </w:rPr>
      </w:pPr>
      <w:r>
        <w:rPr>
          <w:sz w:val="18"/>
          <w:szCs w:val="18"/>
        </w:rPr>
        <w:t>•</w:t>
      </w:r>
      <w:r>
        <w:rPr>
          <w:sz w:val="18"/>
          <w:szCs w:val="18"/>
        </w:rPr>
        <w:tab/>
        <w:t xml:space="preserve">Acceso a la información Pública. RRA 3639/19. Sesión del 10 de julio de 2019. Votación por mayoría. Con voto disidente del Comisionado Joel Salas Suárez. Instituto para la Protección del Ahorro Bancario. Comisionada Ponente María Patricia </w:t>
      </w:r>
      <w:proofErr w:type="spellStart"/>
      <w:r>
        <w:rPr>
          <w:sz w:val="18"/>
          <w:szCs w:val="18"/>
        </w:rPr>
        <w:t>Kurczyn</w:t>
      </w:r>
      <w:proofErr w:type="spellEnd"/>
      <w:r>
        <w:rPr>
          <w:sz w:val="18"/>
          <w:szCs w:val="18"/>
        </w:rPr>
        <w:t xml:space="preserve"> Villalobos.</w:t>
      </w:r>
    </w:p>
    <w:p w14:paraId="1440A95C" w14:textId="77777777" w:rsidR="00262510" w:rsidRDefault="00262510" w:rsidP="00AF544C">
      <w:pPr>
        <w:pStyle w:val="Textonotapie"/>
        <w:rPr>
          <w:sz w:val="18"/>
          <w:szCs w:val="18"/>
        </w:rPr>
      </w:pPr>
      <w:r>
        <w:rPr>
          <w:sz w:val="18"/>
          <w:szCs w:val="18"/>
        </w:rPr>
        <w:t>•</w:t>
      </w:r>
      <w:r>
        <w:rPr>
          <w:sz w:val="18"/>
          <w:szCs w:val="18"/>
        </w:rPr>
        <w:tab/>
        <w:t>Acceso a la información Pública. RRA 7709/19. Sesión del 13 de agosto de 2019. Votación por unanimidad. Con voto particular de la Comisionada Josefina Román Vergara. Suprema Corte de Justicia de la Nación. Comisionada Ponente Josefina Román Vergara.</w:t>
      </w:r>
    </w:p>
    <w:p w14:paraId="0FADEBDE" w14:textId="77777777" w:rsidR="00262510" w:rsidRDefault="00262510" w:rsidP="00AF544C">
      <w:pPr>
        <w:pStyle w:val="Textonotapie"/>
        <w:rPr>
          <w:rFonts w:asciiTheme="minorHAnsi" w:hAnsiTheme="minorHAnsi"/>
        </w:rPr>
      </w:pPr>
      <w:r>
        <w:rPr>
          <w:sz w:val="18"/>
          <w:szCs w:val="18"/>
        </w:rPr>
        <w:t>Acceso a la información Pública. RRA 5774/19. Sesión del 21 de agosto de 2019. Votación por mayoría. Con voto disidente del Comisionado Joel Salas Suárez. Secretaría de Marina. Comisionada Ponente Blanca Lilia Ibarra Cadena.”</w:t>
      </w:r>
    </w:p>
  </w:footnote>
  <w:footnote w:id="4">
    <w:p w14:paraId="1E3E5507" w14:textId="77777777" w:rsidR="00262510" w:rsidRDefault="00262510" w:rsidP="00AF544C">
      <w:pPr>
        <w:pStyle w:val="Textonotapie"/>
        <w:rPr>
          <w:sz w:val="18"/>
          <w:szCs w:val="18"/>
        </w:rPr>
      </w:pPr>
      <w:r>
        <w:rPr>
          <w:rStyle w:val="Refdenotaalpie"/>
          <w:rFonts w:eastAsiaTheme="majorEastAsia"/>
          <w:sz w:val="18"/>
          <w:szCs w:val="18"/>
        </w:rPr>
        <w:footnoteRef/>
      </w:r>
      <w:r>
        <w:rPr>
          <w:sz w:val="18"/>
          <w:szCs w:val="18"/>
        </w:rPr>
        <w:t xml:space="preserve"> Resoluciones:</w:t>
      </w:r>
    </w:p>
    <w:p w14:paraId="5850BBEB" w14:textId="77777777" w:rsidR="00262510" w:rsidRDefault="00262510" w:rsidP="00AF544C">
      <w:pPr>
        <w:pStyle w:val="Textonotapie"/>
        <w:rPr>
          <w:sz w:val="18"/>
          <w:szCs w:val="18"/>
        </w:rPr>
      </w:pPr>
      <w:r>
        <w:rPr>
          <w:sz w:val="18"/>
          <w:szCs w:val="18"/>
        </w:rPr>
        <w:t xml:space="preserve">RRA 3995/16. Secretaría de la Defensa Nacional. 1 de febrero de 2017. Por unanimidad. Comisionado Ponente </w:t>
      </w:r>
      <w:proofErr w:type="spellStart"/>
      <w:r>
        <w:rPr>
          <w:sz w:val="18"/>
          <w:szCs w:val="18"/>
        </w:rPr>
        <w:t>Rosendoevgueni</w:t>
      </w:r>
      <w:proofErr w:type="spellEnd"/>
      <w:r>
        <w:rPr>
          <w:sz w:val="18"/>
          <w:szCs w:val="18"/>
        </w:rPr>
        <w:t xml:space="preserve"> Monterrey </w:t>
      </w:r>
      <w:proofErr w:type="spellStart"/>
      <w:r>
        <w:rPr>
          <w:sz w:val="18"/>
          <w:szCs w:val="18"/>
        </w:rPr>
        <w:t>Chepov</w:t>
      </w:r>
      <w:proofErr w:type="spellEnd"/>
      <w:r>
        <w:rPr>
          <w:sz w:val="18"/>
          <w:szCs w:val="18"/>
        </w:rPr>
        <w:t>.</w:t>
      </w:r>
    </w:p>
    <w:p w14:paraId="2C460010" w14:textId="77777777" w:rsidR="00262510" w:rsidRDefault="00262510" w:rsidP="00AF544C">
      <w:pPr>
        <w:pStyle w:val="Textonotapie"/>
        <w:rPr>
          <w:sz w:val="18"/>
          <w:szCs w:val="18"/>
        </w:rPr>
      </w:pPr>
      <w:r>
        <w:rPr>
          <w:sz w:val="18"/>
          <w:szCs w:val="18"/>
        </w:rPr>
        <w:t xml:space="preserve">RRA 0937/17. Senado de la República. 15 de marzo de 2017. Por unanimidad. Comisionada Ponente Ximena Puente de la Mora. </w:t>
      </w:r>
    </w:p>
    <w:p w14:paraId="147D298D" w14:textId="77777777" w:rsidR="00262510" w:rsidRDefault="00262510" w:rsidP="00AF544C">
      <w:pPr>
        <w:pStyle w:val="Textonotapie"/>
        <w:rPr>
          <w:sz w:val="18"/>
          <w:szCs w:val="18"/>
        </w:rPr>
      </w:pPr>
      <w:r>
        <w:rPr>
          <w:sz w:val="18"/>
          <w:szCs w:val="18"/>
        </w:rPr>
        <w:t>RRA 0478/17. Secretaría de Relaciones Exteriores. 26 de abril de 2017. Por unanimidad. Comisionada Ponente Areli Cano Guadiana.”</w:t>
      </w:r>
    </w:p>
  </w:footnote>
  <w:footnote w:id="5">
    <w:p w14:paraId="20AFC17E" w14:textId="77777777" w:rsidR="00262510" w:rsidRDefault="00262510" w:rsidP="00AF544C">
      <w:pPr>
        <w:pStyle w:val="Textonotapie"/>
        <w:rPr>
          <w:rFonts w:eastAsia="Calibri"/>
          <w:sz w:val="16"/>
          <w:szCs w:val="16"/>
        </w:rPr>
      </w:pPr>
      <w:r>
        <w:rPr>
          <w:rStyle w:val="Refdenotaalpie"/>
          <w:rFonts w:eastAsiaTheme="majorEastAsia"/>
          <w:sz w:val="16"/>
          <w:szCs w:val="16"/>
        </w:rPr>
        <w:footnoteRef/>
      </w:r>
      <w:r>
        <w:rPr>
          <w:sz w:val="16"/>
          <w:szCs w:val="16"/>
        </w:rPr>
        <w:t xml:space="preserve"> Lineamientos expedidos el 15 de abril de 2016, por el Consejo Nacional del Sistema Nacional de Transparencia, Acceso a la Información Pública y Protección de Datos Personales, consultable en </w:t>
      </w:r>
      <w:hyperlink r:id="rId2" w:anchor="gsc.tab=0" w:history="1">
        <w:r>
          <w:rPr>
            <w:rStyle w:val="Hipervnculo"/>
            <w:rFonts w:eastAsiaTheme="majorEastAsia"/>
            <w:sz w:val="16"/>
            <w:szCs w:val="16"/>
          </w:rPr>
          <w:t>https://www.dof.gob.mx/nota_detalle.php?codigo=5433280&amp;fecha=15/04/2016#gsc.tab=0</w:t>
        </w:r>
      </w:hyperlink>
      <w:r>
        <w:rPr>
          <w:sz w:val="16"/>
          <w:szCs w:val="16"/>
        </w:rPr>
        <w:t xml:space="preserve">; modificados en cuanto a los artículos Sexagésimo segundo, Sexagésimo tercero y Quinto Transitorio el 29 de julio de 2016, visible </w:t>
      </w:r>
      <w:hyperlink r:id="rId3" w:anchor="gsc.tab=0" w:history="1">
        <w:r>
          <w:rPr>
            <w:rStyle w:val="Hipervnculo"/>
            <w:rFonts w:eastAsiaTheme="majorEastAsia"/>
            <w:sz w:val="16"/>
            <w:szCs w:val="16"/>
          </w:rPr>
          <w:t>https://www.dof.gob.mx/nota_detalle.php?codigo=5446230&amp;fecha=29/07/2016#gsc.tab=0</w:t>
        </w:r>
      </w:hyperlink>
      <w:r>
        <w:rPr>
          <w:sz w:val="16"/>
          <w:szCs w:val="16"/>
        </w:rPr>
        <w:t xml:space="preserve"> y, posteriormente el 18 de noviembre de 2022, se modificaron diversos numerales, entrando en vigor a partir del 17 de enero de 2023, consultable en </w:t>
      </w:r>
      <w:hyperlink r:id="rId4" w:anchor="gsc.tab=0" w:history="1">
        <w:r>
          <w:rPr>
            <w:rStyle w:val="Hipervnculo"/>
            <w:rFonts w:eastAsiaTheme="majorEastAsia"/>
            <w:sz w:val="16"/>
            <w:szCs w:val="16"/>
          </w:rPr>
          <w:t>https://www.dof.gob.mx/nota_detalle.php?codigo=5671860&amp;fecha=18/11/2022#gsc.tab=0</w:t>
        </w:r>
      </w:hyperlink>
      <w:r>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262510" w:rsidRPr="00330DA7" w14:paraId="070A4B18" w14:textId="77777777" w:rsidTr="003F35FD">
      <w:trPr>
        <w:trHeight w:val="144"/>
        <w:jc w:val="right"/>
      </w:trPr>
      <w:tc>
        <w:tcPr>
          <w:tcW w:w="2727" w:type="dxa"/>
        </w:tcPr>
        <w:p w14:paraId="62B7493A" w14:textId="77777777" w:rsidR="00262510" w:rsidRPr="00330DA7" w:rsidRDefault="00262510"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4BBB4B03" w:rsidR="00262510" w:rsidRPr="00A90C72" w:rsidRDefault="00262510" w:rsidP="000748DF">
          <w:pPr>
            <w:tabs>
              <w:tab w:val="right" w:pos="8838"/>
            </w:tabs>
            <w:ind w:left="-74" w:right="-105"/>
            <w:rPr>
              <w:rFonts w:eastAsia="Calibri" w:cs="Tahoma"/>
              <w:szCs w:val="22"/>
              <w:lang w:eastAsia="en-US"/>
            </w:rPr>
          </w:pPr>
          <w:r w:rsidRPr="00DA0C81">
            <w:rPr>
              <w:rFonts w:eastAsia="Calibri" w:cs="Tahoma"/>
              <w:szCs w:val="22"/>
              <w:lang w:eastAsia="en-US"/>
            </w:rPr>
            <w:t>05567/INFOEM/IP/RR/2024</w:t>
          </w:r>
        </w:p>
      </w:tc>
    </w:tr>
    <w:tr w:rsidR="00262510" w:rsidRPr="00330DA7" w14:paraId="4521E058" w14:textId="77777777" w:rsidTr="003F35FD">
      <w:trPr>
        <w:trHeight w:val="283"/>
        <w:jc w:val="right"/>
      </w:trPr>
      <w:tc>
        <w:tcPr>
          <w:tcW w:w="2727" w:type="dxa"/>
        </w:tcPr>
        <w:p w14:paraId="0B68C086" w14:textId="77777777" w:rsidR="00262510" w:rsidRPr="00330DA7" w:rsidRDefault="00262510"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265DC3A3" w:rsidR="00262510" w:rsidRPr="00952DD0" w:rsidRDefault="00262510" w:rsidP="003F35FD">
          <w:pPr>
            <w:tabs>
              <w:tab w:val="left" w:pos="2834"/>
              <w:tab w:val="right" w:pos="8838"/>
            </w:tabs>
            <w:ind w:left="-108" w:right="-105"/>
            <w:rPr>
              <w:rFonts w:eastAsia="Calibri" w:cs="Tahoma"/>
              <w:szCs w:val="22"/>
              <w:lang w:eastAsia="en-US"/>
            </w:rPr>
          </w:pPr>
          <w:r w:rsidRPr="008F136E">
            <w:rPr>
              <w:rFonts w:eastAsia="Calibri" w:cs="Tahoma"/>
              <w:szCs w:val="22"/>
              <w:lang w:eastAsia="en-US"/>
            </w:rPr>
            <w:t>Ayuntamiento de Texcoco</w:t>
          </w:r>
        </w:p>
      </w:tc>
    </w:tr>
    <w:tr w:rsidR="00262510" w:rsidRPr="00330DA7" w14:paraId="6331D9B6" w14:textId="77777777" w:rsidTr="003F35FD">
      <w:trPr>
        <w:trHeight w:val="283"/>
        <w:jc w:val="right"/>
      </w:trPr>
      <w:tc>
        <w:tcPr>
          <w:tcW w:w="2727" w:type="dxa"/>
        </w:tcPr>
        <w:p w14:paraId="3FA86BAE" w14:textId="1142F22E" w:rsidR="00262510" w:rsidRPr="00330DA7" w:rsidRDefault="00262510"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262510" w:rsidRPr="00EA66FC" w:rsidRDefault="00262510"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262510" w:rsidRPr="00443C6B" w:rsidRDefault="00262510"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262510" w:rsidRPr="00330DA7" w14:paraId="29CFF901" w14:textId="77777777" w:rsidTr="004B56B4">
      <w:trPr>
        <w:trHeight w:val="1435"/>
      </w:trPr>
      <w:tc>
        <w:tcPr>
          <w:tcW w:w="283" w:type="dxa"/>
          <w:shd w:val="clear" w:color="auto" w:fill="auto"/>
        </w:tcPr>
        <w:p w14:paraId="046B9F8F" w14:textId="56D2D896" w:rsidR="00262510" w:rsidRPr="00330DA7" w:rsidRDefault="00262510" w:rsidP="004B56B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262510" w:rsidRPr="00330DA7" w14:paraId="04F272D2" w14:textId="77777777" w:rsidTr="004B56B4">
            <w:trPr>
              <w:trHeight w:val="144"/>
            </w:trPr>
            <w:tc>
              <w:tcPr>
                <w:tcW w:w="2727" w:type="dxa"/>
              </w:tcPr>
              <w:p w14:paraId="2FD4DBF6" w14:textId="77777777" w:rsidR="00262510" w:rsidRPr="00330DA7" w:rsidRDefault="00262510" w:rsidP="004B56B4">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123FD43F" w:rsidR="00262510" w:rsidRPr="00A90C72" w:rsidRDefault="00262510" w:rsidP="000748DF">
                <w:pPr>
                  <w:tabs>
                    <w:tab w:val="right" w:pos="8838"/>
                  </w:tabs>
                  <w:ind w:left="-74" w:right="-105"/>
                  <w:rPr>
                    <w:rFonts w:eastAsia="Calibri" w:cs="Tahoma"/>
                    <w:szCs w:val="22"/>
                    <w:lang w:eastAsia="en-US"/>
                  </w:rPr>
                </w:pPr>
                <w:r w:rsidRPr="00DA0C81">
                  <w:rPr>
                    <w:rFonts w:eastAsia="Calibri" w:cs="Tahoma"/>
                    <w:szCs w:val="22"/>
                    <w:lang w:eastAsia="en-US"/>
                  </w:rPr>
                  <w:t>05567/INFOEM/IP/RR/2024</w:t>
                </w:r>
              </w:p>
            </w:tc>
            <w:tc>
              <w:tcPr>
                <w:tcW w:w="3402" w:type="dxa"/>
              </w:tcPr>
              <w:p w14:paraId="71DEA1CF" w14:textId="77777777" w:rsidR="00262510" w:rsidRDefault="00262510" w:rsidP="004B56B4">
                <w:pPr>
                  <w:tabs>
                    <w:tab w:val="right" w:pos="8838"/>
                  </w:tabs>
                  <w:ind w:left="-74" w:right="-105"/>
                  <w:rPr>
                    <w:rFonts w:eastAsia="Calibri" w:cs="Tahoma"/>
                    <w:szCs w:val="22"/>
                    <w:lang w:eastAsia="en-US"/>
                  </w:rPr>
                </w:pPr>
              </w:p>
            </w:tc>
          </w:tr>
          <w:tr w:rsidR="00262510" w:rsidRPr="00330DA7" w14:paraId="05C58951" w14:textId="77777777" w:rsidTr="004B56B4">
            <w:trPr>
              <w:trHeight w:val="144"/>
            </w:trPr>
            <w:tc>
              <w:tcPr>
                <w:tcW w:w="2727" w:type="dxa"/>
              </w:tcPr>
              <w:p w14:paraId="642B9610" w14:textId="77777777" w:rsidR="00262510" w:rsidRPr="00330DA7" w:rsidRDefault="00262510" w:rsidP="004B56B4">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26442C66" w:rsidR="00262510" w:rsidRPr="005F19B1" w:rsidRDefault="00281B63" w:rsidP="004B56B4">
                <w:pPr>
                  <w:tabs>
                    <w:tab w:val="left" w:pos="3122"/>
                    <w:tab w:val="right" w:pos="8838"/>
                  </w:tabs>
                  <w:ind w:left="-105" w:right="-105"/>
                  <w:rPr>
                    <w:rFonts w:eastAsia="Calibri" w:cs="Tahoma"/>
                    <w:szCs w:val="22"/>
                    <w:lang w:eastAsia="en-US"/>
                  </w:rPr>
                </w:pPr>
                <w:r>
                  <w:rPr>
                    <w:rFonts w:eastAsia="Calibri" w:cs="Tahoma"/>
                    <w:szCs w:val="22"/>
                    <w:lang w:eastAsia="en-US"/>
                  </w:rPr>
                  <w:t>XXXX XXXXXX XXXXXXXX XXXXX</w:t>
                </w:r>
              </w:p>
            </w:tc>
            <w:tc>
              <w:tcPr>
                <w:tcW w:w="3402" w:type="dxa"/>
              </w:tcPr>
              <w:p w14:paraId="73F47F53" w14:textId="77777777" w:rsidR="00262510" w:rsidRPr="005F19B1" w:rsidRDefault="00262510" w:rsidP="004B56B4">
                <w:pPr>
                  <w:tabs>
                    <w:tab w:val="left" w:pos="3122"/>
                    <w:tab w:val="right" w:pos="8838"/>
                  </w:tabs>
                  <w:ind w:left="-105" w:right="-105"/>
                  <w:rPr>
                    <w:rFonts w:eastAsia="Calibri" w:cs="Tahoma"/>
                    <w:szCs w:val="22"/>
                    <w:lang w:eastAsia="en-US"/>
                  </w:rPr>
                </w:pPr>
              </w:p>
            </w:tc>
          </w:tr>
          <w:bookmarkEnd w:id="1"/>
          <w:tr w:rsidR="00262510" w:rsidRPr="00330DA7" w14:paraId="00E6CDC1" w14:textId="77777777" w:rsidTr="004B56B4">
            <w:trPr>
              <w:trHeight w:val="283"/>
            </w:trPr>
            <w:tc>
              <w:tcPr>
                <w:tcW w:w="2727" w:type="dxa"/>
              </w:tcPr>
              <w:p w14:paraId="0631AD24" w14:textId="77777777" w:rsidR="00262510" w:rsidRPr="00330DA7" w:rsidRDefault="00262510" w:rsidP="004B56B4">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236F07A2" w:rsidR="00262510" w:rsidRPr="00952DD0" w:rsidRDefault="00262510" w:rsidP="004B56B4">
                <w:pPr>
                  <w:tabs>
                    <w:tab w:val="left" w:pos="2834"/>
                    <w:tab w:val="right" w:pos="8838"/>
                  </w:tabs>
                  <w:ind w:left="-108" w:right="-105"/>
                  <w:rPr>
                    <w:rFonts w:eastAsia="Calibri" w:cs="Tahoma"/>
                    <w:szCs w:val="22"/>
                    <w:lang w:eastAsia="en-US"/>
                  </w:rPr>
                </w:pPr>
                <w:r w:rsidRPr="008F136E">
                  <w:rPr>
                    <w:rFonts w:eastAsia="Calibri" w:cs="Tahoma"/>
                    <w:szCs w:val="22"/>
                    <w:lang w:eastAsia="en-US"/>
                  </w:rPr>
                  <w:t>Ayuntamiento de Texcoco</w:t>
                </w:r>
              </w:p>
            </w:tc>
            <w:tc>
              <w:tcPr>
                <w:tcW w:w="3402" w:type="dxa"/>
              </w:tcPr>
              <w:p w14:paraId="3A7DA319" w14:textId="77777777" w:rsidR="00262510" w:rsidRPr="00A90C72" w:rsidRDefault="00262510" w:rsidP="004B56B4">
                <w:pPr>
                  <w:tabs>
                    <w:tab w:val="left" w:pos="2834"/>
                    <w:tab w:val="right" w:pos="8838"/>
                  </w:tabs>
                  <w:ind w:left="-108" w:right="-105"/>
                  <w:rPr>
                    <w:rFonts w:eastAsia="Calibri" w:cs="Tahoma"/>
                    <w:szCs w:val="22"/>
                    <w:lang w:eastAsia="en-US"/>
                  </w:rPr>
                </w:pPr>
              </w:p>
            </w:tc>
          </w:tr>
          <w:tr w:rsidR="00262510" w:rsidRPr="00330DA7" w14:paraId="0F6CD8D2" w14:textId="77777777" w:rsidTr="004B56B4">
            <w:trPr>
              <w:trHeight w:val="283"/>
            </w:trPr>
            <w:tc>
              <w:tcPr>
                <w:tcW w:w="2727" w:type="dxa"/>
              </w:tcPr>
              <w:p w14:paraId="31700628" w14:textId="7891E8C9" w:rsidR="00262510" w:rsidRPr="00330DA7" w:rsidRDefault="00262510" w:rsidP="004B56B4">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262510" w:rsidRPr="00EA66FC" w:rsidRDefault="00262510" w:rsidP="004B56B4">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262510" w:rsidRPr="00330DA7" w:rsidRDefault="00262510" w:rsidP="004B56B4">
                <w:pPr>
                  <w:tabs>
                    <w:tab w:val="right" w:pos="8838"/>
                  </w:tabs>
                  <w:ind w:left="-108" w:right="-105"/>
                  <w:rPr>
                    <w:rFonts w:eastAsia="Calibri" w:cs="Tahoma"/>
                    <w:szCs w:val="22"/>
                    <w:lang w:eastAsia="en-US"/>
                  </w:rPr>
                </w:pPr>
              </w:p>
            </w:tc>
          </w:tr>
        </w:tbl>
        <w:p w14:paraId="5DC6AC61" w14:textId="77777777" w:rsidR="00262510" w:rsidRPr="00330DA7" w:rsidRDefault="00262510" w:rsidP="004B56B4">
          <w:pPr>
            <w:tabs>
              <w:tab w:val="right" w:pos="8838"/>
            </w:tabs>
            <w:ind w:left="-28"/>
            <w:rPr>
              <w:rFonts w:ascii="Arial" w:eastAsia="Calibri" w:hAnsi="Arial" w:cs="Arial"/>
              <w:b/>
              <w:szCs w:val="22"/>
              <w:lang w:eastAsia="en-US"/>
            </w:rPr>
          </w:pPr>
        </w:p>
      </w:tc>
    </w:tr>
  </w:tbl>
  <w:p w14:paraId="2A906731" w14:textId="77777777" w:rsidR="00262510" w:rsidRPr="00765661" w:rsidRDefault="00DF2490" w:rsidP="004B56B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BD1649"/>
    <w:multiLevelType w:val="hybridMultilevel"/>
    <w:tmpl w:val="432A02A0"/>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6CE37FE8"/>
    <w:multiLevelType w:val="hybridMultilevel"/>
    <w:tmpl w:val="D534E9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42C0B54"/>
    <w:multiLevelType w:val="hybridMultilevel"/>
    <w:tmpl w:val="432A02A0"/>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15:restartNumberingAfterBreak="0">
    <w:nsid w:val="794A69AF"/>
    <w:multiLevelType w:val="hybridMultilevel"/>
    <w:tmpl w:val="7EA27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0A37"/>
    <w:rsid w:val="000032B0"/>
    <w:rsid w:val="0000629A"/>
    <w:rsid w:val="00022BFA"/>
    <w:rsid w:val="000318BC"/>
    <w:rsid w:val="000340A4"/>
    <w:rsid w:val="00036589"/>
    <w:rsid w:val="00052100"/>
    <w:rsid w:val="00057B2D"/>
    <w:rsid w:val="00067799"/>
    <w:rsid w:val="000748DF"/>
    <w:rsid w:val="00076EF6"/>
    <w:rsid w:val="00080071"/>
    <w:rsid w:val="000820ED"/>
    <w:rsid w:val="00082A7D"/>
    <w:rsid w:val="00086B1B"/>
    <w:rsid w:val="00087AD8"/>
    <w:rsid w:val="000925BE"/>
    <w:rsid w:val="00093165"/>
    <w:rsid w:val="000931F8"/>
    <w:rsid w:val="00096C5C"/>
    <w:rsid w:val="000A57F7"/>
    <w:rsid w:val="000B73BB"/>
    <w:rsid w:val="000C391F"/>
    <w:rsid w:val="000D0D67"/>
    <w:rsid w:val="000E09C4"/>
    <w:rsid w:val="000E32CC"/>
    <w:rsid w:val="000F5EE0"/>
    <w:rsid w:val="00110D9A"/>
    <w:rsid w:val="0011350D"/>
    <w:rsid w:val="00113CFA"/>
    <w:rsid w:val="0012162F"/>
    <w:rsid w:val="00122332"/>
    <w:rsid w:val="00124714"/>
    <w:rsid w:val="00125151"/>
    <w:rsid w:val="00125724"/>
    <w:rsid w:val="001259D3"/>
    <w:rsid w:val="00126BAB"/>
    <w:rsid w:val="00130CB9"/>
    <w:rsid w:val="0013398A"/>
    <w:rsid w:val="00134ED3"/>
    <w:rsid w:val="00141876"/>
    <w:rsid w:val="0014207B"/>
    <w:rsid w:val="00145CC6"/>
    <w:rsid w:val="00150C49"/>
    <w:rsid w:val="001750E6"/>
    <w:rsid w:val="00181725"/>
    <w:rsid w:val="001A4589"/>
    <w:rsid w:val="001A58B3"/>
    <w:rsid w:val="001B67F4"/>
    <w:rsid w:val="001C1234"/>
    <w:rsid w:val="001C1AE4"/>
    <w:rsid w:val="001C5715"/>
    <w:rsid w:val="001C7688"/>
    <w:rsid w:val="001C7E98"/>
    <w:rsid w:val="001D0C50"/>
    <w:rsid w:val="001D43F1"/>
    <w:rsid w:val="001E0ACD"/>
    <w:rsid w:val="001E0CE5"/>
    <w:rsid w:val="001E76F0"/>
    <w:rsid w:val="001F0975"/>
    <w:rsid w:val="001F2652"/>
    <w:rsid w:val="001F3515"/>
    <w:rsid w:val="0020283C"/>
    <w:rsid w:val="00207DEA"/>
    <w:rsid w:val="00224352"/>
    <w:rsid w:val="002268D4"/>
    <w:rsid w:val="00227FB3"/>
    <w:rsid w:val="00233005"/>
    <w:rsid w:val="00233F17"/>
    <w:rsid w:val="00234C6E"/>
    <w:rsid w:val="00241ACF"/>
    <w:rsid w:val="00242544"/>
    <w:rsid w:val="00242B28"/>
    <w:rsid w:val="002447D1"/>
    <w:rsid w:val="00244C9B"/>
    <w:rsid w:val="0024744C"/>
    <w:rsid w:val="00247EEC"/>
    <w:rsid w:val="00250AFF"/>
    <w:rsid w:val="00257C07"/>
    <w:rsid w:val="00262510"/>
    <w:rsid w:val="002807DD"/>
    <w:rsid w:val="00281B63"/>
    <w:rsid w:val="002A3601"/>
    <w:rsid w:val="002B1314"/>
    <w:rsid w:val="002B3577"/>
    <w:rsid w:val="002B7C6F"/>
    <w:rsid w:val="002C13BA"/>
    <w:rsid w:val="002C1A16"/>
    <w:rsid w:val="002D111C"/>
    <w:rsid w:val="002D6D09"/>
    <w:rsid w:val="002E6DBB"/>
    <w:rsid w:val="003018F2"/>
    <w:rsid w:val="00302476"/>
    <w:rsid w:val="003153DA"/>
    <w:rsid w:val="00331F35"/>
    <w:rsid w:val="0033442A"/>
    <w:rsid w:val="00335CDF"/>
    <w:rsid w:val="00336B4B"/>
    <w:rsid w:val="00361F91"/>
    <w:rsid w:val="00362A11"/>
    <w:rsid w:val="003A1313"/>
    <w:rsid w:val="003A36BE"/>
    <w:rsid w:val="003A40C1"/>
    <w:rsid w:val="003A473C"/>
    <w:rsid w:val="003A7ED3"/>
    <w:rsid w:val="003B0448"/>
    <w:rsid w:val="003B1B3B"/>
    <w:rsid w:val="003B5D3E"/>
    <w:rsid w:val="003B62E6"/>
    <w:rsid w:val="003C1E36"/>
    <w:rsid w:val="003D1537"/>
    <w:rsid w:val="003D37E4"/>
    <w:rsid w:val="003E36E6"/>
    <w:rsid w:val="003E554D"/>
    <w:rsid w:val="003F35FD"/>
    <w:rsid w:val="003F5E69"/>
    <w:rsid w:val="00406F5A"/>
    <w:rsid w:val="0041385B"/>
    <w:rsid w:val="0041709A"/>
    <w:rsid w:val="004252F1"/>
    <w:rsid w:val="00431A2D"/>
    <w:rsid w:val="004326C1"/>
    <w:rsid w:val="00435F18"/>
    <w:rsid w:val="00437CF6"/>
    <w:rsid w:val="00441BFA"/>
    <w:rsid w:val="004427CC"/>
    <w:rsid w:val="00450EB0"/>
    <w:rsid w:val="00453B6D"/>
    <w:rsid w:val="00454FBD"/>
    <w:rsid w:val="00456D52"/>
    <w:rsid w:val="00463EB5"/>
    <w:rsid w:val="00464F6A"/>
    <w:rsid w:val="00474DE0"/>
    <w:rsid w:val="00475583"/>
    <w:rsid w:val="00497BFA"/>
    <w:rsid w:val="004A7CF3"/>
    <w:rsid w:val="004B56B4"/>
    <w:rsid w:val="004C1BD1"/>
    <w:rsid w:val="004C2719"/>
    <w:rsid w:val="004C3EB7"/>
    <w:rsid w:val="004C629E"/>
    <w:rsid w:val="004D4CA7"/>
    <w:rsid w:val="004D7988"/>
    <w:rsid w:val="004D7CD8"/>
    <w:rsid w:val="004E10F6"/>
    <w:rsid w:val="004E5068"/>
    <w:rsid w:val="004F5018"/>
    <w:rsid w:val="004F6E7A"/>
    <w:rsid w:val="004F7A00"/>
    <w:rsid w:val="00502348"/>
    <w:rsid w:val="0050792D"/>
    <w:rsid w:val="00513801"/>
    <w:rsid w:val="00523F48"/>
    <w:rsid w:val="00534A35"/>
    <w:rsid w:val="005365FA"/>
    <w:rsid w:val="00537B5B"/>
    <w:rsid w:val="00543682"/>
    <w:rsid w:val="0054540E"/>
    <w:rsid w:val="00546D39"/>
    <w:rsid w:val="00562CFB"/>
    <w:rsid w:val="00564E8B"/>
    <w:rsid w:val="00565088"/>
    <w:rsid w:val="005666D8"/>
    <w:rsid w:val="005723CB"/>
    <w:rsid w:val="00575400"/>
    <w:rsid w:val="005776E3"/>
    <w:rsid w:val="00577C0B"/>
    <w:rsid w:val="005856CA"/>
    <w:rsid w:val="00590892"/>
    <w:rsid w:val="005B18AF"/>
    <w:rsid w:val="005B4153"/>
    <w:rsid w:val="005B44F7"/>
    <w:rsid w:val="005C6427"/>
    <w:rsid w:val="005D0C6C"/>
    <w:rsid w:val="005D5645"/>
    <w:rsid w:val="005D5A50"/>
    <w:rsid w:val="005E0BED"/>
    <w:rsid w:val="005E1DDD"/>
    <w:rsid w:val="005E6E5B"/>
    <w:rsid w:val="005F5301"/>
    <w:rsid w:val="005F5C51"/>
    <w:rsid w:val="005F65B7"/>
    <w:rsid w:val="006002A0"/>
    <w:rsid w:val="006067C7"/>
    <w:rsid w:val="006153F0"/>
    <w:rsid w:val="006159AD"/>
    <w:rsid w:val="006201CA"/>
    <w:rsid w:val="006210F1"/>
    <w:rsid w:val="00632530"/>
    <w:rsid w:val="0063397B"/>
    <w:rsid w:val="00643710"/>
    <w:rsid w:val="00646436"/>
    <w:rsid w:val="0065172E"/>
    <w:rsid w:val="0065631F"/>
    <w:rsid w:val="00664420"/>
    <w:rsid w:val="006963F6"/>
    <w:rsid w:val="006A0C96"/>
    <w:rsid w:val="006A0E30"/>
    <w:rsid w:val="006A61F1"/>
    <w:rsid w:val="006A646A"/>
    <w:rsid w:val="006B02DE"/>
    <w:rsid w:val="006B10B0"/>
    <w:rsid w:val="006C6461"/>
    <w:rsid w:val="006D42B5"/>
    <w:rsid w:val="006E1548"/>
    <w:rsid w:val="006E208F"/>
    <w:rsid w:val="006E23FF"/>
    <w:rsid w:val="006E25BC"/>
    <w:rsid w:val="006E4326"/>
    <w:rsid w:val="006E585D"/>
    <w:rsid w:val="006E6BBC"/>
    <w:rsid w:val="006F442A"/>
    <w:rsid w:val="006F64E7"/>
    <w:rsid w:val="006F7768"/>
    <w:rsid w:val="00702324"/>
    <w:rsid w:val="00703686"/>
    <w:rsid w:val="00717E59"/>
    <w:rsid w:val="0073082B"/>
    <w:rsid w:val="0075086A"/>
    <w:rsid w:val="00757450"/>
    <w:rsid w:val="00760756"/>
    <w:rsid w:val="00762102"/>
    <w:rsid w:val="0077382A"/>
    <w:rsid w:val="00773E03"/>
    <w:rsid w:val="00775BFC"/>
    <w:rsid w:val="00780DB4"/>
    <w:rsid w:val="00787340"/>
    <w:rsid w:val="007A2AD8"/>
    <w:rsid w:val="007A30A6"/>
    <w:rsid w:val="007A3459"/>
    <w:rsid w:val="007B034E"/>
    <w:rsid w:val="007B3E08"/>
    <w:rsid w:val="007B6074"/>
    <w:rsid w:val="007B6A4A"/>
    <w:rsid w:val="007C0FEA"/>
    <w:rsid w:val="007C17CC"/>
    <w:rsid w:val="007C6519"/>
    <w:rsid w:val="007C6859"/>
    <w:rsid w:val="007D1C55"/>
    <w:rsid w:val="007D317F"/>
    <w:rsid w:val="007F107E"/>
    <w:rsid w:val="007F2531"/>
    <w:rsid w:val="007F46E3"/>
    <w:rsid w:val="007F5D06"/>
    <w:rsid w:val="00803A08"/>
    <w:rsid w:val="00805A6E"/>
    <w:rsid w:val="00807778"/>
    <w:rsid w:val="0082247D"/>
    <w:rsid w:val="008262FD"/>
    <w:rsid w:val="00826371"/>
    <w:rsid w:val="00826A93"/>
    <w:rsid w:val="008363CB"/>
    <w:rsid w:val="00837517"/>
    <w:rsid w:val="00840D58"/>
    <w:rsid w:val="008436D6"/>
    <w:rsid w:val="00845F4A"/>
    <w:rsid w:val="008615C6"/>
    <w:rsid w:val="008629A5"/>
    <w:rsid w:val="00865CF4"/>
    <w:rsid w:val="00866186"/>
    <w:rsid w:val="008669DA"/>
    <w:rsid w:val="00873ABE"/>
    <w:rsid w:val="0087567C"/>
    <w:rsid w:val="00876DBC"/>
    <w:rsid w:val="0089340D"/>
    <w:rsid w:val="00893BA2"/>
    <w:rsid w:val="00896AF7"/>
    <w:rsid w:val="008A09B9"/>
    <w:rsid w:val="008A0F06"/>
    <w:rsid w:val="008A125E"/>
    <w:rsid w:val="008A6003"/>
    <w:rsid w:val="008A6AB7"/>
    <w:rsid w:val="008A6F88"/>
    <w:rsid w:val="008B1E16"/>
    <w:rsid w:val="008B1EE5"/>
    <w:rsid w:val="008B62FA"/>
    <w:rsid w:val="008C697A"/>
    <w:rsid w:val="008D0D32"/>
    <w:rsid w:val="008E084B"/>
    <w:rsid w:val="008E1316"/>
    <w:rsid w:val="008E19A7"/>
    <w:rsid w:val="008E4248"/>
    <w:rsid w:val="008F136E"/>
    <w:rsid w:val="008F6A6B"/>
    <w:rsid w:val="00907197"/>
    <w:rsid w:val="00907313"/>
    <w:rsid w:val="00910FD2"/>
    <w:rsid w:val="0091733B"/>
    <w:rsid w:val="00923307"/>
    <w:rsid w:val="00927844"/>
    <w:rsid w:val="00931437"/>
    <w:rsid w:val="00931CFA"/>
    <w:rsid w:val="0093564C"/>
    <w:rsid w:val="00953430"/>
    <w:rsid w:val="00953671"/>
    <w:rsid w:val="00953C09"/>
    <w:rsid w:val="00955DCC"/>
    <w:rsid w:val="00960108"/>
    <w:rsid w:val="00960996"/>
    <w:rsid w:val="00961F5C"/>
    <w:rsid w:val="00964368"/>
    <w:rsid w:val="00964569"/>
    <w:rsid w:val="0096663A"/>
    <w:rsid w:val="00967E66"/>
    <w:rsid w:val="00970EB3"/>
    <w:rsid w:val="00975CA6"/>
    <w:rsid w:val="00977BCC"/>
    <w:rsid w:val="00983EEF"/>
    <w:rsid w:val="00992677"/>
    <w:rsid w:val="009A2D78"/>
    <w:rsid w:val="009A5387"/>
    <w:rsid w:val="009A6453"/>
    <w:rsid w:val="009A7C10"/>
    <w:rsid w:val="009B2945"/>
    <w:rsid w:val="009B38F6"/>
    <w:rsid w:val="009B5BAD"/>
    <w:rsid w:val="009D2A2B"/>
    <w:rsid w:val="009D38E3"/>
    <w:rsid w:val="009D51A2"/>
    <w:rsid w:val="009D69F6"/>
    <w:rsid w:val="009E2DEE"/>
    <w:rsid w:val="009E4D1C"/>
    <w:rsid w:val="009F08F5"/>
    <w:rsid w:val="009F66C8"/>
    <w:rsid w:val="009F797C"/>
    <w:rsid w:val="00A0449B"/>
    <w:rsid w:val="00A131AC"/>
    <w:rsid w:val="00A16D85"/>
    <w:rsid w:val="00A21A20"/>
    <w:rsid w:val="00A24D6A"/>
    <w:rsid w:val="00A32CA5"/>
    <w:rsid w:val="00A33BDB"/>
    <w:rsid w:val="00A34D05"/>
    <w:rsid w:val="00A36A99"/>
    <w:rsid w:val="00A37A09"/>
    <w:rsid w:val="00A45D1C"/>
    <w:rsid w:val="00A47883"/>
    <w:rsid w:val="00A53315"/>
    <w:rsid w:val="00A53915"/>
    <w:rsid w:val="00A61D5A"/>
    <w:rsid w:val="00A64191"/>
    <w:rsid w:val="00A66253"/>
    <w:rsid w:val="00A701FB"/>
    <w:rsid w:val="00A70BFB"/>
    <w:rsid w:val="00A70EF0"/>
    <w:rsid w:val="00A71845"/>
    <w:rsid w:val="00A771C6"/>
    <w:rsid w:val="00A81896"/>
    <w:rsid w:val="00A81DC8"/>
    <w:rsid w:val="00A9208D"/>
    <w:rsid w:val="00A93A79"/>
    <w:rsid w:val="00AA364B"/>
    <w:rsid w:val="00AA4FA7"/>
    <w:rsid w:val="00AA6253"/>
    <w:rsid w:val="00AA6EA9"/>
    <w:rsid w:val="00AB1BE1"/>
    <w:rsid w:val="00AB34C6"/>
    <w:rsid w:val="00AB497D"/>
    <w:rsid w:val="00AB7D9E"/>
    <w:rsid w:val="00AC2DB8"/>
    <w:rsid w:val="00AC3CA0"/>
    <w:rsid w:val="00AD7917"/>
    <w:rsid w:val="00AE0232"/>
    <w:rsid w:val="00AE39F2"/>
    <w:rsid w:val="00AE3DA7"/>
    <w:rsid w:val="00AE6FFC"/>
    <w:rsid w:val="00AF03C4"/>
    <w:rsid w:val="00AF544C"/>
    <w:rsid w:val="00B019F8"/>
    <w:rsid w:val="00B025D6"/>
    <w:rsid w:val="00B03AB8"/>
    <w:rsid w:val="00B05F2B"/>
    <w:rsid w:val="00B22A80"/>
    <w:rsid w:val="00B23C0A"/>
    <w:rsid w:val="00B27B35"/>
    <w:rsid w:val="00B406A5"/>
    <w:rsid w:val="00B416E8"/>
    <w:rsid w:val="00B50E12"/>
    <w:rsid w:val="00B540DC"/>
    <w:rsid w:val="00B55F8F"/>
    <w:rsid w:val="00B562C2"/>
    <w:rsid w:val="00B60BFC"/>
    <w:rsid w:val="00B668C7"/>
    <w:rsid w:val="00B72C2E"/>
    <w:rsid w:val="00B82086"/>
    <w:rsid w:val="00B83675"/>
    <w:rsid w:val="00B87EBE"/>
    <w:rsid w:val="00B93231"/>
    <w:rsid w:val="00BA0FAB"/>
    <w:rsid w:val="00BA55A8"/>
    <w:rsid w:val="00BB1C99"/>
    <w:rsid w:val="00BB2ABF"/>
    <w:rsid w:val="00BB64F4"/>
    <w:rsid w:val="00BB67A6"/>
    <w:rsid w:val="00BB7B48"/>
    <w:rsid w:val="00BC13B1"/>
    <w:rsid w:val="00BC2617"/>
    <w:rsid w:val="00BC67B0"/>
    <w:rsid w:val="00BC7CDB"/>
    <w:rsid w:val="00BD0200"/>
    <w:rsid w:val="00BD3F4F"/>
    <w:rsid w:val="00BD5A7C"/>
    <w:rsid w:val="00BE413E"/>
    <w:rsid w:val="00BE5FAE"/>
    <w:rsid w:val="00BE7A1B"/>
    <w:rsid w:val="00BF0221"/>
    <w:rsid w:val="00BF091A"/>
    <w:rsid w:val="00BF2DE3"/>
    <w:rsid w:val="00BF4236"/>
    <w:rsid w:val="00BF4EAD"/>
    <w:rsid w:val="00BF7FF9"/>
    <w:rsid w:val="00C049E2"/>
    <w:rsid w:val="00C05AB7"/>
    <w:rsid w:val="00C1687C"/>
    <w:rsid w:val="00C219BE"/>
    <w:rsid w:val="00C27B1D"/>
    <w:rsid w:val="00C36795"/>
    <w:rsid w:val="00C461EC"/>
    <w:rsid w:val="00C507D4"/>
    <w:rsid w:val="00C626E9"/>
    <w:rsid w:val="00C67A70"/>
    <w:rsid w:val="00C70B3F"/>
    <w:rsid w:val="00C715BA"/>
    <w:rsid w:val="00C71CEF"/>
    <w:rsid w:val="00C72DAA"/>
    <w:rsid w:val="00C75036"/>
    <w:rsid w:val="00C80B14"/>
    <w:rsid w:val="00C814D9"/>
    <w:rsid w:val="00C82498"/>
    <w:rsid w:val="00C83FDB"/>
    <w:rsid w:val="00C84CFC"/>
    <w:rsid w:val="00C93B59"/>
    <w:rsid w:val="00C956F3"/>
    <w:rsid w:val="00CB7E9A"/>
    <w:rsid w:val="00CC29E8"/>
    <w:rsid w:val="00CD0B92"/>
    <w:rsid w:val="00CD22FC"/>
    <w:rsid w:val="00CD3D41"/>
    <w:rsid w:val="00CD4E87"/>
    <w:rsid w:val="00CD633E"/>
    <w:rsid w:val="00CE29D3"/>
    <w:rsid w:val="00CE46BD"/>
    <w:rsid w:val="00CF2D8B"/>
    <w:rsid w:val="00CF3C01"/>
    <w:rsid w:val="00CF63D9"/>
    <w:rsid w:val="00CF7586"/>
    <w:rsid w:val="00D036D3"/>
    <w:rsid w:val="00D120A3"/>
    <w:rsid w:val="00D13782"/>
    <w:rsid w:val="00D201B7"/>
    <w:rsid w:val="00D21402"/>
    <w:rsid w:val="00D23550"/>
    <w:rsid w:val="00D25D41"/>
    <w:rsid w:val="00D27906"/>
    <w:rsid w:val="00D2790D"/>
    <w:rsid w:val="00D332D7"/>
    <w:rsid w:val="00D340F8"/>
    <w:rsid w:val="00D431DD"/>
    <w:rsid w:val="00D51ECD"/>
    <w:rsid w:val="00D568DC"/>
    <w:rsid w:val="00D600EF"/>
    <w:rsid w:val="00D6170E"/>
    <w:rsid w:val="00D64B5C"/>
    <w:rsid w:val="00D713EE"/>
    <w:rsid w:val="00D75EE6"/>
    <w:rsid w:val="00D91CB4"/>
    <w:rsid w:val="00D947A7"/>
    <w:rsid w:val="00DA0C81"/>
    <w:rsid w:val="00DB024D"/>
    <w:rsid w:val="00DB1C09"/>
    <w:rsid w:val="00DB28CE"/>
    <w:rsid w:val="00DC342A"/>
    <w:rsid w:val="00DD43D8"/>
    <w:rsid w:val="00DD6170"/>
    <w:rsid w:val="00DE1133"/>
    <w:rsid w:val="00DE285A"/>
    <w:rsid w:val="00DE61D0"/>
    <w:rsid w:val="00DE656C"/>
    <w:rsid w:val="00DF039B"/>
    <w:rsid w:val="00DF2490"/>
    <w:rsid w:val="00DF4AEA"/>
    <w:rsid w:val="00E16BF5"/>
    <w:rsid w:val="00E33714"/>
    <w:rsid w:val="00E37A3F"/>
    <w:rsid w:val="00E37D3C"/>
    <w:rsid w:val="00E37DCE"/>
    <w:rsid w:val="00E40D78"/>
    <w:rsid w:val="00E415FE"/>
    <w:rsid w:val="00E50268"/>
    <w:rsid w:val="00E61EBB"/>
    <w:rsid w:val="00E62E6A"/>
    <w:rsid w:val="00E727BA"/>
    <w:rsid w:val="00E810F7"/>
    <w:rsid w:val="00E83EF5"/>
    <w:rsid w:val="00E9137B"/>
    <w:rsid w:val="00E91C7F"/>
    <w:rsid w:val="00E9335C"/>
    <w:rsid w:val="00EA2B55"/>
    <w:rsid w:val="00EB1E3F"/>
    <w:rsid w:val="00EB5F97"/>
    <w:rsid w:val="00EC2ECB"/>
    <w:rsid w:val="00EC7E8F"/>
    <w:rsid w:val="00ED1788"/>
    <w:rsid w:val="00ED1C1E"/>
    <w:rsid w:val="00ED7170"/>
    <w:rsid w:val="00EE03D7"/>
    <w:rsid w:val="00EE1B1C"/>
    <w:rsid w:val="00EE2AF2"/>
    <w:rsid w:val="00EE44F7"/>
    <w:rsid w:val="00EE69EA"/>
    <w:rsid w:val="00EE78BF"/>
    <w:rsid w:val="00EF117C"/>
    <w:rsid w:val="00EF1CA6"/>
    <w:rsid w:val="00EF243C"/>
    <w:rsid w:val="00F0679F"/>
    <w:rsid w:val="00F07EE6"/>
    <w:rsid w:val="00F17E26"/>
    <w:rsid w:val="00F201D7"/>
    <w:rsid w:val="00F219D3"/>
    <w:rsid w:val="00F33CC8"/>
    <w:rsid w:val="00F4124A"/>
    <w:rsid w:val="00F4481C"/>
    <w:rsid w:val="00F53E56"/>
    <w:rsid w:val="00F57C01"/>
    <w:rsid w:val="00F616E2"/>
    <w:rsid w:val="00F62522"/>
    <w:rsid w:val="00F72A89"/>
    <w:rsid w:val="00F75D23"/>
    <w:rsid w:val="00F76045"/>
    <w:rsid w:val="00F76390"/>
    <w:rsid w:val="00F90747"/>
    <w:rsid w:val="00F94AB4"/>
    <w:rsid w:val="00F96E73"/>
    <w:rsid w:val="00FA33F6"/>
    <w:rsid w:val="00FA3885"/>
    <w:rsid w:val="00FA5957"/>
    <w:rsid w:val="00FB0DEC"/>
    <w:rsid w:val="00FB1AF5"/>
    <w:rsid w:val="00FB5587"/>
    <w:rsid w:val="00FC1EAB"/>
    <w:rsid w:val="00FC3CE0"/>
    <w:rsid w:val="00FC406D"/>
    <w:rsid w:val="00FD06A8"/>
    <w:rsid w:val="00FD4F09"/>
    <w:rsid w:val="00FE23C1"/>
    <w:rsid w:val="00FF3DB4"/>
    <w:rsid w:val="00FF4D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3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SinespaciadoCar">
    <w:name w:val="Sin espaciado Car"/>
    <w:aliases w:val="Francesa Car,INAI Car"/>
    <w:link w:val="Sinespaciado"/>
    <w:uiPriority w:val="1"/>
    <w:locked/>
    <w:rsid w:val="00D201B7"/>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201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201B7"/>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D201B7"/>
    <w:rPr>
      <w:vertAlign w:val="superscript"/>
    </w:rPr>
  </w:style>
  <w:style w:type="character" w:customStyle="1" w:styleId="apple-converted-space">
    <w:name w:val="apple-converted-space"/>
    <w:basedOn w:val="Fuentedeprrafopredeter"/>
    <w:rsid w:val="008E19A7"/>
  </w:style>
  <w:style w:type="paragraph" w:customStyle="1" w:styleId="Citas">
    <w:name w:val="Citas"/>
    <w:basedOn w:val="Normal"/>
    <w:qFormat/>
    <w:rsid w:val="008E19A7"/>
    <w:pPr>
      <w:spacing w:before="240" w:after="160"/>
      <w:ind w:left="851" w:right="851"/>
    </w:pPr>
    <w:rPr>
      <w:rFonts w:eastAsiaTheme="minorHAnsi" w:cs="Arial"/>
      <w:i/>
      <w:szCs w:val="22"/>
      <w:lang w:eastAsia="en-US"/>
    </w:rPr>
  </w:style>
  <w:style w:type="character" w:customStyle="1" w:styleId="il">
    <w:name w:val="il"/>
    <w:basedOn w:val="Fuentedeprrafopredeter"/>
    <w:rsid w:val="008E19A7"/>
    <w:rPr>
      <w:rFonts w:cs="Times New Roman"/>
    </w:rPr>
  </w:style>
  <w:style w:type="character" w:styleId="Textoennegrita">
    <w:name w:val="Strong"/>
    <w:uiPriority w:val="22"/>
    <w:qFormat/>
    <w:rsid w:val="000C391F"/>
    <w:rPr>
      <w:b/>
      <w:bCs/>
    </w:rPr>
  </w:style>
  <w:style w:type="paragraph" w:styleId="NormalWeb">
    <w:name w:val="Normal (Web)"/>
    <w:basedOn w:val="Normal"/>
    <w:uiPriority w:val="99"/>
    <w:unhideWhenUsed/>
    <w:rsid w:val="00EB5F97"/>
    <w:pPr>
      <w:spacing w:before="100" w:beforeAutospacing="1" w:after="100" w:afterAutospacing="1" w:line="240" w:lineRule="auto"/>
      <w:jc w:val="left"/>
    </w:pPr>
    <w:rPr>
      <w:rFonts w:ascii="Times New Roman" w:hAnsi="Times New Roman"/>
      <w:sz w:val="24"/>
      <w:szCs w:val="24"/>
      <w:lang w:eastAsia="es-MX"/>
    </w:rPr>
  </w:style>
  <w:style w:type="character" w:customStyle="1" w:styleId="Mencinsinresolver1">
    <w:name w:val="Mención sin resolver1"/>
    <w:basedOn w:val="Fuentedeprrafopredeter"/>
    <w:uiPriority w:val="99"/>
    <w:semiHidden/>
    <w:unhideWhenUsed/>
    <w:rsid w:val="006201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70722">
      <w:bodyDiv w:val="1"/>
      <w:marLeft w:val="0"/>
      <w:marRight w:val="0"/>
      <w:marTop w:val="0"/>
      <w:marBottom w:val="0"/>
      <w:divBdr>
        <w:top w:val="none" w:sz="0" w:space="0" w:color="auto"/>
        <w:left w:val="none" w:sz="0" w:space="0" w:color="auto"/>
        <w:bottom w:val="none" w:sz="0" w:space="0" w:color="auto"/>
        <w:right w:val="none" w:sz="0" w:space="0" w:color="auto"/>
      </w:divBdr>
    </w:div>
    <w:div w:id="221987407">
      <w:bodyDiv w:val="1"/>
      <w:marLeft w:val="0"/>
      <w:marRight w:val="0"/>
      <w:marTop w:val="0"/>
      <w:marBottom w:val="0"/>
      <w:divBdr>
        <w:top w:val="none" w:sz="0" w:space="0" w:color="auto"/>
        <w:left w:val="none" w:sz="0" w:space="0" w:color="auto"/>
        <w:bottom w:val="none" w:sz="0" w:space="0" w:color="auto"/>
        <w:right w:val="none" w:sz="0" w:space="0" w:color="auto"/>
      </w:divBdr>
    </w:div>
    <w:div w:id="238444765">
      <w:bodyDiv w:val="1"/>
      <w:marLeft w:val="0"/>
      <w:marRight w:val="0"/>
      <w:marTop w:val="0"/>
      <w:marBottom w:val="0"/>
      <w:divBdr>
        <w:top w:val="none" w:sz="0" w:space="0" w:color="auto"/>
        <w:left w:val="none" w:sz="0" w:space="0" w:color="auto"/>
        <w:bottom w:val="none" w:sz="0" w:space="0" w:color="auto"/>
        <w:right w:val="none" w:sz="0" w:space="0" w:color="auto"/>
      </w:divBdr>
    </w:div>
    <w:div w:id="281688550">
      <w:bodyDiv w:val="1"/>
      <w:marLeft w:val="0"/>
      <w:marRight w:val="0"/>
      <w:marTop w:val="0"/>
      <w:marBottom w:val="0"/>
      <w:divBdr>
        <w:top w:val="none" w:sz="0" w:space="0" w:color="auto"/>
        <w:left w:val="none" w:sz="0" w:space="0" w:color="auto"/>
        <w:bottom w:val="none" w:sz="0" w:space="0" w:color="auto"/>
        <w:right w:val="none" w:sz="0" w:space="0" w:color="auto"/>
      </w:divBdr>
    </w:div>
    <w:div w:id="370351460">
      <w:bodyDiv w:val="1"/>
      <w:marLeft w:val="0"/>
      <w:marRight w:val="0"/>
      <w:marTop w:val="0"/>
      <w:marBottom w:val="0"/>
      <w:divBdr>
        <w:top w:val="none" w:sz="0" w:space="0" w:color="auto"/>
        <w:left w:val="none" w:sz="0" w:space="0" w:color="auto"/>
        <w:bottom w:val="none" w:sz="0" w:space="0" w:color="auto"/>
        <w:right w:val="none" w:sz="0" w:space="0" w:color="auto"/>
      </w:divBdr>
    </w:div>
    <w:div w:id="441805671">
      <w:bodyDiv w:val="1"/>
      <w:marLeft w:val="0"/>
      <w:marRight w:val="0"/>
      <w:marTop w:val="0"/>
      <w:marBottom w:val="0"/>
      <w:divBdr>
        <w:top w:val="none" w:sz="0" w:space="0" w:color="auto"/>
        <w:left w:val="none" w:sz="0" w:space="0" w:color="auto"/>
        <w:bottom w:val="none" w:sz="0" w:space="0" w:color="auto"/>
        <w:right w:val="none" w:sz="0" w:space="0" w:color="auto"/>
      </w:divBdr>
    </w:div>
    <w:div w:id="460459138">
      <w:bodyDiv w:val="1"/>
      <w:marLeft w:val="0"/>
      <w:marRight w:val="0"/>
      <w:marTop w:val="0"/>
      <w:marBottom w:val="0"/>
      <w:divBdr>
        <w:top w:val="none" w:sz="0" w:space="0" w:color="auto"/>
        <w:left w:val="none" w:sz="0" w:space="0" w:color="auto"/>
        <w:bottom w:val="none" w:sz="0" w:space="0" w:color="auto"/>
        <w:right w:val="none" w:sz="0" w:space="0" w:color="auto"/>
      </w:divBdr>
    </w:div>
    <w:div w:id="546376817">
      <w:bodyDiv w:val="1"/>
      <w:marLeft w:val="0"/>
      <w:marRight w:val="0"/>
      <w:marTop w:val="0"/>
      <w:marBottom w:val="0"/>
      <w:divBdr>
        <w:top w:val="none" w:sz="0" w:space="0" w:color="auto"/>
        <w:left w:val="none" w:sz="0" w:space="0" w:color="auto"/>
        <w:bottom w:val="none" w:sz="0" w:space="0" w:color="auto"/>
        <w:right w:val="none" w:sz="0" w:space="0" w:color="auto"/>
      </w:divBdr>
    </w:div>
    <w:div w:id="783888691">
      <w:bodyDiv w:val="1"/>
      <w:marLeft w:val="0"/>
      <w:marRight w:val="0"/>
      <w:marTop w:val="0"/>
      <w:marBottom w:val="0"/>
      <w:divBdr>
        <w:top w:val="none" w:sz="0" w:space="0" w:color="auto"/>
        <w:left w:val="none" w:sz="0" w:space="0" w:color="auto"/>
        <w:bottom w:val="none" w:sz="0" w:space="0" w:color="auto"/>
        <w:right w:val="none" w:sz="0" w:space="0" w:color="auto"/>
      </w:divBdr>
    </w:div>
    <w:div w:id="884372302">
      <w:bodyDiv w:val="1"/>
      <w:marLeft w:val="0"/>
      <w:marRight w:val="0"/>
      <w:marTop w:val="0"/>
      <w:marBottom w:val="0"/>
      <w:divBdr>
        <w:top w:val="none" w:sz="0" w:space="0" w:color="auto"/>
        <w:left w:val="none" w:sz="0" w:space="0" w:color="auto"/>
        <w:bottom w:val="none" w:sz="0" w:space="0" w:color="auto"/>
        <w:right w:val="none" w:sz="0" w:space="0" w:color="auto"/>
      </w:divBdr>
    </w:div>
    <w:div w:id="907035236">
      <w:bodyDiv w:val="1"/>
      <w:marLeft w:val="0"/>
      <w:marRight w:val="0"/>
      <w:marTop w:val="0"/>
      <w:marBottom w:val="0"/>
      <w:divBdr>
        <w:top w:val="none" w:sz="0" w:space="0" w:color="auto"/>
        <w:left w:val="none" w:sz="0" w:space="0" w:color="auto"/>
        <w:bottom w:val="none" w:sz="0" w:space="0" w:color="auto"/>
        <w:right w:val="none" w:sz="0" w:space="0" w:color="auto"/>
      </w:divBdr>
    </w:div>
    <w:div w:id="966132181">
      <w:bodyDiv w:val="1"/>
      <w:marLeft w:val="0"/>
      <w:marRight w:val="0"/>
      <w:marTop w:val="0"/>
      <w:marBottom w:val="0"/>
      <w:divBdr>
        <w:top w:val="none" w:sz="0" w:space="0" w:color="auto"/>
        <w:left w:val="none" w:sz="0" w:space="0" w:color="auto"/>
        <w:bottom w:val="none" w:sz="0" w:space="0" w:color="auto"/>
        <w:right w:val="none" w:sz="0" w:space="0" w:color="auto"/>
      </w:divBdr>
    </w:div>
    <w:div w:id="987436692">
      <w:bodyDiv w:val="1"/>
      <w:marLeft w:val="0"/>
      <w:marRight w:val="0"/>
      <w:marTop w:val="0"/>
      <w:marBottom w:val="0"/>
      <w:divBdr>
        <w:top w:val="none" w:sz="0" w:space="0" w:color="auto"/>
        <w:left w:val="none" w:sz="0" w:space="0" w:color="auto"/>
        <w:bottom w:val="none" w:sz="0" w:space="0" w:color="auto"/>
        <w:right w:val="none" w:sz="0" w:space="0" w:color="auto"/>
      </w:divBdr>
      <w:divsChild>
        <w:div w:id="255213533">
          <w:marLeft w:val="0"/>
          <w:marRight w:val="0"/>
          <w:marTop w:val="0"/>
          <w:marBottom w:val="0"/>
          <w:divBdr>
            <w:top w:val="none" w:sz="0" w:space="0" w:color="auto"/>
            <w:left w:val="none" w:sz="0" w:space="0" w:color="auto"/>
            <w:bottom w:val="none" w:sz="0" w:space="0" w:color="auto"/>
            <w:right w:val="none" w:sz="0" w:space="0" w:color="auto"/>
          </w:divBdr>
        </w:div>
      </w:divsChild>
    </w:div>
    <w:div w:id="1195272326">
      <w:bodyDiv w:val="1"/>
      <w:marLeft w:val="0"/>
      <w:marRight w:val="0"/>
      <w:marTop w:val="0"/>
      <w:marBottom w:val="0"/>
      <w:divBdr>
        <w:top w:val="none" w:sz="0" w:space="0" w:color="auto"/>
        <w:left w:val="none" w:sz="0" w:space="0" w:color="auto"/>
        <w:bottom w:val="none" w:sz="0" w:space="0" w:color="auto"/>
        <w:right w:val="none" w:sz="0" w:space="0" w:color="auto"/>
      </w:divBdr>
    </w:div>
    <w:div w:id="1291936055">
      <w:bodyDiv w:val="1"/>
      <w:marLeft w:val="0"/>
      <w:marRight w:val="0"/>
      <w:marTop w:val="0"/>
      <w:marBottom w:val="0"/>
      <w:divBdr>
        <w:top w:val="none" w:sz="0" w:space="0" w:color="auto"/>
        <w:left w:val="none" w:sz="0" w:space="0" w:color="auto"/>
        <w:bottom w:val="none" w:sz="0" w:space="0" w:color="auto"/>
        <w:right w:val="none" w:sz="0" w:space="0" w:color="auto"/>
      </w:divBdr>
      <w:divsChild>
        <w:div w:id="1733383937">
          <w:marLeft w:val="0"/>
          <w:marRight w:val="0"/>
          <w:marTop w:val="0"/>
          <w:marBottom w:val="0"/>
          <w:divBdr>
            <w:top w:val="none" w:sz="0" w:space="0" w:color="auto"/>
            <w:left w:val="none" w:sz="0" w:space="0" w:color="auto"/>
            <w:bottom w:val="none" w:sz="0" w:space="0" w:color="auto"/>
            <w:right w:val="none" w:sz="0" w:space="0" w:color="auto"/>
          </w:divBdr>
        </w:div>
      </w:divsChild>
    </w:div>
    <w:div w:id="1306738917">
      <w:bodyDiv w:val="1"/>
      <w:marLeft w:val="0"/>
      <w:marRight w:val="0"/>
      <w:marTop w:val="0"/>
      <w:marBottom w:val="0"/>
      <w:divBdr>
        <w:top w:val="none" w:sz="0" w:space="0" w:color="auto"/>
        <w:left w:val="none" w:sz="0" w:space="0" w:color="auto"/>
        <w:bottom w:val="none" w:sz="0" w:space="0" w:color="auto"/>
        <w:right w:val="none" w:sz="0" w:space="0" w:color="auto"/>
      </w:divBdr>
    </w:div>
    <w:div w:id="1334186559">
      <w:bodyDiv w:val="1"/>
      <w:marLeft w:val="0"/>
      <w:marRight w:val="0"/>
      <w:marTop w:val="0"/>
      <w:marBottom w:val="0"/>
      <w:divBdr>
        <w:top w:val="none" w:sz="0" w:space="0" w:color="auto"/>
        <w:left w:val="none" w:sz="0" w:space="0" w:color="auto"/>
        <w:bottom w:val="none" w:sz="0" w:space="0" w:color="auto"/>
        <w:right w:val="none" w:sz="0" w:space="0" w:color="auto"/>
      </w:divBdr>
    </w:div>
    <w:div w:id="1366519121">
      <w:bodyDiv w:val="1"/>
      <w:marLeft w:val="0"/>
      <w:marRight w:val="0"/>
      <w:marTop w:val="0"/>
      <w:marBottom w:val="0"/>
      <w:divBdr>
        <w:top w:val="none" w:sz="0" w:space="0" w:color="auto"/>
        <w:left w:val="none" w:sz="0" w:space="0" w:color="auto"/>
        <w:bottom w:val="none" w:sz="0" w:space="0" w:color="auto"/>
        <w:right w:val="none" w:sz="0" w:space="0" w:color="auto"/>
      </w:divBdr>
    </w:div>
    <w:div w:id="1628781701">
      <w:bodyDiv w:val="1"/>
      <w:marLeft w:val="0"/>
      <w:marRight w:val="0"/>
      <w:marTop w:val="0"/>
      <w:marBottom w:val="0"/>
      <w:divBdr>
        <w:top w:val="none" w:sz="0" w:space="0" w:color="auto"/>
        <w:left w:val="none" w:sz="0" w:space="0" w:color="auto"/>
        <w:bottom w:val="none" w:sz="0" w:space="0" w:color="auto"/>
        <w:right w:val="none" w:sz="0" w:space="0" w:color="auto"/>
      </w:divBdr>
    </w:div>
    <w:div w:id="1659769434">
      <w:bodyDiv w:val="1"/>
      <w:marLeft w:val="0"/>
      <w:marRight w:val="0"/>
      <w:marTop w:val="0"/>
      <w:marBottom w:val="0"/>
      <w:divBdr>
        <w:top w:val="none" w:sz="0" w:space="0" w:color="auto"/>
        <w:left w:val="none" w:sz="0" w:space="0" w:color="auto"/>
        <w:bottom w:val="none" w:sz="0" w:space="0" w:color="auto"/>
        <w:right w:val="none" w:sz="0" w:space="0" w:color="auto"/>
      </w:divBdr>
    </w:div>
    <w:div w:id="1706901474">
      <w:bodyDiv w:val="1"/>
      <w:marLeft w:val="0"/>
      <w:marRight w:val="0"/>
      <w:marTop w:val="0"/>
      <w:marBottom w:val="0"/>
      <w:divBdr>
        <w:top w:val="none" w:sz="0" w:space="0" w:color="auto"/>
        <w:left w:val="none" w:sz="0" w:space="0" w:color="auto"/>
        <w:bottom w:val="none" w:sz="0" w:space="0" w:color="auto"/>
        <w:right w:val="none" w:sz="0" w:space="0" w:color="auto"/>
      </w:divBdr>
    </w:div>
    <w:div w:id="1743064993">
      <w:bodyDiv w:val="1"/>
      <w:marLeft w:val="0"/>
      <w:marRight w:val="0"/>
      <w:marTop w:val="0"/>
      <w:marBottom w:val="0"/>
      <w:divBdr>
        <w:top w:val="none" w:sz="0" w:space="0" w:color="auto"/>
        <w:left w:val="none" w:sz="0" w:space="0" w:color="auto"/>
        <w:bottom w:val="none" w:sz="0" w:space="0" w:color="auto"/>
        <w:right w:val="none" w:sz="0" w:space="0" w:color="auto"/>
      </w:divBdr>
    </w:div>
    <w:div w:id="1812556848">
      <w:bodyDiv w:val="1"/>
      <w:marLeft w:val="0"/>
      <w:marRight w:val="0"/>
      <w:marTop w:val="0"/>
      <w:marBottom w:val="0"/>
      <w:divBdr>
        <w:top w:val="none" w:sz="0" w:space="0" w:color="auto"/>
        <w:left w:val="none" w:sz="0" w:space="0" w:color="auto"/>
        <w:bottom w:val="none" w:sz="0" w:space="0" w:color="auto"/>
        <w:right w:val="none" w:sz="0" w:space="0" w:color="auto"/>
      </w:divBdr>
    </w:div>
    <w:div w:id="1878272957">
      <w:bodyDiv w:val="1"/>
      <w:marLeft w:val="0"/>
      <w:marRight w:val="0"/>
      <w:marTop w:val="0"/>
      <w:marBottom w:val="0"/>
      <w:divBdr>
        <w:top w:val="none" w:sz="0" w:space="0" w:color="auto"/>
        <w:left w:val="none" w:sz="0" w:space="0" w:color="auto"/>
        <w:bottom w:val="none" w:sz="0" w:space="0" w:color="auto"/>
        <w:right w:val="none" w:sz="0" w:space="0" w:color="auto"/>
      </w:divBdr>
    </w:div>
    <w:div w:id="1944145535">
      <w:bodyDiv w:val="1"/>
      <w:marLeft w:val="0"/>
      <w:marRight w:val="0"/>
      <w:marTop w:val="0"/>
      <w:marBottom w:val="0"/>
      <w:divBdr>
        <w:top w:val="none" w:sz="0" w:space="0" w:color="auto"/>
        <w:left w:val="none" w:sz="0" w:space="0" w:color="auto"/>
        <w:bottom w:val="none" w:sz="0" w:space="0" w:color="auto"/>
        <w:right w:val="none" w:sz="0" w:space="0" w:color="auto"/>
      </w:divBdr>
    </w:div>
    <w:div w:id="2009598445">
      <w:bodyDiv w:val="1"/>
      <w:marLeft w:val="0"/>
      <w:marRight w:val="0"/>
      <w:marTop w:val="0"/>
      <w:marBottom w:val="0"/>
      <w:divBdr>
        <w:top w:val="none" w:sz="0" w:space="0" w:color="auto"/>
        <w:left w:val="none" w:sz="0" w:space="0" w:color="auto"/>
        <w:bottom w:val="none" w:sz="0" w:space="0" w:color="auto"/>
        <w:right w:val="none" w:sz="0" w:space="0" w:color="auto"/>
      </w:divBdr>
    </w:div>
    <w:div w:id="2083406082">
      <w:bodyDiv w:val="1"/>
      <w:marLeft w:val="0"/>
      <w:marRight w:val="0"/>
      <w:marTop w:val="0"/>
      <w:marBottom w:val="0"/>
      <w:divBdr>
        <w:top w:val="none" w:sz="0" w:space="0" w:color="auto"/>
        <w:left w:val="none" w:sz="0" w:space="0" w:color="auto"/>
        <w:bottom w:val="none" w:sz="0" w:space="0" w:color="auto"/>
        <w:right w:val="none" w:sz="0" w:space="0" w:color="auto"/>
      </w:divBdr>
    </w:div>
    <w:div w:id="2108847813">
      <w:bodyDiv w:val="1"/>
      <w:marLeft w:val="0"/>
      <w:marRight w:val="0"/>
      <w:marTop w:val="0"/>
      <w:marBottom w:val="0"/>
      <w:divBdr>
        <w:top w:val="none" w:sz="0" w:space="0" w:color="auto"/>
        <w:left w:val="none" w:sz="0" w:space="0" w:color="auto"/>
        <w:bottom w:val="none" w:sz="0" w:space="0" w:color="auto"/>
        <w:right w:val="none" w:sz="0" w:space="0" w:color="auto"/>
      </w:divBdr>
    </w:div>
    <w:div w:id="2119644400">
      <w:bodyDiv w:val="1"/>
      <w:marLeft w:val="0"/>
      <w:marRight w:val="0"/>
      <w:marTop w:val="0"/>
      <w:marBottom w:val="0"/>
      <w:divBdr>
        <w:top w:val="none" w:sz="0" w:space="0" w:color="auto"/>
        <w:left w:val="none" w:sz="0" w:space="0" w:color="auto"/>
        <w:bottom w:val="none" w:sz="0" w:space="0" w:color="auto"/>
        <w:right w:val="none" w:sz="0" w:space="0" w:color="auto"/>
      </w:divBdr>
    </w:div>
    <w:div w:id="214638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dof.gob.mx/nota_detalle.php?codigo=5446230&amp;fecha=29/07/2016" TargetMode="External"/><Relationship Id="rId2" Type="http://schemas.openxmlformats.org/officeDocument/2006/relationships/hyperlink" Target="https://www.dof.gob.mx/nota_detalle.php?codigo=5433280&amp;fecha=15/04/2016" TargetMode="External"/><Relationship Id="rId1" Type="http://schemas.openxmlformats.org/officeDocument/2006/relationships/hyperlink" Target="https://www.texcocoedomex.gob.mx/Documentos/Reglamento%20para%20la%20Igualdad%20Sustantiva%20entre%20Mujeres%20y%20Hombres.pdf" TargetMode="External"/><Relationship Id="rId4" Type="http://schemas.openxmlformats.org/officeDocument/2006/relationships/hyperlink" Target="https://www.dof.gob.mx/nota_detalle.php?codigo=5671860&amp;fecha=18/11/20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61E514-8559-4807-8482-C89626AEA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39</Pages>
  <Words>10539</Words>
  <Characters>57970</Characters>
  <Application>Microsoft Office Word</Application>
  <DocSecurity>0</DocSecurity>
  <Lines>483</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11</cp:revision>
  <cp:lastPrinted>2024-10-07T18:17:00Z</cp:lastPrinted>
  <dcterms:created xsi:type="dcterms:W3CDTF">2024-09-30T21:51:00Z</dcterms:created>
  <dcterms:modified xsi:type="dcterms:W3CDTF">2024-10-31T21:01:00Z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