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0C0FA" w14:textId="0538E27C" w:rsidR="00DB3DC5" w:rsidRPr="00445CEF" w:rsidRDefault="00DB3DC5" w:rsidP="00A47C39">
      <w:pPr>
        <w:tabs>
          <w:tab w:val="left" w:pos="8931"/>
        </w:tabs>
        <w:spacing w:after="0" w:line="360" w:lineRule="auto"/>
        <w:contextualSpacing/>
        <w:rPr>
          <w:rFonts w:eastAsia="Calibri" w:cs="Tahoma"/>
          <w:color w:val="auto"/>
          <w:lang w:val="es-ES"/>
        </w:rPr>
      </w:pPr>
      <w:r w:rsidRPr="00445CEF">
        <w:rPr>
          <w:rFonts w:cs="Tahoma"/>
          <w:bCs/>
          <w:color w:val="auto"/>
        </w:rPr>
        <w:t xml:space="preserve">Resolución del Pleno del Instituto de Transparencia, Acceso a la Información Pública y Protección de Datos Personales del Estado de México y Municipios, con domicilio en Metepec, </w:t>
      </w:r>
      <w:r w:rsidRPr="00445CEF">
        <w:rPr>
          <w:rFonts w:eastAsia="Calibri" w:cs="Tahoma"/>
          <w:color w:val="auto"/>
          <w:lang w:val="es-ES"/>
        </w:rPr>
        <w:t xml:space="preserve">Estado de México, de fecha </w:t>
      </w:r>
      <w:r w:rsidR="00E3415E" w:rsidRPr="00445CEF">
        <w:rPr>
          <w:rFonts w:eastAsia="Calibri" w:cs="Tahoma"/>
          <w:color w:val="auto"/>
          <w:lang w:val="es-ES"/>
        </w:rPr>
        <w:t>seis de noviembre de dos mil veinticuatro.</w:t>
      </w:r>
    </w:p>
    <w:p w14:paraId="2A681408" w14:textId="77777777" w:rsidR="00DB3DC5" w:rsidRPr="00445CEF" w:rsidRDefault="00DB3DC5" w:rsidP="00A47C39">
      <w:pPr>
        <w:spacing w:after="0" w:line="360" w:lineRule="auto"/>
        <w:contextualSpacing/>
        <w:rPr>
          <w:rFonts w:eastAsia="Calibri" w:cs="Tahoma"/>
          <w:b/>
          <w:bCs/>
          <w:color w:val="auto"/>
          <w:lang w:val="es-ES"/>
        </w:rPr>
      </w:pPr>
    </w:p>
    <w:p w14:paraId="75D54F3E" w14:textId="78E49504" w:rsidR="00DB3DC5" w:rsidRPr="00445CEF" w:rsidRDefault="00DB3DC5" w:rsidP="00A47C39">
      <w:pPr>
        <w:spacing w:after="0" w:line="360" w:lineRule="auto"/>
        <w:contextualSpacing/>
        <w:rPr>
          <w:rFonts w:ascii="Verdana" w:hAnsi="Verdana"/>
          <w:b/>
          <w:bCs/>
          <w:color w:val="auto"/>
        </w:rPr>
      </w:pPr>
      <w:r w:rsidRPr="00445CEF">
        <w:rPr>
          <w:rFonts w:eastAsia="Calibri" w:cs="Tahoma"/>
          <w:b/>
          <w:bCs/>
          <w:color w:val="auto"/>
          <w:lang w:val="es-ES"/>
        </w:rPr>
        <w:t xml:space="preserve">VISTO </w:t>
      </w:r>
      <w:r w:rsidRPr="00445CEF">
        <w:rPr>
          <w:rFonts w:eastAsia="Calibri" w:cs="Tahoma"/>
          <w:color w:val="auto"/>
          <w:lang w:val="es-ES"/>
        </w:rPr>
        <w:t>el expediente electrónico conformado con motivo de</w:t>
      </w:r>
      <w:r w:rsidR="00F26F2D" w:rsidRPr="00445CEF">
        <w:rPr>
          <w:rFonts w:eastAsia="Calibri" w:cs="Tahoma"/>
          <w:color w:val="auto"/>
          <w:lang w:val="es-ES"/>
        </w:rPr>
        <w:t xml:space="preserve"> los</w:t>
      </w:r>
      <w:r w:rsidRPr="00445CEF">
        <w:rPr>
          <w:rFonts w:eastAsia="Calibri" w:cs="Tahoma"/>
          <w:color w:val="auto"/>
          <w:lang w:val="es-ES"/>
        </w:rPr>
        <w:t xml:space="preserve"> Recurso</w:t>
      </w:r>
      <w:r w:rsidR="00F26F2D" w:rsidRPr="00445CEF">
        <w:rPr>
          <w:rFonts w:eastAsia="Calibri" w:cs="Tahoma"/>
          <w:color w:val="auto"/>
          <w:lang w:val="es-ES"/>
        </w:rPr>
        <w:t>s</w:t>
      </w:r>
      <w:r w:rsidRPr="00445CEF">
        <w:rPr>
          <w:rFonts w:eastAsia="Calibri" w:cs="Tahoma"/>
          <w:color w:val="auto"/>
          <w:lang w:val="es-ES"/>
        </w:rPr>
        <w:t xml:space="preserve"> de Revisión </w:t>
      </w:r>
      <w:r w:rsidR="00526F36" w:rsidRPr="00CA096B">
        <w:rPr>
          <w:rFonts w:eastAsia="Calibri" w:cs="Tahoma"/>
          <w:b/>
          <w:color w:val="auto"/>
          <w:lang w:val="es-ES"/>
        </w:rPr>
        <w:t>0</w:t>
      </w:r>
      <w:r w:rsidR="00793C00" w:rsidRPr="00CA096B">
        <w:rPr>
          <w:rFonts w:eastAsia="Calibri" w:cs="Tahoma"/>
          <w:b/>
          <w:color w:val="auto"/>
          <w:lang w:val="es-ES"/>
        </w:rPr>
        <w:t>6011</w:t>
      </w:r>
      <w:r w:rsidR="00526F36" w:rsidRPr="00CA096B">
        <w:rPr>
          <w:rFonts w:eastAsia="Calibri" w:cs="Tahoma"/>
          <w:b/>
          <w:color w:val="auto"/>
          <w:lang w:val="es-ES"/>
        </w:rPr>
        <w:t>/INFOEM/IP/RR/2024</w:t>
      </w:r>
      <w:r w:rsidR="00793C00" w:rsidRPr="00CA096B">
        <w:rPr>
          <w:rFonts w:eastAsia="Calibri" w:cs="Tahoma"/>
          <w:b/>
          <w:color w:val="auto"/>
          <w:lang w:val="es-ES"/>
        </w:rPr>
        <w:t xml:space="preserve"> </w:t>
      </w:r>
      <w:r w:rsidR="00526F36" w:rsidRPr="00CA096B">
        <w:rPr>
          <w:rFonts w:eastAsia="Calibri" w:cs="Tahoma"/>
          <w:b/>
          <w:color w:val="auto"/>
          <w:lang w:val="es-ES"/>
        </w:rPr>
        <w:t>y 0</w:t>
      </w:r>
      <w:r w:rsidR="00793C00" w:rsidRPr="00CA096B">
        <w:rPr>
          <w:rFonts w:eastAsia="Calibri" w:cs="Tahoma"/>
          <w:b/>
          <w:color w:val="auto"/>
          <w:lang w:val="es-ES"/>
        </w:rPr>
        <w:t>6012</w:t>
      </w:r>
      <w:r w:rsidR="00526F36" w:rsidRPr="00CA096B">
        <w:rPr>
          <w:rFonts w:eastAsia="Calibri" w:cs="Tahoma"/>
          <w:b/>
          <w:color w:val="auto"/>
          <w:lang w:val="es-ES"/>
        </w:rPr>
        <w:t>/INFOEM/IP/RR/2024,</w:t>
      </w:r>
      <w:r w:rsidR="00526F36" w:rsidRPr="00445CEF">
        <w:rPr>
          <w:rFonts w:eastAsia="Calibri" w:cs="Tahoma"/>
          <w:color w:val="auto"/>
          <w:lang w:val="es-ES"/>
        </w:rPr>
        <w:t xml:space="preserve"> interpuestos la</w:t>
      </w:r>
      <w:r w:rsidR="006D549C" w:rsidRPr="00445CEF">
        <w:rPr>
          <w:rFonts w:eastAsia="Calibri" w:cs="Tahoma"/>
          <w:color w:val="auto"/>
        </w:rPr>
        <w:t xml:space="preserve"> persona</w:t>
      </w:r>
      <w:r w:rsidRPr="00445CEF">
        <w:rPr>
          <w:rFonts w:eastAsia="Calibri" w:cs="Tahoma"/>
          <w:color w:val="auto"/>
        </w:rPr>
        <w:t xml:space="preserve"> </w:t>
      </w:r>
      <w:r w:rsidRPr="00445CEF">
        <w:rPr>
          <w:rFonts w:cs="Tahoma"/>
          <w:color w:val="auto"/>
        </w:rPr>
        <w:t xml:space="preserve">Recurrente o Particular, en contra de la respuesta del Sujeto Obligado, </w:t>
      </w:r>
      <w:bookmarkStart w:id="0" w:name="_GoBack"/>
      <w:r w:rsidR="008F2853" w:rsidRPr="00CA096B">
        <w:rPr>
          <w:b/>
          <w:bCs/>
          <w:color w:val="auto"/>
          <w:szCs w:val="14"/>
        </w:rPr>
        <w:t xml:space="preserve">Ayuntamiento de </w:t>
      </w:r>
      <w:r w:rsidR="00793C00" w:rsidRPr="00CA096B">
        <w:rPr>
          <w:b/>
          <w:bCs/>
          <w:color w:val="auto"/>
          <w:szCs w:val="14"/>
        </w:rPr>
        <w:t>Atlacomulco</w:t>
      </w:r>
      <w:r w:rsidRPr="00CA096B">
        <w:rPr>
          <w:rFonts w:cs="Tahoma"/>
          <w:b/>
          <w:color w:val="auto"/>
        </w:rPr>
        <w:t xml:space="preserve">, </w:t>
      </w:r>
      <w:bookmarkEnd w:id="0"/>
      <w:r w:rsidRPr="00445CEF">
        <w:rPr>
          <w:rFonts w:cs="Tahoma"/>
          <w:color w:val="auto"/>
        </w:rPr>
        <w:t>a la</w:t>
      </w:r>
      <w:r w:rsidR="00345BB5" w:rsidRPr="00445CEF">
        <w:rPr>
          <w:rFonts w:cs="Tahoma"/>
          <w:color w:val="auto"/>
        </w:rPr>
        <w:t>s</w:t>
      </w:r>
      <w:r w:rsidRPr="00445CEF">
        <w:rPr>
          <w:rFonts w:cs="Tahoma"/>
          <w:color w:val="auto"/>
        </w:rPr>
        <w:t xml:space="preserve"> solicitud</w:t>
      </w:r>
      <w:r w:rsidR="00345BB5" w:rsidRPr="00445CEF">
        <w:rPr>
          <w:rFonts w:cs="Tahoma"/>
          <w:color w:val="auto"/>
        </w:rPr>
        <w:t>es</w:t>
      </w:r>
      <w:r w:rsidRPr="00445CEF">
        <w:rPr>
          <w:rFonts w:cs="Tahoma"/>
          <w:color w:val="auto"/>
        </w:rPr>
        <w:t xml:space="preserve"> de acceso a la información pública</w:t>
      </w:r>
      <w:r w:rsidRPr="00445CEF">
        <w:rPr>
          <w:rFonts w:ascii="Verdana" w:hAnsi="Verdana"/>
          <w:b/>
          <w:bCs/>
          <w:color w:val="auto"/>
        </w:rPr>
        <w:t xml:space="preserve"> </w:t>
      </w:r>
      <w:hyperlink r:id="rId8" w:history="1">
        <w:r w:rsidR="00793C00" w:rsidRPr="00445CEF">
          <w:rPr>
            <w:rFonts w:eastAsia="Calibri" w:cs="Tahoma"/>
            <w:color w:val="auto"/>
            <w:lang w:val="es-ES"/>
          </w:rPr>
          <w:t>00237/ATLACOM/IP/2024</w:t>
        </w:r>
      </w:hyperlink>
      <w:r w:rsidR="00793C00" w:rsidRPr="00445CEF">
        <w:rPr>
          <w:rFonts w:eastAsia="Calibri" w:cs="Tahoma"/>
          <w:color w:val="auto"/>
          <w:lang w:val="es-ES"/>
        </w:rPr>
        <w:t xml:space="preserve"> y </w:t>
      </w:r>
      <w:hyperlink r:id="rId9" w:history="1">
        <w:r w:rsidR="004F631F" w:rsidRPr="00445CEF">
          <w:rPr>
            <w:rFonts w:eastAsia="Calibri" w:cs="Tahoma"/>
            <w:color w:val="auto"/>
            <w:lang w:val="es-ES"/>
          </w:rPr>
          <w:t>00238/ATLACOM/IP/2024</w:t>
        </w:r>
      </w:hyperlink>
      <w:r w:rsidRPr="00445CEF">
        <w:rPr>
          <w:rFonts w:cs="Arial"/>
          <w:color w:val="auto"/>
        </w:rPr>
        <w:t xml:space="preserve">, </w:t>
      </w:r>
      <w:r w:rsidRPr="00445CEF">
        <w:rPr>
          <w:rFonts w:cs="Tahoma"/>
          <w:color w:val="auto"/>
        </w:rPr>
        <w:t>se emite</w:t>
      </w:r>
      <w:r w:rsidRPr="00445CEF">
        <w:rPr>
          <w:rFonts w:cs="Tahoma"/>
          <w:bCs/>
          <w:color w:val="auto"/>
        </w:rPr>
        <w:t xml:space="preserve"> la presente Resolución, con base en los Antecedentes y Considerandos que se exponen a continuación:</w:t>
      </w:r>
    </w:p>
    <w:p w14:paraId="134E03A6" w14:textId="77777777" w:rsidR="00DB3DC5" w:rsidRPr="00445CEF" w:rsidRDefault="00DB3DC5" w:rsidP="00A47C39">
      <w:pPr>
        <w:spacing w:after="0" w:line="360" w:lineRule="auto"/>
        <w:contextualSpacing/>
        <w:rPr>
          <w:rFonts w:eastAsia="Calibri" w:cs="Tahoma"/>
          <w:b/>
          <w:bCs/>
          <w:color w:val="auto"/>
          <w:lang w:val="es-ES"/>
        </w:rPr>
      </w:pPr>
    </w:p>
    <w:p w14:paraId="32EEB02D" w14:textId="336C2B40" w:rsidR="00DB3DC5" w:rsidRPr="00445CEF" w:rsidRDefault="00526F36" w:rsidP="00A47C39">
      <w:pPr>
        <w:spacing w:after="0" w:line="360" w:lineRule="auto"/>
        <w:contextualSpacing/>
        <w:jc w:val="center"/>
        <w:rPr>
          <w:rFonts w:eastAsia="Calibri" w:cs="Tahoma"/>
          <w:b/>
          <w:bCs/>
          <w:color w:val="auto"/>
          <w:lang w:val="es-ES"/>
        </w:rPr>
      </w:pPr>
      <w:r w:rsidRPr="00445CEF">
        <w:rPr>
          <w:rFonts w:eastAsia="Calibri" w:cs="Tahoma"/>
          <w:b/>
          <w:bCs/>
          <w:color w:val="auto"/>
          <w:lang w:val="es-ES"/>
        </w:rPr>
        <w:t>A N T E C E D E N T E S</w:t>
      </w:r>
    </w:p>
    <w:p w14:paraId="09E98305" w14:textId="77777777" w:rsidR="00DB3DC5" w:rsidRPr="00445CEF" w:rsidRDefault="00DB3DC5" w:rsidP="00A47C39">
      <w:pPr>
        <w:spacing w:after="0" w:line="360" w:lineRule="auto"/>
        <w:contextualSpacing/>
        <w:jc w:val="center"/>
        <w:rPr>
          <w:rFonts w:eastAsia="Calibri" w:cs="Tahoma"/>
          <w:b/>
          <w:bCs/>
          <w:color w:val="FF0000"/>
          <w:lang w:val="es-ES"/>
        </w:rPr>
      </w:pPr>
    </w:p>
    <w:p w14:paraId="5A91601B" w14:textId="3E7A0D8B" w:rsidR="00DB3DC5" w:rsidRPr="00445CEF" w:rsidRDefault="00DB3DC5" w:rsidP="00A47C39">
      <w:pPr>
        <w:spacing w:after="0" w:line="360" w:lineRule="auto"/>
        <w:contextualSpacing/>
        <w:rPr>
          <w:rFonts w:eastAsia="Calibri" w:cs="Tahoma"/>
          <w:b/>
          <w:bCs/>
          <w:color w:val="auto"/>
          <w:lang w:val="es-ES"/>
        </w:rPr>
      </w:pPr>
      <w:r w:rsidRPr="00445CEF">
        <w:rPr>
          <w:rFonts w:eastAsia="Calibri" w:cs="Tahoma"/>
          <w:b/>
          <w:bCs/>
          <w:color w:val="auto"/>
          <w:lang w:val="es-ES"/>
        </w:rPr>
        <w:t>I. Presentación de la</w:t>
      </w:r>
      <w:r w:rsidR="00345BB5" w:rsidRPr="00445CEF">
        <w:rPr>
          <w:rFonts w:eastAsia="Calibri" w:cs="Tahoma"/>
          <w:b/>
          <w:bCs/>
          <w:color w:val="auto"/>
          <w:lang w:val="es-ES"/>
        </w:rPr>
        <w:t>s</w:t>
      </w:r>
      <w:r w:rsidRPr="00445CEF">
        <w:rPr>
          <w:rFonts w:eastAsia="Calibri" w:cs="Tahoma"/>
          <w:b/>
          <w:bCs/>
          <w:color w:val="auto"/>
          <w:lang w:val="es-ES"/>
        </w:rPr>
        <w:t xml:space="preserve"> solicitud</w:t>
      </w:r>
      <w:r w:rsidR="00345BB5" w:rsidRPr="00445CEF">
        <w:rPr>
          <w:rFonts w:eastAsia="Calibri" w:cs="Tahoma"/>
          <w:b/>
          <w:bCs/>
          <w:color w:val="auto"/>
          <w:lang w:val="es-ES"/>
        </w:rPr>
        <w:t>es</w:t>
      </w:r>
      <w:r w:rsidRPr="00445CEF">
        <w:rPr>
          <w:rFonts w:eastAsia="Calibri" w:cs="Tahoma"/>
          <w:b/>
          <w:bCs/>
          <w:color w:val="auto"/>
          <w:lang w:val="es-ES"/>
        </w:rPr>
        <w:t xml:space="preserve"> de información</w:t>
      </w:r>
    </w:p>
    <w:p w14:paraId="2BA95CC3" w14:textId="77777777" w:rsidR="0041156D" w:rsidRPr="00445CEF" w:rsidRDefault="0041156D" w:rsidP="00A47C39">
      <w:pPr>
        <w:spacing w:after="0" w:line="360" w:lineRule="auto"/>
        <w:contextualSpacing/>
        <w:rPr>
          <w:rFonts w:eastAsia="Calibri" w:cs="Tahoma"/>
          <w:b/>
          <w:bCs/>
          <w:color w:val="FF0000"/>
          <w:lang w:val="es-ES"/>
        </w:rPr>
      </w:pPr>
    </w:p>
    <w:p w14:paraId="1620C68D" w14:textId="7D7D5D88" w:rsidR="00DB3DC5" w:rsidRPr="00445CEF" w:rsidRDefault="00DB3DC5" w:rsidP="00A47C39">
      <w:pPr>
        <w:spacing w:after="0" w:line="360" w:lineRule="auto"/>
        <w:contextualSpacing/>
        <w:rPr>
          <w:rFonts w:eastAsia="Calibri" w:cs="Tahoma"/>
          <w:color w:val="auto"/>
          <w:lang w:val="es-ES"/>
        </w:rPr>
      </w:pPr>
      <w:r w:rsidRPr="00445CEF">
        <w:rPr>
          <w:rFonts w:eastAsia="Calibri" w:cs="Tahoma"/>
          <w:color w:val="auto"/>
          <w:lang w:val="es-ES"/>
        </w:rPr>
        <w:t>Con fecha</w:t>
      </w:r>
      <w:r w:rsidR="004F631F" w:rsidRPr="00445CEF">
        <w:rPr>
          <w:rFonts w:eastAsia="Calibri" w:cs="Tahoma"/>
          <w:color w:val="auto"/>
          <w:lang w:val="es-ES"/>
        </w:rPr>
        <w:t xml:space="preserve"> veintinueve de agosto de dos mil veinticuatro, </w:t>
      </w:r>
      <w:r w:rsidR="006D549C" w:rsidRPr="00445CEF">
        <w:rPr>
          <w:rFonts w:eastAsia="Calibri" w:cs="Tahoma"/>
          <w:color w:val="auto"/>
          <w:lang w:val="es-ES"/>
        </w:rPr>
        <w:t>la persona Solicitante</w:t>
      </w:r>
      <w:r w:rsidRPr="00445CEF">
        <w:rPr>
          <w:rFonts w:eastAsia="Calibri" w:cs="Tahoma"/>
          <w:color w:val="auto"/>
          <w:lang w:val="es-ES"/>
        </w:rPr>
        <w:t xml:space="preserve"> presentó </w:t>
      </w:r>
      <w:r w:rsidR="004F631F" w:rsidRPr="00445CEF">
        <w:rPr>
          <w:rFonts w:eastAsia="Calibri" w:cs="Tahoma"/>
          <w:color w:val="auto"/>
          <w:lang w:val="es-ES"/>
        </w:rPr>
        <w:t xml:space="preserve">dos </w:t>
      </w:r>
      <w:r w:rsidR="006D549C" w:rsidRPr="00445CEF">
        <w:rPr>
          <w:rFonts w:eastAsia="Calibri" w:cs="Tahoma"/>
          <w:color w:val="auto"/>
          <w:lang w:val="es-ES"/>
        </w:rPr>
        <w:t>requerimientos</w:t>
      </w:r>
      <w:r w:rsidRPr="00445CEF">
        <w:rPr>
          <w:rFonts w:eastAsia="Calibri" w:cs="Tahoma"/>
          <w:color w:val="auto"/>
          <w:lang w:val="es-ES"/>
        </w:rPr>
        <w:t xml:space="preserve"> de acceso a la información, a través del Sistema de Acceso a la Información Mexiquense (SAIMEX), ante </w:t>
      </w:r>
      <w:r w:rsidR="008F2853" w:rsidRPr="00445CEF">
        <w:rPr>
          <w:rFonts w:eastAsia="Calibri" w:cs="Tahoma"/>
          <w:color w:val="auto"/>
          <w:lang w:val="es-ES"/>
        </w:rPr>
        <w:t>el Ayuntamiento de</w:t>
      </w:r>
      <w:r w:rsidR="004F631F" w:rsidRPr="00445CEF">
        <w:rPr>
          <w:rFonts w:eastAsia="Calibri" w:cs="Tahoma"/>
          <w:color w:val="auto"/>
          <w:lang w:val="es-ES"/>
        </w:rPr>
        <w:t xml:space="preserve"> Atlacomulco</w:t>
      </w:r>
      <w:r w:rsidR="008F2853" w:rsidRPr="00445CEF">
        <w:rPr>
          <w:rFonts w:eastAsia="Calibri" w:cs="Times New Roman"/>
          <w:b/>
          <w:bCs/>
          <w:color w:val="auto"/>
        </w:rPr>
        <w:t xml:space="preserve">, </w:t>
      </w:r>
      <w:r w:rsidRPr="00445CEF">
        <w:rPr>
          <w:rFonts w:cs="Tahoma"/>
          <w:color w:val="auto"/>
        </w:rPr>
        <w:t>en los siguientes términos:</w:t>
      </w:r>
    </w:p>
    <w:p w14:paraId="026DC16E" w14:textId="77777777" w:rsidR="00DB3DC5" w:rsidRPr="00445CEF" w:rsidRDefault="00DB3DC5" w:rsidP="00A47C39">
      <w:pPr>
        <w:pStyle w:val="Prrafodelista"/>
        <w:tabs>
          <w:tab w:val="left" w:pos="567"/>
        </w:tabs>
        <w:spacing w:after="0" w:line="360" w:lineRule="auto"/>
        <w:ind w:left="0"/>
        <w:rPr>
          <w:rFonts w:cs="Tahoma"/>
          <w:color w:val="auto"/>
          <w:lang w:val="es-ES"/>
        </w:rPr>
      </w:pPr>
    </w:p>
    <w:p w14:paraId="6020D2AE" w14:textId="32627622" w:rsidR="004F631F" w:rsidRPr="00445CEF" w:rsidRDefault="00345BB5" w:rsidP="00A47C39">
      <w:pPr>
        <w:tabs>
          <w:tab w:val="left" w:pos="4667"/>
        </w:tabs>
        <w:spacing w:after="0" w:line="360" w:lineRule="auto"/>
        <w:ind w:left="567" w:right="567"/>
        <w:contextualSpacing/>
        <w:rPr>
          <w:rFonts w:cs="Tahoma"/>
          <w:b/>
          <w:bCs/>
          <w:color w:val="auto"/>
          <w:sz w:val="20"/>
          <w:szCs w:val="20"/>
        </w:rPr>
      </w:pPr>
      <w:r w:rsidRPr="00445CEF">
        <w:rPr>
          <w:rFonts w:cs="Tahoma"/>
          <w:b/>
          <w:bCs/>
          <w:color w:val="auto"/>
          <w:sz w:val="20"/>
          <w:szCs w:val="20"/>
        </w:rPr>
        <w:t>Solicitud con número de folio</w:t>
      </w:r>
      <w:r w:rsidR="004F631F" w:rsidRPr="00445CEF">
        <w:rPr>
          <w:rFonts w:cs="Tahoma"/>
          <w:b/>
          <w:bCs/>
          <w:color w:val="auto"/>
          <w:sz w:val="20"/>
          <w:szCs w:val="20"/>
        </w:rPr>
        <w:t xml:space="preserve"> 00237/ATLACOM/IP/2024</w:t>
      </w:r>
    </w:p>
    <w:p w14:paraId="47A240E6" w14:textId="77AE3F58" w:rsidR="00DB3DC5" w:rsidRPr="00445CEF" w:rsidRDefault="00DB3DC5" w:rsidP="00A47C39">
      <w:pPr>
        <w:tabs>
          <w:tab w:val="left" w:pos="4667"/>
        </w:tabs>
        <w:spacing w:after="0" w:line="360" w:lineRule="auto"/>
        <w:ind w:left="567" w:right="567"/>
        <w:contextualSpacing/>
        <w:rPr>
          <w:rFonts w:cs="Tahoma"/>
          <w:b/>
          <w:bCs/>
          <w:color w:val="auto"/>
          <w:sz w:val="20"/>
          <w:szCs w:val="20"/>
        </w:rPr>
      </w:pPr>
      <w:r w:rsidRPr="00445CEF">
        <w:rPr>
          <w:rFonts w:cs="Tahoma"/>
          <w:b/>
          <w:bCs/>
          <w:color w:val="auto"/>
          <w:sz w:val="20"/>
          <w:szCs w:val="20"/>
        </w:rPr>
        <w:t>“DESCRIPCIÓN CLARA Y PRECISA DE LA INFORMACIÓN SOLICITADA</w:t>
      </w:r>
    </w:p>
    <w:p w14:paraId="183F3EBD" w14:textId="1411AABF" w:rsidR="00345BB5" w:rsidRPr="00445CEF" w:rsidRDefault="004F631F" w:rsidP="00A47C39">
      <w:pPr>
        <w:spacing w:after="0" w:line="360" w:lineRule="auto"/>
        <w:ind w:left="567" w:right="567"/>
        <w:contextualSpacing/>
        <w:rPr>
          <w:rFonts w:eastAsia="Times New Roman" w:cs="Arial"/>
          <w:bCs/>
          <w:i/>
          <w:color w:val="auto"/>
          <w:sz w:val="20"/>
          <w:szCs w:val="20"/>
          <w:lang w:eastAsia="es-ES"/>
        </w:rPr>
      </w:pPr>
      <w:proofErr w:type="gramStart"/>
      <w:r w:rsidRPr="00445CEF">
        <w:rPr>
          <w:rFonts w:eastAsia="Times New Roman" w:cs="Arial"/>
          <w:bCs/>
          <w:i/>
          <w:color w:val="auto"/>
          <w:sz w:val="20"/>
          <w:szCs w:val="20"/>
          <w:lang w:eastAsia="es-ES"/>
        </w:rPr>
        <w:t>requiero</w:t>
      </w:r>
      <w:proofErr w:type="gramEnd"/>
      <w:r w:rsidRPr="00445CEF">
        <w:rPr>
          <w:rFonts w:eastAsia="Times New Roman" w:cs="Arial"/>
          <w:bCs/>
          <w:i/>
          <w:color w:val="auto"/>
          <w:sz w:val="20"/>
          <w:szCs w:val="20"/>
          <w:lang w:eastAsia="es-ES"/>
        </w:rPr>
        <w:t xml:space="preserve"> </w:t>
      </w:r>
      <w:proofErr w:type="spellStart"/>
      <w:r w:rsidRPr="00445CEF">
        <w:rPr>
          <w:rFonts w:eastAsia="Times New Roman" w:cs="Arial"/>
          <w:bCs/>
          <w:i/>
          <w:color w:val="auto"/>
          <w:sz w:val="20"/>
          <w:szCs w:val="20"/>
          <w:lang w:eastAsia="es-ES"/>
        </w:rPr>
        <w:t>nomina</w:t>
      </w:r>
      <w:proofErr w:type="spellEnd"/>
      <w:r w:rsidRPr="00445CEF">
        <w:rPr>
          <w:rFonts w:eastAsia="Times New Roman" w:cs="Arial"/>
          <w:bCs/>
          <w:i/>
          <w:color w:val="auto"/>
          <w:sz w:val="20"/>
          <w:szCs w:val="20"/>
          <w:lang w:eastAsia="es-ES"/>
        </w:rPr>
        <w:t xml:space="preserve"> y movimientos de alta ante ISSEMYM de victoria romero cruz,</w:t>
      </w:r>
      <w:r w:rsidR="00AF189E" w:rsidRPr="00445CEF">
        <w:rPr>
          <w:rFonts w:eastAsia="Times New Roman" w:cs="Arial"/>
          <w:bCs/>
          <w:i/>
          <w:color w:val="auto"/>
          <w:sz w:val="20"/>
          <w:szCs w:val="20"/>
          <w:lang w:eastAsia="es-ES"/>
        </w:rPr>
        <w:t xml:space="preserve"> </w:t>
      </w:r>
      <w:proofErr w:type="spellStart"/>
      <w:r w:rsidRPr="00445CEF">
        <w:rPr>
          <w:rFonts w:eastAsia="Times New Roman" w:cs="Arial"/>
          <w:bCs/>
          <w:i/>
          <w:color w:val="auto"/>
          <w:sz w:val="20"/>
          <w:szCs w:val="20"/>
          <w:lang w:eastAsia="es-ES"/>
        </w:rPr>
        <w:t>viridiada</w:t>
      </w:r>
      <w:proofErr w:type="spellEnd"/>
      <w:r w:rsidRPr="00445CEF">
        <w:rPr>
          <w:rFonts w:eastAsia="Times New Roman" w:cs="Arial"/>
          <w:bCs/>
          <w:i/>
          <w:color w:val="auto"/>
          <w:sz w:val="20"/>
          <w:szCs w:val="20"/>
          <w:lang w:eastAsia="es-ES"/>
        </w:rPr>
        <w:t xml:space="preserve"> Figueroa romero, el hijo de </w:t>
      </w:r>
      <w:proofErr w:type="spellStart"/>
      <w:r w:rsidRPr="00445CEF">
        <w:rPr>
          <w:rFonts w:eastAsia="Times New Roman" w:cs="Arial"/>
          <w:bCs/>
          <w:i/>
          <w:color w:val="auto"/>
          <w:sz w:val="20"/>
          <w:szCs w:val="20"/>
          <w:lang w:eastAsia="es-ES"/>
        </w:rPr>
        <w:t>efrain</w:t>
      </w:r>
      <w:proofErr w:type="spellEnd"/>
      <w:r w:rsidRPr="00445CEF">
        <w:rPr>
          <w:rFonts w:eastAsia="Times New Roman" w:cs="Arial"/>
          <w:bCs/>
          <w:i/>
          <w:color w:val="auto"/>
          <w:sz w:val="20"/>
          <w:szCs w:val="20"/>
          <w:lang w:eastAsia="es-ES"/>
        </w:rPr>
        <w:t xml:space="preserve"> romero que se encuentra adscrito a tesorería, sus contratos laborales ,categoría ,puesto y funciones de cada uno”</w:t>
      </w:r>
      <w:r w:rsidR="00DB3DC5" w:rsidRPr="00445CEF">
        <w:rPr>
          <w:rFonts w:eastAsia="Times New Roman" w:cs="Arial"/>
          <w:bCs/>
          <w:i/>
          <w:color w:val="auto"/>
          <w:sz w:val="20"/>
          <w:szCs w:val="20"/>
          <w:lang w:eastAsia="es-ES"/>
        </w:rPr>
        <w:t xml:space="preserve"> </w:t>
      </w:r>
      <w:r w:rsidR="005C7D52" w:rsidRPr="00445CEF">
        <w:rPr>
          <w:rFonts w:eastAsia="Times New Roman" w:cs="Arial"/>
          <w:bCs/>
          <w:i/>
          <w:color w:val="auto"/>
          <w:sz w:val="20"/>
          <w:szCs w:val="20"/>
          <w:lang w:eastAsia="es-ES"/>
        </w:rPr>
        <w:t>(Sic)</w:t>
      </w:r>
    </w:p>
    <w:p w14:paraId="7C524BD3" w14:textId="77777777" w:rsidR="00F063F0" w:rsidRPr="00445CEF" w:rsidRDefault="00F063F0" w:rsidP="00A47C39">
      <w:pPr>
        <w:spacing w:after="0" w:line="360" w:lineRule="auto"/>
        <w:ind w:left="567" w:right="567"/>
        <w:contextualSpacing/>
        <w:rPr>
          <w:rFonts w:eastAsia="Times New Roman" w:cs="Times New Roman"/>
          <w:i/>
          <w:color w:val="auto"/>
          <w:sz w:val="20"/>
          <w:szCs w:val="20"/>
          <w:lang w:eastAsia="es-MX"/>
        </w:rPr>
      </w:pPr>
    </w:p>
    <w:p w14:paraId="36E8E3FC" w14:textId="100DE422" w:rsidR="00345BB5" w:rsidRPr="00445CEF" w:rsidRDefault="00345BB5" w:rsidP="00A47C39">
      <w:pPr>
        <w:tabs>
          <w:tab w:val="left" w:pos="4667"/>
        </w:tabs>
        <w:spacing w:after="0" w:line="360" w:lineRule="auto"/>
        <w:ind w:left="567" w:right="567"/>
        <w:contextualSpacing/>
        <w:rPr>
          <w:rFonts w:cs="Tahoma"/>
          <w:b/>
          <w:bCs/>
          <w:color w:val="auto"/>
          <w:sz w:val="16"/>
          <w:szCs w:val="18"/>
        </w:rPr>
      </w:pPr>
      <w:r w:rsidRPr="00445CEF">
        <w:rPr>
          <w:rFonts w:cs="Tahoma"/>
          <w:b/>
          <w:bCs/>
          <w:color w:val="auto"/>
          <w:sz w:val="20"/>
          <w:szCs w:val="20"/>
        </w:rPr>
        <w:t xml:space="preserve">Solicitud con número de </w:t>
      </w:r>
      <w:r w:rsidR="00AA49C0" w:rsidRPr="00445CEF">
        <w:rPr>
          <w:rFonts w:cs="Tahoma"/>
          <w:b/>
          <w:bCs/>
          <w:color w:val="auto"/>
          <w:sz w:val="20"/>
          <w:szCs w:val="20"/>
        </w:rPr>
        <w:t xml:space="preserve">folio </w:t>
      </w:r>
      <w:r w:rsidR="00BC24A4" w:rsidRPr="00445CEF">
        <w:rPr>
          <w:rFonts w:cs="Tahoma"/>
          <w:b/>
          <w:bCs/>
          <w:color w:val="auto"/>
          <w:sz w:val="20"/>
          <w:szCs w:val="20"/>
        </w:rPr>
        <w:t>00238/ATLACOM/IP/2024</w:t>
      </w:r>
    </w:p>
    <w:p w14:paraId="6A36D8B3" w14:textId="447C6355" w:rsidR="00345BB5" w:rsidRPr="00445CEF" w:rsidRDefault="00345BB5" w:rsidP="00A47C39">
      <w:pPr>
        <w:tabs>
          <w:tab w:val="left" w:pos="4667"/>
        </w:tabs>
        <w:spacing w:after="0" w:line="360" w:lineRule="auto"/>
        <w:ind w:left="567" w:right="567"/>
        <w:contextualSpacing/>
        <w:rPr>
          <w:rFonts w:cs="Tahoma"/>
          <w:b/>
          <w:bCs/>
          <w:i/>
          <w:color w:val="auto"/>
          <w:sz w:val="20"/>
          <w:szCs w:val="20"/>
        </w:rPr>
      </w:pPr>
      <w:r w:rsidRPr="00445CEF">
        <w:rPr>
          <w:rFonts w:cs="Tahoma"/>
          <w:b/>
          <w:bCs/>
          <w:i/>
          <w:color w:val="auto"/>
          <w:sz w:val="20"/>
          <w:szCs w:val="20"/>
        </w:rPr>
        <w:t>“DESCRIPCIÓN CLARA Y PRECISA DE LA INFORMACIÓN SOLICITADA</w:t>
      </w:r>
    </w:p>
    <w:p w14:paraId="29DEE75A" w14:textId="0F42DAC0" w:rsidR="00DB3DC5" w:rsidRPr="00445CEF" w:rsidRDefault="00BC24A4" w:rsidP="00A47C39">
      <w:pPr>
        <w:spacing w:after="0" w:line="360" w:lineRule="auto"/>
        <w:ind w:left="567" w:right="567"/>
        <w:contextualSpacing/>
        <w:rPr>
          <w:rFonts w:eastAsia="Times New Roman" w:cs="Arial"/>
          <w:bCs/>
          <w:i/>
          <w:color w:val="auto"/>
          <w:sz w:val="20"/>
          <w:szCs w:val="20"/>
          <w:lang w:eastAsia="es-ES"/>
        </w:rPr>
      </w:pPr>
      <w:proofErr w:type="gramStart"/>
      <w:r w:rsidRPr="00445CEF">
        <w:rPr>
          <w:rFonts w:eastAsia="Times New Roman" w:cs="Arial"/>
          <w:bCs/>
          <w:i/>
          <w:color w:val="auto"/>
          <w:sz w:val="20"/>
          <w:szCs w:val="20"/>
          <w:lang w:eastAsia="es-ES"/>
        </w:rPr>
        <w:lastRenderedPageBreak/>
        <w:t>recibos</w:t>
      </w:r>
      <w:proofErr w:type="gramEnd"/>
      <w:r w:rsidRPr="00445CEF">
        <w:rPr>
          <w:rFonts w:eastAsia="Times New Roman" w:cs="Arial"/>
          <w:bCs/>
          <w:i/>
          <w:color w:val="auto"/>
          <w:sz w:val="20"/>
          <w:szCs w:val="20"/>
          <w:lang w:eastAsia="es-ES"/>
        </w:rPr>
        <w:t xml:space="preserve"> de </w:t>
      </w:r>
      <w:proofErr w:type="spellStart"/>
      <w:r w:rsidRPr="00445CEF">
        <w:rPr>
          <w:rFonts w:eastAsia="Times New Roman" w:cs="Arial"/>
          <w:bCs/>
          <w:i/>
          <w:color w:val="auto"/>
          <w:sz w:val="20"/>
          <w:szCs w:val="20"/>
          <w:lang w:eastAsia="es-ES"/>
        </w:rPr>
        <w:t>nomina</w:t>
      </w:r>
      <w:proofErr w:type="spellEnd"/>
      <w:r w:rsidRPr="00445CEF">
        <w:rPr>
          <w:rFonts w:eastAsia="Times New Roman" w:cs="Arial"/>
          <w:bCs/>
          <w:i/>
          <w:color w:val="auto"/>
          <w:sz w:val="20"/>
          <w:szCs w:val="20"/>
          <w:lang w:eastAsia="es-ES"/>
        </w:rPr>
        <w:t xml:space="preserve"> desde 1 de enero de 2023 a la fecha de </w:t>
      </w:r>
      <w:proofErr w:type="spellStart"/>
      <w:r w:rsidRPr="00445CEF">
        <w:rPr>
          <w:rFonts w:eastAsia="Times New Roman" w:cs="Arial"/>
          <w:bCs/>
          <w:i/>
          <w:color w:val="auto"/>
          <w:sz w:val="20"/>
          <w:szCs w:val="20"/>
          <w:lang w:eastAsia="es-ES"/>
        </w:rPr>
        <w:t>Perama</w:t>
      </w:r>
      <w:proofErr w:type="spellEnd"/>
      <w:r w:rsidRPr="00445CEF">
        <w:rPr>
          <w:rFonts w:eastAsia="Times New Roman" w:cs="Arial"/>
          <w:bCs/>
          <w:i/>
          <w:color w:val="auto"/>
          <w:sz w:val="20"/>
          <w:szCs w:val="20"/>
          <w:lang w:eastAsia="es-ES"/>
        </w:rPr>
        <w:t xml:space="preserve"> </w:t>
      </w:r>
      <w:proofErr w:type="spellStart"/>
      <w:r w:rsidRPr="00445CEF">
        <w:rPr>
          <w:rFonts w:eastAsia="Times New Roman" w:cs="Arial"/>
          <w:bCs/>
          <w:i/>
          <w:color w:val="auto"/>
          <w:sz w:val="20"/>
          <w:szCs w:val="20"/>
          <w:lang w:eastAsia="es-ES"/>
        </w:rPr>
        <w:t>Colin</w:t>
      </w:r>
      <w:proofErr w:type="spellEnd"/>
      <w:r w:rsidRPr="00445CEF">
        <w:rPr>
          <w:rFonts w:eastAsia="Times New Roman" w:cs="Arial"/>
          <w:bCs/>
          <w:i/>
          <w:color w:val="auto"/>
          <w:sz w:val="20"/>
          <w:szCs w:val="20"/>
          <w:lang w:eastAsia="es-ES"/>
        </w:rPr>
        <w:t xml:space="preserve"> </w:t>
      </w:r>
      <w:proofErr w:type="spellStart"/>
      <w:r w:rsidRPr="00445CEF">
        <w:rPr>
          <w:rFonts w:eastAsia="Times New Roman" w:cs="Arial"/>
          <w:bCs/>
          <w:i/>
          <w:color w:val="auto"/>
          <w:sz w:val="20"/>
          <w:szCs w:val="20"/>
          <w:lang w:eastAsia="es-ES"/>
        </w:rPr>
        <w:t>Martinez</w:t>
      </w:r>
      <w:proofErr w:type="spellEnd"/>
      <w:r w:rsidRPr="00445CEF">
        <w:rPr>
          <w:rFonts w:eastAsia="Times New Roman" w:cs="Arial"/>
          <w:bCs/>
          <w:i/>
          <w:color w:val="auto"/>
          <w:sz w:val="20"/>
          <w:szCs w:val="20"/>
          <w:lang w:eastAsia="es-ES"/>
        </w:rPr>
        <w:t xml:space="preserve"> , movimiento de alta ante </w:t>
      </w:r>
      <w:proofErr w:type="spellStart"/>
      <w:r w:rsidRPr="00445CEF">
        <w:rPr>
          <w:rFonts w:eastAsia="Times New Roman" w:cs="Arial"/>
          <w:bCs/>
          <w:i/>
          <w:color w:val="auto"/>
          <w:sz w:val="20"/>
          <w:szCs w:val="20"/>
          <w:lang w:eastAsia="es-ES"/>
        </w:rPr>
        <w:t>isemymm</w:t>
      </w:r>
      <w:proofErr w:type="spellEnd"/>
      <w:r w:rsidRPr="00445CEF">
        <w:rPr>
          <w:rFonts w:eastAsia="Times New Roman" w:cs="Arial"/>
          <w:bCs/>
          <w:i/>
          <w:color w:val="auto"/>
          <w:sz w:val="20"/>
          <w:szCs w:val="20"/>
          <w:lang w:eastAsia="es-ES"/>
        </w:rPr>
        <w:t xml:space="preserve"> ,nombramiento , documento donde conste su horario de entrada y salida</w:t>
      </w:r>
      <w:r w:rsidR="00345BB5" w:rsidRPr="00445CEF">
        <w:rPr>
          <w:rFonts w:eastAsia="Times New Roman" w:cs="Arial"/>
          <w:bCs/>
          <w:i/>
          <w:color w:val="auto"/>
          <w:sz w:val="20"/>
          <w:szCs w:val="20"/>
          <w:lang w:eastAsia="es-ES"/>
        </w:rPr>
        <w:t>” (Sic)</w:t>
      </w:r>
    </w:p>
    <w:p w14:paraId="67F71256" w14:textId="77777777" w:rsidR="006613E9" w:rsidRPr="00445CEF" w:rsidRDefault="006613E9" w:rsidP="00A47C39">
      <w:pPr>
        <w:spacing w:after="0" w:line="360" w:lineRule="auto"/>
        <w:ind w:right="567"/>
        <w:contextualSpacing/>
        <w:rPr>
          <w:rFonts w:eastAsia="Times New Roman" w:cs="Arial"/>
          <w:bCs/>
          <w:i/>
          <w:color w:val="auto"/>
          <w:sz w:val="20"/>
          <w:szCs w:val="20"/>
          <w:lang w:eastAsia="es-ES"/>
        </w:rPr>
      </w:pPr>
    </w:p>
    <w:p w14:paraId="143ECF6C" w14:textId="45E1065C" w:rsidR="00345BB5" w:rsidRPr="00445CEF" w:rsidRDefault="00345BB5" w:rsidP="00A47C39">
      <w:pPr>
        <w:tabs>
          <w:tab w:val="left" w:pos="4667"/>
        </w:tabs>
        <w:spacing w:after="0" w:line="360" w:lineRule="auto"/>
        <w:rPr>
          <w:rFonts w:cs="Tahoma"/>
          <w:bCs/>
          <w:i/>
          <w:color w:val="auto"/>
        </w:rPr>
      </w:pPr>
      <w:r w:rsidRPr="00445CEF">
        <w:rPr>
          <w:rFonts w:cs="Tahoma"/>
          <w:bCs/>
          <w:iCs/>
          <w:color w:val="auto"/>
        </w:rPr>
        <w:t xml:space="preserve">Es de señalar que en las </w:t>
      </w:r>
      <w:r w:rsidR="00600A07" w:rsidRPr="00445CEF">
        <w:rPr>
          <w:rFonts w:cs="Tahoma"/>
          <w:bCs/>
          <w:iCs/>
          <w:color w:val="auto"/>
        </w:rPr>
        <w:t>tres</w:t>
      </w:r>
      <w:r w:rsidRPr="00445CEF">
        <w:rPr>
          <w:rFonts w:cs="Tahoma"/>
          <w:bCs/>
          <w:iCs/>
          <w:color w:val="auto"/>
        </w:rPr>
        <w:t xml:space="preserve"> solicitudes de acceso a la información el ahora Recurrente </w:t>
      </w:r>
      <w:r w:rsidR="006613E9" w:rsidRPr="00445CEF">
        <w:rPr>
          <w:rFonts w:cs="Tahoma"/>
          <w:bCs/>
          <w:iCs/>
          <w:color w:val="auto"/>
        </w:rPr>
        <w:t>eligió</w:t>
      </w:r>
      <w:r w:rsidRPr="00445CEF">
        <w:rPr>
          <w:rFonts w:cs="Tahoma"/>
          <w:bCs/>
          <w:iCs/>
          <w:color w:val="auto"/>
        </w:rPr>
        <w:t xml:space="preserve"> </w:t>
      </w:r>
      <w:r w:rsidR="006613E9" w:rsidRPr="00445CEF">
        <w:rPr>
          <w:rFonts w:cs="Tahoma"/>
          <w:bCs/>
          <w:iCs/>
          <w:color w:val="auto"/>
        </w:rPr>
        <w:t xml:space="preserve">como </w:t>
      </w:r>
      <w:r w:rsidRPr="00445CEF">
        <w:rPr>
          <w:rFonts w:cs="Tahoma"/>
          <w:bCs/>
          <w:iCs/>
          <w:color w:val="auto"/>
        </w:rPr>
        <w:t xml:space="preserve">modalidad de entrega de la información </w:t>
      </w:r>
      <w:r w:rsidRPr="00445CEF">
        <w:rPr>
          <w:rFonts w:cs="Tahoma"/>
          <w:bCs/>
          <w:i/>
          <w:color w:val="auto"/>
        </w:rPr>
        <w:t>“A través del SAIMEX”.</w:t>
      </w:r>
      <w:r w:rsidR="006613E9" w:rsidRPr="00445CEF">
        <w:rPr>
          <w:rFonts w:cs="Tahoma"/>
          <w:bCs/>
          <w:i/>
          <w:color w:val="auto"/>
        </w:rPr>
        <w:t xml:space="preserve"> </w:t>
      </w:r>
    </w:p>
    <w:p w14:paraId="05388F14" w14:textId="0B31D341" w:rsidR="00F5739B" w:rsidRPr="00445CEF" w:rsidRDefault="00F5739B" w:rsidP="00A47C39">
      <w:pPr>
        <w:spacing w:after="0" w:line="360" w:lineRule="auto"/>
        <w:contextualSpacing/>
        <w:rPr>
          <w:rFonts w:eastAsia="Calibri" w:cs="Tahoma"/>
          <w:bCs/>
          <w:color w:val="FF0000"/>
        </w:rPr>
      </w:pPr>
    </w:p>
    <w:p w14:paraId="592E7883" w14:textId="77777777" w:rsidR="00A6469E" w:rsidRPr="00445CEF" w:rsidRDefault="00A6469E" w:rsidP="00A47C39">
      <w:pPr>
        <w:spacing w:after="0" w:line="360" w:lineRule="auto"/>
        <w:contextualSpacing/>
        <w:rPr>
          <w:rFonts w:eastAsia="Calibri" w:cs="Tahoma"/>
          <w:b/>
          <w:bCs/>
          <w:color w:val="auto"/>
        </w:rPr>
      </w:pPr>
      <w:r w:rsidRPr="00445CEF">
        <w:rPr>
          <w:rFonts w:eastAsia="Calibri" w:cs="Tahoma"/>
          <w:b/>
          <w:bCs/>
          <w:color w:val="auto"/>
        </w:rPr>
        <w:t>II. Prórroga para atender las solicitudes de información</w:t>
      </w:r>
    </w:p>
    <w:p w14:paraId="7DE4A630" w14:textId="77777777" w:rsidR="00A6469E" w:rsidRPr="00445CEF" w:rsidRDefault="00A6469E" w:rsidP="00A47C39">
      <w:pPr>
        <w:tabs>
          <w:tab w:val="left" w:pos="4667"/>
        </w:tabs>
        <w:spacing w:after="0" w:line="360" w:lineRule="auto"/>
        <w:rPr>
          <w:rFonts w:cs="Tahoma"/>
          <w:bCs/>
          <w:iCs/>
          <w:color w:val="auto"/>
        </w:rPr>
      </w:pPr>
    </w:p>
    <w:p w14:paraId="4A9BBC9D" w14:textId="30F71FFA" w:rsidR="00A6469E" w:rsidRPr="00445CEF" w:rsidRDefault="00A6469E" w:rsidP="00A47C39">
      <w:pPr>
        <w:tabs>
          <w:tab w:val="left" w:pos="4667"/>
        </w:tabs>
        <w:spacing w:after="0" w:line="360" w:lineRule="auto"/>
        <w:rPr>
          <w:rFonts w:cs="Tahoma"/>
          <w:bCs/>
          <w:iCs/>
          <w:color w:val="auto"/>
        </w:rPr>
      </w:pPr>
      <w:r w:rsidRPr="00445CEF">
        <w:rPr>
          <w:rFonts w:cs="Tahoma"/>
          <w:bCs/>
          <w:iCs/>
          <w:color w:val="auto"/>
        </w:rPr>
        <w:t>En fecha veinte de septiembre de dos mil veinticuatro, el Sujeto Obligado, a través del Sistema de Acceso a la Información Mexiquense (SAIMEX), notificó una prórroga, mediante la cual aprueba la ampliación de término para atender los requerimientos informativos, en las dos solicitudes de información, en términos similares de conformidad con lo siguiente:</w:t>
      </w:r>
    </w:p>
    <w:p w14:paraId="7D627F96" w14:textId="77777777" w:rsidR="00A47C39" w:rsidRPr="00445CEF" w:rsidRDefault="00A47C39" w:rsidP="00A47C39">
      <w:pPr>
        <w:tabs>
          <w:tab w:val="left" w:pos="4667"/>
        </w:tabs>
        <w:spacing w:after="0" w:line="360" w:lineRule="auto"/>
        <w:rPr>
          <w:rFonts w:cs="Tahoma"/>
          <w:bCs/>
          <w:iCs/>
          <w:color w:val="auto"/>
        </w:rPr>
      </w:pPr>
    </w:p>
    <w:p w14:paraId="303EF8F8" w14:textId="3E7B9FE0" w:rsidR="00A6469E" w:rsidRPr="00445CEF" w:rsidRDefault="00A6469E" w:rsidP="00A47C39">
      <w:pPr>
        <w:spacing w:after="0" w:line="360" w:lineRule="auto"/>
        <w:ind w:left="567" w:right="567"/>
        <w:contextualSpacing/>
        <w:rPr>
          <w:rFonts w:eastAsia="Times New Roman" w:cs="Arial"/>
          <w:bCs/>
          <w:i/>
          <w:color w:val="auto"/>
          <w:sz w:val="20"/>
          <w:szCs w:val="20"/>
          <w:lang w:eastAsia="es-ES"/>
        </w:rPr>
      </w:pPr>
      <w:r w:rsidRPr="00445CEF">
        <w:rPr>
          <w:rFonts w:eastAsia="Times New Roman" w:cs="Arial"/>
          <w:bCs/>
          <w:i/>
          <w:color w:val="auto"/>
          <w:sz w:val="20"/>
          <w:szCs w:val="20"/>
          <w:lang w:eastAsia="es-E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7FABA6D" w14:textId="77777777" w:rsidR="00A6469E" w:rsidRPr="00445CEF" w:rsidRDefault="00A6469E" w:rsidP="00A47C39">
      <w:pPr>
        <w:spacing w:after="0" w:line="360" w:lineRule="auto"/>
        <w:ind w:left="567" w:right="567"/>
        <w:contextualSpacing/>
        <w:rPr>
          <w:rFonts w:eastAsia="Times New Roman" w:cs="Arial"/>
          <w:bCs/>
          <w:i/>
          <w:color w:val="auto"/>
          <w:sz w:val="20"/>
          <w:szCs w:val="20"/>
          <w:lang w:eastAsia="es-ES"/>
        </w:rPr>
      </w:pPr>
    </w:p>
    <w:p w14:paraId="4EFD5581" w14:textId="4F614FA1" w:rsidR="00A6469E" w:rsidRPr="00445CEF" w:rsidRDefault="00A6469E" w:rsidP="00A47C39">
      <w:pPr>
        <w:spacing w:after="0" w:line="360" w:lineRule="auto"/>
        <w:ind w:left="567" w:right="567"/>
        <w:contextualSpacing/>
        <w:rPr>
          <w:rFonts w:eastAsia="Times New Roman" w:cs="Arial"/>
          <w:bCs/>
          <w:i/>
          <w:color w:val="auto"/>
          <w:sz w:val="20"/>
          <w:szCs w:val="20"/>
          <w:lang w:eastAsia="es-ES"/>
        </w:rPr>
      </w:pPr>
      <w:r w:rsidRPr="00445CEF">
        <w:rPr>
          <w:rFonts w:eastAsia="Times New Roman" w:cs="Arial"/>
          <w:bCs/>
          <w:i/>
          <w:color w:val="auto"/>
          <w:sz w:val="20"/>
          <w:szCs w:val="20"/>
          <w:lang w:eastAsia="es-ES"/>
        </w:rPr>
        <w:t>Se aprueba prórroga en la Trigésima Quinta Sesión Extraordinaria del Comité de Transparencia…” (Sic)</w:t>
      </w:r>
    </w:p>
    <w:p w14:paraId="54494656" w14:textId="77777777" w:rsidR="00475911" w:rsidRPr="00445CEF" w:rsidRDefault="00475911" w:rsidP="00A47C39">
      <w:pPr>
        <w:spacing w:after="0" w:line="360" w:lineRule="auto"/>
        <w:ind w:left="567" w:right="567"/>
        <w:contextualSpacing/>
        <w:rPr>
          <w:rFonts w:eastAsia="Times New Roman" w:cs="Arial"/>
          <w:bCs/>
          <w:i/>
          <w:color w:val="auto"/>
          <w:sz w:val="20"/>
          <w:szCs w:val="20"/>
          <w:lang w:eastAsia="es-ES"/>
        </w:rPr>
      </w:pPr>
    </w:p>
    <w:p w14:paraId="6BDD54F7" w14:textId="7AE2199B" w:rsidR="00345BB5" w:rsidRPr="00445CEF" w:rsidRDefault="00DB3DC5" w:rsidP="00A47C39">
      <w:pPr>
        <w:spacing w:after="0" w:line="360" w:lineRule="auto"/>
        <w:contextualSpacing/>
        <w:rPr>
          <w:rFonts w:eastAsia="Calibri" w:cs="Tahoma"/>
          <w:b/>
          <w:bCs/>
          <w:color w:val="auto"/>
        </w:rPr>
      </w:pPr>
      <w:r w:rsidRPr="00445CEF">
        <w:rPr>
          <w:rFonts w:eastAsia="Calibri" w:cs="Tahoma"/>
          <w:b/>
          <w:bCs/>
          <w:color w:val="auto"/>
        </w:rPr>
        <w:t xml:space="preserve"> </w:t>
      </w:r>
      <w:r w:rsidR="00A6469E" w:rsidRPr="00445CEF">
        <w:rPr>
          <w:rFonts w:eastAsia="Calibri" w:cs="Tahoma"/>
          <w:b/>
          <w:bCs/>
          <w:color w:val="auto"/>
        </w:rPr>
        <w:t>I</w:t>
      </w:r>
      <w:r w:rsidRPr="00445CEF">
        <w:rPr>
          <w:rFonts w:eastAsia="Calibri" w:cs="Tahoma"/>
          <w:b/>
          <w:bCs/>
          <w:color w:val="auto"/>
        </w:rPr>
        <w:t>I</w:t>
      </w:r>
      <w:r w:rsidR="00892FA0" w:rsidRPr="00445CEF">
        <w:rPr>
          <w:rFonts w:eastAsia="Calibri" w:cs="Tahoma"/>
          <w:b/>
          <w:bCs/>
          <w:color w:val="auto"/>
        </w:rPr>
        <w:t>I</w:t>
      </w:r>
      <w:r w:rsidRPr="00445CEF">
        <w:rPr>
          <w:rFonts w:eastAsia="Calibri" w:cs="Tahoma"/>
          <w:b/>
          <w:bCs/>
          <w:color w:val="auto"/>
        </w:rPr>
        <w:t xml:space="preserve">. </w:t>
      </w:r>
      <w:r w:rsidRPr="00445CEF">
        <w:rPr>
          <w:rFonts w:eastAsia="Calibri" w:cs="Tahoma"/>
          <w:b/>
          <w:color w:val="auto"/>
        </w:rPr>
        <w:t>Respuesta</w:t>
      </w:r>
      <w:r w:rsidRPr="00445CEF">
        <w:rPr>
          <w:rFonts w:eastAsia="Calibri" w:cs="Tahoma"/>
          <w:b/>
          <w:bCs/>
          <w:color w:val="auto"/>
        </w:rPr>
        <w:t xml:space="preserve"> del Sujeto Obligado</w:t>
      </w:r>
    </w:p>
    <w:p w14:paraId="78C46042" w14:textId="77777777" w:rsidR="0041156D" w:rsidRPr="00445CEF" w:rsidRDefault="0041156D" w:rsidP="00A47C39">
      <w:pPr>
        <w:spacing w:after="0" w:line="360" w:lineRule="auto"/>
        <w:contextualSpacing/>
        <w:rPr>
          <w:rFonts w:eastAsia="Calibri" w:cs="Tahoma"/>
          <w:b/>
          <w:bCs/>
          <w:color w:val="FF0000"/>
        </w:rPr>
      </w:pPr>
    </w:p>
    <w:p w14:paraId="12EEC53D" w14:textId="32235799" w:rsidR="00345BB5" w:rsidRPr="00445CEF" w:rsidRDefault="00345BB5" w:rsidP="00A47C39">
      <w:pPr>
        <w:autoSpaceDE w:val="0"/>
        <w:autoSpaceDN w:val="0"/>
        <w:adjustRightInd w:val="0"/>
        <w:spacing w:after="0" w:line="360" w:lineRule="auto"/>
        <w:rPr>
          <w:bCs/>
          <w:color w:val="auto"/>
          <w:szCs w:val="14"/>
        </w:rPr>
      </w:pPr>
      <w:r w:rsidRPr="00445CEF">
        <w:rPr>
          <w:rFonts w:cs="Tahoma"/>
          <w:bCs/>
          <w:color w:val="auto"/>
          <w:lang w:val="es-ES_tradnl"/>
        </w:rPr>
        <w:t xml:space="preserve">Con </w:t>
      </w:r>
      <w:r w:rsidR="00F569CC" w:rsidRPr="00445CEF">
        <w:rPr>
          <w:rFonts w:cs="Tahoma"/>
          <w:bCs/>
          <w:color w:val="auto"/>
          <w:lang w:val="es-ES_tradnl"/>
        </w:rPr>
        <w:t>fecha dos</w:t>
      </w:r>
      <w:r w:rsidR="00374BDF" w:rsidRPr="00445CEF">
        <w:rPr>
          <w:rFonts w:cs="Tahoma"/>
          <w:bCs/>
          <w:color w:val="auto"/>
          <w:lang w:val="es-ES_tradnl"/>
        </w:rPr>
        <w:t xml:space="preserve"> de octubre de dos mil veinticuatro, </w:t>
      </w:r>
      <w:r w:rsidR="00B34D6B" w:rsidRPr="00445CEF">
        <w:rPr>
          <w:bCs/>
          <w:color w:val="auto"/>
          <w:szCs w:val="14"/>
        </w:rPr>
        <w:t>el Ayuntamiento de</w:t>
      </w:r>
      <w:r w:rsidR="00F569CC" w:rsidRPr="00445CEF">
        <w:rPr>
          <w:bCs/>
          <w:color w:val="auto"/>
          <w:szCs w:val="14"/>
        </w:rPr>
        <w:t xml:space="preserve"> Atlacomulco, notificó</w:t>
      </w:r>
      <w:r w:rsidRPr="00445CEF">
        <w:rPr>
          <w:rFonts w:cs="Tahoma"/>
          <w:bCs/>
          <w:color w:val="auto"/>
          <w:lang w:val="es-ES_tradnl"/>
        </w:rPr>
        <w:t xml:space="preserve"> la respuesta a las solicitudes, a través del Sistema de Acceso a la Información Mexiquense (SAIMEX), mediante l</w:t>
      </w:r>
      <w:r w:rsidR="00B77E40" w:rsidRPr="00445CEF">
        <w:rPr>
          <w:rFonts w:cs="Tahoma"/>
          <w:bCs/>
          <w:color w:val="auto"/>
          <w:lang w:val="es-ES_tradnl"/>
        </w:rPr>
        <w:t>a digitalización de los siguientes documentos:</w:t>
      </w:r>
      <w:r w:rsidRPr="00445CEF">
        <w:rPr>
          <w:rFonts w:cs="Tahoma"/>
          <w:bCs/>
          <w:color w:val="auto"/>
          <w:lang w:val="es-ES_tradnl"/>
        </w:rPr>
        <w:t xml:space="preserve"> </w:t>
      </w:r>
      <w:bookmarkStart w:id="1" w:name="_Hlk101903429"/>
    </w:p>
    <w:p w14:paraId="50FA0BFF" w14:textId="3BE701C6" w:rsidR="00345BB5" w:rsidRPr="00445CEF" w:rsidRDefault="00114372" w:rsidP="00A47C39">
      <w:pPr>
        <w:autoSpaceDE w:val="0"/>
        <w:autoSpaceDN w:val="0"/>
        <w:adjustRightInd w:val="0"/>
        <w:spacing w:after="0" w:line="360" w:lineRule="auto"/>
        <w:rPr>
          <w:rFonts w:cs="Tahoma"/>
          <w:bCs/>
          <w:color w:val="FF0000"/>
          <w:lang w:val="es-ES_tradnl"/>
        </w:rPr>
      </w:pPr>
      <w:r w:rsidRPr="00445CEF">
        <w:rPr>
          <w:rFonts w:cs="Tahoma"/>
          <w:bCs/>
          <w:color w:val="FF0000"/>
          <w:lang w:val="es-ES_tradnl"/>
        </w:rPr>
        <w:t xml:space="preserve"> </w:t>
      </w:r>
    </w:p>
    <w:bookmarkEnd w:id="1"/>
    <w:p w14:paraId="2BBB500A" w14:textId="3EDE8F42" w:rsidR="00B77E40" w:rsidRPr="00445CEF" w:rsidRDefault="00B77E40" w:rsidP="00A47C39">
      <w:pPr>
        <w:autoSpaceDE w:val="0"/>
        <w:autoSpaceDN w:val="0"/>
        <w:adjustRightInd w:val="0"/>
        <w:spacing w:after="0" w:line="360" w:lineRule="auto"/>
        <w:ind w:right="539"/>
        <w:rPr>
          <w:rFonts w:cs="Tahoma"/>
          <w:b/>
          <w:bCs/>
          <w:color w:val="auto"/>
          <w:lang w:val="es-ES_tradnl"/>
        </w:rPr>
      </w:pPr>
      <w:r w:rsidRPr="00445CEF">
        <w:rPr>
          <w:rFonts w:cs="Tahoma"/>
          <w:b/>
          <w:bCs/>
          <w:color w:val="auto"/>
          <w:lang w:val="es-ES_tradnl"/>
        </w:rPr>
        <w:t xml:space="preserve">Solicitud de Información </w:t>
      </w:r>
      <w:r w:rsidR="00114372" w:rsidRPr="00445CEF">
        <w:rPr>
          <w:rFonts w:cs="Tahoma"/>
          <w:b/>
          <w:bCs/>
          <w:color w:val="auto"/>
          <w:lang w:val="es-ES_tradnl"/>
        </w:rPr>
        <w:t>00237/ATLACOM/IP/2024</w:t>
      </w:r>
    </w:p>
    <w:p w14:paraId="79AD2036" w14:textId="2B072313" w:rsidR="006D549C" w:rsidRPr="00445CEF" w:rsidRDefault="00380681" w:rsidP="00A47C39">
      <w:pPr>
        <w:autoSpaceDE w:val="0"/>
        <w:autoSpaceDN w:val="0"/>
        <w:adjustRightInd w:val="0"/>
        <w:spacing w:after="0" w:line="360" w:lineRule="auto"/>
        <w:rPr>
          <w:rFonts w:cs="Tahoma"/>
          <w:color w:val="auto"/>
          <w:lang w:val="es-ES_tradnl"/>
        </w:rPr>
      </w:pPr>
      <w:bookmarkStart w:id="2" w:name="_Hlk181217954"/>
      <w:r w:rsidRPr="00445CEF">
        <w:rPr>
          <w:rFonts w:cs="Tahoma"/>
          <w:color w:val="auto"/>
          <w:lang w:val="es-ES_tradnl"/>
        </w:rPr>
        <w:lastRenderedPageBreak/>
        <w:t xml:space="preserve">i) </w:t>
      </w:r>
      <w:r w:rsidR="002008F5" w:rsidRPr="00445CEF">
        <w:rPr>
          <w:rFonts w:cs="Tahoma"/>
          <w:color w:val="auto"/>
          <w:lang w:val="es-ES_tradnl"/>
        </w:rPr>
        <w:t>Oficio número</w:t>
      </w:r>
      <w:r w:rsidRPr="00445CEF">
        <w:rPr>
          <w:rFonts w:cs="Tahoma"/>
          <w:color w:val="auto"/>
          <w:lang w:val="es-ES_tradnl"/>
        </w:rPr>
        <w:t xml:space="preserve"> TMA/STE/634/09/2024, del treinta de septiembre de </w:t>
      </w:r>
      <w:r w:rsidR="005E3CD1" w:rsidRPr="00445CEF">
        <w:rPr>
          <w:rFonts w:cs="Tahoma"/>
          <w:color w:val="auto"/>
          <w:lang w:val="es-ES_tradnl"/>
        </w:rPr>
        <w:t>dos mil veinticuatro, suscrito</w:t>
      </w:r>
      <w:r w:rsidRPr="00445CEF">
        <w:rPr>
          <w:rFonts w:cs="Tahoma"/>
          <w:color w:val="auto"/>
          <w:lang w:val="es-ES_tradnl"/>
        </w:rPr>
        <w:t xml:space="preserve"> por la Tesorera Municipal, dirigido a la Titular de la Unidad de Transparencia</w:t>
      </w:r>
      <w:r w:rsidR="005E3CD1" w:rsidRPr="00445CEF">
        <w:rPr>
          <w:rFonts w:cs="Tahoma"/>
          <w:color w:val="auto"/>
          <w:lang w:val="es-ES_tradnl"/>
        </w:rPr>
        <w:t xml:space="preserve">, por medio del cual se menciona lo siguiente: </w:t>
      </w:r>
    </w:p>
    <w:p w14:paraId="2CB61F6D" w14:textId="77777777" w:rsidR="004F63EC" w:rsidRPr="00445CEF" w:rsidRDefault="004F63EC" w:rsidP="00A47C39">
      <w:pPr>
        <w:autoSpaceDE w:val="0"/>
        <w:autoSpaceDN w:val="0"/>
        <w:adjustRightInd w:val="0"/>
        <w:spacing w:after="0" w:line="360" w:lineRule="auto"/>
        <w:rPr>
          <w:rFonts w:cs="Tahoma"/>
          <w:color w:val="FF0000"/>
          <w:lang w:val="es-ES_tradnl"/>
        </w:rPr>
      </w:pPr>
    </w:p>
    <w:p w14:paraId="4E0C32B6" w14:textId="034FD0F6" w:rsidR="008378FA" w:rsidRPr="00445CEF" w:rsidRDefault="008378FA" w:rsidP="00A47C39">
      <w:pPr>
        <w:spacing w:after="0" w:line="360" w:lineRule="auto"/>
        <w:ind w:left="567" w:right="567"/>
        <w:contextualSpacing/>
        <w:rPr>
          <w:i/>
          <w:iCs/>
          <w:color w:val="auto"/>
          <w:sz w:val="20"/>
          <w:szCs w:val="20"/>
        </w:rPr>
      </w:pPr>
      <w:r w:rsidRPr="00445CEF">
        <w:rPr>
          <w:i/>
          <w:iCs/>
          <w:color w:val="auto"/>
          <w:sz w:val="20"/>
          <w:szCs w:val="20"/>
        </w:rPr>
        <w:t>“…</w:t>
      </w:r>
      <w:r w:rsidR="008E0568" w:rsidRPr="00445CEF">
        <w:rPr>
          <w:i/>
          <w:iCs/>
          <w:color w:val="auto"/>
          <w:sz w:val="20"/>
          <w:szCs w:val="20"/>
        </w:rPr>
        <w:t>En cumplimiento a los artículos 12 y 59 fracciones I, II y III de la Ley de Transparencia y Acceso a la Información Pública del Estado de México y Municipios, y de acuerdo a los archivos que obran en la Tesorería Municipal, esta unidad administrativa emite respuesta del siguiente punto de la solicitud:</w:t>
      </w:r>
    </w:p>
    <w:p w14:paraId="0E754863" w14:textId="77777777" w:rsidR="008E0568" w:rsidRPr="00445CEF" w:rsidRDefault="008E0568" w:rsidP="00A47C39">
      <w:pPr>
        <w:spacing w:after="0" w:line="360" w:lineRule="auto"/>
        <w:ind w:left="567" w:right="567"/>
        <w:contextualSpacing/>
        <w:rPr>
          <w:i/>
          <w:iCs/>
          <w:color w:val="auto"/>
          <w:sz w:val="20"/>
          <w:szCs w:val="20"/>
        </w:rPr>
      </w:pPr>
    </w:p>
    <w:p w14:paraId="3383E448" w14:textId="7D587B75" w:rsidR="008E0568" w:rsidRPr="00445CEF" w:rsidRDefault="008E0568" w:rsidP="00A47C39">
      <w:pPr>
        <w:pStyle w:val="Prrafodelista"/>
        <w:numPr>
          <w:ilvl w:val="0"/>
          <w:numId w:val="22"/>
        </w:numPr>
        <w:spacing w:after="0" w:line="360" w:lineRule="auto"/>
        <w:ind w:right="567"/>
        <w:rPr>
          <w:b/>
          <w:bCs/>
          <w:i/>
          <w:iCs/>
          <w:color w:val="auto"/>
          <w:sz w:val="20"/>
          <w:szCs w:val="20"/>
        </w:rPr>
      </w:pPr>
      <w:r w:rsidRPr="00445CEF">
        <w:rPr>
          <w:b/>
          <w:bCs/>
          <w:i/>
          <w:iCs/>
          <w:color w:val="auto"/>
          <w:sz w:val="20"/>
          <w:szCs w:val="20"/>
        </w:rPr>
        <w:t xml:space="preserve">Requiero nomina… de victoria romero cruz, Viridiana Figueroa romero, el hijo de </w:t>
      </w:r>
      <w:proofErr w:type="spellStart"/>
      <w:r w:rsidRPr="00445CEF">
        <w:rPr>
          <w:b/>
          <w:bCs/>
          <w:i/>
          <w:iCs/>
          <w:color w:val="auto"/>
          <w:sz w:val="20"/>
          <w:szCs w:val="20"/>
        </w:rPr>
        <w:t>efrain</w:t>
      </w:r>
      <w:proofErr w:type="spellEnd"/>
      <w:r w:rsidRPr="00445CEF">
        <w:rPr>
          <w:b/>
          <w:bCs/>
          <w:i/>
          <w:iCs/>
          <w:color w:val="auto"/>
          <w:sz w:val="20"/>
          <w:szCs w:val="20"/>
        </w:rPr>
        <w:t xml:space="preserve"> romero que se encuentra adscrito a tesorería, …</w:t>
      </w:r>
    </w:p>
    <w:p w14:paraId="01B0D5BE" w14:textId="77777777" w:rsidR="008E0568" w:rsidRPr="00445CEF" w:rsidRDefault="008E0568" w:rsidP="00A47C39">
      <w:pPr>
        <w:spacing w:after="0" w:line="360" w:lineRule="auto"/>
        <w:ind w:left="567" w:right="567"/>
        <w:rPr>
          <w:b/>
          <w:bCs/>
          <w:i/>
          <w:iCs/>
          <w:color w:val="auto"/>
          <w:sz w:val="20"/>
          <w:szCs w:val="20"/>
        </w:rPr>
      </w:pPr>
    </w:p>
    <w:p w14:paraId="41E0B5CD" w14:textId="125F92F6" w:rsidR="008E0568" w:rsidRPr="00445CEF" w:rsidRDefault="005830BF" w:rsidP="00A47C39">
      <w:pPr>
        <w:spacing w:after="0" w:line="360" w:lineRule="auto"/>
        <w:ind w:left="567" w:right="567"/>
        <w:rPr>
          <w:i/>
          <w:iCs/>
          <w:color w:val="auto"/>
          <w:sz w:val="20"/>
          <w:szCs w:val="20"/>
        </w:rPr>
      </w:pPr>
      <w:r w:rsidRPr="00445CEF">
        <w:rPr>
          <w:i/>
          <w:iCs/>
          <w:color w:val="auto"/>
          <w:sz w:val="20"/>
          <w:szCs w:val="20"/>
        </w:rPr>
        <w:t>Respuesta: Se informa que no se encontró registro alguno de servidoras públicas del Ayuntamiento de Atlacomulco con los nombres de “victoria romero cruz” y “</w:t>
      </w:r>
      <w:proofErr w:type="spellStart"/>
      <w:r w:rsidRPr="00445CEF">
        <w:rPr>
          <w:i/>
          <w:iCs/>
          <w:color w:val="auto"/>
          <w:sz w:val="20"/>
          <w:szCs w:val="20"/>
        </w:rPr>
        <w:t>viridiana</w:t>
      </w:r>
      <w:proofErr w:type="spellEnd"/>
      <w:r w:rsidRPr="00445CEF">
        <w:rPr>
          <w:i/>
          <w:iCs/>
          <w:color w:val="auto"/>
          <w:sz w:val="20"/>
          <w:szCs w:val="20"/>
        </w:rPr>
        <w:t xml:space="preserve"> Figueroa romero”, con respecto al punto de “el hijo de </w:t>
      </w:r>
      <w:proofErr w:type="spellStart"/>
      <w:r w:rsidRPr="00445CEF">
        <w:rPr>
          <w:i/>
          <w:iCs/>
          <w:color w:val="auto"/>
          <w:sz w:val="20"/>
          <w:szCs w:val="20"/>
        </w:rPr>
        <w:t>efrain</w:t>
      </w:r>
      <w:proofErr w:type="spellEnd"/>
      <w:r w:rsidRPr="00445CEF">
        <w:rPr>
          <w:i/>
          <w:iCs/>
          <w:color w:val="auto"/>
          <w:sz w:val="20"/>
          <w:szCs w:val="20"/>
        </w:rPr>
        <w:t xml:space="preserve"> romero”, se informa que es necesario se solicite el nombre completo </w:t>
      </w:r>
      <w:r w:rsidR="006C661F" w:rsidRPr="00445CEF">
        <w:rPr>
          <w:i/>
          <w:iCs/>
          <w:color w:val="auto"/>
          <w:sz w:val="20"/>
          <w:szCs w:val="20"/>
        </w:rPr>
        <w:t>para estar en condiciones de realizar la búsqueda en los archivos que obran en la Tesorería Municipal</w:t>
      </w:r>
      <w:r w:rsidR="00E64E77" w:rsidRPr="00445CEF">
        <w:rPr>
          <w:i/>
          <w:iCs/>
          <w:color w:val="auto"/>
          <w:sz w:val="20"/>
          <w:szCs w:val="20"/>
        </w:rPr>
        <w:t xml:space="preserve">…” </w:t>
      </w:r>
      <w:r w:rsidR="00F24C9A" w:rsidRPr="00445CEF">
        <w:rPr>
          <w:i/>
          <w:iCs/>
          <w:color w:val="auto"/>
          <w:sz w:val="20"/>
          <w:szCs w:val="20"/>
        </w:rPr>
        <w:t>(Sic)</w:t>
      </w:r>
    </w:p>
    <w:p w14:paraId="292685DE" w14:textId="77777777" w:rsidR="008378FA" w:rsidRPr="00445CEF" w:rsidRDefault="008378FA" w:rsidP="00A47C39">
      <w:pPr>
        <w:autoSpaceDE w:val="0"/>
        <w:autoSpaceDN w:val="0"/>
        <w:adjustRightInd w:val="0"/>
        <w:spacing w:after="0" w:line="360" w:lineRule="auto"/>
        <w:rPr>
          <w:rFonts w:cs="Tahoma"/>
          <w:color w:val="FF0000"/>
          <w:lang w:val="es-ES_tradnl"/>
        </w:rPr>
      </w:pPr>
    </w:p>
    <w:p w14:paraId="188B93B5" w14:textId="04FA7611" w:rsidR="00CF5C61" w:rsidRPr="00445CEF" w:rsidRDefault="008378FA" w:rsidP="00A47C39">
      <w:pPr>
        <w:autoSpaceDE w:val="0"/>
        <w:autoSpaceDN w:val="0"/>
        <w:adjustRightInd w:val="0"/>
        <w:spacing w:after="0" w:line="360" w:lineRule="auto"/>
        <w:rPr>
          <w:rFonts w:cs="Tahoma"/>
          <w:color w:val="auto"/>
          <w:lang w:val="es-ES_tradnl"/>
        </w:rPr>
      </w:pPr>
      <w:r w:rsidRPr="00445CEF">
        <w:rPr>
          <w:rFonts w:cs="Tahoma"/>
          <w:color w:val="auto"/>
          <w:lang w:val="es-ES_tradnl"/>
        </w:rPr>
        <w:t xml:space="preserve">ii) </w:t>
      </w:r>
      <w:r w:rsidR="00B60E64" w:rsidRPr="00445CEF">
        <w:rPr>
          <w:rFonts w:cs="Tahoma"/>
          <w:color w:val="auto"/>
          <w:lang w:val="es-ES_tradnl"/>
        </w:rPr>
        <w:t xml:space="preserve">Oficio número </w:t>
      </w:r>
      <w:r w:rsidR="00CF5C61" w:rsidRPr="00445CEF">
        <w:rPr>
          <w:rFonts w:cs="Tahoma"/>
          <w:color w:val="auto"/>
          <w:lang w:val="es-ES_tradnl"/>
        </w:rPr>
        <w:t>ADMON/RH/1153/09/24 de fecha veinticinco de septiembre de dos mil veinticuatro, suscrito por el Jefe de Departamento de Recursos Humanos, dirigido a la Titular de la Unidad de Transparencia</w:t>
      </w:r>
      <w:r w:rsidR="001C2FE7" w:rsidRPr="00445CEF">
        <w:rPr>
          <w:rFonts w:cs="Tahoma"/>
          <w:color w:val="auto"/>
          <w:lang w:val="es-ES_tradnl"/>
        </w:rPr>
        <w:t>,</w:t>
      </w:r>
      <w:r w:rsidR="00CF5C61" w:rsidRPr="00445CEF">
        <w:rPr>
          <w:rFonts w:cs="Tahoma"/>
          <w:color w:val="auto"/>
          <w:lang w:val="es-ES_tradnl"/>
        </w:rPr>
        <w:t xml:space="preserve"> por medio del cual se menciona lo siguiente:</w:t>
      </w:r>
    </w:p>
    <w:p w14:paraId="62DC0B1F" w14:textId="77777777" w:rsidR="000A1E4B" w:rsidRPr="00445CEF" w:rsidRDefault="000A1E4B" w:rsidP="00A47C39">
      <w:pPr>
        <w:autoSpaceDE w:val="0"/>
        <w:autoSpaceDN w:val="0"/>
        <w:adjustRightInd w:val="0"/>
        <w:spacing w:after="0" w:line="360" w:lineRule="auto"/>
        <w:rPr>
          <w:rFonts w:cs="Tahoma"/>
          <w:color w:val="auto"/>
          <w:lang w:val="es-ES_tradnl"/>
        </w:rPr>
      </w:pPr>
    </w:p>
    <w:p w14:paraId="5E52FFA3" w14:textId="3DCE3F0E" w:rsidR="00CF5C61" w:rsidRPr="00445CEF" w:rsidRDefault="000A1E4B" w:rsidP="00A47C39">
      <w:pPr>
        <w:spacing w:after="0" w:line="360" w:lineRule="auto"/>
        <w:ind w:left="567" w:right="567"/>
        <w:contextualSpacing/>
        <w:rPr>
          <w:i/>
          <w:iCs/>
          <w:color w:val="auto"/>
          <w:sz w:val="20"/>
          <w:szCs w:val="20"/>
        </w:rPr>
      </w:pPr>
      <w:r w:rsidRPr="00445CEF">
        <w:rPr>
          <w:i/>
          <w:iCs/>
          <w:color w:val="auto"/>
          <w:sz w:val="20"/>
          <w:szCs w:val="20"/>
        </w:rPr>
        <w:t>“…</w:t>
      </w:r>
      <w:r w:rsidR="00CF5C61" w:rsidRPr="00445CEF">
        <w:rPr>
          <w:i/>
          <w:iCs/>
          <w:color w:val="auto"/>
          <w:sz w:val="20"/>
          <w:szCs w:val="20"/>
        </w:rPr>
        <w:t>Al respecto le informo a usted que atendiendo el requerimiento de información se hace de su conocimiento que no se encontró registro alguno de servidoras públicas del Ayuntamiento de Atlacomulco con los nombres de “victoria romero cruz” y “</w:t>
      </w:r>
      <w:proofErr w:type="spellStart"/>
      <w:r w:rsidR="00CF5C61" w:rsidRPr="00445CEF">
        <w:rPr>
          <w:i/>
          <w:iCs/>
          <w:color w:val="auto"/>
          <w:sz w:val="20"/>
          <w:szCs w:val="20"/>
        </w:rPr>
        <w:t>viridiana</w:t>
      </w:r>
      <w:proofErr w:type="spellEnd"/>
      <w:r w:rsidR="00CF5C61" w:rsidRPr="00445CEF">
        <w:rPr>
          <w:i/>
          <w:iCs/>
          <w:color w:val="auto"/>
          <w:sz w:val="20"/>
          <w:szCs w:val="20"/>
        </w:rPr>
        <w:t xml:space="preserve"> Figueroa romero”, con respecto al punto de “el hijo de </w:t>
      </w:r>
      <w:proofErr w:type="spellStart"/>
      <w:r w:rsidR="00CF5C61" w:rsidRPr="00445CEF">
        <w:rPr>
          <w:i/>
          <w:iCs/>
          <w:color w:val="auto"/>
          <w:sz w:val="20"/>
          <w:szCs w:val="20"/>
        </w:rPr>
        <w:t>Efrain</w:t>
      </w:r>
      <w:proofErr w:type="spellEnd"/>
      <w:r w:rsidR="00CF5C61" w:rsidRPr="00445CEF">
        <w:rPr>
          <w:i/>
          <w:iCs/>
          <w:color w:val="auto"/>
          <w:sz w:val="20"/>
          <w:szCs w:val="20"/>
        </w:rPr>
        <w:t xml:space="preserve"> romero”, se informa que es necesario se solicite el nombre completo para estar en condiciones de realizar la búsqueda en los archivos que obran en este Departamento de Recursos Humanos..”</w:t>
      </w:r>
    </w:p>
    <w:p w14:paraId="16041319" w14:textId="77777777" w:rsidR="00CF5C61" w:rsidRPr="00445CEF" w:rsidRDefault="00CF5C61" w:rsidP="00A47C39">
      <w:pPr>
        <w:spacing w:after="0" w:line="360" w:lineRule="auto"/>
        <w:ind w:left="567" w:right="567"/>
        <w:contextualSpacing/>
        <w:rPr>
          <w:i/>
          <w:iCs/>
          <w:color w:val="FF0000"/>
          <w:sz w:val="20"/>
          <w:szCs w:val="20"/>
        </w:rPr>
      </w:pPr>
    </w:p>
    <w:p w14:paraId="4B7028F4" w14:textId="109CA302" w:rsidR="0061661B" w:rsidRPr="00445CEF" w:rsidRDefault="00614002" w:rsidP="00A47C39">
      <w:pPr>
        <w:autoSpaceDE w:val="0"/>
        <w:autoSpaceDN w:val="0"/>
        <w:adjustRightInd w:val="0"/>
        <w:spacing w:after="0" w:line="360" w:lineRule="auto"/>
        <w:rPr>
          <w:i/>
          <w:iCs/>
          <w:color w:val="auto"/>
          <w:sz w:val="20"/>
          <w:szCs w:val="20"/>
        </w:rPr>
      </w:pPr>
      <w:bookmarkStart w:id="3" w:name="_Hlk101893356"/>
      <w:r w:rsidRPr="00445CEF">
        <w:rPr>
          <w:rFonts w:cs="Tahoma"/>
          <w:color w:val="auto"/>
          <w:lang w:val="es-ES_tradnl"/>
        </w:rPr>
        <w:lastRenderedPageBreak/>
        <w:t>i</w:t>
      </w:r>
      <w:r w:rsidR="00236C7A" w:rsidRPr="00445CEF">
        <w:rPr>
          <w:rFonts w:cs="Tahoma"/>
          <w:color w:val="auto"/>
          <w:lang w:val="es-ES_tradnl"/>
        </w:rPr>
        <w:t xml:space="preserve">ii) </w:t>
      </w:r>
      <w:r w:rsidR="001C2FE7" w:rsidRPr="00445CEF">
        <w:rPr>
          <w:rFonts w:cs="Tahoma"/>
          <w:color w:val="auto"/>
          <w:lang w:val="es-ES_tradnl"/>
        </w:rPr>
        <w:t xml:space="preserve">Oficio PM/UT/466/2024 de fecha veintitrés de septiembre de dos mil veinticuatro, suscrito por la Titular de la Unidad de Transparencia, dirigido al Solicitante, por medio del cual </w:t>
      </w:r>
      <w:r w:rsidR="0061661B" w:rsidRPr="00445CEF">
        <w:rPr>
          <w:rFonts w:cs="Tahoma"/>
          <w:color w:val="auto"/>
          <w:lang w:val="es-ES_tradnl"/>
        </w:rPr>
        <w:t>se realizó el turnó del requerimiento informativo.</w:t>
      </w:r>
    </w:p>
    <w:p w14:paraId="328DC9FE" w14:textId="77777777" w:rsidR="00614002" w:rsidRPr="00445CEF" w:rsidRDefault="00614002" w:rsidP="00A47C39">
      <w:pPr>
        <w:autoSpaceDE w:val="0"/>
        <w:autoSpaceDN w:val="0"/>
        <w:adjustRightInd w:val="0"/>
        <w:spacing w:after="0" w:line="360" w:lineRule="auto"/>
        <w:rPr>
          <w:rFonts w:cs="Tahoma"/>
          <w:color w:val="FF0000"/>
          <w:lang w:val="es-ES_tradnl"/>
        </w:rPr>
      </w:pPr>
    </w:p>
    <w:p w14:paraId="166279FE" w14:textId="44CAC73E" w:rsidR="005B6D7A" w:rsidRPr="00445CEF" w:rsidRDefault="005B6D7A" w:rsidP="00A47C39">
      <w:pPr>
        <w:autoSpaceDE w:val="0"/>
        <w:autoSpaceDN w:val="0"/>
        <w:adjustRightInd w:val="0"/>
        <w:spacing w:after="0" w:line="360" w:lineRule="auto"/>
        <w:ind w:right="539"/>
        <w:rPr>
          <w:rFonts w:cs="Tahoma"/>
          <w:b/>
          <w:bCs/>
          <w:color w:val="auto"/>
          <w:lang w:val="es-ES_tradnl"/>
        </w:rPr>
      </w:pPr>
      <w:r w:rsidRPr="00445CEF">
        <w:rPr>
          <w:rFonts w:cs="Tahoma"/>
          <w:b/>
          <w:bCs/>
          <w:color w:val="auto"/>
          <w:lang w:val="es-ES_tradnl"/>
        </w:rPr>
        <w:t xml:space="preserve">Solicitud </w:t>
      </w:r>
      <w:r w:rsidR="00CB4885" w:rsidRPr="00445CEF">
        <w:rPr>
          <w:rFonts w:cs="Tahoma"/>
          <w:b/>
          <w:bCs/>
          <w:color w:val="auto"/>
          <w:lang w:val="es-ES_tradnl"/>
        </w:rPr>
        <w:t xml:space="preserve">de Información </w:t>
      </w:r>
      <w:r w:rsidR="00CD0181" w:rsidRPr="00445CEF">
        <w:rPr>
          <w:rFonts w:cs="Tahoma"/>
          <w:b/>
          <w:bCs/>
          <w:color w:val="auto"/>
          <w:lang w:val="es-ES_tradnl"/>
        </w:rPr>
        <w:t>00238/ATLACOM/IP/2024</w:t>
      </w:r>
    </w:p>
    <w:p w14:paraId="6F679105" w14:textId="77777777" w:rsidR="002C7D9C" w:rsidRPr="00445CEF" w:rsidRDefault="002C7D9C" w:rsidP="00A47C39">
      <w:pPr>
        <w:autoSpaceDE w:val="0"/>
        <w:autoSpaceDN w:val="0"/>
        <w:adjustRightInd w:val="0"/>
        <w:spacing w:after="0" w:line="360" w:lineRule="auto"/>
        <w:ind w:right="539"/>
        <w:rPr>
          <w:rFonts w:cs="Tahoma"/>
          <w:b/>
          <w:bCs/>
          <w:color w:val="FF0000"/>
          <w:lang w:val="es-ES_tradnl"/>
        </w:rPr>
      </w:pPr>
    </w:p>
    <w:p w14:paraId="37377039" w14:textId="354EC956" w:rsidR="00C3578F" w:rsidRPr="00445CEF" w:rsidRDefault="00C3578F" w:rsidP="00A47C39">
      <w:pPr>
        <w:autoSpaceDE w:val="0"/>
        <w:autoSpaceDN w:val="0"/>
        <w:adjustRightInd w:val="0"/>
        <w:spacing w:after="0" w:line="360" w:lineRule="auto"/>
        <w:rPr>
          <w:rFonts w:cs="Tahoma"/>
          <w:color w:val="auto"/>
          <w:lang w:val="es-ES_tradnl"/>
        </w:rPr>
      </w:pPr>
      <w:r w:rsidRPr="00445CEF">
        <w:rPr>
          <w:rFonts w:cs="Tahoma"/>
          <w:color w:val="auto"/>
          <w:lang w:val="es-ES_tradnl"/>
        </w:rPr>
        <w:t xml:space="preserve">i) </w:t>
      </w:r>
      <w:r w:rsidR="00602524" w:rsidRPr="00445CEF">
        <w:rPr>
          <w:rFonts w:cs="Tahoma"/>
          <w:color w:val="auto"/>
          <w:lang w:val="es-ES_tradnl"/>
        </w:rPr>
        <w:t xml:space="preserve">Oficio número </w:t>
      </w:r>
      <w:r w:rsidR="00CD0181" w:rsidRPr="00445CEF">
        <w:rPr>
          <w:rFonts w:cs="Tahoma"/>
          <w:color w:val="auto"/>
          <w:lang w:val="es-ES_tradnl"/>
        </w:rPr>
        <w:t xml:space="preserve">ADMON/RH/1114/09/24 de fecha seis de septiembre de dos mil veinticuatro, suscrito por el Jefe de Departamento de Recursos Humanos, dirigido a la Titular de la Unidad de Transparencia, </w:t>
      </w:r>
      <w:r w:rsidR="001015F5" w:rsidRPr="00445CEF">
        <w:rPr>
          <w:color w:val="auto"/>
        </w:rPr>
        <w:t>por medio del cual se menciona lo siguiente:</w:t>
      </w:r>
    </w:p>
    <w:p w14:paraId="1919A005" w14:textId="77777777" w:rsidR="0041156D" w:rsidRPr="00445CEF" w:rsidRDefault="0041156D" w:rsidP="00A47C39">
      <w:pPr>
        <w:autoSpaceDE w:val="0"/>
        <w:autoSpaceDN w:val="0"/>
        <w:adjustRightInd w:val="0"/>
        <w:spacing w:after="0" w:line="360" w:lineRule="auto"/>
        <w:rPr>
          <w:rFonts w:cs="Tahoma"/>
          <w:color w:val="FF0000"/>
          <w:lang w:val="es-ES_tradnl"/>
        </w:rPr>
      </w:pPr>
    </w:p>
    <w:p w14:paraId="334CC04D" w14:textId="578CA835" w:rsidR="00C3578F" w:rsidRPr="00445CEF" w:rsidRDefault="00C3578F" w:rsidP="00A47C39">
      <w:pPr>
        <w:pStyle w:val="Prrafodelista"/>
        <w:autoSpaceDE w:val="0"/>
        <w:autoSpaceDN w:val="0"/>
        <w:adjustRightInd w:val="0"/>
        <w:spacing w:after="0" w:line="360" w:lineRule="auto"/>
        <w:ind w:left="567" w:right="567"/>
        <w:rPr>
          <w:rFonts w:cs="Tahoma"/>
          <w:i/>
          <w:color w:val="auto"/>
          <w:sz w:val="20"/>
          <w:lang w:val="es-ES_tradnl"/>
        </w:rPr>
      </w:pPr>
      <w:r w:rsidRPr="00445CEF">
        <w:rPr>
          <w:rFonts w:cs="Tahoma"/>
          <w:color w:val="auto"/>
          <w:lang w:val="es-ES_tradnl"/>
        </w:rPr>
        <w:tab/>
      </w:r>
      <w:r w:rsidRPr="00445CEF">
        <w:rPr>
          <w:rFonts w:cs="Tahoma"/>
          <w:i/>
          <w:color w:val="auto"/>
          <w:sz w:val="20"/>
          <w:lang w:val="es-ES_tradnl"/>
        </w:rPr>
        <w:t>“…</w:t>
      </w:r>
      <w:r w:rsidR="006D526B" w:rsidRPr="00445CEF">
        <w:rPr>
          <w:rFonts w:cs="Tahoma"/>
          <w:i/>
          <w:color w:val="auto"/>
          <w:sz w:val="20"/>
          <w:lang w:val="es-ES_tradnl"/>
        </w:rPr>
        <w:t xml:space="preserve">Al respecto le informo a usted que atendiendo el requerimiento de información se hace de su conocimiento que se anexa nombramiento y documento donde se hace mención del horario de la Cronista Municipal, así mismo se le informa que la Servidora Pública tiene un estatus de Asimilados a Salarios y no cuenta con la prestación del servicio </w:t>
      </w:r>
      <w:proofErr w:type="spellStart"/>
      <w:r w:rsidR="006D526B" w:rsidRPr="00445CEF">
        <w:rPr>
          <w:rFonts w:cs="Tahoma"/>
          <w:i/>
          <w:color w:val="auto"/>
          <w:sz w:val="20"/>
          <w:lang w:val="es-ES_tradnl"/>
        </w:rPr>
        <w:t>issemym</w:t>
      </w:r>
      <w:proofErr w:type="spellEnd"/>
      <w:r w:rsidR="006D526B" w:rsidRPr="00445CEF">
        <w:rPr>
          <w:rFonts w:cs="Tahoma"/>
          <w:i/>
          <w:color w:val="auto"/>
          <w:sz w:val="20"/>
          <w:lang w:val="es-ES_tradnl"/>
        </w:rPr>
        <w:t xml:space="preserve"> por parte del Ayuntamiento de Atlacomulco del Ayuntamiento de Atlacomulco…” (Sic)</w:t>
      </w:r>
    </w:p>
    <w:p w14:paraId="227A15E1" w14:textId="556F8B44" w:rsidR="00C3578F" w:rsidRPr="00445CEF" w:rsidRDefault="00C3578F" w:rsidP="00A47C39">
      <w:pPr>
        <w:autoSpaceDE w:val="0"/>
        <w:autoSpaceDN w:val="0"/>
        <w:adjustRightInd w:val="0"/>
        <w:spacing w:after="0" w:line="360" w:lineRule="auto"/>
        <w:rPr>
          <w:rFonts w:cs="Tahoma"/>
          <w:color w:val="FF0000"/>
          <w:lang w:val="es-ES_tradnl"/>
        </w:rPr>
      </w:pPr>
    </w:p>
    <w:p w14:paraId="79579B92" w14:textId="67E70394" w:rsidR="005621C1" w:rsidRPr="00445CEF" w:rsidRDefault="00C3578F" w:rsidP="00A47C39">
      <w:pPr>
        <w:autoSpaceDE w:val="0"/>
        <w:autoSpaceDN w:val="0"/>
        <w:adjustRightInd w:val="0"/>
        <w:spacing w:after="0" w:line="360" w:lineRule="auto"/>
        <w:rPr>
          <w:rFonts w:cs="Tahoma"/>
          <w:color w:val="auto"/>
          <w:lang w:val="es-ES_tradnl"/>
        </w:rPr>
      </w:pPr>
      <w:r w:rsidRPr="00445CEF">
        <w:rPr>
          <w:rFonts w:cs="Tahoma"/>
          <w:color w:val="auto"/>
          <w:lang w:val="es-ES_tradnl"/>
        </w:rPr>
        <w:t xml:space="preserve">ii) </w:t>
      </w:r>
      <w:bookmarkEnd w:id="3"/>
      <w:r w:rsidR="0029312C" w:rsidRPr="00445CEF">
        <w:rPr>
          <w:rFonts w:cs="Tahoma"/>
          <w:color w:val="auto"/>
          <w:lang w:val="es-ES_tradnl"/>
        </w:rPr>
        <w:t>Nombramiento de la C. Perama Colín Martínez como Encargada del Despacho como Cronista Municipal (Turno Vespertino).</w:t>
      </w:r>
    </w:p>
    <w:p w14:paraId="0A31FE75" w14:textId="77777777" w:rsidR="0029312C" w:rsidRPr="00445CEF" w:rsidRDefault="0029312C" w:rsidP="00A47C39">
      <w:pPr>
        <w:autoSpaceDE w:val="0"/>
        <w:autoSpaceDN w:val="0"/>
        <w:adjustRightInd w:val="0"/>
        <w:spacing w:after="0" w:line="360" w:lineRule="auto"/>
        <w:rPr>
          <w:rFonts w:cs="Tahoma"/>
          <w:color w:val="FF0000"/>
          <w:lang w:val="es-ES_tradnl"/>
        </w:rPr>
      </w:pPr>
    </w:p>
    <w:p w14:paraId="580A955F" w14:textId="462360F9" w:rsidR="0029312C" w:rsidRPr="00445CEF" w:rsidRDefault="006E3171" w:rsidP="00A47C39">
      <w:pPr>
        <w:autoSpaceDE w:val="0"/>
        <w:autoSpaceDN w:val="0"/>
        <w:adjustRightInd w:val="0"/>
        <w:spacing w:after="0" w:line="360" w:lineRule="auto"/>
        <w:rPr>
          <w:rFonts w:cs="Tahoma"/>
          <w:color w:val="auto"/>
          <w:lang w:val="es-ES_tradnl"/>
        </w:rPr>
      </w:pPr>
      <w:r w:rsidRPr="00445CEF">
        <w:rPr>
          <w:rFonts w:cs="Tahoma"/>
          <w:color w:val="auto"/>
          <w:lang w:val="es-ES_tradnl"/>
        </w:rPr>
        <w:t>iii) Oficio PM/SA/00534/02/2022 del primero de febrero de dos mil veintidós, suscrito por el Secretario del Ayuntamiento, dirigido a Perama Colín Martínez, por medio del cual se menciona lo siguiente:</w:t>
      </w:r>
    </w:p>
    <w:p w14:paraId="2F9B3291" w14:textId="77777777" w:rsidR="008D6703" w:rsidRPr="00445CEF" w:rsidRDefault="008D6703" w:rsidP="00A47C39">
      <w:pPr>
        <w:pStyle w:val="Prrafodelista"/>
        <w:autoSpaceDE w:val="0"/>
        <w:autoSpaceDN w:val="0"/>
        <w:adjustRightInd w:val="0"/>
        <w:spacing w:after="0" w:line="360" w:lineRule="auto"/>
        <w:ind w:left="567" w:right="567"/>
        <w:rPr>
          <w:rFonts w:cs="Tahoma"/>
          <w:i/>
          <w:color w:val="auto"/>
          <w:sz w:val="20"/>
          <w:lang w:val="es-ES_tradnl"/>
        </w:rPr>
      </w:pPr>
    </w:p>
    <w:p w14:paraId="5C603B3E" w14:textId="7D12ECDB" w:rsidR="0029312C" w:rsidRPr="00445CEF" w:rsidRDefault="008D6703" w:rsidP="00A47C39">
      <w:pPr>
        <w:pStyle w:val="Prrafodelista"/>
        <w:autoSpaceDE w:val="0"/>
        <w:autoSpaceDN w:val="0"/>
        <w:adjustRightInd w:val="0"/>
        <w:spacing w:after="0" w:line="360" w:lineRule="auto"/>
        <w:ind w:left="567" w:right="567"/>
        <w:rPr>
          <w:rFonts w:cs="Tahoma"/>
          <w:i/>
          <w:color w:val="auto"/>
          <w:sz w:val="20"/>
          <w:lang w:val="es-ES_tradnl"/>
        </w:rPr>
      </w:pPr>
      <w:r w:rsidRPr="00445CEF">
        <w:rPr>
          <w:rFonts w:cs="Tahoma"/>
          <w:i/>
          <w:color w:val="auto"/>
          <w:sz w:val="20"/>
          <w:lang w:val="es-ES_tradnl"/>
        </w:rPr>
        <w:t xml:space="preserve">“…Por medio del presente le envió un cordial saludo, y al mismo tiempo me permito informar a usted que por instrucciones de la Presidente Municipal Constitucional, Marisol del Socorro Arias Flores, el horario que deberá cubrir en el puesto que se le encomendó será de las  14:00 a las 20:00 horas, motivo por el cual solicito a usted dar cumplimiento con lo antes mencionado…” </w:t>
      </w:r>
    </w:p>
    <w:p w14:paraId="19A689DF" w14:textId="4CAC583F" w:rsidR="00FB18D3" w:rsidRPr="00445CEF" w:rsidRDefault="00EE3530" w:rsidP="00A47C39">
      <w:pPr>
        <w:autoSpaceDE w:val="0"/>
        <w:autoSpaceDN w:val="0"/>
        <w:adjustRightInd w:val="0"/>
        <w:spacing w:after="0" w:line="360" w:lineRule="auto"/>
        <w:rPr>
          <w:rFonts w:cs="Tahoma"/>
          <w:color w:val="auto"/>
          <w:lang w:val="es-ES_tradnl"/>
        </w:rPr>
      </w:pPr>
      <w:r w:rsidRPr="00445CEF">
        <w:rPr>
          <w:rFonts w:cs="Tahoma"/>
          <w:color w:val="auto"/>
          <w:lang w:val="es-ES_tradnl"/>
        </w:rPr>
        <w:lastRenderedPageBreak/>
        <w:t>iv) Oficio TMA/STE/635/09/2024 del treinta de septiembre de dos mil veinticuatro, suscrito por la Tesorera Municipal, dirigido a la Titular de la Unidad de Transparencia, por medio del cual se menciona lo siguiente:</w:t>
      </w:r>
    </w:p>
    <w:p w14:paraId="0474F32F" w14:textId="77777777" w:rsidR="0056672A" w:rsidRPr="00445CEF" w:rsidRDefault="0056672A" w:rsidP="00A47C39">
      <w:pPr>
        <w:autoSpaceDE w:val="0"/>
        <w:autoSpaceDN w:val="0"/>
        <w:adjustRightInd w:val="0"/>
        <w:spacing w:after="0" w:line="360" w:lineRule="auto"/>
        <w:rPr>
          <w:rFonts w:cs="Tahoma"/>
          <w:color w:val="auto"/>
          <w:lang w:val="es-ES_tradnl"/>
        </w:rPr>
      </w:pPr>
    </w:p>
    <w:p w14:paraId="58BA946C" w14:textId="751B6011" w:rsidR="00EE3530" w:rsidRPr="00445CEF" w:rsidRDefault="00EE3530" w:rsidP="00A47C39">
      <w:pPr>
        <w:pStyle w:val="Prrafodelista"/>
        <w:autoSpaceDE w:val="0"/>
        <w:autoSpaceDN w:val="0"/>
        <w:adjustRightInd w:val="0"/>
        <w:spacing w:after="0" w:line="360" w:lineRule="auto"/>
        <w:ind w:left="708" w:right="567" w:hanging="141"/>
        <w:rPr>
          <w:rFonts w:cs="Tahoma"/>
          <w:i/>
          <w:color w:val="auto"/>
          <w:sz w:val="20"/>
          <w:lang w:val="es-ES_tradnl"/>
        </w:rPr>
      </w:pPr>
      <w:r w:rsidRPr="00445CEF">
        <w:rPr>
          <w:rFonts w:cs="Tahoma"/>
          <w:i/>
          <w:color w:val="auto"/>
          <w:sz w:val="20"/>
          <w:lang w:val="es-ES_tradnl"/>
        </w:rPr>
        <w:t>“…</w:t>
      </w:r>
      <w:r w:rsidR="00406B1A" w:rsidRPr="00445CEF">
        <w:rPr>
          <w:rFonts w:cs="Tahoma"/>
          <w:i/>
          <w:color w:val="auto"/>
          <w:sz w:val="20"/>
          <w:lang w:val="es-ES_tradnl"/>
        </w:rPr>
        <w:t xml:space="preserve">En cumplimiento a los artículos 12 y 59 fracciones I, II y III de la Ley de Transparencia y Acceso a la Información </w:t>
      </w:r>
      <w:r w:rsidR="0056672A" w:rsidRPr="00445CEF">
        <w:rPr>
          <w:rFonts w:cs="Tahoma"/>
          <w:i/>
          <w:color w:val="auto"/>
          <w:sz w:val="20"/>
          <w:lang w:val="es-ES_tradnl"/>
        </w:rPr>
        <w:t>Pública del Estado de México y Municipios, y de acuerdo a los archivos que obran en la Tesorería Municipal; esta unidad administrativa emite respuesta del siguiente punto de la solicitud:</w:t>
      </w:r>
    </w:p>
    <w:p w14:paraId="56A7C926" w14:textId="77777777" w:rsidR="0056672A" w:rsidRPr="00445CEF" w:rsidRDefault="0056672A" w:rsidP="00A47C39">
      <w:pPr>
        <w:pStyle w:val="Prrafodelista"/>
        <w:autoSpaceDE w:val="0"/>
        <w:autoSpaceDN w:val="0"/>
        <w:adjustRightInd w:val="0"/>
        <w:spacing w:after="0" w:line="360" w:lineRule="auto"/>
        <w:ind w:left="708" w:right="567" w:hanging="141"/>
        <w:rPr>
          <w:rFonts w:cs="Tahoma"/>
          <w:i/>
          <w:color w:val="auto"/>
          <w:sz w:val="20"/>
          <w:lang w:val="es-ES_tradnl"/>
        </w:rPr>
      </w:pPr>
    </w:p>
    <w:p w14:paraId="72DB57B1" w14:textId="7DDC8E05" w:rsidR="0056672A" w:rsidRPr="00445CEF" w:rsidRDefault="0056672A" w:rsidP="00A47C39">
      <w:pPr>
        <w:pStyle w:val="Prrafodelista"/>
        <w:numPr>
          <w:ilvl w:val="0"/>
          <w:numId w:val="22"/>
        </w:numPr>
        <w:autoSpaceDE w:val="0"/>
        <w:autoSpaceDN w:val="0"/>
        <w:adjustRightInd w:val="0"/>
        <w:spacing w:after="0" w:line="360" w:lineRule="auto"/>
        <w:ind w:right="567"/>
        <w:rPr>
          <w:rFonts w:cs="Tahoma"/>
          <w:b/>
          <w:bCs/>
          <w:i/>
          <w:color w:val="auto"/>
          <w:sz w:val="20"/>
          <w:lang w:val="es-ES_tradnl"/>
        </w:rPr>
      </w:pPr>
      <w:r w:rsidRPr="00445CEF">
        <w:rPr>
          <w:rFonts w:cs="Tahoma"/>
          <w:b/>
          <w:bCs/>
          <w:i/>
          <w:color w:val="auto"/>
          <w:sz w:val="20"/>
          <w:lang w:val="es-ES_tradnl"/>
        </w:rPr>
        <w:t xml:space="preserve">“recibos de </w:t>
      </w:r>
      <w:proofErr w:type="spellStart"/>
      <w:r w:rsidRPr="00445CEF">
        <w:rPr>
          <w:rFonts w:cs="Tahoma"/>
          <w:b/>
          <w:bCs/>
          <w:i/>
          <w:color w:val="auto"/>
          <w:sz w:val="20"/>
          <w:lang w:val="es-ES_tradnl"/>
        </w:rPr>
        <w:t>nomina</w:t>
      </w:r>
      <w:proofErr w:type="spellEnd"/>
      <w:r w:rsidRPr="00445CEF">
        <w:rPr>
          <w:rFonts w:cs="Tahoma"/>
          <w:b/>
          <w:bCs/>
          <w:i/>
          <w:color w:val="auto"/>
          <w:sz w:val="20"/>
          <w:lang w:val="es-ES_tradnl"/>
        </w:rPr>
        <w:t xml:space="preserve"> desde 1 de enero de 2023 a la fecha de </w:t>
      </w:r>
      <w:proofErr w:type="spellStart"/>
      <w:r w:rsidRPr="00445CEF">
        <w:rPr>
          <w:rFonts w:cs="Tahoma"/>
          <w:b/>
          <w:bCs/>
          <w:i/>
          <w:color w:val="auto"/>
          <w:sz w:val="20"/>
          <w:lang w:val="es-ES_tradnl"/>
        </w:rPr>
        <w:t>Perama</w:t>
      </w:r>
      <w:proofErr w:type="spellEnd"/>
      <w:r w:rsidRPr="00445CEF">
        <w:rPr>
          <w:rFonts w:cs="Tahoma"/>
          <w:b/>
          <w:bCs/>
          <w:i/>
          <w:color w:val="auto"/>
          <w:sz w:val="20"/>
          <w:lang w:val="es-ES_tradnl"/>
        </w:rPr>
        <w:t xml:space="preserve"> </w:t>
      </w:r>
      <w:proofErr w:type="spellStart"/>
      <w:r w:rsidRPr="00445CEF">
        <w:rPr>
          <w:rFonts w:cs="Tahoma"/>
          <w:b/>
          <w:bCs/>
          <w:i/>
          <w:color w:val="auto"/>
          <w:sz w:val="20"/>
          <w:lang w:val="es-ES_tradnl"/>
        </w:rPr>
        <w:t>Colin</w:t>
      </w:r>
      <w:proofErr w:type="spellEnd"/>
      <w:r w:rsidRPr="00445CEF">
        <w:rPr>
          <w:rFonts w:cs="Tahoma"/>
          <w:b/>
          <w:bCs/>
          <w:i/>
          <w:color w:val="auto"/>
          <w:sz w:val="20"/>
          <w:lang w:val="es-ES_tradnl"/>
        </w:rPr>
        <w:t xml:space="preserve"> </w:t>
      </w:r>
      <w:proofErr w:type="spellStart"/>
      <w:r w:rsidRPr="00445CEF">
        <w:rPr>
          <w:rFonts w:cs="Tahoma"/>
          <w:b/>
          <w:bCs/>
          <w:i/>
          <w:color w:val="auto"/>
          <w:sz w:val="20"/>
          <w:lang w:val="es-ES_tradnl"/>
        </w:rPr>
        <w:t>Martinez</w:t>
      </w:r>
      <w:proofErr w:type="spellEnd"/>
      <w:r w:rsidRPr="00445CEF">
        <w:rPr>
          <w:rFonts w:cs="Tahoma"/>
          <w:b/>
          <w:bCs/>
          <w:i/>
          <w:color w:val="auto"/>
          <w:sz w:val="20"/>
          <w:lang w:val="es-ES_tradnl"/>
        </w:rPr>
        <w:t xml:space="preserve">, movimiento de alta ante </w:t>
      </w:r>
      <w:proofErr w:type="spellStart"/>
      <w:r w:rsidRPr="00445CEF">
        <w:rPr>
          <w:rFonts w:cs="Tahoma"/>
          <w:b/>
          <w:bCs/>
          <w:i/>
          <w:color w:val="auto"/>
          <w:sz w:val="20"/>
          <w:lang w:val="es-ES_tradnl"/>
        </w:rPr>
        <w:t>isemymm</w:t>
      </w:r>
      <w:proofErr w:type="spellEnd"/>
      <w:r w:rsidRPr="00445CEF">
        <w:rPr>
          <w:rFonts w:cs="Tahoma"/>
          <w:b/>
          <w:bCs/>
          <w:i/>
          <w:color w:val="auto"/>
          <w:sz w:val="20"/>
          <w:lang w:val="es-ES_tradnl"/>
        </w:rPr>
        <w:t>, nombramiento, documento donde conste su horario de entrada y salida”. (Sic).</w:t>
      </w:r>
    </w:p>
    <w:p w14:paraId="36F57F6A" w14:textId="77777777" w:rsidR="0056672A" w:rsidRPr="00445CEF" w:rsidRDefault="0056672A" w:rsidP="00A47C39">
      <w:pPr>
        <w:pStyle w:val="Prrafodelista"/>
        <w:autoSpaceDE w:val="0"/>
        <w:autoSpaceDN w:val="0"/>
        <w:adjustRightInd w:val="0"/>
        <w:spacing w:after="0" w:line="360" w:lineRule="auto"/>
        <w:ind w:left="927" w:right="567"/>
        <w:rPr>
          <w:rFonts w:cs="Tahoma"/>
          <w:b/>
          <w:bCs/>
          <w:i/>
          <w:color w:val="auto"/>
          <w:sz w:val="20"/>
          <w:lang w:val="es-ES_tradnl"/>
        </w:rPr>
      </w:pPr>
    </w:p>
    <w:p w14:paraId="0F467554" w14:textId="1A844149" w:rsidR="0056672A" w:rsidRPr="00445CEF" w:rsidRDefault="0056672A" w:rsidP="00A47C39">
      <w:pPr>
        <w:autoSpaceDE w:val="0"/>
        <w:autoSpaceDN w:val="0"/>
        <w:adjustRightInd w:val="0"/>
        <w:spacing w:after="0" w:line="360" w:lineRule="auto"/>
        <w:ind w:left="567" w:right="567"/>
        <w:rPr>
          <w:rFonts w:cs="Tahoma"/>
          <w:i/>
          <w:color w:val="auto"/>
          <w:sz w:val="20"/>
          <w:lang w:val="es-ES_tradnl"/>
        </w:rPr>
      </w:pPr>
      <w:r w:rsidRPr="00445CEF">
        <w:rPr>
          <w:rFonts w:cs="Tahoma"/>
          <w:i/>
          <w:color w:val="auto"/>
          <w:sz w:val="20"/>
          <w:lang w:val="es-ES_tradnl"/>
        </w:rPr>
        <w:t>Respuesta: Se adjunta en formato PDF, Versión pública de los recibos de nómina pagados a la servidora pública Perama Colín Martínez que labora en el Ayuntamiento de Atlacomulco del periodo comprendido del 1 de enero de 2023 al 31 de agosto de 2024.</w:t>
      </w:r>
    </w:p>
    <w:p w14:paraId="692B6FAE" w14:textId="77777777" w:rsidR="0056672A" w:rsidRPr="00445CEF" w:rsidRDefault="0056672A" w:rsidP="00A47C39">
      <w:pPr>
        <w:autoSpaceDE w:val="0"/>
        <w:autoSpaceDN w:val="0"/>
        <w:adjustRightInd w:val="0"/>
        <w:spacing w:after="0" w:line="360" w:lineRule="auto"/>
        <w:ind w:left="567" w:right="567"/>
        <w:rPr>
          <w:rFonts w:cs="Tahoma"/>
          <w:i/>
          <w:color w:val="auto"/>
          <w:sz w:val="20"/>
          <w:lang w:val="es-ES_tradnl"/>
        </w:rPr>
      </w:pPr>
    </w:p>
    <w:p w14:paraId="3511DD06" w14:textId="38D203D8" w:rsidR="0056672A" w:rsidRPr="00445CEF" w:rsidRDefault="0056672A" w:rsidP="00A47C39">
      <w:pPr>
        <w:autoSpaceDE w:val="0"/>
        <w:autoSpaceDN w:val="0"/>
        <w:adjustRightInd w:val="0"/>
        <w:spacing w:after="0" w:line="360" w:lineRule="auto"/>
        <w:ind w:left="567" w:right="567"/>
        <w:rPr>
          <w:rFonts w:cs="Tahoma"/>
          <w:i/>
          <w:color w:val="auto"/>
          <w:sz w:val="20"/>
          <w:lang w:val="es-ES_tradnl"/>
        </w:rPr>
      </w:pPr>
      <w:r w:rsidRPr="00445CEF">
        <w:rPr>
          <w:rFonts w:cs="Tahoma"/>
          <w:i/>
          <w:color w:val="auto"/>
          <w:sz w:val="20"/>
          <w:lang w:val="es-ES_tradnl"/>
        </w:rPr>
        <w:t>Asimismo, se informa que la versión pública de los documentos entregados, fue aprobada en la Trigésima Sexta Sesión Extraordinaria del Comité de Transparencia llevada a cabo el día 25 de septiembre de 2024, en el acuerdo número ACT/ATLACOMULCO/EXT/COMT/36ª/ACU-SÉPTIMO/2024…” (Sic)</w:t>
      </w:r>
    </w:p>
    <w:p w14:paraId="0FD74282" w14:textId="77777777" w:rsidR="0056672A" w:rsidRPr="00445CEF" w:rsidRDefault="0056672A" w:rsidP="00A47C39">
      <w:pPr>
        <w:autoSpaceDE w:val="0"/>
        <w:autoSpaceDN w:val="0"/>
        <w:adjustRightInd w:val="0"/>
        <w:spacing w:after="0" w:line="360" w:lineRule="auto"/>
        <w:ind w:right="567"/>
        <w:rPr>
          <w:rFonts w:cs="Tahoma"/>
          <w:b/>
          <w:bCs/>
          <w:iCs/>
          <w:color w:val="FF0000"/>
          <w:sz w:val="20"/>
          <w:lang w:val="es-ES_tradnl"/>
        </w:rPr>
      </w:pPr>
    </w:p>
    <w:p w14:paraId="1A730C63" w14:textId="530DD35E" w:rsidR="007E0A9A" w:rsidRPr="00445CEF" w:rsidRDefault="007E0A9A" w:rsidP="00A47C39">
      <w:pPr>
        <w:autoSpaceDE w:val="0"/>
        <w:autoSpaceDN w:val="0"/>
        <w:adjustRightInd w:val="0"/>
        <w:spacing w:after="0" w:line="360" w:lineRule="auto"/>
        <w:rPr>
          <w:rFonts w:cs="Tahoma"/>
          <w:color w:val="auto"/>
          <w:lang w:val="es-ES_tradnl"/>
        </w:rPr>
      </w:pPr>
      <w:r w:rsidRPr="00445CEF">
        <w:rPr>
          <w:rFonts w:cs="Tahoma"/>
          <w:color w:val="auto"/>
          <w:lang w:val="es-ES_tradnl"/>
        </w:rPr>
        <w:t xml:space="preserve">v) </w:t>
      </w:r>
      <w:r w:rsidR="004C2A08" w:rsidRPr="00445CEF">
        <w:rPr>
          <w:rFonts w:cs="Tahoma"/>
          <w:color w:val="auto"/>
          <w:lang w:val="es-ES_tradnl"/>
        </w:rPr>
        <w:t>Recibos de nómina de Perama Colín Martínez del primero de enero de dos mil veinticuatro al treinta y uno de agosto de dos mil veinticuatro.</w:t>
      </w:r>
    </w:p>
    <w:p w14:paraId="6E674F65" w14:textId="77777777" w:rsidR="001653F7" w:rsidRPr="00445CEF" w:rsidRDefault="001653F7" w:rsidP="00A47C39">
      <w:pPr>
        <w:autoSpaceDE w:val="0"/>
        <w:autoSpaceDN w:val="0"/>
        <w:adjustRightInd w:val="0"/>
        <w:spacing w:after="0" w:line="360" w:lineRule="auto"/>
        <w:rPr>
          <w:rFonts w:cs="Tahoma"/>
          <w:color w:val="auto"/>
          <w:lang w:val="es-ES_tradnl"/>
        </w:rPr>
      </w:pPr>
    </w:p>
    <w:p w14:paraId="04B01D4A" w14:textId="0DFB7A4B" w:rsidR="001653F7" w:rsidRPr="00445CEF" w:rsidRDefault="001653F7" w:rsidP="00A47C39">
      <w:pPr>
        <w:autoSpaceDE w:val="0"/>
        <w:autoSpaceDN w:val="0"/>
        <w:adjustRightInd w:val="0"/>
        <w:spacing w:after="0" w:line="360" w:lineRule="auto"/>
        <w:rPr>
          <w:rFonts w:cs="Tahoma"/>
          <w:color w:val="auto"/>
          <w:lang w:val="es-ES_tradnl"/>
        </w:rPr>
      </w:pPr>
      <w:r w:rsidRPr="00445CEF">
        <w:rPr>
          <w:rFonts w:cs="Tahoma"/>
          <w:color w:val="auto"/>
          <w:lang w:val="es-ES_tradnl"/>
        </w:rPr>
        <w:t>vi) Oficio PM/UT/467/2024 de fecha dos de octubre de dos mil veinticuatro, suscrito por la Titular de la Unidad de Transparencia, dirigido al Solicitante, por medio del cual se menciona lo siguiente:</w:t>
      </w:r>
    </w:p>
    <w:p w14:paraId="29F40566" w14:textId="77777777" w:rsidR="001653F7" w:rsidRPr="00445CEF" w:rsidRDefault="001653F7" w:rsidP="00A47C39">
      <w:pPr>
        <w:autoSpaceDE w:val="0"/>
        <w:autoSpaceDN w:val="0"/>
        <w:adjustRightInd w:val="0"/>
        <w:spacing w:after="0" w:line="360" w:lineRule="auto"/>
        <w:rPr>
          <w:rFonts w:cs="Tahoma"/>
          <w:color w:val="auto"/>
          <w:lang w:val="es-ES_tradnl"/>
        </w:rPr>
      </w:pPr>
    </w:p>
    <w:p w14:paraId="093B02D8" w14:textId="77777777" w:rsidR="00A47C39" w:rsidRPr="00445CEF" w:rsidRDefault="00A47C39" w:rsidP="00A47C39">
      <w:pPr>
        <w:autoSpaceDE w:val="0"/>
        <w:autoSpaceDN w:val="0"/>
        <w:adjustRightInd w:val="0"/>
        <w:spacing w:after="0" w:line="360" w:lineRule="auto"/>
        <w:rPr>
          <w:rFonts w:cs="Tahoma"/>
          <w:color w:val="auto"/>
          <w:lang w:val="es-ES_tradnl"/>
        </w:rPr>
      </w:pPr>
    </w:p>
    <w:p w14:paraId="420DD79A" w14:textId="7F4F33DA" w:rsidR="00C044CC" w:rsidRPr="00445CEF" w:rsidRDefault="00C044CC" w:rsidP="00A47C39">
      <w:pPr>
        <w:autoSpaceDE w:val="0"/>
        <w:autoSpaceDN w:val="0"/>
        <w:adjustRightInd w:val="0"/>
        <w:spacing w:after="0" w:line="360" w:lineRule="auto"/>
        <w:ind w:left="567" w:right="567"/>
        <w:rPr>
          <w:rFonts w:cs="Tahoma"/>
          <w:i/>
          <w:color w:val="auto"/>
          <w:sz w:val="20"/>
          <w:lang w:val="es-ES_tradnl"/>
        </w:rPr>
      </w:pPr>
      <w:r w:rsidRPr="00445CEF">
        <w:rPr>
          <w:rFonts w:cs="Tahoma"/>
          <w:i/>
          <w:color w:val="auto"/>
          <w:sz w:val="20"/>
          <w:lang w:val="es-ES_tradnl"/>
        </w:rPr>
        <w:t>“…En tal virtud</w:t>
      </w:r>
      <w:r w:rsidR="00C05DB9" w:rsidRPr="00445CEF">
        <w:rPr>
          <w:rFonts w:cs="Tahoma"/>
          <w:i/>
          <w:color w:val="auto"/>
          <w:sz w:val="20"/>
          <w:lang w:val="es-ES_tradnl"/>
        </w:rPr>
        <w:t>, se remitieron a esta Unidad de Transparencia los oficios de las áreas a las que fue turnada la solicitud, mismos que se anexan a la presente.</w:t>
      </w:r>
    </w:p>
    <w:p w14:paraId="3C306D48" w14:textId="77777777" w:rsidR="00C05DB9" w:rsidRPr="00445CEF" w:rsidRDefault="00C05DB9" w:rsidP="00A47C39">
      <w:pPr>
        <w:autoSpaceDE w:val="0"/>
        <w:autoSpaceDN w:val="0"/>
        <w:adjustRightInd w:val="0"/>
        <w:spacing w:after="0" w:line="360" w:lineRule="auto"/>
        <w:ind w:left="567" w:right="567"/>
        <w:rPr>
          <w:rFonts w:cs="Tahoma"/>
          <w:i/>
          <w:color w:val="auto"/>
          <w:sz w:val="20"/>
          <w:lang w:val="es-ES_tradnl"/>
        </w:rPr>
      </w:pPr>
    </w:p>
    <w:p w14:paraId="4C655E32" w14:textId="3B0CE754" w:rsidR="00C05DB9" w:rsidRPr="00445CEF" w:rsidRDefault="00C05DB9" w:rsidP="00A47C39">
      <w:pPr>
        <w:autoSpaceDE w:val="0"/>
        <w:autoSpaceDN w:val="0"/>
        <w:adjustRightInd w:val="0"/>
        <w:spacing w:after="0" w:line="360" w:lineRule="auto"/>
        <w:ind w:left="567" w:right="567"/>
        <w:rPr>
          <w:rFonts w:cs="Tahoma"/>
          <w:i/>
          <w:color w:val="auto"/>
          <w:sz w:val="20"/>
          <w:lang w:val="es-ES_tradnl"/>
        </w:rPr>
      </w:pPr>
      <w:r w:rsidRPr="00445CEF">
        <w:rPr>
          <w:rFonts w:cs="Tahoma"/>
          <w:i/>
          <w:color w:val="auto"/>
          <w:sz w:val="20"/>
          <w:lang w:val="es-ES_tradnl"/>
        </w:rPr>
        <w:t>Asimismo, se remite la información en su versión pública, por lo que se anexa el acta de la Trigésima Sexta Sesión Extraordinaria del Comité de Transparencia mediante el cual se confirmó la clasificación de la información como Confidencial, lo anterior mediante acuerdo: ACT/ATLACOMULCO/EXT/COMT/36ª/ ACU-SÉPTIMO/20244.</w:t>
      </w:r>
    </w:p>
    <w:p w14:paraId="741AE0F5" w14:textId="77777777" w:rsidR="00C05DB9" w:rsidRPr="00445CEF" w:rsidRDefault="00C05DB9" w:rsidP="00A47C39">
      <w:pPr>
        <w:autoSpaceDE w:val="0"/>
        <w:autoSpaceDN w:val="0"/>
        <w:adjustRightInd w:val="0"/>
        <w:spacing w:after="0" w:line="360" w:lineRule="auto"/>
        <w:ind w:left="567" w:right="567"/>
        <w:rPr>
          <w:rFonts w:cs="Tahoma"/>
          <w:i/>
          <w:color w:val="auto"/>
          <w:sz w:val="20"/>
          <w:lang w:val="es-ES_tradnl"/>
        </w:rPr>
      </w:pPr>
    </w:p>
    <w:p w14:paraId="798F4EA0" w14:textId="47814AF9" w:rsidR="00C05DB9" w:rsidRPr="00445CEF" w:rsidRDefault="00C05DB9" w:rsidP="00A47C39">
      <w:pPr>
        <w:autoSpaceDE w:val="0"/>
        <w:autoSpaceDN w:val="0"/>
        <w:adjustRightInd w:val="0"/>
        <w:spacing w:after="0" w:line="360" w:lineRule="auto"/>
        <w:ind w:left="567" w:right="567"/>
        <w:rPr>
          <w:rFonts w:cs="Tahoma"/>
          <w:i/>
          <w:color w:val="auto"/>
          <w:sz w:val="20"/>
          <w:lang w:val="es-ES_tradnl"/>
        </w:rPr>
      </w:pPr>
      <w:r w:rsidRPr="00445CEF">
        <w:rPr>
          <w:rFonts w:cs="Tahoma"/>
          <w:i/>
          <w:color w:val="auto"/>
          <w:sz w:val="20"/>
          <w:lang w:val="es-ES_tradnl"/>
        </w:rPr>
        <w:t xml:space="preserve">Finalmente, hacer de su conocimiento que el recurso de revisión, es una garantía secundaria, mediante la cual, se puede subsanar cualquier posible afectación a su derecho de acceso a la información (Art. 176) y que está contemplada en  los causales establecidos en el artículo 179, incisos I al XIV…” </w:t>
      </w:r>
      <w:r w:rsidR="00935109" w:rsidRPr="00445CEF">
        <w:rPr>
          <w:rFonts w:cs="Tahoma"/>
          <w:i/>
          <w:color w:val="auto"/>
          <w:sz w:val="20"/>
          <w:lang w:val="es-ES_tradnl"/>
        </w:rPr>
        <w:t>(Sic)</w:t>
      </w:r>
    </w:p>
    <w:p w14:paraId="79CDCDFC" w14:textId="77777777" w:rsidR="003A67B2" w:rsidRPr="00445CEF" w:rsidRDefault="003A67B2" w:rsidP="00A47C39">
      <w:pPr>
        <w:autoSpaceDE w:val="0"/>
        <w:autoSpaceDN w:val="0"/>
        <w:adjustRightInd w:val="0"/>
        <w:spacing w:after="0" w:line="360" w:lineRule="auto"/>
        <w:rPr>
          <w:rFonts w:cs="Tahoma"/>
          <w:color w:val="FF0000"/>
          <w:lang w:val="es-ES_tradnl"/>
        </w:rPr>
      </w:pPr>
    </w:p>
    <w:p w14:paraId="2DBFDD43" w14:textId="0EA5D61B" w:rsidR="00391081" w:rsidRPr="00445CEF" w:rsidRDefault="003A67B2" w:rsidP="00A47C39">
      <w:pPr>
        <w:autoSpaceDE w:val="0"/>
        <w:autoSpaceDN w:val="0"/>
        <w:adjustRightInd w:val="0"/>
        <w:spacing w:after="0" w:line="360" w:lineRule="auto"/>
        <w:rPr>
          <w:rFonts w:cs="Tahoma"/>
          <w:color w:val="auto"/>
          <w:lang w:val="es-ES_tradnl"/>
        </w:rPr>
      </w:pPr>
      <w:r w:rsidRPr="00445CEF">
        <w:rPr>
          <w:rFonts w:cs="Tahoma"/>
          <w:color w:val="auto"/>
          <w:lang w:val="es-ES_tradnl"/>
        </w:rPr>
        <w:t xml:space="preserve">vii) Acta de </w:t>
      </w:r>
      <w:r w:rsidR="008D3D48" w:rsidRPr="00445CEF">
        <w:rPr>
          <w:rFonts w:cs="Tahoma"/>
          <w:color w:val="auto"/>
          <w:lang w:val="es-ES_tradnl"/>
        </w:rPr>
        <w:t>la Trigésima</w:t>
      </w:r>
      <w:r w:rsidRPr="00445CEF">
        <w:rPr>
          <w:rFonts w:cs="Tahoma"/>
          <w:color w:val="auto"/>
          <w:lang w:val="es-ES_tradnl"/>
        </w:rPr>
        <w:t xml:space="preserve"> Sexta Sesión Extraordinaria del Comité de Transparencia del Ayuntamiento de Atlacomulco, del veinticinco de septiembre de dos mil veinticuatro</w:t>
      </w:r>
      <w:r w:rsidR="00CC1B8E" w:rsidRPr="00445CEF">
        <w:rPr>
          <w:rFonts w:cs="Tahoma"/>
          <w:color w:val="auto"/>
          <w:lang w:val="es-ES_tradnl"/>
        </w:rPr>
        <w:t xml:space="preserve">, por medio de la cual se realizó el acuerdo ACT/ATLACOMULCO/EXT/COMT/36ª/ACU-SÉPTIMO/20244, por medio del cual se aprobó la </w:t>
      </w:r>
      <w:r w:rsidR="00391081" w:rsidRPr="00445CEF">
        <w:rPr>
          <w:rFonts w:cs="Tahoma"/>
          <w:color w:val="auto"/>
          <w:lang w:val="es-ES_tradnl"/>
        </w:rPr>
        <w:t>clasificación como confidencial los datos de la versión pública de los recibos de nómina remitidos en respuesta</w:t>
      </w:r>
      <w:r w:rsidR="00A47C39" w:rsidRPr="00445CEF">
        <w:rPr>
          <w:rFonts w:cs="Tahoma"/>
          <w:color w:val="auto"/>
          <w:lang w:val="es-ES_tradnl"/>
        </w:rPr>
        <w:t>.</w:t>
      </w:r>
    </w:p>
    <w:bookmarkEnd w:id="2"/>
    <w:p w14:paraId="6FE78968" w14:textId="77777777" w:rsidR="00A44866" w:rsidRPr="00445CEF" w:rsidRDefault="00A44866" w:rsidP="00A47C39">
      <w:pPr>
        <w:autoSpaceDE w:val="0"/>
        <w:autoSpaceDN w:val="0"/>
        <w:adjustRightInd w:val="0"/>
        <w:spacing w:after="0" w:line="360" w:lineRule="auto"/>
        <w:rPr>
          <w:rFonts w:cs="Tahoma"/>
          <w:color w:val="FF0000"/>
        </w:rPr>
      </w:pPr>
    </w:p>
    <w:p w14:paraId="72683D89" w14:textId="47FBB9EA" w:rsidR="00DB3DC5" w:rsidRPr="00445CEF" w:rsidRDefault="00A372BC" w:rsidP="00A47C39">
      <w:pPr>
        <w:autoSpaceDE w:val="0"/>
        <w:autoSpaceDN w:val="0"/>
        <w:adjustRightInd w:val="0"/>
        <w:spacing w:after="0" w:line="360" w:lineRule="auto"/>
        <w:contextualSpacing/>
        <w:rPr>
          <w:rFonts w:eastAsia="Calibri" w:cs="Tahoma"/>
          <w:b/>
          <w:color w:val="auto"/>
        </w:rPr>
      </w:pPr>
      <w:r w:rsidRPr="00445CEF">
        <w:rPr>
          <w:rFonts w:eastAsia="Calibri" w:cs="Tahoma"/>
          <w:b/>
          <w:color w:val="auto"/>
        </w:rPr>
        <w:t>I</w:t>
      </w:r>
      <w:r w:rsidR="00430E40" w:rsidRPr="00445CEF">
        <w:rPr>
          <w:rFonts w:eastAsia="Calibri" w:cs="Tahoma"/>
          <w:b/>
          <w:color w:val="auto"/>
        </w:rPr>
        <w:t>V</w:t>
      </w:r>
      <w:r w:rsidR="00DB3DC5" w:rsidRPr="00445CEF">
        <w:rPr>
          <w:rFonts w:eastAsia="Calibri" w:cs="Tahoma"/>
          <w:b/>
          <w:color w:val="auto"/>
        </w:rPr>
        <w:t>. Interpo</w:t>
      </w:r>
      <w:r w:rsidR="0041156D" w:rsidRPr="00445CEF">
        <w:rPr>
          <w:rFonts w:eastAsia="Calibri" w:cs="Tahoma"/>
          <w:b/>
          <w:color w:val="auto"/>
        </w:rPr>
        <w:t>sición del Recurso de Revisión</w:t>
      </w:r>
    </w:p>
    <w:p w14:paraId="00BD49C9" w14:textId="77777777" w:rsidR="0041156D" w:rsidRPr="00445CEF" w:rsidRDefault="0041156D" w:rsidP="00A47C39">
      <w:pPr>
        <w:autoSpaceDE w:val="0"/>
        <w:autoSpaceDN w:val="0"/>
        <w:adjustRightInd w:val="0"/>
        <w:spacing w:after="0" w:line="360" w:lineRule="auto"/>
        <w:contextualSpacing/>
        <w:rPr>
          <w:rFonts w:eastAsia="Calibri" w:cs="Tahoma"/>
          <w:b/>
          <w:color w:val="FF0000"/>
        </w:rPr>
      </w:pPr>
    </w:p>
    <w:p w14:paraId="240D95DA" w14:textId="243C5A3E" w:rsidR="00DB3DC5" w:rsidRPr="00445CEF" w:rsidRDefault="00DB3DC5" w:rsidP="00A47C39">
      <w:pPr>
        <w:widowControl w:val="0"/>
        <w:spacing w:after="0" w:line="360" w:lineRule="auto"/>
        <w:contextualSpacing/>
        <w:rPr>
          <w:rFonts w:eastAsia="Calibri" w:cs="Times New Roman"/>
          <w:bCs/>
          <w:color w:val="auto"/>
        </w:rPr>
      </w:pPr>
      <w:r w:rsidRPr="00445CEF">
        <w:rPr>
          <w:rFonts w:eastAsia="Calibri" w:cs="Times New Roman"/>
          <w:bCs/>
          <w:color w:val="auto"/>
        </w:rPr>
        <w:t xml:space="preserve">Con fecha </w:t>
      </w:r>
      <w:r w:rsidR="007C5B2C" w:rsidRPr="00445CEF">
        <w:rPr>
          <w:rFonts w:eastAsia="Calibri" w:cs="Times New Roman"/>
          <w:bCs/>
          <w:color w:val="auto"/>
        </w:rPr>
        <w:t xml:space="preserve">tres de octubre de dos mil veinticuatro, </w:t>
      </w:r>
      <w:r w:rsidRPr="00445CEF">
        <w:rPr>
          <w:rFonts w:eastAsia="Calibri" w:cs="Times New Roman"/>
          <w:bCs/>
          <w:color w:val="auto"/>
          <w:lang w:val="es-ES"/>
        </w:rPr>
        <w:t>se recibi</w:t>
      </w:r>
      <w:r w:rsidR="00935AA3" w:rsidRPr="00445CEF">
        <w:rPr>
          <w:rFonts w:eastAsia="Calibri" w:cs="Times New Roman"/>
          <w:bCs/>
          <w:color w:val="auto"/>
          <w:lang w:val="es-ES"/>
        </w:rPr>
        <w:t>eron</w:t>
      </w:r>
      <w:r w:rsidRPr="00445CEF">
        <w:rPr>
          <w:rFonts w:eastAsia="Calibri" w:cs="Times New Roman"/>
          <w:bCs/>
          <w:color w:val="auto"/>
          <w:lang w:val="es-ES"/>
        </w:rPr>
        <w:t xml:space="preserve"> en este Instituto, a través del Sistema de Acceso a la Informaci</w:t>
      </w:r>
      <w:r w:rsidR="00442D0F" w:rsidRPr="00445CEF">
        <w:rPr>
          <w:rFonts w:eastAsia="Calibri" w:cs="Times New Roman"/>
          <w:bCs/>
          <w:color w:val="auto"/>
          <w:lang w:val="es-ES"/>
        </w:rPr>
        <w:t xml:space="preserve">ón Mexiquense (SAIMEX), </w:t>
      </w:r>
      <w:r w:rsidR="007C5B2C" w:rsidRPr="00445CEF">
        <w:rPr>
          <w:rFonts w:eastAsia="Calibri" w:cs="Times New Roman"/>
          <w:bCs/>
          <w:color w:val="auto"/>
          <w:lang w:val="es-ES"/>
        </w:rPr>
        <w:t>dos</w:t>
      </w:r>
      <w:r w:rsidR="006A0867" w:rsidRPr="00445CEF">
        <w:rPr>
          <w:rFonts w:eastAsia="Calibri" w:cs="Times New Roman"/>
          <w:bCs/>
          <w:color w:val="auto"/>
          <w:lang w:val="es-ES"/>
        </w:rPr>
        <w:t xml:space="preserve"> </w:t>
      </w:r>
      <w:r w:rsidRPr="00445CEF">
        <w:rPr>
          <w:rFonts w:eastAsia="Calibri" w:cs="Times New Roman"/>
          <w:bCs/>
          <w:color w:val="auto"/>
          <w:lang w:val="es-ES"/>
        </w:rPr>
        <w:t>Recurso</w:t>
      </w:r>
      <w:r w:rsidR="006A0867" w:rsidRPr="00445CEF">
        <w:rPr>
          <w:rFonts w:eastAsia="Calibri" w:cs="Times New Roman"/>
          <w:bCs/>
          <w:color w:val="auto"/>
          <w:lang w:val="es-ES"/>
        </w:rPr>
        <w:t>s</w:t>
      </w:r>
      <w:r w:rsidRPr="00445CEF">
        <w:rPr>
          <w:rFonts w:eastAsia="Calibri" w:cs="Times New Roman"/>
          <w:bCs/>
          <w:color w:val="auto"/>
          <w:lang w:val="es-ES"/>
        </w:rPr>
        <w:t xml:space="preserve"> de Revisión interpuesto</w:t>
      </w:r>
      <w:r w:rsidR="006A0867" w:rsidRPr="00445CEF">
        <w:rPr>
          <w:rFonts w:eastAsia="Calibri" w:cs="Times New Roman"/>
          <w:bCs/>
          <w:color w:val="auto"/>
          <w:lang w:val="es-ES"/>
        </w:rPr>
        <w:t>s</w:t>
      </w:r>
      <w:r w:rsidRPr="00445CEF">
        <w:rPr>
          <w:rFonts w:eastAsia="Calibri" w:cs="Times New Roman"/>
          <w:bCs/>
          <w:color w:val="auto"/>
          <w:lang w:val="es-ES"/>
        </w:rPr>
        <w:t xml:space="preserve"> por la parte Recurrente, en contra de la</w:t>
      </w:r>
      <w:r w:rsidR="006A0867" w:rsidRPr="00445CEF">
        <w:rPr>
          <w:rFonts w:eastAsia="Calibri" w:cs="Times New Roman"/>
          <w:bCs/>
          <w:color w:val="auto"/>
          <w:lang w:val="es-ES"/>
        </w:rPr>
        <w:t>s</w:t>
      </w:r>
      <w:r w:rsidRPr="00445CEF">
        <w:rPr>
          <w:rFonts w:eastAsia="Calibri" w:cs="Times New Roman"/>
          <w:bCs/>
          <w:color w:val="auto"/>
          <w:lang w:val="es-ES"/>
        </w:rPr>
        <w:t xml:space="preserve"> respuesta</w:t>
      </w:r>
      <w:r w:rsidR="006A0867" w:rsidRPr="00445CEF">
        <w:rPr>
          <w:rFonts w:eastAsia="Calibri" w:cs="Times New Roman"/>
          <w:bCs/>
          <w:color w:val="auto"/>
          <w:lang w:val="es-ES"/>
        </w:rPr>
        <w:t>s</w:t>
      </w:r>
      <w:r w:rsidRPr="00445CEF">
        <w:rPr>
          <w:rFonts w:eastAsia="Calibri" w:cs="Times New Roman"/>
          <w:bCs/>
          <w:color w:val="auto"/>
          <w:lang w:val="es-ES"/>
        </w:rPr>
        <w:t xml:space="preserve"> del Sujeto Obligado</w:t>
      </w:r>
      <w:r w:rsidRPr="00445CEF">
        <w:rPr>
          <w:rFonts w:eastAsia="Calibri" w:cs="Times New Roman"/>
          <w:color w:val="auto"/>
        </w:rPr>
        <w:t>,</w:t>
      </w:r>
      <w:r w:rsidR="00C340FF" w:rsidRPr="00445CEF">
        <w:rPr>
          <w:rFonts w:eastAsia="Calibri" w:cs="Times New Roman"/>
          <w:color w:val="auto"/>
        </w:rPr>
        <w:t xml:space="preserve"> </w:t>
      </w:r>
      <w:r w:rsidRPr="00445CEF">
        <w:rPr>
          <w:rFonts w:eastAsia="Times New Roman" w:cs="Tahoma"/>
          <w:bCs/>
          <w:color w:val="auto"/>
          <w:lang w:val="es-ES" w:eastAsia="es-ES"/>
        </w:rPr>
        <w:t xml:space="preserve">en los </w:t>
      </w:r>
      <w:r w:rsidR="00935AA3" w:rsidRPr="00445CEF">
        <w:rPr>
          <w:rFonts w:eastAsia="Times New Roman" w:cs="Tahoma"/>
          <w:bCs/>
          <w:color w:val="auto"/>
          <w:lang w:val="es-ES" w:eastAsia="es-ES"/>
        </w:rPr>
        <w:t>siguientes términos:</w:t>
      </w:r>
    </w:p>
    <w:p w14:paraId="34AEFEF9" w14:textId="77777777" w:rsidR="00A23FB9" w:rsidRPr="00445CEF" w:rsidRDefault="00A23FB9" w:rsidP="00A47C39">
      <w:pPr>
        <w:autoSpaceDE w:val="0"/>
        <w:autoSpaceDN w:val="0"/>
        <w:adjustRightInd w:val="0"/>
        <w:spacing w:after="0" w:line="360" w:lineRule="auto"/>
        <w:ind w:right="539"/>
        <w:rPr>
          <w:rFonts w:cs="Tahoma"/>
          <w:b/>
          <w:bCs/>
          <w:color w:val="FF0000"/>
          <w:lang w:val="es-ES_tradnl"/>
        </w:rPr>
      </w:pPr>
    </w:p>
    <w:p w14:paraId="5ABFA46F" w14:textId="77777777" w:rsidR="00A47C39" w:rsidRPr="00445CEF" w:rsidRDefault="00A47C39" w:rsidP="00A47C39">
      <w:pPr>
        <w:autoSpaceDE w:val="0"/>
        <w:autoSpaceDN w:val="0"/>
        <w:adjustRightInd w:val="0"/>
        <w:spacing w:after="0" w:line="360" w:lineRule="auto"/>
        <w:ind w:right="539"/>
        <w:rPr>
          <w:rFonts w:cs="Tahoma"/>
          <w:b/>
          <w:bCs/>
          <w:color w:val="FF0000"/>
          <w:lang w:val="es-ES_tradnl"/>
        </w:rPr>
      </w:pPr>
    </w:p>
    <w:p w14:paraId="383A8105" w14:textId="527C4C16" w:rsidR="00DB3DC5" w:rsidRPr="00445CEF" w:rsidRDefault="00A23FB9" w:rsidP="00A47C39">
      <w:pPr>
        <w:tabs>
          <w:tab w:val="left" w:pos="4667"/>
        </w:tabs>
        <w:spacing w:after="0" w:line="360" w:lineRule="auto"/>
        <w:ind w:left="567" w:right="567"/>
        <w:contextualSpacing/>
        <w:rPr>
          <w:rFonts w:cs="Tahoma"/>
          <w:b/>
          <w:bCs/>
          <w:color w:val="auto"/>
          <w:lang w:val="es-ES_tradnl"/>
        </w:rPr>
      </w:pPr>
      <w:r w:rsidRPr="00445CEF">
        <w:rPr>
          <w:rFonts w:cs="Tahoma"/>
          <w:b/>
          <w:bCs/>
          <w:color w:val="auto"/>
          <w:lang w:val="es-ES_tradnl"/>
        </w:rPr>
        <w:lastRenderedPageBreak/>
        <w:t xml:space="preserve">Recurso de Revisión </w:t>
      </w:r>
      <w:r w:rsidR="00D972F0" w:rsidRPr="00445CEF">
        <w:rPr>
          <w:rFonts w:cs="Tahoma"/>
          <w:b/>
          <w:bCs/>
          <w:color w:val="auto"/>
          <w:lang w:val="es-ES_tradnl"/>
        </w:rPr>
        <w:t>06011/INFOEM/IP/RR/2024</w:t>
      </w:r>
    </w:p>
    <w:p w14:paraId="0E422949" w14:textId="77777777" w:rsidR="006A0867" w:rsidRPr="00445CEF" w:rsidRDefault="006A0867" w:rsidP="00A47C39">
      <w:pPr>
        <w:spacing w:after="0" w:line="360" w:lineRule="auto"/>
        <w:ind w:left="567" w:right="567"/>
        <w:contextualSpacing/>
        <w:rPr>
          <w:rFonts w:cs="Tahoma"/>
          <w:b/>
          <w:bCs/>
          <w:i/>
          <w:color w:val="auto"/>
          <w:sz w:val="20"/>
          <w:szCs w:val="20"/>
        </w:rPr>
      </w:pPr>
      <w:r w:rsidRPr="00445CEF">
        <w:rPr>
          <w:rFonts w:cs="Tahoma"/>
          <w:b/>
          <w:bCs/>
          <w:i/>
          <w:color w:val="auto"/>
          <w:sz w:val="20"/>
          <w:szCs w:val="20"/>
        </w:rPr>
        <w:t>“ACTO IMPUGNADO</w:t>
      </w:r>
    </w:p>
    <w:p w14:paraId="199F28DE" w14:textId="117F18A5" w:rsidR="006A0867" w:rsidRPr="00445CEF" w:rsidRDefault="007C5B2C" w:rsidP="00A47C39">
      <w:pPr>
        <w:tabs>
          <w:tab w:val="left" w:pos="4667"/>
        </w:tabs>
        <w:spacing w:after="0" w:line="360" w:lineRule="auto"/>
        <w:ind w:left="567" w:right="567"/>
        <w:rPr>
          <w:i/>
          <w:iCs/>
          <w:color w:val="auto"/>
          <w:sz w:val="20"/>
          <w:szCs w:val="20"/>
        </w:rPr>
      </w:pPr>
      <w:r w:rsidRPr="00445CEF">
        <w:rPr>
          <w:i/>
          <w:iCs/>
          <w:color w:val="auto"/>
          <w:sz w:val="20"/>
          <w:szCs w:val="20"/>
        </w:rPr>
        <w:t xml:space="preserve">la respuesta de la </w:t>
      </w:r>
      <w:proofErr w:type="spellStart"/>
      <w:r w:rsidRPr="00445CEF">
        <w:rPr>
          <w:i/>
          <w:iCs/>
          <w:color w:val="auto"/>
          <w:sz w:val="20"/>
          <w:szCs w:val="20"/>
        </w:rPr>
        <w:t>imcompetente</w:t>
      </w:r>
      <w:proofErr w:type="spellEnd"/>
      <w:r w:rsidRPr="00445CEF">
        <w:rPr>
          <w:i/>
          <w:iCs/>
          <w:color w:val="auto"/>
          <w:sz w:val="20"/>
          <w:szCs w:val="20"/>
        </w:rPr>
        <w:t xml:space="preserve"> de la tesorera municipal al negar la información solicitada</w:t>
      </w:r>
      <w:r w:rsidR="006A0867" w:rsidRPr="00445CEF">
        <w:rPr>
          <w:i/>
          <w:iCs/>
          <w:color w:val="auto"/>
          <w:sz w:val="20"/>
          <w:szCs w:val="20"/>
        </w:rPr>
        <w:t>” (Sic.)</w:t>
      </w:r>
    </w:p>
    <w:p w14:paraId="349885DE" w14:textId="77777777" w:rsidR="006A0867" w:rsidRPr="00445CEF" w:rsidRDefault="006A0867" w:rsidP="00A47C39">
      <w:pPr>
        <w:tabs>
          <w:tab w:val="left" w:pos="4667"/>
        </w:tabs>
        <w:spacing w:after="0" w:line="360" w:lineRule="auto"/>
        <w:ind w:left="567" w:right="567"/>
        <w:rPr>
          <w:rFonts w:cs="Tahoma"/>
          <w:bCs/>
          <w:i/>
          <w:color w:val="FF0000"/>
          <w:sz w:val="20"/>
          <w:szCs w:val="20"/>
        </w:rPr>
      </w:pPr>
    </w:p>
    <w:p w14:paraId="09EF88BF" w14:textId="77777777" w:rsidR="006A0867" w:rsidRPr="00445CEF" w:rsidRDefault="006A0867" w:rsidP="00A47C39">
      <w:pPr>
        <w:tabs>
          <w:tab w:val="left" w:pos="4667"/>
        </w:tabs>
        <w:spacing w:after="0" w:line="360" w:lineRule="auto"/>
        <w:ind w:left="567" w:right="567"/>
        <w:rPr>
          <w:rFonts w:cs="Tahoma"/>
          <w:b/>
          <w:bCs/>
          <w:i/>
          <w:color w:val="auto"/>
          <w:sz w:val="20"/>
          <w:szCs w:val="20"/>
        </w:rPr>
      </w:pPr>
      <w:r w:rsidRPr="00445CEF">
        <w:rPr>
          <w:rFonts w:cs="Tahoma"/>
          <w:b/>
          <w:bCs/>
          <w:i/>
          <w:color w:val="auto"/>
          <w:sz w:val="20"/>
          <w:szCs w:val="20"/>
        </w:rPr>
        <w:t>“RAZONES O MOTIVOS DE LA INCONFORMIDAD</w:t>
      </w:r>
    </w:p>
    <w:p w14:paraId="35F9576D" w14:textId="701D897C" w:rsidR="006A0867" w:rsidRPr="00445CEF" w:rsidRDefault="007C5B2C" w:rsidP="00A47C39">
      <w:pPr>
        <w:tabs>
          <w:tab w:val="left" w:pos="4667"/>
        </w:tabs>
        <w:spacing w:after="0" w:line="360" w:lineRule="auto"/>
        <w:ind w:left="567" w:right="567"/>
        <w:rPr>
          <w:i/>
          <w:iCs/>
          <w:color w:val="auto"/>
          <w:sz w:val="20"/>
          <w:szCs w:val="20"/>
        </w:rPr>
      </w:pPr>
      <w:r w:rsidRPr="00445CEF">
        <w:rPr>
          <w:i/>
          <w:iCs/>
          <w:color w:val="auto"/>
          <w:sz w:val="20"/>
          <w:szCs w:val="20"/>
        </w:rPr>
        <w:t xml:space="preserve">la negativa de información ya que dichas servidoras publicas laboran para el ayuntamiento y se encuentra adscrita al área de registro civil en el caso de Viridiana y Hugo romero </w:t>
      </w:r>
      <w:proofErr w:type="spellStart"/>
      <w:r w:rsidRPr="00445CEF">
        <w:rPr>
          <w:i/>
          <w:iCs/>
          <w:color w:val="auto"/>
          <w:sz w:val="20"/>
          <w:szCs w:val="20"/>
        </w:rPr>
        <w:t>esta</w:t>
      </w:r>
      <w:proofErr w:type="spellEnd"/>
      <w:r w:rsidRPr="00445CEF">
        <w:rPr>
          <w:i/>
          <w:iCs/>
          <w:color w:val="auto"/>
          <w:sz w:val="20"/>
          <w:szCs w:val="20"/>
        </w:rPr>
        <w:t xml:space="preserve"> adscrito a tesorería y en el caso de la otra servidora se encuentra adscrita a servicios públicos es irrisorio que los titulares responsables de brindar dicha información como la tesorera municipal emita este tipo de respuestas vagas e imprecisas que solo muestran su incompetencia e ignorancia para el puesto que desempeña”</w:t>
      </w:r>
      <w:r w:rsidR="006A0867" w:rsidRPr="00445CEF">
        <w:rPr>
          <w:i/>
          <w:iCs/>
          <w:color w:val="auto"/>
          <w:sz w:val="20"/>
          <w:szCs w:val="20"/>
        </w:rPr>
        <w:t xml:space="preserve"> (Sic.)</w:t>
      </w:r>
    </w:p>
    <w:p w14:paraId="710C5181" w14:textId="77777777" w:rsidR="00A23FB9" w:rsidRPr="00445CEF" w:rsidRDefault="00A23FB9" w:rsidP="00A47C39">
      <w:pPr>
        <w:autoSpaceDE w:val="0"/>
        <w:autoSpaceDN w:val="0"/>
        <w:adjustRightInd w:val="0"/>
        <w:spacing w:after="0" w:line="360" w:lineRule="auto"/>
        <w:ind w:right="539"/>
        <w:rPr>
          <w:rFonts w:cs="Tahoma"/>
          <w:b/>
          <w:bCs/>
          <w:color w:val="FF0000"/>
          <w:lang w:val="es-ES_tradnl"/>
        </w:rPr>
      </w:pPr>
    </w:p>
    <w:p w14:paraId="009FA9B8" w14:textId="1358F85A" w:rsidR="00A23FB9" w:rsidRPr="00445CEF" w:rsidRDefault="00A23FB9" w:rsidP="00A47C39">
      <w:pPr>
        <w:tabs>
          <w:tab w:val="left" w:pos="4667"/>
        </w:tabs>
        <w:spacing w:after="0" w:line="360" w:lineRule="auto"/>
        <w:ind w:left="567" w:right="567"/>
        <w:contextualSpacing/>
        <w:rPr>
          <w:rFonts w:cs="Tahoma"/>
          <w:b/>
          <w:bCs/>
          <w:i/>
          <w:color w:val="auto"/>
          <w:sz w:val="20"/>
          <w:szCs w:val="20"/>
        </w:rPr>
      </w:pPr>
      <w:r w:rsidRPr="00445CEF">
        <w:rPr>
          <w:rFonts w:cs="Tahoma"/>
          <w:b/>
          <w:bCs/>
          <w:color w:val="auto"/>
          <w:lang w:val="es-ES_tradnl"/>
        </w:rPr>
        <w:t xml:space="preserve">Recurso de Revisión </w:t>
      </w:r>
      <w:r w:rsidR="00215943" w:rsidRPr="00445CEF">
        <w:rPr>
          <w:rFonts w:cs="Tahoma"/>
          <w:b/>
          <w:bCs/>
          <w:color w:val="auto"/>
          <w:lang w:val="es-ES_tradnl"/>
        </w:rPr>
        <w:t>0</w:t>
      </w:r>
      <w:r w:rsidR="00D972F0" w:rsidRPr="00445CEF">
        <w:rPr>
          <w:rFonts w:cs="Tahoma"/>
          <w:b/>
          <w:bCs/>
          <w:color w:val="auto"/>
          <w:lang w:val="es-ES_tradnl"/>
        </w:rPr>
        <w:t>6012</w:t>
      </w:r>
      <w:r w:rsidR="00215943" w:rsidRPr="00445CEF">
        <w:rPr>
          <w:rFonts w:cs="Tahoma"/>
          <w:b/>
          <w:bCs/>
          <w:color w:val="auto"/>
          <w:lang w:val="es-ES_tradnl"/>
        </w:rPr>
        <w:t>/INFOEM/IP/RR/2024</w:t>
      </w:r>
    </w:p>
    <w:p w14:paraId="60EF717F" w14:textId="77777777" w:rsidR="00FE097D" w:rsidRPr="00445CEF" w:rsidRDefault="00FE097D" w:rsidP="00A47C39">
      <w:pPr>
        <w:tabs>
          <w:tab w:val="left" w:pos="4667"/>
        </w:tabs>
        <w:spacing w:after="0" w:line="360" w:lineRule="auto"/>
        <w:ind w:left="567" w:right="567"/>
        <w:rPr>
          <w:b/>
          <w:bCs/>
          <w:i/>
          <w:iCs/>
          <w:color w:val="auto"/>
          <w:sz w:val="20"/>
          <w:szCs w:val="20"/>
        </w:rPr>
      </w:pPr>
      <w:r w:rsidRPr="00445CEF">
        <w:rPr>
          <w:b/>
          <w:bCs/>
          <w:i/>
          <w:iCs/>
          <w:color w:val="auto"/>
          <w:sz w:val="20"/>
          <w:szCs w:val="20"/>
        </w:rPr>
        <w:t>“ACTO IMPUGNADO</w:t>
      </w:r>
    </w:p>
    <w:p w14:paraId="5CE1F7F7" w14:textId="72364CFD" w:rsidR="00FE097D" w:rsidRPr="00445CEF" w:rsidRDefault="005B45A3" w:rsidP="00A47C39">
      <w:pPr>
        <w:tabs>
          <w:tab w:val="left" w:pos="4667"/>
        </w:tabs>
        <w:spacing w:after="0" w:line="360" w:lineRule="auto"/>
        <w:ind w:left="567" w:right="567"/>
        <w:rPr>
          <w:i/>
          <w:iCs/>
          <w:color w:val="auto"/>
          <w:sz w:val="20"/>
          <w:szCs w:val="20"/>
        </w:rPr>
      </w:pPr>
      <w:r w:rsidRPr="00445CEF">
        <w:rPr>
          <w:i/>
          <w:iCs/>
          <w:color w:val="auto"/>
          <w:sz w:val="20"/>
          <w:szCs w:val="20"/>
        </w:rPr>
        <w:t>la respuesta de administración”</w:t>
      </w:r>
      <w:r w:rsidR="00FE097D" w:rsidRPr="00445CEF">
        <w:rPr>
          <w:i/>
          <w:iCs/>
          <w:color w:val="auto"/>
          <w:sz w:val="20"/>
          <w:szCs w:val="20"/>
        </w:rPr>
        <w:t xml:space="preserve"> (Sic.)</w:t>
      </w:r>
    </w:p>
    <w:p w14:paraId="1290430F" w14:textId="77777777" w:rsidR="00A336C0" w:rsidRPr="00445CEF" w:rsidRDefault="00A336C0" w:rsidP="00A47C39">
      <w:pPr>
        <w:tabs>
          <w:tab w:val="left" w:pos="4667"/>
        </w:tabs>
        <w:spacing w:after="0" w:line="360" w:lineRule="auto"/>
        <w:ind w:left="567" w:right="567"/>
        <w:rPr>
          <w:rFonts w:cs="Tahoma"/>
          <w:bCs/>
          <w:i/>
          <w:color w:val="FF0000"/>
          <w:sz w:val="20"/>
          <w:szCs w:val="20"/>
        </w:rPr>
      </w:pPr>
    </w:p>
    <w:p w14:paraId="702F640A" w14:textId="77777777" w:rsidR="00FE097D" w:rsidRPr="00445CEF" w:rsidRDefault="00FE097D" w:rsidP="00A47C39">
      <w:pPr>
        <w:tabs>
          <w:tab w:val="left" w:pos="4667"/>
        </w:tabs>
        <w:spacing w:after="0" w:line="360" w:lineRule="auto"/>
        <w:ind w:left="567" w:right="567"/>
        <w:rPr>
          <w:rFonts w:cs="Tahoma"/>
          <w:b/>
          <w:bCs/>
          <w:i/>
          <w:color w:val="auto"/>
          <w:sz w:val="20"/>
          <w:szCs w:val="20"/>
        </w:rPr>
      </w:pPr>
      <w:r w:rsidRPr="00445CEF">
        <w:rPr>
          <w:rFonts w:cs="Tahoma"/>
          <w:b/>
          <w:bCs/>
          <w:i/>
          <w:color w:val="auto"/>
          <w:sz w:val="20"/>
          <w:szCs w:val="20"/>
        </w:rPr>
        <w:t>“RAZONES O MOTIVOS DE LA INCONFORMIDAD</w:t>
      </w:r>
    </w:p>
    <w:p w14:paraId="651DCED0" w14:textId="6F10E4A1" w:rsidR="00FE097D" w:rsidRPr="00445CEF" w:rsidRDefault="005B45A3" w:rsidP="00A47C39">
      <w:pPr>
        <w:tabs>
          <w:tab w:val="left" w:pos="4667"/>
        </w:tabs>
        <w:spacing w:after="0" w:line="360" w:lineRule="auto"/>
        <w:ind w:left="567" w:right="567"/>
        <w:rPr>
          <w:i/>
          <w:iCs/>
          <w:color w:val="auto"/>
          <w:sz w:val="20"/>
          <w:szCs w:val="20"/>
        </w:rPr>
      </w:pPr>
      <w:r w:rsidRPr="00445CEF">
        <w:rPr>
          <w:i/>
          <w:iCs/>
          <w:color w:val="auto"/>
          <w:sz w:val="20"/>
          <w:szCs w:val="20"/>
        </w:rPr>
        <w:t xml:space="preserve">no presentan el registro de entrada y salida de la servidora </w:t>
      </w:r>
      <w:proofErr w:type="spellStart"/>
      <w:r w:rsidRPr="00445CEF">
        <w:rPr>
          <w:i/>
          <w:iCs/>
          <w:color w:val="auto"/>
          <w:sz w:val="20"/>
          <w:szCs w:val="20"/>
        </w:rPr>
        <w:t>publica</w:t>
      </w:r>
      <w:proofErr w:type="spellEnd"/>
      <w:r w:rsidRPr="00445CEF">
        <w:rPr>
          <w:i/>
          <w:iCs/>
          <w:color w:val="auto"/>
          <w:sz w:val="20"/>
          <w:szCs w:val="20"/>
        </w:rPr>
        <w:t xml:space="preserve"> o bien el registro del reloj checador donde conste el horario de entrada y salida</w:t>
      </w:r>
      <w:r w:rsidR="00FE097D" w:rsidRPr="00445CEF">
        <w:rPr>
          <w:i/>
          <w:iCs/>
          <w:color w:val="auto"/>
          <w:sz w:val="20"/>
          <w:szCs w:val="20"/>
        </w:rPr>
        <w:t>” (Sic.)</w:t>
      </w:r>
    </w:p>
    <w:p w14:paraId="47717995" w14:textId="77777777" w:rsidR="00605056" w:rsidRPr="00445CEF" w:rsidRDefault="00605056" w:rsidP="00A47C39">
      <w:pPr>
        <w:spacing w:after="0" w:line="360" w:lineRule="auto"/>
        <w:contextualSpacing/>
        <w:rPr>
          <w:rFonts w:eastAsia="Times New Roman" w:cs="Tahoma"/>
          <w:bCs/>
          <w:color w:val="FF0000"/>
          <w:sz w:val="20"/>
          <w:szCs w:val="20"/>
          <w:lang w:eastAsia="es-ES"/>
        </w:rPr>
      </w:pPr>
    </w:p>
    <w:p w14:paraId="2D3CE335" w14:textId="3A5EB4A5" w:rsidR="00DB3DC5" w:rsidRPr="00445CEF" w:rsidRDefault="000C1808" w:rsidP="00A47C39">
      <w:pPr>
        <w:spacing w:after="0" w:line="360" w:lineRule="auto"/>
        <w:contextualSpacing/>
        <w:rPr>
          <w:rFonts w:eastAsia="Batang" w:cs="Tahoma"/>
          <w:b/>
          <w:bCs/>
          <w:color w:val="auto"/>
        </w:rPr>
      </w:pPr>
      <w:r w:rsidRPr="00445CEF">
        <w:rPr>
          <w:rFonts w:eastAsia="Calibri" w:cs="Tahoma"/>
          <w:b/>
          <w:color w:val="auto"/>
        </w:rPr>
        <w:t>V</w:t>
      </w:r>
      <w:r w:rsidR="00DB3DC5" w:rsidRPr="00445CEF">
        <w:rPr>
          <w:rFonts w:eastAsia="Calibri" w:cs="Tahoma"/>
          <w:b/>
          <w:color w:val="auto"/>
        </w:rPr>
        <w:t xml:space="preserve">. </w:t>
      </w:r>
      <w:r w:rsidR="00DB3DC5" w:rsidRPr="00445CEF">
        <w:rPr>
          <w:rFonts w:eastAsia="Batang" w:cs="Tahoma"/>
          <w:b/>
          <w:bCs/>
          <w:color w:val="auto"/>
        </w:rPr>
        <w:t>Trámite del Recurso de Revisión</w:t>
      </w:r>
      <w:r w:rsidR="00DB3DC5" w:rsidRPr="00445CEF">
        <w:rPr>
          <w:rFonts w:eastAsia="Calibri" w:cs="Tahoma"/>
          <w:b/>
          <w:color w:val="auto"/>
        </w:rPr>
        <w:t xml:space="preserve"> </w:t>
      </w:r>
      <w:r w:rsidR="00DB3DC5" w:rsidRPr="00445CEF">
        <w:rPr>
          <w:rFonts w:eastAsia="Batang" w:cs="Tahoma"/>
          <w:b/>
          <w:bCs/>
          <w:color w:val="auto"/>
        </w:rPr>
        <w:t>ante este Instituto</w:t>
      </w:r>
    </w:p>
    <w:p w14:paraId="13E537D5" w14:textId="77777777" w:rsidR="00DB3DC5" w:rsidRPr="00445CEF" w:rsidRDefault="00DB3DC5" w:rsidP="00A47C39">
      <w:pPr>
        <w:spacing w:after="0" w:line="360" w:lineRule="auto"/>
        <w:contextualSpacing/>
        <w:rPr>
          <w:rFonts w:eastAsia="Batang" w:cs="Tahoma"/>
          <w:b/>
          <w:bCs/>
          <w:color w:val="FF0000"/>
        </w:rPr>
      </w:pPr>
    </w:p>
    <w:p w14:paraId="5B9B961B" w14:textId="3A3272AC" w:rsidR="00DB3DC5" w:rsidRPr="00445CEF" w:rsidRDefault="00DB3DC5" w:rsidP="00A47C39">
      <w:pPr>
        <w:spacing w:after="0" w:line="360" w:lineRule="auto"/>
        <w:contextualSpacing/>
        <w:rPr>
          <w:rFonts w:eastAsia="Batang" w:cs="Tahoma"/>
          <w:bCs/>
          <w:color w:val="FF0000"/>
        </w:rPr>
      </w:pPr>
      <w:r w:rsidRPr="00445CEF">
        <w:rPr>
          <w:rFonts w:eastAsia="Batang" w:cs="Tahoma"/>
          <w:b/>
          <w:bCs/>
          <w:color w:val="auto"/>
        </w:rPr>
        <w:t xml:space="preserve">a) Turno del Medio de Impugnación. </w:t>
      </w:r>
      <w:r w:rsidRPr="00445CEF">
        <w:rPr>
          <w:rFonts w:eastAsia="Batang" w:cs="Tahoma"/>
          <w:bCs/>
          <w:color w:val="auto"/>
        </w:rPr>
        <w:t>El</w:t>
      </w:r>
      <w:r w:rsidR="00887A1B" w:rsidRPr="00445CEF">
        <w:rPr>
          <w:rFonts w:eastAsia="Batang" w:cs="Tahoma"/>
          <w:bCs/>
          <w:color w:val="auto"/>
        </w:rPr>
        <w:t xml:space="preserve"> </w:t>
      </w:r>
      <w:r w:rsidR="005B45A3" w:rsidRPr="00445CEF">
        <w:rPr>
          <w:rFonts w:eastAsia="Batang" w:cs="Tahoma"/>
          <w:bCs/>
          <w:color w:val="auto"/>
        </w:rPr>
        <w:t xml:space="preserve">tres de octubre de dos mil veinticuatro, </w:t>
      </w:r>
      <w:r w:rsidRPr="00445CEF">
        <w:rPr>
          <w:rFonts w:eastAsia="Batang" w:cs="Tahoma"/>
          <w:bCs/>
          <w:color w:val="auto"/>
        </w:rPr>
        <w:t xml:space="preserve">el </w:t>
      </w:r>
      <w:r w:rsidRPr="00445CEF">
        <w:rPr>
          <w:rFonts w:eastAsia="Calibri" w:cs="Tahoma"/>
          <w:color w:val="auto"/>
          <w:lang w:val="es-ES"/>
        </w:rPr>
        <w:t>Sistema de Acceso a la Información Mexiquense (SAIMEX),</w:t>
      </w:r>
      <w:r w:rsidRPr="00445CEF">
        <w:rPr>
          <w:rFonts w:eastAsia="Batang" w:cs="Tahoma"/>
          <w:bCs/>
          <w:color w:val="auto"/>
        </w:rPr>
        <w:t xml:space="preserve"> </w:t>
      </w:r>
      <w:r w:rsidR="0089704B" w:rsidRPr="00445CEF">
        <w:rPr>
          <w:rFonts w:eastAsia="Batang" w:cs="Tahoma"/>
          <w:bCs/>
          <w:color w:val="auto"/>
          <w:lang w:val="es-ES_tradnl"/>
        </w:rPr>
        <w:t>asignó los números de expedientes</w:t>
      </w:r>
      <w:r w:rsidR="00134BD9" w:rsidRPr="00445CEF">
        <w:rPr>
          <w:rFonts w:eastAsia="Batang" w:cs="Tahoma"/>
          <w:bCs/>
          <w:color w:val="auto"/>
          <w:lang w:val="es-ES_tradnl"/>
        </w:rPr>
        <w:t xml:space="preserve"> </w:t>
      </w:r>
      <w:r w:rsidR="00605056" w:rsidRPr="00445CEF">
        <w:rPr>
          <w:rFonts w:cs="Tahoma"/>
          <w:b/>
          <w:bCs/>
          <w:color w:val="auto"/>
          <w:lang w:val="es-ES_tradnl"/>
        </w:rPr>
        <w:t>0</w:t>
      </w:r>
      <w:r w:rsidR="005B45A3" w:rsidRPr="00445CEF">
        <w:rPr>
          <w:rFonts w:cs="Tahoma"/>
          <w:b/>
          <w:bCs/>
          <w:color w:val="auto"/>
          <w:lang w:val="es-ES_tradnl"/>
        </w:rPr>
        <w:t>6011</w:t>
      </w:r>
      <w:r w:rsidR="00605056" w:rsidRPr="00445CEF">
        <w:rPr>
          <w:rFonts w:cs="Tahoma"/>
          <w:b/>
          <w:bCs/>
          <w:color w:val="auto"/>
          <w:lang w:val="es-ES_tradnl"/>
        </w:rPr>
        <w:t>/INFOEM/IP/RR/2024</w:t>
      </w:r>
      <w:r w:rsidR="005B45A3" w:rsidRPr="00445CEF">
        <w:rPr>
          <w:rFonts w:cs="Tahoma"/>
          <w:b/>
          <w:bCs/>
          <w:color w:val="auto"/>
          <w:lang w:val="es-ES_tradnl"/>
        </w:rPr>
        <w:t xml:space="preserve"> </w:t>
      </w:r>
      <w:r w:rsidR="00605056" w:rsidRPr="00445CEF">
        <w:rPr>
          <w:rFonts w:cs="Tahoma"/>
          <w:b/>
          <w:bCs/>
          <w:color w:val="auto"/>
          <w:lang w:val="es-ES_tradnl"/>
        </w:rPr>
        <w:t>y 0</w:t>
      </w:r>
      <w:r w:rsidR="005B45A3" w:rsidRPr="00445CEF">
        <w:rPr>
          <w:rFonts w:cs="Tahoma"/>
          <w:b/>
          <w:bCs/>
          <w:color w:val="auto"/>
          <w:lang w:val="es-ES_tradnl"/>
        </w:rPr>
        <w:t>6012</w:t>
      </w:r>
      <w:r w:rsidR="00605056" w:rsidRPr="00445CEF">
        <w:rPr>
          <w:rFonts w:cs="Tahoma"/>
          <w:b/>
          <w:bCs/>
          <w:color w:val="auto"/>
          <w:lang w:val="es-ES_tradnl"/>
        </w:rPr>
        <w:t>/INFOEM/IP/RR/2024</w:t>
      </w:r>
      <w:r w:rsidRPr="00445CEF">
        <w:rPr>
          <w:rFonts w:eastAsia="Batang" w:cs="Tahoma"/>
          <w:bCs/>
          <w:color w:val="auto"/>
        </w:rPr>
        <w:t>, a</w:t>
      </w:r>
      <w:r w:rsidR="00134BD9" w:rsidRPr="00445CEF">
        <w:rPr>
          <w:rFonts w:eastAsia="Batang" w:cs="Tahoma"/>
          <w:bCs/>
          <w:color w:val="auto"/>
        </w:rPr>
        <w:t>l</w:t>
      </w:r>
      <w:r w:rsidRPr="00445CEF">
        <w:rPr>
          <w:rFonts w:eastAsia="Batang" w:cs="Tahoma"/>
          <w:bCs/>
          <w:color w:val="auto"/>
        </w:rPr>
        <w:t xml:space="preserve"> Medio de Impugnación que nos ocupa, con base en el sistema aprobado por el Pleno de es</w:t>
      </w:r>
      <w:r w:rsidR="00605056" w:rsidRPr="00445CEF">
        <w:rPr>
          <w:rFonts w:eastAsia="Batang" w:cs="Tahoma"/>
          <w:bCs/>
          <w:color w:val="auto"/>
        </w:rPr>
        <w:t xml:space="preserve">te Órgano Garante y lo turnó los </w:t>
      </w:r>
      <w:r w:rsidRPr="00445CEF">
        <w:rPr>
          <w:rFonts w:eastAsia="Batang" w:cs="Tahoma"/>
          <w:b/>
          <w:color w:val="auto"/>
        </w:rPr>
        <w:t>Comisionado Ponente Luis Gustavo Parra Noriega</w:t>
      </w:r>
      <w:r w:rsidR="005B45A3" w:rsidRPr="00445CEF">
        <w:rPr>
          <w:rFonts w:eastAsia="Batang" w:cs="Tahoma"/>
          <w:bCs/>
          <w:color w:val="auto"/>
        </w:rPr>
        <w:t xml:space="preserve"> y </w:t>
      </w:r>
      <w:r w:rsidR="00605056" w:rsidRPr="00445CEF">
        <w:rPr>
          <w:rFonts w:eastAsia="Batang" w:cs="Tahoma"/>
          <w:b/>
          <w:bCs/>
          <w:color w:val="auto"/>
        </w:rPr>
        <w:t>Sharon Cristina M</w:t>
      </w:r>
      <w:r w:rsidR="00887A1B" w:rsidRPr="00445CEF">
        <w:rPr>
          <w:rFonts w:eastAsia="Batang" w:cs="Tahoma"/>
          <w:b/>
          <w:bCs/>
          <w:color w:val="auto"/>
        </w:rPr>
        <w:t>orales Martíne</w:t>
      </w:r>
      <w:r w:rsidR="005B45A3" w:rsidRPr="00445CEF">
        <w:rPr>
          <w:rFonts w:eastAsia="Batang" w:cs="Tahoma"/>
          <w:b/>
          <w:bCs/>
          <w:color w:val="auto"/>
        </w:rPr>
        <w:t>z</w:t>
      </w:r>
      <w:r w:rsidR="00887A1B" w:rsidRPr="00445CEF">
        <w:rPr>
          <w:rFonts w:eastAsia="Batang" w:cs="Tahoma"/>
          <w:b/>
          <w:bCs/>
          <w:color w:val="auto"/>
        </w:rPr>
        <w:t xml:space="preserve">, </w:t>
      </w:r>
      <w:r w:rsidRPr="00445CEF">
        <w:rPr>
          <w:rFonts w:eastAsia="Batang" w:cs="Tahoma"/>
          <w:bCs/>
          <w:color w:val="auto"/>
        </w:rPr>
        <w:t>para los efectos del artículo 185, fracción I de la Ley de Transparencia y Acceso a la Información Pública del Estado de México y Municipios.</w:t>
      </w:r>
    </w:p>
    <w:p w14:paraId="2B3B5A4B" w14:textId="64108126" w:rsidR="00DB3DC5" w:rsidRPr="00445CEF" w:rsidRDefault="00DB3DC5" w:rsidP="00A47C39">
      <w:pPr>
        <w:spacing w:after="0" w:line="360" w:lineRule="auto"/>
        <w:contextualSpacing/>
        <w:rPr>
          <w:rFonts w:eastAsia="Times New Roman" w:cs="Tahoma"/>
          <w:bCs/>
          <w:color w:val="auto"/>
          <w:lang w:val="es-ES_tradnl" w:eastAsia="es-ES"/>
        </w:rPr>
      </w:pPr>
      <w:r w:rsidRPr="00445CEF">
        <w:rPr>
          <w:rFonts w:eastAsia="Times New Roman" w:cs="Tahoma"/>
          <w:b/>
          <w:bCs/>
          <w:color w:val="auto"/>
          <w:lang w:eastAsia="es-ES"/>
        </w:rPr>
        <w:lastRenderedPageBreak/>
        <w:t>b) Admisión de</w:t>
      </w:r>
      <w:r w:rsidR="0089704B" w:rsidRPr="00445CEF">
        <w:rPr>
          <w:rFonts w:eastAsia="Times New Roman" w:cs="Tahoma"/>
          <w:b/>
          <w:bCs/>
          <w:color w:val="auto"/>
          <w:lang w:eastAsia="es-ES"/>
        </w:rPr>
        <w:t xml:space="preserve"> los</w:t>
      </w:r>
      <w:r w:rsidRPr="00445CEF">
        <w:rPr>
          <w:rFonts w:eastAsia="Times New Roman" w:cs="Tahoma"/>
          <w:b/>
          <w:bCs/>
          <w:color w:val="auto"/>
          <w:lang w:eastAsia="es-ES"/>
        </w:rPr>
        <w:t xml:space="preserve"> Recurso</w:t>
      </w:r>
      <w:r w:rsidR="0089704B" w:rsidRPr="00445CEF">
        <w:rPr>
          <w:rFonts w:eastAsia="Times New Roman" w:cs="Tahoma"/>
          <w:b/>
          <w:bCs/>
          <w:color w:val="auto"/>
          <w:lang w:eastAsia="es-ES"/>
        </w:rPr>
        <w:t>s</w:t>
      </w:r>
      <w:r w:rsidRPr="00445CEF">
        <w:rPr>
          <w:rFonts w:eastAsia="Times New Roman" w:cs="Tahoma"/>
          <w:b/>
          <w:bCs/>
          <w:color w:val="auto"/>
          <w:lang w:eastAsia="es-ES"/>
        </w:rPr>
        <w:t xml:space="preserve"> de Revisión</w:t>
      </w:r>
      <w:r w:rsidRPr="00445CEF">
        <w:rPr>
          <w:rFonts w:eastAsia="Times New Roman" w:cs="Tahoma"/>
          <w:b/>
          <w:bCs/>
          <w:color w:val="auto"/>
          <w:lang w:val="es-ES_tradnl" w:eastAsia="es-ES"/>
        </w:rPr>
        <w:t xml:space="preserve">. </w:t>
      </w:r>
      <w:r w:rsidR="00887A1B" w:rsidRPr="00445CEF">
        <w:rPr>
          <w:rFonts w:eastAsia="Times New Roman" w:cs="Tahoma"/>
          <w:bCs/>
          <w:color w:val="auto"/>
          <w:lang w:val="es-ES_tradnl" w:eastAsia="es-ES"/>
        </w:rPr>
        <w:t xml:space="preserve">El </w:t>
      </w:r>
      <w:r w:rsidR="004F5253" w:rsidRPr="00445CEF">
        <w:rPr>
          <w:rFonts w:eastAsia="Times New Roman" w:cs="Tahoma"/>
          <w:bCs/>
          <w:color w:val="auto"/>
          <w:lang w:val="es-ES_tradnl" w:eastAsia="es-ES"/>
        </w:rPr>
        <w:t xml:space="preserve">cuatro y ocho de octubre </w:t>
      </w:r>
      <w:r w:rsidR="00FE097D" w:rsidRPr="00445CEF">
        <w:rPr>
          <w:rFonts w:eastAsia="Batang" w:cs="Tahoma"/>
          <w:bCs/>
          <w:color w:val="auto"/>
        </w:rPr>
        <w:t>de dos mil veinticuatro</w:t>
      </w:r>
      <w:r w:rsidRPr="00445CEF">
        <w:rPr>
          <w:rFonts w:eastAsia="Times New Roman" w:cs="Tahoma"/>
          <w:bCs/>
          <w:color w:val="auto"/>
          <w:lang w:val="es-ES_tradnl" w:eastAsia="es-ES"/>
        </w:rPr>
        <w:t>, se acordó la admisión de</w:t>
      </w:r>
      <w:r w:rsidR="0089704B" w:rsidRPr="00445CEF">
        <w:rPr>
          <w:rFonts w:eastAsia="Times New Roman" w:cs="Tahoma"/>
          <w:bCs/>
          <w:color w:val="auto"/>
          <w:lang w:val="es-ES_tradnl" w:eastAsia="es-ES"/>
        </w:rPr>
        <w:t xml:space="preserve"> los</w:t>
      </w:r>
      <w:r w:rsidRPr="00445CEF">
        <w:rPr>
          <w:rFonts w:eastAsia="Times New Roman" w:cs="Tahoma"/>
          <w:bCs/>
          <w:color w:val="auto"/>
          <w:lang w:val="es-ES_tradnl" w:eastAsia="es-ES"/>
        </w:rPr>
        <w:t xml:space="preserve"> Recurso</w:t>
      </w:r>
      <w:r w:rsidR="0089704B" w:rsidRPr="00445CEF">
        <w:rPr>
          <w:rFonts w:eastAsia="Times New Roman" w:cs="Tahoma"/>
          <w:bCs/>
          <w:color w:val="auto"/>
          <w:lang w:val="es-ES_tradnl" w:eastAsia="es-ES"/>
        </w:rPr>
        <w:t>s</w:t>
      </w:r>
      <w:r w:rsidRPr="00445CEF">
        <w:rPr>
          <w:rFonts w:eastAsia="Times New Roman" w:cs="Tahoma"/>
          <w:bCs/>
          <w:color w:val="auto"/>
          <w:lang w:val="es-ES_tradnl" w:eastAsia="es-ES"/>
        </w:rPr>
        <w:t xml:space="preserve"> de Revisión interpuesto por la Recurrente en contra del Sujeto Obligado, en términos del artículo 185, fracciones I y II de la Ley de Transparencia y Acceso a la Información Pública del Estado de México y Municipios, </w:t>
      </w:r>
      <w:r w:rsidR="0089704B" w:rsidRPr="00445CEF">
        <w:rPr>
          <w:rFonts w:eastAsia="Times New Roman" w:cs="Tahoma"/>
          <w:bCs/>
          <w:color w:val="auto"/>
          <w:lang w:val="es-ES_tradnl" w:eastAsia="es-ES"/>
        </w:rPr>
        <w:t>los</w:t>
      </w:r>
      <w:r w:rsidRPr="00445CEF">
        <w:rPr>
          <w:rFonts w:eastAsia="Times New Roman" w:cs="Tahoma"/>
          <w:bCs/>
          <w:color w:val="auto"/>
          <w:lang w:val="es-ES_tradnl" w:eastAsia="es-ES"/>
        </w:rPr>
        <w:t xml:space="preserve"> cual</w:t>
      </w:r>
      <w:r w:rsidR="0089704B" w:rsidRPr="00445CEF">
        <w:rPr>
          <w:rFonts w:eastAsia="Times New Roman" w:cs="Tahoma"/>
          <w:bCs/>
          <w:color w:val="auto"/>
          <w:lang w:val="es-ES_tradnl" w:eastAsia="es-ES"/>
        </w:rPr>
        <w:t>es</w:t>
      </w:r>
      <w:r w:rsidRPr="00445CEF">
        <w:rPr>
          <w:rFonts w:eastAsia="Times New Roman" w:cs="Tahoma"/>
          <w:bCs/>
          <w:color w:val="auto"/>
          <w:lang w:val="es-ES_tradnl" w:eastAsia="es-ES"/>
        </w:rPr>
        <w:t xml:space="preserve"> fue</w:t>
      </w:r>
      <w:r w:rsidR="0089704B" w:rsidRPr="00445CEF">
        <w:rPr>
          <w:rFonts w:eastAsia="Times New Roman" w:cs="Tahoma"/>
          <w:bCs/>
          <w:color w:val="auto"/>
          <w:lang w:val="es-ES_tradnl" w:eastAsia="es-ES"/>
        </w:rPr>
        <w:t>ron</w:t>
      </w:r>
      <w:r w:rsidRPr="00445CEF">
        <w:rPr>
          <w:rFonts w:eastAsia="Times New Roman" w:cs="Tahoma"/>
          <w:bCs/>
          <w:color w:val="auto"/>
          <w:lang w:val="es-ES_tradnl" w:eastAsia="es-ES"/>
        </w:rPr>
        <w:t xml:space="preserve"> debidamente notificado</w:t>
      </w:r>
      <w:r w:rsidR="00134BD9" w:rsidRPr="00445CEF">
        <w:rPr>
          <w:rFonts w:eastAsia="Times New Roman" w:cs="Tahoma"/>
          <w:bCs/>
          <w:color w:val="auto"/>
          <w:lang w:val="es-ES_tradnl" w:eastAsia="es-ES"/>
        </w:rPr>
        <w:t>s</w:t>
      </w:r>
      <w:r w:rsidRPr="00445CEF">
        <w:rPr>
          <w:rFonts w:eastAsia="Times New Roman" w:cs="Tahoma"/>
          <w:bCs/>
          <w:color w:val="auto"/>
          <w:lang w:val="es-ES_tradnl" w:eastAsia="es-ES"/>
        </w:rPr>
        <w:t xml:space="preserve"> a las partes el</w:t>
      </w:r>
      <w:r w:rsidR="00887A1B" w:rsidRPr="00445CEF">
        <w:rPr>
          <w:rFonts w:eastAsia="Times New Roman" w:cs="Tahoma"/>
          <w:bCs/>
          <w:color w:val="auto"/>
          <w:lang w:val="es-ES_tradnl" w:eastAsia="es-ES"/>
        </w:rPr>
        <w:t xml:space="preserve"> </w:t>
      </w:r>
      <w:r w:rsidR="004F5253" w:rsidRPr="00445CEF">
        <w:rPr>
          <w:rFonts w:eastAsia="Times New Roman" w:cs="Tahoma"/>
          <w:bCs/>
          <w:color w:val="auto"/>
          <w:lang w:val="es-ES_tradnl" w:eastAsia="es-ES"/>
        </w:rPr>
        <w:t xml:space="preserve">cuatro y ocho </w:t>
      </w:r>
      <w:r w:rsidR="00D437B8" w:rsidRPr="00445CEF">
        <w:rPr>
          <w:rFonts w:eastAsia="Times New Roman" w:cs="Tahoma"/>
          <w:bCs/>
          <w:color w:val="auto"/>
          <w:lang w:val="es-ES_tradnl" w:eastAsia="es-ES"/>
        </w:rPr>
        <w:t>de dicho mes y año</w:t>
      </w:r>
      <w:r w:rsidR="00887A1B" w:rsidRPr="00445CEF">
        <w:rPr>
          <w:rFonts w:eastAsia="Times New Roman" w:cs="Tahoma"/>
          <w:bCs/>
          <w:color w:val="auto"/>
          <w:lang w:val="es-ES_tradnl" w:eastAsia="es-ES"/>
        </w:rPr>
        <w:t xml:space="preserve">, </w:t>
      </w:r>
      <w:r w:rsidRPr="00445CEF">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445CEF" w:rsidRDefault="00DB3DC5" w:rsidP="00A47C39">
      <w:pPr>
        <w:spacing w:after="0" w:line="360" w:lineRule="auto"/>
        <w:contextualSpacing/>
        <w:rPr>
          <w:rFonts w:cs="Tahoma"/>
          <w:color w:val="FF0000"/>
        </w:rPr>
      </w:pPr>
    </w:p>
    <w:p w14:paraId="0792F0F3" w14:textId="7FC9925A" w:rsidR="000A0A70" w:rsidRPr="00445CEF" w:rsidRDefault="006778B9" w:rsidP="00A47C39">
      <w:pPr>
        <w:spacing w:after="0" w:line="360" w:lineRule="auto"/>
        <w:rPr>
          <w:bCs/>
          <w:color w:val="auto"/>
          <w:lang w:val="es-ES_tradnl"/>
        </w:rPr>
      </w:pPr>
      <w:r w:rsidRPr="00445CEF">
        <w:rPr>
          <w:rFonts w:cs="Tahoma"/>
          <w:b/>
          <w:color w:val="auto"/>
        </w:rPr>
        <w:t xml:space="preserve">c) </w:t>
      </w:r>
      <w:r w:rsidRPr="00445CEF">
        <w:rPr>
          <w:rFonts w:cs="Tahoma"/>
          <w:b/>
          <w:bCs/>
          <w:iCs/>
          <w:color w:val="auto"/>
          <w:lang w:val="es-ES"/>
        </w:rPr>
        <w:t>Informe Justificado o manifestaciones.</w:t>
      </w:r>
      <w:r w:rsidRPr="00445CEF">
        <w:rPr>
          <w:rFonts w:cs="Tahoma"/>
          <w:bCs/>
          <w:iCs/>
          <w:color w:val="auto"/>
          <w:lang w:val="es-ES"/>
        </w:rPr>
        <w:t xml:space="preserve"> </w:t>
      </w:r>
      <w:r w:rsidR="00094584" w:rsidRPr="00445CEF">
        <w:rPr>
          <w:bCs/>
          <w:color w:val="auto"/>
          <w:lang w:val="es-ES_tradnl"/>
        </w:rPr>
        <w:t xml:space="preserve">El </w:t>
      </w:r>
      <w:r w:rsidR="00D437B8" w:rsidRPr="00445CEF">
        <w:rPr>
          <w:bCs/>
          <w:color w:val="auto"/>
          <w:lang w:val="es-ES_tradnl"/>
        </w:rPr>
        <w:t xml:space="preserve">quince de octubre de </w:t>
      </w:r>
      <w:r w:rsidR="00FE097D" w:rsidRPr="00445CEF">
        <w:rPr>
          <w:bCs/>
          <w:color w:val="auto"/>
          <w:lang w:val="es-ES_tradnl"/>
        </w:rPr>
        <w:t>dos mil veinticuatro</w:t>
      </w:r>
      <w:r w:rsidR="00094584" w:rsidRPr="00445CEF">
        <w:rPr>
          <w:bCs/>
          <w:color w:val="auto"/>
          <w:lang w:val="es-ES_tradnl"/>
        </w:rPr>
        <w:t xml:space="preserve"> se recibió</w:t>
      </w:r>
      <w:r w:rsidRPr="00445CEF">
        <w:rPr>
          <w:bCs/>
          <w:color w:val="auto"/>
          <w:lang w:val="es-ES_tradnl"/>
        </w:rPr>
        <w:t xml:space="preserve">, a través de Sistema de Acceso a la Información Mexiquense (SAIMEX), </w:t>
      </w:r>
      <w:r w:rsidR="000A0A70" w:rsidRPr="00445CEF">
        <w:rPr>
          <w:bCs/>
          <w:color w:val="auto"/>
          <w:lang w:val="es-ES_tradnl"/>
        </w:rPr>
        <w:t>l</w:t>
      </w:r>
      <w:r w:rsidR="00E60741" w:rsidRPr="00445CEF">
        <w:rPr>
          <w:bCs/>
          <w:color w:val="auto"/>
          <w:lang w:val="es-ES_tradnl"/>
        </w:rPr>
        <w:t>a</w:t>
      </w:r>
      <w:r w:rsidR="000A0A70" w:rsidRPr="00445CEF">
        <w:rPr>
          <w:bCs/>
          <w:color w:val="auto"/>
          <w:lang w:val="es-ES_tradnl"/>
        </w:rPr>
        <w:t>s</w:t>
      </w:r>
      <w:r w:rsidRPr="00445CEF">
        <w:rPr>
          <w:bCs/>
          <w:color w:val="auto"/>
          <w:lang w:val="es-ES_tradnl"/>
        </w:rPr>
        <w:t xml:space="preserve"> </w:t>
      </w:r>
      <w:r w:rsidR="00E60741" w:rsidRPr="00445CEF">
        <w:rPr>
          <w:bCs/>
          <w:color w:val="auto"/>
          <w:lang w:val="es-ES_tradnl"/>
        </w:rPr>
        <w:t>manifestaciones</w:t>
      </w:r>
      <w:r w:rsidRPr="00445CEF">
        <w:rPr>
          <w:bCs/>
          <w:color w:val="auto"/>
          <w:lang w:val="es-ES_tradnl"/>
        </w:rPr>
        <w:t xml:space="preserve"> del Sujeto Obligado, a través de la digitalización de los </w:t>
      </w:r>
      <w:r w:rsidR="00134BD9" w:rsidRPr="00445CEF">
        <w:rPr>
          <w:bCs/>
          <w:color w:val="auto"/>
          <w:lang w:val="es-ES_tradnl"/>
        </w:rPr>
        <w:t>siguientes documentos:</w:t>
      </w:r>
    </w:p>
    <w:p w14:paraId="146B8F62" w14:textId="77777777" w:rsidR="00D972F0" w:rsidRPr="00445CEF" w:rsidRDefault="00D972F0" w:rsidP="00A47C39">
      <w:pPr>
        <w:spacing w:after="0" w:line="360" w:lineRule="auto"/>
        <w:rPr>
          <w:bCs/>
          <w:color w:val="auto"/>
          <w:lang w:val="es-ES_tradnl"/>
        </w:rPr>
      </w:pPr>
    </w:p>
    <w:p w14:paraId="279114DF" w14:textId="155C228F" w:rsidR="00D972F0" w:rsidRPr="00445CEF" w:rsidRDefault="00D972F0" w:rsidP="00A47C39">
      <w:pPr>
        <w:spacing w:after="0" w:line="360" w:lineRule="auto"/>
        <w:contextualSpacing/>
        <w:rPr>
          <w:rFonts w:cs="Tahoma"/>
          <w:b/>
          <w:bCs/>
          <w:color w:val="auto"/>
        </w:rPr>
      </w:pPr>
      <w:r w:rsidRPr="00445CEF">
        <w:rPr>
          <w:b/>
          <w:bCs/>
          <w:color w:val="auto"/>
        </w:rPr>
        <w:t xml:space="preserve">Solicitud con número de folio 00237/ATLACOM/IP/2024 </w:t>
      </w:r>
      <w:r w:rsidRPr="00445CEF">
        <w:rPr>
          <w:rFonts w:cs="Tahoma"/>
          <w:b/>
          <w:bCs/>
          <w:color w:val="auto"/>
        </w:rPr>
        <w:t>referente al Medio de Impugnación 06011/INFOEM/IP/RR/2024</w:t>
      </w:r>
    </w:p>
    <w:p w14:paraId="714FB52E" w14:textId="229B4E4D" w:rsidR="00366820" w:rsidRPr="00445CEF" w:rsidRDefault="00366820" w:rsidP="00A47C39">
      <w:pPr>
        <w:autoSpaceDE w:val="0"/>
        <w:autoSpaceDN w:val="0"/>
        <w:adjustRightInd w:val="0"/>
        <w:spacing w:after="0" w:line="360" w:lineRule="auto"/>
        <w:rPr>
          <w:rFonts w:cs="Tahoma"/>
          <w:color w:val="auto"/>
          <w:lang w:val="es-ES_tradnl"/>
        </w:rPr>
      </w:pPr>
      <w:r w:rsidRPr="00445CEF">
        <w:rPr>
          <w:rFonts w:cs="Tahoma"/>
          <w:color w:val="auto"/>
          <w:lang w:val="es-ES_tradnl"/>
        </w:rPr>
        <w:t>i) Oficio PM/UT/INJ/021/2024 suscrito por la Titular de la Unidad de Transparencia y dirigido al Comisionado Ponente, por medio del cual se ratifica la respuesta inicial.</w:t>
      </w:r>
    </w:p>
    <w:p w14:paraId="629264F0" w14:textId="77777777" w:rsidR="00134BD9" w:rsidRPr="00445CEF" w:rsidRDefault="00134BD9" w:rsidP="00A47C39">
      <w:pPr>
        <w:spacing w:after="0" w:line="360" w:lineRule="auto"/>
        <w:rPr>
          <w:bCs/>
          <w:color w:val="FF0000"/>
          <w:lang w:val="es-ES_tradnl"/>
        </w:rPr>
      </w:pPr>
    </w:p>
    <w:p w14:paraId="05E5B04B" w14:textId="1857974C" w:rsidR="004A27E9" w:rsidRPr="00445CEF" w:rsidRDefault="004A27E9" w:rsidP="00A47C39">
      <w:pPr>
        <w:spacing w:after="0" w:line="360" w:lineRule="auto"/>
        <w:contextualSpacing/>
        <w:rPr>
          <w:rFonts w:cs="Tahoma"/>
          <w:b/>
          <w:bCs/>
          <w:color w:val="auto"/>
        </w:rPr>
      </w:pPr>
      <w:r w:rsidRPr="00445CEF">
        <w:rPr>
          <w:rFonts w:cs="Tahoma"/>
          <w:b/>
          <w:bCs/>
          <w:color w:val="auto"/>
        </w:rPr>
        <w:t xml:space="preserve">Solicitud con número </w:t>
      </w:r>
      <w:r w:rsidRPr="00445CEF">
        <w:rPr>
          <w:rFonts w:cs="Tahoma"/>
          <w:b/>
          <w:bCs/>
          <w:color w:val="auto"/>
          <w:lang w:val="es-ES_tradnl"/>
        </w:rPr>
        <w:t xml:space="preserve">de folio </w:t>
      </w:r>
      <w:r w:rsidR="00D972F0" w:rsidRPr="00445CEF">
        <w:rPr>
          <w:rFonts w:cs="Tahoma"/>
          <w:b/>
          <w:bCs/>
          <w:color w:val="auto"/>
          <w:lang w:val="es-ES_tradnl"/>
        </w:rPr>
        <w:t>00238/ATLACOM/IP/2024</w:t>
      </w:r>
      <w:r w:rsidR="00D972F0" w:rsidRPr="00445CEF">
        <w:rPr>
          <w:rFonts w:cs="Tahoma"/>
          <w:b/>
          <w:bCs/>
          <w:color w:val="auto"/>
        </w:rPr>
        <w:t xml:space="preserve"> </w:t>
      </w:r>
      <w:r w:rsidRPr="00445CEF">
        <w:rPr>
          <w:rFonts w:cs="Tahoma"/>
          <w:b/>
          <w:bCs/>
          <w:color w:val="auto"/>
        </w:rPr>
        <w:t xml:space="preserve">referente al Medio de Impugnación </w:t>
      </w:r>
      <w:r w:rsidR="00014BE4" w:rsidRPr="00445CEF">
        <w:rPr>
          <w:b/>
          <w:color w:val="auto"/>
        </w:rPr>
        <w:t>0</w:t>
      </w:r>
      <w:r w:rsidR="00D972F0" w:rsidRPr="00445CEF">
        <w:rPr>
          <w:b/>
          <w:color w:val="auto"/>
        </w:rPr>
        <w:t>6012</w:t>
      </w:r>
      <w:r w:rsidR="00014BE4" w:rsidRPr="00445CEF">
        <w:rPr>
          <w:b/>
          <w:color w:val="auto"/>
        </w:rPr>
        <w:t>/INFOEM/IP/RR/2024</w:t>
      </w:r>
    </w:p>
    <w:p w14:paraId="42A7D950" w14:textId="77777777" w:rsidR="007D1412" w:rsidRPr="00445CEF" w:rsidRDefault="007D1412" w:rsidP="00A47C39">
      <w:pPr>
        <w:spacing w:after="0" w:line="360" w:lineRule="auto"/>
        <w:rPr>
          <w:bCs/>
          <w:color w:val="FF0000"/>
        </w:rPr>
      </w:pPr>
    </w:p>
    <w:p w14:paraId="652DD567" w14:textId="4579F22F" w:rsidR="00B31B32" w:rsidRPr="00445CEF" w:rsidRDefault="000A0A70" w:rsidP="00A47C39">
      <w:pPr>
        <w:autoSpaceDE w:val="0"/>
        <w:autoSpaceDN w:val="0"/>
        <w:adjustRightInd w:val="0"/>
        <w:spacing w:after="0" w:line="360" w:lineRule="auto"/>
        <w:rPr>
          <w:rFonts w:cs="Tahoma"/>
          <w:color w:val="auto"/>
          <w:lang w:val="es-ES_tradnl"/>
        </w:rPr>
      </w:pPr>
      <w:r w:rsidRPr="00445CEF">
        <w:rPr>
          <w:rFonts w:cs="Tahoma"/>
          <w:color w:val="auto"/>
          <w:lang w:val="es-ES_tradnl"/>
        </w:rPr>
        <w:t xml:space="preserve">i) </w:t>
      </w:r>
      <w:r w:rsidR="00A03218" w:rsidRPr="00445CEF">
        <w:rPr>
          <w:rFonts w:cs="Tahoma"/>
          <w:color w:val="auto"/>
          <w:lang w:val="es-ES_tradnl"/>
        </w:rPr>
        <w:t xml:space="preserve">Oficio </w:t>
      </w:r>
      <w:r w:rsidR="00D972F0" w:rsidRPr="00445CEF">
        <w:rPr>
          <w:rFonts w:cs="Tahoma"/>
          <w:color w:val="auto"/>
          <w:lang w:val="es-ES_tradnl"/>
        </w:rPr>
        <w:t>PM/UT/INJ/020/</w:t>
      </w:r>
      <w:r w:rsidR="00366820" w:rsidRPr="00445CEF">
        <w:rPr>
          <w:rFonts w:cs="Tahoma"/>
          <w:color w:val="auto"/>
          <w:lang w:val="es-ES_tradnl"/>
        </w:rPr>
        <w:t>2024 suscrito</w:t>
      </w:r>
      <w:r w:rsidR="00D972F0" w:rsidRPr="00445CEF">
        <w:rPr>
          <w:rFonts w:cs="Tahoma"/>
          <w:color w:val="auto"/>
          <w:lang w:val="es-ES_tradnl"/>
        </w:rPr>
        <w:t xml:space="preserve"> por la Titular de la Unidad de Transparencia y dirigido al Comisionado Ponente, por medio del cual se ratifica la respuesta inicial.</w:t>
      </w:r>
    </w:p>
    <w:p w14:paraId="655B618C" w14:textId="77777777" w:rsidR="00802FBF" w:rsidRPr="00445CEF" w:rsidRDefault="00802FBF" w:rsidP="00A47C39">
      <w:pPr>
        <w:autoSpaceDE w:val="0"/>
        <w:autoSpaceDN w:val="0"/>
        <w:adjustRightInd w:val="0"/>
        <w:spacing w:after="0" w:line="360" w:lineRule="auto"/>
        <w:jc w:val="center"/>
        <w:rPr>
          <w:rFonts w:cs="Tahoma"/>
          <w:color w:val="auto"/>
          <w:lang w:val="es-ES_tradnl"/>
        </w:rPr>
      </w:pPr>
    </w:p>
    <w:p w14:paraId="7DD32914" w14:textId="1AFA16C3" w:rsidR="0014339D" w:rsidRPr="00445CEF" w:rsidRDefault="00C605C9" w:rsidP="00A47C39">
      <w:pPr>
        <w:autoSpaceDE w:val="0"/>
        <w:autoSpaceDN w:val="0"/>
        <w:adjustRightInd w:val="0"/>
        <w:spacing w:after="0" w:line="360" w:lineRule="auto"/>
        <w:rPr>
          <w:rFonts w:eastAsia="Times New Roman" w:cs="Tahoma"/>
          <w:color w:val="auto"/>
          <w:lang w:eastAsia="es-ES"/>
        </w:rPr>
      </w:pPr>
      <w:r w:rsidRPr="00445CEF">
        <w:rPr>
          <w:rFonts w:cs="Tahoma"/>
          <w:b/>
          <w:color w:val="auto"/>
        </w:rPr>
        <w:t>d</w:t>
      </w:r>
      <w:r w:rsidR="00DB3DC5" w:rsidRPr="00445CEF">
        <w:rPr>
          <w:rFonts w:cs="Tahoma"/>
          <w:b/>
          <w:color w:val="auto"/>
        </w:rPr>
        <w:t xml:space="preserve">) </w:t>
      </w:r>
      <w:r w:rsidR="0014339D" w:rsidRPr="00445CEF">
        <w:rPr>
          <w:rFonts w:eastAsia="Times New Roman" w:cs="Tahoma"/>
          <w:b/>
          <w:bCs/>
          <w:color w:val="auto"/>
          <w:lang w:eastAsia="es-ES"/>
        </w:rPr>
        <w:t>Vista del informe Justificado</w:t>
      </w:r>
      <w:r w:rsidR="00DD3A8B" w:rsidRPr="00445CEF">
        <w:rPr>
          <w:rFonts w:eastAsia="Times New Roman" w:cs="Tahoma"/>
          <w:b/>
          <w:bCs/>
          <w:color w:val="auto"/>
          <w:lang w:eastAsia="es-ES"/>
        </w:rPr>
        <w:t>.</w:t>
      </w:r>
      <w:r w:rsidR="0014339D" w:rsidRPr="00445CEF">
        <w:rPr>
          <w:rFonts w:eastAsia="Times New Roman" w:cs="Tahoma"/>
          <w:b/>
          <w:bCs/>
          <w:color w:val="auto"/>
          <w:lang w:eastAsia="es-ES"/>
        </w:rPr>
        <w:t xml:space="preserve"> </w:t>
      </w:r>
      <w:r w:rsidR="0014339D" w:rsidRPr="00445CEF">
        <w:rPr>
          <w:rFonts w:eastAsia="Times New Roman" w:cs="Tahoma"/>
          <w:color w:val="auto"/>
          <w:lang w:eastAsia="es-ES"/>
        </w:rPr>
        <w:t xml:space="preserve">El </w:t>
      </w:r>
      <w:r w:rsidR="00366820" w:rsidRPr="00445CEF">
        <w:rPr>
          <w:rFonts w:eastAsia="Times New Roman" w:cs="Tahoma"/>
          <w:color w:val="auto"/>
          <w:lang w:eastAsia="es-ES"/>
        </w:rPr>
        <w:t>veintiocho de octubre de dos mil veinticuatro</w:t>
      </w:r>
      <w:r w:rsidR="006522A7" w:rsidRPr="00445CEF">
        <w:rPr>
          <w:rFonts w:eastAsia="Times New Roman" w:cs="Tahoma"/>
          <w:color w:val="auto"/>
          <w:lang w:eastAsia="es-ES"/>
        </w:rPr>
        <w:t xml:space="preserve">, </w:t>
      </w:r>
      <w:r w:rsidR="0014339D" w:rsidRPr="00445CEF">
        <w:rPr>
          <w:rFonts w:eastAsia="Times New Roman" w:cs="Tahoma"/>
          <w:color w:val="auto"/>
          <w:lang w:eastAsia="es-ES"/>
        </w:rPr>
        <w:t xml:space="preserve">se dictó acuerdo por medio del cual </w:t>
      </w:r>
      <w:r w:rsidR="0014339D" w:rsidRPr="00445CEF">
        <w:rPr>
          <w:rFonts w:eastAsia="Times New Roman" w:cs="Tahoma"/>
          <w:bCs/>
          <w:color w:val="auto"/>
          <w:lang w:eastAsia="es-ES"/>
        </w:rPr>
        <w:t>se puso a la vista del Recurrente el Informe Justificado</w:t>
      </w:r>
      <w:r w:rsidR="0014339D" w:rsidRPr="00445CEF">
        <w:rPr>
          <w:rFonts w:eastAsia="Times New Roman" w:cs="Tahoma"/>
          <w:b/>
          <w:bCs/>
          <w:color w:val="auto"/>
          <w:lang w:eastAsia="es-ES"/>
        </w:rPr>
        <w:t xml:space="preserve"> </w:t>
      </w:r>
      <w:r w:rsidR="0014339D" w:rsidRPr="00445CEF">
        <w:rPr>
          <w:rFonts w:eastAsia="Times New Roman" w:cs="Tahoma"/>
          <w:color w:val="auto"/>
          <w:lang w:eastAsia="es-ES"/>
        </w:rPr>
        <w:t xml:space="preserve">entregado </w:t>
      </w:r>
      <w:r w:rsidR="0014339D" w:rsidRPr="00445CEF">
        <w:rPr>
          <w:rFonts w:eastAsia="Times New Roman" w:cs="Tahoma"/>
          <w:color w:val="auto"/>
          <w:lang w:eastAsia="es-ES"/>
        </w:rPr>
        <w:lastRenderedPageBreak/>
        <w:t>por el Sujeto Obligado, el cual fue notificado a las partes, a través del Sistema de Acceso a la Información Mexiquense (SAIMEX), e</w:t>
      </w:r>
      <w:r w:rsidRPr="00445CEF">
        <w:rPr>
          <w:rFonts w:eastAsia="Times New Roman" w:cs="Tahoma"/>
          <w:color w:val="auto"/>
          <w:lang w:eastAsia="es-ES"/>
        </w:rPr>
        <w:t xml:space="preserve">l </w:t>
      </w:r>
      <w:r w:rsidR="00366820" w:rsidRPr="00445CEF">
        <w:rPr>
          <w:rFonts w:eastAsia="Times New Roman" w:cs="Tahoma"/>
          <w:color w:val="auto"/>
          <w:lang w:eastAsia="es-ES"/>
        </w:rPr>
        <w:t>veintinueve de dicho mes y año</w:t>
      </w:r>
      <w:r w:rsidR="0014339D" w:rsidRPr="00445CEF">
        <w:rPr>
          <w:rFonts w:eastAsia="Times New Roman" w:cs="Tahoma"/>
          <w:color w:val="auto"/>
          <w:lang w:eastAsia="es-ES"/>
        </w:rPr>
        <w:t xml:space="preserve">. </w:t>
      </w:r>
      <w:r w:rsidR="0014339D" w:rsidRPr="00445CEF">
        <w:rPr>
          <w:rFonts w:eastAsia="Times New Roman" w:cs="Tahoma"/>
          <w:b/>
          <w:color w:val="auto"/>
          <w:lang w:eastAsia="es-ES"/>
        </w:rPr>
        <w:t>Cabe señalar que el Particular fue omiso en realizar manifestación alguna.</w:t>
      </w:r>
    </w:p>
    <w:p w14:paraId="1D401FF3" w14:textId="77777777" w:rsidR="001334D1" w:rsidRPr="00445CEF" w:rsidRDefault="001334D1" w:rsidP="00A47C39">
      <w:pPr>
        <w:autoSpaceDE w:val="0"/>
        <w:autoSpaceDN w:val="0"/>
        <w:adjustRightInd w:val="0"/>
        <w:spacing w:after="0" w:line="360" w:lineRule="auto"/>
        <w:rPr>
          <w:rFonts w:eastAsia="Times New Roman" w:cs="Tahoma"/>
          <w:color w:val="auto"/>
          <w:lang w:eastAsia="es-ES"/>
        </w:rPr>
      </w:pPr>
    </w:p>
    <w:p w14:paraId="7C0FF35A" w14:textId="1AB989D1" w:rsidR="006522A7" w:rsidRPr="00445CEF" w:rsidRDefault="007B0396" w:rsidP="00A47C39">
      <w:pPr>
        <w:spacing w:after="0" w:line="360" w:lineRule="auto"/>
        <w:rPr>
          <w:rFonts w:eastAsia="Times New Roman" w:cs="Tahoma"/>
          <w:bCs/>
          <w:color w:val="auto"/>
          <w:lang w:eastAsia="es-ES"/>
        </w:rPr>
      </w:pPr>
      <w:r w:rsidRPr="00445CEF">
        <w:rPr>
          <w:rFonts w:cs="Tahoma"/>
          <w:b/>
          <w:color w:val="auto"/>
        </w:rPr>
        <w:t>e</w:t>
      </w:r>
      <w:r w:rsidR="001334D1" w:rsidRPr="00445CEF">
        <w:rPr>
          <w:rFonts w:cs="Tahoma"/>
          <w:b/>
          <w:color w:val="auto"/>
        </w:rPr>
        <w:t xml:space="preserve">) </w:t>
      </w:r>
      <w:r w:rsidR="001334D1" w:rsidRPr="00445CEF">
        <w:rPr>
          <w:rFonts w:eastAsia="Calibri" w:cs="Tahoma"/>
          <w:b/>
          <w:color w:val="auto"/>
        </w:rPr>
        <w:t>Acumulación de los asuntos.</w:t>
      </w:r>
      <w:r w:rsidR="001334D1" w:rsidRPr="00445CEF">
        <w:rPr>
          <w:rFonts w:eastAsia="Calibri" w:cs="Tahoma"/>
          <w:color w:val="auto"/>
        </w:rPr>
        <w:t xml:space="preserve"> </w:t>
      </w:r>
      <w:r w:rsidR="006522A7" w:rsidRPr="00445CEF">
        <w:rPr>
          <w:rFonts w:eastAsia="Times New Roman" w:cs="Tahoma"/>
          <w:bCs/>
          <w:color w:val="auto"/>
          <w:lang w:eastAsia="es-ES"/>
        </w:rPr>
        <w:t xml:space="preserve">El </w:t>
      </w:r>
      <w:r w:rsidR="00366820" w:rsidRPr="00445CEF">
        <w:rPr>
          <w:rFonts w:eastAsia="Times New Roman" w:cs="Tahoma"/>
          <w:bCs/>
          <w:color w:val="auto"/>
          <w:lang w:eastAsia="es-ES"/>
        </w:rPr>
        <w:t xml:space="preserve">veintiocho de octubre de dos mil veinticuatro </w:t>
      </w:r>
      <w:r w:rsidR="006522A7" w:rsidRPr="00445CEF">
        <w:rPr>
          <w:rFonts w:eastAsia="Times New Roman" w:cs="Tahoma"/>
          <w:bCs/>
          <w:color w:val="auto"/>
          <w:lang w:eastAsia="es-ES"/>
        </w:rPr>
        <w:t>el Pleno del</w:t>
      </w:r>
    </w:p>
    <w:p w14:paraId="29A73361" w14:textId="0F3B78A8" w:rsidR="00761AF7" w:rsidRPr="00445CEF" w:rsidRDefault="006522A7" w:rsidP="00A47C39">
      <w:pPr>
        <w:spacing w:after="0" w:line="360" w:lineRule="auto"/>
        <w:rPr>
          <w:rFonts w:eastAsia="Times New Roman" w:cs="Tahoma"/>
          <w:bCs/>
          <w:color w:val="FF0000"/>
          <w:lang w:eastAsia="es-ES"/>
        </w:rPr>
      </w:pPr>
      <w:r w:rsidRPr="00445CEF">
        <w:rPr>
          <w:rFonts w:eastAsia="Times New Roman" w:cs="Tahoma"/>
          <w:bCs/>
          <w:color w:val="auto"/>
          <w:lang w:eastAsia="es-ES"/>
        </w:rPr>
        <w:t xml:space="preserve">Instituto de Transparencia, Acceso a la Información Pública y Protección de Datos Personales del Estado de México y Municipios, durante la </w:t>
      </w:r>
      <w:r w:rsidR="00366820" w:rsidRPr="00445CEF">
        <w:rPr>
          <w:rFonts w:eastAsia="Times New Roman" w:cs="Tahoma"/>
          <w:bCs/>
          <w:color w:val="auto"/>
          <w:lang w:eastAsia="es-ES"/>
        </w:rPr>
        <w:t xml:space="preserve">Trigésima Séptima </w:t>
      </w:r>
      <w:r w:rsidRPr="00445CEF">
        <w:rPr>
          <w:rFonts w:eastAsia="Times New Roman" w:cs="Tahoma"/>
          <w:bCs/>
          <w:color w:val="auto"/>
          <w:lang w:eastAsia="es-ES"/>
        </w:rPr>
        <w:t>Sesión Ordinaria,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decretó la acumulación de los Recursos de Revisión, 0</w:t>
      </w:r>
      <w:r w:rsidR="00366820" w:rsidRPr="00445CEF">
        <w:rPr>
          <w:rFonts w:eastAsia="Times New Roman" w:cs="Tahoma"/>
          <w:bCs/>
          <w:color w:val="auto"/>
          <w:lang w:eastAsia="es-ES"/>
        </w:rPr>
        <w:t>6011</w:t>
      </w:r>
      <w:r w:rsidRPr="00445CEF">
        <w:rPr>
          <w:rFonts w:eastAsia="Times New Roman" w:cs="Tahoma"/>
          <w:bCs/>
          <w:color w:val="auto"/>
          <w:lang w:eastAsia="es-ES"/>
        </w:rPr>
        <w:t xml:space="preserve">/INFOEM/IP/RR/2024 </w:t>
      </w:r>
      <w:r w:rsidR="00366820" w:rsidRPr="00445CEF">
        <w:rPr>
          <w:rFonts w:eastAsia="Times New Roman" w:cs="Tahoma"/>
          <w:bCs/>
          <w:color w:val="auto"/>
          <w:lang w:eastAsia="es-ES"/>
        </w:rPr>
        <w:t xml:space="preserve"> </w:t>
      </w:r>
      <w:r w:rsidRPr="00445CEF">
        <w:rPr>
          <w:rFonts w:eastAsia="Times New Roman" w:cs="Tahoma"/>
          <w:bCs/>
          <w:color w:val="auto"/>
          <w:lang w:eastAsia="es-ES"/>
        </w:rPr>
        <w:t>al diverso 0</w:t>
      </w:r>
      <w:r w:rsidR="00366820" w:rsidRPr="00445CEF">
        <w:rPr>
          <w:rFonts w:eastAsia="Times New Roman" w:cs="Tahoma"/>
          <w:bCs/>
          <w:color w:val="auto"/>
          <w:lang w:eastAsia="es-ES"/>
        </w:rPr>
        <w:t>6012/</w:t>
      </w:r>
      <w:r w:rsidRPr="00445CEF">
        <w:rPr>
          <w:rFonts w:eastAsia="Times New Roman" w:cs="Tahoma"/>
          <w:bCs/>
          <w:color w:val="auto"/>
          <w:lang w:eastAsia="es-ES"/>
        </w:rPr>
        <w:t>INFOEM/IP/RR/2024, por ser este último el  más antiguo, sustanciado bajo el índice de esta Ponencia.</w:t>
      </w:r>
    </w:p>
    <w:p w14:paraId="0290AF33" w14:textId="77777777" w:rsidR="0014339D" w:rsidRPr="00445CEF" w:rsidRDefault="0014339D" w:rsidP="00A47C39">
      <w:pPr>
        <w:autoSpaceDE w:val="0"/>
        <w:autoSpaceDN w:val="0"/>
        <w:adjustRightInd w:val="0"/>
        <w:spacing w:after="0" w:line="360" w:lineRule="auto"/>
        <w:ind w:right="-28"/>
        <w:contextualSpacing/>
        <w:rPr>
          <w:rFonts w:eastAsia="Times New Roman" w:cs="Tahoma"/>
          <w:b/>
          <w:color w:val="FF0000"/>
          <w:szCs w:val="24"/>
          <w:lang w:eastAsia="es-ES"/>
        </w:rPr>
      </w:pPr>
    </w:p>
    <w:p w14:paraId="403F7296" w14:textId="2B2FF321" w:rsidR="00DB3DC5" w:rsidRPr="00445CEF" w:rsidRDefault="00366820" w:rsidP="00A47C39">
      <w:pPr>
        <w:autoSpaceDE w:val="0"/>
        <w:autoSpaceDN w:val="0"/>
        <w:adjustRightInd w:val="0"/>
        <w:spacing w:after="0" w:line="360" w:lineRule="auto"/>
        <w:ind w:right="-28"/>
        <w:contextualSpacing/>
        <w:rPr>
          <w:rFonts w:eastAsia="Times New Roman" w:cs="Tahoma"/>
          <w:color w:val="auto"/>
          <w:szCs w:val="24"/>
          <w:lang w:eastAsia="es-ES"/>
        </w:rPr>
      </w:pPr>
      <w:r w:rsidRPr="00445CEF">
        <w:rPr>
          <w:rFonts w:eastAsia="Times New Roman" w:cs="Tahoma"/>
          <w:b/>
          <w:color w:val="auto"/>
          <w:szCs w:val="24"/>
          <w:lang w:eastAsia="es-ES"/>
        </w:rPr>
        <w:t>f</w:t>
      </w:r>
      <w:r w:rsidR="0014339D" w:rsidRPr="00445CEF">
        <w:rPr>
          <w:rFonts w:eastAsia="Times New Roman" w:cs="Tahoma"/>
          <w:b/>
          <w:color w:val="auto"/>
          <w:szCs w:val="24"/>
          <w:lang w:eastAsia="es-ES"/>
        </w:rPr>
        <w:t xml:space="preserve">) </w:t>
      </w:r>
      <w:r w:rsidR="00DB3DC5" w:rsidRPr="00445CEF">
        <w:rPr>
          <w:rFonts w:eastAsia="Times New Roman" w:cs="Tahoma"/>
          <w:b/>
          <w:color w:val="auto"/>
          <w:szCs w:val="24"/>
          <w:lang w:eastAsia="es-ES"/>
        </w:rPr>
        <w:t>Cierre de instrucción.</w:t>
      </w:r>
      <w:r w:rsidR="00DB3DC5" w:rsidRPr="00445CEF">
        <w:rPr>
          <w:rFonts w:eastAsia="Times New Roman" w:cs="Tahoma"/>
          <w:color w:val="auto"/>
          <w:szCs w:val="24"/>
          <w:lang w:eastAsia="es-ES"/>
        </w:rPr>
        <w:t xml:space="preserve"> El</w:t>
      </w:r>
      <w:r w:rsidR="00C32C4F" w:rsidRPr="00445CEF">
        <w:rPr>
          <w:rFonts w:eastAsia="Times New Roman" w:cs="Tahoma"/>
          <w:color w:val="auto"/>
          <w:szCs w:val="24"/>
          <w:lang w:eastAsia="es-ES"/>
        </w:rPr>
        <w:t xml:space="preserve"> </w:t>
      </w:r>
      <w:r w:rsidR="00232A5F" w:rsidRPr="00445CEF">
        <w:rPr>
          <w:rFonts w:eastAsia="Times New Roman" w:cs="Tahoma"/>
          <w:color w:val="auto"/>
          <w:szCs w:val="24"/>
          <w:lang w:eastAsia="es-ES"/>
        </w:rPr>
        <w:t>cinco de noviembre</w:t>
      </w:r>
      <w:r w:rsidRPr="00445CEF">
        <w:rPr>
          <w:rFonts w:eastAsia="Times New Roman" w:cs="Tahoma"/>
          <w:color w:val="auto"/>
          <w:szCs w:val="24"/>
          <w:lang w:eastAsia="es-ES"/>
        </w:rPr>
        <w:t xml:space="preserve"> de </w:t>
      </w:r>
      <w:r w:rsidR="00C32C4F" w:rsidRPr="00445CEF">
        <w:rPr>
          <w:rFonts w:eastAsia="Times New Roman" w:cs="Tahoma"/>
          <w:color w:val="auto"/>
          <w:szCs w:val="24"/>
          <w:lang w:eastAsia="es-ES"/>
        </w:rPr>
        <w:t>dos mil veinticuatro</w:t>
      </w:r>
      <w:r w:rsidR="00DB3DC5" w:rsidRPr="00445CEF">
        <w:rPr>
          <w:rFonts w:eastAsia="Times New Roman" w:cs="Tahoma"/>
          <w:color w:val="auto"/>
          <w:szCs w:val="24"/>
          <w:lang w:eastAsia="es-ES"/>
        </w:rPr>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w:t>
      </w:r>
      <w:r w:rsidRPr="00445CEF">
        <w:rPr>
          <w:rFonts w:eastAsia="Times New Roman" w:cs="Tahoma"/>
          <w:color w:val="auto"/>
          <w:szCs w:val="24"/>
          <w:lang w:eastAsia="es-ES"/>
        </w:rPr>
        <w:t xml:space="preserve"> </w:t>
      </w:r>
      <w:r w:rsidR="00232A5F" w:rsidRPr="00445CEF">
        <w:rPr>
          <w:rFonts w:eastAsia="Times New Roman" w:cs="Tahoma"/>
          <w:color w:val="auto"/>
          <w:szCs w:val="24"/>
          <w:lang w:eastAsia="es-ES"/>
        </w:rPr>
        <w:t xml:space="preserve">seis </w:t>
      </w:r>
      <w:r w:rsidRPr="00445CEF">
        <w:rPr>
          <w:rFonts w:eastAsia="Times New Roman" w:cs="Tahoma"/>
          <w:color w:val="auto"/>
          <w:szCs w:val="24"/>
          <w:lang w:eastAsia="es-ES"/>
        </w:rPr>
        <w:t>de dicho mes y año</w:t>
      </w:r>
      <w:r w:rsidR="00DB3DC5" w:rsidRPr="00445CEF">
        <w:rPr>
          <w:rFonts w:eastAsia="Times New Roman" w:cs="Tahoma"/>
          <w:color w:val="auto"/>
          <w:szCs w:val="24"/>
          <w:lang w:eastAsia="es-ES"/>
        </w:rPr>
        <w:t xml:space="preserve">, a través del </w:t>
      </w:r>
      <w:r w:rsidR="00DB3DC5" w:rsidRPr="00445CEF">
        <w:rPr>
          <w:rFonts w:eastAsia="Times New Roman" w:cs="Tahoma"/>
          <w:color w:val="auto"/>
          <w:szCs w:val="20"/>
          <w:lang w:val="es-ES" w:eastAsia="es-ES"/>
        </w:rPr>
        <w:t>Sistema de Acceso a la Información Mexiquense (SAIMEX)</w:t>
      </w:r>
      <w:r w:rsidR="00DB3DC5" w:rsidRPr="00445CEF">
        <w:rPr>
          <w:rFonts w:eastAsia="Times New Roman" w:cs="Tahoma"/>
          <w:color w:val="auto"/>
          <w:szCs w:val="24"/>
          <w:lang w:eastAsia="es-ES"/>
        </w:rPr>
        <w:t xml:space="preserve">. </w:t>
      </w:r>
    </w:p>
    <w:p w14:paraId="44D053F7" w14:textId="77777777" w:rsidR="0014339D" w:rsidRPr="00445CEF" w:rsidRDefault="0014339D" w:rsidP="00A47C39">
      <w:pPr>
        <w:autoSpaceDE w:val="0"/>
        <w:autoSpaceDN w:val="0"/>
        <w:adjustRightInd w:val="0"/>
        <w:spacing w:after="0" w:line="360" w:lineRule="auto"/>
        <w:ind w:right="-28"/>
        <w:contextualSpacing/>
        <w:rPr>
          <w:rFonts w:eastAsia="Calibri" w:cs="Tahoma"/>
          <w:bCs/>
          <w:color w:val="auto"/>
        </w:rPr>
      </w:pPr>
    </w:p>
    <w:p w14:paraId="5D1BB03E" w14:textId="77777777" w:rsidR="00DB3DC5" w:rsidRPr="00445CEF" w:rsidRDefault="00DB3DC5" w:rsidP="00A47C39">
      <w:pPr>
        <w:spacing w:after="0" w:line="360" w:lineRule="auto"/>
        <w:contextualSpacing/>
        <w:rPr>
          <w:rFonts w:eastAsia="Times New Roman" w:cs="Tahoma"/>
          <w:color w:val="auto"/>
          <w:szCs w:val="24"/>
          <w:lang w:eastAsia="es-ES"/>
        </w:rPr>
      </w:pPr>
      <w:r w:rsidRPr="00445CEF">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445CEF" w:rsidRDefault="00DB3DC5" w:rsidP="00A47C39">
      <w:pPr>
        <w:spacing w:after="0" w:line="360" w:lineRule="auto"/>
        <w:contextualSpacing/>
        <w:rPr>
          <w:rFonts w:eastAsia="Times New Roman" w:cs="Tahoma"/>
          <w:b/>
          <w:color w:val="auto"/>
          <w:lang w:val="es-ES" w:eastAsia="es-ES"/>
        </w:rPr>
      </w:pPr>
    </w:p>
    <w:p w14:paraId="1AD6FB2C" w14:textId="3FE06E5A" w:rsidR="00DB3DC5" w:rsidRPr="00445CEF" w:rsidRDefault="00C93635" w:rsidP="00A47C39">
      <w:pPr>
        <w:spacing w:after="0" w:line="360" w:lineRule="auto"/>
        <w:contextualSpacing/>
        <w:jc w:val="center"/>
        <w:rPr>
          <w:rFonts w:eastAsia="Times New Roman" w:cs="Tahoma"/>
          <w:b/>
          <w:color w:val="auto"/>
          <w:lang w:val="es-ES" w:eastAsia="es-ES"/>
        </w:rPr>
      </w:pPr>
      <w:r w:rsidRPr="00445CEF">
        <w:rPr>
          <w:rFonts w:eastAsia="Times New Roman" w:cs="Tahoma"/>
          <w:b/>
          <w:color w:val="auto"/>
          <w:lang w:val="es-ES" w:eastAsia="es-ES"/>
        </w:rPr>
        <w:lastRenderedPageBreak/>
        <w:t>C O N S I D E R A N D O S</w:t>
      </w:r>
    </w:p>
    <w:p w14:paraId="446E7524" w14:textId="77777777" w:rsidR="00DB3DC5" w:rsidRPr="00445CEF" w:rsidRDefault="00DB3DC5" w:rsidP="00A47C39">
      <w:pPr>
        <w:spacing w:after="0" w:line="360" w:lineRule="auto"/>
        <w:contextualSpacing/>
        <w:jc w:val="center"/>
        <w:rPr>
          <w:rFonts w:eastAsia="Times New Roman" w:cs="Tahoma"/>
          <w:b/>
          <w:color w:val="auto"/>
          <w:lang w:val="es-ES" w:eastAsia="es-ES"/>
        </w:rPr>
      </w:pPr>
    </w:p>
    <w:p w14:paraId="5C90BBB8" w14:textId="416F6A0C" w:rsidR="00DB3DC5" w:rsidRPr="00445CEF" w:rsidRDefault="00DB3DC5" w:rsidP="00A47C39">
      <w:pPr>
        <w:autoSpaceDE w:val="0"/>
        <w:autoSpaceDN w:val="0"/>
        <w:adjustRightInd w:val="0"/>
        <w:spacing w:after="0" w:line="360" w:lineRule="auto"/>
        <w:contextualSpacing/>
        <w:rPr>
          <w:rFonts w:eastAsia="Times New Roman" w:cs="Tahoma"/>
          <w:b/>
          <w:color w:val="auto"/>
          <w:szCs w:val="24"/>
          <w:lang w:val="es-ES" w:eastAsia="es-ES"/>
        </w:rPr>
      </w:pPr>
      <w:r w:rsidRPr="00445CEF">
        <w:rPr>
          <w:rFonts w:eastAsia="Calibri" w:cs="Tahoma"/>
          <w:b/>
          <w:color w:val="auto"/>
          <w:szCs w:val="24"/>
          <w:lang w:val="es-ES" w:eastAsia="es-MX"/>
        </w:rPr>
        <w:t>PRIMERO</w:t>
      </w:r>
      <w:r w:rsidRPr="00445CEF">
        <w:rPr>
          <w:rFonts w:eastAsia="Calibri" w:cs="Tahoma"/>
          <w:color w:val="auto"/>
          <w:szCs w:val="24"/>
          <w:lang w:val="es-ES" w:eastAsia="es-MX"/>
        </w:rPr>
        <w:t xml:space="preserve">. </w:t>
      </w:r>
      <w:r w:rsidRPr="00445CEF">
        <w:rPr>
          <w:rFonts w:eastAsia="Times New Roman" w:cs="Tahoma"/>
          <w:b/>
          <w:color w:val="auto"/>
          <w:szCs w:val="24"/>
          <w:lang w:val="es-ES" w:eastAsia="es-ES"/>
        </w:rPr>
        <w:t>Competencia</w:t>
      </w:r>
    </w:p>
    <w:p w14:paraId="377E7349" w14:textId="77777777" w:rsidR="00DB3DC5" w:rsidRPr="00445CEF" w:rsidRDefault="00DB3DC5" w:rsidP="00A47C39">
      <w:pPr>
        <w:autoSpaceDE w:val="0"/>
        <w:autoSpaceDN w:val="0"/>
        <w:adjustRightInd w:val="0"/>
        <w:spacing w:after="0" w:line="360" w:lineRule="auto"/>
        <w:contextualSpacing/>
        <w:rPr>
          <w:rFonts w:eastAsia="Times New Roman" w:cs="Tahoma"/>
          <w:b/>
          <w:color w:val="FF0000"/>
          <w:szCs w:val="24"/>
          <w:lang w:val="es-ES" w:eastAsia="es-ES"/>
        </w:rPr>
      </w:pPr>
    </w:p>
    <w:p w14:paraId="09199183" w14:textId="13572322" w:rsidR="00DB3DC5" w:rsidRPr="00445CEF" w:rsidRDefault="00DB3DC5" w:rsidP="00A47C39">
      <w:pPr>
        <w:spacing w:after="0" w:line="360" w:lineRule="auto"/>
        <w:contextualSpacing/>
        <w:rPr>
          <w:rFonts w:eastAsia="Times New Roman" w:cs="Tahoma"/>
          <w:bCs/>
          <w:color w:val="auto"/>
          <w:lang w:eastAsia="es-ES"/>
        </w:rPr>
      </w:pPr>
      <w:bookmarkStart w:id="4" w:name="_Hlk63334754"/>
      <w:r w:rsidRPr="00445CEF">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3905B1" w:rsidRPr="00445CEF">
        <w:rPr>
          <w:rFonts w:eastAsia="Times New Roman" w:cs="Tahoma"/>
          <w:bCs/>
          <w:color w:val="auto"/>
          <w:lang w:eastAsia="es-ES"/>
        </w:rPr>
        <w:t xml:space="preserve"> segundo</w:t>
      </w:r>
      <w:r w:rsidRPr="00445CEF">
        <w:rPr>
          <w:rFonts w:eastAsia="Times New Roman" w:cs="Tahoma"/>
          <w:bCs/>
          <w:color w:val="auto"/>
          <w:lang w:eastAsia="es-ES"/>
        </w:rPr>
        <w:t xml:space="preserve">, trigésimo </w:t>
      </w:r>
      <w:r w:rsidR="003905B1" w:rsidRPr="00445CEF">
        <w:rPr>
          <w:rFonts w:eastAsia="Times New Roman" w:cs="Tahoma"/>
          <w:bCs/>
          <w:color w:val="auto"/>
          <w:lang w:eastAsia="es-ES"/>
        </w:rPr>
        <w:t>tercero</w:t>
      </w:r>
      <w:r w:rsidRPr="00445CEF">
        <w:rPr>
          <w:rFonts w:eastAsia="Times New Roman" w:cs="Tahoma"/>
          <w:bCs/>
          <w:color w:val="auto"/>
          <w:lang w:eastAsia="es-ES"/>
        </w:rPr>
        <w:t xml:space="preserve"> y trigésimo </w:t>
      </w:r>
      <w:r w:rsidR="003905B1" w:rsidRPr="00445CEF">
        <w:rPr>
          <w:rFonts w:eastAsia="Times New Roman" w:cs="Tahoma"/>
          <w:bCs/>
          <w:color w:val="auto"/>
          <w:lang w:eastAsia="es-ES"/>
        </w:rPr>
        <w:t>cuarto</w:t>
      </w:r>
      <w:r w:rsidRPr="00445CEF">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445CEF">
        <w:rPr>
          <w:rFonts w:eastAsia="Times New Roman" w:cs="Times New Roman"/>
          <w:bCs/>
          <w:color w:val="auto"/>
          <w:lang w:eastAsia="es-ES"/>
        </w:rPr>
        <w:t xml:space="preserve"> 7°, </w:t>
      </w:r>
      <w:r w:rsidRPr="00445CEF">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4"/>
    </w:p>
    <w:p w14:paraId="34F007D6" w14:textId="77777777" w:rsidR="00DB3DC5" w:rsidRPr="00445CEF" w:rsidRDefault="00DB3DC5" w:rsidP="00A47C39">
      <w:pPr>
        <w:autoSpaceDE w:val="0"/>
        <w:autoSpaceDN w:val="0"/>
        <w:adjustRightInd w:val="0"/>
        <w:spacing w:after="0" w:line="360" w:lineRule="auto"/>
        <w:contextualSpacing/>
        <w:rPr>
          <w:rFonts w:eastAsia="Calibri" w:cs="Tahoma"/>
          <w:b/>
          <w:color w:val="FF0000"/>
          <w:szCs w:val="24"/>
          <w:lang w:val="es-ES" w:eastAsia="es-MX"/>
        </w:rPr>
      </w:pPr>
    </w:p>
    <w:p w14:paraId="77696DE3" w14:textId="72E394D3" w:rsidR="00DB3DC5" w:rsidRPr="00445CEF" w:rsidRDefault="00DB3DC5" w:rsidP="00A47C39">
      <w:pPr>
        <w:autoSpaceDE w:val="0"/>
        <w:autoSpaceDN w:val="0"/>
        <w:adjustRightInd w:val="0"/>
        <w:spacing w:after="0" w:line="360" w:lineRule="auto"/>
        <w:contextualSpacing/>
        <w:rPr>
          <w:rFonts w:eastAsia="Times New Roman" w:cs="Tahoma"/>
          <w:color w:val="auto"/>
          <w:szCs w:val="24"/>
          <w:lang w:val="es-ES" w:eastAsia="es-ES"/>
        </w:rPr>
      </w:pPr>
      <w:r w:rsidRPr="00445CEF">
        <w:rPr>
          <w:rFonts w:eastAsia="Calibri" w:cs="Tahoma"/>
          <w:b/>
          <w:color w:val="auto"/>
          <w:szCs w:val="24"/>
          <w:lang w:val="es-ES" w:eastAsia="es-MX"/>
        </w:rPr>
        <w:t>SEGUNDO</w:t>
      </w:r>
      <w:r w:rsidRPr="00445CEF">
        <w:rPr>
          <w:rFonts w:eastAsia="Calibri" w:cs="Tahoma"/>
          <w:color w:val="auto"/>
          <w:szCs w:val="24"/>
          <w:lang w:val="es-ES" w:eastAsia="es-MX"/>
        </w:rPr>
        <w:t xml:space="preserve">. </w:t>
      </w:r>
      <w:r w:rsidRPr="00445CEF">
        <w:rPr>
          <w:rFonts w:eastAsia="Times New Roman" w:cs="Tahoma"/>
          <w:b/>
          <w:color w:val="auto"/>
          <w:szCs w:val="24"/>
          <w:lang w:val="es-ES" w:eastAsia="es-ES"/>
        </w:rPr>
        <w:t>Causales de improcedencia y sobreseimiento</w:t>
      </w:r>
    </w:p>
    <w:p w14:paraId="22A992CE" w14:textId="77777777" w:rsidR="00DB3DC5" w:rsidRPr="00445CEF" w:rsidRDefault="00DB3DC5" w:rsidP="00A47C39">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445CEF" w:rsidRDefault="00DB3DC5" w:rsidP="00A47C39">
      <w:pPr>
        <w:autoSpaceDE w:val="0"/>
        <w:autoSpaceDN w:val="0"/>
        <w:adjustRightInd w:val="0"/>
        <w:spacing w:after="0" w:line="360" w:lineRule="auto"/>
        <w:contextualSpacing/>
        <w:rPr>
          <w:rFonts w:eastAsia="Times New Roman" w:cs="Tahoma"/>
          <w:color w:val="auto"/>
          <w:szCs w:val="24"/>
          <w:lang w:val="es-ES" w:eastAsia="es-ES"/>
        </w:rPr>
      </w:pPr>
      <w:r w:rsidRPr="00445CEF">
        <w:rPr>
          <w:rFonts w:eastAsia="Times New Roman" w:cs="Tahoma"/>
          <w:color w:val="auto"/>
          <w:szCs w:val="24"/>
          <w:lang w:val="es-ES" w:eastAsia="es-ES"/>
        </w:rPr>
        <w:t xml:space="preserve">De las constancias que forma parte del Recurso de Revisión que se analiza, se advierte que previo al estudio del fondo de la </w:t>
      </w:r>
      <w:r w:rsidRPr="00445CEF">
        <w:rPr>
          <w:rFonts w:eastAsia="Times New Roman" w:cs="Tahoma"/>
          <w:i/>
          <w:color w:val="auto"/>
          <w:szCs w:val="24"/>
          <w:lang w:val="es-ES" w:eastAsia="es-ES"/>
        </w:rPr>
        <w:t>litis</w:t>
      </w:r>
      <w:r w:rsidRPr="00445CEF">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445CEF" w:rsidRDefault="00DB3DC5" w:rsidP="00A47C39">
      <w:pPr>
        <w:spacing w:after="0" w:line="360" w:lineRule="auto"/>
        <w:contextualSpacing/>
        <w:rPr>
          <w:b/>
          <w:color w:val="auto"/>
          <w:lang w:val="es-ES"/>
        </w:rPr>
      </w:pPr>
    </w:p>
    <w:p w14:paraId="7CEF4E51" w14:textId="77777777" w:rsidR="00DB3DC5" w:rsidRPr="00445CEF" w:rsidRDefault="00DB3DC5" w:rsidP="00A47C39">
      <w:pPr>
        <w:spacing w:after="0" w:line="360" w:lineRule="auto"/>
        <w:contextualSpacing/>
        <w:rPr>
          <w:b/>
          <w:color w:val="auto"/>
          <w:lang w:val="es-ES"/>
        </w:rPr>
      </w:pPr>
      <w:r w:rsidRPr="00445CEF">
        <w:rPr>
          <w:b/>
          <w:color w:val="auto"/>
          <w:lang w:val="es-ES"/>
        </w:rPr>
        <w:t>Causales de improcedencia</w:t>
      </w:r>
    </w:p>
    <w:p w14:paraId="039C7835" w14:textId="77777777" w:rsidR="00DB3DC5" w:rsidRPr="00445CEF" w:rsidRDefault="00DB3DC5" w:rsidP="00A47C39">
      <w:pPr>
        <w:spacing w:after="0" w:line="360" w:lineRule="auto"/>
        <w:contextualSpacing/>
        <w:rPr>
          <w:color w:val="FF0000"/>
        </w:rPr>
      </w:pPr>
    </w:p>
    <w:p w14:paraId="24BC499F" w14:textId="77777777" w:rsidR="00DB3DC5" w:rsidRPr="00445CEF" w:rsidRDefault="00DB3DC5" w:rsidP="00A47C39">
      <w:pPr>
        <w:spacing w:after="0" w:line="360" w:lineRule="auto"/>
        <w:contextualSpacing/>
        <w:rPr>
          <w:rFonts w:eastAsia="Times New Roman" w:cs="Tahoma"/>
          <w:color w:val="auto"/>
          <w:lang w:eastAsia="es-ES"/>
        </w:rPr>
      </w:pPr>
      <w:r w:rsidRPr="00445CEF">
        <w:rPr>
          <w:rFonts w:eastAsia="Times New Roman" w:cs="Tahoma"/>
          <w:color w:val="auto"/>
          <w:lang w:eastAsia="es-ES"/>
        </w:rPr>
        <w:t xml:space="preserve">Este Instituto realiza el estudio oficioso de las causales de improcedencia, por tratarse de una cuestión de orden público y de estudio preferente (acorde con el Criterio orientador en la </w:t>
      </w:r>
      <w:r w:rsidRPr="00445CEF">
        <w:rPr>
          <w:rFonts w:eastAsia="Times New Roman" w:cs="Tahoma"/>
          <w:color w:val="auto"/>
          <w:lang w:eastAsia="es-ES"/>
        </w:rPr>
        <w:lastRenderedPageBreak/>
        <w:t>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445CEF" w:rsidRDefault="00DB3DC5" w:rsidP="00A47C39">
      <w:pPr>
        <w:spacing w:after="0" w:line="360" w:lineRule="auto"/>
        <w:contextualSpacing/>
        <w:rPr>
          <w:rFonts w:eastAsia="Times New Roman" w:cs="Tahoma"/>
          <w:color w:val="auto"/>
          <w:lang w:eastAsia="es-ES"/>
        </w:rPr>
      </w:pPr>
    </w:p>
    <w:p w14:paraId="344A6FE5" w14:textId="77777777" w:rsidR="00DB3DC5" w:rsidRPr="00445CEF" w:rsidRDefault="00DB3DC5" w:rsidP="00A47C39">
      <w:pPr>
        <w:spacing w:after="0" w:line="360" w:lineRule="auto"/>
        <w:contextualSpacing/>
        <w:rPr>
          <w:rFonts w:eastAsia="Times New Roman" w:cs="Tahoma"/>
          <w:color w:val="auto"/>
          <w:lang w:eastAsia="es-ES"/>
        </w:rPr>
      </w:pPr>
      <w:r w:rsidRPr="00445CEF">
        <w:rPr>
          <w:rFonts w:eastAsia="Times New Roman" w:cs="Tahoma"/>
          <w:color w:val="auto"/>
          <w:lang w:eastAsia="es-ES"/>
        </w:rPr>
        <w:t>En el presente caso, </w:t>
      </w:r>
      <w:r w:rsidRPr="00445CEF">
        <w:rPr>
          <w:rFonts w:eastAsia="Times New Roman" w:cs="Tahoma"/>
          <w:b/>
          <w:bCs/>
          <w:color w:val="auto"/>
          <w:lang w:eastAsia="es-ES"/>
        </w:rPr>
        <w:t>no se actualiza ninguna de las causales de improcedencia</w:t>
      </w:r>
      <w:r w:rsidRPr="00445CEF">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445CEF" w:rsidRDefault="00DB3DC5" w:rsidP="00A47C39">
      <w:pPr>
        <w:spacing w:after="0" w:line="360" w:lineRule="auto"/>
        <w:contextualSpacing/>
        <w:rPr>
          <w:rFonts w:eastAsia="Times New Roman" w:cs="Tahoma"/>
          <w:color w:val="FF0000"/>
          <w:lang w:val="es-ES" w:eastAsia="es-ES"/>
        </w:rPr>
      </w:pPr>
    </w:p>
    <w:p w14:paraId="76A50112" w14:textId="08CC0F22" w:rsidR="00DB3DC5" w:rsidRPr="00445CEF" w:rsidRDefault="00DB3DC5" w:rsidP="00A47C39">
      <w:pPr>
        <w:spacing w:after="0" w:line="360" w:lineRule="auto"/>
        <w:contextualSpacing/>
        <w:rPr>
          <w:rFonts w:eastAsia="Times New Roman" w:cs="Tahoma"/>
          <w:bCs/>
          <w:color w:val="auto"/>
          <w:lang w:val="es-ES" w:eastAsia="es-ES"/>
        </w:rPr>
      </w:pPr>
      <w:r w:rsidRPr="00445CEF">
        <w:rPr>
          <w:rFonts w:eastAsia="Times New Roman" w:cs="Tahoma"/>
          <w:color w:val="auto"/>
          <w:lang w:val="es-ES" w:eastAsia="es-ES"/>
        </w:rPr>
        <w:t>Conforme a lo anterior, se actualiza la causal de procedencia señalad</w:t>
      </w:r>
      <w:r w:rsidR="00BB36D2" w:rsidRPr="00445CEF">
        <w:rPr>
          <w:rFonts w:eastAsia="Times New Roman" w:cs="Tahoma"/>
          <w:color w:val="auto"/>
          <w:lang w:val="es-ES" w:eastAsia="es-ES"/>
        </w:rPr>
        <w:t>a en el artículo 179, fracci</w:t>
      </w:r>
      <w:r w:rsidR="00BF05C5" w:rsidRPr="00445CEF">
        <w:rPr>
          <w:rFonts w:eastAsia="Times New Roman" w:cs="Tahoma"/>
          <w:color w:val="auto"/>
          <w:lang w:val="es-ES" w:eastAsia="es-ES"/>
        </w:rPr>
        <w:t>ón</w:t>
      </w:r>
      <w:r w:rsidR="00BB36D2" w:rsidRPr="00445CEF">
        <w:rPr>
          <w:rFonts w:eastAsia="Times New Roman" w:cs="Tahoma"/>
          <w:color w:val="auto"/>
          <w:lang w:val="es-ES" w:eastAsia="es-ES"/>
        </w:rPr>
        <w:t xml:space="preserve"> </w:t>
      </w:r>
      <w:r w:rsidR="00CA40AE" w:rsidRPr="00445CEF">
        <w:rPr>
          <w:rFonts w:eastAsia="Times New Roman" w:cs="Tahoma"/>
          <w:color w:val="auto"/>
          <w:lang w:val="es-ES" w:eastAsia="es-ES"/>
        </w:rPr>
        <w:t>II</w:t>
      </w:r>
      <w:r w:rsidR="00225138" w:rsidRPr="00445CEF">
        <w:rPr>
          <w:rFonts w:eastAsia="Times New Roman" w:cs="Tahoma"/>
          <w:color w:val="auto"/>
          <w:lang w:val="es-ES" w:eastAsia="es-ES"/>
        </w:rPr>
        <w:t>I</w:t>
      </w:r>
      <w:r w:rsidRPr="00445CEF">
        <w:rPr>
          <w:rFonts w:eastAsia="Times New Roman" w:cs="Tahoma"/>
          <w:color w:val="auto"/>
          <w:lang w:val="es-ES" w:eastAsia="es-ES"/>
        </w:rPr>
        <w:t>, de la Ley de la materia</w:t>
      </w:r>
      <w:r w:rsidRPr="00445CEF">
        <w:rPr>
          <w:rFonts w:eastAsia="Times New Roman" w:cs="Tahoma"/>
          <w:bCs/>
          <w:color w:val="auto"/>
          <w:lang w:val="es-ES" w:eastAsia="es-ES"/>
        </w:rPr>
        <w:t xml:space="preserve">, toda vez que el Solicitante se inconformó con la </w:t>
      </w:r>
      <w:r w:rsidR="00225138" w:rsidRPr="00445CEF">
        <w:rPr>
          <w:rFonts w:eastAsia="Times New Roman" w:cs="Tahoma"/>
          <w:bCs/>
          <w:color w:val="auto"/>
          <w:lang w:val="es-ES" w:eastAsia="es-ES"/>
        </w:rPr>
        <w:t>declaración de</w:t>
      </w:r>
      <w:r w:rsidR="00BF05C5" w:rsidRPr="00445CEF">
        <w:rPr>
          <w:rFonts w:eastAsia="Times New Roman" w:cs="Tahoma"/>
          <w:bCs/>
          <w:color w:val="auto"/>
          <w:lang w:val="es-ES" w:eastAsia="es-ES"/>
        </w:rPr>
        <w:t xml:space="preserve"> inexistencia de la información.</w:t>
      </w:r>
    </w:p>
    <w:p w14:paraId="33270C86" w14:textId="77777777" w:rsidR="00DB3DC5" w:rsidRPr="00445CEF" w:rsidRDefault="00DB3DC5" w:rsidP="00A47C39">
      <w:pPr>
        <w:spacing w:after="0" w:line="360" w:lineRule="auto"/>
        <w:contextualSpacing/>
        <w:rPr>
          <w:rFonts w:cs="Tahoma"/>
          <w:color w:val="FF0000"/>
          <w:lang w:val="es-ES"/>
        </w:rPr>
      </w:pPr>
    </w:p>
    <w:p w14:paraId="4882BDEC" w14:textId="0A99C093" w:rsidR="00DB3DC5" w:rsidRPr="00445CEF" w:rsidRDefault="00DB3DC5" w:rsidP="00A47C39">
      <w:pPr>
        <w:spacing w:after="0" w:line="360" w:lineRule="auto"/>
        <w:contextualSpacing/>
        <w:rPr>
          <w:rFonts w:eastAsia="Times New Roman" w:cs="Tahoma"/>
          <w:b/>
          <w:bCs/>
          <w:color w:val="auto"/>
          <w:lang w:eastAsia="es-ES"/>
        </w:rPr>
      </w:pPr>
      <w:r w:rsidRPr="00445CEF">
        <w:rPr>
          <w:rFonts w:eastAsia="Times New Roman" w:cs="Tahoma"/>
          <w:b/>
          <w:bCs/>
          <w:color w:val="auto"/>
          <w:lang w:eastAsia="es-ES"/>
        </w:rPr>
        <w:t>Causales de sobreseimiento</w:t>
      </w:r>
    </w:p>
    <w:p w14:paraId="3355E19E" w14:textId="77777777" w:rsidR="0041156D" w:rsidRPr="00445CEF" w:rsidRDefault="0041156D" w:rsidP="00A47C39">
      <w:pPr>
        <w:spacing w:after="0" w:line="360" w:lineRule="auto"/>
        <w:contextualSpacing/>
        <w:rPr>
          <w:rFonts w:eastAsia="Times New Roman" w:cs="Tahoma"/>
          <w:bCs/>
          <w:color w:val="FF0000"/>
          <w:lang w:eastAsia="es-ES"/>
        </w:rPr>
      </w:pPr>
    </w:p>
    <w:p w14:paraId="1C1FAC25" w14:textId="5560238B" w:rsidR="00DB3DC5" w:rsidRPr="00445CEF" w:rsidRDefault="00DB3DC5" w:rsidP="00A47C39">
      <w:pPr>
        <w:spacing w:after="0" w:line="360" w:lineRule="auto"/>
        <w:contextualSpacing/>
        <w:rPr>
          <w:rFonts w:eastAsia="Times New Roman" w:cs="Tahoma"/>
          <w:bCs/>
          <w:color w:val="auto"/>
          <w:lang w:eastAsia="es-ES"/>
        </w:rPr>
      </w:pPr>
      <w:r w:rsidRPr="00445CEF">
        <w:rPr>
          <w:rFonts w:eastAsia="Times New Roman" w:cs="Tahoma"/>
          <w:bCs/>
          <w:color w:val="auto"/>
          <w:lang w:eastAsia="es-ES"/>
        </w:rPr>
        <w:t>Por ser de previo y especial pronunciamiento, este Instituto analiza si se actualiza alguna causal de sobreseimiento.</w:t>
      </w:r>
    </w:p>
    <w:p w14:paraId="23736C10" w14:textId="77777777" w:rsidR="00F063F0" w:rsidRPr="00445CEF" w:rsidRDefault="00F063F0" w:rsidP="00A47C39">
      <w:pPr>
        <w:spacing w:after="0" w:line="360" w:lineRule="auto"/>
        <w:contextualSpacing/>
        <w:rPr>
          <w:rFonts w:eastAsia="Times New Roman" w:cs="Tahoma"/>
          <w:bCs/>
          <w:color w:val="FF0000"/>
          <w:lang w:eastAsia="es-ES"/>
        </w:rPr>
      </w:pPr>
    </w:p>
    <w:p w14:paraId="6BF77954" w14:textId="77777777" w:rsidR="00E42399" w:rsidRPr="00445CEF" w:rsidRDefault="00E42399" w:rsidP="00A47C39">
      <w:pPr>
        <w:spacing w:after="0" w:line="360" w:lineRule="auto"/>
        <w:rPr>
          <w:rFonts w:eastAsia="Calibri" w:cs="Tahoma"/>
          <w:color w:val="0D0D0D" w:themeColor="text1" w:themeTint="F2"/>
          <w:lang w:eastAsia="es-ES_tradnl"/>
        </w:rPr>
      </w:pPr>
      <w:r w:rsidRPr="00445CEF">
        <w:rPr>
          <w:rFonts w:eastAsia="Times New Roman" w:cs="Tahoma"/>
          <w:color w:val="0D0D0D" w:themeColor="text1" w:themeTint="F2"/>
          <w:lang w:eastAsia="es-ES"/>
        </w:rPr>
        <w:t xml:space="preserve">El artículo 192 de la </w:t>
      </w:r>
      <w:r w:rsidRPr="00445CEF">
        <w:rPr>
          <w:rFonts w:eastAsia="Calibri" w:cs="Tahoma"/>
          <w:bCs/>
          <w:color w:val="0D0D0D" w:themeColor="text1" w:themeTint="F2"/>
          <w:lang w:eastAsia="es-ES_tradnl"/>
        </w:rPr>
        <w:t xml:space="preserve">Ley Transparencia y Acceso a la Información Pública del Estado de México y Municipios, señala las causales por las cuales se puede sobreseer en todo o en parte el Recurso de Revisión; así, </w:t>
      </w:r>
      <w:r w:rsidRPr="00445CEF">
        <w:rPr>
          <w:rFonts w:eastAsia="Calibri" w:cs="Tahoma"/>
          <w:color w:val="0D0D0D" w:themeColor="text1" w:themeTint="F2"/>
          <w:lang w:eastAsia="es-ES_tradnl"/>
        </w:rPr>
        <w:t>del análisis realizado por este Instituto, se advierte que</w:t>
      </w:r>
      <w:r w:rsidRPr="00445CEF">
        <w:rPr>
          <w:rFonts w:eastAsia="Calibri" w:cs="Tahoma"/>
          <w:b/>
          <w:color w:val="0D0D0D" w:themeColor="text1" w:themeTint="F2"/>
          <w:lang w:eastAsia="es-ES_tradnl"/>
        </w:rPr>
        <w:t xml:space="preserve"> no se configuran las causales establecidas en las fracciones I, II, III, y V, </w:t>
      </w:r>
      <w:r w:rsidRPr="00445CEF">
        <w:rPr>
          <w:rFonts w:eastAsia="Calibri" w:cs="Tahoma"/>
          <w:color w:val="0D0D0D" w:themeColor="text1" w:themeTint="F2"/>
          <w:lang w:eastAsia="es-ES_tradnl"/>
        </w:rPr>
        <w:t xml:space="preserve">toda vez que no hay </w:t>
      </w:r>
      <w:r w:rsidRPr="00445CEF">
        <w:rPr>
          <w:rFonts w:eastAsia="Calibri" w:cs="Tahoma"/>
          <w:color w:val="0D0D0D" w:themeColor="text1" w:themeTint="F2"/>
          <w:lang w:eastAsia="es-ES_tradnl"/>
        </w:rPr>
        <w:lastRenderedPageBreak/>
        <w:t xml:space="preserve">constancias en el expediente en que se actúa, de que </w:t>
      </w:r>
      <w:r w:rsidRPr="00445CEF">
        <w:rPr>
          <w:rFonts w:eastAsia="Calibri" w:cs="Tahoma"/>
          <w:bCs/>
          <w:iCs/>
        </w:rPr>
        <w:t xml:space="preserve">la persona </w:t>
      </w:r>
      <w:r w:rsidRPr="00445CEF">
        <w:rPr>
          <w:rFonts w:eastAsia="Calibri" w:cs="Tahoma"/>
          <w:color w:val="0D0D0D" w:themeColor="text1" w:themeTint="F2"/>
          <w:lang w:eastAsia="es-ES_tradnl"/>
        </w:rPr>
        <w:t>Recurrente se haya desistido, fallecido, que el Sujeto Obligado hubiese modificado o revocado el acto impugnado o bien, haya quedado sin materia.</w:t>
      </w:r>
    </w:p>
    <w:p w14:paraId="0FF6771E" w14:textId="77777777" w:rsidR="00E42399" w:rsidRPr="00445CEF" w:rsidRDefault="00E42399" w:rsidP="00A47C39">
      <w:pPr>
        <w:spacing w:after="0" w:line="360" w:lineRule="auto"/>
        <w:rPr>
          <w:rFonts w:eastAsia="Calibri" w:cs="Tahoma"/>
          <w:color w:val="0D0D0D" w:themeColor="text1" w:themeTint="F2"/>
          <w:lang w:eastAsia="es-ES_tradnl"/>
        </w:rPr>
      </w:pPr>
    </w:p>
    <w:p w14:paraId="7D446714" w14:textId="77777777" w:rsidR="00E42399" w:rsidRPr="00445CEF" w:rsidRDefault="00E42399" w:rsidP="00A47C39">
      <w:pPr>
        <w:spacing w:after="0" w:line="360" w:lineRule="auto"/>
        <w:rPr>
          <w:rFonts w:eastAsia="Calibri" w:cs="Tahoma"/>
          <w:bCs/>
          <w:color w:val="0D0D0D" w:themeColor="text1" w:themeTint="F2"/>
          <w:lang w:val="es-ES" w:eastAsia="es-ES_tradnl"/>
        </w:rPr>
      </w:pPr>
      <w:r w:rsidRPr="00445CEF">
        <w:rPr>
          <w:rFonts w:eastAsia="Calibri" w:cs="Tahoma"/>
          <w:color w:val="0D0D0D" w:themeColor="text1" w:themeTint="F2"/>
          <w:lang w:eastAsia="es-ES_tradnl"/>
        </w:rPr>
        <w:t xml:space="preserve">No obstante, por lo que hace a la hipótesis prevista en la fracción IV, a saber, que, una vez admitido el Recurso de Revisión, aparezca alguna causal de improcedencia en términos de la presente Ley, </w:t>
      </w:r>
      <w:r w:rsidRPr="00445CEF">
        <w:rPr>
          <w:rFonts w:eastAsia="Calibri" w:cs="Tahoma"/>
          <w:bCs/>
          <w:color w:val="0D0D0D" w:themeColor="text1" w:themeTint="F2"/>
          <w:lang w:eastAsia="es-ES_tradnl"/>
        </w:rPr>
        <w:t>resulta necesario traer a colación</w:t>
      </w:r>
      <w:r w:rsidRPr="00445CEF">
        <w:rPr>
          <w:rFonts w:eastAsia="Calibri" w:cs="Tahoma"/>
          <w:bCs/>
          <w:color w:val="0D0D0D" w:themeColor="text1" w:themeTint="F2"/>
          <w:lang w:val="es-ES" w:eastAsia="es-ES_tradnl"/>
        </w:rPr>
        <w:t xml:space="preserve"> el artículo 191, fracción VII, de dicho ordenamiento jurídico, que establece que el Recurso de Revisión será desechado por improcedente, cuando la persona Recurrente amplíe su solicitud en el Medio de Impugnación.</w:t>
      </w:r>
    </w:p>
    <w:p w14:paraId="44335869" w14:textId="77777777" w:rsidR="00E42399" w:rsidRPr="00445CEF" w:rsidRDefault="00E42399" w:rsidP="00A47C39">
      <w:pPr>
        <w:spacing w:after="0" w:line="360" w:lineRule="auto"/>
        <w:rPr>
          <w:rFonts w:eastAsia="Times New Roman" w:cs="Tahoma"/>
          <w:bCs/>
          <w:color w:val="auto"/>
          <w:lang w:eastAsia="es-ES"/>
        </w:rPr>
      </w:pPr>
    </w:p>
    <w:p w14:paraId="00D38E96" w14:textId="2B9E76CE" w:rsidR="00E42399" w:rsidRPr="00445CEF" w:rsidRDefault="00E42399" w:rsidP="00AF189E">
      <w:pPr>
        <w:spacing w:after="0" w:line="360" w:lineRule="auto"/>
        <w:rPr>
          <w:rFonts w:eastAsia="Calibri" w:cs="Times New Roman"/>
          <w:b/>
        </w:rPr>
      </w:pPr>
      <w:r w:rsidRPr="00445CEF">
        <w:rPr>
          <w:rFonts w:eastAsia="Calibri" w:cs="Tahoma"/>
          <w:bCs/>
          <w:color w:val="0D0D0D" w:themeColor="text1" w:themeTint="F2"/>
          <w:lang w:val="es-ES" w:eastAsia="es-ES_tradnl"/>
        </w:rPr>
        <w:t xml:space="preserve">En ese orden de ideas, de las constancias que obran en el expediente </w:t>
      </w:r>
      <w:r w:rsidR="00AF189E" w:rsidRPr="00445CEF">
        <w:rPr>
          <w:rFonts w:eastAsia="Calibri" w:cs="Tahoma"/>
          <w:bCs/>
          <w:color w:val="0D0D0D" w:themeColor="text1" w:themeTint="F2"/>
          <w:lang w:val="es-ES" w:eastAsia="es-ES_tradnl"/>
        </w:rPr>
        <w:t>del Recurso de Revisión 06011/INFOEM/IP/RR/2024</w:t>
      </w:r>
      <w:r w:rsidRPr="00445CEF">
        <w:rPr>
          <w:rFonts w:eastAsia="Calibri" w:cs="Tahoma"/>
          <w:bCs/>
          <w:color w:val="0D0D0D" w:themeColor="text1" w:themeTint="F2"/>
          <w:lang w:val="es-ES" w:eastAsia="es-ES_tradnl"/>
        </w:rPr>
        <w:t xml:space="preserve">, se colige que el Particular </w:t>
      </w:r>
      <w:r w:rsidR="002D26C8" w:rsidRPr="00445CEF">
        <w:rPr>
          <w:rFonts w:eastAsia="Calibri" w:cs="Tahoma"/>
          <w:bCs/>
          <w:color w:val="0D0D0D" w:themeColor="text1" w:themeTint="F2"/>
          <w:lang w:val="es-ES" w:eastAsia="es-ES_tradnl"/>
        </w:rPr>
        <w:t xml:space="preserve">requirió a través de la solicitud de información </w:t>
      </w:r>
      <w:r w:rsidR="00AF189E" w:rsidRPr="00445CEF">
        <w:rPr>
          <w:rFonts w:eastAsia="Calibri" w:cs="Tahoma"/>
          <w:bCs/>
          <w:color w:val="0D0D0D" w:themeColor="text1" w:themeTint="F2"/>
          <w:lang w:val="es-ES" w:eastAsia="es-ES_tradnl"/>
        </w:rPr>
        <w:t>la información de Victoria Romero Cruz, Viridiana Figueroa Romero y el hijo de Efraín Romero.</w:t>
      </w:r>
    </w:p>
    <w:p w14:paraId="4F11CD2F" w14:textId="77777777" w:rsidR="00E42399" w:rsidRPr="00445CEF" w:rsidRDefault="00E42399" w:rsidP="00A47C39">
      <w:pPr>
        <w:spacing w:after="0" w:line="360" w:lineRule="auto"/>
        <w:rPr>
          <w:rFonts w:eastAsia="Calibri" w:cs="Times New Roman"/>
          <w:b/>
          <w:color w:val="auto"/>
        </w:rPr>
      </w:pPr>
    </w:p>
    <w:p w14:paraId="1C0A5359" w14:textId="649C3478" w:rsidR="00E42399" w:rsidRPr="00445CEF" w:rsidRDefault="00E42399" w:rsidP="00A47C39">
      <w:pPr>
        <w:spacing w:after="0" w:line="360" w:lineRule="auto"/>
        <w:rPr>
          <w:rFonts w:eastAsia="Calibri" w:cs="Tahoma"/>
          <w:bCs/>
          <w:color w:val="0D0D0D" w:themeColor="text1" w:themeTint="F2"/>
          <w:lang w:val="es-ES" w:eastAsia="es-ES_tradnl"/>
        </w:rPr>
      </w:pPr>
      <w:r w:rsidRPr="00445CEF">
        <w:rPr>
          <w:rFonts w:eastAsia="Calibri" w:cs="Tahoma"/>
          <w:bCs/>
          <w:color w:val="0D0D0D" w:themeColor="text1" w:themeTint="F2"/>
          <w:lang w:val="es-ES" w:eastAsia="es-ES_tradnl"/>
        </w:rPr>
        <w:t xml:space="preserve">Ante tal requerimiento, el Solicitante interpuso Recurso de Revisión, en donde aparte de inconformarse de la declaración de inexistencia de la información, </w:t>
      </w:r>
      <w:r w:rsidR="00FE20BE" w:rsidRPr="00445CEF">
        <w:rPr>
          <w:rFonts w:eastAsia="Calibri" w:cs="Tahoma"/>
          <w:bCs/>
          <w:color w:val="0D0D0D" w:themeColor="text1" w:themeTint="F2"/>
          <w:lang w:val="es-ES" w:eastAsia="es-ES_tradnl"/>
        </w:rPr>
        <w:t xml:space="preserve">solicito información de Hugo Romero adscrito a la </w:t>
      </w:r>
      <w:r w:rsidR="00AF189E" w:rsidRPr="00445CEF">
        <w:rPr>
          <w:rFonts w:eastAsia="Calibri" w:cs="Tahoma"/>
          <w:bCs/>
          <w:color w:val="0D0D0D" w:themeColor="text1" w:themeTint="F2"/>
          <w:lang w:val="es-ES" w:eastAsia="es-ES_tradnl"/>
        </w:rPr>
        <w:t>T</w:t>
      </w:r>
      <w:r w:rsidR="00FE20BE" w:rsidRPr="00445CEF">
        <w:rPr>
          <w:rFonts w:eastAsia="Calibri" w:cs="Tahoma"/>
          <w:bCs/>
          <w:color w:val="0D0D0D" w:themeColor="text1" w:themeTint="F2"/>
          <w:lang w:val="es-ES" w:eastAsia="es-ES_tradnl"/>
        </w:rPr>
        <w:t>esorería.</w:t>
      </w:r>
    </w:p>
    <w:p w14:paraId="7201BA3A" w14:textId="77777777" w:rsidR="002D26C8" w:rsidRPr="00445CEF" w:rsidRDefault="002D26C8" w:rsidP="00A47C39">
      <w:pPr>
        <w:spacing w:after="0" w:line="360" w:lineRule="auto"/>
        <w:rPr>
          <w:rFonts w:eastAsia="Calibri" w:cs="Tahoma"/>
          <w:bCs/>
          <w:color w:val="0D0D0D" w:themeColor="text1" w:themeTint="F2"/>
          <w:lang w:val="es-ES" w:eastAsia="es-ES_tradnl"/>
        </w:rPr>
      </w:pPr>
    </w:p>
    <w:p w14:paraId="2F347CC1" w14:textId="129AFD4C" w:rsidR="002D26C8" w:rsidRPr="00445CEF" w:rsidRDefault="002D26C8" w:rsidP="002D26C8">
      <w:pPr>
        <w:tabs>
          <w:tab w:val="left" w:pos="4962"/>
        </w:tabs>
        <w:spacing w:after="0" w:line="360" w:lineRule="auto"/>
        <w:rPr>
          <w:rFonts w:cs="Tahoma"/>
          <w:color w:val="auto"/>
        </w:rPr>
      </w:pPr>
      <w:r w:rsidRPr="00445CEF">
        <w:rPr>
          <w:rFonts w:eastAsia="Calibri" w:cs="Tahoma"/>
          <w:bCs/>
          <w:color w:val="0D0D0D" w:themeColor="text1" w:themeTint="F2"/>
          <w:lang w:val="es-ES" w:eastAsia="es-ES_tradnl"/>
        </w:rPr>
        <w:t xml:space="preserve">Por otra parte, de las constancias que obran en el expediente del Recurso de Revisión 06012/INFOEM/IP/RR/2024, se advierte que en el Particular a través de la solicitud 00238/ATLACOM/IP/2024, requirió de la C. Perama Colín Martínez el movimiento de </w:t>
      </w:r>
      <w:r w:rsidR="0051736C" w:rsidRPr="00445CEF">
        <w:rPr>
          <w:rFonts w:eastAsia="Calibri" w:cs="Tahoma"/>
          <w:bCs/>
          <w:color w:val="0D0D0D" w:themeColor="text1" w:themeTint="F2"/>
          <w:lang w:val="es-ES" w:eastAsia="es-ES_tradnl"/>
        </w:rPr>
        <w:t>alta ante</w:t>
      </w:r>
      <w:r w:rsidRPr="00445CEF">
        <w:rPr>
          <w:rFonts w:cs="Tahoma"/>
          <w:color w:val="auto"/>
        </w:rPr>
        <w:t xml:space="preserve"> el Instituto de Seguridad Social del Estado de México y Municipios, recibos de nómina del primero de enero </w:t>
      </w:r>
      <w:r w:rsidR="0051736C" w:rsidRPr="00445CEF">
        <w:rPr>
          <w:rFonts w:cs="Tahoma"/>
          <w:color w:val="auto"/>
        </w:rPr>
        <w:t>de dos mil veintitrés al veintiocho de agosto de dos mil veinticuatro, nombramiento y documento donde conste su horario de entrada y salida.</w:t>
      </w:r>
    </w:p>
    <w:p w14:paraId="5EF3FCA3" w14:textId="77777777" w:rsidR="0051736C" w:rsidRPr="00445CEF" w:rsidRDefault="0051736C" w:rsidP="002D26C8">
      <w:pPr>
        <w:tabs>
          <w:tab w:val="left" w:pos="4962"/>
        </w:tabs>
        <w:spacing w:after="0" w:line="360" w:lineRule="auto"/>
        <w:rPr>
          <w:rFonts w:cs="Tahoma"/>
          <w:color w:val="auto"/>
        </w:rPr>
      </w:pPr>
    </w:p>
    <w:p w14:paraId="512FE39D" w14:textId="65D02E4A" w:rsidR="0051736C" w:rsidRPr="00445CEF" w:rsidRDefault="0051736C" w:rsidP="002D26C8">
      <w:pPr>
        <w:tabs>
          <w:tab w:val="left" w:pos="4962"/>
        </w:tabs>
        <w:spacing w:after="0" w:line="360" w:lineRule="auto"/>
        <w:rPr>
          <w:rFonts w:eastAsia="Calibri" w:cs="Tahoma"/>
          <w:bCs/>
          <w:color w:val="0D0D0D" w:themeColor="text1" w:themeTint="F2"/>
          <w:lang w:val="es-ES" w:eastAsia="es-ES_tradnl"/>
        </w:rPr>
      </w:pPr>
      <w:r w:rsidRPr="00445CEF">
        <w:rPr>
          <w:rFonts w:eastAsia="Calibri" w:cs="Tahoma"/>
          <w:bCs/>
          <w:color w:val="0D0D0D" w:themeColor="text1" w:themeTint="F2"/>
          <w:lang w:val="es-ES" w:eastAsia="es-ES_tradnl"/>
        </w:rPr>
        <w:lastRenderedPageBreak/>
        <w:t xml:space="preserve">Ante tal requerimiento, el Solicitante interpuso Recurso de Revisión donde además </w:t>
      </w:r>
      <w:r w:rsidR="00822E57" w:rsidRPr="00445CEF">
        <w:rPr>
          <w:rFonts w:eastAsia="Calibri" w:cs="Tahoma"/>
          <w:bCs/>
          <w:color w:val="0D0D0D" w:themeColor="text1" w:themeTint="F2"/>
          <w:lang w:val="es-ES" w:eastAsia="es-ES_tradnl"/>
        </w:rPr>
        <w:t xml:space="preserve">de inconformarse de la entrega de la información incompleta, </w:t>
      </w:r>
      <w:r w:rsidRPr="00445CEF">
        <w:rPr>
          <w:rFonts w:eastAsia="Calibri" w:cs="Tahoma"/>
          <w:bCs/>
          <w:color w:val="0D0D0D" w:themeColor="text1" w:themeTint="F2"/>
          <w:lang w:val="es-ES" w:eastAsia="es-ES_tradnl"/>
        </w:rPr>
        <w:t>solicito el registro de entrada y salida de la servidora pública o bien el registro del reloj checador donde conste el horario de entrada y salida.</w:t>
      </w:r>
    </w:p>
    <w:p w14:paraId="12526E9C" w14:textId="77777777" w:rsidR="00E42399" w:rsidRPr="00445CEF" w:rsidRDefault="00E42399" w:rsidP="00A47C39">
      <w:pPr>
        <w:spacing w:after="0" w:line="360" w:lineRule="auto"/>
        <w:rPr>
          <w:rFonts w:eastAsia="Calibri" w:cs="Times New Roman"/>
          <w:b/>
          <w:color w:val="auto"/>
          <w:lang w:val="es-ES"/>
        </w:rPr>
      </w:pPr>
    </w:p>
    <w:p w14:paraId="260DB7B2" w14:textId="0722A810" w:rsidR="00E42399" w:rsidRPr="00445CEF" w:rsidRDefault="00E42399" w:rsidP="00A47C39">
      <w:pPr>
        <w:spacing w:after="0" w:line="360" w:lineRule="auto"/>
        <w:rPr>
          <w:rFonts w:eastAsia="Calibri" w:cs="Tahoma"/>
          <w:color w:val="0D0D0D" w:themeColor="text1" w:themeTint="F2"/>
          <w:lang w:eastAsia="es-ES_tradnl"/>
        </w:rPr>
      </w:pPr>
      <w:r w:rsidRPr="00445CEF">
        <w:rPr>
          <w:rFonts w:eastAsia="Calibri" w:cs="Tahoma"/>
          <w:color w:val="0D0D0D" w:themeColor="text1" w:themeTint="F2"/>
          <w:lang w:eastAsia="es-ES_tradnl"/>
        </w:rPr>
        <w:t>En ese sentido, del contraste entre el planteamiento formulado en la</w:t>
      </w:r>
      <w:r w:rsidR="0051736C" w:rsidRPr="00445CEF">
        <w:rPr>
          <w:rFonts w:eastAsia="Calibri" w:cs="Tahoma"/>
          <w:color w:val="0D0D0D" w:themeColor="text1" w:themeTint="F2"/>
          <w:lang w:eastAsia="es-ES_tradnl"/>
        </w:rPr>
        <w:t>s</w:t>
      </w:r>
      <w:r w:rsidRPr="00445CEF">
        <w:rPr>
          <w:rFonts w:eastAsia="Calibri" w:cs="Tahoma"/>
          <w:color w:val="0D0D0D" w:themeColor="text1" w:themeTint="F2"/>
          <w:lang w:eastAsia="es-ES_tradnl"/>
        </w:rPr>
        <w:t xml:space="preserve"> solicitud</w:t>
      </w:r>
      <w:r w:rsidR="0051736C" w:rsidRPr="00445CEF">
        <w:rPr>
          <w:rFonts w:eastAsia="Calibri" w:cs="Tahoma"/>
          <w:color w:val="0D0D0D" w:themeColor="text1" w:themeTint="F2"/>
          <w:lang w:eastAsia="es-ES_tradnl"/>
        </w:rPr>
        <w:t>es</w:t>
      </w:r>
      <w:r w:rsidRPr="00445CEF">
        <w:rPr>
          <w:rFonts w:eastAsia="Calibri" w:cs="Tahoma"/>
          <w:color w:val="0D0D0D" w:themeColor="text1" w:themeTint="F2"/>
          <w:lang w:eastAsia="es-ES_tradnl"/>
        </w:rPr>
        <w:t xml:space="preserve"> de información y las manifestaciones vertidas por </w:t>
      </w:r>
      <w:r w:rsidRPr="00445CEF">
        <w:rPr>
          <w:rFonts w:eastAsia="Calibri" w:cs="Tahoma"/>
          <w:bCs/>
          <w:iCs/>
        </w:rPr>
        <w:t>la persona</w:t>
      </w:r>
      <w:r w:rsidRPr="00445CEF">
        <w:rPr>
          <w:rFonts w:eastAsia="Calibri" w:cs="Tahoma"/>
          <w:color w:val="0D0D0D" w:themeColor="text1" w:themeTint="F2"/>
          <w:lang w:eastAsia="es-ES_tradnl"/>
        </w:rPr>
        <w:t xml:space="preserve"> Recurrente, a través de su escrito recursal</w:t>
      </w:r>
      <w:r w:rsidR="0051736C" w:rsidRPr="00445CEF">
        <w:rPr>
          <w:rFonts w:eastAsia="Calibri" w:cs="Tahoma"/>
          <w:color w:val="0D0D0D" w:themeColor="text1" w:themeTint="F2"/>
          <w:lang w:eastAsia="es-ES_tradnl"/>
        </w:rPr>
        <w:t>, se colige que a través de estos</w:t>
      </w:r>
      <w:r w:rsidRPr="00445CEF">
        <w:rPr>
          <w:rFonts w:eastAsia="Calibri" w:cs="Tahoma"/>
          <w:color w:val="0D0D0D" w:themeColor="text1" w:themeTint="F2"/>
          <w:lang w:eastAsia="es-ES_tradnl"/>
        </w:rPr>
        <w:t xml:space="preserve"> pretende obtener información diversa a la inicialmente requerida, pues en primera instancia requirió,</w:t>
      </w:r>
      <w:r w:rsidRPr="00445CEF">
        <w:rPr>
          <w:rFonts w:eastAsia="Calibri" w:cs="Tahoma"/>
          <w:bCs/>
          <w:color w:val="0D0D0D" w:themeColor="text1" w:themeTint="F2"/>
          <w:lang w:val="es-ES" w:eastAsia="es-ES_tradnl"/>
        </w:rPr>
        <w:t xml:space="preserve"> </w:t>
      </w:r>
      <w:r w:rsidR="00AF189E" w:rsidRPr="00445CEF">
        <w:rPr>
          <w:rFonts w:eastAsia="Calibri" w:cs="Tahoma"/>
          <w:bCs/>
          <w:color w:val="0D0D0D" w:themeColor="text1" w:themeTint="F2"/>
          <w:lang w:val="es-ES" w:eastAsia="es-ES_tradnl"/>
        </w:rPr>
        <w:t>de tres personas y posteriormente requiri</w:t>
      </w:r>
      <w:r w:rsidR="0051736C" w:rsidRPr="00445CEF">
        <w:rPr>
          <w:rFonts w:eastAsia="Calibri" w:cs="Tahoma"/>
          <w:bCs/>
          <w:color w:val="0D0D0D" w:themeColor="text1" w:themeTint="F2"/>
          <w:lang w:val="es-ES" w:eastAsia="es-ES_tradnl"/>
        </w:rPr>
        <w:t>ó la información de Hugo Romero, además en un inicio solicito el documento donde constara el horario de entrada y salida de Perama Colín Martínez y posterior a ello el registro de entrada y salida de la servidora pública o el registro del reloj checador.</w:t>
      </w:r>
    </w:p>
    <w:p w14:paraId="265C4479" w14:textId="77777777" w:rsidR="00AF189E" w:rsidRPr="00445CEF" w:rsidRDefault="00AF189E" w:rsidP="00A47C39">
      <w:pPr>
        <w:spacing w:after="0" w:line="360" w:lineRule="auto"/>
        <w:rPr>
          <w:rFonts w:eastAsia="Calibri" w:cs="Tahoma"/>
          <w:color w:val="0D0D0D" w:themeColor="text1" w:themeTint="F2"/>
          <w:lang w:eastAsia="es-ES_tradnl"/>
        </w:rPr>
      </w:pPr>
    </w:p>
    <w:p w14:paraId="774D0000" w14:textId="56D5509D" w:rsidR="00E42399" w:rsidRPr="00445CEF" w:rsidRDefault="00E42399" w:rsidP="00A47C39">
      <w:pPr>
        <w:spacing w:after="0" w:line="360" w:lineRule="auto"/>
        <w:rPr>
          <w:rFonts w:eastAsia="Times New Roman" w:cs="Tahoma"/>
          <w:b/>
          <w:color w:val="0D0D0D" w:themeColor="text1" w:themeTint="F2"/>
          <w:lang w:val="es-ES" w:eastAsia="es-ES"/>
        </w:rPr>
      </w:pPr>
      <w:r w:rsidRPr="00445CEF">
        <w:rPr>
          <w:rFonts w:eastAsia="Times New Roman" w:cs="Tahoma"/>
          <w:color w:val="0D0D0D" w:themeColor="text1" w:themeTint="F2"/>
          <w:lang w:val="es-ES" w:eastAsia="es-ES"/>
        </w:rPr>
        <w:t>En ese orden de ideas, dicha situación no puede constituir materia de estudio del presente Recurso de Revisión, debido a que la</w:t>
      </w:r>
      <w:r w:rsidR="0051736C" w:rsidRPr="00445CEF">
        <w:rPr>
          <w:rFonts w:eastAsia="Times New Roman" w:cs="Tahoma"/>
          <w:color w:val="0D0D0D" w:themeColor="text1" w:themeTint="F2"/>
          <w:lang w:val="es-ES" w:eastAsia="es-ES"/>
        </w:rPr>
        <w:t>s</w:t>
      </w:r>
      <w:r w:rsidRPr="00445CEF">
        <w:rPr>
          <w:rFonts w:eastAsia="Times New Roman" w:cs="Tahoma"/>
          <w:color w:val="0D0D0D" w:themeColor="text1" w:themeTint="F2"/>
          <w:lang w:val="es-ES" w:eastAsia="es-ES"/>
        </w:rPr>
        <w:t xml:space="preserve"> solicitud</w:t>
      </w:r>
      <w:r w:rsidR="0051736C" w:rsidRPr="00445CEF">
        <w:rPr>
          <w:rFonts w:eastAsia="Times New Roman" w:cs="Tahoma"/>
          <w:color w:val="0D0D0D" w:themeColor="text1" w:themeTint="F2"/>
          <w:lang w:val="es-ES" w:eastAsia="es-ES"/>
        </w:rPr>
        <w:t>es</w:t>
      </w:r>
      <w:r w:rsidRPr="00445CEF">
        <w:rPr>
          <w:rFonts w:eastAsia="Times New Roman" w:cs="Tahoma"/>
          <w:color w:val="0D0D0D" w:themeColor="text1" w:themeTint="F2"/>
          <w:lang w:val="es-ES" w:eastAsia="es-ES"/>
        </w:rPr>
        <w:t xml:space="preserve"> de información </w:t>
      </w:r>
      <w:r w:rsidR="0051736C" w:rsidRPr="00445CEF">
        <w:rPr>
          <w:rFonts w:eastAsia="Times New Roman" w:cs="Tahoma"/>
          <w:color w:val="0D0D0D" w:themeColor="text1" w:themeTint="F2"/>
          <w:lang w:val="es-ES" w:eastAsia="es-ES"/>
        </w:rPr>
        <w:t>deben</w:t>
      </w:r>
      <w:r w:rsidRPr="00445CEF">
        <w:rPr>
          <w:rFonts w:eastAsia="Times New Roman" w:cs="Tahoma"/>
          <w:color w:val="0D0D0D" w:themeColor="text1" w:themeTint="F2"/>
          <w:lang w:val="es-ES" w:eastAsia="es-ES"/>
        </w:rPr>
        <w:t xml:space="preserve"> ser apreciada</w:t>
      </w:r>
      <w:r w:rsidR="0051736C" w:rsidRPr="00445CEF">
        <w:rPr>
          <w:rFonts w:eastAsia="Times New Roman" w:cs="Tahoma"/>
          <w:color w:val="0D0D0D" w:themeColor="text1" w:themeTint="F2"/>
          <w:lang w:val="es-ES" w:eastAsia="es-ES"/>
        </w:rPr>
        <w:t>s</w:t>
      </w:r>
      <w:r w:rsidRPr="00445CEF">
        <w:rPr>
          <w:rFonts w:eastAsia="Times New Roman" w:cs="Tahoma"/>
          <w:color w:val="0D0D0D" w:themeColor="text1" w:themeTint="F2"/>
          <w:lang w:val="es-ES" w:eastAsia="es-ES"/>
        </w:rPr>
        <w:t xml:space="preserve"> en los términos en que fue</w:t>
      </w:r>
      <w:r w:rsidR="0051736C" w:rsidRPr="00445CEF">
        <w:rPr>
          <w:rFonts w:eastAsia="Times New Roman" w:cs="Tahoma"/>
          <w:color w:val="0D0D0D" w:themeColor="text1" w:themeTint="F2"/>
          <w:lang w:val="es-ES" w:eastAsia="es-ES"/>
        </w:rPr>
        <w:t>ron</w:t>
      </w:r>
      <w:r w:rsidRPr="00445CEF">
        <w:rPr>
          <w:rFonts w:eastAsia="Times New Roman" w:cs="Tahoma"/>
          <w:color w:val="0D0D0D" w:themeColor="text1" w:themeTint="F2"/>
          <w:lang w:val="es-ES" w:eastAsia="es-ES"/>
        </w:rPr>
        <w:t xml:space="preserve"> planteada</w:t>
      </w:r>
      <w:r w:rsidR="0051736C" w:rsidRPr="00445CEF">
        <w:rPr>
          <w:rFonts w:eastAsia="Times New Roman" w:cs="Tahoma"/>
          <w:color w:val="0D0D0D" w:themeColor="text1" w:themeTint="F2"/>
          <w:lang w:val="es-ES" w:eastAsia="es-ES"/>
        </w:rPr>
        <w:t>s</w:t>
      </w:r>
      <w:r w:rsidRPr="00445CEF">
        <w:rPr>
          <w:rFonts w:eastAsia="Times New Roman" w:cs="Tahoma"/>
          <w:color w:val="0D0D0D" w:themeColor="text1" w:themeTint="F2"/>
          <w:lang w:val="es-ES" w:eastAsia="es-ES"/>
        </w:rPr>
        <w:t xml:space="preserve"> originalmente ante el Sujeto Obligado,</w:t>
      </w:r>
      <w:r w:rsidRPr="00445CEF">
        <w:rPr>
          <w:rFonts w:eastAsia="Times New Roman" w:cs="Tahoma"/>
          <w:b/>
          <w:color w:val="0D0D0D" w:themeColor="text1" w:themeTint="F2"/>
          <w:lang w:val="es-ES" w:eastAsia="es-ES"/>
        </w:rPr>
        <w:t xml:space="preserve"> sin variar en el fondo la controversia, ni constituir un nuevo requerimiento informativo.</w:t>
      </w:r>
    </w:p>
    <w:p w14:paraId="6006061F" w14:textId="77777777" w:rsidR="00E42399" w:rsidRPr="00445CEF" w:rsidRDefault="00E42399" w:rsidP="00A47C39">
      <w:pPr>
        <w:spacing w:after="0" w:line="360" w:lineRule="auto"/>
        <w:rPr>
          <w:rFonts w:eastAsia="Calibri" w:cs="Times New Roman"/>
          <w:b/>
          <w:color w:val="auto"/>
        </w:rPr>
      </w:pPr>
    </w:p>
    <w:p w14:paraId="6225B27E" w14:textId="77777777" w:rsidR="00E42399" w:rsidRPr="00445CEF" w:rsidRDefault="00E42399" w:rsidP="00A47C39">
      <w:pPr>
        <w:spacing w:after="0" w:line="360" w:lineRule="auto"/>
        <w:rPr>
          <w:rFonts w:eastAsia="Calibri" w:cs="Tahoma"/>
          <w:bCs/>
          <w:color w:val="0D0D0D" w:themeColor="text1" w:themeTint="F2"/>
          <w:lang w:val="es-ES" w:eastAsia="es-ES_tradnl"/>
        </w:rPr>
      </w:pPr>
      <w:r w:rsidRPr="00445CEF">
        <w:rPr>
          <w:rFonts w:eastAsia="Calibri" w:cs="Tahoma"/>
          <w:bCs/>
          <w:color w:val="0D0D0D" w:themeColor="text1" w:themeTint="F2"/>
          <w:lang w:val="es-ES" w:eastAsia="es-ES_tradnl"/>
        </w:rPr>
        <w:t>Al respecto, resulta pertinente citar, el Criterio de Interpretación</w:t>
      </w:r>
      <w:r w:rsidRPr="00445CEF">
        <w:rPr>
          <w:rFonts w:eastAsia="Calibri" w:cs="Tahoma"/>
          <w:bCs/>
          <w:color w:val="0D0D0D" w:themeColor="text1" w:themeTint="F2"/>
          <w:lang w:val="x-none" w:eastAsia="es-ES_tradnl"/>
        </w:rPr>
        <w:t>, con clave de control, número SO/</w:t>
      </w:r>
      <w:r w:rsidRPr="00445CEF">
        <w:rPr>
          <w:rFonts w:eastAsia="Calibri" w:cs="Tahoma"/>
          <w:bCs/>
          <w:color w:val="0D0D0D" w:themeColor="text1" w:themeTint="F2"/>
          <w:lang w:val="es-ES" w:eastAsia="es-ES_tradnl"/>
        </w:rPr>
        <w:t xml:space="preserve">001/2017, de la Segunda </w:t>
      </w:r>
      <w:r w:rsidRPr="00445CEF">
        <w:rPr>
          <w:rFonts w:eastAsia="Calibri" w:cs="Tahoma"/>
          <w:bCs/>
          <w:color w:val="0D0D0D" w:themeColor="text1" w:themeTint="F2"/>
          <w:lang w:val="x-none" w:eastAsia="es-ES_tradnl"/>
        </w:rPr>
        <w:t>Época,</w:t>
      </w:r>
      <w:r w:rsidRPr="00445CEF">
        <w:rPr>
          <w:rFonts w:eastAsia="Calibri" w:cs="Tahoma"/>
          <w:bCs/>
          <w:color w:val="0D0D0D" w:themeColor="text1" w:themeTint="F2"/>
          <w:lang w:val="es-ES" w:eastAsia="es-ES_tradnl"/>
        </w:rPr>
        <w:t xml:space="preserve"> emitido por el Instituto Nacional de Transparencia, Acceso a la Información y Protección de Datos Personales, el cual indica que no resulta procedente ampliar vía recurso de revisión, las solicitudes de información:</w:t>
      </w:r>
    </w:p>
    <w:p w14:paraId="5B3D86CE" w14:textId="77777777" w:rsidR="00E42399" w:rsidRPr="00445CEF" w:rsidRDefault="00E42399" w:rsidP="00A47C39">
      <w:pPr>
        <w:spacing w:after="0" w:line="360" w:lineRule="auto"/>
        <w:rPr>
          <w:rFonts w:eastAsia="Calibri" w:cs="Tahoma"/>
          <w:bCs/>
          <w:color w:val="0D0D0D" w:themeColor="text1" w:themeTint="F2"/>
          <w:lang w:val="es-ES" w:eastAsia="es-ES_tradnl"/>
        </w:rPr>
      </w:pPr>
    </w:p>
    <w:p w14:paraId="6269706A" w14:textId="77777777" w:rsidR="00E42399" w:rsidRPr="00445CEF" w:rsidRDefault="00E42399" w:rsidP="00A47C39">
      <w:pPr>
        <w:spacing w:after="0" w:line="360" w:lineRule="auto"/>
        <w:ind w:left="567" w:right="567"/>
        <w:rPr>
          <w:rFonts w:eastAsia="Calibri" w:cs="Tahoma"/>
          <w:bCs/>
          <w:i/>
          <w:color w:val="0D0D0D" w:themeColor="text1" w:themeTint="F2"/>
          <w:sz w:val="20"/>
          <w:szCs w:val="20"/>
          <w:lang w:val="es-ES" w:eastAsia="es-ES_tradnl"/>
        </w:rPr>
      </w:pPr>
      <w:r w:rsidRPr="00445CEF">
        <w:rPr>
          <w:rFonts w:eastAsia="Calibri" w:cs="Tahoma"/>
          <w:b/>
          <w:bCs/>
          <w:i/>
          <w:color w:val="0D0D0D" w:themeColor="text1" w:themeTint="F2"/>
          <w:sz w:val="20"/>
          <w:szCs w:val="20"/>
          <w:lang w:val="es-ES" w:eastAsia="es-ES_tradnl"/>
        </w:rPr>
        <w:t xml:space="preserve">“Es improcedente ampliar las solicitudes de acceso a información, a través de la interposición del recurso de revisión. </w:t>
      </w:r>
      <w:r w:rsidRPr="00445CEF">
        <w:rPr>
          <w:rFonts w:eastAsia="Calibri" w:cs="Tahoma"/>
          <w:bCs/>
          <w:i/>
          <w:color w:val="0D0D0D" w:themeColor="text1" w:themeTint="F2"/>
          <w:sz w:val="20"/>
          <w:szCs w:val="20"/>
          <w:lang w:val="es-ES" w:eastAsia="es-ES_tradnl"/>
        </w:rPr>
        <w:t xml:space="preserve">En términos de los artículos 155, fracción VII de la Ley General de Transparencia y Acceso a la Información Pública, y 161, fracción VII de la Ley Federal de Transparencia y Acceso a la Información Pública, en aquellos casos en que los recurrentes, </w:t>
      </w:r>
      <w:r w:rsidRPr="00445CEF">
        <w:rPr>
          <w:rFonts w:eastAsia="Calibri" w:cs="Tahoma"/>
          <w:bCs/>
          <w:i/>
          <w:color w:val="0D0D0D" w:themeColor="text1" w:themeTint="F2"/>
          <w:sz w:val="20"/>
          <w:szCs w:val="20"/>
          <w:lang w:val="es-ES" w:eastAsia="es-ES_tradnl"/>
        </w:rPr>
        <w:lastRenderedPageBreak/>
        <w:t>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020A7BB6" w14:textId="77777777" w:rsidR="00E42399" w:rsidRPr="00445CEF" w:rsidRDefault="00E42399" w:rsidP="00A47C39">
      <w:pPr>
        <w:spacing w:after="0" w:line="360" w:lineRule="auto"/>
        <w:rPr>
          <w:rFonts w:eastAsia="Times New Roman" w:cs="Times New Roman"/>
          <w:color w:val="0D0D0D" w:themeColor="text1" w:themeTint="F2"/>
          <w:sz w:val="20"/>
          <w:szCs w:val="20"/>
          <w:lang w:eastAsia="es-MX"/>
        </w:rPr>
      </w:pPr>
    </w:p>
    <w:p w14:paraId="6738A97D" w14:textId="77777777" w:rsidR="00E42399" w:rsidRPr="00445CEF" w:rsidRDefault="00E42399" w:rsidP="00A47C39">
      <w:pPr>
        <w:spacing w:after="0" w:line="360" w:lineRule="auto"/>
        <w:rPr>
          <w:rFonts w:eastAsia="Calibri" w:cs="Tahoma"/>
          <w:bCs/>
          <w:color w:val="0D0D0D" w:themeColor="text1" w:themeTint="F2"/>
          <w:lang w:val="es-ES" w:eastAsia="es-ES_tradnl"/>
        </w:rPr>
      </w:pPr>
      <w:r w:rsidRPr="00445CEF">
        <w:rPr>
          <w:rFonts w:eastAsia="Calibri" w:cs="Tahoma"/>
          <w:bCs/>
          <w:color w:val="0D0D0D" w:themeColor="text1" w:themeTint="F2"/>
          <w:lang w:val="es-ES" w:eastAsia="es-ES_tradnl"/>
        </w:rPr>
        <w:t xml:space="preserve">Además, es importante señalar que el Recurso de Revisión no fue diseñado para impugnar cuestiones que no fueron objeto de la solicitud de información presentada inicialmente, pues de lo contrario tendría que analizarse dicho recurso a la luz de argumentos que no fueron del conocimiento del Sujeto Obligado y, en consecuencia, no fueron comprendidos en la respuesta que se impugna. </w:t>
      </w:r>
    </w:p>
    <w:p w14:paraId="03CB1F58" w14:textId="77777777" w:rsidR="00E42399" w:rsidRPr="00445CEF" w:rsidRDefault="00E42399" w:rsidP="00A47C39">
      <w:pPr>
        <w:spacing w:after="0" w:line="360" w:lineRule="auto"/>
        <w:rPr>
          <w:rFonts w:eastAsia="Calibri" w:cs="Tahoma"/>
          <w:bCs/>
          <w:color w:val="0D0D0D" w:themeColor="text1" w:themeTint="F2"/>
          <w:lang w:val="es-ES" w:eastAsia="es-ES_tradnl"/>
        </w:rPr>
      </w:pPr>
    </w:p>
    <w:p w14:paraId="227E31E9" w14:textId="0E06BC4A" w:rsidR="00E42399" w:rsidRPr="00445CEF" w:rsidRDefault="00E42399" w:rsidP="00A47C39">
      <w:pPr>
        <w:spacing w:after="0" w:line="360" w:lineRule="auto"/>
        <w:rPr>
          <w:rFonts w:eastAsia="Calibri" w:cs="Arial"/>
          <w:color w:val="0D0D0D" w:themeColor="text1" w:themeTint="F2"/>
          <w:lang w:val="es-ES"/>
        </w:rPr>
      </w:pPr>
      <w:r w:rsidRPr="00445CEF">
        <w:rPr>
          <w:rFonts w:eastAsia="Times New Roman" w:cs="Tahoma"/>
          <w:color w:val="0D0D0D" w:themeColor="text1" w:themeTint="F2"/>
          <w:lang w:val="es-ES" w:eastAsia="es-ES"/>
        </w:rPr>
        <w:t xml:space="preserve">Por lo tanto, dado que en el Medio de Impugnación, la parte Recurrente al plantear su inconformidad, </w:t>
      </w:r>
      <w:r w:rsidRPr="00445CEF">
        <w:rPr>
          <w:rFonts w:eastAsia="Times New Roman" w:cs="Tahoma"/>
          <w:color w:val="0D0D0D" w:themeColor="text1" w:themeTint="F2"/>
          <w:lang w:eastAsia="es-ES"/>
        </w:rPr>
        <w:t xml:space="preserve">amplió parte de su solicitud, al requerir información diversa a la peticionada inicialmente, </w:t>
      </w:r>
      <w:r w:rsidRPr="00445CEF">
        <w:rPr>
          <w:rFonts w:eastAsia="Times New Roman" w:cs="Tahoma"/>
          <w:color w:val="0D0D0D" w:themeColor="text1" w:themeTint="F2"/>
          <w:lang w:val="es-ES" w:eastAsia="es-ES"/>
        </w:rPr>
        <w:t xml:space="preserve">el Recurso de Revisión </w:t>
      </w:r>
      <w:r w:rsidRPr="00445CEF">
        <w:rPr>
          <w:rFonts w:eastAsia="Times New Roman" w:cs="Tahoma"/>
          <w:b/>
          <w:color w:val="0D0D0D" w:themeColor="text1" w:themeTint="F2"/>
          <w:lang w:val="es-ES" w:eastAsia="es-ES"/>
        </w:rPr>
        <w:t xml:space="preserve">actualiza la causal de desechamiento establecida en el artículo 191, fracción VII, de la Ley de Transparencia y Acceso a la Información Pública del Estado de México y Municipios, únicamente por lo que, hace a los nuevos requerimientos; </w:t>
      </w:r>
      <w:r w:rsidRPr="00445CEF">
        <w:rPr>
          <w:rFonts w:eastAsia="Times New Roman" w:cs="Tahoma"/>
          <w:color w:val="0D0D0D" w:themeColor="text1" w:themeTint="F2"/>
          <w:lang w:val="es-ES" w:eastAsia="es-ES"/>
        </w:rPr>
        <w:t xml:space="preserve"> no obstante toda vez que, fue necesario admitir el Recurso, en virtud de que </w:t>
      </w:r>
      <w:r w:rsidRPr="00445CEF">
        <w:rPr>
          <w:rFonts w:eastAsia="Calibri" w:cs="Tahoma"/>
          <w:bCs/>
          <w:iCs/>
        </w:rPr>
        <w:t>la persona</w:t>
      </w:r>
      <w:r w:rsidRPr="00445CEF">
        <w:rPr>
          <w:rFonts w:eastAsia="Times New Roman" w:cs="Tahoma"/>
          <w:color w:val="0D0D0D" w:themeColor="text1" w:themeTint="F2"/>
          <w:lang w:val="es-ES" w:eastAsia="es-ES"/>
        </w:rPr>
        <w:t xml:space="preserve"> Recurrente se inconformó de la declaración de inexistencia de la información, lo procedente es </w:t>
      </w:r>
      <w:r w:rsidRPr="00445CEF">
        <w:rPr>
          <w:rFonts w:eastAsia="Calibri" w:cs="Arial"/>
          <w:b/>
          <w:color w:val="0D0D0D" w:themeColor="text1" w:themeTint="F2"/>
          <w:lang w:val="es-ES"/>
        </w:rPr>
        <w:t xml:space="preserve">SOBRESEER PARCIALMENTE </w:t>
      </w:r>
      <w:r w:rsidRPr="00445CEF">
        <w:rPr>
          <w:rFonts w:eastAsia="Calibri" w:cs="Arial"/>
          <w:color w:val="0D0D0D" w:themeColor="text1" w:themeTint="F2"/>
          <w:lang w:val="es-ES"/>
        </w:rPr>
        <w:t>el Recurso de Revisión</w:t>
      </w:r>
      <w:r w:rsidR="0051736C" w:rsidRPr="00445CEF">
        <w:rPr>
          <w:rFonts w:ascii="Verdana" w:hAnsi="Verdana"/>
          <w:color w:val="000000"/>
          <w:sz w:val="15"/>
          <w:szCs w:val="15"/>
        </w:rPr>
        <w:t xml:space="preserve"> </w:t>
      </w:r>
      <w:r w:rsidR="0051736C" w:rsidRPr="00445CEF">
        <w:rPr>
          <w:rFonts w:eastAsia="Times New Roman" w:cs="Tahoma"/>
          <w:color w:val="0D0D0D" w:themeColor="text1" w:themeTint="F2"/>
          <w:lang w:val="es-ES" w:eastAsia="es-ES"/>
        </w:rPr>
        <w:t xml:space="preserve">06011/INFOEM/IP/RR/2024 y se </w:t>
      </w:r>
      <w:r w:rsidR="0051736C" w:rsidRPr="00445CEF">
        <w:rPr>
          <w:rFonts w:eastAsia="Times New Roman" w:cs="Tahoma"/>
          <w:b/>
          <w:color w:val="0D0D0D" w:themeColor="text1" w:themeTint="F2"/>
          <w:lang w:val="es-ES" w:eastAsia="es-ES"/>
        </w:rPr>
        <w:t xml:space="preserve">SOBRESEE EN SU TOTALIDAD </w:t>
      </w:r>
      <w:r w:rsidR="0051736C" w:rsidRPr="00445CEF">
        <w:rPr>
          <w:rFonts w:eastAsia="Times New Roman" w:cs="Tahoma"/>
          <w:color w:val="0D0D0D" w:themeColor="text1" w:themeTint="F2"/>
          <w:lang w:val="es-ES" w:eastAsia="es-ES"/>
        </w:rPr>
        <w:t xml:space="preserve">el </w:t>
      </w:r>
      <w:r w:rsidR="0051736C" w:rsidRPr="00445CEF">
        <w:rPr>
          <w:rFonts w:eastAsia="Calibri" w:cs="Arial"/>
          <w:color w:val="0D0D0D" w:themeColor="text1" w:themeTint="F2"/>
          <w:lang w:val="es-ES"/>
        </w:rPr>
        <w:t>Recurso de Revisión</w:t>
      </w:r>
      <w:r w:rsidR="0051736C" w:rsidRPr="00445CEF">
        <w:rPr>
          <w:rFonts w:ascii="Verdana" w:hAnsi="Verdana"/>
          <w:color w:val="000000"/>
          <w:sz w:val="15"/>
          <w:szCs w:val="15"/>
        </w:rPr>
        <w:t xml:space="preserve"> </w:t>
      </w:r>
      <w:r w:rsidR="0051736C" w:rsidRPr="00445CEF">
        <w:rPr>
          <w:rFonts w:eastAsia="Times New Roman" w:cs="Tahoma"/>
          <w:color w:val="0D0D0D" w:themeColor="text1" w:themeTint="F2"/>
          <w:lang w:val="es-ES" w:eastAsia="es-ES"/>
        </w:rPr>
        <w:t>06012/INFOEM/IP/RR/2024</w:t>
      </w:r>
      <w:r w:rsidRPr="00445CEF">
        <w:rPr>
          <w:rFonts w:eastAsia="Calibri" w:cs="Arial"/>
          <w:color w:val="0D0D0D" w:themeColor="text1" w:themeTint="F2"/>
          <w:lang w:val="es-ES"/>
        </w:rPr>
        <w:t>, al actualizarse el supuesto previsto en el artículo 192, fracción IV, en relación con el diverso 186, fracción I, de ese ordenamiento legal.</w:t>
      </w:r>
    </w:p>
    <w:p w14:paraId="5E4D814C" w14:textId="77777777" w:rsidR="00E42399" w:rsidRPr="00445CEF" w:rsidRDefault="00E42399" w:rsidP="00A47C39">
      <w:pPr>
        <w:spacing w:after="0" w:line="360" w:lineRule="auto"/>
        <w:rPr>
          <w:rFonts w:eastAsia="Calibri" w:cs="Arial"/>
          <w:color w:val="0D0D0D" w:themeColor="text1" w:themeTint="F2"/>
          <w:lang w:val="es-ES"/>
        </w:rPr>
      </w:pPr>
    </w:p>
    <w:p w14:paraId="5E662FA7" w14:textId="77777777" w:rsidR="00E42399" w:rsidRPr="00445CEF" w:rsidRDefault="00E42399" w:rsidP="00A47C39">
      <w:pPr>
        <w:spacing w:after="0" w:line="360" w:lineRule="auto"/>
        <w:rPr>
          <w:rFonts w:eastAsia="Times New Roman" w:cs="Tahoma"/>
          <w:color w:val="0D0D0D" w:themeColor="text1" w:themeTint="F2"/>
          <w:lang w:eastAsia="es-ES"/>
        </w:rPr>
      </w:pPr>
      <w:r w:rsidRPr="00445CEF">
        <w:rPr>
          <w:rFonts w:eastAsia="Times New Roman" w:cs="Tahoma"/>
          <w:color w:val="0D0D0D" w:themeColor="text1" w:themeTint="F2"/>
          <w:lang w:eastAsia="es-ES"/>
        </w:rPr>
        <w:t>En ese orden de ideas, toda vez que no ha quedado por completo sin materia el Recurso de Revisión, se considera procedente entrar al fondo del presente asunto, al no quedar sin materia.</w:t>
      </w:r>
    </w:p>
    <w:p w14:paraId="51FFF3D0" w14:textId="77777777" w:rsidR="00DB3DC5" w:rsidRPr="00445CEF" w:rsidRDefault="00DB3DC5" w:rsidP="00A47C39">
      <w:pPr>
        <w:spacing w:after="0" w:line="360" w:lineRule="auto"/>
        <w:contextualSpacing/>
        <w:rPr>
          <w:rFonts w:eastAsia="Times New Roman" w:cs="Tahoma"/>
          <w:b/>
          <w:bCs/>
          <w:iCs/>
          <w:color w:val="auto"/>
          <w:lang w:val="es-ES" w:eastAsia="es-ES"/>
        </w:rPr>
      </w:pPr>
    </w:p>
    <w:p w14:paraId="29A4CC8A" w14:textId="6B0DC70A" w:rsidR="00DB3DC5" w:rsidRPr="00445CEF" w:rsidRDefault="00DB3DC5" w:rsidP="00A47C39">
      <w:pPr>
        <w:spacing w:after="0" w:line="360" w:lineRule="auto"/>
        <w:contextualSpacing/>
        <w:rPr>
          <w:rFonts w:eastAsia="Times New Roman" w:cs="Tahoma"/>
          <w:b/>
          <w:bCs/>
          <w:iCs/>
          <w:color w:val="auto"/>
          <w:lang w:val="es-ES" w:eastAsia="es-ES"/>
        </w:rPr>
      </w:pPr>
      <w:r w:rsidRPr="00445CEF">
        <w:rPr>
          <w:rFonts w:eastAsia="Times New Roman" w:cs="Tahoma"/>
          <w:b/>
          <w:bCs/>
          <w:iCs/>
          <w:color w:val="auto"/>
          <w:lang w:val="es-ES" w:eastAsia="es-ES"/>
        </w:rPr>
        <w:lastRenderedPageBreak/>
        <w:t xml:space="preserve">TERCERO. Determinación de la Controversia </w:t>
      </w:r>
    </w:p>
    <w:p w14:paraId="477D7748" w14:textId="77777777" w:rsidR="0041156D" w:rsidRPr="00445CEF" w:rsidRDefault="0041156D" w:rsidP="00A47C39">
      <w:pPr>
        <w:spacing w:after="0" w:line="360" w:lineRule="auto"/>
        <w:contextualSpacing/>
        <w:rPr>
          <w:rFonts w:eastAsia="Times New Roman" w:cs="Tahoma"/>
          <w:b/>
          <w:bCs/>
          <w:iCs/>
          <w:color w:val="FF0000"/>
          <w:lang w:val="es-ES" w:eastAsia="es-ES"/>
        </w:rPr>
      </w:pPr>
    </w:p>
    <w:p w14:paraId="144B7668" w14:textId="3DABB352" w:rsidR="005547CE" w:rsidRPr="00445CEF" w:rsidRDefault="003F63DA" w:rsidP="00A47C39">
      <w:pPr>
        <w:tabs>
          <w:tab w:val="left" w:pos="4962"/>
        </w:tabs>
        <w:spacing w:after="0" w:line="360" w:lineRule="auto"/>
        <w:contextualSpacing/>
        <w:rPr>
          <w:rFonts w:cs="Tahoma"/>
          <w:color w:val="auto"/>
        </w:rPr>
      </w:pPr>
      <w:r w:rsidRPr="00445CEF">
        <w:rPr>
          <w:rFonts w:eastAsia="Calibri" w:cs="Tahoma"/>
          <w:iCs/>
          <w:color w:val="auto"/>
          <w:lang w:eastAsia="es-ES_tradnl"/>
        </w:rPr>
        <w:t xml:space="preserve">Con el objeto de ilustrar la controversia planteada, </w:t>
      </w:r>
      <w:r w:rsidRPr="00445CEF">
        <w:rPr>
          <w:rFonts w:cs="Tahoma"/>
          <w:color w:val="auto"/>
          <w:lang w:val="es-ES"/>
        </w:rPr>
        <w:t xml:space="preserve">resulta necesario </w:t>
      </w:r>
      <w:r w:rsidR="00A863A4" w:rsidRPr="00445CEF">
        <w:rPr>
          <w:rFonts w:cs="Tahoma"/>
          <w:color w:val="auto"/>
          <w:lang w:val="es-ES"/>
        </w:rPr>
        <w:t xml:space="preserve">precisar que el Solicitante, por medio de </w:t>
      </w:r>
      <w:r w:rsidR="00FE20BE" w:rsidRPr="00445CEF">
        <w:rPr>
          <w:rFonts w:cs="Tahoma"/>
          <w:color w:val="auto"/>
          <w:lang w:val="es-ES"/>
        </w:rPr>
        <w:t xml:space="preserve">dos </w:t>
      </w:r>
      <w:r w:rsidR="00A863A4" w:rsidRPr="00445CEF">
        <w:rPr>
          <w:rFonts w:cs="Tahoma"/>
          <w:color w:val="auto"/>
          <w:lang w:val="es-ES"/>
        </w:rPr>
        <w:t>solicitudes de información</w:t>
      </w:r>
      <w:r w:rsidR="00A863A4" w:rsidRPr="00445CEF">
        <w:rPr>
          <w:rFonts w:cs="Tahoma"/>
          <w:color w:val="auto"/>
          <w:lang w:val="x-none"/>
        </w:rPr>
        <w:t xml:space="preserve">, requirió </w:t>
      </w:r>
      <w:r w:rsidR="0049535A" w:rsidRPr="00445CEF">
        <w:rPr>
          <w:rFonts w:cs="Tahoma"/>
          <w:color w:val="auto"/>
        </w:rPr>
        <w:t>lo siguiente:</w:t>
      </w:r>
    </w:p>
    <w:p w14:paraId="2D40D14D" w14:textId="77777777" w:rsidR="00EF41B6" w:rsidRPr="00445CEF" w:rsidRDefault="00EF41B6" w:rsidP="00A47C39">
      <w:pPr>
        <w:tabs>
          <w:tab w:val="left" w:pos="4962"/>
        </w:tabs>
        <w:spacing w:after="0" w:line="360" w:lineRule="auto"/>
        <w:contextualSpacing/>
        <w:rPr>
          <w:rFonts w:cs="Tahoma"/>
          <w:color w:val="auto"/>
        </w:rPr>
      </w:pPr>
    </w:p>
    <w:p w14:paraId="4A8F03B9" w14:textId="443A25DF" w:rsidR="00EF41B6" w:rsidRPr="00445CEF" w:rsidRDefault="00EF41B6" w:rsidP="00A47C39">
      <w:pPr>
        <w:pStyle w:val="Prrafodelista"/>
        <w:numPr>
          <w:ilvl w:val="0"/>
          <w:numId w:val="24"/>
        </w:numPr>
        <w:tabs>
          <w:tab w:val="left" w:pos="4962"/>
        </w:tabs>
        <w:spacing w:after="0" w:line="360" w:lineRule="auto"/>
        <w:rPr>
          <w:rFonts w:cs="Tahoma"/>
          <w:color w:val="auto"/>
        </w:rPr>
      </w:pPr>
      <w:r w:rsidRPr="00445CEF">
        <w:rPr>
          <w:rFonts w:cs="Tahoma"/>
          <w:color w:val="auto"/>
        </w:rPr>
        <w:t>De las servidoras públicas Victoria Romero Cruz y Viridiana Figueroa Romero, lo siguiente:</w:t>
      </w:r>
    </w:p>
    <w:p w14:paraId="74932C47" w14:textId="6EBBF311" w:rsidR="00EF41B6" w:rsidRPr="00445CEF" w:rsidRDefault="00EF41B6" w:rsidP="00AF189E">
      <w:pPr>
        <w:pStyle w:val="Prrafodelista"/>
        <w:numPr>
          <w:ilvl w:val="0"/>
          <w:numId w:val="23"/>
        </w:numPr>
        <w:tabs>
          <w:tab w:val="left" w:pos="4962"/>
        </w:tabs>
        <w:spacing w:after="0" w:line="360" w:lineRule="auto"/>
        <w:ind w:left="1276"/>
        <w:rPr>
          <w:rFonts w:cs="Tahoma"/>
          <w:color w:val="auto"/>
        </w:rPr>
      </w:pPr>
      <w:r w:rsidRPr="00445CEF">
        <w:rPr>
          <w:rFonts w:cs="Tahoma"/>
          <w:color w:val="auto"/>
        </w:rPr>
        <w:t>Nómina</w:t>
      </w:r>
    </w:p>
    <w:p w14:paraId="3F934136" w14:textId="4DEEB82F" w:rsidR="00EF41B6" w:rsidRPr="00445CEF" w:rsidRDefault="00EF41B6" w:rsidP="00AF189E">
      <w:pPr>
        <w:pStyle w:val="Prrafodelista"/>
        <w:numPr>
          <w:ilvl w:val="0"/>
          <w:numId w:val="23"/>
        </w:numPr>
        <w:tabs>
          <w:tab w:val="left" w:pos="4962"/>
        </w:tabs>
        <w:spacing w:after="0" w:line="360" w:lineRule="auto"/>
        <w:ind w:left="1276"/>
        <w:rPr>
          <w:rFonts w:cs="Tahoma"/>
          <w:color w:val="auto"/>
        </w:rPr>
      </w:pPr>
      <w:r w:rsidRPr="00445CEF">
        <w:rPr>
          <w:rFonts w:cs="Tahoma"/>
          <w:color w:val="auto"/>
        </w:rPr>
        <w:t>Movimientos de anta ante el Instituto de Seguridad Social del Estado de México y Municipios</w:t>
      </w:r>
    </w:p>
    <w:p w14:paraId="5E9CB930" w14:textId="7511FB9D" w:rsidR="00EF41B6" w:rsidRPr="00445CEF" w:rsidRDefault="00EF41B6" w:rsidP="00AF189E">
      <w:pPr>
        <w:pStyle w:val="Prrafodelista"/>
        <w:numPr>
          <w:ilvl w:val="0"/>
          <w:numId w:val="23"/>
        </w:numPr>
        <w:tabs>
          <w:tab w:val="left" w:pos="4962"/>
        </w:tabs>
        <w:spacing w:after="0" w:line="360" w:lineRule="auto"/>
        <w:ind w:left="1276"/>
        <w:rPr>
          <w:rFonts w:cs="Tahoma"/>
          <w:color w:val="auto"/>
        </w:rPr>
      </w:pPr>
      <w:r w:rsidRPr="00445CEF">
        <w:rPr>
          <w:rFonts w:cs="Tahoma"/>
          <w:color w:val="auto"/>
        </w:rPr>
        <w:t>Contrato laboral</w:t>
      </w:r>
    </w:p>
    <w:p w14:paraId="1E794CCC" w14:textId="7D4F984B" w:rsidR="00EF41B6" w:rsidRPr="00445CEF" w:rsidRDefault="00EF41B6" w:rsidP="00AF189E">
      <w:pPr>
        <w:pStyle w:val="Prrafodelista"/>
        <w:numPr>
          <w:ilvl w:val="0"/>
          <w:numId w:val="23"/>
        </w:numPr>
        <w:tabs>
          <w:tab w:val="left" w:pos="4962"/>
        </w:tabs>
        <w:spacing w:after="0" w:line="360" w:lineRule="auto"/>
        <w:ind w:left="1276"/>
        <w:rPr>
          <w:rFonts w:cs="Tahoma"/>
          <w:color w:val="auto"/>
        </w:rPr>
      </w:pPr>
      <w:r w:rsidRPr="00445CEF">
        <w:rPr>
          <w:rFonts w:cs="Tahoma"/>
          <w:color w:val="auto"/>
        </w:rPr>
        <w:t xml:space="preserve">Categoría </w:t>
      </w:r>
    </w:p>
    <w:p w14:paraId="1860692B" w14:textId="64BDD5FB" w:rsidR="00EF41B6" w:rsidRPr="00445CEF" w:rsidRDefault="00EF41B6" w:rsidP="00AF189E">
      <w:pPr>
        <w:pStyle w:val="Prrafodelista"/>
        <w:numPr>
          <w:ilvl w:val="0"/>
          <w:numId w:val="23"/>
        </w:numPr>
        <w:tabs>
          <w:tab w:val="left" w:pos="4962"/>
        </w:tabs>
        <w:spacing w:after="0" w:line="360" w:lineRule="auto"/>
        <w:ind w:left="1276"/>
        <w:rPr>
          <w:rFonts w:cs="Tahoma"/>
          <w:color w:val="auto"/>
        </w:rPr>
      </w:pPr>
      <w:r w:rsidRPr="00445CEF">
        <w:rPr>
          <w:rFonts w:cs="Tahoma"/>
          <w:color w:val="auto"/>
        </w:rPr>
        <w:t>Puesto</w:t>
      </w:r>
    </w:p>
    <w:p w14:paraId="28D51C41" w14:textId="5CD750D2" w:rsidR="00EF41B6" w:rsidRPr="00445CEF" w:rsidRDefault="00EF41B6" w:rsidP="00AF189E">
      <w:pPr>
        <w:pStyle w:val="Prrafodelista"/>
        <w:numPr>
          <w:ilvl w:val="0"/>
          <w:numId w:val="23"/>
        </w:numPr>
        <w:tabs>
          <w:tab w:val="left" w:pos="4962"/>
        </w:tabs>
        <w:spacing w:after="0" w:line="360" w:lineRule="auto"/>
        <w:ind w:left="1276"/>
        <w:rPr>
          <w:rFonts w:cs="Tahoma"/>
          <w:color w:val="auto"/>
        </w:rPr>
      </w:pPr>
      <w:r w:rsidRPr="00445CEF">
        <w:rPr>
          <w:rFonts w:cs="Tahoma"/>
          <w:color w:val="auto"/>
        </w:rPr>
        <w:t>Funciones</w:t>
      </w:r>
    </w:p>
    <w:p w14:paraId="6EFCC609" w14:textId="77777777" w:rsidR="00075A7E" w:rsidRPr="00445CEF" w:rsidRDefault="00075A7E" w:rsidP="00A47C39">
      <w:pPr>
        <w:tabs>
          <w:tab w:val="left" w:pos="4962"/>
        </w:tabs>
        <w:spacing w:after="0" w:line="360" w:lineRule="auto"/>
        <w:rPr>
          <w:rFonts w:cs="Tahoma"/>
          <w:color w:val="FF0000"/>
        </w:rPr>
      </w:pPr>
    </w:p>
    <w:p w14:paraId="673D036B" w14:textId="0569E198" w:rsidR="001C2BE1" w:rsidRPr="00445CEF" w:rsidRDefault="00A863A4" w:rsidP="00A47C39">
      <w:pPr>
        <w:widowControl w:val="0"/>
        <w:autoSpaceDE w:val="0"/>
        <w:autoSpaceDN w:val="0"/>
        <w:adjustRightInd w:val="0"/>
        <w:spacing w:after="0" w:line="360" w:lineRule="auto"/>
        <w:contextualSpacing/>
        <w:rPr>
          <w:rFonts w:cs="Tahoma"/>
          <w:color w:val="auto"/>
        </w:rPr>
      </w:pPr>
      <w:r w:rsidRPr="00445CEF">
        <w:rPr>
          <w:rFonts w:cs="Tahoma"/>
          <w:color w:val="auto"/>
          <w:lang w:val="es-ES"/>
        </w:rPr>
        <w:t xml:space="preserve">En respuesta, </w:t>
      </w:r>
      <w:r w:rsidR="00E76BCC" w:rsidRPr="00445CEF">
        <w:rPr>
          <w:rFonts w:cs="Tahoma"/>
          <w:color w:val="auto"/>
          <w:lang w:val="es-ES"/>
        </w:rPr>
        <w:t xml:space="preserve">en relación con la información requerida de las servidoras públicas </w:t>
      </w:r>
      <w:r w:rsidR="00E76BCC" w:rsidRPr="00445CEF">
        <w:rPr>
          <w:rFonts w:cs="Tahoma"/>
          <w:color w:val="auto"/>
        </w:rPr>
        <w:t xml:space="preserve">Victoria Romero Cruz y Viridiana Figueroa Romero, la </w:t>
      </w:r>
      <w:r w:rsidR="00E76BCC" w:rsidRPr="00445CEF">
        <w:rPr>
          <w:rFonts w:cs="Tahoma"/>
          <w:b/>
          <w:color w:val="auto"/>
        </w:rPr>
        <w:t>Tesorería Municipal y el Departamento de Recursos Humanos</w:t>
      </w:r>
      <w:r w:rsidR="00E76BCC" w:rsidRPr="00445CEF">
        <w:rPr>
          <w:rFonts w:cs="Tahoma"/>
          <w:color w:val="auto"/>
        </w:rPr>
        <w:t xml:space="preserve"> señalaron que después de realizar una búsqueda en sus archivos que no se encontró registro alguno de servidoras públicas del Ayuntamiento de Atlacomulco con los nombres previamente señalados. </w:t>
      </w:r>
      <w:r w:rsidRPr="00445CEF">
        <w:rPr>
          <w:rFonts w:cs="Tahoma"/>
          <w:color w:val="auto"/>
          <w:lang w:val="x-none"/>
        </w:rPr>
        <w:t xml:space="preserve">Ante tal circunstancia, el Particular se inconformó de la </w:t>
      </w:r>
      <w:r w:rsidR="00EC1B52" w:rsidRPr="00445CEF">
        <w:rPr>
          <w:rFonts w:cs="Tahoma"/>
          <w:color w:val="auto"/>
          <w:lang w:val="x-none"/>
        </w:rPr>
        <w:t xml:space="preserve">declaración de inexistencia de la información, </w:t>
      </w:r>
      <w:r w:rsidR="00DE3357" w:rsidRPr="00445CEF">
        <w:rPr>
          <w:rFonts w:cs="Tahoma"/>
          <w:color w:val="auto"/>
          <w:lang w:val="x-none"/>
        </w:rPr>
        <w:t>lo cual actualiza la</w:t>
      </w:r>
      <w:r w:rsidR="000B382E" w:rsidRPr="00445CEF">
        <w:rPr>
          <w:rFonts w:cs="Tahoma"/>
          <w:color w:val="auto"/>
        </w:rPr>
        <w:t>s</w:t>
      </w:r>
      <w:r w:rsidR="000B382E" w:rsidRPr="00445CEF">
        <w:rPr>
          <w:rFonts w:cs="Tahoma"/>
          <w:color w:val="auto"/>
          <w:lang w:val="x-none"/>
        </w:rPr>
        <w:t xml:space="preserve"> causal</w:t>
      </w:r>
      <w:r w:rsidR="000B382E" w:rsidRPr="00445CEF">
        <w:rPr>
          <w:rFonts w:cs="Tahoma"/>
          <w:color w:val="auto"/>
        </w:rPr>
        <w:t xml:space="preserve">es </w:t>
      </w:r>
      <w:r w:rsidR="00DE3357" w:rsidRPr="00445CEF">
        <w:rPr>
          <w:rFonts w:cs="Tahoma"/>
          <w:color w:val="auto"/>
          <w:lang w:val="x-none"/>
        </w:rPr>
        <w:t>de procedencia establecid</w:t>
      </w:r>
      <w:r w:rsidR="000B382E" w:rsidRPr="00445CEF">
        <w:rPr>
          <w:rFonts w:cs="Tahoma"/>
          <w:color w:val="auto"/>
          <w:lang w:val="x-none"/>
        </w:rPr>
        <w:t>a</w:t>
      </w:r>
      <w:r w:rsidR="000B382E" w:rsidRPr="00445CEF">
        <w:rPr>
          <w:rFonts w:cs="Tahoma"/>
          <w:color w:val="auto"/>
        </w:rPr>
        <w:t>s</w:t>
      </w:r>
      <w:r w:rsidR="000B382E" w:rsidRPr="00445CEF">
        <w:rPr>
          <w:rFonts w:cs="Tahoma"/>
          <w:color w:val="auto"/>
          <w:lang w:val="x-none"/>
        </w:rPr>
        <w:t xml:space="preserve"> en el artículo 179, fracci</w:t>
      </w:r>
      <w:r w:rsidR="000B382E" w:rsidRPr="00445CEF">
        <w:rPr>
          <w:rFonts w:cs="Tahoma"/>
          <w:color w:val="auto"/>
        </w:rPr>
        <w:t>ones II</w:t>
      </w:r>
      <w:r w:rsidR="00EC1B52" w:rsidRPr="00445CEF">
        <w:rPr>
          <w:rFonts w:cs="Tahoma"/>
          <w:color w:val="auto"/>
        </w:rPr>
        <w:t>I</w:t>
      </w:r>
      <w:r w:rsidR="00DE3357" w:rsidRPr="00445CEF">
        <w:rPr>
          <w:rFonts w:cs="Tahoma"/>
          <w:color w:val="auto"/>
          <w:lang w:val="x-none"/>
        </w:rPr>
        <w:t>, de la Ley de Transparencia y Acceso a la Información Pública del Estado de México y Municipios</w:t>
      </w:r>
      <w:r w:rsidRPr="00445CEF">
        <w:rPr>
          <w:rFonts w:cs="Tahoma"/>
          <w:color w:val="auto"/>
          <w:lang w:val="x-none"/>
        </w:rPr>
        <w:t xml:space="preserve">. </w:t>
      </w:r>
      <w:r w:rsidR="001C2BE1" w:rsidRPr="00445CEF">
        <w:rPr>
          <w:rFonts w:cs="Tahoma"/>
          <w:color w:val="auto"/>
          <w:lang w:val="es-ES_tradnl"/>
        </w:rPr>
        <w:t>Así las cosas, u</w:t>
      </w:r>
      <w:r w:rsidR="00822E57" w:rsidRPr="00445CEF">
        <w:rPr>
          <w:rFonts w:cs="Tahoma"/>
          <w:color w:val="auto"/>
          <w:lang w:val="es-ES_tradnl"/>
        </w:rPr>
        <w:t>na vez admitido y notificado el Recurso</w:t>
      </w:r>
      <w:r w:rsidR="001C2BE1" w:rsidRPr="00445CEF">
        <w:rPr>
          <w:rFonts w:cs="Tahoma"/>
          <w:color w:val="auto"/>
          <w:lang w:val="es-ES_tradnl"/>
        </w:rPr>
        <w:t xml:space="preserve"> de Revisión a las partes, el Sujeto Obligado remitió </w:t>
      </w:r>
      <w:r w:rsidR="00E84928" w:rsidRPr="00445CEF">
        <w:rPr>
          <w:rFonts w:cs="Tahoma"/>
          <w:color w:val="auto"/>
          <w:lang w:val="es-ES_tradnl"/>
        </w:rPr>
        <w:t>su</w:t>
      </w:r>
      <w:r w:rsidR="001C2BE1" w:rsidRPr="00445CEF">
        <w:rPr>
          <w:rFonts w:cs="Tahoma"/>
          <w:color w:val="auto"/>
          <w:lang w:val="es-ES_tradnl"/>
        </w:rPr>
        <w:t xml:space="preserve"> Informe Justificado </w:t>
      </w:r>
      <w:r w:rsidR="00822E57" w:rsidRPr="00445CEF">
        <w:rPr>
          <w:rFonts w:cs="Tahoma"/>
          <w:color w:val="auto"/>
          <w:lang w:val="es-ES_tradnl"/>
        </w:rPr>
        <w:t>por medio del cual ratifico su respuesta.</w:t>
      </w:r>
    </w:p>
    <w:p w14:paraId="2566F535" w14:textId="77777777" w:rsidR="001C2BE1" w:rsidRPr="00445CEF" w:rsidRDefault="001C2BE1" w:rsidP="00A47C39">
      <w:pPr>
        <w:tabs>
          <w:tab w:val="left" w:pos="4962"/>
        </w:tabs>
        <w:spacing w:after="0" w:line="360" w:lineRule="auto"/>
        <w:rPr>
          <w:rFonts w:cs="Tahoma"/>
          <w:color w:val="FF0000"/>
        </w:rPr>
      </w:pPr>
    </w:p>
    <w:p w14:paraId="275AC9F5" w14:textId="77777777" w:rsidR="00AF189E" w:rsidRPr="00445CEF" w:rsidRDefault="00AF189E" w:rsidP="00A47C39">
      <w:pPr>
        <w:tabs>
          <w:tab w:val="left" w:pos="4962"/>
        </w:tabs>
        <w:spacing w:after="0" w:line="360" w:lineRule="auto"/>
        <w:rPr>
          <w:rFonts w:cs="Tahoma"/>
          <w:color w:val="FF0000"/>
        </w:rPr>
      </w:pPr>
    </w:p>
    <w:p w14:paraId="51B39914" w14:textId="606CE490" w:rsidR="00577C88" w:rsidRPr="00445CEF" w:rsidRDefault="001C2BE1" w:rsidP="00A47C39">
      <w:pPr>
        <w:widowControl w:val="0"/>
        <w:autoSpaceDE w:val="0"/>
        <w:autoSpaceDN w:val="0"/>
        <w:adjustRightInd w:val="0"/>
        <w:spacing w:after="0" w:line="360" w:lineRule="auto"/>
        <w:contextualSpacing/>
        <w:rPr>
          <w:rFonts w:cs="Tahoma"/>
          <w:color w:val="auto"/>
          <w:lang w:val="es-ES_tradnl"/>
        </w:rPr>
      </w:pPr>
      <w:r w:rsidRPr="00445CEF">
        <w:rPr>
          <w:rFonts w:cs="Tahoma"/>
          <w:color w:val="auto"/>
          <w:lang w:val="es-ES_tradnl"/>
        </w:rPr>
        <w:lastRenderedPageBreak/>
        <w:t xml:space="preserve">Por otra parte, a través </w:t>
      </w:r>
      <w:r w:rsidR="00FA1671" w:rsidRPr="00445CEF">
        <w:rPr>
          <w:rFonts w:cs="Tahoma"/>
          <w:color w:val="auto"/>
          <w:lang w:val="es-ES_tradnl"/>
        </w:rPr>
        <w:t xml:space="preserve">de la Solicitud de información 00237/ATLACOM/IP/2024 </w:t>
      </w:r>
      <w:r w:rsidRPr="00445CEF">
        <w:rPr>
          <w:rFonts w:cs="Tahoma"/>
          <w:color w:val="auto"/>
          <w:lang w:val="es-ES_tradnl"/>
        </w:rPr>
        <w:t xml:space="preserve">el Particular realizó las siguientes manifestaciones: </w:t>
      </w:r>
      <w:r w:rsidRPr="00445CEF">
        <w:rPr>
          <w:i/>
          <w:color w:val="auto"/>
        </w:rPr>
        <w:t>“</w:t>
      </w:r>
      <w:r w:rsidR="00B66DAF" w:rsidRPr="00445CEF">
        <w:rPr>
          <w:i/>
          <w:color w:val="auto"/>
        </w:rPr>
        <w:t>…</w:t>
      </w:r>
      <w:r w:rsidR="00FA1671" w:rsidRPr="00445CEF">
        <w:rPr>
          <w:i/>
          <w:color w:val="auto"/>
        </w:rPr>
        <w:t xml:space="preserve">el hijo de </w:t>
      </w:r>
      <w:proofErr w:type="spellStart"/>
      <w:r w:rsidR="00FA1671" w:rsidRPr="00445CEF">
        <w:rPr>
          <w:i/>
          <w:color w:val="auto"/>
        </w:rPr>
        <w:t>efrain</w:t>
      </w:r>
      <w:proofErr w:type="spellEnd"/>
      <w:r w:rsidR="00FA1671" w:rsidRPr="00445CEF">
        <w:rPr>
          <w:i/>
          <w:color w:val="auto"/>
        </w:rPr>
        <w:t xml:space="preserve"> romero que se encuentra adscrito a tesorería,…”</w:t>
      </w:r>
      <w:r w:rsidR="00FA1671" w:rsidRPr="00445CEF">
        <w:rPr>
          <w:rFonts w:ascii="Verdana" w:hAnsi="Verdana"/>
          <w:color w:val="auto"/>
          <w:sz w:val="14"/>
          <w:szCs w:val="14"/>
        </w:rPr>
        <w:t> </w:t>
      </w:r>
      <w:r w:rsidR="00B66DAF" w:rsidRPr="00445CEF">
        <w:rPr>
          <w:rFonts w:cs="Tahoma"/>
          <w:color w:val="auto"/>
          <w:lang w:val="es-ES_tradnl"/>
        </w:rPr>
        <w:t>por su parte a través de la presentación del Recursos de Revisión 0601</w:t>
      </w:r>
      <w:r w:rsidR="00A05474" w:rsidRPr="00445CEF">
        <w:rPr>
          <w:rFonts w:cs="Tahoma"/>
          <w:color w:val="auto"/>
          <w:lang w:val="es-ES_tradnl"/>
        </w:rPr>
        <w:t>1</w:t>
      </w:r>
      <w:r w:rsidR="00B66DAF" w:rsidRPr="00445CEF">
        <w:rPr>
          <w:rFonts w:cs="Tahoma"/>
          <w:color w:val="auto"/>
          <w:lang w:val="es-ES_tradnl"/>
        </w:rPr>
        <w:t>/INFOEM/IP/RR/2024</w:t>
      </w:r>
      <w:r w:rsidR="00A05474" w:rsidRPr="00445CEF">
        <w:rPr>
          <w:rFonts w:cs="Tahoma"/>
          <w:color w:val="auto"/>
          <w:lang w:val="es-ES_tradnl"/>
        </w:rPr>
        <w:t xml:space="preserve"> </w:t>
      </w:r>
      <w:r w:rsidR="00B66DAF" w:rsidRPr="00445CEF">
        <w:rPr>
          <w:rFonts w:cs="Tahoma"/>
          <w:color w:val="auto"/>
          <w:lang w:val="es-ES_tradnl"/>
        </w:rPr>
        <w:t>el</w:t>
      </w:r>
      <w:r w:rsidR="00B66DAF" w:rsidRPr="00445CEF">
        <w:rPr>
          <w:rFonts w:ascii="Verdana" w:hAnsi="Verdana"/>
          <w:color w:val="auto"/>
          <w:sz w:val="14"/>
          <w:szCs w:val="14"/>
        </w:rPr>
        <w:t xml:space="preserve"> </w:t>
      </w:r>
      <w:r w:rsidR="00B66DAF" w:rsidRPr="00445CEF">
        <w:rPr>
          <w:rFonts w:cs="Tahoma"/>
          <w:color w:val="auto"/>
          <w:lang w:val="es-ES_tradnl"/>
        </w:rPr>
        <w:t xml:space="preserve">Particular realizó las siguientes manifestaciones: </w:t>
      </w:r>
      <w:r w:rsidR="00B66DAF" w:rsidRPr="00445CEF">
        <w:rPr>
          <w:i/>
          <w:color w:val="auto"/>
        </w:rPr>
        <w:t>“…</w:t>
      </w:r>
      <w:r w:rsidR="00B66DAF" w:rsidRPr="00445CEF">
        <w:rPr>
          <w:rFonts w:ascii="Verdana" w:hAnsi="Verdana"/>
          <w:color w:val="000000"/>
          <w:sz w:val="14"/>
          <w:szCs w:val="14"/>
        </w:rPr>
        <w:t> </w:t>
      </w:r>
      <w:r w:rsidR="00B66DAF" w:rsidRPr="00445CEF">
        <w:rPr>
          <w:i/>
          <w:color w:val="auto"/>
        </w:rPr>
        <w:t xml:space="preserve">la </w:t>
      </w:r>
      <w:proofErr w:type="spellStart"/>
      <w:r w:rsidR="00B66DAF" w:rsidRPr="00445CEF">
        <w:rPr>
          <w:i/>
          <w:color w:val="auto"/>
        </w:rPr>
        <w:t>imcompetente</w:t>
      </w:r>
      <w:proofErr w:type="spellEnd"/>
      <w:r w:rsidR="00B66DAF" w:rsidRPr="00445CEF">
        <w:rPr>
          <w:i/>
          <w:color w:val="auto"/>
        </w:rPr>
        <w:t xml:space="preserve"> de la tesorera municipal…es irrisorio que los titulares responsables de brindar dicha información como la tesorera municipal emita este tipo de respuestas vagas e imprecisas que solo muestran su incompetencia e ignorancia para el puesto que desempeña…</w:t>
      </w:r>
      <w:r w:rsidRPr="00445CEF">
        <w:rPr>
          <w:rFonts w:cs="Tahoma"/>
          <w:i/>
          <w:color w:val="auto"/>
          <w:lang w:val="es-ES_tradnl"/>
        </w:rPr>
        <w:t xml:space="preserve">; </w:t>
      </w:r>
      <w:r w:rsidRPr="00445CEF">
        <w:rPr>
          <w:color w:val="auto"/>
        </w:rPr>
        <w:t>las cuales únicamente contienen afirmaciones sobre apreciaciones subjetivas carentes de sustento, al no presentar, ni aportar elementos que apoyen la localización de la información requerida, ya que se refieren a pronunciamientos a la forma de actuar del Sujeto Obligado, mismas que no corresponden a una solicitud de acceso a la  información y por tanto, las mismas devienen de IMPROCEDENTES; por lo que deben desestimarse para todos los efectos que haya lugar.</w:t>
      </w:r>
    </w:p>
    <w:p w14:paraId="60220BE6" w14:textId="77777777" w:rsidR="006B1357" w:rsidRPr="00445CEF" w:rsidRDefault="006B1357" w:rsidP="00A47C39">
      <w:pPr>
        <w:widowControl w:val="0"/>
        <w:autoSpaceDE w:val="0"/>
        <w:autoSpaceDN w:val="0"/>
        <w:adjustRightInd w:val="0"/>
        <w:spacing w:after="0" w:line="360" w:lineRule="auto"/>
        <w:contextualSpacing/>
        <w:rPr>
          <w:color w:val="auto"/>
        </w:rPr>
      </w:pPr>
    </w:p>
    <w:p w14:paraId="3A6521F2" w14:textId="6B8B73E0" w:rsidR="00DB3DC5" w:rsidRPr="00445CEF" w:rsidRDefault="00DB3DC5" w:rsidP="00A47C39">
      <w:pPr>
        <w:tabs>
          <w:tab w:val="left" w:pos="4962"/>
        </w:tabs>
        <w:spacing w:after="0" w:line="360" w:lineRule="auto"/>
        <w:contextualSpacing/>
        <w:rPr>
          <w:rFonts w:eastAsia="Calibri" w:cs="Tahoma"/>
          <w:bCs/>
          <w:color w:val="auto"/>
          <w:szCs w:val="24"/>
        </w:rPr>
      </w:pPr>
      <w:r w:rsidRPr="00445CEF">
        <w:rPr>
          <w:rFonts w:eastAsia="Calibri" w:cs="Tahoma"/>
          <w:iCs/>
          <w:color w:val="auto"/>
          <w:lang w:val="es-ES" w:eastAsia="es-ES_tradnl"/>
        </w:rPr>
        <w:t>Lo anterior, se desprende de las documentales que obran en el expediente de referencia, materia de la presente resolución, consistente en: la solicitud de acceso a la información</w:t>
      </w:r>
      <w:r w:rsidR="001F3934" w:rsidRPr="00445CEF">
        <w:rPr>
          <w:rFonts w:eastAsia="Calibri" w:cs="Tahoma"/>
          <w:iCs/>
          <w:color w:val="auto"/>
          <w:lang w:val="es-ES" w:eastAsia="es-ES_tradnl"/>
        </w:rPr>
        <w:t>,</w:t>
      </w:r>
      <w:r w:rsidRPr="00445CEF">
        <w:rPr>
          <w:rFonts w:eastAsia="Calibri" w:cs="Tahoma"/>
          <w:iCs/>
          <w:color w:val="auto"/>
          <w:lang w:eastAsia="es-ES_tradnl"/>
        </w:rPr>
        <w:t xml:space="preserve"> el escrito recursal</w:t>
      </w:r>
      <w:r w:rsidR="001F3934" w:rsidRPr="00445CEF">
        <w:rPr>
          <w:rFonts w:eastAsia="Calibri" w:cs="Tahoma"/>
          <w:iCs/>
          <w:color w:val="auto"/>
          <w:lang w:eastAsia="es-ES_tradnl"/>
        </w:rPr>
        <w:t xml:space="preserve"> y</w:t>
      </w:r>
      <w:r w:rsidRPr="00445CEF">
        <w:rPr>
          <w:rFonts w:eastAsia="Calibri" w:cs="Tahoma"/>
          <w:iCs/>
          <w:color w:val="auto"/>
          <w:lang w:eastAsia="es-ES_tradnl"/>
        </w:rPr>
        <w:t xml:space="preserve"> el Informe Justificado; </w:t>
      </w:r>
      <w:r w:rsidRPr="00445CEF">
        <w:rPr>
          <w:rFonts w:eastAsia="Calibri" w:cs="Tahoma"/>
          <w:bCs/>
          <w:color w:val="auto"/>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445CEF" w:rsidRDefault="00DB3DC5" w:rsidP="00A47C39">
      <w:pPr>
        <w:autoSpaceDE w:val="0"/>
        <w:autoSpaceDN w:val="0"/>
        <w:adjustRightInd w:val="0"/>
        <w:spacing w:after="0" w:line="360" w:lineRule="auto"/>
        <w:contextualSpacing/>
        <w:rPr>
          <w:rFonts w:eastAsia="Times New Roman" w:cs="Tahoma"/>
          <w:b/>
          <w:bCs/>
          <w:iCs/>
          <w:color w:val="FF0000"/>
          <w:lang w:val="es-ES" w:eastAsia="es-ES"/>
        </w:rPr>
      </w:pPr>
    </w:p>
    <w:p w14:paraId="6818EF86" w14:textId="55D545B6" w:rsidR="00DB3DC5" w:rsidRPr="00445CEF" w:rsidRDefault="00DB3DC5" w:rsidP="00A47C39">
      <w:pPr>
        <w:spacing w:after="0" w:line="360" w:lineRule="auto"/>
        <w:contextualSpacing/>
        <w:rPr>
          <w:rFonts w:eastAsia="Times New Roman" w:cs="Tahoma"/>
          <w:b/>
          <w:bCs/>
          <w:iCs/>
          <w:color w:val="auto"/>
          <w:lang w:eastAsia="es-ES"/>
        </w:rPr>
      </w:pPr>
      <w:r w:rsidRPr="00445CEF">
        <w:rPr>
          <w:rFonts w:eastAsia="Times New Roman" w:cs="Tahoma"/>
          <w:b/>
          <w:bCs/>
          <w:iCs/>
          <w:color w:val="auto"/>
          <w:lang w:val="es-ES" w:eastAsia="es-ES"/>
        </w:rPr>
        <w:t xml:space="preserve">CUARTO. </w:t>
      </w:r>
      <w:r w:rsidRPr="00445CEF">
        <w:rPr>
          <w:rFonts w:eastAsia="Times New Roman" w:cs="Tahoma"/>
          <w:b/>
          <w:bCs/>
          <w:iCs/>
          <w:color w:val="auto"/>
          <w:lang w:eastAsia="es-ES"/>
        </w:rPr>
        <w:t xml:space="preserve">Marco normativo aplicable en materia de transparencia y </w:t>
      </w:r>
      <w:r w:rsidR="006B1357" w:rsidRPr="00445CEF">
        <w:rPr>
          <w:rFonts w:eastAsia="Times New Roman" w:cs="Tahoma"/>
          <w:b/>
          <w:bCs/>
          <w:iCs/>
          <w:color w:val="auto"/>
          <w:lang w:eastAsia="es-ES"/>
        </w:rPr>
        <w:t>acceso a la información pública</w:t>
      </w:r>
    </w:p>
    <w:p w14:paraId="1FA9DF31" w14:textId="77777777" w:rsidR="00DB3DC5" w:rsidRPr="00445CEF" w:rsidRDefault="00DB3DC5" w:rsidP="00A47C39">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445CEF" w:rsidRDefault="00DB3DC5" w:rsidP="00A47C39">
      <w:pPr>
        <w:spacing w:after="0" w:line="360" w:lineRule="auto"/>
        <w:contextualSpacing/>
        <w:rPr>
          <w:rFonts w:eastAsia="Times New Roman" w:cs="Tahoma"/>
          <w:bCs/>
          <w:iCs/>
          <w:color w:val="auto"/>
          <w:lang w:eastAsia="es-ES"/>
        </w:rPr>
      </w:pPr>
      <w:r w:rsidRPr="00445CEF">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445CEF" w:rsidRDefault="00DB3DC5" w:rsidP="00A47C39">
      <w:pPr>
        <w:spacing w:after="0" w:line="360" w:lineRule="auto"/>
        <w:contextualSpacing/>
        <w:rPr>
          <w:rFonts w:eastAsia="Times New Roman" w:cs="Tahoma"/>
          <w:bCs/>
          <w:iCs/>
          <w:color w:val="auto"/>
          <w:lang w:eastAsia="es-ES"/>
        </w:rPr>
      </w:pPr>
    </w:p>
    <w:p w14:paraId="6A58FB7E" w14:textId="77777777" w:rsidR="00DB3DC5" w:rsidRPr="00445CEF" w:rsidRDefault="00DB3DC5" w:rsidP="00A47C39">
      <w:pPr>
        <w:spacing w:after="0" w:line="360" w:lineRule="auto"/>
        <w:contextualSpacing/>
        <w:rPr>
          <w:rFonts w:eastAsia="Times New Roman" w:cs="Tahoma"/>
          <w:bCs/>
          <w:iCs/>
          <w:color w:val="auto"/>
          <w:lang w:eastAsia="es-ES"/>
        </w:rPr>
      </w:pPr>
      <w:r w:rsidRPr="00445CEF">
        <w:rPr>
          <w:rFonts w:eastAsia="Times New Roman" w:cs="Tahoma"/>
          <w:bCs/>
          <w:iCs/>
          <w:color w:val="auto"/>
          <w:lang w:eastAsia="es-ES"/>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445CEF" w:rsidRDefault="00DB3DC5" w:rsidP="00A47C39">
      <w:pPr>
        <w:spacing w:after="0" w:line="360" w:lineRule="auto"/>
        <w:contextualSpacing/>
        <w:rPr>
          <w:rFonts w:eastAsia="Times New Roman" w:cs="Tahoma"/>
          <w:bCs/>
          <w:iCs/>
          <w:color w:val="auto"/>
          <w:lang w:eastAsia="es-ES"/>
        </w:rPr>
      </w:pPr>
    </w:p>
    <w:p w14:paraId="23374816" w14:textId="77777777" w:rsidR="00DB3DC5" w:rsidRPr="00445CEF" w:rsidRDefault="00DB3DC5" w:rsidP="00A47C39">
      <w:pPr>
        <w:spacing w:after="0" w:line="360" w:lineRule="auto"/>
        <w:contextualSpacing/>
        <w:rPr>
          <w:rFonts w:eastAsia="Times New Roman" w:cs="Tahoma"/>
          <w:bCs/>
          <w:iCs/>
          <w:color w:val="auto"/>
          <w:lang w:eastAsia="es-ES"/>
        </w:rPr>
      </w:pPr>
      <w:r w:rsidRPr="00445CEF">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445CEF" w:rsidRDefault="00DB3DC5" w:rsidP="00A47C39">
      <w:pPr>
        <w:spacing w:after="0" w:line="360" w:lineRule="auto"/>
        <w:contextualSpacing/>
        <w:rPr>
          <w:rFonts w:eastAsia="Times New Roman" w:cs="Tahoma"/>
          <w:bCs/>
          <w:iCs/>
          <w:color w:val="auto"/>
          <w:lang w:eastAsia="es-ES"/>
        </w:rPr>
      </w:pPr>
    </w:p>
    <w:p w14:paraId="015A559C" w14:textId="77777777" w:rsidR="00DB3DC5" w:rsidRPr="00445CEF" w:rsidRDefault="00DB3DC5" w:rsidP="00A47C39">
      <w:pPr>
        <w:spacing w:after="0" w:line="360" w:lineRule="auto"/>
        <w:contextualSpacing/>
        <w:rPr>
          <w:rFonts w:eastAsia="Times New Roman" w:cs="Tahoma"/>
          <w:bCs/>
          <w:iCs/>
          <w:color w:val="auto"/>
          <w:lang w:eastAsia="es-ES"/>
        </w:rPr>
      </w:pPr>
      <w:r w:rsidRPr="00445CEF">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445CEF" w:rsidRDefault="00DB3DC5" w:rsidP="00A47C39">
      <w:pPr>
        <w:spacing w:after="0" w:line="360" w:lineRule="auto"/>
        <w:contextualSpacing/>
        <w:rPr>
          <w:rFonts w:eastAsia="Times New Roman" w:cs="Tahoma"/>
          <w:bCs/>
          <w:iCs/>
          <w:color w:val="auto"/>
          <w:lang w:eastAsia="es-ES"/>
        </w:rPr>
      </w:pPr>
    </w:p>
    <w:p w14:paraId="269C520F" w14:textId="03AF8747" w:rsidR="00DB3DC5" w:rsidRPr="00445CEF" w:rsidRDefault="00DB3DC5" w:rsidP="00A47C39">
      <w:pPr>
        <w:spacing w:after="0" w:line="360" w:lineRule="auto"/>
        <w:contextualSpacing/>
        <w:rPr>
          <w:rFonts w:eastAsia="Times New Roman" w:cs="Tahoma"/>
          <w:bCs/>
          <w:iCs/>
          <w:color w:val="auto"/>
          <w:lang w:eastAsia="es-ES"/>
        </w:rPr>
      </w:pPr>
      <w:r w:rsidRPr="00445CEF">
        <w:rPr>
          <w:rFonts w:eastAsia="Times New Roman" w:cs="Tahoma"/>
          <w:bCs/>
          <w:iCs/>
          <w:color w:val="auto"/>
          <w:lang w:eastAsia="es-ES"/>
        </w:rPr>
        <w:t>El artículo 12, que, quienes generen, recopilen, administren, manejen, procesen, archiven o conserven información pública serán responsables de la misma.</w:t>
      </w:r>
    </w:p>
    <w:p w14:paraId="536D2FE5" w14:textId="027BA35B" w:rsidR="00BB36D2" w:rsidRPr="00445CEF" w:rsidRDefault="00BB36D2" w:rsidP="00A47C39">
      <w:pPr>
        <w:spacing w:after="0" w:line="360" w:lineRule="auto"/>
        <w:contextualSpacing/>
        <w:rPr>
          <w:rFonts w:eastAsia="Times New Roman" w:cs="Tahoma"/>
          <w:bCs/>
          <w:iCs/>
          <w:color w:val="auto"/>
          <w:lang w:eastAsia="es-ES"/>
        </w:rPr>
      </w:pPr>
    </w:p>
    <w:p w14:paraId="5604CF35" w14:textId="77777777" w:rsidR="00DB3DC5" w:rsidRPr="00445CEF" w:rsidRDefault="00DB3DC5" w:rsidP="00A47C39">
      <w:pPr>
        <w:widowControl w:val="0"/>
        <w:spacing w:after="0" w:line="360" w:lineRule="auto"/>
        <w:contextualSpacing/>
        <w:rPr>
          <w:rFonts w:eastAsia="Times New Roman" w:cs="Tahoma"/>
          <w:bCs/>
          <w:iCs/>
          <w:color w:val="auto"/>
          <w:lang w:eastAsia="es-ES"/>
        </w:rPr>
      </w:pPr>
      <w:r w:rsidRPr="00445CEF">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445CEF" w:rsidRDefault="00DB3DC5" w:rsidP="00A47C39">
      <w:pPr>
        <w:spacing w:after="0" w:line="360" w:lineRule="auto"/>
        <w:contextualSpacing/>
        <w:rPr>
          <w:rFonts w:eastAsia="Times New Roman" w:cs="Tahoma"/>
          <w:bCs/>
          <w:iCs/>
          <w:color w:val="auto"/>
          <w:lang w:eastAsia="es-ES"/>
        </w:rPr>
      </w:pPr>
    </w:p>
    <w:p w14:paraId="0FF7C948" w14:textId="77777777" w:rsidR="00DB3DC5" w:rsidRPr="00445CEF" w:rsidRDefault="00DB3DC5" w:rsidP="00A47C39">
      <w:pPr>
        <w:spacing w:after="0" w:line="360" w:lineRule="auto"/>
        <w:contextualSpacing/>
        <w:rPr>
          <w:rFonts w:eastAsia="Times New Roman" w:cs="Tahoma"/>
          <w:bCs/>
          <w:iCs/>
          <w:color w:val="auto"/>
          <w:lang w:eastAsia="es-ES"/>
        </w:rPr>
      </w:pPr>
      <w:r w:rsidRPr="00445CEF">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20AAD97" w14:textId="77777777" w:rsidR="00DB3DC5" w:rsidRPr="00445CEF" w:rsidRDefault="00DB3DC5" w:rsidP="00A47C39">
      <w:pPr>
        <w:spacing w:after="0" w:line="360" w:lineRule="auto"/>
        <w:contextualSpacing/>
        <w:rPr>
          <w:rFonts w:cs="Tahoma"/>
          <w:bCs/>
          <w:iCs/>
          <w:color w:val="auto"/>
          <w:lang w:val="es-ES"/>
        </w:rPr>
      </w:pPr>
    </w:p>
    <w:p w14:paraId="3EB23114" w14:textId="1FDFA154" w:rsidR="00DB3DC5" w:rsidRPr="00445CEF" w:rsidRDefault="009978D1" w:rsidP="00A47C39">
      <w:pPr>
        <w:spacing w:after="0" w:line="360" w:lineRule="auto"/>
        <w:contextualSpacing/>
        <w:rPr>
          <w:rFonts w:eastAsia="Times New Roman" w:cs="Tahoma"/>
          <w:b/>
          <w:bCs/>
          <w:iCs/>
          <w:color w:val="auto"/>
          <w:lang w:val="es-ES" w:eastAsia="es-ES"/>
        </w:rPr>
      </w:pPr>
      <w:r w:rsidRPr="00445CEF">
        <w:rPr>
          <w:rFonts w:eastAsia="Times New Roman" w:cs="Tahoma"/>
          <w:b/>
          <w:bCs/>
          <w:iCs/>
          <w:color w:val="auto"/>
          <w:lang w:val="es-ES" w:eastAsia="es-ES"/>
        </w:rPr>
        <w:t xml:space="preserve">QUINTO. </w:t>
      </w:r>
      <w:r w:rsidR="00DB3DC5" w:rsidRPr="00445CEF">
        <w:rPr>
          <w:rFonts w:eastAsia="Times New Roman" w:cs="Tahoma"/>
          <w:b/>
          <w:bCs/>
          <w:iCs/>
          <w:color w:val="auto"/>
          <w:lang w:val="es-ES" w:eastAsia="es-ES"/>
        </w:rPr>
        <w:t>Estudio de Fondo</w:t>
      </w:r>
    </w:p>
    <w:p w14:paraId="5511A115" w14:textId="77777777" w:rsidR="00DB3DC5" w:rsidRPr="00445CEF" w:rsidRDefault="00DB3DC5" w:rsidP="00A47C39">
      <w:pPr>
        <w:spacing w:after="0" w:line="360" w:lineRule="auto"/>
        <w:contextualSpacing/>
        <w:rPr>
          <w:rFonts w:eastAsia="Times New Roman" w:cs="Tahoma"/>
          <w:b/>
          <w:bCs/>
          <w:iCs/>
          <w:color w:val="FF0000"/>
          <w:lang w:val="es-ES" w:eastAsia="es-ES"/>
        </w:rPr>
      </w:pPr>
    </w:p>
    <w:p w14:paraId="62C8FEE8" w14:textId="064956FF" w:rsidR="001F3934" w:rsidRPr="00445CEF" w:rsidRDefault="001F3934" w:rsidP="00A47C39">
      <w:pPr>
        <w:widowControl w:val="0"/>
        <w:autoSpaceDE w:val="0"/>
        <w:autoSpaceDN w:val="0"/>
        <w:adjustRightInd w:val="0"/>
        <w:spacing w:after="0" w:line="360" w:lineRule="auto"/>
        <w:contextualSpacing/>
        <w:rPr>
          <w:rFonts w:eastAsia="Times New Roman" w:cs="Times New Roman"/>
          <w:color w:val="auto"/>
          <w:lang w:eastAsia="es-ES"/>
        </w:rPr>
      </w:pPr>
      <w:r w:rsidRPr="00445CEF">
        <w:rPr>
          <w:rFonts w:eastAsia="Times New Roman" w:cs="Tahoma"/>
          <w:bCs/>
          <w:iCs/>
          <w:color w:val="auto"/>
          <w:lang w:eastAsia="es-ES"/>
        </w:rPr>
        <w:lastRenderedPageBreak/>
        <w:t xml:space="preserve">Expuestas las posturas de las partes, se procede al análisis del agravio hecho valer por el Recurrente, concerniente </w:t>
      </w:r>
      <w:r w:rsidRPr="00445CEF">
        <w:rPr>
          <w:rFonts w:eastAsia="Times New Roman" w:cs="Tahoma"/>
          <w:color w:val="auto"/>
          <w:lang w:eastAsia="es-MX"/>
        </w:rPr>
        <w:t>a l</w:t>
      </w:r>
      <w:r w:rsidR="00820107" w:rsidRPr="00445CEF">
        <w:rPr>
          <w:rFonts w:eastAsia="Times New Roman" w:cs="Tahoma"/>
          <w:color w:val="auto"/>
          <w:lang w:eastAsia="es-MX"/>
        </w:rPr>
        <w:t xml:space="preserve">a </w:t>
      </w:r>
      <w:r w:rsidR="00A05474" w:rsidRPr="00445CEF">
        <w:rPr>
          <w:rFonts w:eastAsia="Times New Roman" w:cs="Tahoma"/>
          <w:color w:val="auto"/>
          <w:lang w:eastAsia="es-MX"/>
        </w:rPr>
        <w:t xml:space="preserve">declaración de inexistencia de la información y la entrega de información incompleta, </w:t>
      </w:r>
      <w:r w:rsidRPr="00445CEF">
        <w:rPr>
          <w:rFonts w:eastAsia="Times New Roman" w:cs="Times New Roman"/>
          <w:color w:val="auto"/>
          <w:lang w:eastAsia="es-ES"/>
        </w:rPr>
        <w:t>para lo cual, en principio es necesario contextualizar la solicitud de información.</w:t>
      </w:r>
    </w:p>
    <w:p w14:paraId="26479CE5" w14:textId="77777777" w:rsidR="00A05474" w:rsidRPr="00445CEF" w:rsidRDefault="00A05474" w:rsidP="00A47C39">
      <w:pPr>
        <w:widowControl w:val="0"/>
        <w:autoSpaceDE w:val="0"/>
        <w:autoSpaceDN w:val="0"/>
        <w:adjustRightInd w:val="0"/>
        <w:spacing w:after="0" w:line="360" w:lineRule="auto"/>
        <w:contextualSpacing/>
        <w:rPr>
          <w:rFonts w:eastAsia="Times New Roman" w:cs="Times New Roman"/>
          <w:color w:val="auto"/>
          <w:lang w:eastAsia="es-ES"/>
        </w:rPr>
      </w:pPr>
    </w:p>
    <w:p w14:paraId="490E35D4" w14:textId="721AEAD3" w:rsidR="00A05474" w:rsidRPr="00445CEF" w:rsidRDefault="00A05474" w:rsidP="00A47C39">
      <w:pPr>
        <w:widowControl w:val="0"/>
        <w:autoSpaceDE w:val="0"/>
        <w:autoSpaceDN w:val="0"/>
        <w:adjustRightInd w:val="0"/>
        <w:spacing w:after="0" w:line="360" w:lineRule="auto"/>
        <w:contextualSpacing/>
        <w:rPr>
          <w:rFonts w:eastAsia="Times New Roman" w:cs="Tahoma"/>
          <w:b/>
          <w:bCs/>
          <w:color w:val="auto"/>
          <w:lang w:eastAsia="es-MX"/>
        </w:rPr>
      </w:pPr>
      <w:r w:rsidRPr="00445CEF">
        <w:rPr>
          <w:rFonts w:eastAsia="Times New Roman" w:cs="Times New Roman"/>
          <w:b/>
          <w:bCs/>
          <w:color w:val="auto"/>
          <w:lang w:eastAsia="es-ES"/>
        </w:rPr>
        <w:t>Nómina</w:t>
      </w:r>
    </w:p>
    <w:p w14:paraId="6E35DD52" w14:textId="77777777" w:rsidR="009978D1" w:rsidRPr="00445CEF" w:rsidRDefault="009978D1" w:rsidP="00A47C39">
      <w:pPr>
        <w:widowControl w:val="0"/>
        <w:autoSpaceDE w:val="0"/>
        <w:autoSpaceDN w:val="0"/>
        <w:adjustRightInd w:val="0"/>
        <w:spacing w:after="0" w:line="360" w:lineRule="auto"/>
        <w:contextualSpacing/>
        <w:rPr>
          <w:rFonts w:eastAsia="Times New Roman" w:cs="Tahoma"/>
          <w:color w:val="FF0000"/>
          <w:lang w:eastAsia="es-MX"/>
        </w:rPr>
      </w:pPr>
    </w:p>
    <w:p w14:paraId="3A2C8430" w14:textId="4563C631" w:rsidR="009978D1" w:rsidRPr="00445CEF" w:rsidRDefault="009978D1" w:rsidP="00A47C39">
      <w:pPr>
        <w:tabs>
          <w:tab w:val="left" w:pos="4962"/>
        </w:tabs>
        <w:spacing w:after="0" w:line="360" w:lineRule="auto"/>
        <w:contextualSpacing/>
        <w:rPr>
          <w:rFonts w:eastAsia="Times New Roman" w:cs="Tahoma"/>
          <w:bCs/>
          <w:iCs/>
          <w:color w:val="auto"/>
          <w:lang w:eastAsia="es-ES"/>
        </w:rPr>
      </w:pPr>
      <w:r w:rsidRPr="00445CEF">
        <w:rPr>
          <w:rFonts w:eastAsia="Times New Roman" w:cs="Tahoma"/>
          <w:bCs/>
          <w:iCs/>
          <w:color w:val="auto"/>
          <w:lang w:eastAsia="es-ES"/>
        </w:rPr>
        <w:t xml:space="preserve">Sobre el tema, el artículo 108 de la Constitución Política de los Estados Unidos Mexicanos, con relación al diverso 130 de la Constitución Política del Estado Libre y Soberano de México, establecen que se considera como </w:t>
      </w:r>
      <w:r w:rsidRPr="00445CEF">
        <w:rPr>
          <w:rFonts w:eastAsia="Times New Roman" w:cs="Tahoma"/>
          <w:b/>
          <w:iCs/>
          <w:color w:val="auto"/>
          <w:lang w:eastAsia="es-ES"/>
        </w:rPr>
        <w:t>servidor público</w:t>
      </w:r>
      <w:r w:rsidRPr="00445CEF">
        <w:rPr>
          <w:rFonts w:eastAsia="Times New Roman" w:cs="Tahoma"/>
          <w:bCs/>
          <w:iCs/>
          <w:color w:val="auto"/>
          <w:lang w:eastAsia="es-ES"/>
        </w:rPr>
        <w:t xml:space="preserve"> a toda persona que desempeñe un empleo, cargo o comisión en alguno de los poderes del Estado, organismos autónomos, en los municipios y organismos auxiliares, así como los titulares o quienes hagan sus veces en empresas de participación estatal o municipal, sociedades o asociaciones asimiladas a éstas y en los fideicomisos públicos.</w:t>
      </w:r>
    </w:p>
    <w:p w14:paraId="58D7E9EC" w14:textId="77777777" w:rsidR="009978D1" w:rsidRPr="00445CEF" w:rsidRDefault="009978D1" w:rsidP="00A47C39">
      <w:pPr>
        <w:tabs>
          <w:tab w:val="left" w:pos="4962"/>
        </w:tabs>
        <w:spacing w:after="0" w:line="360" w:lineRule="auto"/>
        <w:contextualSpacing/>
        <w:rPr>
          <w:rFonts w:eastAsia="Times New Roman" w:cs="Tahoma"/>
          <w:bCs/>
          <w:iCs/>
          <w:color w:val="auto"/>
          <w:lang w:eastAsia="es-ES"/>
        </w:rPr>
      </w:pPr>
    </w:p>
    <w:p w14:paraId="4E8AD0A8" w14:textId="77777777" w:rsidR="009978D1" w:rsidRPr="00445CEF" w:rsidRDefault="009978D1" w:rsidP="00A47C39">
      <w:pPr>
        <w:tabs>
          <w:tab w:val="left" w:pos="4962"/>
        </w:tabs>
        <w:spacing w:after="0" w:line="360" w:lineRule="auto"/>
        <w:contextualSpacing/>
        <w:rPr>
          <w:rFonts w:eastAsia="Times New Roman" w:cs="Tahoma"/>
          <w:bCs/>
          <w:iCs/>
          <w:color w:val="auto"/>
          <w:lang w:eastAsia="es-ES"/>
        </w:rPr>
      </w:pPr>
      <w:r w:rsidRPr="00445CEF">
        <w:rPr>
          <w:rFonts w:eastAsia="Times New Roman" w:cs="Tahoma"/>
          <w:bCs/>
          <w:iCs/>
          <w:color w:val="auto"/>
          <w:lang w:eastAsia="es-ES"/>
        </w:rPr>
        <w:t xml:space="preserve">En ese sentido, el artículo 4°, fracción VI, de la Ley del Trabajo de los Servidores Públicos del Estado y Municipios, precisa que son </w:t>
      </w:r>
      <w:r w:rsidRPr="00445CEF">
        <w:rPr>
          <w:rFonts w:eastAsia="Times New Roman" w:cs="Tahoma"/>
          <w:b/>
          <w:iCs/>
          <w:color w:val="auto"/>
          <w:lang w:eastAsia="es-ES"/>
        </w:rPr>
        <w:t>servidores públicos,</w:t>
      </w:r>
      <w:r w:rsidRPr="00445CEF">
        <w:rPr>
          <w:rFonts w:eastAsia="Times New Roman" w:cs="Tahoma"/>
          <w:bCs/>
          <w:iCs/>
          <w:color w:val="auto"/>
          <w:lang w:eastAsia="es-ES"/>
        </w:rPr>
        <w:t xml:space="preserve"> todas las personas físicas que preste a una institución pública un trabajo personal subordinado, mediante el pago de un sueldo.</w:t>
      </w:r>
    </w:p>
    <w:p w14:paraId="2A39709B" w14:textId="77777777" w:rsidR="009978D1" w:rsidRPr="00445CEF" w:rsidRDefault="009978D1" w:rsidP="00A47C39">
      <w:pPr>
        <w:tabs>
          <w:tab w:val="left" w:pos="4962"/>
        </w:tabs>
        <w:spacing w:after="0" w:line="360" w:lineRule="auto"/>
        <w:contextualSpacing/>
        <w:rPr>
          <w:rFonts w:eastAsia="Times New Roman" w:cs="Tahoma"/>
          <w:bCs/>
          <w:iCs/>
          <w:color w:val="auto"/>
          <w:lang w:eastAsia="es-ES"/>
        </w:rPr>
      </w:pPr>
    </w:p>
    <w:p w14:paraId="73449C9F" w14:textId="77777777" w:rsidR="009978D1" w:rsidRPr="00445CEF" w:rsidRDefault="009978D1" w:rsidP="00A47C39">
      <w:pPr>
        <w:tabs>
          <w:tab w:val="left" w:pos="4962"/>
        </w:tabs>
        <w:spacing w:after="0" w:line="360" w:lineRule="auto"/>
        <w:contextualSpacing/>
        <w:rPr>
          <w:rFonts w:eastAsia="Times New Roman" w:cs="Tahoma"/>
          <w:bCs/>
          <w:iCs/>
          <w:color w:val="auto"/>
          <w:lang w:eastAsia="es-ES"/>
        </w:rPr>
      </w:pPr>
      <w:r w:rsidRPr="00445CEF">
        <w:rPr>
          <w:rFonts w:eastAsia="Times New Roman" w:cs="Tahoma"/>
          <w:bCs/>
          <w:iCs/>
          <w:color w:val="auto"/>
          <w:lang w:eastAsia="es-ES"/>
        </w:rPr>
        <w:t>Además, es necesario traer a colación el artículo 147 de la Ley referida establece que los trabajadores al servicio del Estado recibirán una remuneración adecuada e irrenunciable por el desempeño de su empleo, cargo o comisión, que será determinada en el presupuesto de egresos que corresponda.</w:t>
      </w:r>
    </w:p>
    <w:p w14:paraId="5A4B4DCA" w14:textId="77777777" w:rsidR="009978D1" w:rsidRPr="00445CEF" w:rsidRDefault="009978D1" w:rsidP="00A47C39">
      <w:pPr>
        <w:tabs>
          <w:tab w:val="left" w:pos="4962"/>
        </w:tabs>
        <w:spacing w:after="0" w:line="360" w:lineRule="auto"/>
        <w:contextualSpacing/>
        <w:rPr>
          <w:rFonts w:eastAsia="Times New Roman" w:cs="Tahoma"/>
          <w:bCs/>
          <w:iCs/>
          <w:color w:val="FF0000"/>
          <w:lang w:eastAsia="es-ES"/>
        </w:rPr>
      </w:pPr>
    </w:p>
    <w:p w14:paraId="6E5F54F6" w14:textId="77777777" w:rsidR="009978D1" w:rsidRPr="00445CEF" w:rsidRDefault="009978D1" w:rsidP="00A47C39">
      <w:pPr>
        <w:tabs>
          <w:tab w:val="left" w:pos="4962"/>
        </w:tabs>
        <w:spacing w:after="0" w:line="360" w:lineRule="auto"/>
        <w:contextualSpacing/>
        <w:rPr>
          <w:rFonts w:eastAsia="Times New Roman" w:cs="Tahoma"/>
          <w:bCs/>
          <w:iCs/>
          <w:color w:val="auto"/>
          <w:lang w:eastAsia="es-ES"/>
        </w:rPr>
      </w:pPr>
      <w:r w:rsidRPr="00445CEF">
        <w:rPr>
          <w:rFonts w:eastAsia="Times New Roman" w:cs="Tahoma"/>
          <w:bCs/>
          <w:iCs/>
          <w:color w:val="auto"/>
          <w:lang w:eastAsia="es-ES"/>
        </w:rPr>
        <w:t xml:space="preserve">En orden de ideas, el artículo 3°, fracción XXXII, del Código Financiero del Estado de México y Municipios establece que la remuneración consiste en los pagos hechos por concepto de </w:t>
      </w:r>
      <w:r w:rsidRPr="00445CEF">
        <w:rPr>
          <w:rFonts w:eastAsia="Times New Roman" w:cs="Tahoma"/>
          <w:bCs/>
          <w:iCs/>
          <w:color w:val="auto"/>
          <w:lang w:eastAsia="es-ES"/>
        </w:rPr>
        <w:lastRenderedPageBreak/>
        <w:t>sueldo, compensaciones, gratificaciones, habitación, primas, comisiones, prestaciones, en especie y cualquier otra percepción o prestación que se entregue al servidor por su trabajo.</w:t>
      </w:r>
    </w:p>
    <w:p w14:paraId="4E81822A" w14:textId="77777777" w:rsidR="00A05474" w:rsidRPr="00445CEF" w:rsidRDefault="00A05474" w:rsidP="00A47C39">
      <w:pPr>
        <w:tabs>
          <w:tab w:val="left" w:pos="4962"/>
        </w:tabs>
        <w:spacing w:after="0" w:line="360" w:lineRule="auto"/>
        <w:contextualSpacing/>
        <w:rPr>
          <w:rFonts w:eastAsia="Times New Roman" w:cs="Tahoma"/>
          <w:bCs/>
          <w:iCs/>
          <w:color w:val="FF0000"/>
          <w:lang w:eastAsia="es-ES"/>
        </w:rPr>
      </w:pPr>
    </w:p>
    <w:p w14:paraId="04CEEBAF" w14:textId="4C17F792" w:rsidR="009978D1" w:rsidRPr="00445CEF" w:rsidRDefault="009978D1" w:rsidP="00A47C39">
      <w:pPr>
        <w:tabs>
          <w:tab w:val="left" w:pos="4962"/>
        </w:tabs>
        <w:spacing w:after="0" w:line="360" w:lineRule="auto"/>
        <w:contextualSpacing/>
        <w:rPr>
          <w:rFonts w:eastAsia="Times New Roman" w:cs="Tahoma"/>
          <w:b/>
          <w:iCs/>
          <w:color w:val="auto"/>
          <w:lang w:eastAsia="es-ES"/>
        </w:rPr>
      </w:pPr>
      <w:r w:rsidRPr="00445CEF">
        <w:rPr>
          <w:rFonts w:eastAsia="Times New Roman" w:cs="Tahoma"/>
          <w:bCs/>
          <w:iCs/>
          <w:color w:val="auto"/>
          <w:lang w:eastAsia="es-ES"/>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w:t>
      </w:r>
      <w:r w:rsidRPr="00445CEF">
        <w:rPr>
          <w:rFonts w:eastAsia="Times New Roman" w:cs="Tahoma"/>
          <w:b/>
          <w:iCs/>
          <w:color w:val="auto"/>
          <w:lang w:eastAsia="es-ES"/>
        </w:rPr>
        <w:t>las remuneraciones brutas y netas de todos los servidores públicos, que incluya todas las percepciones, entre las cuales, se encuentran los sueldos, prestaciones, gratificaciones, primas, comisiones, dietas, bonos, estímulos, ingresos, entre otros.</w:t>
      </w:r>
    </w:p>
    <w:p w14:paraId="6C8C7981" w14:textId="77777777" w:rsidR="006D4D79" w:rsidRPr="00445CEF" w:rsidRDefault="006D4D79" w:rsidP="00A47C39">
      <w:pPr>
        <w:tabs>
          <w:tab w:val="left" w:pos="4962"/>
        </w:tabs>
        <w:spacing w:after="0" w:line="360" w:lineRule="auto"/>
        <w:contextualSpacing/>
        <w:rPr>
          <w:rFonts w:eastAsia="Times New Roman" w:cs="Tahoma"/>
          <w:b/>
          <w:iCs/>
          <w:color w:val="auto"/>
          <w:lang w:eastAsia="es-ES"/>
        </w:rPr>
      </w:pPr>
    </w:p>
    <w:p w14:paraId="76F597F9" w14:textId="37B33CBA" w:rsidR="006D4D79" w:rsidRPr="00445CEF" w:rsidRDefault="006D4D79" w:rsidP="00A47C39">
      <w:pPr>
        <w:tabs>
          <w:tab w:val="left" w:pos="4962"/>
        </w:tabs>
        <w:spacing w:after="0" w:line="360" w:lineRule="auto"/>
        <w:contextualSpacing/>
        <w:rPr>
          <w:rFonts w:eastAsia="Times New Roman" w:cs="Tahoma"/>
          <w:b/>
          <w:iCs/>
          <w:color w:val="auto"/>
          <w:lang w:eastAsia="es-ES"/>
        </w:rPr>
      </w:pPr>
      <w:r w:rsidRPr="00445CEF">
        <w:t>Ahora bien, respecto al documento requerido, el Glosario localizado en la página de Transparencia Presupuestaria de la Secretaría de Hacienda y Crédito Público (</w:t>
      </w:r>
      <w:hyperlink r:id="rId10" w:history="1">
        <w:r w:rsidRPr="00445CEF">
          <w:rPr>
            <w:rStyle w:val="Hipervnculo"/>
          </w:rPr>
          <w:t>http://www.transparenciapresupuestaria.gob.mx/es/PTP/Glosario</w:t>
        </w:r>
      </w:hyperlink>
      <w:r w:rsidRPr="00445CEF">
        <w:t xml:space="preserve"> ), establece que la </w:t>
      </w:r>
      <w:r w:rsidRPr="00445CEF">
        <w:rPr>
          <w:b/>
          <w:bCs/>
        </w:rPr>
        <w:t>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63897C16" w14:textId="77777777" w:rsidR="002A5563" w:rsidRPr="00445CEF" w:rsidRDefault="002A5563" w:rsidP="00A47C39">
      <w:pPr>
        <w:widowControl w:val="0"/>
        <w:autoSpaceDE w:val="0"/>
        <w:autoSpaceDN w:val="0"/>
        <w:adjustRightInd w:val="0"/>
        <w:spacing w:after="0" w:line="360" w:lineRule="auto"/>
        <w:contextualSpacing/>
        <w:rPr>
          <w:rFonts w:eastAsia="Times New Roman" w:cs="Times New Roman"/>
          <w:b/>
          <w:bCs/>
          <w:color w:val="FF0000"/>
          <w:lang w:eastAsia="es-ES"/>
        </w:rPr>
      </w:pPr>
    </w:p>
    <w:p w14:paraId="550DF9B7" w14:textId="5D6E05E3" w:rsidR="006D4D79" w:rsidRPr="00445CEF" w:rsidRDefault="006D4D79" w:rsidP="00A47C39">
      <w:pPr>
        <w:widowControl w:val="0"/>
        <w:autoSpaceDE w:val="0"/>
        <w:autoSpaceDN w:val="0"/>
        <w:adjustRightInd w:val="0"/>
        <w:spacing w:after="0" w:line="360" w:lineRule="auto"/>
        <w:contextualSpacing/>
      </w:pPr>
      <w:r w:rsidRPr="00445CEF">
        <w:t>De la misma manera, el Glosario de términos más usuales en la Administración Pública Federal, emitido por la Secretaría de Hacienda y Crédito Público (</w:t>
      </w:r>
      <w:hyperlink r:id="rId11" w:history="1">
        <w:r w:rsidRPr="00445CEF">
          <w:rPr>
            <w:rStyle w:val="Hipervnculo"/>
          </w:rPr>
          <w:t>http://www.apartados.hacienda.gob.mx/contabilidad/documentos/informe_cuenta/1998/cuenta_publica/Glosario/n.htm</w:t>
        </w:r>
      </w:hyperlink>
      <w:r w:rsidRPr="00445CEF">
        <w:t xml:space="preserve"> ), establece que </w:t>
      </w:r>
      <w:r w:rsidRPr="00445CEF">
        <w:rPr>
          <w:b/>
          <w:bCs/>
          <w:u w:val="single"/>
        </w:rPr>
        <w:t>la nómina es un listado general</w:t>
      </w:r>
      <w:r w:rsidRPr="00445CEF">
        <w:rPr>
          <w:b/>
          <w:bCs/>
        </w:rPr>
        <w:t xml:space="preserve"> de los trabajadores de una institución, en el cual se asientan las percepciones brutas, deducciones y alcance neto de las mismas.</w:t>
      </w:r>
    </w:p>
    <w:p w14:paraId="17C12EDF" w14:textId="77777777" w:rsidR="006D4D79" w:rsidRPr="00445CEF" w:rsidRDefault="006D4D79" w:rsidP="00A47C39">
      <w:pPr>
        <w:widowControl w:val="0"/>
        <w:autoSpaceDE w:val="0"/>
        <w:autoSpaceDN w:val="0"/>
        <w:adjustRightInd w:val="0"/>
        <w:spacing w:after="0" w:line="360" w:lineRule="auto"/>
        <w:contextualSpacing/>
      </w:pPr>
    </w:p>
    <w:p w14:paraId="286B40D3" w14:textId="77777777" w:rsidR="00837719" w:rsidRPr="00445CEF" w:rsidRDefault="00837719" w:rsidP="00A47C39">
      <w:pPr>
        <w:widowControl w:val="0"/>
        <w:autoSpaceDE w:val="0"/>
        <w:autoSpaceDN w:val="0"/>
        <w:adjustRightInd w:val="0"/>
        <w:spacing w:after="0" w:line="360" w:lineRule="auto"/>
        <w:contextualSpacing/>
      </w:pPr>
      <w:r w:rsidRPr="00445CEF">
        <w:t xml:space="preserve">Conforme a lo anterior, se puede advertir que la nómina se puede referir a lo siguiente: </w:t>
      </w:r>
    </w:p>
    <w:p w14:paraId="3E530E08" w14:textId="77777777" w:rsidR="00837719" w:rsidRPr="00445CEF" w:rsidRDefault="00837719" w:rsidP="00A47C39">
      <w:pPr>
        <w:widowControl w:val="0"/>
        <w:autoSpaceDE w:val="0"/>
        <w:autoSpaceDN w:val="0"/>
        <w:adjustRightInd w:val="0"/>
        <w:spacing w:after="0" w:line="360" w:lineRule="auto"/>
        <w:contextualSpacing/>
      </w:pPr>
    </w:p>
    <w:p w14:paraId="38610202" w14:textId="37D9A97E" w:rsidR="00837719" w:rsidRPr="00445CEF" w:rsidRDefault="00837719" w:rsidP="00A47C39">
      <w:pPr>
        <w:pStyle w:val="Prrafodelista"/>
        <w:widowControl w:val="0"/>
        <w:numPr>
          <w:ilvl w:val="1"/>
          <w:numId w:val="26"/>
        </w:numPr>
        <w:autoSpaceDE w:val="0"/>
        <w:autoSpaceDN w:val="0"/>
        <w:adjustRightInd w:val="0"/>
        <w:spacing w:after="0" w:line="360" w:lineRule="auto"/>
      </w:pPr>
      <w:r w:rsidRPr="00445CEF">
        <w:t xml:space="preserve">Relación de trabajadores con las percepciones monetarias de cada uno. </w:t>
      </w:r>
    </w:p>
    <w:p w14:paraId="40240F86" w14:textId="77777777" w:rsidR="00837719" w:rsidRPr="00445CEF" w:rsidRDefault="00837719" w:rsidP="00A47C39">
      <w:pPr>
        <w:widowControl w:val="0"/>
        <w:autoSpaceDE w:val="0"/>
        <w:autoSpaceDN w:val="0"/>
        <w:adjustRightInd w:val="0"/>
        <w:spacing w:after="0" w:line="360" w:lineRule="auto"/>
        <w:contextualSpacing/>
      </w:pPr>
    </w:p>
    <w:p w14:paraId="07046F06" w14:textId="4DBBE6D7" w:rsidR="00837719" w:rsidRPr="00445CEF" w:rsidRDefault="00837719" w:rsidP="00A47C39">
      <w:pPr>
        <w:pStyle w:val="Prrafodelista"/>
        <w:widowControl w:val="0"/>
        <w:numPr>
          <w:ilvl w:val="1"/>
          <w:numId w:val="26"/>
        </w:numPr>
        <w:autoSpaceDE w:val="0"/>
        <w:autoSpaceDN w:val="0"/>
        <w:adjustRightInd w:val="0"/>
        <w:spacing w:after="0" w:line="360" w:lineRule="auto"/>
      </w:pPr>
      <w:r w:rsidRPr="00445CEF">
        <w:t>Recibo individual que contiene las prestaciones y deducciones de un trabajador.</w:t>
      </w:r>
    </w:p>
    <w:p w14:paraId="0F73E11A" w14:textId="77777777" w:rsidR="00837719" w:rsidRPr="00445CEF" w:rsidRDefault="00837719" w:rsidP="00A47C39">
      <w:pPr>
        <w:widowControl w:val="0"/>
        <w:autoSpaceDE w:val="0"/>
        <w:autoSpaceDN w:val="0"/>
        <w:adjustRightInd w:val="0"/>
        <w:spacing w:after="0" w:line="360" w:lineRule="auto"/>
        <w:contextualSpacing/>
      </w:pPr>
    </w:p>
    <w:p w14:paraId="73422307" w14:textId="394937CE" w:rsidR="00837719" w:rsidRPr="00445CEF" w:rsidRDefault="00837719" w:rsidP="00A47C39">
      <w:pPr>
        <w:pStyle w:val="Prrafodelista"/>
        <w:widowControl w:val="0"/>
        <w:numPr>
          <w:ilvl w:val="1"/>
          <w:numId w:val="26"/>
        </w:numPr>
        <w:autoSpaceDE w:val="0"/>
        <w:autoSpaceDN w:val="0"/>
        <w:adjustRightInd w:val="0"/>
        <w:spacing w:after="0" w:line="360" w:lineRule="auto"/>
      </w:pPr>
      <w:r w:rsidRPr="00445CEF">
        <w:t>Listado general de los servidores públicos de una institución o dependencia, en el cual se asientan las percepciones brutas, deducciones y alcance neto de las mismas.</w:t>
      </w:r>
    </w:p>
    <w:p w14:paraId="71B6EBD3" w14:textId="77777777" w:rsidR="00837719" w:rsidRPr="00445CEF" w:rsidRDefault="00837719" w:rsidP="00A47C39">
      <w:pPr>
        <w:widowControl w:val="0"/>
        <w:autoSpaceDE w:val="0"/>
        <w:autoSpaceDN w:val="0"/>
        <w:adjustRightInd w:val="0"/>
        <w:spacing w:after="0" w:line="360" w:lineRule="auto"/>
        <w:contextualSpacing/>
      </w:pPr>
    </w:p>
    <w:p w14:paraId="6A36F9BF" w14:textId="247387CB" w:rsidR="006D4D79" w:rsidRPr="00445CEF" w:rsidRDefault="00837719" w:rsidP="00A47C39">
      <w:pPr>
        <w:widowControl w:val="0"/>
        <w:autoSpaceDE w:val="0"/>
        <w:autoSpaceDN w:val="0"/>
        <w:adjustRightInd w:val="0"/>
        <w:spacing w:after="0" w:line="360" w:lineRule="auto"/>
        <w:contextualSpacing/>
      </w:pPr>
      <w:r w:rsidRPr="00445CEF">
        <w:t xml:space="preserve"> En ese contexto, los Lineamientos para la Integración y Entrega del Informe Trimestral Municipal, dos mil veinticuatro, emitidos por el Órgano Superior de Fiscalización del Estado de México, el cual precisa que los Ayuntamientos deben de proporcionar, para su fiscalización, diversos documentos, entre los cuales se encuentran aquellos del </w:t>
      </w:r>
      <w:r w:rsidRPr="00445CEF">
        <w:rPr>
          <w:b/>
          <w:bCs/>
        </w:rPr>
        <w:t>Módulo 4</w:t>
      </w:r>
      <w:r w:rsidRPr="00445CEF">
        <w:t xml:space="preserve">, que contienen la </w:t>
      </w:r>
      <w:r w:rsidRPr="00445CEF">
        <w:rPr>
          <w:b/>
          <w:bCs/>
        </w:rPr>
        <w:t>Conciliación de Nómina y el Comprobante Bancario de Dispersión de Nómina</w:t>
      </w:r>
      <w:r w:rsidRPr="00445CEF">
        <w:t>, el cual se conforma de del listado de servidores públicos, con todas sus percepciones y deducciones, mismo que se genera de manera quincenal.</w:t>
      </w:r>
    </w:p>
    <w:p w14:paraId="054EC0A3" w14:textId="77777777" w:rsidR="00837719" w:rsidRPr="00445CEF" w:rsidRDefault="00837719" w:rsidP="00A47C39">
      <w:pPr>
        <w:widowControl w:val="0"/>
        <w:autoSpaceDE w:val="0"/>
        <w:autoSpaceDN w:val="0"/>
        <w:adjustRightInd w:val="0"/>
        <w:spacing w:after="0" w:line="360" w:lineRule="auto"/>
        <w:contextualSpacing/>
      </w:pPr>
    </w:p>
    <w:p w14:paraId="0A96A55A" w14:textId="7183FEE7" w:rsidR="00837719" w:rsidRPr="00445CEF" w:rsidRDefault="00837719" w:rsidP="00A47C39">
      <w:pPr>
        <w:widowControl w:val="0"/>
        <w:autoSpaceDE w:val="0"/>
        <w:autoSpaceDN w:val="0"/>
        <w:adjustRightInd w:val="0"/>
        <w:spacing w:after="0" w:line="360" w:lineRule="auto"/>
        <w:contextualSpacing/>
      </w:pPr>
      <w:r w:rsidRPr="00445CEF">
        <w:t>En ese contexto, la Conciliación de Nómina tiene como fin presentar el concentrado quincenal de las cifras derivadas de todas las erogaciones realizadas por concepto de remuneraciones al trabajo, registradas en la nómina, contra las contenidas en los registros contables, por concepto de remuneraciones al trabajo de personal. Por su parte, el Comprobante Bancario, consiste en el comprobante que emite la institución bancaria por la transferencia realizada del pago de las remuneraciones de cada servidor del Ente Público por cada quincena.</w:t>
      </w:r>
    </w:p>
    <w:p w14:paraId="2EED5180" w14:textId="77777777" w:rsidR="00837719" w:rsidRPr="00445CEF" w:rsidRDefault="00837719" w:rsidP="00A47C39">
      <w:pPr>
        <w:widowControl w:val="0"/>
        <w:autoSpaceDE w:val="0"/>
        <w:autoSpaceDN w:val="0"/>
        <w:adjustRightInd w:val="0"/>
        <w:spacing w:after="0" w:line="360" w:lineRule="auto"/>
        <w:contextualSpacing/>
      </w:pPr>
    </w:p>
    <w:p w14:paraId="2EE10C63" w14:textId="2DF32AA2" w:rsidR="00837719" w:rsidRPr="00445CEF" w:rsidRDefault="006F0D77" w:rsidP="00A47C39">
      <w:pPr>
        <w:widowControl w:val="0"/>
        <w:autoSpaceDE w:val="0"/>
        <w:autoSpaceDN w:val="0"/>
        <w:adjustRightInd w:val="0"/>
        <w:spacing w:after="0" w:line="360" w:lineRule="auto"/>
        <w:contextualSpacing/>
        <w:rPr>
          <w:rFonts w:eastAsia="Times New Roman" w:cs="Times New Roman"/>
          <w:b/>
          <w:bCs/>
          <w:color w:val="auto"/>
          <w:lang w:eastAsia="es-ES"/>
        </w:rPr>
      </w:pPr>
      <w:r w:rsidRPr="00445CEF">
        <w:rPr>
          <w:rFonts w:eastAsia="Times New Roman" w:cs="Times New Roman"/>
          <w:b/>
          <w:bCs/>
          <w:color w:val="auto"/>
          <w:lang w:eastAsia="es-ES"/>
        </w:rPr>
        <w:t>Movimiento de alta</w:t>
      </w:r>
    </w:p>
    <w:p w14:paraId="67441526" w14:textId="77777777" w:rsidR="006F0D77" w:rsidRPr="00445CEF" w:rsidRDefault="006F0D77" w:rsidP="00A47C39">
      <w:pPr>
        <w:widowControl w:val="0"/>
        <w:autoSpaceDE w:val="0"/>
        <w:autoSpaceDN w:val="0"/>
        <w:adjustRightInd w:val="0"/>
        <w:spacing w:after="0" w:line="360" w:lineRule="auto"/>
        <w:contextualSpacing/>
        <w:rPr>
          <w:rFonts w:eastAsia="Times New Roman" w:cs="Times New Roman"/>
          <w:b/>
          <w:bCs/>
          <w:color w:val="FF0000"/>
          <w:lang w:eastAsia="es-ES"/>
        </w:rPr>
      </w:pPr>
    </w:p>
    <w:p w14:paraId="35AA39E8" w14:textId="5A4EFF30" w:rsidR="006F0D77" w:rsidRPr="00445CEF" w:rsidRDefault="006F0D77" w:rsidP="00A47C39">
      <w:pPr>
        <w:widowControl w:val="0"/>
        <w:autoSpaceDE w:val="0"/>
        <w:autoSpaceDN w:val="0"/>
        <w:adjustRightInd w:val="0"/>
        <w:spacing w:after="0" w:line="360" w:lineRule="auto"/>
        <w:contextualSpacing/>
        <w:rPr>
          <w:rFonts w:eastAsia="Times New Roman" w:cs="Times New Roman"/>
          <w:color w:val="auto"/>
          <w:lang w:eastAsia="es-ES"/>
        </w:rPr>
      </w:pPr>
      <w:r w:rsidRPr="00445CEF">
        <w:rPr>
          <w:rFonts w:eastAsia="Times New Roman" w:cs="Times New Roman"/>
          <w:color w:val="auto"/>
          <w:lang w:eastAsia="es-ES"/>
        </w:rPr>
        <w:lastRenderedPageBreak/>
        <w:t>Al respecto, el Manual de Normas y Procedimientos de Desarrollo y Administración de Personal, emitido por la Secretaría de Finanzas del Estado de México, que de sus procedimientos “021 Alta o Reingreso de Servidoras Públicas y Servidores Públicos Generales y de Confianza” y “031 Baja de Servidoras Públicas y Servidores Públicos Generales y de Confianza”, puntualiza:</w:t>
      </w:r>
    </w:p>
    <w:p w14:paraId="4D119BF2" w14:textId="77777777" w:rsidR="006F0D77" w:rsidRPr="00445CEF" w:rsidRDefault="006F0D77" w:rsidP="00A47C39">
      <w:pPr>
        <w:widowControl w:val="0"/>
        <w:autoSpaceDE w:val="0"/>
        <w:autoSpaceDN w:val="0"/>
        <w:adjustRightInd w:val="0"/>
        <w:spacing w:after="0" w:line="360" w:lineRule="auto"/>
        <w:contextualSpacing/>
        <w:rPr>
          <w:rFonts w:eastAsia="Times New Roman" w:cs="Times New Roman"/>
          <w:color w:val="auto"/>
          <w:lang w:eastAsia="es-ES"/>
        </w:rPr>
      </w:pPr>
    </w:p>
    <w:p w14:paraId="4C5A1695" w14:textId="77777777" w:rsidR="006F0D77" w:rsidRPr="00445CEF" w:rsidRDefault="006F0D77" w:rsidP="00A47C39">
      <w:pPr>
        <w:widowControl w:val="0"/>
        <w:numPr>
          <w:ilvl w:val="0"/>
          <w:numId w:val="27"/>
        </w:numPr>
        <w:spacing w:after="0" w:line="360" w:lineRule="auto"/>
        <w:contextualSpacing/>
        <w:rPr>
          <w:color w:val="auto"/>
          <w:kern w:val="2"/>
          <w14:ligatures w14:val="standardContextual"/>
        </w:rPr>
      </w:pPr>
      <w:r w:rsidRPr="00445CEF">
        <w:rPr>
          <w:b/>
          <w:bCs/>
          <w:color w:val="auto"/>
          <w:kern w:val="2"/>
          <w14:ligatures w14:val="standardContextual"/>
        </w:rPr>
        <w:t>Movimiento de alta:</w:t>
      </w:r>
      <w:r w:rsidRPr="00445CEF">
        <w:rPr>
          <w:color w:val="auto"/>
          <w:kern w:val="2"/>
          <w14:ligatures w14:val="standardContextual"/>
        </w:rPr>
        <w:t xml:space="preserve"> Corresponde aquel mediante el cual se registra el ingreso o reingreso de una persona al servicio público, con el propósito de emitir su pago quincenal y establecer la relación laboral entre este y la institución pública.</w:t>
      </w:r>
    </w:p>
    <w:p w14:paraId="3721217B" w14:textId="77777777" w:rsidR="006F0D77" w:rsidRPr="00445CEF" w:rsidRDefault="006F0D77" w:rsidP="00A47C39">
      <w:pPr>
        <w:widowControl w:val="0"/>
        <w:spacing w:after="0" w:line="360" w:lineRule="auto"/>
        <w:rPr>
          <w:rFonts w:eastAsia="Palatino Linotype" w:cs="Palatino Linotype"/>
          <w:color w:val="auto"/>
          <w:lang w:eastAsia="es-MX"/>
        </w:rPr>
      </w:pPr>
    </w:p>
    <w:p w14:paraId="0D0E2CE0" w14:textId="77777777" w:rsidR="006F0D77" w:rsidRPr="00445CEF" w:rsidRDefault="006F0D77" w:rsidP="00A47C39">
      <w:pPr>
        <w:widowControl w:val="0"/>
        <w:numPr>
          <w:ilvl w:val="0"/>
          <w:numId w:val="27"/>
        </w:numPr>
        <w:spacing w:after="0" w:line="360" w:lineRule="auto"/>
        <w:contextualSpacing/>
        <w:rPr>
          <w:color w:val="auto"/>
          <w:kern w:val="2"/>
          <w14:ligatures w14:val="standardContextual"/>
        </w:rPr>
      </w:pPr>
      <w:r w:rsidRPr="00445CEF">
        <w:rPr>
          <w:b/>
          <w:bCs/>
          <w:color w:val="auto"/>
          <w:kern w:val="2"/>
          <w14:ligatures w14:val="standardContextual"/>
        </w:rPr>
        <w:t>Movimiento de baja:</w:t>
      </w:r>
      <w:r w:rsidRPr="00445CEF">
        <w:rPr>
          <w:color w:val="auto"/>
          <w:kern w:val="2"/>
          <w14:ligatures w14:val="standardContextual"/>
        </w:rPr>
        <w:t xml:space="preserve"> Corresponde aquel mediante el cual se registra que una persona deja de prestar sus servicios en una institución pública y, por lo tanto, dar por concluida la relación laboral.</w:t>
      </w:r>
    </w:p>
    <w:p w14:paraId="49330181" w14:textId="77777777" w:rsidR="006F0D77" w:rsidRPr="00445CEF" w:rsidRDefault="006F0D77" w:rsidP="00A47C39">
      <w:pPr>
        <w:spacing w:after="0" w:line="360" w:lineRule="auto"/>
        <w:ind w:right="-30"/>
        <w:rPr>
          <w:rFonts w:eastAsia="Palatino Linotype" w:cs="Palatino Linotype"/>
          <w:bCs/>
          <w:color w:val="auto"/>
          <w:lang w:eastAsia="es-MX"/>
        </w:rPr>
      </w:pPr>
    </w:p>
    <w:p w14:paraId="32ADA778" w14:textId="201B0F9F" w:rsidR="006F0D77" w:rsidRPr="00445CEF" w:rsidRDefault="006F0D77" w:rsidP="00A47C39">
      <w:pPr>
        <w:spacing w:after="0" w:line="360" w:lineRule="auto"/>
        <w:ind w:right="-30"/>
        <w:rPr>
          <w:rFonts w:eastAsia="Palatino Linotype" w:cs="Palatino Linotype"/>
          <w:bCs/>
          <w:color w:val="auto"/>
          <w:lang w:eastAsia="es-MX"/>
        </w:rPr>
      </w:pPr>
      <w:r w:rsidRPr="00445CEF">
        <w:rPr>
          <w:rFonts w:eastAsia="Palatino Linotype" w:cs="Palatino Linotype"/>
          <w:bCs/>
          <w:color w:val="auto"/>
          <w:lang w:eastAsia="es-MX"/>
        </w:rPr>
        <w:t>En ese orden de ideas, el Manual de Procedimientos para la afiliación y credencialización de los derechohabientes del ISSEMYM, que establece, que el servidor público designado por la institución pública, que incluye a los Municipios (Usuario Autorizado), será el responsable de generar y entregar con oportunidad a los trabajadores, los Avisos de Movimiento (Alta y Baja), para realizar sus respectivos trámites ante el Instituto de Seguridad Social del Estado de México y Municipios.</w:t>
      </w:r>
    </w:p>
    <w:p w14:paraId="2429870E" w14:textId="77777777" w:rsidR="006F0D77" w:rsidRPr="00445CEF" w:rsidRDefault="006F0D77" w:rsidP="00A47C39">
      <w:pPr>
        <w:widowControl w:val="0"/>
        <w:autoSpaceDE w:val="0"/>
        <w:autoSpaceDN w:val="0"/>
        <w:adjustRightInd w:val="0"/>
        <w:spacing w:after="0" w:line="360" w:lineRule="auto"/>
        <w:contextualSpacing/>
        <w:rPr>
          <w:rFonts w:eastAsia="Times New Roman" w:cs="Times New Roman"/>
          <w:color w:val="FF0000"/>
          <w:lang w:eastAsia="es-ES"/>
        </w:rPr>
      </w:pPr>
    </w:p>
    <w:p w14:paraId="7820F1F1" w14:textId="359D664B" w:rsidR="00536E53" w:rsidRPr="00445CEF" w:rsidRDefault="00536E53" w:rsidP="00A47C39">
      <w:pPr>
        <w:widowControl w:val="0"/>
        <w:autoSpaceDE w:val="0"/>
        <w:autoSpaceDN w:val="0"/>
        <w:adjustRightInd w:val="0"/>
        <w:spacing w:after="0" w:line="360" w:lineRule="auto"/>
        <w:contextualSpacing/>
        <w:rPr>
          <w:b/>
          <w:bCs/>
        </w:rPr>
      </w:pPr>
      <w:r w:rsidRPr="00445CEF">
        <w:rPr>
          <w:b/>
          <w:bCs/>
        </w:rPr>
        <w:t>Documentos que acrediten la relación laboral de los servidores públicos</w:t>
      </w:r>
    </w:p>
    <w:p w14:paraId="6EB6E984" w14:textId="77777777" w:rsidR="00536E53" w:rsidRPr="00445CEF" w:rsidRDefault="00536E53" w:rsidP="00A47C39">
      <w:pPr>
        <w:widowControl w:val="0"/>
        <w:autoSpaceDE w:val="0"/>
        <w:autoSpaceDN w:val="0"/>
        <w:adjustRightInd w:val="0"/>
        <w:spacing w:after="0" w:line="360" w:lineRule="auto"/>
        <w:contextualSpacing/>
        <w:rPr>
          <w:b/>
          <w:bCs/>
        </w:rPr>
      </w:pPr>
    </w:p>
    <w:p w14:paraId="2133B5F4" w14:textId="7CC7DF3E" w:rsidR="00536E53" w:rsidRPr="00445CEF" w:rsidRDefault="00536E53" w:rsidP="00A47C39">
      <w:pPr>
        <w:widowControl w:val="0"/>
        <w:autoSpaceDE w:val="0"/>
        <w:autoSpaceDN w:val="0"/>
        <w:adjustRightInd w:val="0"/>
        <w:spacing w:after="0" w:line="360" w:lineRule="auto"/>
        <w:contextualSpacing/>
      </w:pPr>
      <w:r w:rsidRPr="00445CEF">
        <w:t xml:space="preserve">Sobre el tema, los artículos 5°, 45, 48, 49 y 50 de la Ley del Trabajo de los Servidores Públicos del Estado de México y Municipios, establece que la relación laboral, entre las instituciones públicas y sus servidores públicos, se entiende por establecida mediante nombramiento, formato único de personal o contrato, documentos que obligan al servidor público a cumplir </w:t>
      </w:r>
      <w:r w:rsidRPr="00445CEF">
        <w:lastRenderedPageBreak/>
        <w:t>con los deberes inherentes al puesto especificado en los mismos.</w:t>
      </w:r>
    </w:p>
    <w:p w14:paraId="2B4484F1" w14:textId="77777777" w:rsidR="00536E53" w:rsidRPr="00445CEF" w:rsidRDefault="00536E53" w:rsidP="00A47C39">
      <w:pPr>
        <w:widowControl w:val="0"/>
        <w:autoSpaceDE w:val="0"/>
        <w:autoSpaceDN w:val="0"/>
        <w:adjustRightInd w:val="0"/>
        <w:spacing w:after="0" w:line="360" w:lineRule="auto"/>
        <w:contextualSpacing/>
      </w:pPr>
    </w:p>
    <w:p w14:paraId="5CD41D73" w14:textId="2FBEE798" w:rsidR="00536E53" w:rsidRPr="00445CEF" w:rsidRDefault="00536E53" w:rsidP="00A47C39">
      <w:pPr>
        <w:widowControl w:val="0"/>
        <w:autoSpaceDE w:val="0"/>
        <w:autoSpaceDN w:val="0"/>
        <w:adjustRightInd w:val="0"/>
        <w:spacing w:after="0" w:line="360" w:lineRule="auto"/>
        <w:contextualSpacing/>
      </w:pPr>
      <w:r w:rsidRPr="00445CEF">
        <w:t>Lo cual se robustece, con la Guía Técnica 9 “La Administración del Personal Municipal”, emitida por el Instituto Nacional para el Federalismo y el De</w:t>
      </w:r>
      <w:r w:rsidR="00CC05C8" w:rsidRPr="00445CEF">
        <w:t xml:space="preserve">sarrollo Municipal, que precisa </w:t>
      </w:r>
      <w:r w:rsidRPr="00445CEF">
        <w:t>que la formalización de la relación laboral realiza por medio del Contrato, nombramiento o Formato Único de Movimiento de Personal.</w:t>
      </w:r>
    </w:p>
    <w:p w14:paraId="189ED21C" w14:textId="77777777" w:rsidR="00A93705" w:rsidRPr="00445CEF" w:rsidRDefault="00A93705" w:rsidP="00A47C39">
      <w:pPr>
        <w:widowControl w:val="0"/>
        <w:autoSpaceDE w:val="0"/>
        <w:autoSpaceDN w:val="0"/>
        <w:adjustRightInd w:val="0"/>
        <w:spacing w:after="0" w:line="360" w:lineRule="auto"/>
        <w:contextualSpacing/>
      </w:pPr>
    </w:p>
    <w:p w14:paraId="1FEF37BE" w14:textId="4D89D5E8" w:rsidR="00A93705" w:rsidRPr="00445CEF" w:rsidRDefault="00A93705" w:rsidP="00A47C39">
      <w:pPr>
        <w:widowControl w:val="0"/>
        <w:autoSpaceDE w:val="0"/>
        <w:autoSpaceDN w:val="0"/>
        <w:adjustRightInd w:val="0"/>
        <w:spacing w:after="0" w:line="360" w:lineRule="auto"/>
        <w:contextualSpacing/>
      </w:pPr>
      <w:r w:rsidRPr="00445CEF">
        <w:t>En ese contexto, es de señalar que los Particulares no son peritos en la materia, por lo que, no tienen la obligación de conocer de qué forma se acredita la relación laboral, entre los servidores públicos y el Ayuntamiento; por lo que, en cumplimiento al artículo 13 de la Ley de Transparencia y Acceso a la Información Pública del Estado de México y Municipios, se considera que la pretensión del ahora Recurrente, es obtener los documentos donde conste la relación laboral que existe entre las servidoras públicas señaladas en la solicitud y el Sujeto Obligado, es decir, su nombramiento, formatos único de movimiento de personal o contrato.</w:t>
      </w:r>
    </w:p>
    <w:p w14:paraId="11D2A625" w14:textId="77777777" w:rsidR="00536E53" w:rsidRPr="00445CEF" w:rsidRDefault="00536E53" w:rsidP="00A47C39">
      <w:pPr>
        <w:widowControl w:val="0"/>
        <w:autoSpaceDE w:val="0"/>
        <w:autoSpaceDN w:val="0"/>
        <w:adjustRightInd w:val="0"/>
        <w:spacing w:after="0" w:line="360" w:lineRule="auto"/>
        <w:contextualSpacing/>
      </w:pPr>
    </w:p>
    <w:p w14:paraId="21328E0F" w14:textId="081A0A42" w:rsidR="00536E53" w:rsidRPr="00445CEF" w:rsidRDefault="00536E53" w:rsidP="00A47C39">
      <w:pPr>
        <w:widowControl w:val="0"/>
        <w:autoSpaceDE w:val="0"/>
        <w:autoSpaceDN w:val="0"/>
        <w:adjustRightInd w:val="0"/>
        <w:spacing w:after="0" w:line="360" w:lineRule="auto"/>
        <w:contextualSpacing/>
        <w:rPr>
          <w:b/>
          <w:bCs/>
        </w:rPr>
      </w:pPr>
      <w:r w:rsidRPr="00445CEF">
        <w:rPr>
          <w:b/>
          <w:bCs/>
        </w:rPr>
        <w:t xml:space="preserve">Categoría y puesto de los servidores públicos </w:t>
      </w:r>
      <w:r w:rsidR="0015464D" w:rsidRPr="00445CEF">
        <w:rPr>
          <w:b/>
          <w:bCs/>
        </w:rPr>
        <w:t xml:space="preserve"> </w:t>
      </w:r>
    </w:p>
    <w:p w14:paraId="6BE4D600" w14:textId="77777777" w:rsidR="0015464D" w:rsidRPr="00445CEF" w:rsidRDefault="0015464D" w:rsidP="00A47C39">
      <w:pPr>
        <w:widowControl w:val="0"/>
        <w:autoSpaceDE w:val="0"/>
        <w:autoSpaceDN w:val="0"/>
        <w:adjustRightInd w:val="0"/>
        <w:spacing w:after="0" w:line="360" w:lineRule="auto"/>
        <w:contextualSpacing/>
      </w:pPr>
    </w:p>
    <w:p w14:paraId="4A688DD7" w14:textId="5BAF27CB" w:rsidR="00536E53" w:rsidRPr="00445CEF" w:rsidRDefault="0015464D" w:rsidP="00A47C39">
      <w:pPr>
        <w:widowControl w:val="0"/>
        <w:autoSpaceDE w:val="0"/>
        <w:autoSpaceDN w:val="0"/>
        <w:adjustRightInd w:val="0"/>
        <w:spacing w:after="0" w:line="360" w:lineRule="auto"/>
        <w:contextualSpacing/>
      </w:pPr>
      <w:r w:rsidRPr="00445CEF">
        <w:t xml:space="preserve">Al respecto, el Manual para la Planeación, Programación y Presupuesto de Egresos Municipal para el ejercicio fiscal dos mil veinticuatro, prevé el formato (PbRM-05) Tabulador de Sueldos, el cual tiene como objetivo registrar las remuneraciones que se perciben por el empleo, </w:t>
      </w:r>
      <w:r w:rsidRPr="00445CEF">
        <w:rPr>
          <w:b/>
        </w:rPr>
        <w:t xml:space="preserve">cargo </w:t>
      </w:r>
      <w:r w:rsidRPr="00445CEF">
        <w:t>o comisión de cualquier naturaleza por los servidores públicos, tales como las dietas, sueldo base, compensación, gratificaciones, otras percepciones, aguinaldo, prima vacacional, todos por</w:t>
      </w:r>
      <w:r w:rsidRPr="00445CEF">
        <w:rPr>
          <w:b/>
        </w:rPr>
        <w:t xml:space="preserve"> puesto</w:t>
      </w:r>
      <w:r w:rsidRPr="00445CEF">
        <w:t xml:space="preserve"> funcional, </w:t>
      </w:r>
      <w:r w:rsidRPr="00445CEF">
        <w:rPr>
          <w:b/>
        </w:rPr>
        <w:t>el nivel salarial.</w:t>
      </w:r>
    </w:p>
    <w:p w14:paraId="44F2B536" w14:textId="77777777" w:rsidR="0015464D" w:rsidRPr="00445CEF" w:rsidRDefault="0015464D" w:rsidP="00A47C39">
      <w:pPr>
        <w:widowControl w:val="0"/>
        <w:autoSpaceDE w:val="0"/>
        <w:autoSpaceDN w:val="0"/>
        <w:adjustRightInd w:val="0"/>
        <w:spacing w:after="0" w:line="360" w:lineRule="auto"/>
        <w:contextualSpacing/>
      </w:pPr>
    </w:p>
    <w:p w14:paraId="2E1EB228" w14:textId="2A2800B0" w:rsidR="0015464D" w:rsidRPr="00445CEF" w:rsidRDefault="0015464D" w:rsidP="00A47C39">
      <w:pPr>
        <w:widowControl w:val="0"/>
        <w:autoSpaceDE w:val="0"/>
        <w:autoSpaceDN w:val="0"/>
        <w:adjustRightInd w:val="0"/>
        <w:spacing w:after="0" w:line="360" w:lineRule="auto"/>
        <w:contextualSpacing/>
      </w:pPr>
      <w:r w:rsidRPr="00445CEF">
        <w:t xml:space="preserve">En ese orden de ideas, es necesario señalar que comúnmente el </w:t>
      </w:r>
      <w:r w:rsidRPr="00445CEF">
        <w:rPr>
          <w:b/>
        </w:rPr>
        <w:t>nivel salarial</w:t>
      </w:r>
      <w:r w:rsidRPr="00445CEF">
        <w:t>, se conforma de niveles y rangos, los cuales son dígitos alfanuméricos que se registran de manera progresiva, para determinar el sueldo que percibirá un determinado puesto.</w:t>
      </w:r>
    </w:p>
    <w:p w14:paraId="0837A29C" w14:textId="77777777" w:rsidR="00954C85" w:rsidRPr="00445CEF" w:rsidRDefault="00954C85" w:rsidP="00A47C39">
      <w:pPr>
        <w:widowControl w:val="0"/>
        <w:autoSpaceDE w:val="0"/>
        <w:autoSpaceDN w:val="0"/>
        <w:adjustRightInd w:val="0"/>
        <w:spacing w:after="0" w:line="360" w:lineRule="auto"/>
        <w:contextualSpacing/>
      </w:pPr>
    </w:p>
    <w:p w14:paraId="5965DCB0" w14:textId="7B88ED4F" w:rsidR="00954C85" w:rsidRPr="00445CEF" w:rsidRDefault="00954C85" w:rsidP="00A47C39">
      <w:pPr>
        <w:widowControl w:val="0"/>
        <w:autoSpaceDE w:val="0"/>
        <w:autoSpaceDN w:val="0"/>
        <w:adjustRightInd w:val="0"/>
        <w:spacing w:after="0" w:line="360" w:lineRule="auto"/>
        <w:contextualSpacing/>
      </w:pPr>
      <w:r w:rsidRPr="00445CEF">
        <w:t>Conforme a lo anterior, se logra vislumbrar que el dato mencionado es aquel que da cuenta de lo solicitado, pues el Particular no es perito en la materia y no conoce la forma en que el Sujeto Obligado emite la información respecto a la forma de organización de los cargos, por lo que, en el presente caso, la pretensión de la parte Recurrente, es obtener el nivel salarial de las personas señaladas en la solicitud.</w:t>
      </w:r>
    </w:p>
    <w:p w14:paraId="6AA584B1" w14:textId="77777777" w:rsidR="0015464D" w:rsidRPr="00445CEF" w:rsidRDefault="0015464D" w:rsidP="00A47C39">
      <w:pPr>
        <w:widowControl w:val="0"/>
        <w:autoSpaceDE w:val="0"/>
        <w:autoSpaceDN w:val="0"/>
        <w:adjustRightInd w:val="0"/>
        <w:spacing w:after="0" w:line="360" w:lineRule="auto"/>
        <w:contextualSpacing/>
        <w:rPr>
          <w:b/>
          <w:bCs/>
        </w:rPr>
      </w:pPr>
    </w:p>
    <w:p w14:paraId="7AF54FB2" w14:textId="497ED839" w:rsidR="00536E53" w:rsidRPr="00445CEF" w:rsidRDefault="00536E53" w:rsidP="00A47C39">
      <w:pPr>
        <w:widowControl w:val="0"/>
        <w:autoSpaceDE w:val="0"/>
        <w:autoSpaceDN w:val="0"/>
        <w:adjustRightInd w:val="0"/>
        <w:spacing w:after="0" w:line="360" w:lineRule="auto"/>
        <w:contextualSpacing/>
        <w:rPr>
          <w:b/>
          <w:bCs/>
        </w:rPr>
      </w:pPr>
      <w:r w:rsidRPr="00445CEF">
        <w:rPr>
          <w:b/>
          <w:bCs/>
        </w:rPr>
        <w:t>Funciones de los servidores públicos</w:t>
      </w:r>
    </w:p>
    <w:p w14:paraId="6136A3D2" w14:textId="77777777" w:rsidR="00954C85" w:rsidRPr="00445CEF" w:rsidRDefault="00954C85" w:rsidP="00A47C39">
      <w:pPr>
        <w:widowControl w:val="0"/>
        <w:autoSpaceDE w:val="0"/>
        <w:autoSpaceDN w:val="0"/>
        <w:adjustRightInd w:val="0"/>
        <w:spacing w:after="0" w:line="360" w:lineRule="auto"/>
        <w:contextualSpacing/>
        <w:rPr>
          <w:b/>
          <w:bCs/>
        </w:rPr>
      </w:pPr>
    </w:p>
    <w:p w14:paraId="1EE60E85" w14:textId="41CD063D" w:rsidR="00536E53" w:rsidRPr="00445CEF" w:rsidRDefault="00536E53" w:rsidP="00A47C39">
      <w:pPr>
        <w:autoSpaceDE w:val="0"/>
        <w:autoSpaceDN w:val="0"/>
        <w:adjustRightInd w:val="0"/>
        <w:spacing w:after="0" w:line="360" w:lineRule="auto"/>
        <w:rPr>
          <w:rFonts w:eastAsia="Calibri" w:cs="Tahoma"/>
          <w:bCs/>
          <w:iCs/>
          <w:color w:val="auto"/>
          <w:lang w:eastAsia="es-MX"/>
        </w:rPr>
      </w:pPr>
      <w:r w:rsidRPr="00445CEF">
        <w:rPr>
          <w:rFonts w:eastAsia="Calibri" w:cs="Tahoma"/>
          <w:bCs/>
          <w:iCs/>
          <w:color w:val="auto"/>
          <w:lang w:eastAsia="es-MX"/>
        </w:rPr>
        <w:t>Al respecto, los Lineamientos Técnicos Generales para la publicación, homologación y</w:t>
      </w:r>
      <w:r w:rsidR="00592932" w:rsidRPr="00445CEF">
        <w:rPr>
          <w:color w:val="auto"/>
        </w:rPr>
        <w:t xml:space="preserve"> </w:t>
      </w:r>
      <w:r w:rsidR="00592932" w:rsidRPr="00445CEF">
        <w:rPr>
          <w:rFonts w:eastAsia="Calibri" w:cs="Tahoma"/>
          <w:bCs/>
          <w:iCs/>
          <w:color w:val="auto"/>
          <w:lang w:eastAsia="es-MX"/>
        </w:rPr>
        <w:t>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precisan que las facultades de los servidores públicos, corresponden a las aptitudes o potestades (actividades) que deben realizar para llevar a cabo actos administrativos o legales, de los cuales surgen derechos u obligaciones.</w:t>
      </w:r>
    </w:p>
    <w:p w14:paraId="36203971" w14:textId="77777777" w:rsidR="00592932" w:rsidRPr="00445CEF" w:rsidRDefault="00592932" w:rsidP="00A47C39">
      <w:pPr>
        <w:autoSpaceDE w:val="0"/>
        <w:autoSpaceDN w:val="0"/>
        <w:adjustRightInd w:val="0"/>
        <w:spacing w:after="0" w:line="360" w:lineRule="auto"/>
        <w:rPr>
          <w:rFonts w:eastAsia="Calibri" w:cs="Tahoma"/>
          <w:bCs/>
          <w:iCs/>
          <w:color w:val="auto"/>
          <w:lang w:eastAsia="es-MX"/>
        </w:rPr>
      </w:pPr>
    </w:p>
    <w:p w14:paraId="2FB97505" w14:textId="612EEF47" w:rsidR="00592932" w:rsidRPr="00445CEF" w:rsidRDefault="00592932" w:rsidP="00A47C39">
      <w:pPr>
        <w:autoSpaceDE w:val="0"/>
        <w:autoSpaceDN w:val="0"/>
        <w:adjustRightInd w:val="0"/>
        <w:spacing w:after="0" w:line="360" w:lineRule="auto"/>
        <w:rPr>
          <w:rFonts w:eastAsia="Calibri" w:cs="Tahoma"/>
          <w:b/>
          <w:iCs/>
          <w:color w:val="auto"/>
          <w:u w:val="single"/>
          <w:lang w:eastAsia="es-MX"/>
        </w:rPr>
      </w:pPr>
      <w:r w:rsidRPr="00445CEF">
        <w:rPr>
          <w:rFonts w:eastAsia="Calibri" w:cs="Tahoma"/>
          <w:bCs/>
          <w:iCs/>
          <w:color w:val="auto"/>
          <w:lang w:eastAsia="es-MX"/>
        </w:rPr>
        <w:t xml:space="preserve">En ese orden de ideas, el artículo 70, fracción III, de la Ley General de Transparencia y Acceso a la Información Pública, con relación al 92, fracción III, de la Ley de Transparencia y Acceso a la Información Pública del Estado de México y Municipios, precisa que es una obligación común de transparencia que deben publicar todos los Sujetos Obligados, </w:t>
      </w:r>
      <w:r w:rsidRPr="00445CEF">
        <w:rPr>
          <w:rFonts w:eastAsia="Calibri" w:cs="Tahoma"/>
          <w:b/>
          <w:iCs/>
          <w:color w:val="auto"/>
          <w:u w:val="single"/>
          <w:lang w:eastAsia="es-MX"/>
        </w:rPr>
        <w:t>son las facultades de cada área.</w:t>
      </w:r>
    </w:p>
    <w:p w14:paraId="18222AF5" w14:textId="77777777" w:rsidR="00592932" w:rsidRPr="00445CEF" w:rsidRDefault="00592932" w:rsidP="00A47C39">
      <w:pPr>
        <w:autoSpaceDE w:val="0"/>
        <w:autoSpaceDN w:val="0"/>
        <w:adjustRightInd w:val="0"/>
        <w:spacing w:after="0" w:line="360" w:lineRule="auto"/>
        <w:rPr>
          <w:rFonts w:eastAsia="Calibri" w:cs="Tahoma"/>
          <w:b/>
          <w:iCs/>
          <w:color w:val="auto"/>
          <w:u w:val="single"/>
          <w:lang w:eastAsia="es-MX"/>
        </w:rPr>
      </w:pPr>
    </w:p>
    <w:p w14:paraId="573E72D7" w14:textId="40770D1E" w:rsidR="00592932" w:rsidRPr="00445CEF" w:rsidRDefault="00592932" w:rsidP="00A47C39">
      <w:pPr>
        <w:autoSpaceDE w:val="0"/>
        <w:autoSpaceDN w:val="0"/>
        <w:adjustRightInd w:val="0"/>
        <w:spacing w:after="0" w:line="360" w:lineRule="auto"/>
        <w:rPr>
          <w:rFonts w:eastAsia="Calibri" w:cs="Tahoma"/>
          <w:bCs/>
          <w:iCs/>
          <w:color w:val="auto"/>
          <w:lang w:eastAsia="es-MX"/>
        </w:rPr>
      </w:pPr>
      <w:r w:rsidRPr="00445CEF">
        <w:rPr>
          <w:rFonts w:eastAsia="Calibri" w:cs="Tahoma"/>
          <w:bCs/>
          <w:iCs/>
          <w:color w:val="auto"/>
          <w:lang w:eastAsia="es-MX"/>
        </w:rPr>
        <w:t>Conforme a lo anterior, se logra vislumbrar que las actividades que deben realizar las unidades administrativas o servidores públicos, son sus funciones o atribuciones establecidas en los ordenamientos jurídicos aplicables.</w:t>
      </w:r>
    </w:p>
    <w:p w14:paraId="6071945A" w14:textId="77777777" w:rsidR="000D2B0E" w:rsidRPr="00445CEF" w:rsidRDefault="000D2B0E" w:rsidP="00A47C39">
      <w:pPr>
        <w:autoSpaceDE w:val="0"/>
        <w:autoSpaceDN w:val="0"/>
        <w:adjustRightInd w:val="0"/>
        <w:spacing w:after="0" w:line="360" w:lineRule="auto"/>
        <w:rPr>
          <w:rFonts w:eastAsia="Calibri" w:cs="Tahoma"/>
          <w:bCs/>
          <w:iCs/>
          <w:color w:val="auto"/>
          <w:lang w:eastAsia="es-MX"/>
        </w:rPr>
      </w:pPr>
    </w:p>
    <w:p w14:paraId="6C718E8B" w14:textId="77777777" w:rsidR="006F0D77" w:rsidRPr="00445CEF" w:rsidRDefault="006F0D77" w:rsidP="00A47C39">
      <w:pPr>
        <w:widowControl w:val="0"/>
        <w:autoSpaceDE w:val="0"/>
        <w:autoSpaceDN w:val="0"/>
        <w:adjustRightInd w:val="0"/>
        <w:spacing w:after="0" w:line="360" w:lineRule="auto"/>
        <w:contextualSpacing/>
        <w:rPr>
          <w:rFonts w:eastAsia="Times New Roman" w:cs="Times New Roman"/>
          <w:color w:val="FF0000"/>
          <w:lang w:eastAsia="es-ES"/>
        </w:rPr>
      </w:pPr>
    </w:p>
    <w:p w14:paraId="05A36DB1" w14:textId="4A00ED9C" w:rsidR="006B707A" w:rsidRPr="00445CEF" w:rsidRDefault="00594FEF" w:rsidP="008948DA">
      <w:pPr>
        <w:spacing w:after="0" w:line="360" w:lineRule="auto"/>
        <w:rPr>
          <w:rFonts w:cs="Tahoma"/>
          <w:color w:val="auto"/>
          <w:u w:val="single"/>
        </w:rPr>
      </w:pPr>
      <w:r w:rsidRPr="00445CEF">
        <w:rPr>
          <w:rFonts w:eastAsia="Calibri" w:cs="Times New Roman"/>
          <w:bCs/>
          <w:color w:val="auto"/>
          <w:lang w:val="es-ES"/>
        </w:rPr>
        <w:t>Así</w:t>
      </w:r>
      <w:r w:rsidR="003C7544" w:rsidRPr="00445CEF">
        <w:rPr>
          <w:rFonts w:eastAsia="Calibri" w:cs="Times New Roman"/>
          <w:bCs/>
          <w:color w:val="auto"/>
          <w:lang w:val="es-ES"/>
        </w:rPr>
        <w:t>,</w:t>
      </w:r>
      <w:r w:rsidRPr="00445CEF">
        <w:rPr>
          <w:rFonts w:eastAsia="Calibri" w:cs="Times New Roman"/>
          <w:bCs/>
          <w:color w:val="auto"/>
          <w:lang w:val="es-ES"/>
        </w:rPr>
        <w:t xml:space="preserve"> en atención a la solicitud de información, la respuesta del Sujeto Obligado y el Recurso de Revisión, se logra vislumbrar que</w:t>
      </w:r>
      <w:r w:rsidR="003C7544" w:rsidRPr="00445CEF">
        <w:rPr>
          <w:rFonts w:eastAsia="Calibri" w:cs="Times New Roman"/>
          <w:bCs/>
          <w:color w:val="auto"/>
          <w:lang w:val="es-ES"/>
        </w:rPr>
        <w:t xml:space="preserve"> la pretensión del ahora Recurrente, es obtener</w:t>
      </w:r>
      <w:r w:rsidR="008948DA" w:rsidRPr="00445CEF">
        <w:rPr>
          <w:rFonts w:eastAsia="Calibri" w:cs="Times New Roman"/>
          <w:bCs/>
          <w:color w:val="auto"/>
          <w:lang w:val="es-ES"/>
        </w:rPr>
        <w:t xml:space="preserve"> de</w:t>
      </w:r>
      <w:r w:rsidR="006B707A" w:rsidRPr="00445CEF">
        <w:rPr>
          <w:rFonts w:cs="Tahoma"/>
          <w:color w:val="auto"/>
        </w:rPr>
        <w:t xml:space="preserve"> las servidoras públicas Victoria Romero Cruz y Viridiana Figueroa Romero, lo siguiente:</w:t>
      </w:r>
    </w:p>
    <w:p w14:paraId="21269849" w14:textId="77777777" w:rsidR="00242F79" w:rsidRPr="00445CEF" w:rsidRDefault="00242F79" w:rsidP="00A47C39">
      <w:pPr>
        <w:pStyle w:val="Prrafodelista"/>
        <w:tabs>
          <w:tab w:val="left" w:pos="4962"/>
        </w:tabs>
        <w:spacing w:after="0" w:line="360" w:lineRule="auto"/>
        <w:rPr>
          <w:rFonts w:cs="Tahoma"/>
          <w:color w:val="auto"/>
        </w:rPr>
      </w:pPr>
    </w:p>
    <w:p w14:paraId="69B3E3EF" w14:textId="05AB2D2D" w:rsidR="006B707A" w:rsidRPr="00445CEF" w:rsidRDefault="006B707A" w:rsidP="00AF189E">
      <w:pPr>
        <w:pStyle w:val="Prrafodelista"/>
        <w:numPr>
          <w:ilvl w:val="0"/>
          <w:numId w:val="28"/>
        </w:numPr>
        <w:tabs>
          <w:tab w:val="left" w:pos="4962"/>
        </w:tabs>
        <w:spacing w:after="0" w:line="360" w:lineRule="auto"/>
        <w:ind w:left="1276"/>
        <w:rPr>
          <w:rFonts w:cs="Tahoma"/>
          <w:color w:val="auto"/>
        </w:rPr>
      </w:pPr>
      <w:r w:rsidRPr="00445CEF">
        <w:rPr>
          <w:rFonts w:cs="Tahoma"/>
          <w:color w:val="auto"/>
        </w:rPr>
        <w:t xml:space="preserve">Nómina </w:t>
      </w:r>
      <w:r w:rsidR="008948DA" w:rsidRPr="00445CEF">
        <w:rPr>
          <w:rFonts w:cs="Tahoma"/>
          <w:color w:val="auto"/>
        </w:rPr>
        <w:t>pagada en la segunda quincena de julio y primera de agosto (últimas dos quincenas pagadas a la fecha de la solicitud)</w:t>
      </w:r>
    </w:p>
    <w:p w14:paraId="353C305A" w14:textId="77777777" w:rsidR="006B707A" w:rsidRPr="00445CEF" w:rsidRDefault="006B707A" w:rsidP="00AF189E">
      <w:pPr>
        <w:pStyle w:val="Prrafodelista"/>
        <w:numPr>
          <w:ilvl w:val="0"/>
          <w:numId w:val="28"/>
        </w:numPr>
        <w:tabs>
          <w:tab w:val="left" w:pos="4962"/>
        </w:tabs>
        <w:spacing w:after="0" w:line="360" w:lineRule="auto"/>
        <w:ind w:left="1276"/>
        <w:rPr>
          <w:rFonts w:cs="Tahoma"/>
          <w:color w:val="auto"/>
        </w:rPr>
      </w:pPr>
      <w:r w:rsidRPr="00445CEF">
        <w:rPr>
          <w:rFonts w:cs="Tahoma"/>
          <w:color w:val="auto"/>
        </w:rPr>
        <w:t>Movimientos de anta ante el Instituto de Seguridad Social del Estado de México y Municipios</w:t>
      </w:r>
    </w:p>
    <w:p w14:paraId="4AFE19E8" w14:textId="5C972E17" w:rsidR="006B707A" w:rsidRPr="00445CEF" w:rsidRDefault="006B707A" w:rsidP="00AF189E">
      <w:pPr>
        <w:pStyle w:val="Prrafodelista"/>
        <w:numPr>
          <w:ilvl w:val="0"/>
          <w:numId w:val="28"/>
        </w:numPr>
        <w:tabs>
          <w:tab w:val="left" w:pos="4962"/>
        </w:tabs>
        <w:spacing w:after="0" w:line="360" w:lineRule="auto"/>
        <w:ind w:left="1276"/>
        <w:rPr>
          <w:rFonts w:cs="Tahoma"/>
          <w:color w:val="auto"/>
        </w:rPr>
      </w:pPr>
      <w:r w:rsidRPr="00445CEF">
        <w:t>El documento donde conste la relación laboral que existe entre las servidoras públicas y el Sujeto Obligado</w:t>
      </w:r>
    </w:p>
    <w:p w14:paraId="311AAE94" w14:textId="5F09A591" w:rsidR="006B707A" w:rsidRPr="00445CEF" w:rsidRDefault="006B707A" w:rsidP="00AF189E">
      <w:pPr>
        <w:pStyle w:val="Prrafodelista"/>
        <w:numPr>
          <w:ilvl w:val="0"/>
          <w:numId w:val="28"/>
        </w:numPr>
        <w:tabs>
          <w:tab w:val="left" w:pos="4962"/>
        </w:tabs>
        <w:spacing w:after="0" w:line="360" w:lineRule="auto"/>
        <w:ind w:left="1276"/>
        <w:rPr>
          <w:rFonts w:cs="Tahoma"/>
          <w:color w:val="auto"/>
        </w:rPr>
      </w:pPr>
      <w:r w:rsidRPr="00445CEF">
        <w:rPr>
          <w:rFonts w:cs="Tahoma"/>
          <w:color w:val="auto"/>
        </w:rPr>
        <w:t>Nivel salarial</w:t>
      </w:r>
      <w:r w:rsidR="008948DA" w:rsidRPr="00445CEF">
        <w:rPr>
          <w:rFonts w:cs="Tahoma"/>
          <w:color w:val="auto"/>
        </w:rPr>
        <w:t>, y</w:t>
      </w:r>
    </w:p>
    <w:p w14:paraId="5D830EAE" w14:textId="38DDDA99" w:rsidR="006C5DC5" w:rsidRPr="00445CEF" w:rsidRDefault="006B707A" w:rsidP="002D26C8">
      <w:pPr>
        <w:pStyle w:val="Prrafodelista"/>
        <w:numPr>
          <w:ilvl w:val="0"/>
          <w:numId w:val="28"/>
        </w:numPr>
        <w:tabs>
          <w:tab w:val="left" w:pos="4962"/>
        </w:tabs>
        <w:spacing w:after="0" w:line="360" w:lineRule="auto"/>
        <w:ind w:left="1276" w:right="-28"/>
        <w:rPr>
          <w:rFonts w:eastAsia="Calibri" w:cs="Tahoma"/>
          <w:bCs/>
          <w:color w:val="FF0000"/>
          <w:lang w:val="es-ES"/>
        </w:rPr>
      </w:pPr>
      <w:r w:rsidRPr="00445CEF">
        <w:rPr>
          <w:rFonts w:cs="Tahoma"/>
          <w:color w:val="auto"/>
        </w:rPr>
        <w:t>Funciones</w:t>
      </w:r>
      <w:r w:rsidR="008948DA" w:rsidRPr="00445CEF">
        <w:rPr>
          <w:rFonts w:cs="Tahoma"/>
          <w:color w:val="auto"/>
        </w:rPr>
        <w:t>.</w:t>
      </w:r>
    </w:p>
    <w:p w14:paraId="00E1C3C5" w14:textId="77777777" w:rsidR="00FC667A" w:rsidRPr="00445CEF" w:rsidRDefault="00FC667A" w:rsidP="00FC667A">
      <w:pPr>
        <w:tabs>
          <w:tab w:val="left" w:pos="4962"/>
        </w:tabs>
        <w:spacing w:after="0" w:line="360" w:lineRule="auto"/>
        <w:ind w:right="-28"/>
        <w:rPr>
          <w:rFonts w:eastAsia="Calibri" w:cs="Tahoma"/>
          <w:bCs/>
          <w:color w:val="FF0000"/>
          <w:lang w:val="es-ES"/>
        </w:rPr>
      </w:pPr>
    </w:p>
    <w:p w14:paraId="429EF079" w14:textId="1D45FCB2" w:rsidR="006D68D8" w:rsidRPr="00445CEF" w:rsidRDefault="00FC667A" w:rsidP="00FC667A">
      <w:pPr>
        <w:tabs>
          <w:tab w:val="left" w:pos="4962"/>
        </w:tabs>
        <w:spacing w:after="0" w:line="360" w:lineRule="auto"/>
        <w:ind w:right="-28"/>
        <w:rPr>
          <w:rFonts w:eastAsia="Calibri" w:cs="Tahoma"/>
          <w:bCs/>
          <w:color w:val="auto"/>
          <w:lang w:val="es-ES"/>
        </w:rPr>
      </w:pPr>
      <w:r w:rsidRPr="00445CEF">
        <w:rPr>
          <w:rFonts w:eastAsia="Calibri" w:cs="Tahoma"/>
          <w:bCs/>
          <w:color w:val="auto"/>
          <w:lang w:val="es-ES"/>
        </w:rPr>
        <w:t>Ahora bien, es necesario precisar que el Particular no refirió de que temporalidad requería los recibos; sobre dicha situación, el Criterio Reiterado 04/2024, emitido por el Pleno de este Instituto, establece que cuando los particulares no refieran el periodo respecto de cual se requiere la información relacionada con la nómina, el Sujeto Obligado deberá entregar lo correspondiente a las dos últimas quincenas pagadas, a la fecha de presentación de la solicitud.</w:t>
      </w:r>
    </w:p>
    <w:p w14:paraId="62A57762" w14:textId="77777777" w:rsidR="00FC667A" w:rsidRPr="00445CEF" w:rsidRDefault="00FC667A" w:rsidP="00FC667A">
      <w:pPr>
        <w:tabs>
          <w:tab w:val="left" w:pos="4962"/>
        </w:tabs>
        <w:spacing w:after="0" w:line="360" w:lineRule="auto"/>
        <w:ind w:right="-28"/>
        <w:rPr>
          <w:rFonts w:eastAsia="Calibri" w:cs="Tahoma"/>
          <w:bCs/>
          <w:color w:val="FF0000"/>
          <w:lang w:val="es-ES"/>
        </w:rPr>
      </w:pPr>
    </w:p>
    <w:p w14:paraId="413CDDA8" w14:textId="424E6CB0" w:rsidR="0035026E" w:rsidRPr="00445CEF" w:rsidRDefault="00A42CDD" w:rsidP="00A47C39">
      <w:pPr>
        <w:spacing w:after="0" w:line="360" w:lineRule="auto"/>
        <w:rPr>
          <w:rFonts w:eastAsia="Calibri" w:cs="Tahoma"/>
          <w:b/>
          <w:bCs/>
          <w:color w:val="auto"/>
          <w:lang w:val="es-ES"/>
        </w:rPr>
      </w:pPr>
      <w:r w:rsidRPr="00445CEF">
        <w:rPr>
          <w:rFonts w:eastAsia="Calibri" w:cs="Tahoma"/>
          <w:bCs/>
          <w:color w:val="auto"/>
          <w:lang w:val="es-ES"/>
        </w:rPr>
        <w:t>Establecido lo anterior, se logró observar que el Sujeto Obligado turnó la solicitud a la</w:t>
      </w:r>
      <w:r w:rsidR="00E612C0" w:rsidRPr="00445CEF">
        <w:rPr>
          <w:rFonts w:eastAsia="Calibri" w:cs="Tahoma"/>
          <w:bCs/>
          <w:color w:val="auto"/>
          <w:lang w:val="es-ES"/>
        </w:rPr>
        <w:t xml:space="preserve"> </w:t>
      </w:r>
      <w:r w:rsidR="00822E57" w:rsidRPr="00445CEF">
        <w:rPr>
          <w:rFonts w:eastAsia="Calibri" w:cs="Tahoma"/>
          <w:b/>
          <w:bCs/>
          <w:color w:val="auto"/>
          <w:lang w:val="es-ES"/>
        </w:rPr>
        <w:t xml:space="preserve">Tesorería Municipal y </w:t>
      </w:r>
      <w:r w:rsidR="00C21B7D" w:rsidRPr="00445CEF">
        <w:rPr>
          <w:rFonts w:eastAsia="Calibri" w:cs="Tahoma"/>
          <w:b/>
          <w:bCs/>
          <w:color w:val="auto"/>
          <w:lang w:val="es-ES"/>
        </w:rPr>
        <w:t>Departamento de Recursos Humanos</w:t>
      </w:r>
      <w:r w:rsidRPr="00445CEF">
        <w:rPr>
          <w:rFonts w:eastAsia="Calibri" w:cs="Tahoma"/>
          <w:bCs/>
          <w:color w:val="auto"/>
          <w:lang w:val="es-ES"/>
        </w:rPr>
        <w:t xml:space="preserve">, </w:t>
      </w:r>
      <w:r w:rsidR="0035026E" w:rsidRPr="00445CEF">
        <w:rPr>
          <w:rFonts w:cs="Tahoma"/>
          <w:color w:val="auto"/>
          <w:lang w:val="es-ES_tradnl"/>
        </w:rPr>
        <w:t>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57103B90" w14:textId="77777777" w:rsidR="0035026E" w:rsidRPr="00445CEF" w:rsidRDefault="0035026E" w:rsidP="00A47C39">
      <w:pPr>
        <w:spacing w:after="0" w:line="360" w:lineRule="auto"/>
        <w:rPr>
          <w:rFonts w:cs="Tahoma"/>
          <w:color w:val="FF0000"/>
          <w:lang w:val="es-ES_tradnl"/>
        </w:rPr>
      </w:pPr>
    </w:p>
    <w:p w14:paraId="24C9F2BC" w14:textId="77777777" w:rsidR="0035026E" w:rsidRPr="00445CEF" w:rsidRDefault="0035026E" w:rsidP="00A47C39">
      <w:pPr>
        <w:pStyle w:val="Prrafodelista"/>
        <w:numPr>
          <w:ilvl w:val="0"/>
          <w:numId w:val="9"/>
        </w:numPr>
        <w:spacing w:after="0" w:line="360" w:lineRule="auto"/>
        <w:rPr>
          <w:rFonts w:cs="Tahoma"/>
          <w:color w:val="auto"/>
          <w:lang w:val="es-ES_tradnl"/>
        </w:rPr>
      </w:pPr>
      <w:r w:rsidRPr="00445CEF">
        <w:rPr>
          <w:rFonts w:cs="Tahoma"/>
          <w:color w:val="auto"/>
          <w:lang w:val="es-ES_tradnl"/>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271CD97" w14:textId="77777777" w:rsidR="0035026E" w:rsidRPr="00445CEF" w:rsidRDefault="0035026E" w:rsidP="00A47C39">
      <w:pPr>
        <w:pStyle w:val="Prrafodelista"/>
        <w:spacing w:after="0" w:line="360" w:lineRule="auto"/>
        <w:rPr>
          <w:rFonts w:cs="Tahoma"/>
          <w:color w:val="auto"/>
          <w:lang w:val="es-ES_tradnl"/>
        </w:rPr>
      </w:pPr>
    </w:p>
    <w:p w14:paraId="12E91C02" w14:textId="77777777" w:rsidR="0035026E" w:rsidRPr="00445CEF" w:rsidRDefault="0035026E" w:rsidP="00A47C39">
      <w:pPr>
        <w:pStyle w:val="Prrafodelista"/>
        <w:numPr>
          <w:ilvl w:val="0"/>
          <w:numId w:val="9"/>
        </w:numPr>
        <w:spacing w:after="0" w:line="360" w:lineRule="auto"/>
        <w:rPr>
          <w:rFonts w:cs="Tahoma"/>
          <w:color w:val="auto"/>
          <w:lang w:val="es-ES_tradnl"/>
        </w:rPr>
      </w:pPr>
      <w:r w:rsidRPr="00445CEF">
        <w:rPr>
          <w:rFonts w:cs="Tahoma"/>
          <w:color w:val="auto"/>
          <w:lang w:val="es-ES_tradnl"/>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7177F54A" w14:textId="0E025DAC" w:rsidR="0082097F" w:rsidRPr="00445CEF" w:rsidRDefault="0082097F" w:rsidP="00A47C39">
      <w:pPr>
        <w:spacing w:after="0" w:line="360" w:lineRule="auto"/>
        <w:rPr>
          <w:rFonts w:eastAsia="Calibri" w:cs="Tahoma"/>
          <w:color w:val="FF0000"/>
        </w:rPr>
      </w:pPr>
    </w:p>
    <w:p w14:paraId="0F1C13C7" w14:textId="5056A05F" w:rsidR="004D0655" w:rsidRPr="00445CEF" w:rsidRDefault="00497F96" w:rsidP="00A47C39">
      <w:pPr>
        <w:spacing w:after="0" w:line="360" w:lineRule="auto"/>
        <w:rPr>
          <w:rFonts w:eastAsia="Calibri" w:cs="Tahoma"/>
          <w:color w:val="auto"/>
        </w:rPr>
      </w:pPr>
      <w:r w:rsidRPr="00445CEF">
        <w:rPr>
          <w:rFonts w:eastAsia="Calibri" w:cs="Tahoma"/>
          <w:color w:val="auto"/>
        </w:rPr>
        <w:t xml:space="preserve">Así, con la finalidad de determinar si el Sujeto Obligado cumplió con el procedimiento de búsqueda previamente establecido, es necesario traer a colación </w:t>
      </w:r>
      <w:r w:rsidR="00E612C0" w:rsidRPr="00445CEF">
        <w:rPr>
          <w:rFonts w:eastAsia="Calibri" w:cs="Tahoma"/>
          <w:color w:val="auto"/>
        </w:rPr>
        <w:t xml:space="preserve">el artículo </w:t>
      </w:r>
      <w:r w:rsidR="00C35E1C" w:rsidRPr="00445CEF">
        <w:rPr>
          <w:rFonts w:eastAsia="Calibri" w:cs="Tahoma"/>
          <w:color w:val="auto"/>
        </w:rPr>
        <w:t>93 del Manual de Organización de la Tesorería Municipal de Atlacomulco, dos mil veintitrés aplicable, en el cual se establece que la Tesorería es el órgano encargado de la recaudación de los ingresos municipales y responsable de realizar las erogaciones que haga el ayuntamiento.</w:t>
      </w:r>
    </w:p>
    <w:p w14:paraId="2653403E" w14:textId="77777777" w:rsidR="00C35E1C" w:rsidRPr="00445CEF" w:rsidRDefault="00C35E1C" w:rsidP="00A47C39">
      <w:pPr>
        <w:spacing w:after="0" w:line="360" w:lineRule="auto"/>
        <w:rPr>
          <w:rFonts w:eastAsia="Calibri" w:cs="Tahoma"/>
          <w:color w:val="auto"/>
        </w:rPr>
      </w:pPr>
    </w:p>
    <w:p w14:paraId="061456A9" w14:textId="6A9D597A" w:rsidR="00C35E1C" w:rsidRPr="00445CEF" w:rsidRDefault="00C35E1C" w:rsidP="00A47C39">
      <w:pPr>
        <w:spacing w:after="0" w:line="360" w:lineRule="auto"/>
        <w:rPr>
          <w:rFonts w:eastAsia="Calibri" w:cs="Tahoma"/>
          <w:color w:val="auto"/>
        </w:rPr>
      </w:pPr>
      <w:r w:rsidRPr="00445CEF">
        <w:rPr>
          <w:rFonts w:eastAsia="Calibri" w:cs="Tahoma"/>
          <w:color w:val="auto"/>
        </w:rPr>
        <w:t>Misma que conforme a su estructura orgánica cuenta con una Subsecretaría de Egresos, Presupuesto, Contabilidad y Cuenta Pública, la cual a través del auxiliar de nómina se encarga de la elaboración de  nómina, apoyos, finiquitos, etc. , del personal.</w:t>
      </w:r>
    </w:p>
    <w:p w14:paraId="6191CB19" w14:textId="77777777" w:rsidR="00325C2D" w:rsidRPr="00445CEF" w:rsidRDefault="00325C2D" w:rsidP="00A47C39">
      <w:pPr>
        <w:spacing w:after="0" w:line="360" w:lineRule="auto"/>
        <w:rPr>
          <w:rFonts w:eastAsia="Calibri" w:cs="Tahoma"/>
          <w:color w:val="auto"/>
        </w:rPr>
      </w:pPr>
    </w:p>
    <w:p w14:paraId="7C588182" w14:textId="05496C54" w:rsidR="009452C3" w:rsidRPr="00445CEF" w:rsidRDefault="009452C3" w:rsidP="00A47C39">
      <w:pPr>
        <w:spacing w:after="0" w:line="360" w:lineRule="auto"/>
        <w:contextualSpacing/>
        <w:rPr>
          <w:rFonts w:eastAsia="Times New Roman" w:cs="Tahoma"/>
          <w:bCs/>
          <w:color w:val="auto"/>
          <w:lang w:eastAsia="es-ES"/>
        </w:rPr>
      </w:pPr>
      <w:r w:rsidRPr="00445CEF">
        <w:rPr>
          <w:rFonts w:eastAsia="Times New Roman" w:cs="Tahoma"/>
          <w:bCs/>
          <w:color w:val="auto"/>
          <w:lang w:eastAsia="es-ES"/>
        </w:rPr>
        <w:t xml:space="preserve">Así, a efecto de determinar si el Sujeto Obligado cumplió con el procedimiento de búsqueda, resulta necesario traer a estudio los artículos 79 y 80 numeral 5, sub numeral 5.2 del Bando Municipal de Atlacomulco dos mil veintitrés, en relación con el Manual de Organización de la Dirección de Administración en el cual se establece que, el Sujeto Obligado para el ejercicio de sus funciones, contará con diversas unidades administrativas, entre otras la Dirección de </w:t>
      </w:r>
      <w:r w:rsidRPr="00445CEF">
        <w:rPr>
          <w:rFonts w:eastAsia="Times New Roman" w:cs="Tahoma"/>
          <w:bCs/>
          <w:color w:val="auto"/>
          <w:lang w:eastAsia="es-ES"/>
        </w:rPr>
        <w:lastRenderedPageBreak/>
        <w:t>Administración, encargada de autorizar cambios de adscripción, altas, bajas, permisos y licencias e integración del expediente de personal</w:t>
      </w:r>
      <w:r w:rsidR="003C2F41" w:rsidRPr="00445CEF">
        <w:rPr>
          <w:rFonts w:eastAsia="Times New Roman" w:cs="Tahoma"/>
          <w:bCs/>
          <w:color w:val="auto"/>
          <w:lang w:eastAsia="es-ES"/>
        </w:rPr>
        <w:t xml:space="preserve">, así como de verificar la </w:t>
      </w:r>
      <w:r w:rsidR="003C2F41" w:rsidRPr="00445CEF">
        <w:rPr>
          <w:rFonts w:eastAsia="Times New Roman" w:cs="Tahoma"/>
          <w:bCs/>
          <w:color w:val="auto"/>
          <w:u w:val="single"/>
          <w:lang w:eastAsia="es-ES"/>
        </w:rPr>
        <w:t>asistencia del personal</w:t>
      </w:r>
      <w:r w:rsidRPr="00445CEF">
        <w:rPr>
          <w:rFonts w:eastAsia="Times New Roman" w:cs="Tahoma"/>
          <w:bCs/>
          <w:color w:val="auto"/>
          <w:lang w:eastAsia="es-ES"/>
        </w:rPr>
        <w:t>; lo anterior, por medio del Departamento de Recursos Humanos, que supervisa y valida los movimientos administrativos, altas, reingresos, bajas, licencias, cambios de categoría, adscripción y lo relacionado con los servidores públicos adscritos al Sujeto Obligado.</w:t>
      </w:r>
    </w:p>
    <w:p w14:paraId="4903F924" w14:textId="3879C35A" w:rsidR="00344897" w:rsidRPr="00445CEF" w:rsidRDefault="00344897" w:rsidP="00A47C39">
      <w:pPr>
        <w:spacing w:after="0" w:line="360" w:lineRule="auto"/>
        <w:rPr>
          <w:rFonts w:eastAsia="Calibri" w:cs="Tahoma"/>
          <w:color w:val="FF0000"/>
        </w:rPr>
      </w:pPr>
    </w:p>
    <w:p w14:paraId="0A86E34C" w14:textId="33374ED2" w:rsidR="00A72CDB" w:rsidRPr="00445CEF" w:rsidRDefault="00A72CDB" w:rsidP="00A47C39">
      <w:pPr>
        <w:spacing w:after="0" w:line="360" w:lineRule="auto"/>
        <w:rPr>
          <w:color w:val="auto"/>
        </w:rPr>
      </w:pPr>
      <w:r w:rsidRPr="00445CEF">
        <w:rPr>
          <w:rFonts w:eastAsia="Calibri" w:cs="Tahoma"/>
          <w:color w:val="auto"/>
        </w:rPr>
        <w:t>Ahora bien, en relación con la Secretaría del Ayuntamiento, el artículo 91 de la Ley Orgánica Municipal, establece que la Secretaría del Ayuntamiento estará a cargo de un Secretario quien se encargará entre otras cosas de asistir</w:t>
      </w:r>
      <w:r w:rsidRPr="00445CEF">
        <w:rPr>
          <w:color w:val="auto"/>
        </w:rPr>
        <w:t xml:space="preserve"> a las sesiones del ayuntamiento y levantar las actas correspondientes, </w:t>
      </w:r>
      <w:r w:rsidRPr="00445CEF">
        <w:t>Emitir los citatorios para la celebración de las sesiones de cabildo convocadas, llevar y conservar los libros de actas de cabildo, obteniendo las firmas de los asistentes a las sesiones, así como ser responsable de la publicación de la Gaceta Municipal, así como de las p</w:t>
      </w:r>
      <w:r w:rsidR="009B5430" w:rsidRPr="00445CEF">
        <w:t>ublicaciones en los estrados del Ayuntamiento.</w:t>
      </w:r>
    </w:p>
    <w:p w14:paraId="7A4CD50C" w14:textId="77777777" w:rsidR="00A72CDB" w:rsidRPr="00445CEF" w:rsidRDefault="00A72CDB" w:rsidP="00A47C39">
      <w:pPr>
        <w:spacing w:after="0" w:line="360" w:lineRule="auto"/>
        <w:rPr>
          <w:rFonts w:eastAsia="Calibri" w:cs="Tahoma"/>
          <w:color w:val="auto"/>
        </w:rPr>
      </w:pPr>
    </w:p>
    <w:p w14:paraId="29CE0955" w14:textId="2CB4A1CD" w:rsidR="00CC62F9" w:rsidRPr="00445CEF" w:rsidRDefault="00A93F48" w:rsidP="00A47C39">
      <w:pPr>
        <w:spacing w:after="0" w:line="360" w:lineRule="auto"/>
        <w:rPr>
          <w:rFonts w:eastAsia="Calibri" w:cs="Tahoma"/>
          <w:color w:val="auto"/>
        </w:rPr>
      </w:pPr>
      <w:r w:rsidRPr="00445CEF">
        <w:rPr>
          <w:rFonts w:eastAsia="Calibri" w:cs="Tahoma"/>
          <w:color w:val="auto"/>
        </w:rPr>
        <w:t>Así, se logra c</w:t>
      </w:r>
      <w:r w:rsidR="00733CFF" w:rsidRPr="00445CEF">
        <w:rPr>
          <w:rFonts w:eastAsia="Calibri" w:cs="Tahoma"/>
          <w:color w:val="auto"/>
        </w:rPr>
        <w:t>olegir que el Sujeto Obligado</w:t>
      </w:r>
      <w:r w:rsidRPr="00445CEF">
        <w:rPr>
          <w:rFonts w:eastAsia="Calibri" w:cs="Tahoma"/>
          <w:color w:val="auto"/>
        </w:rPr>
        <w:t xml:space="preserve"> cumplió con el procedimiento de búsqueda establecido en el artículo 162 de la Ley de Transparencia y Acceso a la Información Pública del Estado de México y Municipios, </w:t>
      </w:r>
      <w:r w:rsidR="00733CFF" w:rsidRPr="00445CEF">
        <w:rPr>
          <w:rFonts w:eastAsia="Calibri" w:cs="Tahoma"/>
          <w:color w:val="auto"/>
        </w:rPr>
        <w:t>al turnar las solicitudes de información a</w:t>
      </w:r>
      <w:r w:rsidR="003C2F41" w:rsidRPr="00445CEF">
        <w:rPr>
          <w:rFonts w:eastAsia="Calibri" w:cs="Tahoma"/>
          <w:color w:val="auto"/>
        </w:rPr>
        <w:t xml:space="preserve"> </w:t>
      </w:r>
      <w:r w:rsidR="00733CFF" w:rsidRPr="00445CEF">
        <w:rPr>
          <w:rFonts w:eastAsia="Calibri" w:cs="Tahoma"/>
          <w:color w:val="auto"/>
        </w:rPr>
        <w:t>l</w:t>
      </w:r>
      <w:r w:rsidR="003C2F41" w:rsidRPr="00445CEF">
        <w:rPr>
          <w:rFonts w:eastAsia="Calibri" w:cs="Tahoma"/>
          <w:color w:val="auto"/>
        </w:rPr>
        <w:t>as</w:t>
      </w:r>
      <w:r w:rsidR="00733CFF" w:rsidRPr="00445CEF">
        <w:rPr>
          <w:rFonts w:eastAsia="Calibri" w:cs="Tahoma"/>
          <w:color w:val="auto"/>
        </w:rPr>
        <w:t xml:space="preserve"> área</w:t>
      </w:r>
      <w:r w:rsidR="003C2F41" w:rsidRPr="00445CEF">
        <w:rPr>
          <w:rFonts w:eastAsia="Calibri" w:cs="Tahoma"/>
          <w:color w:val="auto"/>
        </w:rPr>
        <w:t>s</w:t>
      </w:r>
      <w:r w:rsidR="00733CFF" w:rsidRPr="00445CEF">
        <w:rPr>
          <w:rFonts w:eastAsia="Calibri" w:cs="Tahoma"/>
          <w:color w:val="auto"/>
        </w:rPr>
        <w:t xml:space="preserve"> competente</w:t>
      </w:r>
      <w:r w:rsidR="003C2F41" w:rsidRPr="00445CEF">
        <w:rPr>
          <w:rFonts w:eastAsia="Calibri" w:cs="Tahoma"/>
          <w:color w:val="auto"/>
        </w:rPr>
        <w:t>s</w:t>
      </w:r>
      <w:r w:rsidR="00733CFF" w:rsidRPr="00445CEF">
        <w:rPr>
          <w:rFonts w:eastAsia="Calibri" w:cs="Tahoma"/>
          <w:color w:val="auto"/>
        </w:rPr>
        <w:t xml:space="preserve"> para conocer de </w:t>
      </w:r>
      <w:r w:rsidR="003C2F41" w:rsidRPr="00445CEF">
        <w:rPr>
          <w:rFonts w:eastAsia="Calibri" w:cs="Tahoma"/>
          <w:color w:val="auto"/>
        </w:rPr>
        <w:t>la información solicitada.</w:t>
      </w:r>
    </w:p>
    <w:p w14:paraId="7B706160" w14:textId="77777777" w:rsidR="00733CFF" w:rsidRPr="00445CEF" w:rsidRDefault="00733CFF" w:rsidP="00A47C39">
      <w:pPr>
        <w:spacing w:after="0" w:line="360" w:lineRule="auto"/>
        <w:rPr>
          <w:rFonts w:eastAsia="Calibri" w:cs="Tahoma"/>
          <w:color w:val="FF0000"/>
        </w:rPr>
      </w:pPr>
    </w:p>
    <w:p w14:paraId="24530F8C" w14:textId="66A2179E" w:rsidR="005540A1" w:rsidRPr="00445CEF" w:rsidRDefault="00530807" w:rsidP="00A47C39">
      <w:pPr>
        <w:spacing w:after="0" w:line="360" w:lineRule="auto"/>
        <w:rPr>
          <w:rFonts w:cs="Tahoma"/>
          <w:color w:val="auto"/>
        </w:rPr>
      </w:pPr>
      <w:r w:rsidRPr="00445CEF">
        <w:rPr>
          <w:rFonts w:eastAsia="Times New Roman" w:cs="Tahoma"/>
          <w:bCs/>
          <w:iCs/>
          <w:color w:val="auto"/>
          <w:lang w:eastAsia="es-ES"/>
        </w:rPr>
        <w:t>Ahora bien, en respuesta</w:t>
      </w:r>
      <w:r w:rsidR="00421495" w:rsidRPr="00445CEF">
        <w:rPr>
          <w:rFonts w:eastAsia="Times New Roman" w:cs="Tahoma"/>
          <w:bCs/>
          <w:iCs/>
          <w:color w:val="auto"/>
          <w:lang w:eastAsia="es-ES"/>
        </w:rPr>
        <w:t xml:space="preserve"> como en informe justificado</w:t>
      </w:r>
      <w:r w:rsidRPr="00445CEF">
        <w:rPr>
          <w:rFonts w:eastAsia="Times New Roman" w:cs="Tahoma"/>
          <w:bCs/>
          <w:iCs/>
          <w:color w:val="auto"/>
          <w:lang w:eastAsia="es-ES"/>
        </w:rPr>
        <w:t xml:space="preserve">, </w:t>
      </w:r>
      <w:r w:rsidR="009B5430" w:rsidRPr="00445CEF">
        <w:rPr>
          <w:rFonts w:cs="Tahoma"/>
          <w:color w:val="auto"/>
          <w:lang w:val="es-ES"/>
        </w:rPr>
        <w:t xml:space="preserve">en relación con la información requerida de las servidoras públicas </w:t>
      </w:r>
      <w:r w:rsidR="009B5430" w:rsidRPr="00445CEF">
        <w:rPr>
          <w:rFonts w:cs="Tahoma"/>
          <w:color w:val="auto"/>
        </w:rPr>
        <w:t xml:space="preserve">Victoria Romero Cruz y Viridiana Figueroa Romero, la </w:t>
      </w:r>
      <w:r w:rsidR="009B5430" w:rsidRPr="00445CEF">
        <w:rPr>
          <w:rFonts w:cs="Tahoma"/>
          <w:b/>
          <w:color w:val="auto"/>
        </w:rPr>
        <w:t>Tesorería Municipal y el Departamento de Recursos Humanos</w:t>
      </w:r>
      <w:r w:rsidR="009B5430" w:rsidRPr="00445CEF">
        <w:rPr>
          <w:rFonts w:cs="Tahoma"/>
          <w:color w:val="auto"/>
        </w:rPr>
        <w:t xml:space="preserve"> señalaron que después de realizar una búsqueda en sus archivos que no se encontró registro alguno de servidoras públicas del Ayuntamiento de Atlacomulco con lo</w:t>
      </w:r>
      <w:r w:rsidR="00421495" w:rsidRPr="00445CEF">
        <w:rPr>
          <w:rFonts w:cs="Tahoma"/>
          <w:color w:val="auto"/>
        </w:rPr>
        <w:t xml:space="preserve">s nombres previamente señalados; sobre el tema, el Criterio SO/014/2017, emitido por el Instituto Nacional de Transparencia, Acceso </w:t>
      </w:r>
      <w:r w:rsidR="00421495" w:rsidRPr="00445CEF">
        <w:rPr>
          <w:rFonts w:cs="Tahoma"/>
          <w:color w:val="auto"/>
        </w:rPr>
        <w:lastRenderedPageBreak/>
        <w:t>a la Información Pública y Protección de Datos Personales en el Estado de México y Municipios, que señala lo siguiente:</w:t>
      </w:r>
    </w:p>
    <w:p w14:paraId="03A975E9" w14:textId="77777777" w:rsidR="005540A1" w:rsidRPr="00445CEF" w:rsidRDefault="005540A1" w:rsidP="00A47C39">
      <w:pPr>
        <w:spacing w:after="0" w:line="360" w:lineRule="auto"/>
        <w:rPr>
          <w:rFonts w:eastAsia="Times New Roman" w:cs="Tahoma"/>
          <w:bCs/>
          <w:iCs/>
          <w:color w:val="FF0000"/>
          <w:lang w:eastAsia="es-ES"/>
        </w:rPr>
      </w:pPr>
    </w:p>
    <w:p w14:paraId="171D24AB" w14:textId="2B13E883" w:rsidR="005540A1" w:rsidRPr="00445CEF" w:rsidRDefault="00421495" w:rsidP="00AF189E">
      <w:pPr>
        <w:pStyle w:val="Prrafodelista"/>
        <w:autoSpaceDE w:val="0"/>
        <w:autoSpaceDN w:val="0"/>
        <w:adjustRightInd w:val="0"/>
        <w:spacing w:after="0" w:line="360" w:lineRule="auto"/>
        <w:ind w:left="567" w:right="567"/>
        <w:rPr>
          <w:rFonts w:cs="Tahoma"/>
          <w:i/>
          <w:color w:val="auto"/>
          <w:sz w:val="20"/>
          <w:lang w:val="es-ES_tradnl"/>
        </w:rPr>
      </w:pPr>
      <w:r w:rsidRPr="00445CEF">
        <w:rPr>
          <w:rFonts w:cs="Tahoma"/>
          <w:b/>
          <w:i/>
          <w:color w:val="auto"/>
          <w:sz w:val="20"/>
          <w:lang w:val="es-ES_tradnl"/>
        </w:rPr>
        <w:t>“Inexistencia.</w:t>
      </w:r>
      <w:r w:rsidRPr="00445CEF">
        <w:rPr>
          <w:rFonts w:cs="Tahoma"/>
          <w:i/>
          <w:color w:val="auto"/>
          <w:sz w:val="20"/>
          <w:lang w:val="es-ES_tradnl"/>
        </w:rPr>
        <w:t xml:space="preserve"> La inexistencia es una cuestión de hecho que se atribuye a la información solicitada e implica que ésta no se encuentra en los archivos del sujeto obligado, no obstante que cuenta con facultades para poseerla.”</w:t>
      </w:r>
    </w:p>
    <w:p w14:paraId="5CF2F025" w14:textId="77777777" w:rsidR="00AF307F" w:rsidRPr="00445CEF" w:rsidRDefault="00AF307F" w:rsidP="00A47C39">
      <w:pPr>
        <w:spacing w:after="0" w:line="360" w:lineRule="auto"/>
        <w:rPr>
          <w:rFonts w:eastAsia="Times New Roman" w:cs="Tahoma"/>
          <w:bCs/>
          <w:iCs/>
          <w:color w:val="FF0000"/>
          <w:lang w:eastAsia="es-ES"/>
        </w:rPr>
      </w:pPr>
    </w:p>
    <w:p w14:paraId="7BBE39E5" w14:textId="1047B687" w:rsidR="00421495" w:rsidRPr="00445CEF" w:rsidRDefault="00AF307F" w:rsidP="00A47C39">
      <w:pPr>
        <w:spacing w:after="0" w:line="360" w:lineRule="auto"/>
        <w:rPr>
          <w:rFonts w:eastAsia="Times New Roman" w:cs="Tahoma"/>
          <w:bCs/>
          <w:iCs/>
          <w:color w:val="auto"/>
          <w:lang w:eastAsia="es-ES"/>
        </w:rPr>
      </w:pPr>
      <w:r w:rsidRPr="00445CEF">
        <w:rPr>
          <w:rFonts w:eastAsia="Times New Roman" w:cs="Tahoma"/>
          <w:bCs/>
          <w:iCs/>
          <w:color w:val="auto"/>
          <w:lang w:eastAsia="es-ES"/>
        </w:rPr>
        <w:t>Del citado criterio, se desprende que la inexistencia de la información, es una cuestión de hecho que se le atribuye a la misma, cuando ésta no se encuentra en los archivos del sujeto obligado. En ese orden de ideas, según Trujillo, Humberto (2019), en el “Diccionario de Transparencia y Acceso a la Información Pública” (p. 171), la inexistencia</w:t>
      </w:r>
      <w:r w:rsidRPr="00445CEF">
        <w:t xml:space="preserve"> </w:t>
      </w:r>
      <w:r w:rsidRPr="00445CEF">
        <w:rPr>
          <w:rFonts w:eastAsia="Times New Roman" w:cs="Tahoma"/>
          <w:bCs/>
          <w:iCs/>
          <w:color w:val="auto"/>
          <w:lang w:eastAsia="es-ES"/>
        </w:rPr>
        <w:t>de la información, es cuando la información requerida no se encuentra en los archivos públicos, reservados o clasificados, de los sujetos obligados.</w:t>
      </w:r>
    </w:p>
    <w:p w14:paraId="357D67B6" w14:textId="77777777" w:rsidR="00AF307F" w:rsidRPr="00445CEF" w:rsidRDefault="00AF307F" w:rsidP="00A47C39">
      <w:pPr>
        <w:spacing w:after="0" w:line="360" w:lineRule="auto"/>
        <w:rPr>
          <w:rFonts w:eastAsia="Times New Roman" w:cs="Tahoma"/>
          <w:bCs/>
          <w:iCs/>
          <w:color w:val="FF0000"/>
          <w:lang w:eastAsia="es-ES"/>
        </w:rPr>
      </w:pPr>
    </w:p>
    <w:p w14:paraId="27007BE6" w14:textId="402DA2E7" w:rsidR="00AF307F" w:rsidRPr="00445CEF" w:rsidRDefault="00B77B2E" w:rsidP="00A47C39">
      <w:pPr>
        <w:spacing w:after="0" w:line="360" w:lineRule="auto"/>
        <w:rPr>
          <w:rFonts w:eastAsia="Times New Roman" w:cs="Tahoma"/>
          <w:b/>
          <w:bCs/>
          <w:iCs/>
          <w:color w:val="auto"/>
          <w:lang w:eastAsia="es-ES"/>
        </w:rPr>
      </w:pPr>
      <w:r w:rsidRPr="00445CEF">
        <w:rPr>
          <w:rFonts w:eastAsia="Times New Roman" w:cs="Tahoma"/>
          <w:bCs/>
          <w:iCs/>
          <w:color w:val="auto"/>
          <w:lang w:eastAsia="es-ES"/>
        </w:rPr>
        <w:t xml:space="preserve">Conforme a lo anterior, la </w:t>
      </w:r>
      <w:r w:rsidRPr="00445CEF">
        <w:rPr>
          <w:rFonts w:eastAsia="Times New Roman" w:cs="Tahoma"/>
          <w:b/>
          <w:bCs/>
          <w:iCs/>
          <w:color w:val="auto"/>
          <w:lang w:eastAsia="es-ES"/>
        </w:rPr>
        <w:t xml:space="preserve">inexistencia </w:t>
      </w:r>
      <w:r w:rsidRPr="00445CEF">
        <w:rPr>
          <w:rFonts w:eastAsia="Times New Roman" w:cs="Tahoma"/>
          <w:bCs/>
          <w:iCs/>
          <w:color w:val="auto"/>
          <w:lang w:eastAsia="es-ES"/>
        </w:rPr>
        <w:t xml:space="preserve">presupone la competencia del sujeto obligado para conocer de la información, pero por alguna circunstancia, la documentación solicitada no obra en sus archivos; sin embargo, para poder acreditar dicha circunstancia, se considera que los Sujetos Obligados, </w:t>
      </w:r>
      <w:r w:rsidRPr="00445CEF">
        <w:rPr>
          <w:rFonts w:eastAsia="Times New Roman" w:cs="Tahoma"/>
          <w:b/>
          <w:bCs/>
          <w:iCs/>
          <w:color w:val="auto"/>
          <w:lang w:eastAsia="es-ES"/>
        </w:rPr>
        <w:t>primero deben realizar una indagación en todos los archivos de las áreas con funciones para conocer de lo peticionado.</w:t>
      </w:r>
    </w:p>
    <w:p w14:paraId="589DE4AB" w14:textId="77777777" w:rsidR="00AF307F" w:rsidRPr="00445CEF" w:rsidRDefault="00AF307F" w:rsidP="00A47C39">
      <w:pPr>
        <w:spacing w:after="0" w:line="360" w:lineRule="auto"/>
        <w:rPr>
          <w:rFonts w:eastAsia="Times New Roman" w:cs="Tahoma"/>
          <w:b/>
          <w:bCs/>
          <w:iCs/>
          <w:color w:val="FF0000"/>
          <w:lang w:eastAsia="es-ES"/>
        </w:rPr>
      </w:pPr>
    </w:p>
    <w:p w14:paraId="3C5A6437" w14:textId="11585CD1" w:rsidR="00AF307F" w:rsidRPr="00445CEF" w:rsidRDefault="00B009D4" w:rsidP="00A47C39">
      <w:pPr>
        <w:spacing w:after="0" w:line="360" w:lineRule="auto"/>
        <w:rPr>
          <w:rFonts w:eastAsia="Times New Roman" w:cs="Tahoma"/>
          <w:b/>
          <w:bCs/>
          <w:iCs/>
          <w:color w:val="auto"/>
          <w:lang w:eastAsia="es-ES"/>
        </w:rPr>
      </w:pPr>
      <w:r w:rsidRPr="00445CEF">
        <w:rPr>
          <w:rFonts w:eastAsia="Times New Roman" w:cs="Tahoma"/>
          <w:bCs/>
          <w:iCs/>
          <w:color w:val="auto"/>
          <w:lang w:eastAsia="es-ES"/>
        </w:rPr>
        <w:t xml:space="preserve">En ese sentido, según Jarquín, Soledad (2019), en el “Diccionario de Transparencia y Acceso a la Información Pública” (p. 68), </w:t>
      </w:r>
      <w:r w:rsidRPr="00445CEF">
        <w:rPr>
          <w:rFonts w:eastAsia="Times New Roman" w:cs="Tahoma"/>
          <w:b/>
          <w:bCs/>
          <w:iCs/>
          <w:color w:val="auto"/>
          <w:lang w:eastAsia="es-ES"/>
        </w:rPr>
        <w:t>la búsqueda exhaustiva</w:t>
      </w:r>
      <w:r w:rsidRPr="00445CEF">
        <w:rPr>
          <w:rFonts w:eastAsia="Times New Roman" w:cs="Tahoma"/>
          <w:bCs/>
          <w:iCs/>
          <w:color w:val="auto"/>
          <w:lang w:eastAsia="es-ES"/>
        </w:rPr>
        <w:t xml:space="preserve"> es la obligación del área administrativa del Sujeto Obligado que cuenta o puede contar con la información requerida, la cual consiste en localizar toda aquella que atienda la solicitud, </w:t>
      </w:r>
      <w:r w:rsidRPr="00445CEF">
        <w:rPr>
          <w:rFonts w:eastAsia="Times New Roman" w:cs="Tahoma"/>
          <w:b/>
          <w:bCs/>
          <w:iCs/>
          <w:color w:val="auto"/>
          <w:lang w:eastAsia="es-ES"/>
        </w:rPr>
        <w:t>hasta agotar por completo las posibilidades de indagación.</w:t>
      </w:r>
    </w:p>
    <w:p w14:paraId="05ED7946" w14:textId="77777777" w:rsidR="00B009D4" w:rsidRPr="00445CEF" w:rsidRDefault="00B009D4" w:rsidP="00A47C39">
      <w:pPr>
        <w:spacing w:after="0" w:line="360" w:lineRule="auto"/>
        <w:rPr>
          <w:rFonts w:eastAsia="Times New Roman" w:cs="Tahoma"/>
          <w:bCs/>
          <w:iCs/>
          <w:color w:val="auto"/>
          <w:lang w:eastAsia="es-ES"/>
        </w:rPr>
      </w:pPr>
    </w:p>
    <w:p w14:paraId="02522084" w14:textId="03E465E4" w:rsidR="00B009D4" w:rsidRPr="00445CEF" w:rsidRDefault="006D73DE" w:rsidP="00A47C39">
      <w:pPr>
        <w:spacing w:after="0" w:line="360" w:lineRule="auto"/>
        <w:rPr>
          <w:rFonts w:eastAsia="Times New Roman" w:cs="Tahoma"/>
          <w:b/>
          <w:bCs/>
          <w:iCs/>
          <w:color w:val="auto"/>
          <w:lang w:eastAsia="es-ES"/>
        </w:rPr>
      </w:pPr>
      <w:r w:rsidRPr="00445CEF">
        <w:rPr>
          <w:rFonts w:eastAsia="Times New Roman" w:cs="Tahoma"/>
          <w:bCs/>
          <w:iCs/>
          <w:color w:val="auto"/>
          <w:lang w:eastAsia="es-ES"/>
        </w:rPr>
        <w:lastRenderedPageBreak/>
        <w:t xml:space="preserve">Además, según Calero, Natalia (2016), en la “Ley General de Transparencia y Acceso a la Información Pública Comentada” (p. 408), para que exista una búsqueda exhaustiva y razonable, se debe hacer una </w:t>
      </w:r>
      <w:r w:rsidRPr="00445CEF">
        <w:rPr>
          <w:rFonts w:eastAsia="Times New Roman" w:cs="Tahoma"/>
          <w:b/>
          <w:bCs/>
          <w:iCs/>
          <w:color w:val="auto"/>
          <w:lang w:eastAsia="es-ES"/>
        </w:rPr>
        <w:t>indagación consiente y minuciosa en sus archivos físicos y electrónicos.</w:t>
      </w:r>
    </w:p>
    <w:p w14:paraId="7787DF40" w14:textId="77777777" w:rsidR="00457321" w:rsidRPr="00445CEF" w:rsidRDefault="00457321" w:rsidP="00A47C39">
      <w:pPr>
        <w:spacing w:after="0" w:line="360" w:lineRule="auto"/>
        <w:rPr>
          <w:rFonts w:eastAsia="Times New Roman" w:cs="Tahoma"/>
          <w:b/>
          <w:bCs/>
          <w:iCs/>
          <w:color w:val="auto"/>
          <w:lang w:eastAsia="es-ES"/>
        </w:rPr>
      </w:pPr>
    </w:p>
    <w:p w14:paraId="328C90DD" w14:textId="6DF1EC31" w:rsidR="00457321" w:rsidRPr="00445CEF" w:rsidRDefault="00457321" w:rsidP="00A47C39">
      <w:pPr>
        <w:spacing w:after="0" w:line="360" w:lineRule="auto"/>
        <w:rPr>
          <w:rFonts w:eastAsia="Times New Roman" w:cs="Tahoma"/>
          <w:bCs/>
          <w:iCs/>
          <w:color w:val="auto"/>
          <w:lang w:eastAsia="es-ES"/>
        </w:rPr>
      </w:pPr>
      <w:r w:rsidRPr="00445CEF">
        <w:rPr>
          <w:rFonts w:eastAsia="Times New Roman" w:cs="Tahoma"/>
          <w:bCs/>
          <w:iCs/>
          <w:color w:val="auto"/>
          <w:lang w:eastAsia="es-ES"/>
        </w:rPr>
        <w:t xml:space="preserve">Conforme a lo anterior, para poder acreditar el carácter exhaustivo de la búsqueda realizada por los Sujetos Obligados, se deben motivar las razones por las que se buscó la información en determinadas áreas, </w:t>
      </w:r>
      <w:r w:rsidRPr="00445CEF">
        <w:rPr>
          <w:rFonts w:eastAsia="Times New Roman" w:cs="Tahoma"/>
          <w:b/>
          <w:bCs/>
          <w:iCs/>
          <w:color w:val="auto"/>
          <w:lang w:eastAsia="es-ES"/>
        </w:rPr>
        <w:t>los criterios de búsqueda utilizados y demás circunstancias que fueron tomadas en cuenta.</w:t>
      </w:r>
    </w:p>
    <w:p w14:paraId="23B61044" w14:textId="77777777" w:rsidR="00B009D4" w:rsidRPr="00445CEF" w:rsidRDefault="00B009D4" w:rsidP="00A47C39">
      <w:pPr>
        <w:spacing w:after="0" w:line="360" w:lineRule="auto"/>
        <w:rPr>
          <w:rFonts w:eastAsia="Times New Roman" w:cs="Tahoma"/>
          <w:bCs/>
          <w:iCs/>
          <w:color w:val="auto"/>
          <w:lang w:eastAsia="es-ES"/>
        </w:rPr>
      </w:pPr>
    </w:p>
    <w:p w14:paraId="255AF4EE" w14:textId="262BA283" w:rsidR="00340FD1" w:rsidRPr="00445CEF" w:rsidRDefault="00340FD1" w:rsidP="00A47C39">
      <w:pPr>
        <w:spacing w:after="0" w:line="360" w:lineRule="auto"/>
        <w:rPr>
          <w:rFonts w:eastAsia="Times New Roman" w:cs="Tahoma"/>
          <w:bCs/>
          <w:iCs/>
          <w:color w:val="auto"/>
          <w:lang w:eastAsia="es-ES"/>
        </w:rPr>
      </w:pPr>
      <w:r w:rsidRPr="00445CEF">
        <w:rPr>
          <w:rFonts w:eastAsia="Times New Roman" w:cs="Tahoma"/>
          <w:bCs/>
          <w:iCs/>
          <w:color w:val="auto"/>
          <w:lang w:eastAsia="es-ES"/>
        </w:rPr>
        <w:t>En ese contexto, de conformidad con los criterios con clave de control SO/012/2010 y SO/004/2019,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2D7317AB" w14:textId="77777777" w:rsidR="00340FD1" w:rsidRPr="00445CEF" w:rsidRDefault="00340FD1" w:rsidP="00A47C39">
      <w:pPr>
        <w:spacing w:after="0" w:line="360" w:lineRule="auto"/>
        <w:rPr>
          <w:rFonts w:eastAsia="Times New Roman" w:cs="Tahoma"/>
          <w:bCs/>
          <w:iCs/>
          <w:color w:val="FF0000"/>
          <w:lang w:eastAsia="es-ES"/>
        </w:rPr>
      </w:pPr>
    </w:p>
    <w:p w14:paraId="2B73C69D" w14:textId="3A27D793" w:rsidR="00340FD1" w:rsidRPr="00445CEF" w:rsidRDefault="00340FD1" w:rsidP="00A47C39">
      <w:pPr>
        <w:pStyle w:val="Prrafodelista"/>
        <w:numPr>
          <w:ilvl w:val="0"/>
          <w:numId w:val="32"/>
        </w:numPr>
        <w:spacing w:after="0" w:line="360" w:lineRule="auto"/>
        <w:rPr>
          <w:rFonts w:eastAsia="Times New Roman" w:cs="Tahoma"/>
          <w:bCs/>
          <w:iCs/>
          <w:color w:val="auto"/>
          <w:lang w:eastAsia="es-ES"/>
        </w:rPr>
      </w:pPr>
      <w:r w:rsidRPr="00445CEF">
        <w:rPr>
          <w:rFonts w:eastAsia="Times New Roman" w:cs="Tahoma"/>
          <w:bCs/>
          <w:iCs/>
          <w:color w:val="auto"/>
          <w:lang w:eastAsia="es-ES"/>
        </w:rPr>
        <w:t>Motivación por las que se buscó la información, en determinadas unidades administrativas;</w:t>
      </w:r>
    </w:p>
    <w:p w14:paraId="13974549" w14:textId="7B2C2457" w:rsidR="00340FD1" w:rsidRPr="00445CEF" w:rsidRDefault="00340FD1" w:rsidP="00A47C39">
      <w:pPr>
        <w:pStyle w:val="Prrafodelista"/>
        <w:numPr>
          <w:ilvl w:val="0"/>
          <w:numId w:val="32"/>
        </w:numPr>
        <w:spacing w:after="0" w:line="360" w:lineRule="auto"/>
        <w:rPr>
          <w:rFonts w:eastAsia="Times New Roman" w:cs="Tahoma"/>
          <w:bCs/>
          <w:iCs/>
          <w:color w:val="auto"/>
          <w:lang w:eastAsia="es-ES"/>
        </w:rPr>
      </w:pPr>
      <w:r w:rsidRPr="00445CEF">
        <w:rPr>
          <w:rFonts w:eastAsia="Times New Roman" w:cs="Tahoma"/>
          <w:bCs/>
          <w:iCs/>
          <w:color w:val="auto"/>
          <w:lang w:eastAsia="es-ES"/>
        </w:rPr>
        <w:t>Los criterios de búsqueda utilizados, y</w:t>
      </w:r>
    </w:p>
    <w:p w14:paraId="335FC05B" w14:textId="2D4E2BEE" w:rsidR="00340FD1" w:rsidRPr="00445CEF" w:rsidRDefault="00340FD1" w:rsidP="00A47C39">
      <w:pPr>
        <w:pStyle w:val="Prrafodelista"/>
        <w:numPr>
          <w:ilvl w:val="0"/>
          <w:numId w:val="32"/>
        </w:numPr>
        <w:spacing w:after="0" w:line="360" w:lineRule="auto"/>
        <w:rPr>
          <w:rFonts w:eastAsia="Times New Roman" w:cs="Tahoma"/>
          <w:bCs/>
          <w:iCs/>
          <w:color w:val="auto"/>
          <w:lang w:eastAsia="es-ES"/>
        </w:rPr>
      </w:pPr>
      <w:r w:rsidRPr="00445CEF">
        <w:rPr>
          <w:rFonts w:eastAsia="Times New Roman" w:cs="Tahoma"/>
          <w:bCs/>
          <w:iCs/>
          <w:color w:val="auto"/>
          <w:lang w:eastAsia="es-ES"/>
        </w:rPr>
        <w:t>Las circunstancias que fueron tomadas en cuenta.</w:t>
      </w:r>
    </w:p>
    <w:p w14:paraId="7B63369A" w14:textId="77777777" w:rsidR="00340FD1" w:rsidRPr="00445CEF" w:rsidRDefault="00340FD1" w:rsidP="00A47C39">
      <w:pPr>
        <w:spacing w:after="0" w:line="360" w:lineRule="auto"/>
        <w:rPr>
          <w:rFonts w:eastAsia="Times New Roman" w:cs="Tahoma"/>
          <w:bCs/>
          <w:iCs/>
          <w:color w:val="FF0000"/>
          <w:lang w:eastAsia="es-ES"/>
        </w:rPr>
      </w:pPr>
    </w:p>
    <w:p w14:paraId="1F9D9C50" w14:textId="70F2AF34" w:rsidR="00EB3C0E" w:rsidRPr="00445CEF" w:rsidRDefault="00EB3C0E" w:rsidP="00A47C39">
      <w:pPr>
        <w:spacing w:after="0" w:line="360" w:lineRule="auto"/>
        <w:rPr>
          <w:rFonts w:eastAsia="Times New Roman" w:cs="Tahoma"/>
          <w:bCs/>
          <w:iCs/>
          <w:color w:val="auto"/>
          <w:lang w:eastAsia="es-ES"/>
        </w:rPr>
      </w:pPr>
      <w:r w:rsidRPr="00445CEF">
        <w:rPr>
          <w:rFonts w:eastAsia="Times New Roman" w:cs="Tahoma"/>
          <w:bCs/>
          <w:iCs/>
          <w:color w:val="auto"/>
          <w:lang w:eastAsia="es-ES"/>
        </w:rPr>
        <w:t>De tales circunstancias, se considera que para que los Sujetos Obligado justifiquen que realizaron una búsqueda exhaustiva y razonable, deben indicar de manera clara, lo siguiente:</w:t>
      </w:r>
    </w:p>
    <w:p w14:paraId="17E302ED" w14:textId="77777777" w:rsidR="00EB3C0E" w:rsidRPr="00445CEF" w:rsidRDefault="00EB3C0E" w:rsidP="00A47C39">
      <w:pPr>
        <w:spacing w:after="0" w:line="360" w:lineRule="auto"/>
        <w:rPr>
          <w:rFonts w:eastAsia="Times New Roman" w:cs="Tahoma"/>
          <w:bCs/>
          <w:iCs/>
          <w:color w:val="FF0000"/>
          <w:lang w:eastAsia="es-ES"/>
        </w:rPr>
      </w:pPr>
    </w:p>
    <w:p w14:paraId="1825DA92" w14:textId="77777777" w:rsidR="00EB3C0E" w:rsidRPr="00445CEF" w:rsidRDefault="00EB3C0E" w:rsidP="00A47C39">
      <w:pPr>
        <w:pStyle w:val="Prrafodelista"/>
        <w:numPr>
          <w:ilvl w:val="0"/>
          <w:numId w:val="33"/>
        </w:numPr>
        <w:spacing w:after="0" w:line="360" w:lineRule="auto"/>
        <w:rPr>
          <w:rFonts w:eastAsia="Times New Roman" w:cs="Tahoma"/>
          <w:bCs/>
          <w:iCs/>
          <w:color w:val="auto"/>
          <w:lang w:eastAsia="es-ES"/>
        </w:rPr>
      </w:pPr>
      <w:r w:rsidRPr="00445CEF">
        <w:rPr>
          <w:rFonts w:eastAsia="Times New Roman" w:cs="Tahoma"/>
          <w:bCs/>
          <w:iCs/>
          <w:color w:val="auto"/>
          <w:lang w:eastAsia="es-ES"/>
        </w:rPr>
        <w:t>Las áreas donde se buscó la información;</w:t>
      </w:r>
    </w:p>
    <w:p w14:paraId="7F3EC324" w14:textId="7B390C57" w:rsidR="00EB3C0E" w:rsidRPr="00445CEF" w:rsidRDefault="00EB3C0E" w:rsidP="00A47C39">
      <w:pPr>
        <w:pStyle w:val="Prrafodelista"/>
        <w:numPr>
          <w:ilvl w:val="0"/>
          <w:numId w:val="33"/>
        </w:numPr>
        <w:spacing w:after="0" w:line="360" w:lineRule="auto"/>
        <w:rPr>
          <w:rFonts w:eastAsia="Times New Roman" w:cs="Tahoma"/>
          <w:bCs/>
          <w:iCs/>
          <w:color w:val="auto"/>
          <w:lang w:eastAsia="es-ES"/>
        </w:rPr>
      </w:pPr>
      <w:r w:rsidRPr="00445CEF">
        <w:rPr>
          <w:rFonts w:eastAsia="Times New Roman" w:cs="Tahoma"/>
          <w:bCs/>
          <w:iCs/>
          <w:color w:val="auto"/>
          <w:lang w:eastAsia="es-ES"/>
        </w:rPr>
        <w:t>Tipo de archivos buscados (físicos o electrónicos);</w:t>
      </w:r>
    </w:p>
    <w:p w14:paraId="25D12D72" w14:textId="7E385B64" w:rsidR="00EB3C0E" w:rsidRPr="00445CEF" w:rsidRDefault="00EB3C0E" w:rsidP="00A47C39">
      <w:pPr>
        <w:pStyle w:val="Prrafodelista"/>
        <w:numPr>
          <w:ilvl w:val="0"/>
          <w:numId w:val="33"/>
        </w:numPr>
        <w:spacing w:after="0" w:line="360" w:lineRule="auto"/>
        <w:rPr>
          <w:rFonts w:eastAsia="Times New Roman" w:cs="Tahoma"/>
          <w:bCs/>
          <w:iCs/>
          <w:color w:val="auto"/>
          <w:lang w:eastAsia="es-ES"/>
        </w:rPr>
      </w:pPr>
      <w:r w:rsidRPr="00445CEF">
        <w:rPr>
          <w:rFonts w:eastAsia="Times New Roman" w:cs="Tahoma"/>
          <w:bCs/>
          <w:iCs/>
          <w:color w:val="auto"/>
          <w:lang w:eastAsia="es-ES"/>
        </w:rPr>
        <w:lastRenderedPageBreak/>
        <w:t>Los criterios de búsqueda utilizados, y</w:t>
      </w:r>
    </w:p>
    <w:p w14:paraId="134631E2" w14:textId="295A14E7" w:rsidR="00EB3C0E" w:rsidRPr="00445CEF" w:rsidRDefault="00EB3C0E" w:rsidP="00A47C39">
      <w:pPr>
        <w:pStyle w:val="Prrafodelista"/>
        <w:numPr>
          <w:ilvl w:val="0"/>
          <w:numId w:val="33"/>
        </w:numPr>
        <w:spacing w:after="0" w:line="360" w:lineRule="auto"/>
        <w:rPr>
          <w:rFonts w:eastAsia="Times New Roman" w:cs="Tahoma"/>
          <w:bCs/>
          <w:iCs/>
          <w:color w:val="auto"/>
          <w:lang w:eastAsia="es-ES"/>
        </w:rPr>
      </w:pPr>
      <w:r w:rsidRPr="00445CEF">
        <w:rPr>
          <w:rFonts w:eastAsia="Times New Roman" w:cs="Tahoma"/>
          <w:bCs/>
          <w:iCs/>
          <w:color w:val="auto"/>
          <w:lang w:eastAsia="es-ES"/>
        </w:rPr>
        <w:t>Las circunstancias que fueron tomadas en cuenta.</w:t>
      </w:r>
    </w:p>
    <w:p w14:paraId="3CC37F6A" w14:textId="77777777" w:rsidR="008C0081" w:rsidRPr="00445CEF" w:rsidRDefault="008C0081" w:rsidP="00A47C39">
      <w:pPr>
        <w:spacing w:after="0" w:line="360" w:lineRule="auto"/>
        <w:rPr>
          <w:rFonts w:eastAsia="Times New Roman" w:cs="Tahoma"/>
          <w:bCs/>
          <w:iCs/>
          <w:color w:val="auto"/>
          <w:lang w:eastAsia="es-ES"/>
        </w:rPr>
      </w:pPr>
    </w:p>
    <w:p w14:paraId="7FE0B875" w14:textId="21C436FC" w:rsidR="00EB3C0E" w:rsidRPr="00445CEF" w:rsidRDefault="008C0081" w:rsidP="00A47C39">
      <w:pPr>
        <w:spacing w:after="0" w:line="360" w:lineRule="auto"/>
        <w:rPr>
          <w:rFonts w:eastAsia="Times New Roman" w:cs="Tahoma"/>
          <w:bCs/>
          <w:iCs/>
          <w:color w:val="auto"/>
          <w:lang w:eastAsia="es-ES"/>
        </w:rPr>
      </w:pPr>
      <w:r w:rsidRPr="00445CEF">
        <w:rPr>
          <w:rFonts w:eastAsia="Times New Roman" w:cs="Tahoma"/>
          <w:bCs/>
          <w:iCs/>
          <w:color w:val="auto"/>
          <w:lang w:eastAsia="es-ES"/>
        </w:rPr>
        <w:t>Así y en atención al análisis realizado en párrafos anteriores, se logra vislumbrar que el Sujeto Obligado no cumplió con el procedimiento de búsqueda, pues si bien turno el requerimiento a las áreas competentes para conocer de lo solicitado, lo cierto es que omitió precisar los criterios de búsqueda utilizados y los tipos de archivos donde se buscó la información.</w:t>
      </w:r>
    </w:p>
    <w:p w14:paraId="4FA19CFF" w14:textId="77777777" w:rsidR="008C0081" w:rsidRPr="00445CEF" w:rsidRDefault="008C0081" w:rsidP="00A47C39">
      <w:pPr>
        <w:spacing w:after="0" w:line="360" w:lineRule="auto"/>
        <w:rPr>
          <w:rFonts w:eastAsia="Times New Roman" w:cs="Tahoma"/>
          <w:bCs/>
          <w:iCs/>
          <w:color w:val="auto"/>
          <w:lang w:eastAsia="es-ES"/>
        </w:rPr>
      </w:pPr>
    </w:p>
    <w:p w14:paraId="0610B044" w14:textId="7279E787" w:rsidR="008C0081" w:rsidRPr="00445CEF" w:rsidRDefault="008C0081" w:rsidP="00A47C39">
      <w:pPr>
        <w:spacing w:after="0" w:line="360" w:lineRule="auto"/>
        <w:rPr>
          <w:rFonts w:eastAsia="Times New Roman" w:cs="Tahoma"/>
          <w:bCs/>
          <w:iCs/>
          <w:color w:val="auto"/>
          <w:lang w:eastAsia="es-ES"/>
        </w:rPr>
      </w:pPr>
      <w:r w:rsidRPr="00445CEF">
        <w:rPr>
          <w:rFonts w:eastAsia="Times New Roman" w:cs="Tahoma"/>
          <w:bCs/>
          <w:iCs/>
          <w:color w:val="auto"/>
          <w:lang w:eastAsia="es-ES"/>
        </w:rPr>
        <w:t xml:space="preserve">Hecho que toma relevancia, pues este Instituto localizó en el Portal de Información Pública de Oficio (IPOMEX), del Sujeto Obligado </w:t>
      </w:r>
      <w:hyperlink r:id="rId12" w:anchor="/info-fraccion/10/103/22" w:history="1">
        <w:r w:rsidRPr="00445CEF">
          <w:rPr>
            <w:rStyle w:val="Hipervnculo"/>
            <w:rFonts w:eastAsia="Times New Roman" w:cs="Tahoma"/>
            <w:bCs/>
            <w:iCs/>
            <w:lang w:eastAsia="es-ES"/>
          </w:rPr>
          <w:t>https://infoem2.ipomex.org.mx/ipomex/#/info-fraccion/10/103/22</w:t>
        </w:r>
      </w:hyperlink>
      <w:r w:rsidRPr="00445CEF">
        <w:rPr>
          <w:rFonts w:eastAsia="Times New Roman" w:cs="Tahoma"/>
          <w:bCs/>
          <w:iCs/>
          <w:color w:val="auto"/>
          <w:lang w:eastAsia="es-ES"/>
        </w:rPr>
        <w:t xml:space="preserve"> en la fracción VII “El directorio de todos los servidores públicos”</w:t>
      </w:r>
      <w:r w:rsidR="005A6CAE" w:rsidRPr="00445CEF">
        <w:rPr>
          <w:rFonts w:eastAsia="Times New Roman" w:cs="Tahoma"/>
          <w:bCs/>
          <w:iCs/>
          <w:color w:val="auto"/>
          <w:lang w:eastAsia="es-ES"/>
        </w:rPr>
        <w:t>, que la servidora pública Viridiana Figueroa Romero es Secretaria de la Oficialía del Registro Civil del Ayuntamiento de Atlacomulco tal como se desprende de las siguientes capturas de pantalla:</w:t>
      </w:r>
    </w:p>
    <w:p w14:paraId="769F453A" w14:textId="40F0846A" w:rsidR="005A6CAE" w:rsidRPr="00445CEF" w:rsidRDefault="005A6CAE" w:rsidP="00A47C39">
      <w:pPr>
        <w:spacing w:after="0" w:line="360" w:lineRule="auto"/>
        <w:rPr>
          <w:rFonts w:eastAsia="Times New Roman" w:cs="Tahoma"/>
          <w:bCs/>
          <w:iCs/>
          <w:noProof/>
          <w:color w:val="FF0000"/>
          <w:lang w:eastAsia="es-MX"/>
          <w14:ligatures w14:val="standardContextual"/>
        </w:rPr>
      </w:pPr>
      <w:r w:rsidRPr="00445CEF">
        <w:rPr>
          <w:rFonts w:eastAsia="Times New Roman" w:cs="Tahoma"/>
          <w:bCs/>
          <w:iCs/>
          <w:noProof/>
          <w:color w:val="FF0000"/>
          <w:lang w:eastAsia="es-MX"/>
          <w14:ligatures w14:val="standardContextual"/>
        </w:rPr>
        <w:drawing>
          <wp:inline distT="0" distB="0" distL="0" distR="0" wp14:anchorId="4E2E954F" wp14:editId="2A4A6164">
            <wp:extent cx="5486400" cy="89566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10-28 at 1.27.40 PM.jpeg"/>
                    <pic:cNvPicPr/>
                  </pic:nvPicPr>
                  <pic:blipFill>
                    <a:blip r:embed="rId13">
                      <a:extLst>
                        <a:ext uri="{28A0092B-C50C-407E-A947-70E740481C1C}">
                          <a14:useLocalDpi xmlns:a14="http://schemas.microsoft.com/office/drawing/2010/main" val="0"/>
                        </a:ext>
                      </a:extLst>
                    </a:blip>
                    <a:stretch>
                      <a:fillRect/>
                    </a:stretch>
                  </pic:blipFill>
                  <pic:spPr>
                    <a:xfrm>
                      <a:off x="0" y="0"/>
                      <a:ext cx="5569117" cy="909167"/>
                    </a:xfrm>
                    <a:prstGeom prst="rect">
                      <a:avLst/>
                    </a:prstGeom>
                  </pic:spPr>
                </pic:pic>
              </a:graphicData>
            </a:graphic>
          </wp:inline>
        </w:drawing>
      </w:r>
    </w:p>
    <w:p w14:paraId="72EBCB8C" w14:textId="572FCC16" w:rsidR="00EB3C0E" w:rsidRPr="00445CEF" w:rsidRDefault="005A6CAE" w:rsidP="00A47C39">
      <w:pPr>
        <w:spacing w:after="0" w:line="360" w:lineRule="auto"/>
        <w:rPr>
          <w:rFonts w:eastAsia="Times New Roman" w:cs="Tahoma"/>
          <w:bCs/>
          <w:iCs/>
          <w:color w:val="FF0000"/>
          <w:lang w:eastAsia="es-ES"/>
        </w:rPr>
      </w:pPr>
      <w:r w:rsidRPr="00445CEF">
        <w:rPr>
          <w:rFonts w:eastAsia="Times New Roman" w:cs="Tahoma"/>
          <w:bCs/>
          <w:iCs/>
          <w:noProof/>
          <w:color w:val="FF0000"/>
          <w:lang w:eastAsia="es-MX"/>
          <w14:ligatures w14:val="standardContextual"/>
        </w:rPr>
        <w:drawing>
          <wp:inline distT="0" distB="0" distL="0" distR="0" wp14:anchorId="612E9DC6" wp14:editId="675B3B8B">
            <wp:extent cx="5448300" cy="1460901"/>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10-28 at 1.28.03 PM.jpeg"/>
                    <pic:cNvPicPr/>
                  </pic:nvPicPr>
                  <pic:blipFill rotWithShape="1">
                    <a:blip r:embed="rId14">
                      <a:extLst>
                        <a:ext uri="{28A0092B-C50C-407E-A947-70E740481C1C}">
                          <a14:useLocalDpi xmlns:a14="http://schemas.microsoft.com/office/drawing/2010/main" val="0"/>
                        </a:ext>
                      </a:extLst>
                    </a:blip>
                    <a:srcRect l="-1" r="-1135" b="47084"/>
                    <a:stretch/>
                  </pic:blipFill>
                  <pic:spPr bwMode="auto">
                    <a:xfrm>
                      <a:off x="0" y="0"/>
                      <a:ext cx="5489857" cy="1472044"/>
                    </a:xfrm>
                    <a:prstGeom prst="rect">
                      <a:avLst/>
                    </a:prstGeom>
                    <a:ln>
                      <a:noFill/>
                    </a:ln>
                    <a:extLst>
                      <a:ext uri="{53640926-AAD7-44D8-BBD7-CCE9431645EC}">
                        <a14:shadowObscured xmlns:a14="http://schemas.microsoft.com/office/drawing/2010/main"/>
                      </a:ext>
                    </a:extLst>
                  </pic:spPr>
                </pic:pic>
              </a:graphicData>
            </a:graphic>
          </wp:inline>
        </w:drawing>
      </w:r>
    </w:p>
    <w:p w14:paraId="320841C0" w14:textId="77777777" w:rsidR="00B57665" w:rsidRPr="00445CEF" w:rsidRDefault="00B57665" w:rsidP="00A47C39">
      <w:pPr>
        <w:spacing w:after="0" w:line="360" w:lineRule="auto"/>
        <w:rPr>
          <w:rFonts w:eastAsia="Times New Roman" w:cs="Tahoma"/>
          <w:bCs/>
          <w:iCs/>
          <w:color w:val="auto"/>
          <w:lang w:eastAsia="es-ES"/>
        </w:rPr>
      </w:pPr>
    </w:p>
    <w:p w14:paraId="44F99D89" w14:textId="6BED2513" w:rsidR="00494313" w:rsidRPr="00445CEF" w:rsidRDefault="00494313" w:rsidP="00A47C39">
      <w:pPr>
        <w:spacing w:after="0" w:line="360" w:lineRule="auto"/>
        <w:rPr>
          <w:rFonts w:eastAsia="Times New Roman" w:cs="Tahoma"/>
          <w:bCs/>
          <w:iCs/>
          <w:color w:val="auto"/>
          <w:lang w:eastAsia="es-ES"/>
        </w:rPr>
      </w:pPr>
      <w:r w:rsidRPr="00445CEF">
        <w:rPr>
          <w:rFonts w:eastAsia="Times New Roman" w:cs="Tahoma"/>
          <w:bCs/>
          <w:iCs/>
          <w:color w:val="auto"/>
          <w:lang w:eastAsia="es-ES"/>
        </w:rPr>
        <w:t xml:space="preserve">Conforme a lo anterior, se logra vislumbrar que el Sujeto Obligado no acreditó los criterios de búsqueda previamente establecido, pues no indicó en qué lugares buscó la documentación, ni los criterios de búsqueda utilizados, pues como se advirtió el Sujeto </w:t>
      </w:r>
      <w:r w:rsidRPr="00445CEF">
        <w:rPr>
          <w:rFonts w:eastAsia="Times New Roman" w:cs="Tahoma"/>
          <w:bCs/>
          <w:iCs/>
          <w:color w:val="auto"/>
          <w:lang w:eastAsia="es-ES"/>
        </w:rPr>
        <w:lastRenderedPageBreak/>
        <w:t xml:space="preserve">Obligado cuenta con información de una de las servidoras públicas señaladas en la solicitud de información, lo cual da como resultado que el agravio sea </w:t>
      </w:r>
      <w:r w:rsidRPr="00445CEF">
        <w:rPr>
          <w:rFonts w:eastAsia="Times New Roman" w:cs="Tahoma"/>
          <w:b/>
          <w:bCs/>
          <w:iCs/>
          <w:color w:val="auto"/>
          <w:lang w:eastAsia="es-ES"/>
        </w:rPr>
        <w:t>FUNDADO.</w:t>
      </w:r>
    </w:p>
    <w:p w14:paraId="371D685D" w14:textId="77777777" w:rsidR="00494313" w:rsidRPr="00445CEF" w:rsidRDefault="00494313" w:rsidP="00A47C39">
      <w:pPr>
        <w:spacing w:after="0" w:line="360" w:lineRule="auto"/>
        <w:rPr>
          <w:rFonts w:eastAsia="Times New Roman" w:cs="Tahoma"/>
          <w:bCs/>
          <w:iCs/>
          <w:color w:val="FF0000"/>
          <w:lang w:eastAsia="es-ES"/>
        </w:rPr>
      </w:pPr>
    </w:p>
    <w:p w14:paraId="2D03F13C" w14:textId="77777777" w:rsidR="00494313" w:rsidRPr="00445CEF" w:rsidRDefault="00494313" w:rsidP="00A47C39">
      <w:pPr>
        <w:spacing w:after="0" w:line="360" w:lineRule="auto"/>
        <w:rPr>
          <w:rFonts w:eastAsia="Calibri" w:cs="Times New Roman"/>
          <w:bCs/>
          <w:color w:val="FF0000"/>
          <w:lang w:val="es-ES"/>
        </w:rPr>
      </w:pPr>
      <w:r w:rsidRPr="00445CEF">
        <w:rPr>
          <w:rFonts w:eastAsia="Times New Roman" w:cs="Tahoma"/>
          <w:bCs/>
          <w:iCs/>
          <w:color w:val="auto"/>
          <w:lang w:eastAsia="es-ES"/>
        </w:rPr>
        <w:t xml:space="preserve">Así, este Instituto considera que para atender el requerimiento de información, el Sujeto Obligado deberá realizar una búsqueda conforme a los parámetros analizados, en todas las áreas competentes, entre las cuales no podrá omitir a la Tesorería Municipal y el Departamento de Recursos Humanos, en términos del artículo 162 de la Ley de Transparencia y Acceso a la Información Pública del Estado de México y Municipios, a efecto de que proporcione, </w:t>
      </w:r>
      <w:r w:rsidRPr="00445CEF">
        <w:rPr>
          <w:rFonts w:eastAsia="Calibri" w:cs="Times New Roman"/>
          <w:bCs/>
          <w:color w:val="auto"/>
          <w:lang w:val="es-ES"/>
        </w:rPr>
        <w:t>del periodo que comprende del veintinueve de agosto de dos mil veintitrés al veintinueve de agosto de dos mil veinticuatro, lo siguiente:</w:t>
      </w:r>
    </w:p>
    <w:p w14:paraId="0B4A4B9D" w14:textId="77777777" w:rsidR="00494313" w:rsidRPr="00445CEF" w:rsidRDefault="00494313" w:rsidP="00A47C39">
      <w:pPr>
        <w:spacing w:after="0" w:line="360" w:lineRule="auto"/>
        <w:rPr>
          <w:rFonts w:eastAsia="Calibri" w:cs="Times New Roman"/>
          <w:bCs/>
          <w:color w:val="FF0000"/>
          <w:lang w:val="es-ES"/>
        </w:rPr>
      </w:pPr>
    </w:p>
    <w:p w14:paraId="3C437E15" w14:textId="77777777" w:rsidR="00494313" w:rsidRPr="00445CEF" w:rsidRDefault="00494313" w:rsidP="00A47C39">
      <w:pPr>
        <w:pStyle w:val="Prrafodelista"/>
        <w:numPr>
          <w:ilvl w:val="0"/>
          <w:numId w:val="30"/>
        </w:numPr>
        <w:tabs>
          <w:tab w:val="left" w:pos="4962"/>
        </w:tabs>
        <w:spacing w:after="0" w:line="360" w:lineRule="auto"/>
        <w:rPr>
          <w:rFonts w:cs="Tahoma"/>
          <w:color w:val="auto"/>
        </w:rPr>
      </w:pPr>
      <w:r w:rsidRPr="00445CEF">
        <w:rPr>
          <w:rFonts w:cs="Tahoma"/>
          <w:color w:val="auto"/>
        </w:rPr>
        <w:t>De las servidoras públicas Victoria Romero Cruz y Viridiana Figueroa Romero, lo siguiente:</w:t>
      </w:r>
    </w:p>
    <w:p w14:paraId="0448C060" w14:textId="77777777" w:rsidR="00494313" w:rsidRPr="00445CEF" w:rsidRDefault="00494313" w:rsidP="00A47C39">
      <w:pPr>
        <w:pStyle w:val="Prrafodelista"/>
        <w:tabs>
          <w:tab w:val="left" w:pos="4962"/>
        </w:tabs>
        <w:spacing w:after="0" w:line="360" w:lineRule="auto"/>
        <w:rPr>
          <w:rFonts w:cs="Tahoma"/>
          <w:color w:val="auto"/>
        </w:rPr>
      </w:pPr>
    </w:p>
    <w:p w14:paraId="7608E70F" w14:textId="77777777" w:rsidR="00494313" w:rsidRPr="00445CEF" w:rsidRDefault="00494313" w:rsidP="00AF189E">
      <w:pPr>
        <w:pStyle w:val="Prrafodelista"/>
        <w:numPr>
          <w:ilvl w:val="0"/>
          <w:numId w:val="34"/>
        </w:numPr>
        <w:tabs>
          <w:tab w:val="left" w:pos="4962"/>
        </w:tabs>
        <w:spacing w:after="0" w:line="360" w:lineRule="auto"/>
        <w:ind w:left="1276"/>
        <w:rPr>
          <w:rFonts w:cs="Tahoma"/>
          <w:color w:val="auto"/>
        </w:rPr>
      </w:pPr>
      <w:r w:rsidRPr="00445CEF">
        <w:rPr>
          <w:rFonts w:cs="Tahoma"/>
          <w:color w:val="auto"/>
        </w:rPr>
        <w:t xml:space="preserve">Nómina </w:t>
      </w:r>
    </w:p>
    <w:p w14:paraId="4E950F87" w14:textId="77777777" w:rsidR="00494313" w:rsidRPr="00445CEF" w:rsidRDefault="00494313" w:rsidP="00AF189E">
      <w:pPr>
        <w:pStyle w:val="Prrafodelista"/>
        <w:numPr>
          <w:ilvl w:val="0"/>
          <w:numId w:val="34"/>
        </w:numPr>
        <w:tabs>
          <w:tab w:val="left" w:pos="4962"/>
        </w:tabs>
        <w:spacing w:after="0" w:line="360" w:lineRule="auto"/>
        <w:ind w:left="1276"/>
        <w:rPr>
          <w:rFonts w:cs="Tahoma"/>
          <w:color w:val="auto"/>
        </w:rPr>
      </w:pPr>
      <w:r w:rsidRPr="00445CEF">
        <w:rPr>
          <w:rFonts w:cs="Tahoma"/>
          <w:color w:val="auto"/>
        </w:rPr>
        <w:t>Movimientos de anta ante el Instituto de Seguridad Social del Estado de México y Municipios</w:t>
      </w:r>
    </w:p>
    <w:p w14:paraId="4781893B" w14:textId="77777777" w:rsidR="00494313" w:rsidRPr="00445CEF" w:rsidRDefault="00494313" w:rsidP="00AF189E">
      <w:pPr>
        <w:pStyle w:val="Prrafodelista"/>
        <w:numPr>
          <w:ilvl w:val="0"/>
          <w:numId w:val="34"/>
        </w:numPr>
        <w:tabs>
          <w:tab w:val="left" w:pos="4962"/>
        </w:tabs>
        <w:spacing w:after="0" w:line="360" w:lineRule="auto"/>
        <w:ind w:left="1276"/>
        <w:rPr>
          <w:rFonts w:cs="Tahoma"/>
          <w:color w:val="auto"/>
        </w:rPr>
      </w:pPr>
      <w:r w:rsidRPr="00445CEF">
        <w:t>El documento donde conste la relación laboral que existe entre las servidoras públicas y el Sujeto Obligado</w:t>
      </w:r>
    </w:p>
    <w:p w14:paraId="4F7A7872" w14:textId="77777777" w:rsidR="00494313" w:rsidRPr="00445CEF" w:rsidRDefault="00494313" w:rsidP="00AF189E">
      <w:pPr>
        <w:pStyle w:val="Prrafodelista"/>
        <w:numPr>
          <w:ilvl w:val="0"/>
          <w:numId w:val="34"/>
        </w:numPr>
        <w:tabs>
          <w:tab w:val="left" w:pos="4962"/>
        </w:tabs>
        <w:spacing w:after="0" w:line="360" w:lineRule="auto"/>
        <w:ind w:left="1276"/>
        <w:rPr>
          <w:rFonts w:cs="Tahoma"/>
          <w:color w:val="auto"/>
        </w:rPr>
      </w:pPr>
      <w:r w:rsidRPr="00445CEF">
        <w:rPr>
          <w:rFonts w:cs="Tahoma"/>
          <w:color w:val="auto"/>
        </w:rPr>
        <w:t>Nivel salarial</w:t>
      </w:r>
    </w:p>
    <w:p w14:paraId="286B895A" w14:textId="77777777" w:rsidR="00494313" w:rsidRPr="00445CEF" w:rsidRDefault="00494313" w:rsidP="00AF189E">
      <w:pPr>
        <w:pStyle w:val="Prrafodelista"/>
        <w:numPr>
          <w:ilvl w:val="0"/>
          <w:numId w:val="34"/>
        </w:numPr>
        <w:tabs>
          <w:tab w:val="left" w:pos="4962"/>
        </w:tabs>
        <w:spacing w:after="0" w:line="360" w:lineRule="auto"/>
        <w:ind w:left="1276"/>
        <w:rPr>
          <w:rFonts w:cs="Tahoma"/>
          <w:color w:val="auto"/>
        </w:rPr>
      </w:pPr>
      <w:r w:rsidRPr="00445CEF">
        <w:rPr>
          <w:rFonts w:cs="Tahoma"/>
          <w:color w:val="auto"/>
        </w:rPr>
        <w:t>Funciones que desempeñan</w:t>
      </w:r>
    </w:p>
    <w:p w14:paraId="7E397838" w14:textId="661859D2" w:rsidR="00494313" w:rsidRPr="00445CEF" w:rsidRDefault="00494313" w:rsidP="00A47C39">
      <w:pPr>
        <w:spacing w:after="0" w:line="360" w:lineRule="auto"/>
        <w:rPr>
          <w:rFonts w:eastAsia="Times New Roman" w:cs="Tahoma"/>
          <w:bCs/>
          <w:iCs/>
          <w:color w:val="auto"/>
          <w:lang w:eastAsia="es-ES"/>
        </w:rPr>
      </w:pPr>
    </w:p>
    <w:p w14:paraId="480EBF30" w14:textId="61895EFB" w:rsidR="00494313" w:rsidRPr="00445CEF" w:rsidRDefault="00494313" w:rsidP="00A47C39">
      <w:pPr>
        <w:spacing w:after="0" w:line="360" w:lineRule="auto"/>
        <w:rPr>
          <w:rFonts w:eastAsia="Times New Roman" w:cs="Tahoma"/>
          <w:bCs/>
          <w:iCs/>
          <w:color w:val="auto"/>
          <w:lang w:eastAsia="es-ES"/>
        </w:rPr>
      </w:pPr>
      <w:r w:rsidRPr="00445CEF">
        <w:rPr>
          <w:rFonts w:eastAsia="Times New Roman" w:cs="Tahoma"/>
          <w:bCs/>
          <w:iCs/>
          <w:color w:val="auto"/>
          <w:lang w:eastAsia="es-ES"/>
        </w:rPr>
        <w:t>Para el caso, de que Victoria Romero Cruz, no se encuentre adscrita al Ayuntamiento de Atlacomulco, deberá hacerlo del conocimiento del Recurrente, de manera clara y precisa</w:t>
      </w:r>
      <w:r w:rsidR="00AF189E" w:rsidRPr="00445CEF">
        <w:rPr>
          <w:rFonts w:eastAsia="Times New Roman" w:cs="Tahoma"/>
          <w:bCs/>
          <w:iCs/>
          <w:color w:val="auto"/>
          <w:lang w:eastAsia="es-ES"/>
        </w:rPr>
        <w:t>.</w:t>
      </w:r>
    </w:p>
    <w:p w14:paraId="78C9759E" w14:textId="77777777" w:rsidR="00494313" w:rsidRPr="00445CEF" w:rsidRDefault="00494313" w:rsidP="00A47C39">
      <w:pPr>
        <w:spacing w:after="0" w:line="360" w:lineRule="auto"/>
        <w:rPr>
          <w:rFonts w:eastAsia="Times New Roman" w:cs="Tahoma"/>
          <w:bCs/>
          <w:iCs/>
          <w:color w:val="FF0000"/>
          <w:lang w:eastAsia="es-ES"/>
        </w:rPr>
      </w:pPr>
    </w:p>
    <w:p w14:paraId="7DC604A3" w14:textId="5E8AFF28" w:rsidR="00494313" w:rsidRPr="00445CEF" w:rsidRDefault="00A30B0F" w:rsidP="00A47C39">
      <w:pPr>
        <w:spacing w:after="0" w:line="360" w:lineRule="auto"/>
        <w:rPr>
          <w:rFonts w:eastAsia="Times New Roman" w:cs="Tahoma"/>
          <w:bCs/>
          <w:iCs/>
          <w:color w:val="auto"/>
          <w:lang w:eastAsia="es-ES"/>
        </w:rPr>
      </w:pPr>
      <w:r w:rsidRPr="00445CEF">
        <w:rPr>
          <w:rFonts w:eastAsia="Times New Roman" w:cs="Tahoma"/>
          <w:bCs/>
          <w:iCs/>
          <w:color w:val="auto"/>
          <w:lang w:eastAsia="es-ES"/>
        </w:rPr>
        <w:t xml:space="preserve">Dicha determinación toma relevancia, pues conforme al artículo 12 de la Ley de Transparencia y Acceso a la Información Pública del Estado de México y Municipios, los </w:t>
      </w:r>
      <w:r w:rsidRPr="00445CEF">
        <w:rPr>
          <w:rFonts w:eastAsia="Times New Roman" w:cs="Tahoma"/>
          <w:bCs/>
          <w:iCs/>
          <w:color w:val="auto"/>
          <w:lang w:eastAsia="es-ES"/>
        </w:rPr>
        <w:lastRenderedPageBreak/>
        <w:t>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56B973F" w14:textId="77777777" w:rsidR="00A30B0F" w:rsidRPr="00445CEF" w:rsidRDefault="00A30B0F" w:rsidP="00A47C39">
      <w:pPr>
        <w:spacing w:after="0" w:line="360" w:lineRule="auto"/>
        <w:rPr>
          <w:rFonts w:eastAsia="Times New Roman" w:cs="Tahoma"/>
          <w:bCs/>
          <w:iCs/>
          <w:color w:val="auto"/>
          <w:lang w:eastAsia="es-ES"/>
        </w:rPr>
      </w:pPr>
    </w:p>
    <w:p w14:paraId="5B960D13" w14:textId="2E9F362A" w:rsidR="00A30B0F" w:rsidRPr="00445CEF" w:rsidRDefault="00A30B0F" w:rsidP="00A47C39">
      <w:pPr>
        <w:spacing w:after="0" w:line="360" w:lineRule="auto"/>
        <w:rPr>
          <w:rFonts w:eastAsia="Times New Roman" w:cs="Tahoma"/>
          <w:bCs/>
          <w:iCs/>
          <w:color w:val="auto"/>
          <w:lang w:eastAsia="es-ES"/>
        </w:rPr>
      </w:pPr>
      <w:r w:rsidRPr="00445CEF">
        <w:rPr>
          <w:rFonts w:eastAsia="Times New Roman" w:cs="Tahoma"/>
          <w:bCs/>
          <w:iCs/>
          <w:color w:val="auto"/>
          <w:lang w:eastAsia="es-ES"/>
        </w:rPr>
        <w:t xml:space="preserve">De esta manera, el derecho de acceso a la información pública se satisface en aquellos casos en que se entregue el soporte documental en el que conste la información solicitada, sin necesidad de elaborar documentos </w:t>
      </w:r>
      <w:r w:rsidRPr="00445CEF">
        <w:rPr>
          <w:rFonts w:eastAsia="Times New Roman" w:cs="Tahoma"/>
          <w:bCs/>
          <w:i/>
          <w:iCs/>
          <w:color w:val="auto"/>
          <w:lang w:eastAsia="es-ES"/>
        </w:rPr>
        <w:t>ad hoc,</w:t>
      </w:r>
      <w:r w:rsidRPr="00445CEF">
        <w:rPr>
          <w:rFonts w:eastAsia="Times New Roman" w:cs="Tahoma"/>
          <w:bCs/>
          <w:iCs/>
          <w:color w:val="auto"/>
          <w:lang w:eastAsia="es-ES"/>
        </w:rPr>
        <w:t xml:space="preserve">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0CA88940" w14:textId="77777777" w:rsidR="00A076A6" w:rsidRPr="00445CEF" w:rsidRDefault="00A076A6" w:rsidP="00A47C39">
      <w:pPr>
        <w:autoSpaceDE w:val="0"/>
        <w:autoSpaceDN w:val="0"/>
        <w:adjustRightInd w:val="0"/>
        <w:spacing w:after="0" w:line="360" w:lineRule="auto"/>
        <w:ind w:right="539"/>
        <w:rPr>
          <w:rFonts w:eastAsia="Palatino Linotype" w:cs="Tahoma"/>
          <w:b/>
          <w:bCs/>
          <w:color w:val="FF0000"/>
          <w:lang w:val="es-ES_tradnl" w:eastAsia="es-MX"/>
          <w14:ligatures w14:val="standardContextual"/>
        </w:rPr>
      </w:pPr>
    </w:p>
    <w:p w14:paraId="1C3EA019" w14:textId="4BA07D5B" w:rsidR="006833E2" w:rsidRPr="00445CEF" w:rsidRDefault="006833E2" w:rsidP="00A47C39">
      <w:pPr>
        <w:spacing w:after="0" w:line="360" w:lineRule="auto"/>
        <w:contextualSpacing/>
      </w:pPr>
      <w:r w:rsidRPr="00445CEF">
        <w:t>Finalmente, este Instituto considera que los documentos que den cuenta de lo solicitado, pudieran contar con datos confidenciales, tales como datos bancarios del proveedor,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66F5D809" w14:textId="77777777" w:rsidR="006833E2" w:rsidRPr="00445CEF" w:rsidRDefault="006833E2" w:rsidP="00A47C39">
      <w:pPr>
        <w:spacing w:after="0" w:line="360" w:lineRule="auto"/>
        <w:contextualSpacing/>
      </w:pPr>
    </w:p>
    <w:p w14:paraId="006DB228" w14:textId="743C147B" w:rsidR="006833E2" w:rsidRPr="00445CEF" w:rsidRDefault="006833E2" w:rsidP="00A47C39">
      <w:pPr>
        <w:spacing w:after="0" w:line="360" w:lineRule="auto"/>
        <w:contextualSpacing/>
        <w:rPr>
          <w:rFonts w:eastAsia="Palatino Linotype" w:cs="Tahoma"/>
          <w:b/>
          <w:bCs/>
          <w:color w:val="FF0000"/>
          <w:lang w:eastAsia="es-MX"/>
          <w14:ligatures w14:val="standardContextual"/>
        </w:rPr>
      </w:pPr>
      <w:r w:rsidRPr="00445CEF">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29909196" w14:textId="77777777" w:rsidR="006833E2" w:rsidRPr="00445CEF" w:rsidRDefault="006833E2" w:rsidP="00A47C39">
      <w:pPr>
        <w:spacing w:after="0" w:line="360" w:lineRule="auto"/>
        <w:contextualSpacing/>
        <w:rPr>
          <w:rFonts w:eastAsia="Palatino Linotype" w:cs="Tahoma"/>
          <w:b/>
          <w:bCs/>
          <w:color w:val="auto"/>
          <w:lang w:eastAsia="es-MX"/>
          <w14:ligatures w14:val="standardContextual"/>
        </w:rPr>
      </w:pPr>
    </w:p>
    <w:p w14:paraId="3E317189" w14:textId="6EEA6104" w:rsidR="00B83462" w:rsidRPr="00445CEF" w:rsidRDefault="00B83462" w:rsidP="00A47C39">
      <w:pPr>
        <w:spacing w:after="0" w:line="360" w:lineRule="auto"/>
        <w:contextualSpacing/>
        <w:rPr>
          <w:rFonts w:eastAsia="Calibri" w:cs="Tahoma"/>
          <w:b/>
          <w:color w:val="auto"/>
        </w:rPr>
      </w:pPr>
      <w:r w:rsidRPr="00445CEF">
        <w:rPr>
          <w:rFonts w:eastAsia="Calibri" w:cs="Tahoma"/>
          <w:b/>
          <w:color w:val="auto"/>
        </w:rPr>
        <w:lastRenderedPageBreak/>
        <w:t xml:space="preserve">SEXTO. Decisión </w:t>
      </w:r>
    </w:p>
    <w:p w14:paraId="3098C6EC" w14:textId="77777777" w:rsidR="00DB7B7C" w:rsidRPr="00445CEF" w:rsidRDefault="00DB7B7C" w:rsidP="00A47C39">
      <w:pPr>
        <w:spacing w:after="0" w:line="360" w:lineRule="auto"/>
        <w:contextualSpacing/>
        <w:rPr>
          <w:rFonts w:eastAsia="Calibri" w:cs="Tahoma"/>
          <w:b/>
          <w:color w:val="FF0000"/>
        </w:rPr>
      </w:pPr>
    </w:p>
    <w:p w14:paraId="1C74A5BA" w14:textId="77777777" w:rsidR="00E478FC" w:rsidRPr="00445CEF" w:rsidRDefault="00A33AB7" w:rsidP="00A47C39">
      <w:pPr>
        <w:spacing w:after="0" w:line="360" w:lineRule="auto"/>
        <w:contextualSpacing/>
        <w:rPr>
          <w:rFonts w:eastAsia="Times New Roman" w:cs="Tahoma"/>
          <w:color w:val="auto"/>
          <w:lang w:val="es-ES" w:eastAsia="es-ES"/>
        </w:rPr>
      </w:pPr>
      <w:r w:rsidRPr="00445CEF">
        <w:rPr>
          <w:rFonts w:eastAsia="Times New Roman" w:cs="Tahoma"/>
          <w:color w:val="auto"/>
          <w:lang w:val="es-ES" w:eastAsia="es-ES"/>
        </w:rPr>
        <w:t>Con fundamento en el artículo 186, fracción III, de la Ley de Transparencia y Acceso a la</w:t>
      </w:r>
      <w:r w:rsidR="00DB7B7C" w:rsidRPr="00445CEF">
        <w:rPr>
          <w:rFonts w:eastAsia="Times New Roman" w:cs="Tahoma"/>
          <w:color w:val="auto"/>
          <w:lang w:val="es-ES" w:eastAsia="es-ES"/>
        </w:rPr>
        <w:t xml:space="preserve"> </w:t>
      </w:r>
      <w:r w:rsidRPr="00445CEF">
        <w:rPr>
          <w:rFonts w:eastAsia="Times New Roman" w:cs="Tahoma"/>
          <w:color w:val="auto"/>
          <w:lang w:val="es-ES" w:eastAsia="es-ES"/>
        </w:rPr>
        <w:t>Información Pública del Estado de México y Municipios, este Instituto considera procedente</w:t>
      </w:r>
      <w:r w:rsidR="00A076A6" w:rsidRPr="00445CEF">
        <w:rPr>
          <w:rFonts w:eastAsia="Times New Roman" w:cs="Tahoma"/>
          <w:color w:val="auto"/>
          <w:lang w:val="es-ES" w:eastAsia="es-ES"/>
        </w:rPr>
        <w:t xml:space="preserve"> </w:t>
      </w:r>
    </w:p>
    <w:p w14:paraId="0906BE8C" w14:textId="3EB48759" w:rsidR="004A2483" w:rsidRPr="00445CEF" w:rsidRDefault="00A50E4E" w:rsidP="00A47C39">
      <w:pPr>
        <w:spacing w:after="0" w:line="360" w:lineRule="auto"/>
        <w:contextualSpacing/>
        <w:rPr>
          <w:rFonts w:eastAsia="Times New Roman" w:cs="Tahoma"/>
          <w:color w:val="auto"/>
          <w:lang w:val="es-ES" w:eastAsia="es-ES"/>
        </w:rPr>
      </w:pPr>
      <w:r w:rsidRPr="00445CEF">
        <w:rPr>
          <w:rFonts w:eastAsia="Times New Roman" w:cs="Tahoma"/>
          <w:b/>
          <w:color w:val="auto"/>
          <w:lang w:val="es-ES" w:eastAsia="es-ES"/>
        </w:rPr>
        <w:t>MODIFI</w:t>
      </w:r>
      <w:r w:rsidR="00E478FC" w:rsidRPr="00445CEF">
        <w:rPr>
          <w:rFonts w:eastAsia="Times New Roman" w:cs="Tahoma"/>
          <w:b/>
          <w:color w:val="auto"/>
          <w:lang w:val="es-ES" w:eastAsia="es-ES"/>
        </w:rPr>
        <w:t xml:space="preserve">CAR </w:t>
      </w:r>
      <w:r w:rsidR="00E478FC" w:rsidRPr="00445CEF">
        <w:rPr>
          <w:rFonts w:eastAsia="Times New Roman" w:cs="Tahoma"/>
          <w:color w:val="auto"/>
          <w:lang w:val="es-ES" w:eastAsia="es-ES"/>
        </w:rPr>
        <w:t xml:space="preserve">la respuesta entregada por el Sujeto Obligado a la solicitud de información </w:t>
      </w:r>
      <w:r w:rsidR="00E478FC" w:rsidRPr="00445CEF">
        <w:rPr>
          <w:rFonts w:eastAsia="Times New Roman" w:cs="Tahoma"/>
          <w:b/>
          <w:color w:val="auto"/>
          <w:lang w:val="es-ES" w:eastAsia="es-ES"/>
        </w:rPr>
        <w:t xml:space="preserve">00237/ATLACOM/IP/2024 </w:t>
      </w:r>
      <w:r w:rsidR="00A076A6" w:rsidRPr="00445CEF">
        <w:rPr>
          <w:rFonts w:eastAsia="Times New Roman" w:cs="Tahoma"/>
          <w:color w:val="auto"/>
          <w:lang w:val="es-ES" w:eastAsia="es-ES"/>
        </w:rPr>
        <w:t xml:space="preserve">a efecto de que proporcione </w:t>
      </w:r>
      <w:bookmarkStart w:id="5" w:name="_Hlk171494360"/>
      <w:r w:rsidR="00E478FC" w:rsidRPr="00445CEF">
        <w:rPr>
          <w:rFonts w:eastAsia="Times New Roman" w:cs="Tahoma"/>
          <w:color w:val="auto"/>
          <w:lang w:val="es-ES" w:eastAsia="es-ES"/>
        </w:rPr>
        <w:t>la información solicitada</w:t>
      </w:r>
      <w:r w:rsidR="00AF189E" w:rsidRPr="00445CEF">
        <w:rPr>
          <w:rFonts w:eastAsia="Times New Roman" w:cs="Tahoma"/>
          <w:color w:val="auto"/>
          <w:lang w:val="es-ES" w:eastAsia="es-ES"/>
        </w:rPr>
        <w:t xml:space="preserve"> de los siguientes servidores públicos:</w:t>
      </w:r>
    </w:p>
    <w:p w14:paraId="3EB1D9A4" w14:textId="77777777" w:rsidR="00AF189E" w:rsidRPr="00445CEF" w:rsidRDefault="00AF189E" w:rsidP="00A47C39">
      <w:pPr>
        <w:spacing w:after="0" w:line="360" w:lineRule="auto"/>
        <w:contextualSpacing/>
        <w:rPr>
          <w:rFonts w:eastAsia="Times New Roman" w:cs="Tahoma"/>
          <w:color w:val="auto"/>
          <w:lang w:val="es-ES" w:eastAsia="es-ES"/>
        </w:rPr>
      </w:pPr>
    </w:p>
    <w:p w14:paraId="671D3187" w14:textId="73C19E72" w:rsidR="008648BA" w:rsidRPr="00445CEF" w:rsidRDefault="008648BA" w:rsidP="008648BA">
      <w:pPr>
        <w:pStyle w:val="Prrafodelista"/>
        <w:numPr>
          <w:ilvl w:val="0"/>
          <w:numId w:val="37"/>
        </w:numPr>
        <w:spacing w:after="0" w:line="360" w:lineRule="auto"/>
        <w:rPr>
          <w:rFonts w:eastAsia="Times New Roman" w:cs="Tahoma"/>
          <w:color w:val="auto"/>
          <w:lang w:val="es-ES" w:eastAsia="es-ES"/>
        </w:rPr>
      </w:pPr>
      <w:r w:rsidRPr="00445CEF">
        <w:rPr>
          <w:rFonts w:cs="Tahoma"/>
          <w:color w:val="auto"/>
        </w:rPr>
        <w:t>Victoria Romero Cruz;</w:t>
      </w:r>
    </w:p>
    <w:p w14:paraId="18435C80" w14:textId="22F22D1D" w:rsidR="00AF189E" w:rsidRPr="00445CEF" w:rsidRDefault="008648BA" w:rsidP="008648BA">
      <w:pPr>
        <w:pStyle w:val="Prrafodelista"/>
        <w:numPr>
          <w:ilvl w:val="0"/>
          <w:numId w:val="37"/>
        </w:numPr>
        <w:spacing w:after="0" w:line="360" w:lineRule="auto"/>
        <w:rPr>
          <w:rFonts w:eastAsia="Times New Roman" w:cs="Tahoma"/>
          <w:color w:val="auto"/>
          <w:lang w:val="es-ES" w:eastAsia="es-ES"/>
        </w:rPr>
      </w:pPr>
      <w:r w:rsidRPr="00445CEF">
        <w:rPr>
          <w:rFonts w:cs="Tahoma"/>
          <w:color w:val="auto"/>
        </w:rPr>
        <w:t>Viridiana Figueroa Romero, y</w:t>
      </w:r>
    </w:p>
    <w:bookmarkEnd w:id="5"/>
    <w:p w14:paraId="548BF520" w14:textId="77777777" w:rsidR="004A2483" w:rsidRPr="00445CEF" w:rsidRDefault="004A2483" w:rsidP="00A47C39">
      <w:pPr>
        <w:spacing w:after="0" w:line="360" w:lineRule="auto"/>
        <w:ind w:left="720"/>
        <w:contextualSpacing/>
        <w:rPr>
          <w:rFonts w:eastAsia="Calibri" w:cs="Tahoma"/>
          <w:b/>
          <w:bCs/>
          <w:iCs/>
          <w:color w:val="FF0000"/>
          <w:lang w:eastAsia="es-ES_tradnl"/>
          <w14:ligatures w14:val="standardContextual"/>
        </w:rPr>
      </w:pPr>
    </w:p>
    <w:p w14:paraId="4717A1A4" w14:textId="004B153C" w:rsidR="00B83462" w:rsidRPr="00445CEF" w:rsidRDefault="00B83462" w:rsidP="00A47C39">
      <w:pPr>
        <w:spacing w:after="0" w:line="360" w:lineRule="auto"/>
        <w:contextualSpacing/>
        <w:rPr>
          <w:rFonts w:eastAsia="Calibri" w:cs="Tahoma"/>
          <w:b/>
          <w:bCs/>
          <w:color w:val="auto"/>
        </w:rPr>
      </w:pPr>
      <w:r w:rsidRPr="00445CEF">
        <w:rPr>
          <w:rFonts w:eastAsia="Calibri" w:cs="Tahoma"/>
          <w:b/>
          <w:bCs/>
          <w:color w:val="auto"/>
        </w:rPr>
        <w:t>Términos de la Resolución para conocimiento del Particular</w:t>
      </w:r>
    </w:p>
    <w:p w14:paraId="655B9F9E" w14:textId="77777777" w:rsidR="00CC7BB7" w:rsidRPr="00445CEF" w:rsidRDefault="00CC7BB7" w:rsidP="00A47C39">
      <w:pPr>
        <w:widowControl w:val="0"/>
        <w:spacing w:after="0" w:line="360" w:lineRule="auto"/>
        <w:rPr>
          <w:rFonts w:eastAsia="Calibri" w:cs="Tahoma"/>
          <w:bCs/>
          <w:iCs/>
          <w:color w:val="FF0000"/>
        </w:rPr>
      </w:pPr>
    </w:p>
    <w:p w14:paraId="4EEB5EC5" w14:textId="55AC7E51" w:rsidR="00120738" w:rsidRPr="00445CEF" w:rsidRDefault="00CC7BB7" w:rsidP="00A47C39">
      <w:pPr>
        <w:widowControl w:val="0"/>
        <w:spacing w:after="0" w:line="360" w:lineRule="auto"/>
        <w:rPr>
          <w:color w:val="auto"/>
        </w:rPr>
      </w:pPr>
      <w:r w:rsidRPr="00445CEF">
        <w:rPr>
          <w:rFonts w:eastAsia="Calibri" w:cs="Tahoma"/>
          <w:bCs/>
          <w:iCs/>
          <w:color w:val="auto"/>
        </w:rPr>
        <w:t xml:space="preserve">Se le hace del conocimiento al ahora Recurrente, que, en el presente caso, se le concede la razón, pues el Ente Recurrido </w:t>
      </w:r>
      <w:r w:rsidR="00120738" w:rsidRPr="00445CEF">
        <w:rPr>
          <w:rFonts w:eastAsia="Calibri" w:cs="Tahoma"/>
          <w:bCs/>
          <w:iCs/>
          <w:color w:val="auto"/>
        </w:rPr>
        <w:t xml:space="preserve">no entrego la información solicitada </w:t>
      </w:r>
      <w:r w:rsidR="00120738" w:rsidRPr="00445CEF">
        <w:rPr>
          <w:color w:val="auto"/>
        </w:rPr>
        <w:t xml:space="preserve">por lo que deberá de entregarle </w:t>
      </w:r>
      <w:r w:rsidR="00762AFD" w:rsidRPr="00445CEF">
        <w:rPr>
          <w:color w:val="auto"/>
        </w:rPr>
        <w:t>la información solicitada</w:t>
      </w:r>
      <w:r w:rsidR="00120738" w:rsidRPr="00445CEF">
        <w:rPr>
          <w:color w:val="auto"/>
        </w:rPr>
        <w:t>. Finalmente, la labor del Instituto, es apoyar a la población a acceder a la información pública y garantizar la protección de los datos personales.</w:t>
      </w:r>
    </w:p>
    <w:p w14:paraId="0432CE53" w14:textId="77777777" w:rsidR="00B83462" w:rsidRPr="00445CEF" w:rsidRDefault="00B83462" w:rsidP="00A47C39">
      <w:pPr>
        <w:spacing w:after="0" w:line="360" w:lineRule="auto"/>
        <w:contextualSpacing/>
        <w:rPr>
          <w:rFonts w:eastAsia="Calibri"/>
          <w:color w:val="auto"/>
        </w:rPr>
      </w:pPr>
    </w:p>
    <w:p w14:paraId="2C21FA9B" w14:textId="77777777" w:rsidR="00B83462" w:rsidRPr="00445CEF" w:rsidRDefault="00B83462" w:rsidP="00A47C39">
      <w:pPr>
        <w:spacing w:after="0" w:line="360" w:lineRule="auto"/>
        <w:contextualSpacing/>
        <w:rPr>
          <w:rFonts w:eastAsia="Calibri"/>
          <w:color w:val="auto"/>
        </w:rPr>
      </w:pPr>
      <w:r w:rsidRPr="00445CEF">
        <w:rPr>
          <w:rFonts w:eastAsia="Calibri"/>
          <w:color w:val="auto"/>
        </w:rPr>
        <w:t>Por lo expuesto y fundado, este Pleno:</w:t>
      </w:r>
    </w:p>
    <w:p w14:paraId="2E97C57B" w14:textId="77777777" w:rsidR="00B83462" w:rsidRPr="00445CEF" w:rsidRDefault="00B83462" w:rsidP="00A47C39">
      <w:pPr>
        <w:spacing w:after="0" w:line="360" w:lineRule="auto"/>
        <w:contextualSpacing/>
        <w:rPr>
          <w:rFonts w:eastAsia="Calibri"/>
          <w:b/>
          <w:bCs/>
          <w:color w:val="auto"/>
        </w:rPr>
      </w:pPr>
    </w:p>
    <w:p w14:paraId="0F7FC9DE" w14:textId="77777777" w:rsidR="00B83462" w:rsidRPr="00445CEF" w:rsidRDefault="00B83462" w:rsidP="00A47C39">
      <w:pPr>
        <w:spacing w:after="0" w:line="360" w:lineRule="auto"/>
        <w:contextualSpacing/>
        <w:jc w:val="center"/>
        <w:rPr>
          <w:rFonts w:eastAsia="Calibri"/>
          <w:b/>
          <w:bCs/>
          <w:color w:val="auto"/>
        </w:rPr>
      </w:pPr>
      <w:r w:rsidRPr="00445CEF">
        <w:rPr>
          <w:rFonts w:eastAsia="Calibri"/>
          <w:b/>
          <w:bCs/>
          <w:color w:val="auto"/>
        </w:rPr>
        <w:t>R E S U E L V E</w:t>
      </w:r>
    </w:p>
    <w:p w14:paraId="346FF662" w14:textId="77777777" w:rsidR="00B83462" w:rsidRPr="00445CEF" w:rsidRDefault="00B83462" w:rsidP="00A47C39">
      <w:pPr>
        <w:spacing w:after="0" w:line="360" w:lineRule="auto"/>
        <w:contextualSpacing/>
        <w:rPr>
          <w:rFonts w:eastAsia="Calibri"/>
          <w:color w:val="FF0000"/>
        </w:rPr>
      </w:pPr>
    </w:p>
    <w:p w14:paraId="24EA0414" w14:textId="6F90BA54" w:rsidR="00762AFD" w:rsidRPr="00445CEF" w:rsidRDefault="00B83462" w:rsidP="00822E57">
      <w:pPr>
        <w:spacing w:after="0" w:line="360" w:lineRule="auto"/>
        <w:contextualSpacing/>
        <w:rPr>
          <w:rFonts w:eastAsia="Calibri" w:cs="Tahoma"/>
          <w:bCs/>
          <w:iCs/>
          <w:color w:val="auto"/>
        </w:rPr>
      </w:pPr>
      <w:r w:rsidRPr="00445CEF">
        <w:rPr>
          <w:rFonts w:eastAsia="Calibri" w:cs="Tahoma"/>
          <w:b/>
          <w:iCs/>
          <w:color w:val="auto"/>
        </w:rPr>
        <w:t>PRIMERO.</w:t>
      </w:r>
      <w:r w:rsidRPr="00445CEF">
        <w:rPr>
          <w:rFonts w:eastAsia="Calibri" w:cs="Tahoma"/>
          <w:bCs/>
          <w:iCs/>
          <w:color w:val="auto"/>
        </w:rPr>
        <w:t xml:space="preserve"> </w:t>
      </w:r>
      <w:r w:rsidR="00822E57" w:rsidRPr="00445CEF">
        <w:rPr>
          <w:rFonts w:eastAsia="Calibri" w:cs="Tahoma"/>
          <w:bCs/>
          <w:iCs/>
          <w:color w:val="auto"/>
        </w:rPr>
        <w:t xml:space="preserve">Se </w:t>
      </w:r>
      <w:r w:rsidR="00822E57" w:rsidRPr="00445CEF">
        <w:rPr>
          <w:rFonts w:eastAsia="Calibri" w:cs="Tahoma"/>
          <w:b/>
          <w:bCs/>
          <w:iCs/>
          <w:color w:val="auto"/>
        </w:rPr>
        <w:t>SOBRESEE</w:t>
      </w:r>
      <w:r w:rsidR="00822E57" w:rsidRPr="00445CEF">
        <w:rPr>
          <w:rFonts w:eastAsia="Calibri" w:cs="Tahoma"/>
          <w:bCs/>
          <w:iCs/>
          <w:color w:val="auto"/>
        </w:rPr>
        <w:t xml:space="preserve"> el Recurso de Revisión número 06012/INFOEM/IP/RR/2024,</w:t>
      </w:r>
      <w:r w:rsidR="00822E57" w:rsidRPr="00445CEF">
        <w:rPr>
          <w:rFonts w:eastAsia="Calibri" w:cs="Tahoma"/>
          <w:b/>
          <w:bCs/>
          <w:iCs/>
          <w:color w:val="auto"/>
        </w:rPr>
        <w:t xml:space="preserve"> </w:t>
      </w:r>
      <w:r w:rsidR="00822E57" w:rsidRPr="00445CEF">
        <w:rPr>
          <w:rFonts w:eastAsia="Calibri" w:cs="Tahoma"/>
          <w:bCs/>
          <w:iCs/>
          <w:color w:val="auto"/>
        </w:rPr>
        <w:t xml:space="preserve">en términos del artículo 192, fracción IV, de la Ley de Transparencia y Acceso a la Información Pública del Estado de México y Municipios, por actualizarse la causal de improcedencia </w:t>
      </w:r>
      <w:r w:rsidR="00822E57" w:rsidRPr="00445CEF">
        <w:rPr>
          <w:rFonts w:eastAsia="Calibri" w:cs="Tahoma"/>
          <w:bCs/>
          <w:iCs/>
          <w:color w:val="auto"/>
        </w:rPr>
        <w:lastRenderedPageBreak/>
        <w:t>establecida en la fracción VII, del diverso 191 de dicho ordenamiento jurídico, de conformidad con el Considerando</w:t>
      </w:r>
      <w:r w:rsidR="00822E57" w:rsidRPr="00445CEF">
        <w:rPr>
          <w:rFonts w:eastAsia="Calibri" w:cs="Tahoma"/>
          <w:b/>
          <w:iCs/>
          <w:color w:val="auto"/>
        </w:rPr>
        <w:t xml:space="preserve"> SEGUNDO</w:t>
      </w:r>
      <w:r w:rsidR="00822E57" w:rsidRPr="00445CEF">
        <w:rPr>
          <w:rFonts w:eastAsia="Calibri" w:cs="Tahoma"/>
          <w:bCs/>
          <w:iCs/>
          <w:color w:val="auto"/>
        </w:rPr>
        <w:t xml:space="preserve"> de la presente Resolución</w:t>
      </w:r>
    </w:p>
    <w:p w14:paraId="141058C3" w14:textId="77777777" w:rsidR="00822E57" w:rsidRPr="00445CEF" w:rsidRDefault="00822E57" w:rsidP="00822E57">
      <w:pPr>
        <w:spacing w:after="0" w:line="360" w:lineRule="auto"/>
        <w:contextualSpacing/>
        <w:rPr>
          <w:rFonts w:eastAsia="Calibri" w:cs="Tahoma"/>
          <w:bCs/>
          <w:iCs/>
          <w:color w:val="FF0000"/>
        </w:rPr>
      </w:pPr>
    </w:p>
    <w:p w14:paraId="6273AA6D" w14:textId="1D8FB79B" w:rsidR="00A076A6" w:rsidRPr="00445CEF" w:rsidRDefault="00D1532D" w:rsidP="00A47C39">
      <w:pPr>
        <w:spacing w:after="0" w:line="360" w:lineRule="auto"/>
        <w:contextualSpacing/>
        <w:rPr>
          <w:rFonts w:eastAsia="Calibri" w:cs="Tahoma"/>
          <w:bCs/>
          <w:iCs/>
          <w:color w:val="auto"/>
        </w:rPr>
      </w:pPr>
      <w:r w:rsidRPr="00445CEF">
        <w:rPr>
          <w:rFonts w:eastAsia="Calibri" w:cs="Tahoma"/>
          <w:b/>
          <w:bCs/>
          <w:iCs/>
          <w:color w:val="auto"/>
        </w:rPr>
        <w:t xml:space="preserve">SEGUNDO. </w:t>
      </w:r>
      <w:r w:rsidRPr="00445CEF">
        <w:rPr>
          <w:rFonts w:eastAsia="Calibri" w:cs="Tahoma"/>
          <w:bCs/>
          <w:iCs/>
          <w:color w:val="auto"/>
        </w:rPr>
        <w:t xml:space="preserve">Se </w:t>
      </w:r>
      <w:r w:rsidR="00A076A6" w:rsidRPr="00445CEF">
        <w:rPr>
          <w:rFonts w:eastAsia="Calibri" w:cs="Tahoma"/>
          <w:b/>
          <w:iCs/>
          <w:color w:val="auto"/>
        </w:rPr>
        <w:t xml:space="preserve">MODIFICA </w:t>
      </w:r>
      <w:r w:rsidR="00A076A6" w:rsidRPr="00445CEF">
        <w:rPr>
          <w:rFonts w:eastAsia="Calibri" w:cs="Tahoma"/>
          <w:bCs/>
          <w:iCs/>
          <w:color w:val="auto"/>
        </w:rPr>
        <w:t xml:space="preserve">la </w:t>
      </w:r>
      <w:r w:rsidRPr="00445CEF">
        <w:rPr>
          <w:rFonts w:eastAsia="Calibri" w:cs="Tahoma"/>
          <w:bCs/>
          <w:iCs/>
          <w:color w:val="auto"/>
        </w:rPr>
        <w:t xml:space="preserve">respuesta entregada por el Sujeto Obligado, a la solicitud de información con número </w:t>
      </w:r>
      <w:r w:rsidR="00822E57" w:rsidRPr="00445CEF">
        <w:rPr>
          <w:rFonts w:eastAsia="Times New Roman" w:cs="Tahoma"/>
          <w:bCs/>
          <w:color w:val="auto"/>
          <w:lang w:val="es-ES" w:eastAsia="es-ES"/>
        </w:rPr>
        <w:t>00237</w:t>
      </w:r>
      <w:r w:rsidRPr="00445CEF">
        <w:rPr>
          <w:rFonts w:eastAsia="Times New Roman" w:cs="Tahoma"/>
          <w:bCs/>
          <w:color w:val="auto"/>
          <w:lang w:val="es-ES" w:eastAsia="es-ES"/>
        </w:rPr>
        <w:t>/ATLACOM/IP/2024</w:t>
      </w:r>
      <w:r w:rsidRPr="00445CEF">
        <w:rPr>
          <w:rFonts w:eastAsia="Calibri" w:cs="Tahoma"/>
          <w:bCs/>
          <w:iCs/>
          <w:color w:val="auto"/>
        </w:rPr>
        <w:t xml:space="preserve">, por resultar </w:t>
      </w:r>
      <w:r w:rsidRPr="00445CEF">
        <w:rPr>
          <w:rFonts w:eastAsia="Calibri" w:cs="Tahoma"/>
          <w:b/>
          <w:iCs/>
          <w:color w:val="auto"/>
        </w:rPr>
        <w:t>FUNDADOS</w:t>
      </w:r>
      <w:r w:rsidRPr="00445CEF">
        <w:rPr>
          <w:rFonts w:eastAsia="Calibri" w:cs="Tahoma"/>
          <w:bCs/>
          <w:iCs/>
          <w:color w:val="auto"/>
        </w:rPr>
        <w:t xml:space="preserve"> los motivos de inconformidad vertidos por el Recurrente, en términos de los Considerandos </w:t>
      </w:r>
      <w:r w:rsidRPr="00445CEF">
        <w:rPr>
          <w:rFonts w:eastAsia="Calibri" w:cs="Tahoma"/>
          <w:b/>
          <w:iCs/>
          <w:color w:val="auto"/>
        </w:rPr>
        <w:t>QUINTO y</w:t>
      </w:r>
      <w:r w:rsidR="008648BA" w:rsidRPr="00445CEF">
        <w:rPr>
          <w:rFonts w:eastAsia="Calibri" w:cs="Tahoma"/>
          <w:b/>
          <w:iCs/>
          <w:color w:val="auto"/>
        </w:rPr>
        <w:t xml:space="preserve"> </w:t>
      </w:r>
      <w:r w:rsidRPr="00445CEF">
        <w:rPr>
          <w:rFonts w:eastAsia="Calibri" w:cs="Tahoma"/>
          <w:b/>
          <w:iCs/>
          <w:color w:val="auto"/>
        </w:rPr>
        <w:t xml:space="preserve">SEXTO </w:t>
      </w:r>
      <w:r w:rsidRPr="00445CEF">
        <w:rPr>
          <w:rFonts w:eastAsia="Calibri" w:cs="Tahoma"/>
          <w:bCs/>
          <w:iCs/>
          <w:color w:val="auto"/>
        </w:rPr>
        <w:t>de la presente Resolución.</w:t>
      </w:r>
    </w:p>
    <w:p w14:paraId="7016D5E5" w14:textId="77777777" w:rsidR="00D1532D" w:rsidRPr="00445CEF" w:rsidRDefault="00D1532D" w:rsidP="00A47C39">
      <w:pPr>
        <w:spacing w:after="0" w:line="360" w:lineRule="auto"/>
        <w:contextualSpacing/>
        <w:rPr>
          <w:rFonts w:eastAsia="Calibri" w:cs="Tahoma"/>
          <w:bCs/>
          <w:iCs/>
          <w:color w:val="FF0000"/>
        </w:rPr>
      </w:pPr>
    </w:p>
    <w:p w14:paraId="146D49A8" w14:textId="0509B4E7" w:rsidR="00A50E4E" w:rsidRPr="00445CEF" w:rsidRDefault="009F19B9" w:rsidP="00A47C39">
      <w:pPr>
        <w:spacing w:after="0" w:line="360" w:lineRule="auto"/>
        <w:contextualSpacing/>
        <w:rPr>
          <w:rFonts w:eastAsia="Calibri" w:cs="Tahoma"/>
          <w:bCs/>
          <w:iCs/>
          <w:color w:val="auto"/>
        </w:rPr>
      </w:pPr>
      <w:r w:rsidRPr="00445CEF">
        <w:rPr>
          <w:rFonts w:eastAsia="Calibri" w:cs="Tahoma"/>
          <w:b/>
          <w:bCs/>
          <w:iCs/>
          <w:color w:val="auto"/>
        </w:rPr>
        <w:t>TERCERO.</w:t>
      </w:r>
      <w:r w:rsidRPr="00445CEF">
        <w:rPr>
          <w:rFonts w:eastAsia="Calibri" w:cs="Tahoma"/>
          <w:bCs/>
          <w:iCs/>
          <w:color w:val="auto"/>
        </w:rPr>
        <w:t xml:space="preserve"> Se </w:t>
      </w:r>
      <w:r w:rsidRPr="00445CEF">
        <w:rPr>
          <w:rFonts w:eastAsia="Calibri" w:cs="Tahoma"/>
          <w:b/>
          <w:bCs/>
          <w:iCs/>
          <w:color w:val="auto"/>
        </w:rPr>
        <w:t>ORDENA</w:t>
      </w:r>
      <w:r w:rsidRPr="00445CEF">
        <w:rPr>
          <w:rFonts w:eastAsia="Calibri" w:cs="Tahoma"/>
          <w:bCs/>
          <w:iCs/>
          <w:color w:val="auto"/>
        </w:rPr>
        <w:t xml:space="preserve"> al Ente Recurrido, a efecto de que, previa búsqueda exhaustiva y razonable en todas las unidades administrativas competentes, entregue, a través del Sistema de Acceso a la Información Mexiquense (SAIMEX), en su caso, en versión pública,</w:t>
      </w:r>
      <w:r w:rsidR="00A50E4E" w:rsidRPr="00445CEF">
        <w:rPr>
          <w:rFonts w:cs="Tahoma"/>
          <w:color w:val="auto"/>
        </w:rPr>
        <w:t xml:space="preserve"> respecto a las servidoras públicas referidas en el Considerando SEXTO, numeral 1 y 2,</w:t>
      </w:r>
      <w:r w:rsidRPr="00445CEF">
        <w:rPr>
          <w:rFonts w:eastAsia="Calibri" w:cs="Tahoma"/>
          <w:bCs/>
          <w:iCs/>
          <w:color w:val="auto"/>
        </w:rPr>
        <w:t xml:space="preserve"> </w:t>
      </w:r>
      <w:r w:rsidR="00A50E4E" w:rsidRPr="00445CEF">
        <w:rPr>
          <w:rFonts w:eastAsia="Calibri" w:cs="Tahoma"/>
          <w:bCs/>
          <w:iCs/>
          <w:color w:val="auto"/>
        </w:rPr>
        <w:t xml:space="preserve">los documentos con los que contara </w:t>
      </w:r>
      <w:r w:rsidR="00A50E4E" w:rsidRPr="00445CEF">
        <w:rPr>
          <w:rFonts w:eastAsia="Calibri" w:cs="Times New Roman"/>
          <w:bCs/>
          <w:color w:val="auto"/>
          <w:lang w:val="es-ES"/>
        </w:rPr>
        <w:t>al veintinueve de agosto de dos mil veinticuatro</w:t>
      </w:r>
      <w:r w:rsidR="00A50E4E" w:rsidRPr="00445CEF">
        <w:rPr>
          <w:rFonts w:eastAsia="Calibri" w:cs="Tahoma"/>
          <w:bCs/>
          <w:iCs/>
          <w:color w:val="auto"/>
        </w:rPr>
        <w:t>, donde conste lo siguiente</w:t>
      </w:r>
      <w:r w:rsidR="00DA1A92" w:rsidRPr="00445CEF">
        <w:rPr>
          <w:rFonts w:eastAsia="Calibri" w:cs="Tahoma"/>
          <w:bCs/>
          <w:iCs/>
          <w:color w:val="auto"/>
        </w:rPr>
        <w:t>:</w:t>
      </w:r>
    </w:p>
    <w:p w14:paraId="2F6D96A7" w14:textId="77777777" w:rsidR="00A50E4E" w:rsidRPr="00445CEF" w:rsidRDefault="00A50E4E" w:rsidP="00A47C39">
      <w:pPr>
        <w:spacing w:after="0" w:line="360" w:lineRule="auto"/>
        <w:contextualSpacing/>
        <w:rPr>
          <w:rFonts w:eastAsia="Calibri" w:cs="Tahoma"/>
          <w:bCs/>
          <w:iCs/>
          <w:color w:val="auto"/>
        </w:rPr>
      </w:pPr>
    </w:p>
    <w:p w14:paraId="3C15F7BA" w14:textId="35C6F85D" w:rsidR="009F19B9" w:rsidRPr="00445CEF" w:rsidRDefault="00A50E4E" w:rsidP="00AF189E">
      <w:pPr>
        <w:pStyle w:val="Prrafodelista"/>
        <w:numPr>
          <w:ilvl w:val="0"/>
          <w:numId w:val="35"/>
        </w:numPr>
        <w:tabs>
          <w:tab w:val="left" w:pos="4962"/>
        </w:tabs>
        <w:spacing w:after="0" w:line="360" w:lineRule="auto"/>
        <w:ind w:left="1276"/>
        <w:rPr>
          <w:rFonts w:cs="Tahoma"/>
          <w:color w:val="auto"/>
        </w:rPr>
      </w:pPr>
      <w:r w:rsidRPr="00445CEF">
        <w:rPr>
          <w:rFonts w:cs="Tahoma"/>
          <w:color w:val="auto"/>
        </w:rPr>
        <w:t xml:space="preserve">La </w:t>
      </w:r>
      <w:r w:rsidR="00DA1A92" w:rsidRPr="00445CEF">
        <w:rPr>
          <w:rFonts w:cs="Tahoma"/>
          <w:color w:val="auto"/>
        </w:rPr>
        <w:t>n</w:t>
      </w:r>
      <w:r w:rsidR="009F19B9" w:rsidRPr="00445CEF">
        <w:rPr>
          <w:rFonts w:cs="Tahoma"/>
          <w:color w:val="auto"/>
        </w:rPr>
        <w:t xml:space="preserve">ómina </w:t>
      </w:r>
      <w:r w:rsidRPr="00445CEF">
        <w:rPr>
          <w:rFonts w:cs="Tahoma"/>
          <w:color w:val="auto"/>
        </w:rPr>
        <w:t>pagada</w:t>
      </w:r>
      <w:r w:rsidR="00DA1A92" w:rsidRPr="00445CEF">
        <w:rPr>
          <w:rFonts w:cs="Tahoma"/>
          <w:color w:val="auto"/>
        </w:rPr>
        <w:t xml:space="preserve"> en la segunda quincena de julio y primera de agosto de dos mil veinticuatro</w:t>
      </w:r>
      <w:r w:rsidRPr="00445CEF">
        <w:rPr>
          <w:rFonts w:cs="Tahoma"/>
          <w:color w:val="auto"/>
        </w:rPr>
        <w:t>;</w:t>
      </w:r>
    </w:p>
    <w:p w14:paraId="31CD79CE" w14:textId="6AB33F7A" w:rsidR="009F19B9" w:rsidRPr="00445CEF" w:rsidRDefault="00A50E4E" w:rsidP="00AF189E">
      <w:pPr>
        <w:pStyle w:val="Prrafodelista"/>
        <w:numPr>
          <w:ilvl w:val="0"/>
          <w:numId w:val="35"/>
        </w:numPr>
        <w:tabs>
          <w:tab w:val="left" w:pos="4962"/>
        </w:tabs>
        <w:spacing w:after="0" w:line="360" w:lineRule="auto"/>
        <w:ind w:left="1276"/>
        <w:rPr>
          <w:rFonts w:cs="Tahoma"/>
          <w:color w:val="auto"/>
        </w:rPr>
      </w:pPr>
      <w:r w:rsidRPr="00445CEF">
        <w:rPr>
          <w:rFonts w:cs="Tahoma"/>
          <w:color w:val="auto"/>
        </w:rPr>
        <w:t xml:space="preserve">Los </w:t>
      </w:r>
      <w:r w:rsidR="009F19B9" w:rsidRPr="00445CEF">
        <w:rPr>
          <w:rFonts w:cs="Tahoma"/>
          <w:color w:val="auto"/>
        </w:rPr>
        <w:t>Movimientos</w:t>
      </w:r>
      <w:r w:rsidRPr="00445CEF">
        <w:rPr>
          <w:rFonts w:cs="Tahoma"/>
          <w:color w:val="auto"/>
        </w:rPr>
        <w:t xml:space="preserve"> </w:t>
      </w:r>
      <w:r w:rsidR="00DA1A92" w:rsidRPr="00445CEF">
        <w:rPr>
          <w:rFonts w:cs="Tahoma"/>
          <w:color w:val="auto"/>
        </w:rPr>
        <w:t xml:space="preserve">de alta </w:t>
      </w:r>
      <w:r w:rsidRPr="00445CEF">
        <w:rPr>
          <w:rFonts w:cs="Tahoma"/>
          <w:color w:val="auto"/>
        </w:rPr>
        <w:t>realizados</w:t>
      </w:r>
      <w:r w:rsidR="009F19B9" w:rsidRPr="00445CEF">
        <w:rPr>
          <w:rFonts w:cs="Tahoma"/>
          <w:color w:val="auto"/>
        </w:rPr>
        <w:t xml:space="preserve"> ante el Instituto de Seguridad Social del Estado de México y Municipios</w:t>
      </w:r>
      <w:r w:rsidRPr="00445CEF">
        <w:rPr>
          <w:rFonts w:cs="Tahoma"/>
          <w:color w:val="auto"/>
        </w:rPr>
        <w:t>;</w:t>
      </w:r>
    </w:p>
    <w:p w14:paraId="32C6A882" w14:textId="1018573A" w:rsidR="009F19B9" w:rsidRPr="00445CEF" w:rsidRDefault="009F19B9" w:rsidP="00AF189E">
      <w:pPr>
        <w:pStyle w:val="Prrafodelista"/>
        <w:numPr>
          <w:ilvl w:val="0"/>
          <w:numId w:val="35"/>
        </w:numPr>
        <w:tabs>
          <w:tab w:val="left" w:pos="4962"/>
        </w:tabs>
        <w:spacing w:after="0" w:line="360" w:lineRule="auto"/>
        <w:ind w:left="1276"/>
        <w:rPr>
          <w:rFonts w:cs="Tahoma"/>
          <w:color w:val="auto"/>
        </w:rPr>
      </w:pPr>
      <w:r w:rsidRPr="00445CEF">
        <w:t xml:space="preserve">El documento </w:t>
      </w:r>
      <w:r w:rsidR="00A50E4E" w:rsidRPr="00445CEF">
        <w:t>que acredite</w:t>
      </w:r>
      <w:r w:rsidRPr="00445CEF">
        <w:t xml:space="preserve"> la relación laboral</w:t>
      </w:r>
      <w:r w:rsidR="00A50E4E" w:rsidRPr="00445CEF">
        <w:t>;</w:t>
      </w:r>
    </w:p>
    <w:p w14:paraId="0A3B4072" w14:textId="1AEC7FBF" w:rsidR="009F19B9" w:rsidRPr="00445CEF" w:rsidRDefault="00A50E4E" w:rsidP="00AF189E">
      <w:pPr>
        <w:pStyle w:val="Prrafodelista"/>
        <w:numPr>
          <w:ilvl w:val="0"/>
          <w:numId w:val="35"/>
        </w:numPr>
        <w:tabs>
          <w:tab w:val="left" w:pos="4962"/>
        </w:tabs>
        <w:spacing w:after="0" w:line="360" w:lineRule="auto"/>
        <w:ind w:left="1276"/>
        <w:rPr>
          <w:rFonts w:cs="Tahoma"/>
          <w:color w:val="auto"/>
        </w:rPr>
      </w:pPr>
      <w:r w:rsidRPr="00445CEF">
        <w:rPr>
          <w:rFonts w:cs="Tahoma"/>
          <w:color w:val="auto"/>
        </w:rPr>
        <w:t>El n</w:t>
      </w:r>
      <w:r w:rsidR="009F19B9" w:rsidRPr="00445CEF">
        <w:rPr>
          <w:rFonts w:cs="Tahoma"/>
          <w:color w:val="auto"/>
        </w:rPr>
        <w:t>ivel salarial</w:t>
      </w:r>
      <w:r w:rsidR="00DA1A92" w:rsidRPr="00445CEF">
        <w:rPr>
          <w:rFonts w:cs="Tahoma"/>
          <w:color w:val="auto"/>
        </w:rPr>
        <w:t>, y</w:t>
      </w:r>
    </w:p>
    <w:p w14:paraId="1E241841" w14:textId="4A27D209" w:rsidR="009F19B9" w:rsidRPr="00445CEF" w:rsidRDefault="009F19B9" w:rsidP="00AF189E">
      <w:pPr>
        <w:pStyle w:val="Prrafodelista"/>
        <w:numPr>
          <w:ilvl w:val="0"/>
          <w:numId w:val="35"/>
        </w:numPr>
        <w:tabs>
          <w:tab w:val="left" w:pos="4962"/>
        </w:tabs>
        <w:spacing w:after="0" w:line="360" w:lineRule="auto"/>
        <w:ind w:left="1276"/>
        <w:rPr>
          <w:rFonts w:cs="Tahoma"/>
          <w:color w:val="auto"/>
        </w:rPr>
      </w:pPr>
      <w:r w:rsidRPr="00445CEF">
        <w:rPr>
          <w:rFonts w:cs="Tahoma"/>
          <w:color w:val="auto"/>
        </w:rPr>
        <w:t>Funciones</w:t>
      </w:r>
      <w:r w:rsidR="00DA1A92" w:rsidRPr="00445CEF">
        <w:rPr>
          <w:rFonts w:cs="Tahoma"/>
          <w:color w:val="auto"/>
        </w:rPr>
        <w:t>.</w:t>
      </w:r>
    </w:p>
    <w:p w14:paraId="012D09BF" w14:textId="77777777" w:rsidR="009F19B9" w:rsidRPr="00445CEF" w:rsidRDefault="009F19B9" w:rsidP="00A47C39">
      <w:pPr>
        <w:spacing w:after="0" w:line="360" w:lineRule="auto"/>
        <w:contextualSpacing/>
        <w:rPr>
          <w:rFonts w:eastAsia="Calibri" w:cs="Tahoma"/>
          <w:bCs/>
          <w:iCs/>
          <w:color w:val="FF0000"/>
        </w:rPr>
      </w:pPr>
    </w:p>
    <w:p w14:paraId="5644E1EC" w14:textId="06522476" w:rsidR="00DA1A92" w:rsidRPr="00445CEF" w:rsidRDefault="009F19B9" w:rsidP="00A47C39">
      <w:pPr>
        <w:spacing w:after="0" w:line="360" w:lineRule="auto"/>
        <w:contextualSpacing/>
        <w:rPr>
          <w:rFonts w:eastAsia="Calibri" w:cs="Tahoma"/>
          <w:bCs/>
          <w:iCs/>
          <w:color w:val="auto"/>
        </w:rPr>
      </w:pPr>
      <w:r w:rsidRPr="00445CEF">
        <w:rPr>
          <w:rFonts w:eastAsia="Calibri" w:cs="Tahoma"/>
          <w:bCs/>
          <w:iCs/>
          <w:color w:val="auto"/>
        </w:rPr>
        <w:t>Además,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6F79D75C" w14:textId="77777777" w:rsidR="00DA1A92" w:rsidRPr="00445CEF" w:rsidRDefault="00DA1A92" w:rsidP="00A47C39">
      <w:pPr>
        <w:spacing w:after="0" w:line="360" w:lineRule="auto"/>
        <w:contextualSpacing/>
        <w:rPr>
          <w:rFonts w:eastAsia="Calibri" w:cs="Tahoma"/>
          <w:bCs/>
          <w:iCs/>
          <w:color w:val="auto"/>
        </w:rPr>
      </w:pPr>
    </w:p>
    <w:p w14:paraId="51C1585F" w14:textId="46FBE897" w:rsidR="00DA1A92" w:rsidRPr="00445CEF" w:rsidRDefault="00DA1A92" w:rsidP="00A47C39">
      <w:pPr>
        <w:spacing w:after="0" w:line="360" w:lineRule="auto"/>
        <w:contextualSpacing/>
        <w:rPr>
          <w:rFonts w:eastAsia="Calibri" w:cs="Tahoma"/>
          <w:bCs/>
          <w:iCs/>
          <w:color w:val="auto"/>
        </w:rPr>
      </w:pPr>
      <w:r w:rsidRPr="00445CEF">
        <w:rPr>
          <w:rFonts w:eastAsia="Calibri" w:cs="Tahoma"/>
          <w:bCs/>
          <w:iCs/>
          <w:color w:val="auto"/>
        </w:rPr>
        <w:t xml:space="preserve">Para el caso de que no cuente con la información </w:t>
      </w:r>
      <w:r w:rsidR="008948DA" w:rsidRPr="00445CEF">
        <w:rPr>
          <w:rFonts w:eastAsia="Calibri" w:cs="Tahoma"/>
          <w:bCs/>
          <w:iCs/>
          <w:color w:val="auto"/>
        </w:rPr>
        <w:t xml:space="preserve">de la servidora pública referida en el </w:t>
      </w:r>
      <w:r w:rsidR="008948DA" w:rsidRPr="00445CEF">
        <w:rPr>
          <w:rFonts w:cs="Tahoma"/>
          <w:color w:val="auto"/>
        </w:rPr>
        <w:t>Considerando SEXTO, numeral 1, deberá hacerlo del conocimiento de la parte Recurrente de manera clara y precisa.</w:t>
      </w:r>
    </w:p>
    <w:p w14:paraId="5E561A81" w14:textId="4FA76C22" w:rsidR="005D491B" w:rsidRPr="00445CEF" w:rsidRDefault="005D491B" w:rsidP="00A47C39">
      <w:pPr>
        <w:spacing w:after="0" w:line="360" w:lineRule="auto"/>
        <w:contextualSpacing/>
        <w:rPr>
          <w:rFonts w:eastAsia="Calibri" w:cs="Tahoma"/>
          <w:bCs/>
          <w:iCs/>
          <w:color w:val="FF0000"/>
        </w:rPr>
      </w:pPr>
    </w:p>
    <w:p w14:paraId="70C466A5" w14:textId="77777777" w:rsidR="00A076A6" w:rsidRPr="00445CEF" w:rsidRDefault="000B4FC9" w:rsidP="00A47C39">
      <w:pPr>
        <w:spacing w:after="0" w:line="360" w:lineRule="auto"/>
        <w:contextualSpacing/>
        <w:rPr>
          <w:rFonts w:eastAsia="Calibri" w:cs="Tahoma"/>
          <w:bCs/>
          <w:iCs/>
          <w:color w:val="auto"/>
        </w:rPr>
      </w:pPr>
      <w:r w:rsidRPr="00445CEF">
        <w:rPr>
          <w:rFonts w:eastAsia="Calibri" w:cs="Tahoma"/>
          <w:b/>
          <w:iCs/>
          <w:color w:val="auto"/>
        </w:rPr>
        <w:t>TERCERO</w:t>
      </w:r>
      <w:r w:rsidR="005D491B" w:rsidRPr="00445CEF">
        <w:rPr>
          <w:rFonts w:eastAsia="Calibri" w:cs="Tahoma"/>
          <w:b/>
          <w:iCs/>
          <w:color w:val="auto"/>
        </w:rPr>
        <w:t>.</w:t>
      </w:r>
      <w:r w:rsidR="005D491B" w:rsidRPr="00445CEF">
        <w:rPr>
          <w:rFonts w:eastAsia="Calibri" w:cs="Tahoma"/>
          <w:bCs/>
          <w:iCs/>
          <w:color w:val="auto"/>
        </w:rPr>
        <w:t xml:space="preserve"> </w:t>
      </w:r>
      <w:r w:rsidR="00A076A6" w:rsidRPr="00445CEF">
        <w:rPr>
          <w:rFonts w:eastAsia="Calibri" w:cs="Tahoma"/>
          <w:b/>
          <w:iCs/>
          <w:color w:val="auto"/>
        </w:rPr>
        <w:t>NOTIFÍQUESE POR SAIMEX</w:t>
      </w:r>
      <w:r w:rsidR="00A076A6" w:rsidRPr="00445CEF">
        <w:rPr>
          <w:rFonts w:eastAsia="Calibri" w:cs="Tahoma"/>
          <w:bCs/>
          <w:iCs/>
          <w:color w:val="auto"/>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39A2C453" w14:textId="77777777" w:rsidR="00A076A6" w:rsidRPr="00445CEF" w:rsidRDefault="00A076A6" w:rsidP="00A47C39">
      <w:pPr>
        <w:spacing w:after="0" w:line="360" w:lineRule="auto"/>
        <w:contextualSpacing/>
        <w:rPr>
          <w:rFonts w:eastAsia="Calibri" w:cs="Tahoma"/>
          <w:bCs/>
          <w:iCs/>
          <w:color w:val="auto"/>
        </w:rPr>
      </w:pPr>
    </w:p>
    <w:p w14:paraId="34526BB6" w14:textId="6D89811C" w:rsidR="00A076A6" w:rsidRPr="00445CEF" w:rsidRDefault="00A076A6" w:rsidP="00A47C39">
      <w:pPr>
        <w:spacing w:after="0" w:line="360" w:lineRule="auto"/>
        <w:contextualSpacing/>
        <w:rPr>
          <w:rFonts w:eastAsia="Calibri" w:cs="Tahoma"/>
          <w:bCs/>
          <w:iCs/>
          <w:color w:val="auto"/>
        </w:rPr>
      </w:pPr>
      <w:r w:rsidRPr="00445CEF">
        <w:rPr>
          <w:rFonts w:eastAsia="Calibri" w:cs="Tahoma"/>
          <w:bCs/>
          <w:iCs/>
          <w:color w:val="auto"/>
        </w:rPr>
        <w:t>De conformidad con el artículo 198 de la Ley de la materia, de considerarlo procedente, el Sujeto Obligado de manera fundada y motivada, podrá solicitar una ampliación de plazo para el cumplimiento de la presente resolución.</w:t>
      </w:r>
    </w:p>
    <w:p w14:paraId="650CDB0B" w14:textId="58FAEA80" w:rsidR="00EB75BD" w:rsidRPr="00445CEF" w:rsidRDefault="00EB75BD" w:rsidP="00A47C39">
      <w:pPr>
        <w:spacing w:after="0" w:line="360" w:lineRule="auto"/>
        <w:contextualSpacing/>
        <w:rPr>
          <w:rFonts w:eastAsia="Calibri" w:cs="Tahoma"/>
          <w:bCs/>
          <w:iCs/>
          <w:color w:val="auto"/>
        </w:rPr>
      </w:pPr>
    </w:p>
    <w:p w14:paraId="66A64E39" w14:textId="016D5BFC" w:rsidR="00CD7794" w:rsidRPr="00445CEF" w:rsidRDefault="000B4FC9" w:rsidP="00A47C39">
      <w:pPr>
        <w:spacing w:after="0" w:line="360" w:lineRule="auto"/>
        <w:contextualSpacing/>
        <w:rPr>
          <w:rFonts w:eastAsia="Calibri" w:cs="Tahoma"/>
          <w:bCs/>
          <w:iCs/>
          <w:color w:val="auto"/>
        </w:rPr>
      </w:pPr>
      <w:r w:rsidRPr="00445CEF">
        <w:rPr>
          <w:rFonts w:eastAsia="Calibri" w:cs="Tahoma"/>
          <w:b/>
          <w:iCs/>
          <w:color w:val="auto"/>
        </w:rPr>
        <w:t>CUARTO</w:t>
      </w:r>
      <w:r w:rsidR="00CD7794" w:rsidRPr="00445CEF">
        <w:rPr>
          <w:rFonts w:eastAsia="Calibri" w:cs="Tahoma"/>
          <w:b/>
          <w:iCs/>
          <w:color w:val="auto"/>
        </w:rPr>
        <w:t xml:space="preserve">. </w:t>
      </w:r>
      <w:r w:rsidR="00A076A6" w:rsidRPr="00445CEF">
        <w:rPr>
          <w:rFonts w:eastAsia="Calibri" w:cs="Tahoma"/>
          <w:b/>
          <w:iCs/>
          <w:color w:val="auto"/>
        </w:rPr>
        <w:t>NOTIFÍQUESE</w:t>
      </w:r>
      <w:r w:rsidR="00A076A6" w:rsidRPr="00445CEF">
        <w:rPr>
          <w:rFonts w:eastAsia="Calibri" w:cs="Tahoma"/>
          <w:bCs/>
          <w:iCs/>
          <w:color w:val="auto"/>
        </w:rPr>
        <w:t xml:space="preserve"> </w:t>
      </w:r>
      <w:r w:rsidR="00A076A6" w:rsidRPr="00445CEF">
        <w:rPr>
          <w:rFonts w:eastAsia="Calibri" w:cs="Tahoma"/>
          <w:b/>
          <w:iCs/>
          <w:color w:val="auto"/>
        </w:rPr>
        <w:t xml:space="preserve">POR SAIMEX </w:t>
      </w:r>
      <w:r w:rsidR="00A076A6" w:rsidRPr="00445CEF">
        <w:rPr>
          <w:rFonts w:eastAsia="Calibri" w:cs="Tahoma"/>
          <w:bCs/>
          <w:iCs/>
          <w:color w:val="auto"/>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513D6DF" w14:textId="77777777" w:rsidR="00CD7794" w:rsidRPr="00445CEF" w:rsidRDefault="00CD7794" w:rsidP="00A47C39">
      <w:pPr>
        <w:spacing w:after="0" w:line="360" w:lineRule="auto"/>
        <w:contextualSpacing/>
        <w:rPr>
          <w:rFonts w:eastAsia="Calibri" w:cs="Tahoma"/>
          <w:bCs/>
          <w:iCs/>
          <w:color w:val="auto"/>
        </w:rPr>
      </w:pPr>
    </w:p>
    <w:p w14:paraId="02BA05F5" w14:textId="1F078E17" w:rsidR="00B83462" w:rsidRDefault="00B83462" w:rsidP="00A47C39">
      <w:pPr>
        <w:spacing w:after="0" w:line="360" w:lineRule="auto"/>
        <w:contextualSpacing/>
        <w:rPr>
          <w:rFonts w:eastAsia="Calibri"/>
          <w:color w:val="auto"/>
        </w:rPr>
      </w:pPr>
      <w:r w:rsidRPr="00445CEF">
        <w:rPr>
          <w:rFonts w:eastAsia="Calibri"/>
          <w:color w:val="auto"/>
        </w:rPr>
        <w:t xml:space="preserve">ASÍ LO RESUELVE, POR </w:t>
      </w:r>
      <w:r w:rsidRPr="00445CEF">
        <w:rPr>
          <w:rFonts w:eastAsia="Calibri"/>
          <w:b/>
          <w:bCs/>
          <w:color w:val="auto"/>
        </w:rPr>
        <w:t>UNANIMIDAD</w:t>
      </w:r>
      <w:r w:rsidRPr="00445CEF">
        <w:rPr>
          <w:rFonts w:eastAsia="Calibri"/>
          <w:color w:val="auto"/>
        </w:rPr>
        <w:t xml:space="preserve"> DE VOTOS EL PLENO DEL INSTITUTO DE TRANSPARENCIA, ACCESO A LA INFORMACIÓN PÚBLICA Y PROTECCIÓN DE DATOS PERSONALES DEL ESTADO DE MÉXICO Y MUNICIPIOS, CONFORMADO POR </w:t>
      </w:r>
      <w:r w:rsidRPr="00445CEF">
        <w:rPr>
          <w:rFonts w:eastAsia="Calibri"/>
          <w:color w:val="auto"/>
        </w:rPr>
        <w:lastRenderedPageBreak/>
        <w:t>LOS COMISIONADOS JOSÉ MARTÍNEZ VILCHIS, MARÍA DEL ROSARIO MEJÍA AYALA, SHARON CRISTINA MORALES MARTÍNEZ, LUIS GUSTAVO PARRA NORIEGA Y GUADALUPE RAMÍREZ PEÑA, EN</w:t>
      </w:r>
      <w:r w:rsidR="008851BD" w:rsidRPr="00445CEF">
        <w:rPr>
          <w:rFonts w:eastAsia="Calibri"/>
          <w:color w:val="auto"/>
        </w:rPr>
        <w:t xml:space="preserve"> LA</w:t>
      </w:r>
      <w:r w:rsidRPr="00445CEF">
        <w:rPr>
          <w:rFonts w:eastAsia="Calibri"/>
          <w:color w:val="auto"/>
        </w:rPr>
        <w:t xml:space="preserve"> </w:t>
      </w:r>
      <w:r w:rsidR="009F19B9" w:rsidRPr="00445CEF">
        <w:rPr>
          <w:rFonts w:eastAsia="Calibri"/>
          <w:color w:val="auto"/>
        </w:rPr>
        <w:t xml:space="preserve">TRIGÉSIMA OCTAVA </w:t>
      </w:r>
      <w:r w:rsidR="000B4FC9" w:rsidRPr="00445CEF">
        <w:rPr>
          <w:rFonts w:eastAsia="Calibri"/>
          <w:color w:val="auto"/>
        </w:rPr>
        <w:t>SESIÓN ORDINARIA</w:t>
      </w:r>
      <w:r w:rsidRPr="00445CEF">
        <w:rPr>
          <w:rFonts w:eastAsia="Calibri"/>
          <w:color w:val="auto"/>
        </w:rPr>
        <w:t xml:space="preserve">, CELEBRADA EL </w:t>
      </w:r>
      <w:r w:rsidR="009F19B9" w:rsidRPr="00445CEF">
        <w:rPr>
          <w:rFonts w:eastAsia="Calibri"/>
          <w:color w:val="auto"/>
        </w:rPr>
        <w:t xml:space="preserve">SEIS DE NOVIEMBRE </w:t>
      </w:r>
      <w:r w:rsidR="000B4FC9" w:rsidRPr="00445CEF">
        <w:rPr>
          <w:rFonts w:eastAsia="Calibri"/>
          <w:color w:val="auto"/>
        </w:rPr>
        <w:t xml:space="preserve">DE </w:t>
      </w:r>
      <w:r w:rsidRPr="00445CEF">
        <w:rPr>
          <w:rFonts w:eastAsia="Calibri"/>
          <w:color w:val="auto"/>
        </w:rPr>
        <w:t>DOS MIL VEINTI</w:t>
      </w:r>
      <w:r w:rsidR="008851BD" w:rsidRPr="00445CEF">
        <w:rPr>
          <w:rFonts w:eastAsia="Calibri"/>
          <w:color w:val="auto"/>
        </w:rPr>
        <w:t>CUATRO</w:t>
      </w:r>
      <w:r w:rsidRPr="00445CEF">
        <w:rPr>
          <w:rFonts w:eastAsia="Calibri"/>
          <w:color w:val="auto"/>
        </w:rPr>
        <w:t>, ANTE EL SECRETARIO TÉCNICO DEL PLENO, ALEXIS TAPIA RAMÍREZ.</w:t>
      </w:r>
    </w:p>
    <w:p w14:paraId="7FE2DB86" w14:textId="77777777" w:rsidR="009F19B9" w:rsidRPr="009F19B9" w:rsidRDefault="009F19B9" w:rsidP="00A47C39">
      <w:pPr>
        <w:spacing w:after="0" w:line="360" w:lineRule="auto"/>
        <w:contextualSpacing/>
        <w:rPr>
          <w:rFonts w:eastAsia="Calibri"/>
          <w:color w:val="auto"/>
        </w:rPr>
      </w:pPr>
    </w:p>
    <w:p w14:paraId="3EC3E9BD" w14:textId="715BFBC1" w:rsidR="00CE7148" w:rsidRPr="00793C00" w:rsidRDefault="00DB3DC5" w:rsidP="00A47C39">
      <w:pPr>
        <w:spacing w:after="0" w:line="360" w:lineRule="auto"/>
        <w:contextualSpacing/>
        <w:rPr>
          <w:color w:val="FF0000"/>
        </w:rPr>
      </w:pPr>
      <w:r w:rsidRPr="00793C00">
        <w:rPr>
          <w:color w:val="FF0000"/>
        </w:rPr>
        <w:br w:type="page"/>
      </w:r>
    </w:p>
    <w:sectPr w:rsidR="00CE7148" w:rsidRPr="00793C00" w:rsidSect="000A66F1">
      <w:headerReference w:type="even" r:id="rId15"/>
      <w:headerReference w:type="default" r:id="rId16"/>
      <w:footerReference w:type="even" r:id="rId17"/>
      <w:footerReference w:type="default" r:id="rId18"/>
      <w:headerReference w:type="first" r:id="rId19"/>
      <w:footerReference w:type="first" r:id="rId20"/>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3EB00" w14:textId="77777777" w:rsidR="00190110" w:rsidRDefault="00190110" w:rsidP="00DB3DC5">
      <w:pPr>
        <w:spacing w:after="0" w:line="240" w:lineRule="auto"/>
      </w:pPr>
      <w:r>
        <w:separator/>
      </w:r>
    </w:p>
  </w:endnote>
  <w:endnote w:type="continuationSeparator" w:id="0">
    <w:p w14:paraId="318D1615" w14:textId="77777777" w:rsidR="00190110" w:rsidRDefault="00190110"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2D26C8" w:rsidRDefault="002D26C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87FC2">
              <w:rPr>
                <w:b/>
                <w:bCs/>
                <w:noProof/>
              </w:rPr>
              <w:t>36</w:t>
            </w:r>
            <w:r>
              <w:rPr>
                <w:b/>
                <w:bCs/>
                <w:sz w:val="24"/>
                <w:szCs w:val="24"/>
              </w:rPr>
              <w:fldChar w:fldCharType="end"/>
            </w:r>
          </w:p>
        </w:sdtContent>
      </w:sdt>
    </w:sdtContent>
  </w:sdt>
  <w:p w14:paraId="68EED6E3" w14:textId="77777777" w:rsidR="002D26C8" w:rsidRDefault="002D26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2D26C8" w:rsidRDefault="002D26C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87FC2">
              <w:rPr>
                <w:b/>
                <w:bCs/>
                <w:noProof/>
              </w:rPr>
              <w:t>34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87FC2">
              <w:rPr>
                <w:b/>
                <w:bCs/>
                <w:noProof/>
              </w:rPr>
              <w:t>36</w:t>
            </w:r>
            <w:r>
              <w:rPr>
                <w:b/>
                <w:bCs/>
                <w:sz w:val="24"/>
                <w:szCs w:val="24"/>
              </w:rPr>
              <w:fldChar w:fldCharType="end"/>
            </w:r>
          </w:p>
        </w:sdtContent>
      </w:sdt>
    </w:sdtContent>
  </w:sdt>
  <w:p w14:paraId="5C9540ED" w14:textId="77777777" w:rsidR="002D26C8" w:rsidRDefault="002D26C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2D26C8" w:rsidRDefault="002D26C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87FC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87FC2">
              <w:rPr>
                <w:b/>
                <w:bCs/>
                <w:noProof/>
              </w:rPr>
              <w:t>36</w:t>
            </w:r>
            <w:r>
              <w:rPr>
                <w:b/>
                <w:bCs/>
                <w:sz w:val="24"/>
                <w:szCs w:val="24"/>
              </w:rPr>
              <w:fldChar w:fldCharType="end"/>
            </w:r>
          </w:p>
        </w:sdtContent>
      </w:sdt>
    </w:sdtContent>
  </w:sdt>
  <w:p w14:paraId="601C40B8" w14:textId="77777777" w:rsidR="002D26C8" w:rsidRDefault="002D26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9D811" w14:textId="77777777" w:rsidR="00190110" w:rsidRDefault="00190110" w:rsidP="00DB3DC5">
      <w:pPr>
        <w:spacing w:after="0" w:line="240" w:lineRule="auto"/>
      </w:pPr>
      <w:r>
        <w:separator/>
      </w:r>
    </w:p>
  </w:footnote>
  <w:footnote w:type="continuationSeparator" w:id="0">
    <w:p w14:paraId="7727F144" w14:textId="77777777" w:rsidR="00190110" w:rsidRDefault="00190110"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2D26C8" w:rsidRPr="00E152D8" w14:paraId="04B090CA" w14:textId="77777777" w:rsidTr="00347876">
      <w:trPr>
        <w:trHeight w:val="132"/>
      </w:trPr>
      <w:tc>
        <w:tcPr>
          <w:tcW w:w="2691" w:type="dxa"/>
        </w:tcPr>
        <w:p w14:paraId="476D4D83" w14:textId="77777777" w:rsidR="002D26C8" w:rsidRPr="00E152D8" w:rsidRDefault="002D26C8"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2D26C8" w:rsidRPr="00EE1572" w:rsidRDefault="002D26C8" w:rsidP="00347876">
          <w:pPr>
            <w:tabs>
              <w:tab w:val="right" w:pos="8838"/>
            </w:tabs>
            <w:ind w:left="-28" w:right="-32"/>
            <w:rPr>
              <w:rFonts w:eastAsia="Calibri" w:cs="Tahoma"/>
            </w:rPr>
          </w:pPr>
          <w:r w:rsidRPr="00EE1572">
            <w:rPr>
              <w:rFonts w:eastAsia="Calibri" w:cs="Tahoma"/>
            </w:rPr>
            <w:t>03846/INFOEM/IP/RR/2020</w:t>
          </w:r>
        </w:p>
      </w:tc>
    </w:tr>
    <w:tr w:rsidR="002D26C8" w:rsidRPr="00E152D8" w14:paraId="1A944E3B" w14:textId="77777777" w:rsidTr="00347876">
      <w:trPr>
        <w:trHeight w:val="261"/>
      </w:trPr>
      <w:tc>
        <w:tcPr>
          <w:tcW w:w="2691" w:type="dxa"/>
        </w:tcPr>
        <w:p w14:paraId="04AF3D79" w14:textId="77777777" w:rsidR="002D26C8" w:rsidRPr="00E152D8" w:rsidRDefault="002D26C8"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2D26C8" w:rsidRPr="00EE1572" w:rsidRDefault="002D26C8" w:rsidP="00347876">
          <w:pPr>
            <w:tabs>
              <w:tab w:val="right" w:pos="8838"/>
            </w:tabs>
            <w:ind w:right="-32"/>
            <w:rPr>
              <w:rFonts w:eastAsia="Calibri" w:cs="Tahoma"/>
              <w:lang w:val="es-MX"/>
            </w:rPr>
          </w:pPr>
          <w:r w:rsidRPr="00EE1572">
            <w:rPr>
              <w:rFonts w:eastAsia="Calibri" w:cs="Tahoma"/>
              <w:lang w:val="es-MX"/>
            </w:rPr>
            <w:t>Ayuntamiento de Temascalcingo</w:t>
          </w:r>
        </w:p>
      </w:tc>
    </w:tr>
    <w:tr w:rsidR="002D26C8" w:rsidRPr="00E152D8" w14:paraId="51F43EE6" w14:textId="77777777" w:rsidTr="00347876">
      <w:trPr>
        <w:trHeight w:val="261"/>
      </w:trPr>
      <w:tc>
        <w:tcPr>
          <w:tcW w:w="2691" w:type="dxa"/>
        </w:tcPr>
        <w:p w14:paraId="4689E914" w14:textId="77777777" w:rsidR="002D26C8" w:rsidRPr="00E152D8" w:rsidRDefault="002D26C8"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2D26C8" w:rsidRPr="00E152D8" w:rsidRDefault="002D26C8"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2D26C8" w:rsidRDefault="00190110">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3"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2D26C8" w:rsidRPr="00E152D8" w14:paraId="6AD70801" w14:textId="77777777" w:rsidTr="00F063F0">
      <w:trPr>
        <w:trHeight w:val="138"/>
      </w:trPr>
      <w:tc>
        <w:tcPr>
          <w:tcW w:w="2551" w:type="dxa"/>
          <w:vAlign w:val="center"/>
        </w:tcPr>
        <w:p w14:paraId="4714C583" w14:textId="77777777" w:rsidR="002D26C8" w:rsidRPr="00E152D8" w:rsidRDefault="002D26C8"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0EE0FA52" w:rsidR="002D26C8" w:rsidRPr="00051642" w:rsidRDefault="002D26C8" w:rsidP="00347876">
          <w:pPr>
            <w:tabs>
              <w:tab w:val="right" w:pos="8838"/>
            </w:tabs>
            <w:ind w:left="-113" w:right="57"/>
            <w:rPr>
              <w:rFonts w:eastAsia="Calibri" w:cs="Tahoma"/>
            </w:rPr>
          </w:pPr>
          <w:r w:rsidRPr="00180E70">
            <w:t>0</w:t>
          </w:r>
          <w:r>
            <w:t>6011</w:t>
          </w:r>
          <w:r w:rsidRPr="00180E70">
            <w:t>/INFOEM/IP/RR/2024</w:t>
          </w:r>
          <w:r>
            <w:t xml:space="preserve"> </w:t>
          </w:r>
          <w:r>
            <w:rPr>
              <w:rFonts w:eastAsia="Calibri" w:cs="Tahoma"/>
              <w:lang w:val="es-MX"/>
            </w:rPr>
            <w:t>y acumulado</w:t>
          </w:r>
        </w:p>
      </w:tc>
    </w:tr>
    <w:tr w:rsidR="002D26C8" w:rsidRPr="00E152D8" w14:paraId="7FF5EABC" w14:textId="77777777" w:rsidTr="00F063F0">
      <w:trPr>
        <w:trHeight w:val="273"/>
      </w:trPr>
      <w:tc>
        <w:tcPr>
          <w:tcW w:w="2551" w:type="dxa"/>
        </w:tcPr>
        <w:p w14:paraId="565B10D1" w14:textId="77777777" w:rsidR="002D26C8" w:rsidRPr="00E152D8" w:rsidRDefault="002D26C8"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3855E9F1" w:rsidR="002D26C8" w:rsidRPr="00051642" w:rsidRDefault="002D26C8" w:rsidP="005D1BBF">
          <w:pPr>
            <w:tabs>
              <w:tab w:val="right" w:pos="8838"/>
            </w:tabs>
            <w:ind w:left="-113" w:right="-170"/>
            <w:rPr>
              <w:rFonts w:eastAsia="Calibri" w:cs="Tahoma"/>
              <w:lang w:val="es-MX"/>
            </w:rPr>
          </w:pPr>
          <w:r>
            <w:rPr>
              <w:bCs/>
              <w:color w:val="000000"/>
              <w:szCs w:val="14"/>
            </w:rPr>
            <w:t>Ayuntamiento de Atlacomulco</w:t>
          </w:r>
        </w:p>
      </w:tc>
    </w:tr>
    <w:tr w:rsidR="002D26C8" w:rsidRPr="00E152D8" w14:paraId="3156BE5F" w14:textId="77777777" w:rsidTr="00F063F0">
      <w:trPr>
        <w:trHeight w:val="273"/>
      </w:trPr>
      <w:tc>
        <w:tcPr>
          <w:tcW w:w="2551" w:type="dxa"/>
        </w:tcPr>
        <w:p w14:paraId="183B2F1A" w14:textId="77777777" w:rsidR="002D26C8" w:rsidRPr="00E152D8" w:rsidRDefault="002D26C8"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2D26C8" w:rsidRPr="00E152D8" w:rsidRDefault="002D26C8"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2D26C8" w:rsidRDefault="00190110"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395"/>
    </w:tblGrid>
    <w:tr w:rsidR="002D26C8" w:rsidRPr="00E152D8" w14:paraId="773597DE" w14:textId="77777777" w:rsidTr="00A863A4">
      <w:trPr>
        <w:trHeight w:val="132"/>
      </w:trPr>
      <w:tc>
        <w:tcPr>
          <w:tcW w:w="2551" w:type="dxa"/>
        </w:tcPr>
        <w:p w14:paraId="4FCB3AA3" w14:textId="77777777" w:rsidR="002D26C8" w:rsidRPr="00E152D8" w:rsidRDefault="002D26C8" w:rsidP="00347876">
          <w:pPr>
            <w:tabs>
              <w:tab w:val="right" w:pos="8838"/>
            </w:tabs>
            <w:ind w:right="-105"/>
            <w:rPr>
              <w:rFonts w:eastAsia="Calibri" w:cs="Tahoma"/>
              <w:b/>
              <w:lang w:val="es-MX"/>
            </w:rPr>
          </w:pPr>
          <w:r w:rsidRPr="00E152D8">
            <w:rPr>
              <w:rFonts w:eastAsia="Calibri" w:cs="Tahoma"/>
              <w:b/>
              <w:lang w:val="es-MX"/>
            </w:rPr>
            <w:t>Recurso de Revisión:</w:t>
          </w:r>
        </w:p>
      </w:tc>
      <w:tc>
        <w:tcPr>
          <w:tcW w:w="4395" w:type="dxa"/>
        </w:tcPr>
        <w:p w14:paraId="42955DA0" w14:textId="11A9CFAC" w:rsidR="002D26C8" w:rsidRPr="00051642" w:rsidRDefault="002D26C8" w:rsidP="00347876">
          <w:pPr>
            <w:tabs>
              <w:tab w:val="right" w:pos="8838"/>
            </w:tabs>
            <w:ind w:left="-111" w:right="-32"/>
            <w:rPr>
              <w:rFonts w:eastAsia="Calibri" w:cs="Tahoma"/>
            </w:rPr>
          </w:pPr>
          <w:r w:rsidRPr="00180E70">
            <w:t>0</w:t>
          </w:r>
          <w:r>
            <w:t>6011</w:t>
          </w:r>
          <w:r w:rsidRPr="00180E70">
            <w:t>/INFOEM/IP/RR/2024</w:t>
          </w:r>
          <w:r>
            <w:t xml:space="preserve"> </w:t>
          </w:r>
          <w:r>
            <w:rPr>
              <w:rFonts w:eastAsia="Calibri" w:cs="Tahoma"/>
              <w:lang w:val="es-MX"/>
            </w:rPr>
            <w:t>y acumulado</w:t>
          </w:r>
        </w:p>
      </w:tc>
    </w:tr>
    <w:tr w:rsidR="002D26C8" w:rsidRPr="00E152D8" w14:paraId="202FB661" w14:textId="77777777" w:rsidTr="00A863A4">
      <w:trPr>
        <w:trHeight w:val="132"/>
      </w:trPr>
      <w:tc>
        <w:tcPr>
          <w:tcW w:w="2551" w:type="dxa"/>
          <w:shd w:val="clear" w:color="auto" w:fill="auto"/>
        </w:tcPr>
        <w:p w14:paraId="5E100A32" w14:textId="77777777" w:rsidR="002D26C8" w:rsidRPr="00E152D8" w:rsidRDefault="002D26C8"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395" w:type="dxa"/>
          <w:shd w:val="clear" w:color="auto" w:fill="auto"/>
        </w:tcPr>
        <w:p w14:paraId="28640565" w14:textId="7F49C1AA" w:rsidR="002D26C8" w:rsidRPr="00E21446" w:rsidRDefault="002D26C8" w:rsidP="00DB3DC5">
          <w:pPr>
            <w:tabs>
              <w:tab w:val="right" w:pos="8838"/>
            </w:tabs>
            <w:ind w:left="-113"/>
            <w:rPr>
              <w:rFonts w:eastAsia="Calibri" w:cs="Tahoma"/>
              <w:lang w:val="es-MX"/>
            </w:rPr>
          </w:pPr>
        </w:p>
      </w:tc>
    </w:tr>
    <w:tr w:rsidR="002D26C8" w:rsidRPr="00E152D8" w14:paraId="1BA9B09B" w14:textId="77777777" w:rsidTr="00A863A4">
      <w:trPr>
        <w:trHeight w:val="261"/>
      </w:trPr>
      <w:tc>
        <w:tcPr>
          <w:tcW w:w="2551" w:type="dxa"/>
        </w:tcPr>
        <w:p w14:paraId="6174740A" w14:textId="77777777" w:rsidR="002D26C8" w:rsidRPr="00E152D8" w:rsidRDefault="002D26C8"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5" w:type="dxa"/>
        </w:tcPr>
        <w:p w14:paraId="4B948471" w14:textId="7B54F5A7" w:rsidR="002D26C8" w:rsidRPr="00180E70" w:rsidRDefault="002D26C8" w:rsidP="005D1BBF">
          <w:pPr>
            <w:tabs>
              <w:tab w:val="right" w:pos="8838"/>
            </w:tabs>
            <w:ind w:left="-111" w:right="-32"/>
            <w:rPr>
              <w:rFonts w:eastAsia="Calibri" w:cs="Tahoma"/>
              <w:lang w:val="es-MX"/>
            </w:rPr>
          </w:pPr>
          <w:r>
            <w:rPr>
              <w:bCs/>
              <w:color w:val="000000"/>
              <w:szCs w:val="14"/>
            </w:rPr>
            <w:t>Ayuntamiento de Atlacomulco</w:t>
          </w:r>
        </w:p>
      </w:tc>
    </w:tr>
    <w:tr w:rsidR="002D26C8" w:rsidRPr="00E152D8" w14:paraId="3F18AACD" w14:textId="77777777" w:rsidTr="00A863A4">
      <w:trPr>
        <w:trHeight w:val="261"/>
      </w:trPr>
      <w:tc>
        <w:tcPr>
          <w:tcW w:w="2551" w:type="dxa"/>
        </w:tcPr>
        <w:p w14:paraId="57E8DDB5" w14:textId="77777777" w:rsidR="002D26C8" w:rsidRPr="00E152D8" w:rsidRDefault="002D26C8" w:rsidP="00347876">
          <w:pPr>
            <w:tabs>
              <w:tab w:val="right" w:pos="8838"/>
            </w:tabs>
            <w:ind w:right="-105"/>
            <w:rPr>
              <w:rFonts w:eastAsia="Calibri" w:cs="Tahoma"/>
              <w:b/>
              <w:lang w:val="es-MX"/>
            </w:rPr>
          </w:pPr>
          <w:r w:rsidRPr="00E152D8">
            <w:rPr>
              <w:rFonts w:eastAsia="Calibri" w:cs="Tahoma"/>
              <w:b/>
              <w:lang w:val="es-MX"/>
            </w:rPr>
            <w:t>Comisionado Ponente:</w:t>
          </w:r>
        </w:p>
      </w:tc>
      <w:tc>
        <w:tcPr>
          <w:tcW w:w="4395" w:type="dxa"/>
        </w:tcPr>
        <w:p w14:paraId="1B8E59D3" w14:textId="77777777" w:rsidR="002D26C8" w:rsidRPr="00E152D8" w:rsidRDefault="002D26C8"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2D26C8" w:rsidRDefault="00190110"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6762B6"/>
    <w:multiLevelType w:val="hybridMultilevel"/>
    <w:tmpl w:val="4FCE12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AC2160"/>
    <w:multiLevelType w:val="hybridMultilevel"/>
    <w:tmpl w:val="666008C0"/>
    <w:lvl w:ilvl="0" w:tplc="080A000F">
      <w:start w:val="1"/>
      <w:numFmt w:val="decimal"/>
      <w:lvlText w:val="%1."/>
      <w:lvlJc w:val="left"/>
      <w:pPr>
        <w:ind w:left="720" w:hanging="360"/>
      </w:pPr>
    </w:lvl>
    <w:lvl w:ilvl="1" w:tplc="2E12F3E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4A70A6"/>
    <w:multiLevelType w:val="multilevel"/>
    <w:tmpl w:val="D56E99C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8C2D94"/>
    <w:multiLevelType w:val="hybridMultilevel"/>
    <w:tmpl w:val="5F3C146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9F695D"/>
    <w:multiLevelType w:val="hybridMultilevel"/>
    <w:tmpl w:val="B73C00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185C40"/>
    <w:multiLevelType w:val="hybridMultilevel"/>
    <w:tmpl w:val="666008C0"/>
    <w:lvl w:ilvl="0" w:tplc="080A000F">
      <w:start w:val="1"/>
      <w:numFmt w:val="decimal"/>
      <w:lvlText w:val="%1."/>
      <w:lvlJc w:val="left"/>
      <w:pPr>
        <w:ind w:left="720" w:hanging="360"/>
      </w:pPr>
    </w:lvl>
    <w:lvl w:ilvl="1" w:tplc="2E12F3E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5851C72"/>
    <w:multiLevelType w:val="hybridMultilevel"/>
    <w:tmpl w:val="14F09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DC274F"/>
    <w:multiLevelType w:val="hybridMultilevel"/>
    <w:tmpl w:val="946C77C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E936F00"/>
    <w:multiLevelType w:val="hybridMultilevel"/>
    <w:tmpl w:val="0962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ED5AB6"/>
    <w:multiLevelType w:val="multilevel"/>
    <w:tmpl w:val="A57653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D57FCD"/>
    <w:multiLevelType w:val="hybridMultilevel"/>
    <w:tmpl w:val="AA38C1DC"/>
    <w:lvl w:ilvl="0" w:tplc="98CC4A7A">
      <w:start w:val="1"/>
      <w:numFmt w:val="decimal"/>
      <w:lvlText w:val="%1."/>
      <w:lvlJc w:val="left"/>
      <w:pPr>
        <w:ind w:left="720" w:hanging="360"/>
      </w:pPr>
      <w:rPr>
        <w:color w:val="000000" w:themeColor="text1"/>
      </w:rPr>
    </w:lvl>
    <w:lvl w:ilvl="1" w:tplc="2E12F3E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3D36DA"/>
    <w:multiLevelType w:val="hybridMultilevel"/>
    <w:tmpl w:val="2C6A2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8A2937"/>
    <w:multiLevelType w:val="hybridMultilevel"/>
    <w:tmpl w:val="16EE3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E6188A"/>
    <w:multiLevelType w:val="hybridMultilevel"/>
    <w:tmpl w:val="5C50D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9B37C9"/>
    <w:multiLevelType w:val="hybridMultilevel"/>
    <w:tmpl w:val="D018AA2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CE02DA"/>
    <w:multiLevelType w:val="hybridMultilevel"/>
    <w:tmpl w:val="07689C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642E6F"/>
    <w:multiLevelType w:val="hybridMultilevel"/>
    <w:tmpl w:val="2D58C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5964FE"/>
    <w:multiLevelType w:val="hybridMultilevel"/>
    <w:tmpl w:val="2326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F47A7D"/>
    <w:multiLevelType w:val="hybridMultilevel"/>
    <w:tmpl w:val="AB323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4" w15:restartNumberingAfterBreak="0">
    <w:nsid w:val="56A94CA0"/>
    <w:multiLevelType w:val="hybridMultilevel"/>
    <w:tmpl w:val="3056D590"/>
    <w:lvl w:ilvl="0" w:tplc="A042A23A">
      <w:start w:val="1"/>
      <w:numFmt w:val="bullet"/>
      <w:lvlText w:val="-"/>
      <w:lvlJc w:val="left"/>
      <w:pPr>
        <w:ind w:left="927" w:hanging="360"/>
      </w:pPr>
      <w:rPr>
        <w:rFonts w:ascii="Palatino Linotype" w:eastAsiaTheme="minorHAnsi" w:hAnsi="Palatino Linotype"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5" w15:restartNumberingAfterBreak="0">
    <w:nsid w:val="581202AC"/>
    <w:multiLevelType w:val="hybridMultilevel"/>
    <w:tmpl w:val="4FCE12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F53019"/>
    <w:multiLevelType w:val="hybridMultilevel"/>
    <w:tmpl w:val="6A78F948"/>
    <w:lvl w:ilvl="0" w:tplc="7262760C">
      <w:start w:val="1"/>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047D72"/>
    <w:multiLevelType w:val="hybridMultilevel"/>
    <w:tmpl w:val="F2344F8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004920"/>
    <w:multiLevelType w:val="hybridMultilevel"/>
    <w:tmpl w:val="4FCE12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5E77F5"/>
    <w:multiLevelType w:val="hybridMultilevel"/>
    <w:tmpl w:val="8FE6E6EE"/>
    <w:lvl w:ilvl="0" w:tplc="5DE21BF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035458"/>
    <w:multiLevelType w:val="hybridMultilevel"/>
    <w:tmpl w:val="666008C0"/>
    <w:lvl w:ilvl="0" w:tplc="080A000F">
      <w:start w:val="1"/>
      <w:numFmt w:val="decimal"/>
      <w:lvlText w:val="%1."/>
      <w:lvlJc w:val="left"/>
      <w:pPr>
        <w:ind w:left="720" w:hanging="360"/>
      </w:pPr>
    </w:lvl>
    <w:lvl w:ilvl="1" w:tplc="2E12F3E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682F8A"/>
    <w:multiLevelType w:val="hybridMultilevel"/>
    <w:tmpl w:val="13DA15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4AB246E"/>
    <w:multiLevelType w:val="hybridMultilevel"/>
    <w:tmpl w:val="A30218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D9A57C6"/>
    <w:multiLevelType w:val="hybridMultilevel"/>
    <w:tmpl w:val="78C6AE6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2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6"/>
  </w:num>
  <w:num w:numId="7">
    <w:abstractNumId w:val="17"/>
  </w:num>
  <w:num w:numId="8">
    <w:abstractNumId w:val="27"/>
  </w:num>
  <w:num w:numId="9">
    <w:abstractNumId w:val="31"/>
  </w:num>
  <w:num w:numId="10">
    <w:abstractNumId w:val="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num>
  <w:num w:numId="15">
    <w:abstractNumId w:val="3"/>
  </w:num>
  <w:num w:numId="16">
    <w:abstractNumId w:val="11"/>
  </w:num>
  <w:num w:numId="17">
    <w:abstractNumId w:val="16"/>
  </w:num>
  <w:num w:numId="18">
    <w:abstractNumId w:val="23"/>
  </w:num>
  <w:num w:numId="19">
    <w:abstractNumId w:val="15"/>
  </w:num>
  <w:num w:numId="20">
    <w:abstractNumId w:val="7"/>
  </w:num>
  <w:num w:numId="21">
    <w:abstractNumId w:val="29"/>
  </w:num>
  <w:num w:numId="22">
    <w:abstractNumId w:val="24"/>
  </w:num>
  <w:num w:numId="23">
    <w:abstractNumId w:val="30"/>
  </w:num>
  <w:num w:numId="24">
    <w:abstractNumId w:val="21"/>
  </w:num>
  <w:num w:numId="25">
    <w:abstractNumId w:val="1"/>
  </w:num>
  <w:num w:numId="26">
    <w:abstractNumId w:val="18"/>
  </w:num>
  <w:num w:numId="27">
    <w:abstractNumId w:val="33"/>
  </w:num>
  <w:num w:numId="28">
    <w:abstractNumId w:val="13"/>
  </w:num>
  <w:num w:numId="29">
    <w:abstractNumId w:val="28"/>
  </w:num>
  <w:num w:numId="30">
    <w:abstractNumId w:val="10"/>
  </w:num>
  <w:num w:numId="31">
    <w:abstractNumId w:val="4"/>
  </w:num>
  <w:num w:numId="32">
    <w:abstractNumId w:val="8"/>
  </w:num>
  <w:num w:numId="33">
    <w:abstractNumId w:val="19"/>
  </w:num>
  <w:num w:numId="34">
    <w:abstractNumId w:val="2"/>
  </w:num>
  <w:num w:numId="35">
    <w:abstractNumId w:val="6"/>
  </w:num>
  <w:num w:numId="36">
    <w:abstractNumId w:val="25"/>
  </w:num>
  <w:num w:numId="3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0C5D"/>
    <w:rsid w:val="00000CC4"/>
    <w:rsid w:val="000045A6"/>
    <w:rsid w:val="00004D27"/>
    <w:rsid w:val="000131D9"/>
    <w:rsid w:val="00014BE4"/>
    <w:rsid w:val="000306F5"/>
    <w:rsid w:val="000320C9"/>
    <w:rsid w:val="0004250A"/>
    <w:rsid w:val="00045728"/>
    <w:rsid w:val="00046A54"/>
    <w:rsid w:val="000531E8"/>
    <w:rsid w:val="00054325"/>
    <w:rsid w:val="0005533E"/>
    <w:rsid w:val="00066CD8"/>
    <w:rsid w:val="00070115"/>
    <w:rsid w:val="000729D1"/>
    <w:rsid w:val="00075A7E"/>
    <w:rsid w:val="00077004"/>
    <w:rsid w:val="00080DEB"/>
    <w:rsid w:val="0008576C"/>
    <w:rsid w:val="000858A7"/>
    <w:rsid w:val="00094584"/>
    <w:rsid w:val="00097CB7"/>
    <w:rsid w:val="000A0A70"/>
    <w:rsid w:val="000A1E4B"/>
    <w:rsid w:val="000A2D13"/>
    <w:rsid w:val="000A66F1"/>
    <w:rsid w:val="000B21D9"/>
    <w:rsid w:val="000B2239"/>
    <w:rsid w:val="000B382E"/>
    <w:rsid w:val="000B4FC9"/>
    <w:rsid w:val="000B51FF"/>
    <w:rsid w:val="000C123C"/>
    <w:rsid w:val="000C1808"/>
    <w:rsid w:val="000C6BA9"/>
    <w:rsid w:val="000D1364"/>
    <w:rsid w:val="000D1C9F"/>
    <w:rsid w:val="000D2B0E"/>
    <w:rsid w:val="000D7F4D"/>
    <w:rsid w:val="000E0E8D"/>
    <w:rsid w:val="000F28C9"/>
    <w:rsid w:val="000F3AB5"/>
    <w:rsid w:val="000F5268"/>
    <w:rsid w:val="000F5D06"/>
    <w:rsid w:val="001015F5"/>
    <w:rsid w:val="001023EA"/>
    <w:rsid w:val="00110D4D"/>
    <w:rsid w:val="00114372"/>
    <w:rsid w:val="00116CD6"/>
    <w:rsid w:val="00120738"/>
    <w:rsid w:val="001263F1"/>
    <w:rsid w:val="00127259"/>
    <w:rsid w:val="001334D1"/>
    <w:rsid w:val="00134BD9"/>
    <w:rsid w:val="00135E54"/>
    <w:rsid w:val="0014037A"/>
    <w:rsid w:val="0014058D"/>
    <w:rsid w:val="0014339D"/>
    <w:rsid w:val="001517CF"/>
    <w:rsid w:val="0015464D"/>
    <w:rsid w:val="00155A01"/>
    <w:rsid w:val="00161C1F"/>
    <w:rsid w:val="00162419"/>
    <w:rsid w:val="00162B07"/>
    <w:rsid w:val="001653F7"/>
    <w:rsid w:val="00166436"/>
    <w:rsid w:val="001738C5"/>
    <w:rsid w:val="00174C59"/>
    <w:rsid w:val="00175A58"/>
    <w:rsid w:val="00180E70"/>
    <w:rsid w:val="001810F6"/>
    <w:rsid w:val="00185648"/>
    <w:rsid w:val="00190110"/>
    <w:rsid w:val="001960BD"/>
    <w:rsid w:val="001960F4"/>
    <w:rsid w:val="00197AD6"/>
    <w:rsid w:val="001A4BBD"/>
    <w:rsid w:val="001A6F7E"/>
    <w:rsid w:val="001B1F17"/>
    <w:rsid w:val="001B471E"/>
    <w:rsid w:val="001B6B60"/>
    <w:rsid w:val="001C2BE1"/>
    <w:rsid w:val="001C2FE7"/>
    <w:rsid w:val="001C7AC2"/>
    <w:rsid w:val="001E131A"/>
    <w:rsid w:val="001F2424"/>
    <w:rsid w:val="001F3934"/>
    <w:rsid w:val="001F5B09"/>
    <w:rsid w:val="002005C2"/>
    <w:rsid w:val="002008F5"/>
    <w:rsid w:val="00202C9E"/>
    <w:rsid w:val="00205DCC"/>
    <w:rsid w:val="00211AA8"/>
    <w:rsid w:val="00215943"/>
    <w:rsid w:val="00223241"/>
    <w:rsid w:val="00224F83"/>
    <w:rsid w:val="00225138"/>
    <w:rsid w:val="00230BC7"/>
    <w:rsid w:val="002314DC"/>
    <w:rsid w:val="00232A5F"/>
    <w:rsid w:val="00236C7A"/>
    <w:rsid w:val="00242F79"/>
    <w:rsid w:val="00250655"/>
    <w:rsid w:val="00251ECA"/>
    <w:rsid w:val="00254457"/>
    <w:rsid w:val="002642B1"/>
    <w:rsid w:val="00264675"/>
    <w:rsid w:val="00265CFE"/>
    <w:rsid w:val="002705C2"/>
    <w:rsid w:val="00270A34"/>
    <w:rsid w:val="00272B12"/>
    <w:rsid w:val="00272C54"/>
    <w:rsid w:val="00275433"/>
    <w:rsid w:val="00275938"/>
    <w:rsid w:val="00275E0B"/>
    <w:rsid w:val="00291DBC"/>
    <w:rsid w:val="0029312C"/>
    <w:rsid w:val="002977E5"/>
    <w:rsid w:val="00297E98"/>
    <w:rsid w:val="002A05AF"/>
    <w:rsid w:val="002A0BE5"/>
    <w:rsid w:val="002A5563"/>
    <w:rsid w:val="002B3DEB"/>
    <w:rsid w:val="002C0400"/>
    <w:rsid w:val="002C19D9"/>
    <w:rsid w:val="002C6D54"/>
    <w:rsid w:val="002C7D9C"/>
    <w:rsid w:val="002D1EB0"/>
    <w:rsid w:val="002D26C8"/>
    <w:rsid w:val="002D7D1F"/>
    <w:rsid w:val="002E27EE"/>
    <w:rsid w:val="002E4194"/>
    <w:rsid w:val="002E526D"/>
    <w:rsid w:val="002E7B66"/>
    <w:rsid w:val="002F09EA"/>
    <w:rsid w:val="002F551A"/>
    <w:rsid w:val="00305A6A"/>
    <w:rsid w:val="00306FB6"/>
    <w:rsid w:val="00313611"/>
    <w:rsid w:val="00316E8A"/>
    <w:rsid w:val="003217A5"/>
    <w:rsid w:val="003221E9"/>
    <w:rsid w:val="00323991"/>
    <w:rsid w:val="00324CAF"/>
    <w:rsid w:val="00325C2D"/>
    <w:rsid w:val="0033782D"/>
    <w:rsid w:val="0034046A"/>
    <w:rsid w:val="00340FD1"/>
    <w:rsid w:val="00344897"/>
    <w:rsid w:val="00345BB5"/>
    <w:rsid w:val="00347876"/>
    <w:rsid w:val="0035026E"/>
    <w:rsid w:val="003529DE"/>
    <w:rsid w:val="00356794"/>
    <w:rsid w:val="00363DED"/>
    <w:rsid w:val="00365137"/>
    <w:rsid w:val="00365477"/>
    <w:rsid w:val="00366820"/>
    <w:rsid w:val="00366CBD"/>
    <w:rsid w:val="00374BDF"/>
    <w:rsid w:val="00380681"/>
    <w:rsid w:val="003817F1"/>
    <w:rsid w:val="00384999"/>
    <w:rsid w:val="00387E7C"/>
    <w:rsid w:val="003905B1"/>
    <w:rsid w:val="00390BA0"/>
    <w:rsid w:val="00391081"/>
    <w:rsid w:val="003A07CF"/>
    <w:rsid w:val="003A123A"/>
    <w:rsid w:val="003A1B30"/>
    <w:rsid w:val="003A67B2"/>
    <w:rsid w:val="003B04E1"/>
    <w:rsid w:val="003C05D6"/>
    <w:rsid w:val="003C2F41"/>
    <w:rsid w:val="003C3E46"/>
    <w:rsid w:val="003C609F"/>
    <w:rsid w:val="003C7544"/>
    <w:rsid w:val="003D43E1"/>
    <w:rsid w:val="003E6F3E"/>
    <w:rsid w:val="003F1AF7"/>
    <w:rsid w:val="003F3586"/>
    <w:rsid w:val="003F5EB5"/>
    <w:rsid w:val="003F63DA"/>
    <w:rsid w:val="00405E62"/>
    <w:rsid w:val="00406B1A"/>
    <w:rsid w:val="0041156D"/>
    <w:rsid w:val="0041791A"/>
    <w:rsid w:val="00421495"/>
    <w:rsid w:val="00422551"/>
    <w:rsid w:val="00430E40"/>
    <w:rsid w:val="00442D0F"/>
    <w:rsid w:val="00444157"/>
    <w:rsid w:val="004456CE"/>
    <w:rsid w:val="00445CEF"/>
    <w:rsid w:val="004500E2"/>
    <w:rsid w:val="00456B51"/>
    <w:rsid w:val="00457321"/>
    <w:rsid w:val="004610AE"/>
    <w:rsid w:val="00475911"/>
    <w:rsid w:val="00476226"/>
    <w:rsid w:val="00485E1C"/>
    <w:rsid w:val="004908D0"/>
    <w:rsid w:val="00494313"/>
    <w:rsid w:val="0049535A"/>
    <w:rsid w:val="0049737D"/>
    <w:rsid w:val="00497F96"/>
    <w:rsid w:val="004A1A68"/>
    <w:rsid w:val="004A2483"/>
    <w:rsid w:val="004A27E9"/>
    <w:rsid w:val="004A5AD5"/>
    <w:rsid w:val="004A5FDD"/>
    <w:rsid w:val="004B3EF1"/>
    <w:rsid w:val="004B4B36"/>
    <w:rsid w:val="004B5684"/>
    <w:rsid w:val="004B6AAC"/>
    <w:rsid w:val="004C2A08"/>
    <w:rsid w:val="004C3F56"/>
    <w:rsid w:val="004D0655"/>
    <w:rsid w:val="004E5AB1"/>
    <w:rsid w:val="004F5253"/>
    <w:rsid w:val="004F631F"/>
    <w:rsid w:val="004F63EC"/>
    <w:rsid w:val="005036D2"/>
    <w:rsid w:val="00510A95"/>
    <w:rsid w:val="0051736C"/>
    <w:rsid w:val="005209F1"/>
    <w:rsid w:val="00526F36"/>
    <w:rsid w:val="00530807"/>
    <w:rsid w:val="00536E53"/>
    <w:rsid w:val="00547A40"/>
    <w:rsid w:val="00547D3F"/>
    <w:rsid w:val="00551530"/>
    <w:rsid w:val="005540A1"/>
    <w:rsid w:val="005547CE"/>
    <w:rsid w:val="00556262"/>
    <w:rsid w:val="005621C1"/>
    <w:rsid w:val="0056672A"/>
    <w:rsid w:val="005672AB"/>
    <w:rsid w:val="00571A22"/>
    <w:rsid w:val="00572301"/>
    <w:rsid w:val="00572F85"/>
    <w:rsid w:val="0057520D"/>
    <w:rsid w:val="005770D9"/>
    <w:rsid w:val="00577C88"/>
    <w:rsid w:val="00581B4F"/>
    <w:rsid w:val="005830BF"/>
    <w:rsid w:val="00587799"/>
    <w:rsid w:val="00592932"/>
    <w:rsid w:val="00594FEF"/>
    <w:rsid w:val="005A00DC"/>
    <w:rsid w:val="005A5AAC"/>
    <w:rsid w:val="005A64FF"/>
    <w:rsid w:val="005A6BEC"/>
    <w:rsid w:val="005A6CAE"/>
    <w:rsid w:val="005A6F02"/>
    <w:rsid w:val="005A7DC1"/>
    <w:rsid w:val="005B45A3"/>
    <w:rsid w:val="005B48CA"/>
    <w:rsid w:val="005B5C4F"/>
    <w:rsid w:val="005B6D7A"/>
    <w:rsid w:val="005C1751"/>
    <w:rsid w:val="005C2558"/>
    <w:rsid w:val="005C3BC6"/>
    <w:rsid w:val="005C4483"/>
    <w:rsid w:val="005C6124"/>
    <w:rsid w:val="005C7D52"/>
    <w:rsid w:val="005D04FC"/>
    <w:rsid w:val="005D1BBF"/>
    <w:rsid w:val="005D475A"/>
    <w:rsid w:val="005D491B"/>
    <w:rsid w:val="005D69E6"/>
    <w:rsid w:val="005E3C89"/>
    <w:rsid w:val="005E3CD1"/>
    <w:rsid w:val="005F59BC"/>
    <w:rsid w:val="00600A07"/>
    <w:rsid w:val="00601950"/>
    <w:rsid w:val="00602524"/>
    <w:rsid w:val="00605056"/>
    <w:rsid w:val="00606D94"/>
    <w:rsid w:val="0061014C"/>
    <w:rsid w:val="00611F9D"/>
    <w:rsid w:val="00614002"/>
    <w:rsid w:val="006160E1"/>
    <w:rsid w:val="0061661B"/>
    <w:rsid w:val="00617886"/>
    <w:rsid w:val="00624745"/>
    <w:rsid w:val="00635443"/>
    <w:rsid w:val="00637D8D"/>
    <w:rsid w:val="006437A8"/>
    <w:rsid w:val="006522A7"/>
    <w:rsid w:val="00654698"/>
    <w:rsid w:val="006613E9"/>
    <w:rsid w:val="006651F1"/>
    <w:rsid w:val="00666693"/>
    <w:rsid w:val="00673579"/>
    <w:rsid w:val="006760A0"/>
    <w:rsid w:val="006778B9"/>
    <w:rsid w:val="006833E2"/>
    <w:rsid w:val="0068768C"/>
    <w:rsid w:val="00687DCC"/>
    <w:rsid w:val="00691634"/>
    <w:rsid w:val="00694279"/>
    <w:rsid w:val="006A0867"/>
    <w:rsid w:val="006A0D26"/>
    <w:rsid w:val="006A2A02"/>
    <w:rsid w:val="006A2D6B"/>
    <w:rsid w:val="006A7FA3"/>
    <w:rsid w:val="006B1357"/>
    <w:rsid w:val="006B1B7E"/>
    <w:rsid w:val="006B1D6F"/>
    <w:rsid w:val="006B707A"/>
    <w:rsid w:val="006C5DC5"/>
    <w:rsid w:val="006C661F"/>
    <w:rsid w:val="006C7EE1"/>
    <w:rsid w:val="006D1800"/>
    <w:rsid w:val="006D4D79"/>
    <w:rsid w:val="006D526B"/>
    <w:rsid w:val="006D549C"/>
    <w:rsid w:val="006D68D8"/>
    <w:rsid w:val="006D733C"/>
    <w:rsid w:val="006D73DE"/>
    <w:rsid w:val="006E3171"/>
    <w:rsid w:val="006F0D77"/>
    <w:rsid w:val="007146FE"/>
    <w:rsid w:val="00716648"/>
    <w:rsid w:val="00721527"/>
    <w:rsid w:val="00725C4E"/>
    <w:rsid w:val="007309C0"/>
    <w:rsid w:val="00733CFF"/>
    <w:rsid w:val="0074675E"/>
    <w:rsid w:val="007535AE"/>
    <w:rsid w:val="00757C4F"/>
    <w:rsid w:val="007606FC"/>
    <w:rsid w:val="00761AF7"/>
    <w:rsid w:val="00761D2D"/>
    <w:rsid w:val="00762AFD"/>
    <w:rsid w:val="00763706"/>
    <w:rsid w:val="00766229"/>
    <w:rsid w:val="00767BDD"/>
    <w:rsid w:val="007727B9"/>
    <w:rsid w:val="0077746A"/>
    <w:rsid w:val="007849C0"/>
    <w:rsid w:val="00784C5C"/>
    <w:rsid w:val="0078748E"/>
    <w:rsid w:val="00793C00"/>
    <w:rsid w:val="007B0396"/>
    <w:rsid w:val="007B0BBD"/>
    <w:rsid w:val="007B7A77"/>
    <w:rsid w:val="007C5B2C"/>
    <w:rsid w:val="007D1412"/>
    <w:rsid w:val="007D2E77"/>
    <w:rsid w:val="007D3BE4"/>
    <w:rsid w:val="007D613E"/>
    <w:rsid w:val="007E0A9A"/>
    <w:rsid w:val="007F08B3"/>
    <w:rsid w:val="007F271C"/>
    <w:rsid w:val="007F466A"/>
    <w:rsid w:val="00802FBF"/>
    <w:rsid w:val="008030AC"/>
    <w:rsid w:val="00814335"/>
    <w:rsid w:val="00816E16"/>
    <w:rsid w:val="00820107"/>
    <w:rsid w:val="0082097F"/>
    <w:rsid w:val="00822E57"/>
    <w:rsid w:val="008254F2"/>
    <w:rsid w:val="0082667E"/>
    <w:rsid w:val="00826E2F"/>
    <w:rsid w:val="00837719"/>
    <w:rsid w:val="008378FA"/>
    <w:rsid w:val="00843F6F"/>
    <w:rsid w:val="00857CF5"/>
    <w:rsid w:val="00864847"/>
    <w:rsid w:val="008648BA"/>
    <w:rsid w:val="008649A0"/>
    <w:rsid w:val="00871A36"/>
    <w:rsid w:val="008723B8"/>
    <w:rsid w:val="00873BD6"/>
    <w:rsid w:val="00874164"/>
    <w:rsid w:val="008757F1"/>
    <w:rsid w:val="00876A9F"/>
    <w:rsid w:val="00876B0D"/>
    <w:rsid w:val="0087701B"/>
    <w:rsid w:val="00881367"/>
    <w:rsid w:val="008851BD"/>
    <w:rsid w:val="00885F39"/>
    <w:rsid w:val="00887A1B"/>
    <w:rsid w:val="00892FA0"/>
    <w:rsid w:val="008948DA"/>
    <w:rsid w:val="0089704B"/>
    <w:rsid w:val="008A6ABF"/>
    <w:rsid w:val="008B5935"/>
    <w:rsid w:val="008B6FA7"/>
    <w:rsid w:val="008C0081"/>
    <w:rsid w:val="008C2A40"/>
    <w:rsid w:val="008C576C"/>
    <w:rsid w:val="008C63FA"/>
    <w:rsid w:val="008D25BA"/>
    <w:rsid w:val="008D3D48"/>
    <w:rsid w:val="008D6703"/>
    <w:rsid w:val="008E0568"/>
    <w:rsid w:val="008F2853"/>
    <w:rsid w:val="008F42E3"/>
    <w:rsid w:val="008F782C"/>
    <w:rsid w:val="00902E58"/>
    <w:rsid w:val="0090517A"/>
    <w:rsid w:val="0091531A"/>
    <w:rsid w:val="00920C0F"/>
    <w:rsid w:val="009217AA"/>
    <w:rsid w:val="009222CE"/>
    <w:rsid w:val="00931F41"/>
    <w:rsid w:val="0093267C"/>
    <w:rsid w:val="00935109"/>
    <w:rsid w:val="00935AA3"/>
    <w:rsid w:val="00935D28"/>
    <w:rsid w:val="00937303"/>
    <w:rsid w:val="00942798"/>
    <w:rsid w:val="009445B3"/>
    <w:rsid w:val="009452C3"/>
    <w:rsid w:val="009464D8"/>
    <w:rsid w:val="00951CD4"/>
    <w:rsid w:val="00953052"/>
    <w:rsid w:val="00954C85"/>
    <w:rsid w:val="0095724E"/>
    <w:rsid w:val="00957F3A"/>
    <w:rsid w:val="00961CFC"/>
    <w:rsid w:val="00963FF5"/>
    <w:rsid w:val="0096426C"/>
    <w:rsid w:val="009743A5"/>
    <w:rsid w:val="00980A50"/>
    <w:rsid w:val="00980F1A"/>
    <w:rsid w:val="00993137"/>
    <w:rsid w:val="009978D1"/>
    <w:rsid w:val="009A678C"/>
    <w:rsid w:val="009B33FF"/>
    <w:rsid w:val="009B365B"/>
    <w:rsid w:val="009B5430"/>
    <w:rsid w:val="009B7828"/>
    <w:rsid w:val="009C15D1"/>
    <w:rsid w:val="009E1D6F"/>
    <w:rsid w:val="009E2C1F"/>
    <w:rsid w:val="009F13CF"/>
    <w:rsid w:val="009F19B9"/>
    <w:rsid w:val="009F7CEB"/>
    <w:rsid w:val="00A03218"/>
    <w:rsid w:val="00A05474"/>
    <w:rsid w:val="00A076A6"/>
    <w:rsid w:val="00A234A1"/>
    <w:rsid w:val="00A23FB9"/>
    <w:rsid w:val="00A25662"/>
    <w:rsid w:val="00A27E34"/>
    <w:rsid w:val="00A30B0F"/>
    <w:rsid w:val="00A3239C"/>
    <w:rsid w:val="00A336C0"/>
    <w:rsid w:val="00A33AB7"/>
    <w:rsid w:val="00A372BC"/>
    <w:rsid w:val="00A37C19"/>
    <w:rsid w:val="00A42CDD"/>
    <w:rsid w:val="00A44866"/>
    <w:rsid w:val="00A47C39"/>
    <w:rsid w:val="00A50E4E"/>
    <w:rsid w:val="00A52735"/>
    <w:rsid w:val="00A53051"/>
    <w:rsid w:val="00A555FF"/>
    <w:rsid w:val="00A56B36"/>
    <w:rsid w:val="00A578F0"/>
    <w:rsid w:val="00A6469E"/>
    <w:rsid w:val="00A70740"/>
    <w:rsid w:val="00A72CDB"/>
    <w:rsid w:val="00A7417E"/>
    <w:rsid w:val="00A77EBD"/>
    <w:rsid w:val="00A863A4"/>
    <w:rsid w:val="00A87DB7"/>
    <w:rsid w:val="00A905E3"/>
    <w:rsid w:val="00A92EF3"/>
    <w:rsid w:val="00A932CD"/>
    <w:rsid w:val="00A93705"/>
    <w:rsid w:val="00A93F48"/>
    <w:rsid w:val="00A9526A"/>
    <w:rsid w:val="00AA2579"/>
    <w:rsid w:val="00AA338F"/>
    <w:rsid w:val="00AA358B"/>
    <w:rsid w:val="00AA49C0"/>
    <w:rsid w:val="00AC1DA1"/>
    <w:rsid w:val="00AC47AB"/>
    <w:rsid w:val="00AC61F1"/>
    <w:rsid w:val="00AD59AA"/>
    <w:rsid w:val="00AD7732"/>
    <w:rsid w:val="00AE199A"/>
    <w:rsid w:val="00AE1F48"/>
    <w:rsid w:val="00AF189E"/>
    <w:rsid w:val="00AF19B3"/>
    <w:rsid w:val="00AF307F"/>
    <w:rsid w:val="00B000C5"/>
    <w:rsid w:val="00B009D4"/>
    <w:rsid w:val="00B05FF4"/>
    <w:rsid w:val="00B0672F"/>
    <w:rsid w:val="00B0753D"/>
    <w:rsid w:val="00B076B7"/>
    <w:rsid w:val="00B12570"/>
    <w:rsid w:val="00B13C69"/>
    <w:rsid w:val="00B155C1"/>
    <w:rsid w:val="00B20DD3"/>
    <w:rsid w:val="00B23AC4"/>
    <w:rsid w:val="00B31B32"/>
    <w:rsid w:val="00B34D6B"/>
    <w:rsid w:val="00B34D94"/>
    <w:rsid w:val="00B350DF"/>
    <w:rsid w:val="00B46FB5"/>
    <w:rsid w:val="00B521B7"/>
    <w:rsid w:val="00B550EF"/>
    <w:rsid w:val="00B557DF"/>
    <w:rsid w:val="00B5725C"/>
    <w:rsid w:val="00B57665"/>
    <w:rsid w:val="00B60D25"/>
    <w:rsid w:val="00B60E64"/>
    <w:rsid w:val="00B66DAF"/>
    <w:rsid w:val="00B77B2E"/>
    <w:rsid w:val="00B77E40"/>
    <w:rsid w:val="00B83462"/>
    <w:rsid w:val="00B841F8"/>
    <w:rsid w:val="00B863A6"/>
    <w:rsid w:val="00B87FC2"/>
    <w:rsid w:val="00B91235"/>
    <w:rsid w:val="00BA56CE"/>
    <w:rsid w:val="00BB36D2"/>
    <w:rsid w:val="00BB3FF5"/>
    <w:rsid w:val="00BB6C24"/>
    <w:rsid w:val="00BB7A68"/>
    <w:rsid w:val="00BC24A4"/>
    <w:rsid w:val="00BD1E2B"/>
    <w:rsid w:val="00BE3C4E"/>
    <w:rsid w:val="00BF05C5"/>
    <w:rsid w:val="00BF0927"/>
    <w:rsid w:val="00BF09B3"/>
    <w:rsid w:val="00BF159B"/>
    <w:rsid w:val="00BF3CF3"/>
    <w:rsid w:val="00BF57B7"/>
    <w:rsid w:val="00BF7647"/>
    <w:rsid w:val="00C01869"/>
    <w:rsid w:val="00C044CC"/>
    <w:rsid w:val="00C05DB9"/>
    <w:rsid w:val="00C17EBF"/>
    <w:rsid w:val="00C21B7D"/>
    <w:rsid w:val="00C2464D"/>
    <w:rsid w:val="00C30965"/>
    <w:rsid w:val="00C32C4F"/>
    <w:rsid w:val="00C337E5"/>
    <w:rsid w:val="00C340FF"/>
    <w:rsid w:val="00C3578F"/>
    <w:rsid w:val="00C35E1C"/>
    <w:rsid w:val="00C45E07"/>
    <w:rsid w:val="00C5293A"/>
    <w:rsid w:val="00C54015"/>
    <w:rsid w:val="00C605C9"/>
    <w:rsid w:val="00C635E3"/>
    <w:rsid w:val="00C66273"/>
    <w:rsid w:val="00C66DCC"/>
    <w:rsid w:val="00C7387B"/>
    <w:rsid w:val="00C77552"/>
    <w:rsid w:val="00C819FF"/>
    <w:rsid w:val="00C829A0"/>
    <w:rsid w:val="00C830B3"/>
    <w:rsid w:val="00C8608C"/>
    <w:rsid w:val="00C867AC"/>
    <w:rsid w:val="00C871AC"/>
    <w:rsid w:val="00C9195D"/>
    <w:rsid w:val="00C93635"/>
    <w:rsid w:val="00C94887"/>
    <w:rsid w:val="00CA096B"/>
    <w:rsid w:val="00CA20C8"/>
    <w:rsid w:val="00CA40AE"/>
    <w:rsid w:val="00CB2FA4"/>
    <w:rsid w:val="00CB4885"/>
    <w:rsid w:val="00CB750C"/>
    <w:rsid w:val="00CC05C8"/>
    <w:rsid w:val="00CC09B5"/>
    <w:rsid w:val="00CC1B8E"/>
    <w:rsid w:val="00CC62F9"/>
    <w:rsid w:val="00CC7BB7"/>
    <w:rsid w:val="00CD0181"/>
    <w:rsid w:val="00CD20AC"/>
    <w:rsid w:val="00CD7794"/>
    <w:rsid w:val="00CE7148"/>
    <w:rsid w:val="00CF1DDB"/>
    <w:rsid w:val="00CF5C61"/>
    <w:rsid w:val="00CF7F2E"/>
    <w:rsid w:val="00D07290"/>
    <w:rsid w:val="00D13AD5"/>
    <w:rsid w:val="00D1532D"/>
    <w:rsid w:val="00D26E62"/>
    <w:rsid w:val="00D36112"/>
    <w:rsid w:val="00D437B8"/>
    <w:rsid w:val="00D51FC1"/>
    <w:rsid w:val="00D60C35"/>
    <w:rsid w:val="00D627CD"/>
    <w:rsid w:val="00D630E1"/>
    <w:rsid w:val="00D639C5"/>
    <w:rsid w:val="00D65375"/>
    <w:rsid w:val="00D74C1C"/>
    <w:rsid w:val="00D77576"/>
    <w:rsid w:val="00D777E9"/>
    <w:rsid w:val="00D95C1D"/>
    <w:rsid w:val="00D972F0"/>
    <w:rsid w:val="00DA1A92"/>
    <w:rsid w:val="00DA4AD8"/>
    <w:rsid w:val="00DB3DC5"/>
    <w:rsid w:val="00DB7B7C"/>
    <w:rsid w:val="00DC3EDC"/>
    <w:rsid w:val="00DC42DF"/>
    <w:rsid w:val="00DD2D2E"/>
    <w:rsid w:val="00DD3A8B"/>
    <w:rsid w:val="00DD61E6"/>
    <w:rsid w:val="00DD6EB5"/>
    <w:rsid w:val="00DE3357"/>
    <w:rsid w:val="00DE44B2"/>
    <w:rsid w:val="00DF1B85"/>
    <w:rsid w:val="00E063FC"/>
    <w:rsid w:val="00E0752A"/>
    <w:rsid w:val="00E07591"/>
    <w:rsid w:val="00E3415E"/>
    <w:rsid w:val="00E36CEA"/>
    <w:rsid w:val="00E37271"/>
    <w:rsid w:val="00E379B9"/>
    <w:rsid w:val="00E413F4"/>
    <w:rsid w:val="00E421AE"/>
    <w:rsid w:val="00E42399"/>
    <w:rsid w:val="00E43196"/>
    <w:rsid w:val="00E43B2E"/>
    <w:rsid w:val="00E478FC"/>
    <w:rsid w:val="00E4792C"/>
    <w:rsid w:val="00E5244F"/>
    <w:rsid w:val="00E54314"/>
    <w:rsid w:val="00E5647A"/>
    <w:rsid w:val="00E60741"/>
    <w:rsid w:val="00E612C0"/>
    <w:rsid w:val="00E64E77"/>
    <w:rsid w:val="00E75043"/>
    <w:rsid w:val="00E76BCC"/>
    <w:rsid w:val="00E84928"/>
    <w:rsid w:val="00E86E5D"/>
    <w:rsid w:val="00E91037"/>
    <w:rsid w:val="00E93746"/>
    <w:rsid w:val="00E93C33"/>
    <w:rsid w:val="00E94212"/>
    <w:rsid w:val="00E95D9C"/>
    <w:rsid w:val="00EA0C4B"/>
    <w:rsid w:val="00EA17AE"/>
    <w:rsid w:val="00EA1851"/>
    <w:rsid w:val="00EA4085"/>
    <w:rsid w:val="00EB3C0E"/>
    <w:rsid w:val="00EB5363"/>
    <w:rsid w:val="00EB75BD"/>
    <w:rsid w:val="00EC1B52"/>
    <w:rsid w:val="00ED0115"/>
    <w:rsid w:val="00EE1931"/>
    <w:rsid w:val="00EE1BAE"/>
    <w:rsid w:val="00EE3530"/>
    <w:rsid w:val="00EE4C02"/>
    <w:rsid w:val="00EE763B"/>
    <w:rsid w:val="00EF41B6"/>
    <w:rsid w:val="00F00FF2"/>
    <w:rsid w:val="00F01D20"/>
    <w:rsid w:val="00F063F0"/>
    <w:rsid w:val="00F11FC0"/>
    <w:rsid w:val="00F12D8F"/>
    <w:rsid w:val="00F165B9"/>
    <w:rsid w:val="00F214FB"/>
    <w:rsid w:val="00F24C9A"/>
    <w:rsid w:val="00F26F2D"/>
    <w:rsid w:val="00F31418"/>
    <w:rsid w:val="00F31533"/>
    <w:rsid w:val="00F3234B"/>
    <w:rsid w:val="00F35C14"/>
    <w:rsid w:val="00F46C61"/>
    <w:rsid w:val="00F50CAC"/>
    <w:rsid w:val="00F569CC"/>
    <w:rsid w:val="00F5739B"/>
    <w:rsid w:val="00F643F5"/>
    <w:rsid w:val="00F7104E"/>
    <w:rsid w:val="00F74338"/>
    <w:rsid w:val="00F75544"/>
    <w:rsid w:val="00F81D1F"/>
    <w:rsid w:val="00F83859"/>
    <w:rsid w:val="00F92554"/>
    <w:rsid w:val="00F938F7"/>
    <w:rsid w:val="00F95148"/>
    <w:rsid w:val="00FA1671"/>
    <w:rsid w:val="00FA58B7"/>
    <w:rsid w:val="00FB18D3"/>
    <w:rsid w:val="00FB1B3A"/>
    <w:rsid w:val="00FB2B79"/>
    <w:rsid w:val="00FB7FC5"/>
    <w:rsid w:val="00FC667A"/>
    <w:rsid w:val="00FD0D50"/>
    <w:rsid w:val="00FE097D"/>
    <w:rsid w:val="00FE1321"/>
    <w:rsid w:val="00FE20BE"/>
    <w:rsid w:val="00FE2A49"/>
    <w:rsid w:val="00FF3D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C5"/>
    <w:pPr>
      <w:jc w:val="both"/>
    </w:pPr>
    <w:rPr>
      <w:rFonts w:ascii="Palatino Linotype" w:hAnsi="Palatino Linotype"/>
      <w:color w:val="000000" w:themeColor="text1"/>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character" w:customStyle="1" w:styleId="Mencinsinresolver3">
    <w:name w:val="Mención sin resolver3"/>
    <w:basedOn w:val="Fuentedeprrafopredeter"/>
    <w:uiPriority w:val="99"/>
    <w:semiHidden/>
    <w:unhideWhenUsed/>
    <w:rsid w:val="004C3F56"/>
    <w:rPr>
      <w:color w:val="605E5C"/>
      <w:shd w:val="clear" w:color="auto" w:fill="E1DFDD"/>
    </w:rPr>
  </w:style>
  <w:style w:type="character" w:customStyle="1" w:styleId="Mencinsinresolver4">
    <w:name w:val="Mención sin resolver4"/>
    <w:basedOn w:val="Fuentedeprrafopredeter"/>
    <w:uiPriority w:val="99"/>
    <w:semiHidden/>
    <w:unhideWhenUsed/>
    <w:rsid w:val="006D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2349">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49516650">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174275454">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89171963">
      <w:bodyDiv w:val="1"/>
      <w:marLeft w:val="0"/>
      <w:marRight w:val="0"/>
      <w:marTop w:val="0"/>
      <w:marBottom w:val="0"/>
      <w:divBdr>
        <w:top w:val="none" w:sz="0" w:space="0" w:color="auto"/>
        <w:left w:val="none" w:sz="0" w:space="0" w:color="auto"/>
        <w:bottom w:val="none" w:sz="0" w:space="0" w:color="auto"/>
        <w:right w:val="none" w:sz="0" w:space="0" w:color="auto"/>
      </w:divBdr>
    </w:div>
    <w:div w:id="391318646">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31501994">
      <w:bodyDiv w:val="1"/>
      <w:marLeft w:val="0"/>
      <w:marRight w:val="0"/>
      <w:marTop w:val="0"/>
      <w:marBottom w:val="0"/>
      <w:divBdr>
        <w:top w:val="none" w:sz="0" w:space="0" w:color="auto"/>
        <w:left w:val="none" w:sz="0" w:space="0" w:color="auto"/>
        <w:bottom w:val="none" w:sz="0" w:space="0" w:color="auto"/>
        <w:right w:val="none" w:sz="0" w:space="0" w:color="auto"/>
      </w:divBdr>
    </w:div>
    <w:div w:id="617680809">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801848508">
      <w:bodyDiv w:val="1"/>
      <w:marLeft w:val="0"/>
      <w:marRight w:val="0"/>
      <w:marTop w:val="0"/>
      <w:marBottom w:val="0"/>
      <w:divBdr>
        <w:top w:val="none" w:sz="0" w:space="0" w:color="auto"/>
        <w:left w:val="none" w:sz="0" w:space="0" w:color="auto"/>
        <w:bottom w:val="none" w:sz="0" w:space="0" w:color="auto"/>
        <w:right w:val="none" w:sz="0" w:space="0" w:color="auto"/>
      </w:divBdr>
    </w:div>
    <w:div w:id="999235858">
      <w:bodyDiv w:val="1"/>
      <w:marLeft w:val="0"/>
      <w:marRight w:val="0"/>
      <w:marTop w:val="0"/>
      <w:marBottom w:val="0"/>
      <w:divBdr>
        <w:top w:val="none" w:sz="0" w:space="0" w:color="auto"/>
        <w:left w:val="none" w:sz="0" w:space="0" w:color="auto"/>
        <w:bottom w:val="none" w:sz="0" w:space="0" w:color="auto"/>
        <w:right w:val="none" w:sz="0" w:space="0" w:color="auto"/>
      </w:divBdr>
      <w:divsChild>
        <w:div w:id="2058120704">
          <w:marLeft w:val="0"/>
          <w:marRight w:val="0"/>
          <w:marTop w:val="0"/>
          <w:marBottom w:val="0"/>
          <w:divBdr>
            <w:top w:val="none" w:sz="0" w:space="0" w:color="auto"/>
            <w:left w:val="none" w:sz="0" w:space="0" w:color="auto"/>
            <w:bottom w:val="none" w:sz="0" w:space="0" w:color="auto"/>
            <w:right w:val="none" w:sz="0" w:space="0" w:color="auto"/>
          </w:divBdr>
        </w:div>
      </w:divsChild>
    </w:div>
    <w:div w:id="1016539468">
      <w:bodyDiv w:val="1"/>
      <w:marLeft w:val="0"/>
      <w:marRight w:val="0"/>
      <w:marTop w:val="0"/>
      <w:marBottom w:val="0"/>
      <w:divBdr>
        <w:top w:val="none" w:sz="0" w:space="0" w:color="auto"/>
        <w:left w:val="none" w:sz="0" w:space="0" w:color="auto"/>
        <w:bottom w:val="none" w:sz="0" w:space="0" w:color="auto"/>
        <w:right w:val="none" w:sz="0" w:space="0" w:color="auto"/>
      </w:divBdr>
    </w:div>
    <w:div w:id="1156842493">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37657565">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628660412">
      <w:bodyDiv w:val="1"/>
      <w:marLeft w:val="0"/>
      <w:marRight w:val="0"/>
      <w:marTop w:val="0"/>
      <w:marBottom w:val="0"/>
      <w:divBdr>
        <w:top w:val="none" w:sz="0" w:space="0" w:color="auto"/>
        <w:left w:val="none" w:sz="0" w:space="0" w:color="auto"/>
        <w:bottom w:val="none" w:sz="0" w:space="0" w:color="auto"/>
        <w:right w:val="none" w:sz="0" w:space="0" w:color="auto"/>
      </w:divBdr>
    </w:div>
    <w:div w:id="1669675367">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738286802">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123768031">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Acuse(618216);"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foem2.ipomex.org.mx/ipome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rtados.hacienda.gob.mx/contabilidad/documentos/informe_cuenta/1998/cuenta_publica/Glosario/n.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ransparenciapresupuestaria.gob.mx/es/PTP/Glosari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javascript:abrirAcuse(618222);"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F3F40-F4BD-44D8-B0C2-BF7A5EF5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8747</Words>
  <Characters>48109</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2024-11-08T18:37:00Z</cp:lastPrinted>
  <dcterms:created xsi:type="dcterms:W3CDTF">2024-11-08T18:37:00Z</dcterms:created>
  <dcterms:modified xsi:type="dcterms:W3CDTF">2024-11-08T18:38:00Z</dcterms:modified>
</cp:coreProperties>
</file>