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C7" w:rsidRDefault="00757DC7">
      <w:pPr>
        <w:widowControl w:val="0"/>
        <w:pBdr>
          <w:top w:val="nil"/>
          <w:left w:val="nil"/>
          <w:bottom w:val="nil"/>
          <w:right w:val="nil"/>
          <w:between w:val="nil"/>
        </w:pBdr>
        <w:spacing w:line="276" w:lineRule="auto"/>
      </w:pPr>
    </w:p>
    <w:p w:rsidR="00757DC7" w:rsidRDefault="00757DC7">
      <w:pPr>
        <w:spacing w:line="360" w:lineRule="auto"/>
        <w:jc w:val="both"/>
        <w:rPr>
          <w:rFonts w:ascii="Palatino Linotype" w:eastAsia="Palatino Linotype" w:hAnsi="Palatino Linotype" w:cs="Palatino Linotype"/>
          <w:sz w:val="22"/>
          <w:szCs w:val="22"/>
        </w:rPr>
      </w:pPr>
      <w:bookmarkStart w:id="0" w:name="_heading=h.gjdgxs" w:colFirst="0" w:colLast="0"/>
      <w:bookmarkEnd w:id="0"/>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b/>
          <w:color w:val="0D0D0D"/>
          <w:sz w:val="22"/>
          <w:szCs w:val="22"/>
        </w:rPr>
        <w:t xml:space="preserve">VISTO </w:t>
      </w:r>
      <w:r w:rsidRPr="002102F3">
        <w:rPr>
          <w:rFonts w:ascii="Palatino Linotype" w:eastAsia="Palatino Linotype" w:hAnsi="Palatino Linotype" w:cs="Palatino Linotype"/>
          <w:color w:val="0D0D0D"/>
          <w:sz w:val="22"/>
          <w:szCs w:val="22"/>
        </w:rPr>
        <w:t xml:space="preserve">el expediente conformado con motivo del Recurso de Revisión </w:t>
      </w:r>
      <w:r w:rsidRPr="002102F3">
        <w:rPr>
          <w:rFonts w:ascii="Palatino Linotype" w:eastAsia="Palatino Linotype" w:hAnsi="Palatino Linotype" w:cs="Palatino Linotype"/>
          <w:b/>
          <w:color w:val="0D0D0D"/>
          <w:sz w:val="22"/>
          <w:szCs w:val="22"/>
        </w:rPr>
        <w:t>05791/INFOEM/IP/RR/2024,</w:t>
      </w:r>
      <w:r w:rsidRPr="002102F3">
        <w:rPr>
          <w:rFonts w:ascii="Palatino Linotype" w:eastAsia="Palatino Linotype" w:hAnsi="Palatino Linotype" w:cs="Palatino Linotype"/>
          <w:color w:val="0D0D0D"/>
          <w:sz w:val="22"/>
          <w:szCs w:val="22"/>
        </w:rPr>
        <w:t xml:space="preserve"> interpuesto por </w:t>
      </w:r>
      <w:r w:rsidR="00315B59" w:rsidRPr="00315B59">
        <w:rPr>
          <w:rFonts w:ascii="Palatino Linotype" w:eastAsia="Palatino Linotype" w:hAnsi="Palatino Linotype" w:cs="Palatino Linotype"/>
          <w:sz w:val="22"/>
          <w:szCs w:val="22"/>
          <w:highlight w:val="black"/>
        </w:rPr>
        <w:t>XXXXXX</w:t>
      </w:r>
      <w:r w:rsidR="00315B59" w:rsidRPr="002102F3">
        <w:rPr>
          <w:rFonts w:ascii="Palatino Linotype" w:eastAsia="Palatino Linotype" w:hAnsi="Palatino Linotype" w:cs="Palatino Linotype"/>
          <w:color w:val="0D0D0D"/>
          <w:sz w:val="22"/>
          <w:szCs w:val="22"/>
        </w:rPr>
        <w:t xml:space="preserve"> </w:t>
      </w:r>
      <w:bookmarkStart w:id="1" w:name="_GoBack"/>
      <w:bookmarkEnd w:id="1"/>
      <w:r w:rsidRPr="002102F3">
        <w:rPr>
          <w:rFonts w:ascii="Palatino Linotype" w:eastAsia="Palatino Linotype" w:hAnsi="Palatino Linotype" w:cs="Palatino Linotype"/>
          <w:color w:val="0D0D0D"/>
          <w:sz w:val="22"/>
          <w:szCs w:val="22"/>
        </w:rPr>
        <w:t>en lo sucesivo un Recurrente o Particular, en contra de la respuesta del Sujeto Obligado</w:t>
      </w:r>
      <w:r w:rsidRPr="002102F3">
        <w:rPr>
          <w:rFonts w:ascii="Palatino Linotype" w:eastAsia="Palatino Linotype" w:hAnsi="Palatino Linotype" w:cs="Palatino Linotype"/>
          <w:sz w:val="22"/>
          <w:szCs w:val="22"/>
        </w:rPr>
        <w:t xml:space="preserve"> </w:t>
      </w:r>
      <w:r w:rsidRPr="002102F3">
        <w:rPr>
          <w:rFonts w:ascii="Palatino Linotype" w:eastAsia="Palatino Linotype" w:hAnsi="Palatino Linotype" w:cs="Palatino Linotype"/>
          <w:b/>
          <w:sz w:val="22"/>
          <w:szCs w:val="22"/>
        </w:rPr>
        <w:t>Ayuntamiento de Ecatzingo</w:t>
      </w:r>
      <w:r w:rsidRPr="002102F3">
        <w:rPr>
          <w:rFonts w:ascii="Palatino Linotype" w:eastAsia="Palatino Linotype" w:hAnsi="Palatino Linotype" w:cs="Palatino Linotype"/>
          <w:b/>
          <w:color w:val="0D0D0D"/>
          <w:sz w:val="22"/>
          <w:szCs w:val="22"/>
        </w:rPr>
        <w:t xml:space="preserve">, </w:t>
      </w:r>
      <w:r w:rsidRPr="002102F3">
        <w:rPr>
          <w:rFonts w:ascii="Palatino Linotype" w:eastAsia="Palatino Linotype" w:hAnsi="Palatino Linotype" w:cs="Palatino Linotype"/>
          <w:color w:val="0D0D0D"/>
          <w:sz w:val="22"/>
          <w:szCs w:val="22"/>
        </w:rPr>
        <w:t>se emite la presente Resolución, con base en los Antecedentes y C</w:t>
      </w:r>
      <w:r w:rsidRPr="002102F3">
        <w:rPr>
          <w:rFonts w:ascii="Palatino Linotype" w:eastAsia="Palatino Linotype" w:hAnsi="Palatino Linotype" w:cs="Palatino Linotype"/>
          <w:sz w:val="22"/>
          <w:szCs w:val="22"/>
        </w:rPr>
        <w:t>onsiderandos que a continuación se exponen:</w:t>
      </w:r>
    </w:p>
    <w:p w:rsidR="00757DC7" w:rsidRPr="002102F3" w:rsidRDefault="00757DC7">
      <w:pPr>
        <w:spacing w:line="360" w:lineRule="auto"/>
        <w:jc w:val="both"/>
        <w:rPr>
          <w:rFonts w:ascii="Palatino Linotype" w:eastAsia="Palatino Linotype" w:hAnsi="Palatino Linotype" w:cs="Palatino Linotype"/>
          <w:b/>
          <w:color w:val="0D0D0D"/>
          <w:sz w:val="18"/>
          <w:szCs w:val="18"/>
        </w:rPr>
      </w:pPr>
    </w:p>
    <w:p w:rsidR="00757DC7" w:rsidRPr="002102F3" w:rsidRDefault="00861F93">
      <w:pPr>
        <w:tabs>
          <w:tab w:val="center" w:pos="4522"/>
          <w:tab w:val="left" w:pos="7245"/>
        </w:tabs>
        <w:spacing w:line="360" w:lineRule="auto"/>
        <w:jc w:val="center"/>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A N T E C E D E N T E S</w:t>
      </w:r>
    </w:p>
    <w:p w:rsidR="00757DC7" w:rsidRPr="002102F3" w:rsidRDefault="00757DC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757DC7" w:rsidRPr="002102F3" w:rsidRDefault="00861F9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2102F3">
        <w:rPr>
          <w:rFonts w:ascii="Palatino Linotype" w:eastAsia="Palatino Linotype" w:hAnsi="Palatino Linotype" w:cs="Palatino Linotype"/>
          <w:b/>
          <w:color w:val="000000"/>
          <w:sz w:val="22"/>
          <w:szCs w:val="22"/>
        </w:rPr>
        <w:t>I. Presentación de la solicitud de información</w:t>
      </w:r>
    </w:p>
    <w:p w:rsidR="00757DC7" w:rsidRPr="002102F3" w:rsidRDefault="00757DC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18"/>
          <w:szCs w:val="18"/>
        </w:rPr>
      </w:pPr>
    </w:p>
    <w:p w:rsidR="00757DC7" w:rsidRPr="002102F3" w:rsidRDefault="00861F93">
      <w:pPr>
        <w:tabs>
          <w:tab w:val="left" w:pos="567"/>
        </w:tabs>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El treinta de agosto de dos mil veinticuatro, el Particular presentó solicitud de acceso a la información pública, a través de la Plataforma Nacional de Transparencia (PNT), ante el </w:t>
      </w:r>
      <w:r w:rsidRPr="002102F3">
        <w:rPr>
          <w:rFonts w:ascii="Palatino Linotype" w:eastAsia="Palatino Linotype" w:hAnsi="Palatino Linotype" w:cs="Palatino Linotype"/>
          <w:b/>
          <w:sz w:val="22"/>
          <w:szCs w:val="22"/>
        </w:rPr>
        <w:t>Ayuntamiento de Ecatzingo</w:t>
      </w:r>
      <w:r w:rsidRPr="002102F3">
        <w:rPr>
          <w:rFonts w:ascii="Palatino Linotype" w:eastAsia="Palatino Linotype" w:hAnsi="Palatino Linotype" w:cs="Palatino Linotype"/>
          <w:sz w:val="22"/>
          <w:szCs w:val="22"/>
        </w:rPr>
        <w:t xml:space="preserve">, misma que fue registrada con el número de folio </w:t>
      </w:r>
      <w:r w:rsidRPr="002102F3">
        <w:rPr>
          <w:rFonts w:ascii="Palatino Linotype" w:eastAsia="Palatino Linotype" w:hAnsi="Palatino Linotype" w:cs="Palatino Linotype"/>
          <w:b/>
          <w:sz w:val="22"/>
          <w:szCs w:val="22"/>
        </w:rPr>
        <w:t xml:space="preserve">00061/ECATZIN/IP/2024, </w:t>
      </w:r>
      <w:r w:rsidRPr="002102F3">
        <w:rPr>
          <w:rFonts w:ascii="Palatino Linotype" w:eastAsia="Palatino Linotype" w:hAnsi="Palatino Linotype" w:cs="Palatino Linotype"/>
          <w:sz w:val="22"/>
          <w:szCs w:val="22"/>
        </w:rPr>
        <w:t xml:space="preserve">mediante la cual requirió lo siguiente: </w:t>
      </w:r>
    </w:p>
    <w:p w:rsidR="00757DC7" w:rsidRPr="002102F3" w:rsidRDefault="00757DC7">
      <w:pPr>
        <w:tabs>
          <w:tab w:val="left" w:pos="567"/>
        </w:tabs>
        <w:spacing w:line="360" w:lineRule="auto"/>
        <w:jc w:val="both"/>
        <w:rPr>
          <w:rFonts w:ascii="Palatino Linotype" w:eastAsia="Palatino Linotype" w:hAnsi="Palatino Linotype" w:cs="Palatino Linotype"/>
          <w:sz w:val="22"/>
          <w:szCs w:val="22"/>
        </w:rPr>
      </w:pPr>
    </w:p>
    <w:p w:rsidR="00757DC7" w:rsidRPr="002102F3" w:rsidRDefault="00861F93">
      <w:pPr>
        <w:tabs>
          <w:tab w:val="left" w:pos="567"/>
        </w:tabs>
        <w:spacing w:line="360" w:lineRule="auto"/>
        <w:ind w:left="567" w:right="539"/>
        <w:jc w:val="both"/>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rPr>
        <w:t>DESCRIPCIÓN CLARA Y PRECISA DE LA INFORMACIÓN SOLICITADA</w:t>
      </w:r>
    </w:p>
    <w:p w:rsidR="00757DC7" w:rsidRPr="002102F3" w:rsidRDefault="00861F93">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 xml:space="preserve">“Solicito los siguientes reportes que sin pretextos o excusas de argucias legales o evasivas sin fundamento jurídico legal obran en sus archivos del Ente Publico Obligado y que sin ningún pretexto se pueden extraer de sus portales en no mas de 30 minutos tal cual se solicitan de manera, ordenada, clara, precisa y puntual y que se enfatizan obran en sus archivos. Esperando se pueda tener a la brevedad. Sin tener que seguir litigimos de Recursos de Revisión esto debido a trabas por </w:t>
      </w:r>
      <w:r w:rsidRPr="002102F3">
        <w:rPr>
          <w:rFonts w:ascii="Palatino Linotype" w:eastAsia="Palatino Linotype" w:hAnsi="Palatino Linotype" w:cs="Palatino Linotype"/>
          <w:i/>
          <w:color w:val="000000"/>
        </w:rPr>
        <w:lastRenderedPageBreak/>
        <w:t>servidores publicos o desconocimiento de sus archivos se me haga llegar en formato pdf. Vía datos adjuntos o link de nube por correo electrónico. Agradezco la atención quedo pendiente de lo solicitado. Gracias. *El visor de nómina por sueldos y salarios, es un reporte que baja el tesorero del municipio de la plataforma del SAT en unos pocos minutos, usando la clave CIEC o la FIEL. del año 2020 a la feche de esta solicitud Arroja los dos resultados que ocupo: 1) Diferencia a cargo o a favor o en contra 2) ISR retenido que a su vez es el monto histórico recuperado por conducto de la Secretaria de Finanzas del Estado. El visor de nómina por asimilados a salarios. Le aplican los comentarios del visor de salarios. Éstos dos visores se requieren por el municipio, y las paramunicipales También se solicita: *Reporte emitido por la Secretaria de Finanzas del Estado que comprende desde el año 2015 a la fecha en el que se especifica el monto del ISR que se obtuvo en devolución. *Reporte emitido por el software de contabilidad gubernamental en el que se pueda apreciar el control del saldo pendiente de recuperar del ISR participable. Puede ser el auxiliar contable de una cuenta de activo, una nota de desglose a los estados financieros. Se adjunta ejemplo en archivo pdf. de un Ente Publico Municipal del estado de Guanajuato para que les sirva de ejemplo y no existan dudas de lo que se está requiriendo. Y como se me entrego de una forma total, en una sola exhibición , clara y legiblemente y sobre todo ordenada. " (Sic).</w:t>
      </w:r>
    </w:p>
    <w:p w:rsidR="00757DC7" w:rsidRPr="002102F3" w:rsidRDefault="00757DC7">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757DC7" w:rsidRPr="002102F3" w:rsidRDefault="00861F93">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b/>
          <w:color w:val="000000"/>
        </w:rPr>
        <w:t xml:space="preserve">MODALIDAD DE ENTREGA </w:t>
      </w:r>
      <w:r w:rsidRPr="002102F3">
        <w:rPr>
          <w:rFonts w:ascii="Palatino Linotype" w:eastAsia="Palatino Linotype" w:hAnsi="Palatino Linotype" w:cs="Palatino Linotype"/>
          <w:i/>
          <w:color w:val="000000"/>
        </w:rPr>
        <w:t>“Correo electrónico”</w:t>
      </w:r>
    </w:p>
    <w:p w:rsidR="00757DC7" w:rsidRPr="002102F3" w:rsidRDefault="00757DC7">
      <w:pPr>
        <w:spacing w:line="360" w:lineRule="auto"/>
        <w:jc w:val="both"/>
        <w:rPr>
          <w:rFonts w:ascii="Palatino Linotype" w:eastAsia="Palatino Linotype" w:hAnsi="Palatino Linotype" w:cs="Palatino Linotype"/>
          <w:b/>
          <w:color w:val="000000"/>
          <w:sz w:val="24"/>
          <w:szCs w:val="24"/>
        </w:rPr>
      </w:pPr>
    </w:p>
    <w:p w:rsidR="00757DC7" w:rsidRPr="002102F3" w:rsidRDefault="00861F93">
      <w:pPr>
        <w:spacing w:line="360" w:lineRule="auto"/>
        <w:jc w:val="both"/>
        <w:rPr>
          <w:rFonts w:ascii="Palatino Linotype" w:eastAsia="Palatino Linotype" w:hAnsi="Palatino Linotype" w:cs="Palatino Linotype"/>
          <w:color w:val="000000"/>
          <w:sz w:val="24"/>
          <w:szCs w:val="24"/>
        </w:rPr>
      </w:pPr>
      <w:r w:rsidRPr="002102F3">
        <w:rPr>
          <w:rFonts w:ascii="Palatino Linotype" w:eastAsia="Palatino Linotype" w:hAnsi="Palatino Linotype" w:cs="Palatino Linotype"/>
          <w:color w:val="000000"/>
          <w:sz w:val="24"/>
          <w:szCs w:val="24"/>
        </w:rPr>
        <w:t>El Particular adjuntó el archivo que mencionó en su solicitud.</w:t>
      </w:r>
    </w:p>
    <w:p w:rsidR="00757DC7" w:rsidRPr="002102F3" w:rsidRDefault="00861F93">
      <w:pPr>
        <w:spacing w:line="360" w:lineRule="auto"/>
        <w:jc w:val="both"/>
        <w:rPr>
          <w:rFonts w:ascii="Palatino Linotype" w:eastAsia="Palatino Linotype" w:hAnsi="Palatino Linotype" w:cs="Palatino Linotype"/>
          <w:b/>
          <w:color w:val="000000"/>
          <w:sz w:val="24"/>
          <w:szCs w:val="24"/>
        </w:rPr>
      </w:pPr>
      <w:r w:rsidRPr="002102F3">
        <w:rPr>
          <w:rFonts w:ascii="Palatino Linotype" w:eastAsia="Palatino Linotype" w:hAnsi="Palatino Linotype" w:cs="Palatino Linotype"/>
          <w:b/>
          <w:color w:val="000000"/>
          <w:sz w:val="24"/>
          <w:szCs w:val="24"/>
        </w:rPr>
        <w:t xml:space="preserve"> </w:t>
      </w:r>
    </w:p>
    <w:p w:rsidR="00757DC7" w:rsidRPr="002102F3" w:rsidRDefault="00861F9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2102F3">
        <w:rPr>
          <w:rFonts w:ascii="Palatino Linotype" w:eastAsia="Palatino Linotype" w:hAnsi="Palatino Linotype" w:cs="Palatino Linotype"/>
          <w:b/>
          <w:color w:val="000000"/>
          <w:sz w:val="22"/>
          <w:szCs w:val="22"/>
        </w:rPr>
        <w:t>II. Respuesta del Sujeto Obligado</w:t>
      </w:r>
    </w:p>
    <w:p w:rsidR="00757DC7" w:rsidRPr="002102F3" w:rsidRDefault="00757DC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El veinte de septiembre de dos mil veinticuatro, el Sujeto Obligado otorgó respuesta a través del SAIMEX en la que a través de la Tesorera Municipal señaló lo siguiente:</w:t>
      </w:r>
    </w:p>
    <w:p w:rsidR="00757DC7" w:rsidRPr="002102F3" w:rsidRDefault="00757DC7">
      <w:pPr>
        <w:tabs>
          <w:tab w:val="left" w:pos="2282"/>
        </w:tabs>
        <w:spacing w:line="360" w:lineRule="auto"/>
        <w:ind w:left="567" w:right="397"/>
        <w:jc w:val="both"/>
        <w:rPr>
          <w:rFonts w:ascii="Palatino Linotype" w:eastAsia="Palatino Linotype" w:hAnsi="Palatino Linotype" w:cs="Palatino Linotype"/>
          <w:i/>
        </w:rPr>
      </w:pPr>
    </w:p>
    <w:p w:rsidR="00757DC7" w:rsidRPr="002102F3" w:rsidRDefault="00861F93">
      <w:pPr>
        <w:tabs>
          <w:tab w:val="left" w:pos="2282"/>
        </w:tabs>
        <w:spacing w:line="360" w:lineRule="auto"/>
        <w:ind w:left="567" w:right="397"/>
        <w:jc w:val="both"/>
        <w:rPr>
          <w:rFonts w:ascii="Palatino Linotype" w:eastAsia="Palatino Linotype" w:hAnsi="Palatino Linotype" w:cs="Palatino Linotype"/>
          <w:i/>
        </w:rPr>
      </w:pPr>
      <w:r w:rsidRPr="002102F3">
        <w:rPr>
          <w:rFonts w:ascii="Palatino Linotype" w:eastAsia="Palatino Linotype" w:hAnsi="Palatino Linotype" w:cs="Palatino Linotype"/>
          <w:i/>
        </w:rPr>
        <w:t>“… le remito en relación al oficio ECATL/UTA/IPM/035/2024 de fecha 02 de Septiembre de 2024 recibido en la oficina de tesorería en la misma fecha lo siguiente:</w:t>
      </w:r>
    </w:p>
    <w:p w:rsidR="00757DC7" w:rsidRPr="002102F3" w:rsidRDefault="00757DC7">
      <w:pPr>
        <w:tabs>
          <w:tab w:val="left" w:pos="2282"/>
        </w:tabs>
        <w:spacing w:line="360" w:lineRule="auto"/>
        <w:ind w:left="567" w:right="397"/>
        <w:jc w:val="both"/>
        <w:rPr>
          <w:rFonts w:ascii="Palatino Linotype" w:eastAsia="Palatino Linotype" w:hAnsi="Palatino Linotype" w:cs="Palatino Linotype"/>
          <w:i/>
        </w:rPr>
      </w:pPr>
    </w:p>
    <w:p w:rsidR="00757DC7" w:rsidRPr="002102F3" w:rsidRDefault="00861F93">
      <w:pPr>
        <w:tabs>
          <w:tab w:val="left" w:pos="2282"/>
        </w:tabs>
        <w:spacing w:line="360" w:lineRule="auto"/>
        <w:ind w:left="567" w:right="397"/>
        <w:jc w:val="both"/>
        <w:rPr>
          <w:rFonts w:ascii="Palatino Linotype" w:eastAsia="Palatino Linotype" w:hAnsi="Palatino Linotype" w:cs="Palatino Linotype"/>
          <w:i/>
        </w:rPr>
      </w:pPr>
      <w:r w:rsidRPr="002102F3">
        <w:rPr>
          <w:rFonts w:ascii="Palatino Linotype" w:eastAsia="Palatino Linotype" w:hAnsi="Palatino Linotype" w:cs="Palatino Linotype"/>
          <w:i/>
        </w:rPr>
        <w:t xml:space="preserve">Visor de nómina por sueldos y salarios, del año 2020 a la feche </w:t>
      </w:r>
    </w:p>
    <w:p w:rsidR="00757DC7" w:rsidRPr="002102F3" w:rsidRDefault="00861F93">
      <w:pPr>
        <w:tabs>
          <w:tab w:val="left" w:pos="2282"/>
        </w:tabs>
        <w:spacing w:line="360" w:lineRule="auto"/>
        <w:ind w:left="567" w:right="397"/>
        <w:jc w:val="both"/>
        <w:rPr>
          <w:rFonts w:ascii="Palatino Linotype" w:eastAsia="Palatino Linotype" w:hAnsi="Palatino Linotype" w:cs="Palatino Linotype"/>
          <w:i/>
        </w:rPr>
      </w:pPr>
      <w:r w:rsidRPr="002102F3">
        <w:rPr>
          <w:rFonts w:ascii="Palatino Linotype" w:eastAsia="Palatino Linotype" w:hAnsi="Palatino Linotype" w:cs="Palatino Linotype"/>
          <w:i/>
        </w:rPr>
        <w:t>Reporte emitido por el software de contabilidad gubernamental en el que se pueda apreciar el control del saldo pendiente de recuperar del ISR participable (Auxiliares de ISR tanto de pasivo como de ingreso 2022, 2023, Junio 2024)</w:t>
      </w:r>
    </w:p>
    <w:p w:rsidR="00757DC7" w:rsidRPr="002102F3" w:rsidRDefault="00861F93">
      <w:pPr>
        <w:tabs>
          <w:tab w:val="left" w:pos="2282"/>
        </w:tabs>
        <w:spacing w:line="360" w:lineRule="auto"/>
        <w:ind w:left="567" w:right="397"/>
        <w:jc w:val="both"/>
        <w:rPr>
          <w:rFonts w:ascii="Palatino Linotype" w:eastAsia="Palatino Linotype" w:hAnsi="Palatino Linotype" w:cs="Palatino Linotype"/>
          <w:i/>
        </w:rPr>
      </w:pPr>
      <w:r w:rsidRPr="002102F3">
        <w:rPr>
          <w:rFonts w:ascii="Palatino Linotype" w:eastAsia="Palatino Linotype" w:hAnsi="Palatino Linotype" w:cs="Palatino Linotype"/>
          <w:i/>
        </w:rPr>
        <w:t xml:space="preserve">Reporte emitido por la Secretaria de Finanzas del Estado que comprende desde el año 2025 a la fecha en el que se especifica el monto del ISR que se obtuvo en devolución. </w:t>
      </w:r>
    </w:p>
    <w:p w:rsidR="00757DC7" w:rsidRPr="002102F3" w:rsidRDefault="00861F93">
      <w:pPr>
        <w:tabs>
          <w:tab w:val="left" w:pos="2282"/>
        </w:tabs>
        <w:spacing w:line="360" w:lineRule="auto"/>
        <w:ind w:left="567" w:right="397"/>
        <w:jc w:val="both"/>
        <w:rPr>
          <w:rFonts w:ascii="Palatino Linotype" w:eastAsia="Palatino Linotype" w:hAnsi="Palatino Linotype" w:cs="Palatino Linotype"/>
          <w:i/>
        </w:rPr>
      </w:pPr>
      <w:r w:rsidRPr="002102F3">
        <w:rPr>
          <w:rFonts w:ascii="Palatino Linotype" w:eastAsia="Palatino Linotype" w:hAnsi="Palatino Linotype" w:cs="Palatino Linotype"/>
          <w:i/>
        </w:rPr>
        <w:t>…” (Sic)</w:t>
      </w:r>
    </w:p>
    <w:p w:rsidR="00757DC7" w:rsidRPr="002102F3" w:rsidRDefault="00757DC7">
      <w:pPr>
        <w:tabs>
          <w:tab w:val="left" w:pos="2282"/>
        </w:tabs>
        <w:spacing w:line="360" w:lineRule="auto"/>
        <w:jc w:val="both"/>
        <w:rPr>
          <w:rFonts w:ascii="Palatino Linotype" w:eastAsia="Palatino Linotype" w:hAnsi="Palatino Linotype" w:cs="Palatino Linotype"/>
          <w:sz w:val="22"/>
          <w:szCs w:val="22"/>
        </w:rPr>
      </w:pPr>
    </w:p>
    <w:p w:rsidR="00757DC7" w:rsidRPr="002102F3" w:rsidRDefault="00861F93">
      <w:pPr>
        <w:tabs>
          <w:tab w:val="left" w:pos="2282"/>
        </w:tabs>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Se encuentran adjuntos en el mismo archivo los documentos arriba mencionados.</w:t>
      </w:r>
    </w:p>
    <w:p w:rsidR="00757DC7" w:rsidRPr="002102F3" w:rsidRDefault="00757DC7">
      <w:pPr>
        <w:spacing w:line="360" w:lineRule="auto"/>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III. Interposición del Recurso de Revisión</w:t>
      </w:r>
    </w:p>
    <w:p w:rsidR="00757DC7" w:rsidRPr="002102F3" w:rsidRDefault="00757DC7">
      <w:pPr>
        <w:spacing w:line="360" w:lineRule="auto"/>
        <w:jc w:val="both"/>
        <w:rPr>
          <w:rFonts w:ascii="Palatino Linotype" w:eastAsia="Palatino Linotype" w:hAnsi="Palatino Linotype" w:cs="Palatino Linotype"/>
          <w:b/>
          <w:sz w:val="18"/>
          <w:szCs w:val="18"/>
        </w:rPr>
      </w:pPr>
    </w:p>
    <w:p w:rsidR="00757DC7" w:rsidRPr="002102F3" w:rsidRDefault="00861F93">
      <w:pPr>
        <w:tabs>
          <w:tab w:val="left" w:pos="3122"/>
        </w:tabs>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Con fecha veinticuatro de septiembre de dos mil veinticuatro, a través del SAIMEX, se interpuso el presente Recurso de Revisión por el Recurrente, en contra de la respuesta emitida por el Sujeto Obligado a la solicitud de información, en los siguientes términos:</w:t>
      </w:r>
    </w:p>
    <w:p w:rsidR="00757DC7" w:rsidRPr="002102F3" w:rsidRDefault="00757DC7">
      <w:pPr>
        <w:tabs>
          <w:tab w:val="left" w:pos="4995"/>
        </w:tabs>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ind w:left="567" w:right="539"/>
        <w:jc w:val="both"/>
        <w:rPr>
          <w:rFonts w:ascii="Palatino Linotype" w:eastAsia="Palatino Linotype" w:hAnsi="Palatino Linotype" w:cs="Palatino Linotype"/>
          <w:b/>
        </w:rPr>
      </w:pPr>
      <w:r w:rsidRPr="002102F3">
        <w:rPr>
          <w:rFonts w:ascii="Palatino Linotype" w:eastAsia="Palatino Linotype" w:hAnsi="Palatino Linotype" w:cs="Palatino Linotype"/>
          <w:b/>
        </w:rPr>
        <w:t>ACTO IMPUGNADO</w:t>
      </w:r>
    </w:p>
    <w:p w:rsidR="00757DC7" w:rsidRPr="002102F3" w:rsidRDefault="00861F93">
      <w:pPr>
        <w:spacing w:line="360" w:lineRule="auto"/>
        <w:ind w:left="567" w:right="539"/>
        <w:jc w:val="both"/>
        <w:rPr>
          <w:rFonts w:ascii="Palatino Linotype" w:eastAsia="Palatino Linotype" w:hAnsi="Palatino Linotype" w:cs="Palatino Linotype"/>
          <w:i/>
        </w:rPr>
      </w:pPr>
      <w:r w:rsidRPr="002102F3">
        <w:rPr>
          <w:rFonts w:ascii="Palatino Linotype" w:eastAsia="Palatino Linotype" w:hAnsi="Palatino Linotype" w:cs="Palatino Linotype"/>
          <w:i/>
        </w:rPr>
        <w:t>“La no respuesta en el tiempo establecido por ley a mi solicitud de reportes"</w:t>
      </w:r>
    </w:p>
    <w:p w:rsidR="00757DC7" w:rsidRPr="002102F3" w:rsidRDefault="00757DC7">
      <w:pPr>
        <w:spacing w:line="360" w:lineRule="auto"/>
        <w:ind w:left="567" w:right="539"/>
        <w:jc w:val="both"/>
        <w:rPr>
          <w:rFonts w:ascii="Palatino Linotype" w:eastAsia="Palatino Linotype" w:hAnsi="Palatino Linotype" w:cs="Palatino Linotype"/>
        </w:rPr>
      </w:pPr>
    </w:p>
    <w:p w:rsidR="00757DC7" w:rsidRPr="002102F3" w:rsidRDefault="00861F93">
      <w:pPr>
        <w:spacing w:line="360" w:lineRule="auto"/>
        <w:ind w:left="567" w:right="539"/>
        <w:jc w:val="both"/>
        <w:rPr>
          <w:rFonts w:ascii="Palatino Linotype" w:eastAsia="Palatino Linotype" w:hAnsi="Palatino Linotype" w:cs="Palatino Linotype"/>
          <w:b/>
        </w:rPr>
      </w:pPr>
      <w:r w:rsidRPr="002102F3">
        <w:rPr>
          <w:rFonts w:ascii="Palatino Linotype" w:eastAsia="Palatino Linotype" w:hAnsi="Palatino Linotype" w:cs="Palatino Linotype"/>
          <w:b/>
        </w:rPr>
        <w:t>RAZONES O MOTIVOS DE LA INCONFORMIDAD</w:t>
      </w:r>
    </w:p>
    <w:p w:rsidR="00757DC7" w:rsidRPr="002102F3" w:rsidRDefault="00861F93">
      <w:pPr>
        <w:spacing w:line="360" w:lineRule="auto"/>
        <w:ind w:left="567" w:right="539"/>
        <w:jc w:val="both"/>
        <w:rPr>
          <w:rFonts w:ascii="Palatino Linotype" w:eastAsia="Palatino Linotype" w:hAnsi="Palatino Linotype" w:cs="Palatino Linotype"/>
          <w:i/>
        </w:rPr>
      </w:pPr>
      <w:r w:rsidRPr="002102F3">
        <w:rPr>
          <w:rFonts w:ascii="Palatino Linotype" w:eastAsia="Palatino Linotype" w:hAnsi="Palatino Linotype" w:cs="Palatino Linotype"/>
          <w:i/>
        </w:rPr>
        <w:t xml:space="preserve">“Por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solicitado. Ojalá con este Recurso de Revisión ya no hagan más pernicioso el tema y me lo envíen a la brevedad de manera COMPLETA, ORDENADA, LEGIBLE Y TODA la información requerida y por favor que sea a mi Correo Electrónico que es el que solicito se haga llegar y no por medio de su plataforma SAIMEX que es tediosa y poco entendible y de total desagrado para manejar para mi. </w:t>
      </w:r>
      <w:r w:rsidRPr="002102F3">
        <w:rPr>
          <w:rFonts w:ascii="Palatino Linotype" w:eastAsia="Palatino Linotype" w:hAnsi="Palatino Linotype" w:cs="Palatino Linotype"/>
          <w:i/>
        </w:rPr>
        <w:lastRenderedPageBreak/>
        <w:t>Gracias. Mi correo es (………………………….) Adjunto nuevamente ejemplo de la solicitud requerida”</w:t>
      </w:r>
    </w:p>
    <w:p w:rsidR="00757DC7" w:rsidRPr="002102F3" w:rsidRDefault="00757DC7">
      <w:pPr>
        <w:spacing w:line="360" w:lineRule="auto"/>
        <w:ind w:left="567" w:right="539"/>
        <w:jc w:val="both"/>
        <w:rPr>
          <w:rFonts w:ascii="Palatino Linotype" w:eastAsia="Palatino Linotype" w:hAnsi="Palatino Linotype" w:cs="Palatino Linotype"/>
          <w:i/>
        </w:rPr>
      </w:pPr>
    </w:p>
    <w:p w:rsidR="00757DC7" w:rsidRPr="002102F3" w:rsidRDefault="00861F93">
      <w:pPr>
        <w:spacing w:line="360" w:lineRule="auto"/>
        <w:jc w:val="both"/>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IV. Trámite del Recurso de Revisión ante el Instituto</w:t>
      </w:r>
    </w:p>
    <w:p w:rsidR="00757DC7" w:rsidRPr="002102F3" w:rsidRDefault="00757DC7">
      <w:pPr>
        <w:spacing w:line="360" w:lineRule="auto"/>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b/>
          <w:sz w:val="22"/>
          <w:szCs w:val="22"/>
        </w:rPr>
        <w:t xml:space="preserve">a) Turno del Recurso de Revisión. </w:t>
      </w:r>
      <w:r w:rsidRPr="002102F3">
        <w:rPr>
          <w:rFonts w:ascii="Palatino Linotype" w:eastAsia="Palatino Linotype" w:hAnsi="Palatino Linotype" w:cs="Palatino Linotype"/>
          <w:sz w:val="22"/>
          <w:szCs w:val="22"/>
        </w:rPr>
        <w:t xml:space="preserve">El veinticuatro de septiembre de dos mil veinticuatro, el SAIMEX, asignó el número de expediente </w:t>
      </w:r>
      <w:r w:rsidRPr="002102F3">
        <w:rPr>
          <w:rFonts w:ascii="Palatino Linotype" w:eastAsia="Palatino Linotype" w:hAnsi="Palatino Linotype" w:cs="Palatino Linotype"/>
          <w:b/>
          <w:sz w:val="22"/>
          <w:szCs w:val="22"/>
        </w:rPr>
        <w:t>05791/INFOEM/IP/RR/2024</w:t>
      </w:r>
      <w:r w:rsidRPr="002102F3">
        <w:rPr>
          <w:rFonts w:ascii="Palatino Linotype" w:eastAsia="Palatino Linotype" w:hAnsi="Palatino Linotype" w:cs="Palatino Linotype"/>
          <w:sz w:val="22"/>
          <w:szCs w:val="22"/>
        </w:rPr>
        <w:t xml:space="preserve">, al medio de impugnación que nos ocupa, con base en el sistema aprobado por el Pleno de este Órgano Garante y lo turnó al </w:t>
      </w:r>
      <w:r w:rsidRPr="002102F3">
        <w:rPr>
          <w:rFonts w:ascii="Palatino Linotype" w:eastAsia="Palatino Linotype" w:hAnsi="Palatino Linotype" w:cs="Palatino Linotype"/>
          <w:b/>
          <w:sz w:val="22"/>
          <w:szCs w:val="22"/>
        </w:rPr>
        <w:t>Comisionado Ponente Luis Gustavo Parra Noriega</w:t>
      </w:r>
      <w:r w:rsidRPr="002102F3">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757DC7" w:rsidRPr="002102F3" w:rsidRDefault="00757DC7">
      <w:pPr>
        <w:spacing w:line="360" w:lineRule="auto"/>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b/>
          <w:sz w:val="22"/>
          <w:szCs w:val="22"/>
        </w:rPr>
        <w:t xml:space="preserve">b) Admisión del Recurso de Revisión. </w:t>
      </w:r>
      <w:r w:rsidRPr="002102F3">
        <w:rPr>
          <w:rFonts w:ascii="Palatino Linotype" w:eastAsia="Palatino Linotype" w:hAnsi="Palatino Linotype" w:cs="Palatino Linotype"/>
          <w:sz w:val="22"/>
          <w:szCs w:val="22"/>
        </w:rPr>
        <w:t xml:space="preserve">El veintisiete de septiembre de dos mil veinticuatro, se acordó la admisión del Recurso de Revisión interpuesto por el Recurrente en contra del </w:t>
      </w:r>
      <w:r w:rsidRPr="002102F3">
        <w:rPr>
          <w:rFonts w:ascii="Palatino Linotype" w:eastAsia="Palatino Linotype" w:hAnsi="Palatino Linotype" w:cs="Palatino Linotype"/>
          <w:b/>
          <w:sz w:val="22"/>
          <w:szCs w:val="22"/>
        </w:rPr>
        <w:t>Sujeto Obligado</w:t>
      </w:r>
      <w:r w:rsidRPr="002102F3">
        <w:rPr>
          <w:rFonts w:ascii="Palatino Linotype" w:eastAsia="Palatino Linotype" w:hAnsi="Palatino Linotype" w:cs="Palatino Linotype"/>
          <w:sz w:val="22"/>
          <w:szCs w:val="22"/>
        </w:rPr>
        <w:t>, en términos del artículo 185, fracciones I, II y IV,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rsidR="00757DC7" w:rsidRPr="002102F3" w:rsidRDefault="00757DC7">
      <w:pPr>
        <w:spacing w:line="360" w:lineRule="auto"/>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b/>
          <w:sz w:val="22"/>
          <w:szCs w:val="22"/>
        </w:rPr>
        <w:t>c) Manifestaciones del Recurrente.</w:t>
      </w:r>
      <w:r w:rsidRPr="002102F3">
        <w:rPr>
          <w:rFonts w:ascii="Palatino Linotype" w:eastAsia="Palatino Linotype" w:hAnsi="Palatino Linotype" w:cs="Palatino Linotype"/>
          <w:sz w:val="22"/>
          <w:szCs w:val="22"/>
        </w:rPr>
        <w:t xml:space="preserve"> El veintisiete de septiembre de dos mil veinticuatro, a través del SAIMEX, se recibió las manifestaciones del Particular en las que adjuntó el archivo </w:t>
      </w:r>
      <w:r w:rsidRPr="002102F3">
        <w:rPr>
          <w:rFonts w:ascii="Palatino Linotype" w:eastAsia="Palatino Linotype" w:hAnsi="Palatino Linotype" w:cs="Palatino Linotype"/>
          <w:b/>
          <w:i/>
          <w:sz w:val="22"/>
          <w:szCs w:val="22"/>
        </w:rPr>
        <w:t>Ejemplo Irapuato .pdf</w:t>
      </w:r>
      <w:r w:rsidRPr="002102F3">
        <w:rPr>
          <w:rFonts w:ascii="Palatino Linotype" w:eastAsia="Palatino Linotype" w:hAnsi="Palatino Linotype" w:cs="Palatino Linotype"/>
          <w:sz w:val="22"/>
          <w:szCs w:val="22"/>
        </w:rPr>
        <w:t xml:space="preserve"> a manera de ejemplo de la información solicitada, además de manifestar lo siguiente:</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ind w:left="567" w:right="539"/>
        <w:jc w:val="both"/>
        <w:rPr>
          <w:rFonts w:ascii="Palatino Linotype" w:eastAsia="Palatino Linotype" w:hAnsi="Palatino Linotype" w:cs="Palatino Linotype"/>
          <w:i/>
        </w:rPr>
      </w:pPr>
      <w:r w:rsidRPr="002102F3">
        <w:rPr>
          <w:rFonts w:ascii="Palatino Linotype" w:eastAsia="Palatino Linotype" w:hAnsi="Palatino Linotype" w:cs="Palatino Linotype"/>
          <w:i/>
        </w:rPr>
        <w:t>“Ejemplo de otro Ente Publico Obligado, claro y preciso de los reportes que Obran en sus archivos y que no quiere entregar”</w:t>
      </w:r>
    </w:p>
    <w:p w:rsidR="00757DC7" w:rsidRPr="002102F3" w:rsidRDefault="00757DC7">
      <w:pPr>
        <w:spacing w:line="360" w:lineRule="auto"/>
        <w:ind w:left="567" w:right="539"/>
        <w:jc w:val="both"/>
        <w:rPr>
          <w:rFonts w:ascii="Palatino Linotype" w:eastAsia="Palatino Linotype" w:hAnsi="Palatino Linotype" w:cs="Palatino Linotype"/>
          <w:i/>
        </w:rPr>
      </w:pPr>
    </w:p>
    <w:p w:rsidR="00757DC7" w:rsidRPr="002102F3" w:rsidRDefault="00861F93">
      <w:pPr>
        <w:spacing w:line="360" w:lineRule="auto"/>
        <w:jc w:val="both"/>
        <w:rPr>
          <w:rFonts w:ascii="Palatino Linotype" w:eastAsia="Palatino Linotype" w:hAnsi="Palatino Linotype" w:cs="Palatino Linotype"/>
          <w:i/>
        </w:rPr>
      </w:pPr>
      <w:r w:rsidRPr="002102F3">
        <w:rPr>
          <w:rFonts w:ascii="Palatino Linotype" w:eastAsia="Palatino Linotype" w:hAnsi="Palatino Linotype" w:cs="Palatino Linotype"/>
          <w:b/>
          <w:sz w:val="22"/>
          <w:szCs w:val="22"/>
        </w:rPr>
        <w:t xml:space="preserve">d) Informe Justificado. </w:t>
      </w:r>
      <w:r w:rsidRPr="002102F3">
        <w:rPr>
          <w:rFonts w:ascii="Palatino Linotype" w:eastAsia="Palatino Linotype" w:hAnsi="Palatino Linotype" w:cs="Palatino Linotype"/>
          <w:sz w:val="22"/>
          <w:szCs w:val="22"/>
        </w:rPr>
        <w:t>El veintiocho de septiembre de dos mil veinticuatro, a través del SAIMEX, se recibió en este Instituto el informe justificado por parte del Sujeto Obligado en el que adjuntó el mismo archivo enviado en respuesta.</w:t>
      </w:r>
    </w:p>
    <w:p w:rsidR="00757DC7" w:rsidRPr="002102F3" w:rsidRDefault="00757DC7">
      <w:pPr>
        <w:spacing w:line="360" w:lineRule="auto"/>
        <w:ind w:left="567" w:right="539"/>
        <w:jc w:val="both"/>
        <w:rPr>
          <w:rFonts w:ascii="Palatino Linotype" w:eastAsia="Palatino Linotype" w:hAnsi="Palatino Linotype" w:cs="Palatino Linotype"/>
          <w:i/>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b/>
          <w:sz w:val="22"/>
          <w:szCs w:val="22"/>
        </w:rPr>
        <w:t>e). Vista del Informe Justificado</w:t>
      </w:r>
      <w:r w:rsidRPr="002102F3">
        <w:rPr>
          <w:rFonts w:ascii="Palatino Linotype" w:eastAsia="Palatino Linotype" w:hAnsi="Palatino Linotype" w:cs="Palatino Linotype"/>
          <w:sz w:val="22"/>
          <w:szCs w:val="22"/>
        </w:rPr>
        <w:t>. El dieciséis de octubre de dos mil veinticuatro,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rsidR="00757DC7" w:rsidRPr="002102F3" w:rsidRDefault="00757DC7">
      <w:pPr>
        <w:spacing w:line="360" w:lineRule="auto"/>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b/>
          <w:sz w:val="22"/>
          <w:szCs w:val="22"/>
        </w:rPr>
        <w:t xml:space="preserve">f). Cierre de instrucción. </w:t>
      </w:r>
      <w:r w:rsidRPr="002102F3">
        <w:rPr>
          <w:rFonts w:ascii="Palatino Linotype" w:eastAsia="Palatino Linotype" w:hAnsi="Palatino Linotype" w:cs="Palatino Linotype"/>
          <w:sz w:val="22"/>
          <w:szCs w:val="22"/>
        </w:rPr>
        <w:t>El veintidós de octubre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rsidR="00757DC7" w:rsidRPr="002102F3" w:rsidRDefault="00757DC7">
      <w:pPr>
        <w:spacing w:line="360" w:lineRule="auto"/>
        <w:jc w:val="both"/>
        <w:rPr>
          <w:rFonts w:ascii="Palatino Linotype" w:eastAsia="Palatino Linotype" w:hAnsi="Palatino Linotype" w:cs="Palatino Linotype"/>
          <w:color w:val="000000"/>
          <w:sz w:val="22"/>
          <w:szCs w:val="22"/>
        </w:rPr>
      </w:pPr>
    </w:p>
    <w:p w:rsidR="00757DC7" w:rsidRPr="002102F3" w:rsidRDefault="00861F93">
      <w:pPr>
        <w:spacing w:line="360" w:lineRule="auto"/>
        <w:jc w:val="both"/>
        <w:rPr>
          <w:rFonts w:ascii="Palatino Linotype" w:eastAsia="Palatino Linotype" w:hAnsi="Palatino Linotype" w:cs="Palatino Linotype"/>
          <w:color w:val="000000"/>
          <w:sz w:val="22"/>
          <w:szCs w:val="22"/>
        </w:rPr>
      </w:pPr>
      <w:r w:rsidRPr="002102F3">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757DC7" w:rsidRPr="002102F3" w:rsidRDefault="00757DC7">
      <w:pPr>
        <w:spacing w:line="360" w:lineRule="auto"/>
        <w:jc w:val="both"/>
        <w:rPr>
          <w:rFonts w:ascii="Palatino Linotype" w:eastAsia="Palatino Linotype" w:hAnsi="Palatino Linotype" w:cs="Palatino Linotype"/>
          <w:color w:val="000000"/>
          <w:sz w:val="22"/>
          <w:szCs w:val="22"/>
        </w:rPr>
      </w:pPr>
    </w:p>
    <w:p w:rsidR="00757DC7" w:rsidRPr="002102F3" w:rsidRDefault="00861F93">
      <w:pPr>
        <w:spacing w:line="360" w:lineRule="auto"/>
        <w:jc w:val="center"/>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C O N S I D E R A N D O S</w:t>
      </w:r>
    </w:p>
    <w:p w:rsidR="00757DC7" w:rsidRPr="002102F3" w:rsidRDefault="00757DC7">
      <w:pPr>
        <w:spacing w:line="360" w:lineRule="auto"/>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color w:val="000000"/>
          <w:sz w:val="22"/>
          <w:szCs w:val="22"/>
        </w:rPr>
        <w:t>PRIMERO</w:t>
      </w:r>
      <w:r w:rsidRPr="002102F3">
        <w:rPr>
          <w:rFonts w:ascii="Palatino Linotype" w:eastAsia="Palatino Linotype" w:hAnsi="Palatino Linotype" w:cs="Palatino Linotype"/>
          <w:color w:val="000000"/>
          <w:sz w:val="22"/>
          <w:szCs w:val="22"/>
        </w:rPr>
        <w:t xml:space="preserve">. </w:t>
      </w:r>
      <w:r w:rsidRPr="002102F3">
        <w:rPr>
          <w:rFonts w:ascii="Palatino Linotype" w:eastAsia="Palatino Linotype" w:hAnsi="Palatino Linotype" w:cs="Palatino Linotype"/>
          <w:b/>
          <w:sz w:val="22"/>
          <w:szCs w:val="22"/>
        </w:rPr>
        <w:t>Competencia</w:t>
      </w:r>
    </w:p>
    <w:p w:rsidR="00757DC7" w:rsidRPr="002102F3" w:rsidRDefault="00757DC7">
      <w:pPr>
        <w:spacing w:line="360" w:lineRule="auto"/>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color w:val="000000"/>
          <w:sz w:val="22"/>
          <w:szCs w:val="22"/>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2102F3">
        <w:rPr>
          <w:color w:val="000000"/>
        </w:rPr>
        <w:t xml:space="preserve"> 7°, </w:t>
      </w:r>
      <w:r w:rsidRPr="002102F3">
        <w:rPr>
          <w:rFonts w:ascii="Palatino Linotype" w:eastAsia="Palatino Linotype" w:hAnsi="Palatino Linotype" w:cs="Palatino Linotype"/>
          <w:color w:val="000000"/>
          <w:sz w:val="22"/>
          <w:szCs w:val="22"/>
        </w:rPr>
        <w:t>9°, fracciones I y XXIII y 11 del Reglamento Interior del Instituto de Transparencia, Acceso a la Información</w:t>
      </w:r>
      <w:r w:rsidRPr="002102F3">
        <w:rPr>
          <w:rFonts w:ascii="Palatino Linotype" w:eastAsia="Palatino Linotype" w:hAnsi="Palatino Linotype" w:cs="Palatino Linotype"/>
          <w:sz w:val="22"/>
          <w:szCs w:val="22"/>
        </w:rPr>
        <w:t xml:space="preserve"> Pública y Protección de Datos Personales del Estado de México y Municipios.</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color w:val="000000"/>
          <w:sz w:val="22"/>
          <w:szCs w:val="22"/>
        </w:rPr>
      </w:pPr>
      <w:r w:rsidRPr="002102F3">
        <w:rPr>
          <w:rFonts w:ascii="Palatino Linotype" w:eastAsia="Palatino Linotype" w:hAnsi="Palatino Linotype" w:cs="Palatino Linotype"/>
          <w:b/>
          <w:color w:val="000000"/>
          <w:sz w:val="22"/>
          <w:szCs w:val="22"/>
        </w:rPr>
        <w:t>SEGUNDO</w:t>
      </w:r>
      <w:r w:rsidRPr="002102F3">
        <w:rPr>
          <w:rFonts w:ascii="Palatino Linotype" w:eastAsia="Palatino Linotype" w:hAnsi="Palatino Linotype" w:cs="Palatino Linotype"/>
          <w:color w:val="000000"/>
          <w:sz w:val="22"/>
          <w:szCs w:val="22"/>
        </w:rPr>
        <w:t xml:space="preserve">. </w:t>
      </w:r>
      <w:r w:rsidRPr="002102F3">
        <w:rPr>
          <w:rFonts w:ascii="Palatino Linotype" w:eastAsia="Palatino Linotype" w:hAnsi="Palatino Linotype" w:cs="Palatino Linotype"/>
          <w:b/>
          <w:color w:val="000000"/>
          <w:sz w:val="22"/>
          <w:szCs w:val="22"/>
        </w:rPr>
        <w:t>Causales de improcedencia y sobreseimiento</w:t>
      </w:r>
    </w:p>
    <w:p w:rsidR="00757DC7" w:rsidRPr="002102F3" w:rsidRDefault="00757DC7">
      <w:pPr>
        <w:spacing w:line="360" w:lineRule="auto"/>
        <w:jc w:val="both"/>
        <w:rPr>
          <w:rFonts w:ascii="Palatino Linotype" w:eastAsia="Palatino Linotype" w:hAnsi="Palatino Linotype" w:cs="Palatino Linotype"/>
          <w:color w:val="000000"/>
          <w:sz w:val="22"/>
          <w:szCs w:val="22"/>
        </w:rPr>
      </w:pPr>
    </w:p>
    <w:p w:rsidR="00757DC7" w:rsidRPr="002102F3" w:rsidRDefault="00861F93">
      <w:pPr>
        <w:spacing w:line="360" w:lineRule="auto"/>
        <w:jc w:val="both"/>
        <w:rPr>
          <w:rFonts w:ascii="Palatino Linotype" w:eastAsia="Palatino Linotype" w:hAnsi="Palatino Linotype" w:cs="Palatino Linotype"/>
          <w:color w:val="000000"/>
          <w:sz w:val="22"/>
          <w:szCs w:val="22"/>
        </w:rPr>
      </w:pPr>
      <w:r w:rsidRPr="002102F3">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757DC7" w:rsidRPr="002102F3" w:rsidRDefault="00757DC7">
      <w:pPr>
        <w:spacing w:line="360" w:lineRule="auto"/>
        <w:jc w:val="both"/>
        <w:rPr>
          <w:rFonts w:ascii="Palatino Linotype" w:eastAsia="Palatino Linotype" w:hAnsi="Palatino Linotype" w:cs="Palatino Linotype"/>
          <w:color w:val="000000"/>
          <w:sz w:val="22"/>
          <w:szCs w:val="22"/>
        </w:rPr>
      </w:pPr>
    </w:p>
    <w:p w:rsidR="00757DC7" w:rsidRPr="002102F3" w:rsidRDefault="00861F93">
      <w:pPr>
        <w:spacing w:line="360" w:lineRule="auto"/>
        <w:jc w:val="both"/>
        <w:rPr>
          <w:rFonts w:ascii="Palatino Linotype" w:eastAsia="Palatino Linotype" w:hAnsi="Palatino Linotype" w:cs="Palatino Linotype"/>
          <w:color w:val="000000"/>
          <w:sz w:val="22"/>
          <w:szCs w:val="22"/>
        </w:rPr>
      </w:pPr>
      <w:r w:rsidRPr="002102F3">
        <w:rPr>
          <w:rFonts w:ascii="Palatino Linotype" w:eastAsia="Palatino Linotype" w:hAnsi="Palatino Linotype" w:cs="Palatino Linotype"/>
          <w:color w:val="000000"/>
          <w:sz w:val="22"/>
          <w:szCs w:val="22"/>
        </w:rPr>
        <w:t xml:space="preserve">En el presente caso, no se actualiza ninguna de las causales de improcedencia establecidas en el ordenamiento jurídico previamente señalado, toda vez que: el recurso fue presentado </w:t>
      </w:r>
      <w:r w:rsidRPr="002102F3">
        <w:rPr>
          <w:rFonts w:ascii="Palatino Linotype" w:eastAsia="Palatino Linotype" w:hAnsi="Palatino Linotype" w:cs="Palatino Linotype"/>
          <w:color w:val="000000"/>
          <w:sz w:val="22"/>
          <w:szCs w:val="22"/>
        </w:rPr>
        <w:lastRenderedPageBreak/>
        <w:t>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757DC7" w:rsidRPr="002102F3" w:rsidRDefault="00757DC7">
      <w:pPr>
        <w:spacing w:line="360" w:lineRule="auto"/>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Causales de sobreseimiento</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Por lo que hace a las causales de sobreseimiento, del análisis realizado por este Instituto, se advierte que</w:t>
      </w:r>
      <w:r w:rsidRPr="002102F3">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sidRPr="002102F3">
        <w:rPr>
          <w:rFonts w:ascii="Palatino Linotype" w:eastAsia="Palatino Linotype" w:hAnsi="Palatino Linotype" w:cs="Palatino Linotype"/>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tabs>
          <w:tab w:val="left" w:pos="4962"/>
        </w:tabs>
        <w:spacing w:line="360" w:lineRule="auto"/>
        <w:jc w:val="both"/>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TERCERO. Determinación de la Controversia</w:t>
      </w:r>
    </w:p>
    <w:p w:rsidR="00757DC7" w:rsidRPr="002102F3" w:rsidRDefault="00757DC7">
      <w:pPr>
        <w:tabs>
          <w:tab w:val="left" w:pos="4962"/>
        </w:tabs>
        <w:spacing w:line="360" w:lineRule="auto"/>
        <w:jc w:val="both"/>
        <w:rPr>
          <w:rFonts w:ascii="Palatino Linotype" w:eastAsia="Palatino Linotype" w:hAnsi="Palatino Linotype" w:cs="Palatino Linotype"/>
          <w:b/>
          <w:sz w:val="22"/>
          <w:szCs w:val="22"/>
        </w:rPr>
      </w:pPr>
    </w:p>
    <w:p w:rsidR="00757DC7" w:rsidRPr="002102F3" w:rsidRDefault="00861F93">
      <w:pPr>
        <w:tabs>
          <w:tab w:val="left" w:pos="4962"/>
        </w:tabs>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Una vez realizado el estudio de las constancias que integran el expediente en que se actúa, se desprende que el Particular solicitó al Ayuntamiento de Ecatzingo por correo electrónico, lo siguiente:</w:t>
      </w:r>
    </w:p>
    <w:p w:rsidR="00757DC7" w:rsidRPr="002102F3" w:rsidRDefault="00861F93">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2102F3">
        <w:rPr>
          <w:rFonts w:ascii="Palatino Linotype" w:eastAsia="Palatino Linotype" w:hAnsi="Palatino Linotype" w:cs="Palatino Linotype"/>
          <w:color w:val="000000"/>
          <w:sz w:val="22"/>
          <w:szCs w:val="22"/>
        </w:rPr>
        <w:t xml:space="preserve">El visor de nómina por sueldos y salarios, del año 2020 a la fecha de esta solicitud Arroja los dos resultados que ocupo: </w:t>
      </w:r>
    </w:p>
    <w:p w:rsidR="00757DC7" w:rsidRPr="002102F3" w:rsidRDefault="00861F93">
      <w:pPr>
        <w:tabs>
          <w:tab w:val="left" w:pos="4962"/>
        </w:tabs>
        <w:spacing w:line="360" w:lineRule="auto"/>
        <w:ind w:left="709"/>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1) Diferencia a cargo o a favor o en contra </w:t>
      </w:r>
    </w:p>
    <w:p w:rsidR="00757DC7" w:rsidRPr="002102F3" w:rsidRDefault="00861F93">
      <w:pPr>
        <w:tabs>
          <w:tab w:val="left" w:pos="4962"/>
        </w:tabs>
        <w:spacing w:line="360" w:lineRule="auto"/>
        <w:ind w:left="709"/>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lastRenderedPageBreak/>
        <w:t xml:space="preserve">2) ISR retenido que a su vez es el monto histórico recuperado por conducto de la Secretaria de Finanzas del Estado. </w:t>
      </w:r>
    </w:p>
    <w:p w:rsidR="00757DC7" w:rsidRPr="002102F3" w:rsidRDefault="00861F93">
      <w:pPr>
        <w:tabs>
          <w:tab w:val="left" w:pos="4962"/>
        </w:tabs>
        <w:spacing w:line="360" w:lineRule="auto"/>
        <w:ind w:left="709"/>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El visor de nómina por asimilados a salarios. Le aplican los comentarios del visor de salarios. </w:t>
      </w:r>
    </w:p>
    <w:p w:rsidR="00757DC7" w:rsidRPr="002102F3" w:rsidRDefault="00861F93">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2102F3">
        <w:rPr>
          <w:rFonts w:ascii="Palatino Linotype" w:eastAsia="Palatino Linotype" w:hAnsi="Palatino Linotype" w:cs="Palatino Linotype"/>
          <w:color w:val="000000"/>
          <w:sz w:val="22"/>
          <w:szCs w:val="22"/>
        </w:rPr>
        <w:t xml:space="preserve">Reporte emitido por la Secretaria de Finanzas del Estado que comprende desde el año 2015 a la fecha en el que se especifica el monto del ISR que se obtuvo en devolución. </w:t>
      </w:r>
    </w:p>
    <w:p w:rsidR="00757DC7" w:rsidRPr="002102F3" w:rsidRDefault="00861F93">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2102F3">
        <w:rPr>
          <w:rFonts w:ascii="Palatino Linotype" w:eastAsia="Palatino Linotype" w:hAnsi="Palatino Linotype" w:cs="Palatino Linotype"/>
          <w:color w:val="000000"/>
          <w:sz w:val="22"/>
          <w:szCs w:val="22"/>
        </w:rPr>
        <w:t xml:space="preserve">Reporte emitido por el software de contabilidad gubernamental en el que se pueda apreciar el control del saldo pendiente de recuperar del ISR participable. Puede ser el auxiliar contable de una cuenta de activo, una nota de desglose a los estados financieros. </w:t>
      </w:r>
    </w:p>
    <w:p w:rsidR="00757DC7" w:rsidRPr="002102F3" w:rsidRDefault="00757DC7">
      <w:pPr>
        <w:tabs>
          <w:tab w:val="left" w:pos="4962"/>
        </w:tabs>
        <w:spacing w:line="360" w:lineRule="auto"/>
        <w:jc w:val="both"/>
        <w:rPr>
          <w:rFonts w:ascii="Palatino Linotype" w:eastAsia="Palatino Linotype" w:hAnsi="Palatino Linotype" w:cs="Palatino Linotype"/>
          <w:sz w:val="22"/>
          <w:szCs w:val="22"/>
        </w:rPr>
      </w:pPr>
    </w:p>
    <w:p w:rsidR="00757DC7" w:rsidRPr="002102F3" w:rsidRDefault="00861F93">
      <w:pPr>
        <w:tabs>
          <w:tab w:val="left" w:pos="4962"/>
        </w:tabs>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En respuesta, el Sujeto Obligado adjuntó a través del SAIMEX documentos relacionados con lo solicitado, derivado de ello el Particular se inconformó por la negativa de la información solicitada, así </w:t>
      </w:r>
      <w:r w:rsidRPr="002102F3">
        <w:rPr>
          <w:rFonts w:ascii="Palatino Linotype" w:eastAsia="Palatino Linotype" w:hAnsi="Palatino Linotype" w:cs="Palatino Linotype"/>
          <w:color w:val="000000"/>
          <w:sz w:val="22"/>
          <w:szCs w:val="22"/>
        </w:rPr>
        <w:t xml:space="preserve">en el asunto que nos ocupa se actualiza la causal de procedencia señalada en el </w:t>
      </w:r>
      <w:r w:rsidRPr="002102F3">
        <w:rPr>
          <w:rFonts w:ascii="Palatino Linotype" w:eastAsia="Palatino Linotype" w:hAnsi="Palatino Linotype" w:cs="Palatino Linotype"/>
          <w:sz w:val="22"/>
          <w:szCs w:val="22"/>
        </w:rPr>
        <w:t>artículo 179, fracción I, de la Ley de la materia.</w:t>
      </w:r>
    </w:p>
    <w:p w:rsidR="00757DC7" w:rsidRPr="002102F3" w:rsidRDefault="00757DC7">
      <w:pPr>
        <w:tabs>
          <w:tab w:val="left" w:pos="4962"/>
        </w:tabs>
        <w:spacing w:line="360" w:lineRule="auto"/>
        <w:jc w:val="both"/>
        <w:rPr>
          <w:rFonts w:ascii="Palatino Linotype" w:eastAsia="Palatino Linotype" w:hAnsi="Palatino Linotype" w:cs="Palatino Linotype"/>
          <w:b/>
          <w:sz w:val="22"/>
          <w:szCs w:val="22"/>
        </w:rPr>
      </w:pPr>
    </w:p>
    <w:p w:rsidR="00757DC7" w:rsidRPr="002102F3" w:rsidRDefault="00861F93">
      <w:pPr>
        <w:tabs>
          <w:tab w:val="left" w:pos="4962"/>
        </w:tabs>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757DC7" w:rsidRPr="002102F3" w:rsidRDefault="00757DC7">
      <w:pPr>
        <w:tabs>
          <w:tab w:val="left" w:pos="4962"/>
        </w:tabs>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ind w:right="-93"/>
        <w:jc w:val="both"/>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CUARTO. Marco normativo aplicable en materia de transparencia y acceso a la información pública</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widowControl w:val="0"/>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El artículo 6°, Apartado A), fracción I de la Constitución Política de los Estados Unidos Mexicanos, establece que toda la información en posesión de cualquier autoridad es pública y </w:t>
      </w:r>
      <w:r w:rsidRPr="002102F3">
        <w:rPr>
          <w:rFonts w:ascii="Palatino Linotype" w:eastAsia="Palatino Linotype" w:hAnsi="Palatino Linotype" w:cs="Palatino Linotype"/>
          <w:sz w:val="22"/>
          <w:szCs w:val="22"/>
        </w:rPr>
        <w:lastRenderedPageBreak/>
        <w:t>sólo podrá ser reservada temporalmente por razones de interés público.</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57DC7" w:rsidRPr="002102F3" w:rsidRDefault="00757DC7">
      <w:pPr>
        <w:spacing w:line="360" w:lineRule="auto"/>
        <w:ind w:right="-93"/>
        <w:jc w:val="both"/>
        <w:rPr>
          <w:rFonts w:ascii="Palatino Linotype" w:eastAsia="Palatino Linotype" w:hAnsi="Palatino Linotype" w:cs="Palatino Linotype"/>
          <w:b/>
          <w:sz w:val="22"/>
          <w:szCs w:val="22"/>
        </w:rPr>
      </w:pPr>
    </w:p>
    <w:p w:rsidR="00757DC7" w:rsidRPr="002102F3" w:rsidRDefault="00861F93">
      <w:pPr>
        <w:spacing w:line="360" w:lineRule="auto"/>
        <w:ind w:right="-93"/>
        <w:jc w:val="both"/>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QUINTO. Estudio de Fondo</w:t>
      </w:r>
    </w:p>
    <w:p w:rsidR="00757DC7" w:rsidRPr="002102F3" w:rsidRDefault="00757DC7">
      <w:pPr>
        <w:spacing w:line="360" w:lineRule="auto"/>
        <w:ind w:right="-93"/>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ind w:right="-93"/>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En ese orden de ideas, es importante señalar que, el artículo 4°, párrafo segundo de la Ley de Transparencia y Acceso a la Información Pública del Estado de México y Municipios, señala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rsidR="00757DC7" w:rsidRPr="002102F3" w:rsidRDefault="00757DC7">
      <w:pPr>
        <w:spacing w:line="360" w:lineRule="auto"/>
        <w:ind w:right="-93"/>
        <w:jc w:val="both"/>
        <w:rPr>
          <w:rFonts w:ascii="Palatino Linotype" w:eastAsia="Palatino Linotype" w:hAnsi="Palatino Linotype" w:cs="Palatino Linotype"/>
          <w:sz w:val="22"/>
          <w:szCs w:val="22"/>
        </w:rPr>
      </w:pPr>
    </w:p>
    <w:p w:rsidR="00757DC7" w:rsidRPr="002102F3" w:rsidRDefault="00861F93">
      <w:pPr>
        <w:spacing w:line="360" w:lineRule="auto"/>
        <w:ind w:right="-93"/>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De lo anterior, se deduce que la información generada, obtenida, adquirida, transmitida, administrada o en posesión de los Sujetos Obligados, será accesible a cualquier persona, privilegiando el principio de máxima publicidad de la información.</w:t>
      </w:r>
    </w:p>
    <w:p w:rsidR="00757DC7" w:rsidRPr="002102F3" w:rsidRDefault="00757DC7">
      <w:pPr>
        <w:spacing w:line="360" w:lineRule="auto"/>
        <w:ind w:right="-93"/>
        <w:jc w:val="both"/>
        <w:rPr>
          <w:rFonts w:ascii="Palatino Linotype" w:eastAsia="Palatino Linotype" w:hAnsi="Palatino Linotype" w:cs="Palatino Linotype"/>
          <w:sz w:val="22"/>
          <w:szCs w:val="22"/>
        </w:rPr>
      </w:pPr>
    </w:p>
    <w:p w:rsidR="00757DC7" w:rsidRPr="002102F3" w:rsidRDefault="00861F93">
      <w:pPr>
        <w:spacing w:line="360" w:lineRule="auto"/>
        <w:ind w:right="-93"/>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En síntesis, el derecho de acceso a la información pública se satisface en aquellos casos en que se entregue el soporte documental en que conste la información pública, sin la necesidad de elaborar documentos </w:t>
      </w:r>
      <w:r w:rsidRPr="002102F3">
        <w:rPr>
          <w:rFonts w:ascii="Palatino Linotype" w:eastAsia="Palatino Linotype" w:hAnsi="Palatino Linotype" w:cs="Palatino Linotype"/>
          <w:i/>
          <w:sz w:val="22"/>
          <w:szCs w:val="22"/>
        </w:rPr>
        <w:t>ad hoc</w:t>
      </w:r>
      <w:r w:rsidRPr="002102F3">
        <w:rPr>
          <w:rFonts w:ascii="Palatino Linotype" w:eastAsia="Palatino Linotype" w:hAnsi="Palatino Linotype" w:cs="Palatino Linotype"/>
          <w:sz w:val="22"/>
          <w:szCs w:val="22"/>
        </w:rPr>
        <w:t>; lo cual, toma sustento en el artículo 160 de la Ley de Transparencia y Acceso a la Información Pública del Estado de México y Municipios, el cual refiere que los sujetos obligados deberán entregar la información que obre en sus archivos.</w:t>
      </w:r>
    </w:p>
    <w:p w:rsidR="00757DC7" w:rsidRPr="002102F3" w:rsidRDefault="00757DC7">
      <w:pPr>
        <w:spacing w:line="360" w:lineRule="auto"/>
        <w:ind w:right="-93"/>
        <w:jc w:val="both"/>
        <w:rPr>
          <w:rFonts w:ascii="Palatino Linotype" w:eastAsia="Palatino Linotype" w:hAnsi="Palatino Linotype" w:cs="Palatino Linotype"/>
          <w:sz w:val="22"/>
          <w:szCs w:val="22"/>
        </w:rPr>
      </w:pPr>
    </w:p>
    <w:p w:rsidR="00757DC7" w:rsidRPr="002102F3" w:rsidRDefault="00861F93">
      <w:pPr>
        <w:spacing w:line="360" w:lineRule="auto"/>
        <w:ind w:right="-93"/>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Establecido lo anterior, es preciso señalar que, todos los actos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w:t>
      </w:r>
      <w:r w:rsidRPr="002102F3">
        <w:rPr>
          <w:rFonts w:ascii="Palatino Linotype" w:eastAsia="Palatino Linotype" w:hAnsi="Palatino Linotype" w:cs="Palatino Linotype"/>
          <w:sz w:val="22"/>
          <w:szCs w:val="22"/>
        </w:rPr>
        <w:lastRenderedPageBreak/>
        <w:t>funciones, considerando desde su origen la eventual publicidad y reutilización de la información que generen, posean o administren.</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En ese sentido sobre el primer punto relacionado con el visor de nómina por sueldos y salarios, de conformidad con la página electrónica del Servicio de Administración Tributaria, es una herramienta que permite a los Contribuyentes que hacen pagos por sueldos y salarios, la consulta de los pagos realizados a sus trabajadores de forma acumulada, así como para verificar la información de forma individual de cada uno de los empleados que les haya expedido un comprobante de nómina, permitiéndote conciliar el impuesto retenido contra el enterado en pagos provisionales.</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La mencionada herramienta que es ofrecida por el Servicio de Administración Tributaria (SAT), a los contribuyentes, a efecto que se dé cumplimiento a los artículos 27, fracción V, 96, 97 y 99, fracciones I y III de la Ley del Impuesto Sobre la Renta, los cuales para mayor referencia se procede a citar a continuación:</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w:t>
      </w:r>
      <w:r w:rsidRPr="002102F3">
        <w:rPr>
          <w:rFonts w:ascii="Palatino Linotype" w:eastAsia="Palatino Linotype" w:hAnsi="Palatino Linotype" w:cs="Palatino Linotype"/>
          <w:b/>
          <w:i/>
          <w:color w:val="000000"/>
        </w:rPr>
        <w:t>Artículo 27</w:t>
      </w:r>
      <w:r w:rsidRPr="002102F3">
        <w:rPr>
          <w:rFonts w:ascii="Palatino Linotype" w:eastAsia="Palatino Linotype" w:hAnsi="Palatino Linotype" w:cs="Palatino Linotype"/>
          <w:i/>
          <w:color w:val="000000"/>
        </w:rPr>
        <w:t>. Las deducciones autorizadas en este Título deberán reunir los siguientes requisitos:</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I a IV…</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V. 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w:t>
      </w:r>
      <w:r w:rsidRPr="002102F3">
        <w:rPr>
          <w:rFonts w:ascii="Palatino Linotype" w:eastAsia="Palatino Linotype" w:hAnsi="Palatino Linotype" w:cs="Palatino Linotype"/>
          <w:i/>
          <w:color w:val="000000"/>
        </w:rPr>
        <w:br/>
        <w:t xml:space="preserve"> </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 xml:space="preserve">Los pagos que a la vez sean ingresos en los términos del Capítulo I del Título IV, de esta Ley, se podrán deducir siempre que las erogaciones por concepto de remuneración, las retenciones correspondientes y las deducciones del impuesto local por salarios y, en general, por la prestación de </w:t>
      </w:r>
      <w:r w:rsidRPr="002102F3">
        <w:rPr>
          <w:rFonts w:ascii="Palatino Linotype" w:eastAsia="Palatino Linotype" w:hAnsi="Palatino Linotype" w:cs="Palatino Linotype"/>
          <w:i/>
          <w:color w:val="000000"/>
        </w:rPr>
        <w:lastRenderedPageBreak/>
        <w:t>un servicio personal independiente, consten en comprobantes fiscales emitidos en términos del Código Fiscal de la Federación y se cumpla con las obligaciones a que se refiere el artículo 99, fracciones I, II, III y V de la presente Ley, así como las disposiciones que, en su caso, regulen el subsidio para el empleo y los contribuyentes cumplan con la obligación de inscribir a los trabajadores en el Instituto Mexicano del Seguro Social cuando estén obligados a ello, en los términos de las leyes de seguridad social.</w:t>
      </w:r>
    </w:p>
    <w:p w:rsidR="00757DC7" w:rsidRPr="002102F3" w:rsidRDefault="00757DC7">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16"/>
          <w:szCs w:val="16"/>
        </w:rPr>
      </w:pP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Tratándose de la prestación de servicios especializados o de la ejecución de obras especializadas a que se refiere el artículo 15-D, tercer párrafo del Código Fiscal de la Federación, el contratante deberá verificar cuando se efectúe el pago de la contraprestación por el servicio recibido, que el contratista cuente con el registro a que se refiere el artículo 15 de la Ley Federal del Trabajo, asimismo, deberá obtener del contratista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contratista estará obligado a entregar al contratante los comprobantes y la información a que se refiere este párrafo.</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b/>
          <w:i/>
          <w:color w:val="000000"/>
        </w:rPr>
        <w:t>VI a XXII</w:t>
      </w:r>
      <w:r w:rsidRPr="002102F3">
        <w:rPr>
          <w:rFonts w:ascii="Palatino Linotype" w:eastAsia="Palatino Linotype" w:hAnsi="Palatino Linotype" w:cs="Palatino Linotype"/>
          <w:i/>
          <w:color w:val="000000"/>
        </w:rPr>
        <w:t>…</w:t>
      </w:r>
    </w:p>
    <w:p w:rsidR="00757DC7" w:rsidRPr="002102F3" w:rsidRDefault="00757DC7">
      <w:pPr>
        <w:pBdr>
          <w:top w:val="nil"/>
          <w:left w:val="nil"/>
          <w:bottom w:val="nil"/>
          <w:right w:val="nil"/>
          <w:between w:val="nil"/>
        </w:pBdr>
        <w:spacing w:line="276" w:lineRule="auto"/>
        <w:ind w:left="567" w:right="539"/>
        <w:jc w:val="both"/>
        <w:rPr>
          <w:rFonts w:ascii="Palatino Linotype" w:eastAsia="Palatino Linotype" w:hAnsi="Palatino Linotype" w:cs="Palatino Linotype"/>
          <w:i/>
          <w:color w:val="000000"/>
          <w:sz w:val="16"/>
          <w:szCs w:val="16"/>
        </w:rPr>
      </w:pPr>
    </w:p>
    <w:p w:rsidR="00757DC7" w:rsidRPr="002102F3" w:rsidRDefault="00861F93">
      <w:pPr>
        <w:pBdr>
          <w:top w:val="nil"/>
          <w:left w:val="nil"/>
          <w:bottom w:val="nil"/>
          <w:right w:val="nil"/>
          <w:between w:val="nil"/>
        </w:pBdr>
        <w:spacing w:line="360" w:lineRule="auto"/>
        <w:ind w:left="567" w:right="539"/>
        <w:jc w:val="center"/>
        <w:rPr>
          <w:rFonts w:ascii="Palatino Linotype" w:eastAsia="Palatino Linotype" w:hAnsi="Palatino Linotype" w:cs="Palatino Linotype"/>
          <w:b/>
          <w:i/>
          <w:color w:val="000000"/>
        </w:rPr>
      </w:pPr>
      <w:r w:rsidRPr="002102F3">
        <w:rPr>
          <w:rFonts w:ascii="Palatino Linotype" w:eastAsia="Palatino Linotype" w:hAnsi="Palatino Linotype" w:cs="Palatino Linotype"/>
          <w:b/>
          <w:i/>
          <w:color w:val="000000"/>
        </w:rPr>
        <w:t>CAPÍTULO I</w:t>
      </w:r>
    </w:p>
    <w:p w:rsidR="00757DC7" w:rsidRPr="002102F3" w:rsidRDefault="00861F93">
      <w:pPr>
        <w:pBdr>
          <w:top w:val="nil"/>
          <w:left w:val="nil"/>
          <w:bottom w:val="nil"/>
          <w:right w:val="nil"/>
          <w:between w:val="nil"/>
        </w:pBdr>
        <w:spacing w:line="360" w:lineRule="auto"/>
        <w:ind w:left="567" w:right="539"/>
        <w:jc w:val="center"/>
        <w:rPr>
          <w:rFonts w:ascii="Palatino Linotype" w:eastAsia="Palatino Linotype" w:hAnsi="Palatino Linotype" w:cs="Palatino Linotype"/>
          <w:b/>
          <w:i/>
          <w:color w:val="000000"/>
        </w:rPr>
      </w:pPr>
      <w:r w:rsidRPr="002102F3">
        <w:rPr>
          <w:rFonts w:ascii="Palatino Linotype" w:eastAsia="Palatino Linotype" w:hAnsi="Palatino Linotype" w:cs="Palatino Linotype"/>
          <w:b/>
          <w:i/>
          <w:color w:val="000000"/>
        </w:rPr>
        <w:t>DE LOS INGRESOS POR SALARIOS Y EN GENERAL POR</w:t>
      </w:r>
    </w:p>
    <w:p w:rsidR="00757DC7" w:rsidRPr="002102F3" w:rsidRDefault="00861F93">
      <w:pPr>
        <w:pBdr>
          <w:top w:val="nil"/>
          <w:left w:val="nil"/>
          <w:bottom w:val="nil"/>
          <w:right w:val="nil"/>
          <w:between w:val="nil"/>
        </w:pBdr>
        <w:spacing w:line="360" w:lineRule="auto"/>
        <w:ind w:left="567" w:right="539"/>
        <w:jc w:val="center"/>
        <w:rPr>
          <w:rFonts w:ascii="Palatino Linotype" w:eastAsia="Palatino Linotype" w:hAnsi="Palatino Linotype" w:cs="Palatino Linotype"/>
          <w:b/>
          <w:i/>
          <w:color w:val="000000"/>
        </w:rPr>
      </w:pPr>
      <w:r w:rsidRPr="002102F3">
        <w:rPr>
          <w:rFonts w:ascii="Palatino Linotype" w:eastAsia="Palatino Linotype" w:hAnsi="Palatino Linotype" w:cs="Palatino Linotype"/>
          <w:b/>
          <w:i/>
          <w:color w:val="000000"/>
        </w:rPr>
        <w:t>LA PRESTACIÓN DE UN SERVICIO PERSONAL SUBORDINADO</w:t>
      </w:r>
    </w:p>
    <w:p w:rsidR="00757DC7" w:rsidRPr="002102F3" w:rsidRDefault="00757DC7">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16"/>
          <w:szCs w:val="16"/>
        </w:rPr>
      </w:pP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b/>
          <w:i/>
          <w:color w:val="000000"/>
        </w:rPr>
        <w:t>Artículo 96.</w:t>
      </w:r>
      <w:r w:rsidRPr="002102F3">
        <w:rPr>
          <w:rFonts w:ascii="Palatino Linotype" w:eastAsia="Palatino Linotype" w:hAnsi="Palatino Linotype" w:cs="Palatino Linotype"/>
          <w:i/>
          <w:color w:val="000000"/>
        </w:rPr>
        <w:t xml:space="preserve"> Quienes hagan pagos por los conceptos a que se refiere este Capítulo están obligados a efectuar retenciones y enteros mensuales que tendrán el carácter de pagos provisionales a cuenta del impuesto anual. No se efectuará retención a las personas que en el mes únicamente perciban un salario mínimo general correspondiente al área geográfica del contribuyente.</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w:t>
      </w:r>
    </w:p>
    <w:p w:rsidR="00757DC7" w:rsidRPr="002102F3" w:rsidRDefault="00757DC7">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16"/>
          <w:szCs w:val="16"/>
        </w:rPr>
      </w:pP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b/>
          <w:i/>
          <w:color w:val="000000"/>
        </w:rPr>
        <w:lastRenderedPageBreak/>
        <w:t>Artículo 97</w:t>
      </w:r>
      <w:r w:rsidRPr="002102F3">
        <w:rPr>
          <w:rFonts w:ascii="Palatino Linotype" w:eastAsia="Palatino Linotype" w:hAnsi="Palatino Linotype" w:cs="Palatino Linotype"/>
          <w:i/>
          <w:color w:val="000000"/>
        </w:rPr>
        <w:t>. Las personas obligadas a efectuar retenciones en los términos del artículo 96 de esta Ley, calcularán el impuesto anual de cada persona que le hubiere prestado servicios personales subordinados…</w:t>
      </w:r>
    </w:p>
    <w:p w:rsidR="00757DC7" w:rsidRPr="002102F3" w:rsidRDefault="00757DC7">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16"/>
          <w:szCs w:val="16"/>
        </w:rPr>
      </w:pP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b/>
          <w:i/>
          <w:color w:val="000000"/>
        </w:rPr>
        <w:t>Artículo 99</w:t>
      </w:r>
      <w:r w:rsidRPr="002102F3">
        <w:rPr>
          <w:rFonts w:ascii="Palatino Linotype" w:eastAsia="Palatino Linotype" w:hAnsi="Palatino Linotype" w:cs="Palatino Linotype"/>
          <w:i/>
          <w:color w:val="000000"/>
        </w:rPr>
        <w:t>. Quienes hagan pagos por los conceptos a que se refiere este Capítulo, tendrán las siguientes obligaciones:</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I...</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II. Calcular el impuesto anual de las personas que les hubieren prestado servicios subordinados, en los términos del artículo 97 de esta Ley.</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III. Expedir y entregar comprobantes fiscales a las personas que reciban pagos por los conceptos a que se refiere este Capítulo, en la fecha en que se realice la erogación correspondiente, los cuales podrán utilizarse como constancia o recibo de pago para efectos de la legislación laboral a que se refieren los artículos 132 fracciones VII y VIII, y 804, primer párrafo, fracciones II y IV, de la Ley Federal de Trabajo.</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IV. Solicitar, en su caso, las constancias y los comprobantes a que se refiere la fracción anterior, a las personas que contraten para prestar servicios subordinados, a más tardar dentro del mes siguiente a aquél en que se inicie la prestación del servicio y cerciorarse que estén inscritos en el Registro Federal de Contribuyentes.</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Adicionalmente, deberán solicitar a los trabajadores que les comuniquen por escrito antes de que se efectúe el primer pago que les corresponda por la prestación de servicios personales subordinados en el año de calendario de que se trate, si prestan servicios a otro empleador y éste les aplica el subsidio para el empleo, a fin de que ya no se aplique nuevamente.</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V. Solicitar a las personas que contraten para prestar servicios subordinados, les proporcionen los datos necesarios a fin de inscribirlas en el Registro Federal de Contribuyentes, o bien cuando ya hubieran sido inscritas con anterioridad, les proporcionen su clave del citado registro.</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VI. Proporcionar a más tardar el 15 de febrero de cada año, a las personas a quienes les hubieran prestado servicios personales subordinados, constancia y el comprobante fiscal del monto total de los viáticos pagados en el año de calendario de que se trate, por los que se aplicó lo dispuesto en el artículo 93, fracción XVII de esta Ley.</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lastRenderedPageBreak/>
        <w:t>VII. Presentar, ante las oficinas autorizadas a más tardar el 15 de febrero de cada año, declaración proporcionando información sobre las personas que hayan ejercido la opción a que se refiere la fracción VII del artículo 94 de esta Ley, en el año de calendario anterior, conforme a las reglas generales que al efecto expida el Servicio de Administración Tributaria.</w:t>
      </w:r>
    </w:p>
    <w:p w:rsidR="00757DC7" w:rsidRPr="002102F3" w:rsidRDefault="00861F93">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rPr>
      </w:pPr>
      <w:r w:rsidRPr="002102F3">
        <w:rPr>
          <w:rFonts w:ascii="Palatino Linotype" w:eastAsia="Palatino Linotype" w:hAnsi="Palatino Linotype" w:cs="Palatino Linotype"/>
          <w:i/>
          <w:color w:val="000000"/>
        </w:rPr>
        <w:t>…</w:t>
      </w:r>
    </w:p>
    <w:p w:rsidR="00757DC7" w:rsidRPr="002102F3" w:rsidRDefault="00757DC7">
      <w:pPr>
        <w:pBdr>
          <w:top w:val="nil"/>
          <w:left w:val="nil"/>
          <w:bottom w:val="nil"/>
          <w:right w:val="nil"/>
          <w:between w:val="nil"/>
        </w:pBdr>
        <w:spacing w:line="276" w:lineRule="auto"/>
        <w:ind w:left="360" w:right="397"/>
        <w:jc w:val="both"/>
        <w:rPr>
          <w:rFonts w:ascii="Palatino Linotype" w:eastAsia="Palatino Linotype" w:hAnsi="Palatino Linotype" w:cs="Palatino Linotype"/>
          <w:i/>
          <w:color w:val="000000"/>
          <w:sz w:val="16"/>
          <w:szCs w:val="16"/>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En consecuencia dicha herramienta de Visor de Nómina implementada por el Servicio de Administración Tributaria, es para auxiliar a los Contribuyentes que hacen pagos por sueldos y salarios, a efecto que puedan visualizar la información relativa a los pagos efectuados a sus empleados o subordinados, según sea el caso; sin embargo, dichos ordenamientos no exigen como obligación el uso de la misma, toda vez que, únicamente es una herramienta de ayuda de visualización, no obstante en respuesta, el Ayuntamiento si hizo entrega del Visor, se inserta el del año dos mil veinte a manera de ejemplo:</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center"/>
        <w:rPr>
          <w:rFonts w:ascii="Palatino Linotype" w:eastAsia="Palatino Linotype" w:hAnsi="Palatino Linotype" w:cs="Palatino Linotype"/>
          <w:sz w:val="22"/>
          <w:szCs w:val="22"/>
        </w:rPr>
      </w:pPr>
      <w:r w:rsidRPr="002102F3">
        <w:rPr>
          <w:rFonts w:ascii="Palatino Linotype" w:eastAsia="Palatino Linotype" w:hAnsi="Palatino Linotype" w:cs="Palatino Linotype"/>
          <w:noProof/>
          <w:sz w:val="22"/>
          <w:szCs w:val="22"/>
          <w:lang w:eastAsia="es-MX"/>
        </w:rPr>
        <w:drawing>
          <wp:inline distT="0" distB="0" distL="0" distR="0">
            <wp:extent cx="5769497" cy="2530057"/>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69497" cy="2530057"/>
                    </a:xfrm>
                    <a:prstGeom prst="rect">
                      <a:avLst/>
                    </a:prstGeom>
                    <a:ln/>
                  </pic:spPr>
                </pic:pic>
              </a:graphicData>
            </a:graphic>
          </wp:inline>
        </w:drawing>
      </w:r>
    </w:p>
    <w:p w:rsidR="00757DC7" w:rsidRPr="002102F3" w:rsidRDefault="00861F93">
      <w:pPr>
        <w:spacing w:line="360" w:lineRule="auto"/>
        <w:jc w:val="center"/>
        <w:rPr>
          <w:rFonts w:ascii="Palatino Linotype" w:eastAsia="Palatino Linotype" w:hAnsi="Palatino Linotype" w:cs="Palatino Linotype"/>
          <w:sz w:val="22"/>
          <w:szCs w:val="22"/>
        </w:rPr>
      </w:pPr>
      <w:r w:rsidRPr="002102F3">
        <w:rPr>
          <w:rFonts w:ascii="Palatino Linotype" w:eastAsia="Palatino Linotype" w:hAnsi="Palatino Linotype" w:cs="Palatino Linotype"/>
          <w:noProof/>
          <w:sz w:val="22"/>
          <w:szCs w:val="22"/>
          <w:lang w:eastAsia="es-MX"/>
        </w:rPr>
        <w:lastRenderedPageBreak/>
        <w:drawing>
          <wp:inline distT="0" distB="0" distL="0" distR="0">
            <wp:extent cx="4168235" cy="299781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48400"/>
                    <a:stretch>
                      <a:fillRect/>
                    </a:stretch>
                  </pic:blipFill>
                  <pic:spPr>
                    <a:xfrm>
                      <a:off x="0" y="0"/>
                      <a:ext cx="4168235" cy="2997815"/>
                    </a:xfrm>
                    <a:prstGeom prst="rect">
                      <a:avLst/>
                    </a:prstGeom>
                    <a:ln/>
                  </pic:spPr>
                </pic:pic>
              </a:graphicData>
            </a:graphic>
          </wp:inline>
        </w:drawing>
      </w:r>
    </w:p>
    <w:p w:rsidR="00757DC7" w:rsidRPr="002102F3" w:rsidRDefault="00757DC7">
      <w:pPr>
        <w:spacing w:line="360" w:lineRule="auto"/>
        <w:jc w:val="center"/>
        <w:rPr>
          <w:rFonts w:ascii="Palatino Linotype" w:eastAsia="Palatino Linotype" w:hAnsi="Palatino Linotype" w:cs="Palatino Linotype"/>
          <w:sz w:val="22"/>
          <w:szCs w:val="22"/>
        </w:rPr>
      </w:pPr>
    </w:p>
    <w:p w:rsidR="00757DC7" w:rsidRPr="002102F3" w:rsidRDefault="00861F93">
      <w:pPr>
        <w:spacing w:line="360" w:lineRule="auto"/>
        <w:jc w:val="center"/>
        <w:rPr>
          <w:rFonts w:ascii="Palatino Linotype" w:eastAsia="Palatino Linotype" w:hAnsi="Palatino Linotype" w:cs="Palatino Linotype"/>
          <w:sz w:val="22"/>
          <w:szCs w:val="22"/>
        </w:rPr>
      </w:pPr>
      <w:r w:rsidRPr="002102F3">
        <w:rPr>
          <w:rFonts w:ascii="Palatino Linotype" w:eastAsia="Palatino Linotype" w:hAnsi="Palatino Linotype" w:cs="Palatino Linotype"/>
          <w:noProof/>
          <w:sz w:val="22"/>
          <w:szCs w:val="22"/>
          <w:lang w:eastAsia="es-MX"/>
        </w:rPr>
        <w:drawing>
          <wp:inline distT="0" distB="0" distL="0" distR="0">
            <wp:extent cx="4168235" cy="2792869"/>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51928"/>
                    <a:stretch>
                      <a:fillRect/>
                    </a:stretch>
                  </pic:blipFill>
                  <pic:spPr>
                    <a:xfrm>
                      <a:off x="0" y="0"/>
                      <a:ext cx="4168235" cy="2792869"/>
                    </a:xfrm>
                    <a:prstGeom prst="rect">
                      <a:avLst/>
                    </a:prstGeom>
                    <a:ln/>
                  </pic:spPr>
                </pic:pic>
              </a:graphicData>
            </a:graphic>
          </wp:inline>
        </w:drawing>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Por lo cual, la información proporcionada se observa es lo requerido por el Particular, como se visualiza en la Guía de Usuario del visor de comprobantes de Nómina del Patrón disponible </w:t>
      </w:r>
      <w:r w:rsidRPr="002102F3">
        <w:rPr>
          <w:rFonts w:ascii="Palatino Linotype" w:eastAsia="Palatino Linotype" w:hAnsi="Palatino Linotype" w:cs="Palatino Linotype"/>
          <w:sz w:val="22"/>
          <w:szCs w:val="22"/>
        </w:rPr>
        <w:lastRenderedPageBreak/>
        <w:t xml:space="preserve">en </w:t>
      </w:r>
      <w:hyperlink r:id="rId10">
        <w:r w:rsidRPr="002102F3">
          <w:rPr>
            <w:rFonts w:ascii="Palatino Linotype" w:eastAsia="Palatino Linotype" w:hAnsi="Palatino Linotype" w:cs="Palatino Linotype"/>
            <w:color w:val="0563C1"/>
            <w:sz w:val="22"/>
            <w:szCs w:val="22"/>
            <w:u w:val="single"/>
          </w:rPr>
          <w:t>https://www.sat.gob.mx/declaracion/90887/consulta-el-visor-de-comprobantes-de-nomina-para-el-patron-</w:t>
        </w:r>
      </w:hyperlink>
      <w:r w:rsidRPr="002102F3">
        <w:rPr>
          <w:rFonts w:ascii="Palatino Linotype" w:eastAsia="Palatino Linotype" w:hAnsi="Palatino Linotype" w:cs="Palatino Linotype"/>
          <w:sz w:val="22"/>
          <w:szCs w:val="22"/>
          <w:u w:val="single"/>
        </w:rPr>
        <w:t xml:space="preserve"> </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De igual forma por lo que hace al punto dos y tres hizo entrega de los documentos que contienen el monto del ISR que se obtuvo en devolución desde el año dos mil quince a septiembre de dos mil veinticuatro, así como el soporte documental en el que se observa el I.S.P.T. Impuesto sobre el producto de trabajo también conocido como porcentaje de ISR es decir los estado de cuenta con fecha al treinta y uno de diciembre de dos mil veintidós, dos mil veintitrés, y de enero a junio de do mil veinticuatro, por lo que con dichos documentos se puede tener por atendido los requerimientos del Particular, no obstante, no obra constancia de que se le haya entregado en la modalidad escogida, es decir por correo electrónico.</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tabs>
          <w:tab w:val="left" w:pos="4962"/>
        </w:tabs>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Al respecto, sobre la modalidad para la entrega de la información el artículo 155, fracción V, de la Ley de Transparencia y Acceso a la Información Pública del Estado de México y Municipios, precisa que para presentar una solicitud, la particular podrá señalar </w:t>
      </w:r>
      <w:r w:rsidRPr="002102F3">
        <w:rPr>
          <w:rFonts w:ascii="Palatino Linotype" w:eastAsia="Palatino Linotype" w:hAnsi="Palatino Linotype" w:cs="Palatino Linotype"/>
          <w:b/>
          <w:sz w:val="22"/>
          <w:szCs w:val="22"/>
        </w:rPr>
        <w:t>la modalidad en la que prefiere se otorgue el acceso a la información</w:t>
      </w:r>
      <w:r w:rsidRPr="002102F3">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En ese orden de ideas, el artículo 164 de dicho ordenamiento jurídico, prevé que el acceso se dará en la modalidad de entrega y, en su caso, de envío elegidos por al solicitante. </w:t>
      </w:r>
      <w:r w:rsidRPr="002102F3">
        <w:rPr>
          <w:rFonts w:ascii="Palatino Linotype" w:eastAsia="Palatino Linotype" w:hAnsi="Palatino Linotype" w:cs="Palatino Linotype"/>
          <w:b/>
          <w:sz w:val="22"/>
          <w:szCs w:val="22"/>
        </w:rPr>
        <w:t>Cuando la información no pueda entregarse o enviarse en la modalidad elegida, el sujeto obligado deberá ofrecer otra u otras modalidades de entrega.</w:t>
      </w:r>
      <w:r w:rsidRPr="002102F3">
        <w:rPr>
          <w:rFonts w:ascii="Palatino Linotype" w:eastAsia="Palatino Linotype" w:hAnsi="Palatino Linotype" w:cs="Palatino Linotype"/>
          <w:sz w:val="22"/>
          <w:szCs w:val="22"/>
        </w:rPr>
        <w:t xml:space="preserve"> En cualquier caso, </w:t>
      </w:r>
      <w:r w:rsidRPr="002102F3">
        <w:rPr>
          <w:rFonts w:ascii="Palatino Linotype" w:eastAsia="Palatino Linotype" w:hAnsi="Palatino Linotype" w:cs="Palatino Linotype"/>
          <w:b/>
          <w:sz w:val="22"/>
          <w:szCs w:val="22"/>
        </w:rPr>
        <w:t>se deberá fundar y motivar</w:t>
      </w:r>
      <w:r w:rsidRPr="002102F3">
        <w:rPr>
          <w:rFonts w:ascii="Palatino Linotype" w:eastAsia="Palatino Linotype" w:hAnsi="Palatino Linotype" w:cs="Palatino Linotype"/>
          <w:sz w:val="22"/>
          <w:szCs w:val="22"/>
        </w:rPr>
        <w:t xml:space="preserve"> la necesidad de ofrecer otras modalidades.</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lastRenderedPageBreak/>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2102F3">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sidRPr="002102F3">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2102F3">
        <w:rPr>
          <w:rFonts w:ascii="Palatino Linotype" w:eastAsia="Palatino Linotype" w:hAnsi="Palatino Linotype" w:cs="Palatino Linotype"/>
          <w:b/>
          <w:sz w:val="22"/>
          <w:szCs w:val="22"/>
        </w:rPr>
        <w:t>sólo procede, en caso de que se acredite la imposibilidad de atenderla.</w:t>
      </w:r>
      <w:r w:rsidRPr="002102F3">
        <w:rPr>
          <w:rFonts w:ascii="Palatino Linotype" w:eastAsia="Palatino Linotype" w:hAnsi="Palatino Linotype" w:cs="Palatino Linotype"/>
          <w:sz w:val="22"/>
          <w:szCs w:val="22"/>
        </w:rPr>
        <w:t xml:space="preserve"> </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En ese contexto, este Instituto considera que el Sujeto Obligado entregó la información requerida por el Particular, pero no por la modalidad que escogió en ese sentido lo procedente es ordenar su entrega por correo electrónico.</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ind w:right="-93"/>
        <w:jc w:val="both"/>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SEXTO. Decisión</w:t>
      </w:r>
    </w:p>
    <w:p w:rsidR="00757DC7" w:rsidRPr="002102F3" w:rsidRDefault="00757DC7">
      <w:pPr>
        <w:spacing w:line="360" w:lineRule="auto"/>
        <w:ind w:right="-93"/>
        <w:jc w:val="both"/>
        <w:rPr>
          <w:rFonts w:ascii="Palatino Linotype" w:eastAsia="Palatino Linotype" w:hAnsi="Palatino Linotype" w:cs="Palatino Linotype"/>
          <w:b/>
          <w:sz w:val="22"/>
          <w:szCs w:val="22"/>
        </w:rPr>
      </w:pPr>
    </w:p>
    <w:p w:rsidR="00757DC7" w:rsidRPr="002102F3" w:rsidRDefault="00861F93">
      <w:pPr>
        <w:spacing w:line="360" w:lineRule="auto"/>
        <w:ind w:right="-93"/>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2102F3">
        <w:rPr>
          <w:rFonts w:ascii="Palatino Linotype" w:eastAsia="Palatino Linotype" w:hAnsi="Palatino Linotype" w:cs="Palatino Linotype"/>
          <w:b/>
          <w:sz w:val="22"/>
          <w:szCs w:val="22"/>
        </w:rPr>
        <w:t>MODIFICAR</w:t>
      </w:r>
      <w:r w:rsidRPr="002102F3">
        <w:rPr>
          <w:rFonts w:ascii="Palatino Linotype" w:eastAsia="Palatino Linotype" w:hAnsi="Palatino Linotype" w:cs="Palatino Linotype"/>
          <w:sz w:val="22"/>
          <w:szCs w:val="22"/>
        </w:rPr>
        <w:t xml:space="preserve"> la respuesta otorgada por el Sujeto Obligado a la solicitud de información </w:t>
      </w:r>
      <w:r w:rsidRPr="002102F3">
        <w:rPr>
          <w:rFonts w:ascii="Palatino Linotype" w:eastAsia="Palatino Linotype" w:hAnsi="Palatino Linotype" w:cs="Palatino Linotype"/>
          <w:b/>
          <w:sz w:val="22"/>
          <w:szCs w:val="22"/>
        </w:rPr>
        <w:t>00061/ECATZIN/IP/2024</w:t>
      </w:r>
      <w:r w:rsidRPr="002102F3">
        <w:rPr>
          <w:rFonts w:ascii="Palatino Linotype" w:eastAsia="Palatino Linotype" w:hAnsi="Palatino Linotype" w:cs="Palatino Linotype"/>
          <w:sz w:val="22"/>
          <w:szCs w:val="22"/>
        </w:rPr>
        <w:t xml:space="preserve">, por resultar fundadas las razones o motivos de inconformidad hechos valer por el Recurrente, en el Recurso de Revisión </w:t>
      </w:r>
      <w:r w:rsidRPr="002102F3">
        <w:rPr>
          <w:rFonts w:ascii="Palatino Linotype" w:eastAsia="Palatino Linotype" w:hAnsi="Palatino Linotype" w:cs="Palatino Linotype"/>
          <w:b/>
          <w:sz w:val="22"/>
          <w:szCs w:val="22"/>
        </w:rPr>
        <w:t>05791/INFOEM/IP/RR/2024</w:t>
      </w:r>
      <w:r w:rsidRPr="002102F3">
        <w:rPr>
          <w:rFonts w:ascii="Palatino Linotype" w:eastAsia="Palatino Linotype" w:hAnsi="Palatino Linotype" w:cs="Palatino Linotype"/>
          <w:sz w:val="22"/>
          <w:szCs w:val="22"/>
        </w:rPr>
        <w:t xml:space="preserve">, en consecuencia procede </w:t>
      </w:r>
      <w:r w:rsidRPr="002102F3">
        <w:rPr>
          <w:rFonts w:ascii="Palatino Linotype" w:eastAsia="Palatino Linotype" w:hAnsi="Palatino Linotype" w:cs="Palatino Linotype"/>
          <w:b/>
          <w:sz w:val="22"/>
          <w:szCs w:val="22"/>
        </w:rPr>
        <w:t>ORDENAR</w:t>
      </w:r>
      <w:r w:rsidRPr="002102F3">
        <w:rPr>
          <w:rFonts w:ascii="Palatino Linotype" w:eastAsia="Palatino Linotype" w:hAnsi="Palatino Linotype" w:cs="Palatino Linotype"/>
          <w:sz w:val="22"/>
          <w:szCs w:val="22"/>
        </w:rPr>
        <w:t>, haga entrega de la información solicitada por la modalidad escogida por el Particular.</w:t>
      </w:r>
    </w:p>
    <w:p w:rsidR="00757DC7" w:rsidRPr="002102F3" w:rsidRDefault="00757DC7">
      <w:pPr>
        <w:spacing w:line="360" w:lineRule="auto"/>
        <w:ind w:right="-93"/>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b/>
          <w:sz w:val="22"/>
          <w:szCs w:val="22"/>
          <w:u w:val="single"/>
        </w:rPr>
      </w:pPr>
      <w:r w:rsidRPr="002102F3">
        <w:rPr>
          <w:rFonts w:ascii="Palatino Linotype" w:eastAsia="Palatino Linotype" w:hAnsi="Palatino Linotype" w:cs="Palatino Linotype"/>
          <w:b/>
          <w:sz w:val="22"/>
          <w:szCs w:val="22"/>
          <w:u w:val="single"/>
        </w:rPr>
        <w:t>Términos de la Resolución para el Recurrente</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u w:val="single"/>
        </w:rPr>
      </w:pPr>
      <w:r w:rsidRPr="002102F3">
        <w:rPr>
          <w:rFonts w:ascii="Palatino Linotype" w:eastAsia="Palatino Linotype" w:hAnsi="Palatino Linotype" w:cs="Palatino Linotype"/>
          <w:sz w:val="22"/>
          <w:szCs w:val="22"/>
          <w:u w:val="single"/>
        </w:rPr>
        <w:lastRenderedPageBreak/>
        <w:t>Este Instituto, determinó modificar la respuesta que le entregó el Sujeto Obligado a su solicitud de acceso, toda vez que también se la debe proporcionar la información por correo electrónico.</w:t>
      </w:r>
    </w:p>
    <w:p w:rsidR="00757DC7" w:rsidRPr="002102F3" w:rsidRDefault="00757DC7">
      <w:pPr>
        <w:spacing w:line="360" w:lineRule="auto"/>
        <w:jc w:val="both"/>
        <w:rPr>
          <w:rFonts w:ascii="Palatino Linotype" w:eastAsia="Palatino Linotype" w:hAnsi="Palatino Linotype" w:cs="Palatino Linotype"/>
          <w:sz w:val="22"/>
          <w:szCs w:val="22"/>
          <w:u w:val="single"/>
        </w:rPr>
      </w:pPr>
    </w:p>
    <w:p w:rsidR="00757DC7" w:rsidRPr="002102F3" w:rsidRDefault="00861F93">
      <w:pPr>
        <w:spacing w:line="360" w:lineRule="auto"/>
        <w:ind w:right="-93"/>
        <w:jc w:val="both"/>
        <w:rPr>
          <w:rFonts w:ascii="Palatino Linotype" w:eastAsia="Palatino Linotype" w:hAnsi="Palatino Linotype" w:cs="Palatino Linotype"/>
          <w:sz w:val="22"/>
          <w:szCs w:val="22"/>
          <w:u w:val="single"/>
        </w:rPr>
      </w:pPr>
      <w:r w:rsidRPr="002102F3">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rsidR="00757DC7" w:rsidRPr="002102F3" w:rsidRDefault="00757DC7">
      <w:pPr>
        <w:spacing w:line="360" w:lineRule="auto"/>
        <w:ind w:right="-91"/>
        <w:jc w:val="center"/>
        <w:rPr>
          <w:rFonts w:ascii="Palatino Linotype" w:eastAsia="Palatino Linotype" w:hAnsi="Palatino Linotype" w:cs="Palatino Linotype"/>
          <w:b/>
          <w:sz w:val="22"/>
          <w:szCs w:val="22"/>
        </w:rPr>
      </w:pPr>
    </w:p>
    <w:p w:rsidR="00757DC7" w:rsidRPr="002102F3" w:rsidRDefault="00861F93">
      <w:pPr>
        <w:spacing w:line="360" w:lineRule="auto"/>
        <w:ind w:right="-91"/>
        <w:jc w:val="center"/>
        <w:rPr>
          <w:rFonts w:ascii="Palatino Linotype" w:eastAsia="Palatino Linotype" w:hAnsi="Palatino Linotype" w:cs="Palatino Linotype"/>
          <w:b/>
          <w:sz w:val="22"/>
          <w:szCs w:val="22"/>
        </w:rPr>
      </w:pPr>
      <w:r w:rsidRPr="002102F3">
        <w:rPr>
          <w:rFonts w:ascii="Palatino Linotype" w:eastAsia="Palatino Linotype" w:hAnsi="Palatino Linotype" w:cs="Palatino Linotype"/>
          <w:b/>
          <w:sz w:val="22"/>
          <w:szCs w:val="22"/>
        </w:rPr>
        <w:t>R E S U E L V E</w:t>
      </w:r>
    </w:p>
    <w:p w:rsidR="00757DC7" w:rsidRPr="002102F3" w:rsidRDefault="00757DC7">
      <w:pPr>
        <w:spacing w:line="360" w:lineRule="auto"/>
        <w:jc w:val="both"/>
        <w:rPr>
          <w:rFonts w:ascii="Palatino Linotype" w:eastAsia="Palatino Linotype" w:hAnsi="Palatino Linotype" w:cs="Palatino Linotype"/>
          <w:b/>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b/>
          <w:sz w:val="22"/>
          <w:szCs w:val="22"/>
        </w:rPr>
        <w:t xml:space="preserve">PRIMERO. </w:t>
      </w:r>
      <w:r w:rsidRPr="002102F3">
        <w:rPr>
          <w:rFonts w:ascii="Palatino Linotype" w:eastAsia="Palatino Linotype" w:hAnsi="Palatino Linotype" w:cs="Palatino Linotype"/>
          <w:sz w:val="22"/>
          <w:szCs w:val="22"/>
        </w:rPr>
        <w:t xml:space="preserve">Se </w:t>
      </w:r>
      <w:r w:rsidRPr="002102F3">
        <w:rPr>
          <w:rFonts w:ascii="Palatino Linotype" w:eastAsia="Palatino Linotype" w:hAnsi="Palatino Linotype" w:cs="Palatino Linotype"/>
          <w:b/>
          <w:sz w:val="22"/>
          <w:szCs w:val="22"/>
        </w:rPr>
        <w:t>MODIFICA</w:t>
      </w:r>
      <w:r w:rsidRPr="002102F3">
        <w:rPr>
          <w:rFonts w:ascii="Palatino Linotype" w:eastAsia="Palatino Linotype" w:hAnsi="Palatino Linotype" w:cs="Palatino Linotype"/>
          <w:sz w:val="22"/>
          <w:szCs w:val="22"/>
        </w:rPr>
        <w:t xml:space="preserve"> la respuesta entregada por el </w:t>
      </w:r>
      <w:r w:rsidRPr="002102F3">
        <w:rPr>
          <w:rFonts w:ascii="Palatino Linotype" w:eastAsia="Palatino Linotype" w:hAnsi="Palatino Linotype" w:cs="Palatino Linotype"/>
          <w:b/>
          <w:sz w:val="22"/>
          <w:szCs w:val="22"/>
        </w:rPr>
        <w:t xml:space="preserve">Ayuntamiento de Ecatzingo </w:t>
      </w:r>
      <w:r w:rsidRPr="002102F3">
        <w:rPr>
          <w:rFonts w:ascii="Palatino Linotype" w:eastAsia="Palatino Linotype" w:hAnsi="Palatino Linotype" w:cs="Palatino Linotype"/>
          <w:sz w:val="22"/>
          <w:szCs w:val="22"/>
        </w:rPr>
        <w:t xml:space="preserve">a la solicitud de información </w:t>
      </w:r>
      <w:r w:rsidRPr="002102F3">
        <w:rPr>
          <w:rFonts w:ascii="Palatino Linotype" w:eastAsia="Palatino Linotype" w:hAnsi="Palatino Linotype" w:cs="Palatino Linotype"/>
          <w:b/>
          <w:sz w:val="22"/>
          <w:szCs w:val="22"/>
        </w:rPr>
        <w:t xml:space="preserve">00061/ECATZIN/IP/2024 </w:t>
      </w:r>
      <w:r w:rsidRPr="002102F3">
        <w:rPr>
          <w:rFonts w:ascii="Palatino Linotype" w:eastAsia="Palatino Linotype" w:hAnsi="Palatino Linotype" w:cs="Palatino Linotype"/>
          <w:sz w:val="22"/>
          <w:szCs w:val="22"/>
        </w:rPr>
        <w:t xml:space="preserve">por resultar parcialmente fundadas las razones o motivos de inconformidad hechos valer por el Recurrente en el Recurso de Revisión </w:t>
      </w:r>
      <w:r w:rsidRPr="002102F3">
        <w:rPr>
          <w:rFonts w:ascii="Palatino Linotype" w:eastAsia="Palatino Linotype" w:hAnsi="Palatino Linotype" w:cs="Palatino Linotype"/>
          <w:b/>
          <w:color w:val="0D0D0D"/>
          <w:sz w:val="22"/>
          <w:szCs w:val="22"/>
        </w:rPr>
        <w:t>05791/INFOEM/IP/RR/2024</w:t>
      </w:r>
      <w:r w:rsidRPr="002102F3">
        <w:rPr>
          <w:rFonts w:ascii="Palatino Linotype" w:eastAsia="Palatino Linotype" w:hAnsi="Palatino Linotype" w:cs="Palatino Linotype"/>
          <w:sz w:val="22"/>
          <w:szCs w:val="22"/>
        </w:rPr>
        <w:t>, en términos de los considerandos QUINTO y SEXTO de la presente Resolución.</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ind w:right="-93"/>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b/>
          <w:sz w:val="22"/>
          <w:szCs w:val="22"/>
        </w:rPr>
        <w:t xml:space="preserve">SEGUNDO. </w:t>
      </w:r>
      <w:r w:rsidRPr="002102F3">
        <w:rPr>
          <w:rFonts w:ascii="Palatino Linotype" w:eastAsia="Palatino Linotype" w:hAnsi="Palatino Linotype" w:cs="Palatino Linotype"/>
          <w:sz w:val="22"/>
          <w:szCs w:val="22"/>
        </w:rPr>
        <w:t xml:space="preserve">Se </w:t>
      </w:r>
      <w:r w:rsidRPr="002102F3">
        <w:rPr>
          <w:rFonts w:ascii="Palatino Linotype" w:eastAsia="Palatino Linotype" w:hAnsi="Palatino Linotype" w:cs="Palatino Linotype"/>
          <w:b/>
          <w:sz w:val="22"/>
          <w:szCs w:val="22"/>
        </w:rPr>
        <w:t xml:space="preserve">ORDENA </w:t>
      </w:r>
      <w:r w:rsidRPr="002102F3">
        <w:rPr>
          <w:rFonts w:ascii="Palatino Linotype" w:eastAsia="Palatino Linotype" w:hAnsi="Palatino Linotype" w:cs="Palatino Linotype"/>
          <w:sz w:val="22"/>
          <w:szCs w:val="22"/>
        </w:rPr>
        <w:t xml:space="preserve">al </w:t>
      </w:r>
      <w:r w:rsidRPr="002102F3">
        <w:rPr>
          <w:rFonts w:ascii="Palatino Linotype" w:eastAsia="Palatino Linotype" w:hAnsi="Palatino Linotype" w:cs="Palatino Linotype"/>
          <w:b/>
          <w:sz w:val="22"/>
          <w:szCs w:val="22"/>
        </w:rPr>
        <w:t>Ayuntamiento de Ecatzingo</w:t>
      </w:r>
      <w:r w:rsidRPr="002102F3">
        <w:rPr>
          <w:rFonts w:ascii="Palatino Linotype" w:eastAsia="Palatino Linotype" w:hAnsi="Palatino Linotype" w:cs="Palatino Linotype"/>
          <w:sz w:val="22"/>
          <w:szCs w:val="22"/>
        </w:rPr>
        <w:t>, a efecto de que, remita al correo electrónico proporcionado por el Particular la información enviada en respuesta por SAIMEX a la solicitud 00061/ECATZIN/IP/2024.</w:t>
      </w:r>
    </w:p>
    <w:p w:rsidR="00757DC7" w:rsidRPr="002102F3" w:rsidRDefault="00757DC7">
      <w:pPr>
        <w:spacing w:line="360" w:lineRule="auto"/>
        <w:ind w:right="-93"/>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b/>
          <w:sz w:val="22"/>
          <w:szCs w:val="22"/>
        </w:rPr>
        <w:t xml:space="preserve">TERCERO. NOTIFÍQUESE POR SAIMEX </w:t>
      </w:r>
      <w:r w:rsidRPr="002102F3">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2102F3">
        <w:rPr>
          <w:rFonts w:ascii="Palatino Linotype" w:eastAsia="Palatino Linotype" w:hAnsi="Palatino Linotype" w:cs="Palatino Linotype"/>
          <w:sz w:val="22"/>
          <w:szCs w:val="22"/>
        </w:rPr>
        <w:lastRenderedPageBreak/>
        <w:t>conformidad con lo previsto en los artículos 198, 200, fracción III, 214, 215 y 216 de la Ley referida.</w:t>
      </w:r>
    </w:p>
    <w:p w:rsidR="00757DC7" w:rsidRPr="002102F3" w:rsidRDefault="00757DC7">
      <w:pPr>
        <w:spacing w:line="360" w:lineRule="auto"/>
        <w:jc w:val="both"/>
        <w:rPr>
          <w:rFonts w:ascii="Palatino Linotype" w:eastAsia="Palatino Linotype" w:hAnsi="Palatino Linotype" w:cs="Palatino Linotype"/>
          <w:sz w:val="22"/>
          <w:szCs w:val="22"/>
        </w:rPr>
      </w:pPr>
    </w:p>
    <w:p w:rsidR="00757DC7" w:rsidRPr="002102F3"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757DC7" w:rsidRPr="002102F3" w:rsidRDefault="00757DC7">
      <w:pPr>
        <w:spacing w:line="360" w:lineRule="auto"/>
        <w:jc w:val="both"/>
        <w:rPr>
          <w:rFonts w:ascii="Palatino Linotype" w:eastAsia="Palatino Linotype" w:hAnsi="Palatino Linotype" w:cs="Palatino Linotype"/>
          <w:color w:val="000000"/>
          <w:sz w:val="22"/>
          <w:szCs w:val="22"/>
        </w:rPr>
      </w:pPr>
    </w:p>
    <w:p w:rsidR="00757DC7" w:rsidRPr="002102F3" w:rsidRDefault="00861F93">
      <w:pPr>
        <w:spacing w:line="360" w:lineRule="auto"/>
        <w:jc w:val="both"/>
        <w:rPr>
          <w:rFonts w:ascii="Palatino Linotype" w:eastAsia="Palatino Linotype" w:hAnsi="Palatino Linotype" w:cs="Palatino Linotype"/>
          <w:color w:val="000000"/>
          <w:sz w:val="22"/>
          <w:szCs w:val="22"/>
        </w:rPr>
      </w:pPr>
      <w:r w:rsidRPr="002102F3">
        <w:rPr>
          <w:rFonts w:ascii="Palatino Linotype" w:eastAsia="Palatino Linotype" w:hAnsi="Palatino Linotype" w:cs="Palatino Linotype"/>
          <w:b/>
          <w:color w:val="000000"/>
          <w:sz w:val="22"/>
          <w:szCs w:val="22"/>
        </w:rPr>
        <w:t>CUARTO. NOTIFÍQUESE</w:t>
      </w:r>
      <w:r w:rsidRPr="002102F3">
        <w:rPr>
          <w:rFonts w:ascii="Palatino Linotype" w:eastAsia="Palatino Linotype" w:hAnsi="Palatino Linotype" w:cs="Palatino Linotype"/>
          <w:color w:val="000000"/>
          <w:sz w:val="22"/>
          <w:szCs w:val="22"/>
        </w:rPr>
        <w:t xml:space="preserve"> </w:t>
      </w:r>
      <w:r w:rsidRPr="002102F3">
        <w:rPr>
          <w:rFonts w:ascii="Palatino Linotype" w:eastAsia="Palatino Linotype" w:hAnsi="Palatino Linotype" w:cs="Palatino Linotype"/>
          <w:b/>
          <w:sz w:val="22"/>
          <w:szCs w:val="22"/>
        </w:rPr>
        <w:t xml:space="preserve">POR SAIMEX Y POR CORREO ELECTRÓNICO </w:t>
      </w:r>
      <w:r w:rsidRPr="002102F3">
        <w:rPr>
          <w:rFonts w:ascii="Palatino Linotype" w:eastAsia="Palatino Linotype" w:hAnsi="Palatino Linotype" w:cs="Palatino Linotype"/>
          <w:color w:val="000000"/>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757DC7" w:rsidRPr="002102F3" w:rsidRDefault="00757DC7">
      <w:pPr>
        <w:spacing w:line="360" w:lineRule="auto"/>
        <w:jc w:val="both"/>
        <w:rPr>
          <w:rFonts w:ascii="Palatino Linotype" w:eastAsia="Palatino Linotype" w:hAnsi="Palatino Linotype" w:cs="Palatino Linotype"/>
          <w:color w:val="000000"/>
          <w:sz w:val="22"/>
          <w:szCs w:val="22"/>
        </w:rPr>
      </w:pPr>
    </w:p>
    <w:p w:rsidR="00757DC7" w:rsidRDefault="00861F93">
      <w:pPr>
        <w:spacing w:line="360" w:lineRule="auto"/>
        <w:jc w:val="both"/>
        <w:rPr>
          <w:rFonts w:ascii="Palatino Linotype" w:eastAsia="Palatino Linotype" w:hAnsi="Palatino Linotype" w:cs="Palatino Linotype"/>
          <w:sz w:val="22"/>
          <w:szCs w:val="22"/>
        </w:rPr>
      </w:pPr>
      <w:r w:rsidRPr="002102F3">
        <w:rPr>
          <w:rFonts w:ascii="Palatino Linotype" w:eastAsia="Palatino Linotype" w:hAnsi="Palatino Linotype" w:cs="Palatino Linotype"/>
          <w:sz w:val="22"/>
          <w:szCs w:val="22"/>
        </w:rPr>
        <w:t xml:space="preserve">ASÍ LO RESUELVE, POR </w:t>
      </w:r>
      <w:r w:rsidRPr="002102F3">
        <w:rPr>
          <w:rFonts w:ascii="Palatino Linotype" w:eastAsia="Palatino Linotype" w:hAnsi="Palatino Linotype" w:cs="Palatino Linotype"/>
          <w:b/>
          <w:sz w:val="22"/>
          <w:szCs w:val="22"/>
        </w:rPr>
        <w:t>UNANIMIDAD</w:t>
      </w:r>
      <w:r w:rsidRPr="002102F3">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p w:rsidR="00757DC7" w:rsidRDefault="00757DC7">
      <w:pPr>
        <w:spacing w:line="360" w:lineRule="auto"/>
        <w:jc w:val="both"/>
        <w:rPr>
          <w:rFonts w:ascii="Palatino Linotype" w:eastAsia="Palatino Linotype" w:hAnsi="Palatino Linotype" w:cs="Palatino Linotype"/>
          <w:sz w:val="22"/>
          <w:szCs w:val="22"/>
        </w:rPr>
      </w:pPr>
    </w:p>
    <w:sectPr w:rsidR="00757DC7">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D2" w:rsidRDefault="00FB15D2">
      <w:r>
        <w:separator/>
      </w:r>
    </w:p>
  </w:endnote>
  <w:endnote w:type="continuationSeparator" w:id="0">
    <w:p w:rsidR="00FB15D2" w:rsidRDefault="00FB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C7" w:rsidRDefault="00861F9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15B59">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5B59">
      <w:rPr>
        <w:b/>
        <w:noProof/>
        <w:color w:val="000000"/>
        <w:sz w:val="24"/>
        <w:szCs w:val="24"/>
      </w:rPr>
      <w:t>22</w:t>
    </w:r>
    <w:r>
      <w:rPr>
        <w:b/>
        <w:color w:val="000000"/>
        <w:sz w:val="24"/>
        <w:szCs w:val="24"/>
      </w:rPr>
      <w:fldChar w:fldCharType="end"/>
    </w:r>
  </w:p>
  <w:p w:rsidR="00757DC7" w:rsidRDefault="00757DC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C7" w:rsidRDefault="00861F9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15B5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5B59">
      <w:rPr>
        <w:b/>
        <w:noProof/>
        <w:color w:val="000000"/>
        <w:sz w:val="24"/>
        <w:szCs w:val="24"/>
      </w:rPr>
      <w:t>22</w:t>
    </w:r>
    <w:r>
      <w:rPr>
        <w:b/>
        <w:color w:val="000000"/>
        <w:sz w:val="24"/>
        <w:szCs w:val="24"/>
      </w:rPr>
      <w:fldChar w:fldCharType="end"/>
    </w:r>
  </w:p>
  <w:p w:rsidR="00757DC7" w:rsidRDefault="00757DC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D2" w:rsidRDefault="00FB15D2">
      <w:r>
        <w:separator/>
      </w:r>
    </w:p>
  </w:footnote>
  <w:footnote w:type="continuationSeparator" w:id="0">
    <w:p w:rsidR="00FB15D2" w:rsidRDefault="00FB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C7" w:rsidRDefault="00FB15D2">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C7" w:rsidRDefault="00F32B9F">
    <w:pPr>
      <w:widowControl w:val="0"/>
      <w:pBdr>
        <w:top w:val="nil"/>
        <w:left w:val="nil"/>
        <w:bottom w:val="nil"/>
        <w:right w:val="nil"/>
        <w:between w:val="nil"/>
      </w:pBdr>
      <w:spacing w:line="276" w:lineRule="auto"/>
      <w:rPr>
        <w:color w:val="000000"/>
      </w:rPr>
    </w:pPr>
    <w:r>
      <w:rPr>
        <w:noProof/>
        <w:lang w:eastAsia="es-MX"/>
      </w:rPr>
      <w:drawing>
        <wp:anchor distT="0" distB="0" distL="0" distR="0" simplePos="0" relativeHeight="251656704" behindDoc="1" locked="0" layoutInCell="1" hidden="0" allowOverlap="1">
          <wp:simplePos x="0" y="0"/>
          <wp:positionH relativeFrom="page">
            <wp:align>left</wp:align>
          </wp:positionH>
          <wp:positionV relativeFrom="paragraph">
            <wp:posOffset>-403860</wp:posOffset>
          </wp:positionV>
          <wp:extent cx="8426450" cy="10972800"/>
          <wp:effectExtent l="0" t="0" r="0" b="0"/>
          <wp:wrapNone/>
          <wp:docPr id="13"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9568" w:type="dxa"/>
      <w:tblInd w:w="0" w:type="dxa"/>
      <w:tblLayout w:type="fixed"/>
      <w:tblLook w:val="0400" w:firstRow="0" w:lastRow="0" w:firstColumn="0" w:lastColumn="0" w:noHBand="0" w:noVBand="1"/>
    </w:tblPr>
    <w:tblGrid>
      <w:gridCol w:w="2835"/>
      <w:gridCol w:w="6733"/>
    </w:tblGrid>
    <w:tr w:rsidR="00757DC7">
      <w:trPr>
        <w:trHeight w:val="1435"/>
      </w:trPr>
      <w:tc>
        <w:tcPr>
          <w:tcW w:w="2835" w:type="dxa"/>
          <w:shd w:val="clear" w:color="auto" w:fill="auto"/>
        </w:tcPr>
        <w:p w:rsidR="00757DC7" w:rsidRDefault="00757DC7">
          <w:pPr>
            <w:tabs>
              <w:tab w:val="right" w:pos="4273"/>
            </w:tabs>
            <w:rPr>
              <w:rFonts w:ascii="Garamond" w:eastAsia="Garamond" w:hAnsi="Garamond" w:cs="Garamond"/>
              <w:sz w:val="16"/>
              <w:szCs w:val="16"/>
            </w:rPr>
          </w:pPr>
        </w:p>
      </w:tc>
      <w:tc>
        <w:tcPr>
          <w:tcW w:w="6733" w:type="dxa"/>
          <w:shd w:val="clear" w:color="auto" w:fill="auto"/>
        </w:tcPr>
        <w:p w:rsidR="00757DC7" w:rsidRDefault="00757DC7"/>
        <w:tbl>
          <w:tblPr>
            <w:tblStyle w:val="a0"/>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757DC7">
            <w:trPr>
              <w:trHeight w:val="144"/>
            </w:trPr>
            <w:tc>
              <w:tcPr>
                <w:tcW w:w="2589" w:type="dxa"/>
              </w:tcPr>
              <w:p w:rsidR="00757DC7" w:rsidRDefault="00861F9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757DC7" w:rsidRDefault="00861F93">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05791/INFOEM/IP/RR/2024</w:t>
                </w:r>
              </w:p>
            </w:tc>
          </w:tr>
          <w:tr w:rsidR="00757DC7">
            <w:trPr>
              <w:trHeight w:val="283"/>
            </w:trPr>
            <w:tc>
              <w:tcPr>
                <w:tcW w:w="2589" w:type="dxa"/>
              </w:tcPr>
              <w:p w:rsidR="00757DC7" w:rsidRDefault="00861F9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757DC7" w:rsidRDefault="00861F93">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Ecatzingo</w:t>
                </w:r>
              </w:p>
            </w:tc>
          </w:tr>
          <w:tr w:rsidR="00757DC7">
            <w:trPr>
              <w:trHeight w:val="283"/>
            </w:trPr>
            <w:tc>
              <w:tcPr>
                <w:tcW w:w="2589" w:type="dxa"/>
              </w:tcPr>
              <w:p w:rsidR="00757DC7" w:rsidRDefault="00861F93">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757DC7" w:rsidRDefault="00861F93">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757DC7" w:rsidRDefault="00757DC7">
          <w:pPr>
            <w:tabs>
              <w:tab w:val="right" w:pos="8838"/>
            </w:tabs>
            <w:ind w:left="-28"/>
            <w:jc w:val="both"/>
            <w:rPr>
              <w:rFonts w:ascii="Arial" w:eastAsia="Arial" w:hAnsi="Arial" w:cs="Arial"/>
              <w:b/>
              <w:sz w:val="22"/>
              <w:szCs w:val="22"/>
            </w:rPr>
          </w:pPr>
        </w:p>
      </w:tc>
    </w:tr>
  </w:tbl>
  <w:p w:rsidR="00757DC7" w:rsidRDefault="00757DC7">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C7" w:rsidRDefault="00F32B9F">
    <w:pPr>
      <w:widowControl w:val="0"/>
      <w:pBdr>
        <w:top w:val="nil"/>
        <w:left w:val="nil"/>
        <w:bottom w:val="nil"/>
        <w:right w:val="nil"/>
        <w:between w:val="nil"/>
      </w:pBdr>
      <w:spacing w:line="276" w:lineRule="auto"/>
      <w:rPr>
        <w:color w:val="000000"/>
        <w:sz w:val="22"/>
        <w:szCs w:val="22"/>
      </w:rPr>
    </w:pPr>
    <w:r>
      <w:rPr>
        <w:noProof/>
        <w:lang w:eastAsia="es-MX"/>
      </w:rPr>
      <w:drawing>
        <wp:anchor distT="0" distB="0" distL="0" distR="0" simplePos="0" relativeHeight="251657728" behindDoc="1" locked="0" layoutInCell="1" hidden="0" allowOverlap="1" wp14:anchorId="07994157" wp14:editId="1D6C5E21">
          <wp:simplePos x="0" y="0"/>
          <wp:positionH relativeFrom="margin">
            <wp:align>center</wp:align>
          </wp:positionH>
          <wp:positionV relativeFrom="paragraph">
            <wp:posOffset>-400685</wp:posOffset>
          </wp:positionV>
          <wp:extent cx="8426450" cy="10972800"/>
          <wp:effectExtent l="0" t="0" r="0" b="0"/>
          <wp:wrapNone/>
          <wp:docPr id="12" name="image1.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1.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1"/>
      <w:tblW w:w="9568" w:type="dxa"/>
      <w:tblInd w:w="0" w:type="dxa"/>
      <w:tblLayout w:type="fixed"/>
      <w:tblLook w:val="0400" w:firstRow="0" w:lastRow="0" w:firstColumn="0" w:lastColumn="0" w:noHBand="0" w:noVBand="1"/>
    </w:tblPr>
    <w:tblGrid>
      <w:gridCol w:w="2835"/>
      <w:gridCol w:w="6733"/>
    </w:tblGrid>
    <w:tr w:rsidR="00757DC7">
      <w:trPr>
        <w:trHeight w:val="1435"/>
      </w:trPr>
      <w:tc>
        <w:tcPr>
          <w:tcW w:w="2835" w:type="dxa"/>
          <w:shd w:val="clear" w:color="auto" w:fill="auto"/>
        </w:tcPr>
        <w:p w:rsidR="00757DC7" w:rsidRDefault="00757DC7">
          <w:pPr>
            <w:tabs>
              <w:tab w:val="right" w:pos="4273"/>
            </w:tabs>
            <w:rPr>
              <w:rFonts w:ascii="Garamond" w:eastAsia="Garamond" w:hAnsi="Garamond" w:cs="Garamond"/>
              <w:sz w:val="22"/>
              <w:szCs w:val="22"/>
            </w:rPr>
          </w:pPr>
        </w:p>
      </w:tc>
      <w:tc>
        <w:tcPr>
          <w:tcW w:w="6733" w:type="dxa"/>
          <w:shd w:val="clear" w:color="auto" w:fill="auto"/>
        </w:tcPr>
        <w:p w:rsidR="00757DC7" w:rsidRDefault="00757DC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757DC7">
            <w:trPr>
              <w:trHeight w:val="144"/>
            </w:trPr>
            <w:tc>
              <w:tcPr>
                <w:tcW w:w="2589" w:type="dxa"/>
              </w:tcPr>
              <w:p w:rsidR="00757DC7" w:rsidRDefault="00861F9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757DC7" w:rsidRDefault="00861F93">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05791/INFOEM/IP/RR/2024</w:t>
                </w:r>
              </w:p>
            </w:tc>
          </w:tr>
          <w:tr w:rsidR="00757DC7">
            <w:trPr>
              <w:trHeight w:val="144"/>
            </w:trPr>
            <w:tc>
              <w:tcPr>
                <w:tcW w:w="2589" w:type="dxa"/>
              </w:tcPr>
              <w:p w:rsidR="00757DC7" w:rsidRDefault="00861F9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rsidR="00757DC7" w:rsidRDefault="00315B59">
                <w:pPr>
                  <w:tabs>
                    <w:tab w:val="left" w:pos="3122"/>
                    <w:tab w:val="right" w:pos="8838"/>
                  </w:tabs>
                  <w:ind w:left="-106" w:right="-105"/>
                  <w:jc w:val="both"/>
                  <w:rPr>
                    <w:rFonts w:ascii="Palatino Linotype" w:eastAsia="Palatino Linotype" w:hAnsi="Palatino Linotype" w:cs="Palatino Linotype"/>
                    <w:sz w:val="22"/>
                    <w:szCs w:val="22"/>
                  </w:rPr>
                </w:pPr>
                <w:r w:rsidRPr="00315B59">
                  <w:rPr>
                    <w:rFonts w:ascii="Palatino Linotype" w:eastAsia="Palatino Linotype" w:hAnsi="Palatino Linotype" w:cs="Palatino Linotype"/>
                    <w:sz w:val="22"/>
                    <w:szCs w:val="22"/>
                    <w:highlight w:val="black"/>
                  </w:rPr>
                  <w:t>XXXXXX</w:t>
                </w:r>
              </w:p>
            </w:tc>
          </w:tr>
          <w:tr w:rsidR="00757DC7">
            <w:trPr>
              <w:trHeight w:val="283"/>
            </w:trPr>
            <w:tc>
              <w:tcPr>
                <w:tcW w:w="2589" w:type="dxa"/>
              </w:tcPr>
              <w:p w:rsidR="00757DC7" w:rsidRDefault="00861F9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757DC7" w:rsidRDefault="00861F93">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Ecatzingo</w:t>
                </w:r>
              </w:p>
            </w:tc>
          </w:tr>
          <w:tr w:rsidR="00757DC7">
            <w:trPr>
              <w:trHeight w:val="283"/>
            </w:trPr>
            <w:tc>
              <w:tcPr>
                <w:tcW w:w="2589" w:type="dxa"/>
              </w:tcPr>
              <w:p w:rsidR="00757DC7" w:rsidRDefault="00861F93">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757DC7" w:rsidRDefault="00861F93">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757DC7" w:rsidRDefault="00757DC7">
          <w:pPr>
            <w:tabs>
              <w:tab w:val="right" w:pos="8838"/>
            </w:tabs>
            <w:ind w:left="-28"/>
            <w:jc w:val="both"/>
            <w:rPr>
              <w:rFonts w:ascii="Arial" w:eastAsia="Arial" w:hAnsi="Arial" w:cs="Arial"/>
              <w:b/>
              <w:sz w:val="22"/>
              <w:szCs w:val="22"/>
            </w:rPr>
          </w:pPr>
        </w:p>
      </w:tc>
    </w:tr>
  </w:tbl>
  <w:p w:rsidR="00757DC7" w:rsidRDefault="00757DC7">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D20D0"/>
    <w:multiLevelType w:val="multilevel"/>
    <w:tmpl w:val="189EA62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C7"/>
    <w:rsid w:val="002102F3"/>
    <w:rsid w:val="00315B59"/>
    <w:rsid w:val="00757DC7"/>
    <w:rsid w:val="00861F93"/>
    <w:rsid w:val="009A12BA"/>
    <w:rsid w:val="00F32B9F"/>
    <w:rsid w:val="00FB15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FD4CE84-B044-40DE-8FC9-129978F0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8"/>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t.gob.mx/declaracion/90887/consulta-el-visor-de-comprobantes-de-nomina-para-el-patr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i/eEonjSzbrZprtxHKNKt8LA==">CgMxLjAyCGguZ2pkZ3hzOAByITFLVlVHRmdISVllMTBzQzNjWHZqN3BPY29OenNQWWRSTA==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4996</Words>
  <Characters>27479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INFOEM568</cp:lastModifiedBy>
  <cp:revision>2</cp:revision>
  <dcterms:created xsi:type="dcterms:W3CDTF">2024-10-25T20:51:00Z</dcterms:created>
  <dcterms:modified xsi:type="dcterms:W3CDTF">2024-10-25T20:51:00Z</dcterms:modified>
</cp:coreProperties>
</file>