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08760E" w:rsidRDefault="00AE3DA7" w:rsidP="0008760E">
          <w:pPr>
            <w:pStyle w:val="TtulodeTDC"/>
            <w:spacing w:before="0" w:line="240" w:lineRule="auto"/>
            <w:rPr>
              <w:rFonts w:ascii="Palatino Linotype" w:hAnsi="Palatino Linotype"/>
              <w:color w:val="auto"/>
              <w:sz w:val="24"/>
              <w:szCs w:val="24"/>
              <w:lang w:val="es-ES"/>
            </w:rPr>
          </w:pPr>
          <w:r w:rsidRPr="0008760E">
            <w:rPr>
              <w:rFonts w:ascii="Palatino Linotype" w:hAnsi="Palatino Linotype"/>
              <w:color w:val="auto"/>
              <w:sz w:val="24"/>
              <w:szCs w:val="24"/>
              <w:lang w:val="es-ES"/>
            </w:rPr>
            <w:t>Contenido</w:t>
          </w:r>
        </w:p>
        <w:p w14:paraId="3EB312A7" w14:textId="77777777" w:rsidR="00AA6EA9" w:rsidRPr="0008760E" w:rsidRDefault="00AA6EA9" w:rsidP="0008760E">
          <w:pPr>
            <w:spacing w:line="240" w:lineRule="auto"/>
            <w:rPr>
              <w:sz w:val="16"/>
              <w:szCs w:val="16"/>
              <w:lang w:val="es-ES" w:eastAsia="es-MX"/>
            </w:rPr>
          </w:pPr>
        </w:p>
        <w:p w14:paraId="4DD218B6" w14:textId="77777777" w:rsidR="0008760E" w:rsidRPr="0008760E" w:rsidRDefault="00AE3DA7" w:rsidP="0008760E">
          <w:pPr>
            <w:pStyle w:val="TDC1"/>
            <w:tabs>
              <w:tab w:val="right" w:leader="dot" w:pos="9034"/>
            </w:tabs>
            <w:rPr>
              <w:rFonts w:asciiTheme="minorHAnsi" w:eastAsiaTheme="minorEastAsia" w:hAnsiTheme="minorHAnsi" w:cstheme="minorBidi"/>
              <w:noProof/>
              <w:szCs w:val="22"/>
              <w:lang w:eastAsia="es-MX"/>
            </w:rPr>
          </w:pPr>
          <w:r w:rsidRPr="0008760E">
            <w:rPr>
              <w:sz w:val="16"/>
              <w:szCs w:val="16"/>
            </w:rPr>
            <w:fldChar w:fldCharType="begin"/>
          </w:r>
          <w:r w:rsidRPr="0008760E">
            <w:rPr>
              <w:sz w:val="16"/>
              <w:szCs w:val="16"/>
            </w:rPr>
            <w:instrText xml:space="preserve"> TOC \o "1-3" \h \z \u </w:instrText>
          </w:r>
          <w:r w:rsidRPr="0008760E">
            <w:rPr>
              <w:sz w:val="16"/>
              <w:szCs w:val="16"/>
            </w:rPr>
            <w:fldChar w:fldCharType="separate"/>
          </w:r>
          <w:hyperlink w:anchor="_Toc181794060" w:history="1">
            <w:r w:rsidR="0008760E" w:rsidRPr="0008760E">
              <w:rPr>
                <w:rStyle w:val="Hipervnculo"/>
                <w:noProof/>
                <w:color w:val="auto"/>
              </w:rPr>
              <w:t>ANTECEDENTES</w:t>
            </w:r>
            <w:r w:rsidR="0008760E" w:rsidRPr="0008760E">
              <w:rPr>
                <w:noProof/>
                <w:webHidden/>
              </w:rPr>
              <w:tab/>
            </w:r>
            <w:r w:rsidR="0008760E" w:rsidRPr="0008760E">
              <w:rPr>
                <w:noProof/>
                <w:webHidden/>
              </w:rPr>
              <w:fldChar w:fldCharType="begin"/>
            </w:r>
            <w:r w:rsidR="0008760E" w:rsidRPr="0008760E">
              <w:rPr>
                <w:noProof/>
                <w:webHidden/>
              </w:rPr>
              <w:instrText xml:space="preserve"> PAGEREF _Toc181794060 \h </w:instrText>
            </w:r>
            <w:r w:rsidR="0008760E" w:rsidRPr="0008760E">
              <w:rPr>
                <w:noProof/>
                <w:webHidden/>
              </w:rPr>
            </w:r>
            <w:r w:rsidR="0008760E" w:rsidRPr="0008760E">
              <w:rPr>
                <w:noProof/>
                <w:webHidden/>
              </w:rPr>
              <w:fldChar w:fldCharType="separate"/>
            </w:r>
            <w:r w:rsidR="00C427FF">
              <w:rPr>
                <w:noProof/>
                <w:webHidden/>
              </w:rPr>
              <w:t>1</w:t>
            </w:r>
            <w:r w:rsidR="0008760E" w:rsidRPr="0008760E">
              <w:rPr>
                <w:noProof/>
                <w:webHidden/>
              </w:rPr>
              <w:fldChar w:fldCharType="end"/>
            </w:r>
          </w:hyperlink>
        </w:p>
        <w:p w14:paraId="100AD350" w14:textId="77777777" w:rsidR="0008760E" w:rsidRPr="0008760E" w:rsidRDefault="00E97101" w:rsidP="0008760E">
          <w:pPr>
            <w:pStyle w:val="TDC2"/>
            <w:rPr>
              <w:rFonts w:asciiTheme="minorHAnsi" w:eastAsiaTheme="minorEastAsia" w:hAnsiTheme="minorHAnsi" w:cstheme="minorBidi"/>
              <w:noProof/>
              <w:szCs w:val="22"/>
              <w:lang w:eastAsia="es-MX"/>
            </w:rPr>
          </w:pPr>
          <w:hyperlink w:anchor="_Toc181794061" w:history="1">
            <w:r w:rsidR="0008760E" w:rsidRPr="0008760E">
              <w:rPr>
                <w:rStyle w:val="Hipervnculo"/>
                <w:noProof/>
                <w:color w:val="auto"/>
              </w:rPr>
              <w:t>DE LA SOLICITUD DE INFORMACIÓN</w:t>
            </w:r>
            <w:r w:rsidR="0008760E" w:rsidRPr="0008760E">
              <w:rPr>
                <w:noProof/>
                <w:webHidden/>
              </w:rPr>
              <w:tab/>
            </w:r>
            <w:r w:rsidR="0008760E" w:rsidRPr="0008760E">
              <w:rPr>
                <w:noProof/>
                <w:webHidden/>
              </w:rPr>
              <w:fldChar w:fldCharType="begin"/>
            </w:r>
            <w:r w:rsidR="0008760E" w:rsidRPr="0008760E">
              <w:rPr>
                <w:noProof/>
                <w:webHidden/>
              </w:rPr>
              <w:instrText xml:space="preserve"> PAGEREF _Toc181794061 \h </w:instrText>
            </w:r>
            <w:r w:rsidR="0008760E" w:rsidRPr="0008760E">
              <w:rPr>
                <w:noProof/>
                <w:webHidden/>
              </w:rPr>
            </w:r>
            <w:r w:rsidR="0008760E" w:rsidRPr="0008760E">
              <w:rPr>
                <w:noProof/>
                <w:webHidden/>
              </w:rPr>
              <w:fldChar w:fldCharType="separate"/>
            </w:r>
            <w:r w:rsidR="00C427FF">
              <w:rPr>
                <w:noProof/>
                <w:webHidden/>
              </w:rPr>
              <w:t>1</w:t>
            </w:r>
            <w:r w:rsidR="0008760E" w:rsidRPr="0008760E">
              <w:rPr>
                <w:noProof/>
                <w:webHidden/>
              </w:rPr>
              <w:fldChar w:fldCharType="end"/>
            </w:r>
          </w:hyperlink>
        </w:p>
        <w:p w14:paraId="0A596BB3" w14:textId="77777777" w:rsidR="0008760E" w:rsidRPr="0008760E" w:rsidRDefault="00E97101" w:rsidP="0008760E">
          <w:pPr>
            <w:pStyle w:val="TDC3"/>
            <w:rPr>
              <w:rFonts w:asciiTheme="minorHAnsi" w:eastAsiaTheme="minorEastAsia" w:hAnsiTheme="minorHAnsi" w:cstheme="minorBidi"/>
              <w:noProof/>
              <w:szCs w:val="22"/>
              <w:lang w:eastAsia="es-MX"/>
            </w:rPr>
          </w:pPr>
          <w:hyperlink w:anchor="_Toc181794062" w:history="1">
            <w:r w:rsidR="0008760E" w:rsidRPr="0008760E">
              <w:rPr>
                <w:rStyle w:val="Hipervnculo"/>
                <w:noProof/>
                <w:color w:val="auto"/>
              </w:rPr>
              <w:t>a) Solicitud de información</w:t>
            </w:r>
            <w:r w:rsidR="0008760E" w:rsidRPr="0008760E">
              <w:rPr>
                <w:noProof/>
                <w:webHidden/>
              </w:rPr>
              <w:tab/>
            </w:r>
            <w:r w:rsidR="0008760E" w:rsidRPr="0008760E">
              <w:rPr>
                <w:noProof/>
                <w:webHidden/>
              </w:rPr>
              <w:fldChar w:fldCharType="begin"/>
            </w:r>
            <w:r w:rsidR="0008760E" w:rsidRPr="0008760E">
              <w:rPr>
                <w:noProof/>
                <w:webHidden/>
              </w:rPr>
              <w:instrText xml:space="preserve"> PAGEREF _Toc181794062 \h </w:instrText>
            </w:r>
            <w:r w:rsidR="0008760E" w:rsidRPr="0008760E">
              <w:rPr>
                <w:noProof/>
                <w:webHidden/>
              </w:rPr>
            </w:r>
            <w:r w:rsidR="0008760E" w:rsidRPr="0008760E">
              <w:rPr>
                <w:noProof/>
                <w:webHidden/>
              </w:rPr>
              <w:fldChar w:fldCharType="separate"/>
            </w:r>
            <w:r w:rsidR="00C427FF">
              <w:rPr>
                <w:noProof/>
                <w:webHidden/>
              </w:rPr>
              <w:t>1</w:t>
            </w:r>
            <w:r w:rsidR="0008760E" w:rsidRPr="0008760E">
              <w:rPr>
                <w:noProof/>
                <w:webHidden/>
              </w:rPr>
              <w:fldChar w:fldCharType="end"/>
            </w:r>
          </w:hyperlink>
        </w:p>
        <w:p w14:paraId="23855805" w14:textId="77777777" w:rsidR="0008760E" w:rsidRPr="0008760E" w:rsidRDefault="00E97101" w:rsidP="0008760E">
          <w:pPr>
            <w:pStyle w:val="TDC3"/>
            <w:rPr>
              <w:rFonts w:asciiTheme="minorHAnsi" w:eastAsiaTheme="minorEastAsia" w:hAnsiTheme="minorHAnsi" w:cstheme="minorBidi"/>
              <w:noProof/>
              <w:szCs w:val="22"/>
              <w:lang w:eastAsia="es-MX"/>
            </w:rPr>
          </w:pPr>
          <w:hyperlink w:anchor="_Toc181794063" w:history="1">
            <w:r w:rsidR="0008760E" w:rsidRPr="0008760E">
              <w:rPr>
                <w:rStyle w:val="Hipervnculo"/>
                <w:noProof/>
                <w:color w:val="auto"/>
              </w:rPr>
              <w:t xml:space="preserve">b) </w:t>
            </w:r>
            <w:r w:rsidR="0008760E" w:rsidRPr="0008760E">
              <w:rPr>
                <w:rStyle w:val="Hipervnculo"/>
                <w:noProof/>
                <w:color w:val="auto"/>
                <w:lang w:val="es-ES"/>
              </w:rPr>
              <w:t xml:space="preserve">Respuesta </w:t>
            </w:r>
            <w:r w:rsidR="0008760E" w:rsidRPr="0008760E">
              <w:rPr>
                <w:rStyle w:val="Hipervnculo"/>
                <w:rFonts w:eastAsia="Calibri"/>
                <w:noProof/>
                <w:color w:val="auto"/>
                <w:lang w:eastAsia="en-US"/>
              </w:rPr>
              <w:t>del Sujeto Obligado</w:t>
            </w:r>
            <w:r w:rsidR="0008760E" w:rsidRPr="0008760E">
              <w:rPr>
                <w:noProof/>
                <w:webHidden/>
              </w:rPr>
              <w:tab/>
            </w:r>
            <w:r w:rsidR="0008760E" w:rsidRPr="0008760E">
              <w:rPr>
                <w:noProof/>
                <w:webHidden/>
              </w:rPr>
              <w:fldChar w:fldCharType="begin"/>
            </w:r>
            <w:r w:rsidR="0008760E" w:rsidRPr="0008760E">
              <w:rPr>
                <w:noProof/>
                <w:webHidden/>
              </w:rPr>
              <w:instrText xml:space="preserve"> PAGEREF _Toc181794063 \h </w:instrText>
            </w:r>
            <w:r w:rsidR="0008760E" w:rsidRPr="0008760E">
              <w:rPr>
                <w:noProof/>
                <w:webHidden/>
              </w:rPr>
            </w:r>
            <w:r w:rsidR="0008760E" w:rsidRPr="0008760E">
              <w:rPr>
                <w:noProof/>
                <w:webHidden/>
              </w:rPr>
              <w:fldChar w:fldCharType="separate"/>
            </w:r>
            <w:r w:rsidR="00C427FF">
              <w:rPr>
                <w:noProof/>
                <w:webHidden/>
              </w:rPr>
              <w:t>2</w:t>
            </w:r>
            <w:r w:rsidR="0008760E" w:rsidRPr="0008760E">
              <w:rPr>
                <w:noProof/>
                <w:webHidden/>
              </w:rPr>
              <w:fldChar w:fldCharType="end"/>
            </w:r>
          </w:hyperlink>
        </w:p>
        <w:p w14:paraId="4D8E6ED0" w14:textId="77777777" w:rsidR="0008760E" w:rsidRPr="0008760E" w:rsidRDefault="00E97101" w:rsidP="0008760E">
          <w:pPr>
            <w:pStyle w:val="TDC2"/>
            <w:rPr>
              <w:rFonts w:asciiTheme="minorHAnsi" w:eastAsiaTheme="minorEastAsia" w:hAnsiTheme="minorHAnsi" w:cstheme="minorBidi"/>
              <w:noProof/>
              <w:szCs w:val="22"/>
              <w:lang w:eastAsia="es-MX"/>
            </w:rPr>
          </w:pPr>
          <w:hyperlink w:anchor="_Toc181794064" w:history="1">
            <w:r w:rsidR="0008760E" w:rsidRPr="0008760E">
              <w:rPr>
                <w:rStyle w:val="Hipervnculo"/>
                <w:noProof/>
                <w:color w:val="auto"/>
              </w:rPr>
              <w:t>DEL RECURSO DE REVISIÓN</w:t>
            </w:r>
            <w:r w:rsidR="0008760E" w:rsidRPr="0008760E">
              <w:rPr>
                <w:noProof/>
                <w:webHidden/>
              </w:rPr>
              <w:tab/>
            </w:r>
            <w:r w:rsidR="0008760E" w:rsidRPr="0008760E">
              <w:rPr>
                <w:noProof/>
                <w:webHidden/>
              </w:rPr>
              <w:fldChar w:fldCharType="begin"/>
            </w:r>
            <w:r w:rsidR="0008760E" w:rsidRPr="0008760E">
              <w:rPr>
                <w:noProof/>
                <w:webHidden/>
              </w:rPr>
              <w:instrText xml:space="preserve"> PAGEREF _Toc181794064 \h </w:instrText>
            </w:r>
            <w:r w:rsidR="0008760E" w:rsidRPr="0008760E">
              <w:rPr>
                <w:noProof/>
                <w:webHidden/>
              </w:rPr>
            </w:r>
            <w:r w:rsidR="0008760E" w:rsidRPr="0008760E">
              <w:rPr>
                <w:noProof/>
                <w:webHidden/>
              </w:rPr>
              <w:fldChar w:fldCharType="separate"/>
            </w:r>
            <w:r w:rsidR="00C427FF">
              <w:rPr>
                <w:noProof/>
                <w:webHidden/>
              </w:rPr>
              <w:t>3</w:t>
            </w:r>
            <w:r w:rsidR="0008760E" w:rsidRPr="0008760E">
              <w:rPr>
                <w:noProof/>
                <w:webHidden/>
              </w:rPr>
              <w:fldChar w:fldCharType="end"/>
            </w:r>
          </w:hyperlink>
        </w:p>
        <w:p w14:paraId="6C3E07D6" w14:textId="77777777" w:rsidR="0008760E" w:rsidRPr="0008760E" w:rsidRDefault="00E97101" w:rsidP="0008760E">
          <w:pPr>
            <w:pStyle w:val="TDC3"/>
            <w:rPr>
              <w:rFonts w:asciiTheme="minorHAnsi" w:eastAsiaTheme="minorEastAsia" w:hAnsiTheme="minorHAnsi" w:cstheme="minorBidi"/>
              <w:noProof/>
              <w:szCs w:val="22"/>
              <w:lang w:eastAsia="es-MX"/>
            </w:rPr>
          </w:pPr>
          <w:hyperlink w:anchor="_Toc181794065" w:history="1">
            <w:r w:rsidR="0008760E" w:rsidRPr="0008760E">
              <w:rPr>
                <w:rStyle w:val="Hipervnculo"/>
                <w:noProof/>
                <w:color w:val="auto"/>
              </w:rPr>
              <w:t>a) Interposición del Recurso de Revisión</w:t>
            </w:r>
            <w:r w:rsidR="0008760E" w:rsidRPr="0008760E">
              <w:rPr>
                <w:noProof/>
                <w:webHidden/>
              </w:rPr>
              <w:tab/>
            </w:r>
            <w:r w:rsidR="0008760E" w:rsidRPr="0008760E">
              <w:rPr>
                <w:noProof/>
                <w:webHidden/>
              </w:rPr>
              <w:fldChar w:fldCharType="begin"/>
            </w:r>
            <w:r w:rsidR="0008760E" w:rsidRPr="0008760E">
              <w:rPr>
                <w:noProof/>
                <w:webHidden/>
              </w:rPr>
              <w:instrText xml:space="preserve"> PAGEREF _Toc181794065 \h </w:instrText>
            </w:r>
            <w:r w:rsidR="0008760E" w:rsidRPr="0008760E">
              <w:rPr>
                <w:noProof/>
                <w:webHidden/>
              </w:rPr>
            </w:r>
            <w:r w:rsidR="0008760E" w:rsidRPr="0008760E">
              <w:rPr>
                <w:noProof/>
                <w:webHidden/>
              </w:rPr>
              <w:fldChar w:fldCharType="separate"/>
            </w:r>
            <w:r w:rsidR="00C427FF">
              <w:rPr>
                <w:noProof/>
                <w:webHidden/>
              </w:rPr>
              <w:t>3</w:t>
            </w:r>
            <w:r w:rsidR="0008760E" w:rsidRPr="0008760E">
              <w:rPr>
                <w:noProof/>
                <w:webHidden/>
              </w:rPr>
              <w:fldChar w:fldCharType="end"/>
            </w:r>
          </w:hyperlink>
        </w:p>
        <w:p w14:paraId="22BF9AA0" w14:textId="77777777" w:rsidR="0008760E" w:rsidRPr="0008760E" w:rsidRDefault="00E97101" w:rsidP="0008760E">
          <w:pPr>
            <w:pStyle w:val="TDC3"/>
            <w:rPr>
              <w:rFonts w:asciiTheme="minorHAnsi" w:eastAsiaTheme="minorEastAsia" w:hAnsiTheme="minorHAnsi" w:cstheme="minorBidi"/>
              <w:noProof/>
              <w:szCs w:val="22"/>
              <w:lang w:eastAsia="es-MX"/>
            </w:rPr>
          </w:pPr>
          <w:hyperlink w:anchor="_Toc181794066" w:history="1">
            <w:r w:rsidR="0008760E" w:rsidRPr="0008760E">
              <w:rPr>
                <w:rStyle w:val="Hipervnculo"/>
                <w:noProof/>
                <w:color w:val="auto"/>
              </w:rPr>
              <w:t>b) Turno del Recurso de Revisión</w:t>
            </w:r>
            <w:r w:rsidR="0008760E" w:rsidRPr="0008760E">
              <w:rPr>
                <w:noProof/>
                <w:webHidden/>
              </w:rPr>
              <w:tab/>
            </w:r>
            <w:r w:rsidR="0008760E" w:rsidRPr="0008760E">
              <w:rPr>
                <w:noProof/>
                <w:webHidden/>
              </w:rPr>
              <w:fldChar w:fldCharType="begin"/>
            </w:r>
            <w:r w:rsidR="0008760E" w:rsidRPr="0008760E">
              <w:rPr>
                <w:noProof/>
                <w:webHidden/>
              </w:rPr>
              <w:instrText xml:space="preserve"> PAGEREF _Toc181794066 \h </w:instrText>
            </w:r>
            <w:r w:rsidR="0008760E" w:rsidRPr="0008760E">
              <w:rPr>
                <w:noProof/>
                <w:webHidden/>
              </w:rPr>
            </w:r>
            <w:r w:rsidR="0008760E" w:rsidRPr="0008760E">
              <w:rPr>
                <w:noProof/>
                <w:webHidden/>
              </w:rPr>
              <w:fldChar w:fldCharType="separate"/>
            </w:r>
            <w:r w:rsidR="00C427FF">
              <w:rPr>
                <w:noProof/>
                <w:webHidden/>
              </w:rPr>
              <w:t>4</w:t>
            </w:r>
            <w:r w:rsidR="0008760E" w:rsidRPr="0008760E">
              <w:rPr>
                <w:noProof/>
                <w:webHidden/>
              </w:rPr>
              <w:fldChar w:fldCharType="end"/>
            </w:r>
          </w:hyperlink>
        </w:p>
        <w:p w14:paraId="2B9BA599" w14:textId="77777777" w:rsidR="0008760E" w:rsidRPr="0008760E" w:rsidRDefault="00E97101" w:rsidP="0008760E">
          <w:pPr>
            <w:pStyle w:val="TDC3"/>
            <w:rPr>
              <w:rFonts w:asciiTheme="minorHAnsi" w:eastAsiaTheme="minorEastAsia" w:hAnsiTheme="minorHAnsi" w:cstheme="minorBidi"/>
              <w:noProof/>
              <w:szCs w:val="22"/>
              <w:lang w:eastAsia="es-MX"/>
            </w:rPr>
          </w:pPr>
          <w:hyperlink w:anchor="_Toc181794067" w:history="1">
            <w:r w:rsidR="0008760E" w:rsidRPr="0008760E">
              <w:rPr>
                <w:rStyle w:val="Hipervnculo"/>
                <w:noProof/>
                <w:color w:val="auto"/>
              </w:rPr>
              <w:t>c) Admisión del Recurso de Revisión</w:t>
            </w:r>
            <w:r w:rsidR="0008760E" w:rsidRPr="0008760E">
              <w:rPr>
                <w:noProof/>
                <w:webHidden/>
              </w:rPr>
              <w:tab/>
            </w:r>
            <w:r w:rsidR="0008760E" w:rsidRPr="0008760E">
              <w:rPr>
                <w:noProof/>
                <w:webHidden/>
              </w:rPr>
              <w:fldChar w:fldCharType="begin"/>
            </w:r>
            <w:r w:rsidR="0008760E" w:rsidRPr="0008760E">
              <w:rPr>
                <w:noProof/>
                <w:webHidden/>
              </w:rPr>
              <w:instrText xml:space="preserve"> PAGEREF _Toc181794067 \h </w:instrText>
            </w:r>
            <w:r w:rsidR="0008760E" w:rsidRPr="0008760E">
              <w:rPr>
                <w:noProof/>
                <w:webHidden/>
              </w:rPr>
            </w:r>
            <w:r w:rsidR="0008760E" w:rsidRPr="0008760E">
              <w:rPr>
                <w:noProof/>
                <w:webHidden/>
              </w:rPr>
              <w:fldChar w:fldCharType="separate"/>
            </w:r>
            <w:r w:rsidR="00C427FF">
              <w:rPr>
                <w:noProof/>
                <w:webHidden/>
              </w:rPr>
              <w:t>4</w:t>
            </w:r>
            <w:r w:rsidR="0008760E" w:rsidRPr="0008760E">
              <w:rPr>
                <w:noProof/>
                <w:webHidden/>
              </w:rPr>
              <w:fldChar w:fldCharType="end"/>
            </w:r>
          </w:hyperlink>
        </w:p>
        <w:p w14:paraId="0D2C9E46" w14:textId="77777777" w:rsidR="0008760E" w:rsidRPr="0008760E" w:rsidRDefault="00E97101" w:rsidP="0008760E">
          <w:pPr>
            <w:pStyle w:val="TDC3"/>
            <w:rPr>
              <w:rFonts w:asciiTheme="minorHAnsi" w:eastAsiaTheme="minorEastAsia" w:hAnsiTheme="minorHAnsi" w:cstheme="minorBidi"/>
              <w:noProof/>
              <w:szCs w:val="22"/>
              <w:lang w:eastAsia="es-MX"/>
            </w:rPr>
          </w:pPr>
          <w:hyperlink w:anchor="_Toc181794068" w:history="1">
            <w:r w:rsidR="0008760E" w:rsidRPr="0008760E">
              <w:rPr>
                <w:rStyle w:val="Hipervnculo"/>
                <w:noProof/>
                <w:color w:val="auto"/>
              </w:rPr>
              <w:t>d) Informe Justificado del Sujeto Obligado</w:t>
            </w:r>
            <w:r w:rsidR="0008760E" w:rsidRPr="0008760E">
              <w:rPr>
                <w:noProof/>
                <w:webHidden/>
              </w:rPr>
              <w:tab/>
            </w:r>
            <w:r w:rsidR="0008760E" w:rsidRPr="0008760E">
              <w:rPr>
                <w:noProof/>
                <w:webHidden/>
              </w:rPr>
              <w:fldChar w:fldCharType="begin"/>
            </w:r>
            <w:r w:rsidR="0008760E" w:rsidRPr="0008760E">
              <w:rPr>
                <w:noProof/>
                <w:webHidden/>
              </w:rPr>
              <w:instrText xml:space="preserve"> PAGEREF _Toc181794068 \h </w:instrText>
            </w:r>
            <w:r w:rsidR="0008760E" w:rsidRPr="0008760E">
              <w:rPr>
                <w:noProof/>
                <w:webHidden/>
              </w:rPr>
            </w:r>
            <w:r w:rsidR="0008760E" w:rsidRPr="0008760E">
              <w:rPr>
                <w:noProof/>
                <w:webHidden/>
              </w:rPr>
              <w:fldChar w:fldCharType="separate"/>
            </w:r>
            <w:r w:rsidR="00C427FF">
              <w:rPr>
                <w:noProof/>
                <w:webHidden/>
              </w:rPr>
              <w:t>5</w:t>
            </w:r>
            <w:r w:rsidR="0008760E" w:rsidRPr="0008760E">
              <w:rPr>
                <w:noProof/>
                <w:webHidden/>
              </w:rPr>
              <w:fldChar w:fldCharType="end"/>
            </w:r>
          </w:hyperlink>
        </w:p>
        <w:p w14:paraId="03C0A60C" w14:textId="77777777" w:rsidR="0008760E" w:rsidRPr="0008760E" w:rsidRDefault="00E97101" w:rsidP="0008760E">
          <w:pPr>
            <w:pStyle w:val="TDC3"/>
            <w:rPr>
              <w:rFonts w:asciiTheme="minorHAnsi" w:eastAsiaTheme="minorEastAsia" w:hAnsiTheme="minorHAnsi" w:cstheme="minorBidi"/>
              <w:noProof/>
              <w:szCs w:val="22"/>
              <w:lang w:eastAsia="es-MX"/>
            </w:rPr>
          </w:pPr>
          <w:hyperlink w:anchor="_Toc181794069" w:history="1">
            <w:r w:rsidR="0008760E" w:rsidRPr="0008760E">
              <w:rPr>
                <w:rStyle w:val="Hipervnculo"/>
                <w:rFonts w:eastAsia="Calibri"/>
                <w:bCs/>
                <w:noProof/>
                <w:color w:val="auto"/>
                <w:lang w:eastAsia="en-US"/>
              </w:rPr>
              <w:t>e)</w:t>
            </w:r>
            <w:r w:rsidR="0008760E" w:rsidRPr="0008760E">
              <w:rPr>
                <w:rStyle w:val="Hipervnculo"/>
                <w:noProof/>
                <w:color w:val="auto"/>
              </w:rPr>
              <w:t xml:space="preserve"> </w:t>
            </w:r>
            <w:r w:rsidR="0008760E" w:rsidRPr="0008760E">
              <w:rPr>
                <w:rStyle w:val="Hipervnculo"/>
                <w:noProof/>
                <w:color w:val="auto"/>
                <w:lang w:val="es-ES"/>
              </w:rPr>
              <w:t>Manifestaciones de la Parte Recurrente</w:t>
            </w:r>
            <w:r w:rsidR="0008760E" w:rsidRPr="0008760E">
              <w:rPr>
                <w:noProof/>
                <w:webHidden/>
              </w:rPr>
              <w:tab/>
            </w:r>
            <w:r w:rsidR="0008760E" w:rsidRPr="0008760E">
              <w:rPr>
                <w:noProof/>
                <w:webHidden/>
              </w:rPr>
              <w:fldChar w:fldCharType="begin"/>
            </w:r>
            <w:r w:rsidR="0008760E" w:rsidRPr="0008760E">
              <w:rPr>
                <w:noProof/>
                <w:webHidden/>
              </w:rPr>
              <w:instrText xml:space="preserve"> PAGEREF _Toc181794069 \h </w:instrText>
            </w:r>
            <w:r w:rsidR="0008760E" w:rsidRPr="0008760E">
              <w:rPr>
                <w:noProof/>
                <w:webHidden/>
              </w:rPr>
            </w:r>
            <w:r w:rsidR="0008760E" w:rsidRPr="0008760E">
              <w:rPr>
                <w:noProof/>
                <w:webHidden/>
              </w:rPr>
              <w:fldChar w:fldCharType="separate"/>
            </w:r>
            <w:r w:rsidR="00C427FF">
              <w:rPr>
                <w:noProof/>
                <w:webHidden/>
              </w:rPr>
              <w:t>6</w:t>
            </w:r>
            <w:r w:rsidR="0008760E" w:rsidRPr="0008760E">
              <w:rPr>
                <w:noProof/>
                <w:webHidden/>
              </w:rPr>
              <w:fldChar w:fldCharType="end"/>
            </w:r>
          </w:hyperlink>
        </w:p>
        <w:p w14:paraId="10AEB9D5" w14:textId="77777777" w:rsidR="0008760E" w:rsidRPr="0008760E" w:rsidRDefault="00E97101" w:rsidP="0008760E">
          <w:pPr>
            <w:pStyle w:val="TDC3"/>
            <w:rPr>
              <w:rFonts w:asciiTheme="minorHAnsi" w:eastAsiaTheme="minorEastAsia" w:hAnsiTheme="minorHAnsi" w:cstheme="minorBidi"/>
              <w:noProof/>
              <w:szCs w:val="22"/>
              <w:lang w:eastAsia="es-MX"/>
            </w:rPr>
          </w:pPr>
          <w:hyperlink w:anchor="_Toc181794070" w:history="1">
            <w:r w:rsidR="0008760E" w:rsidRPr="0008760E">
              <w:rPr>
                <w:rStyle w:val="Hipervnculo"/>
                <w:rFonts w:eastAsia="Calibri"/>
                <w:noProof/>
                <w:color w:val="auto"/>
              </w:rPr>
              <w:t xml:space="preserve">f) </w:t>
            </w:r>
            <w:r w:rsidR="0008760E" w:rsidRPr="0008760E">
              <w:rPr>
                <w:rStyle w:val="Hipervnculo"/>
                <w:noProof/>
                <w:color w:val="auto"/>
              </w:rPr>
              <w:t>Cierre de instrucción</w:t>
            </w:r>
            <w:r w:rsidR="0008760E" w:rsidRPr="0008760E">
              <w:rPr>
                <w:noProof/>
                <w:webHidden/>
              </w:rPr>
              <w:tab/>
            </w:r>
            <w:r w:rsidR="0008760E" w:rsidRPr="0008760E">
              <w:rPr>
                <w:noProof/>
                <w:webHidden/>
              </w:rPr>
              <w:fldChar w:fldCharType="begin"/>
            </w:r>
            <w:r w:rsidR="0008760E" w:rsidRPr="0008760E">
              <w:rPr>
                <w:noProof/>
                <w:webHidden/>
              </w:rPr>
              <w:instrText xml:space="preserve"> PAGEREF _Toc181794070 \h </w:instrText>
            </w:r>
            <w:r w:rsidR="0008760E" w:rsidRPr="0008760E">
              <w:rPr>
                <w:noProof/>
                <w:webHidden/>
              </w:rPr>
            </w:r>
            <w:r w:rsidR="0008760E" w:rsidRPr="0008760E">
              <w:rPr>
                <w:noProof/>
                <w:webHidden/>
              </w:rPr>
              <w:fldChar w:fldCharType="separate"/>
            </w:r>
            <w:r w:rsidR="00C427FF">
              <w:rPr>
                <w:noProof/>
                <w:webHidden/>
              </w:rPr>
              <w:t>6</w:t>
            </w:r>
            <w:r w:rsidR="0008760E" w:rsidRPr="0008760E">
              <w:rPr>
                <w:noProof/>
                <w:webHidden/>
              </w:rPr>
              <w:fldChar w:fldCharType="end"/>
            </w:r>
          </w:hyperlink>
        </w:p>
        <w:p w14:paraId="1A1BDEF2" w14:textId="77777777" w:rsidR="0008760E" w:rsidRPr="0008760E" w:rsidRDefault="00E97101" w:rsidP="0008760E">
          <w:pPr>
            <w:pStyle w:val="TDC1"/>
            <w:tabs>
              <w:tab w:val="right" w:leader="dot" w:pos="9034"/>
            </w:tabs>
            <w:rPr>
              <w:rFonts w:asciiTheme="minorHAnsi" w:eastAsiaTheme="minorEastAsia" w:hAnsiTheme="minorHAnsi" w:cstheme="minorBidi"/>
              <w:noProof/>
              <w:szCs w:val="22"/>
              <w:lang w:eastAsia="es-MX"/>
            </w:rPr>
          </w:pPr>
          <w:hyperlink w:anchor="_Toc181794071" w:history="1">
            <w:r w:rsidR="0008760E" w:rsidRPr="0008760E">
              <w:rPr>
                <w:rStyle w:val="Hipervnculo"/>
                <w:rFonts w:eastAsiaTheme="minorHAnsi"/>
                <w:noProof/>
                <w:color w:val="auto"/>
                <w:lang w:eastAsia="en-US"/>
              </w:rPr>
              <w:t>CONSIDERANDOS</w:t>
            </w:r>
            <w:r w:rsidR="0008760E" w:rsidRPr="0008760E">
              <w:rPr>
                <w:noProof/>
                <w:webHidden/>
              </w:rPr>
              <w:tab/>
            </w:r>
            <w:r w:rsidR="0008760E" w:rsidRPr="0008760E">
              <w:rPr>
                <w:noProof/>
                <w:webHidden/>
              </w:rPr>
              <w:fldChar w:fldCharType="begin"/>
            </w:r>
            <w:r w:rsidR="0008760E" w:rsidRPr="0008760E">
              <w:rPr>
                <w:noProof/>
                <w:webHidden/>
              </w:rPr>
              <w:instrText xml:space="preserve"> PAGEREF _Toc181794071 \h </w:instrText>
            </w:r>
            <w:r w:rsidR="0008760E" w:rsidRPr="0008760E">
              <w:rPr>
                <w:noProof/>
                <w:webHidden/>
              </w:rPr>
            </w:r>
            <w:r w:rsidR="0008760E" w:rsidRPr="0008760E">
              <w:rPr>
                <w:noProof/>
                <w:webHidden/>
              </w:rPr>
              <w:fldChar w:fldCharType="separate"/>
            </w:r>
            <w:r w:rsidR="00C427FF">
              <w:rPr>
                <w:noProof/>
                <w:webHidden/>
              </w:rPr>
              <w:t>6</w:t>
            </w:r>
            <w:r w:rsidR="0008760E" w:rsidRPr="0008760E">
              <w:rPr>
                <w:noProof/>
                <w:webHidden/>
              </w:rPr>
              <w:fldChar w:fldCharType="end"/>
            </w:r>
          </w:hyperlink>
        </w:p>
        <w:p w14:paraId="3A44B717" w14:textId="77777777" w:rsidR="0008760E" w:rsidRPr="0008760E" w:rsidRDefault="00E97101" w:rsidP="0008760E">
          <w:pPr>
            <w:pStyle w:val="TDC2"/>
            <w:rPr>
              <w:rFonts w:asciiTheme="minorHAnsi" w:eastAsiaTheme="minorEastAsia" w:hAnsiTheme="minorHAnsi" w:cstheme="minorBidi"/>
              <w:noProof/>
              <w:szCs w:val="22"/>
              <w:lang w:eastAsia="es-MX"/>
            </w:rPr>
          </w:pPr>
          <w:hyperlink w:anchor="_Toc181794072" w:history="1">
            <w:r w:rsidR="0008760E" w:rsidRPr="0008760E">
              <w:rPr>
                <w:rStyle w:val="Hipervnculo"/>
                <w:rFonts w:eastAsia="Batang"/>
                <w:noProof/>
                <w:color w:val="auto"/>
              </w:rPr>
              <w:t>PRIMERO. Procedibilidad</w:t>
            </w:r>
            <w:r w:rsidR="0008760E" w:rsidRPr="0008760E">
              <w:rPr>
                <w:noProof/>
                <w:webHidden/>
              </w:rPr>
              <w:tab/>
            </w:r>
            <w:r w:rsidR="0008760E" w:rsidRPr="0008760E">
              <w:rPr>
                <w:noProof/>
                <w:webHidden/>
              </w:rPr>
              <w:fldChar w:fldCharType="begin"/>
            </w:r>
            <w:r w:rsidR="0008760E" w:rsidRPr="0008760E">
              <w:rPr>
                <w:noProof/>
                <w:webHidden/>
              </w:rPr>
              <w:instrText xml:space="preserve"> PAGEREF _Toc181794072 \h </w:instrText>
            </w:r>
            <w:r w:rsidR="0008760E" w:rsidRPr="0008760E">
              <w:rPr>
                <w:noProof/>
                <w:webHidden/>
              </w:rPr>
            </w:r>
            <w:r w:rsidR="0008760E" w:rsidRPr="0008760E">
              <w:rPr>
                <w:noProof/>
                <w:webHidden/>
              </w:rPr>
              <w:fldChar w:fldCharType="separate"/>
            </w:r>
            <w:r w:rsidR="00C427FF">
              <w:rPr>
                <w:noProof/>
                <w:webHidden/>
              </w:rPr>
              <w:t>6</w:t>
            </w:r>
            <w:r w:rsidR="0008760E" w:rsidRPr="0008760E">
              <w:rPr>
                <w:noProof/>
                <w:webHidden/>
              </w:rPr>
              <w:fldChar w:fldCharType="end"/>
            </w:r>
          </w:hyperlink>
        </w:p>
        <w:p w14:paraId="7930CAA3" w14:textId="77777777" w:rsidR="0008760E" w:rsidRPr="0008760E" w:rsidRDefault="00E97101" w:rsidP="0008760E">
          <w:pPr>
            <w:pStyle w:val="TDC3"/>
            <w:rPr>
              <w:rFonts w:asciiTheme="minorHAnsi" w:eastAsiaTheme="minorEastAsia" w:hAnsiTheme="minorHAnsi" w:cstheme="minorBidi"/>
              <w:noProof/>
              <w:szCs w:val="22"/>
              <w:lang w:eastAsia="es-MX"/>
            </w:rPr>
          </w:pPr>
          <w:hyperlink w:anchor="_Toc181794073" w:history="1">
            <w:r w:rsidR="0008760E" w:rsidRPr="0008760E">
              <w:rPr>
                <w:rStyle w:val="Hipervnculo"/>
                <w:noProof/>
                <w:color w:val="auto"/>
              </w:rPr>
              <w:t>a) Competencia del Instituto</w:t>
            </w:r>
            <w:r w:rsidR="0008760E" w:rsidRPr="0008760E">
              <w:rPr>
                <w:noProof/>
                <w:webHidden/>
              </w:rPr>
              <w:tab/>
            </w:r>
            <w:r w:rsidR="0008760E" w:rsidRPr="0008760E">
              <w:rPr>
                <w:noProof/>
                <w:webHidden/>
              </w:rPr>
              <w:fldChar w:fldCharType="begin"/>
            </w:r>
            <w:r w:rsidR="0008760E" w:rsidRPr="0008760E">
              <w:rPr>
                <w:noProof/>
                <w:webHidden/>
              </w:rPr>
              <w:instrText xml:space="preserve"> PAGEREF _Toc181794073 \h </w:instrText>
            </w:r>
            <w:r w:rsidR="0008760E" w:rsidRPr="0008760E">
              <w:rPr>
                <w:noProof/>
                <w:webHidden/>
              </w:rPr>
            </w:r>
            <w:r w:rsidR="0008760E" w:rsidRPr="0008760E">
              <w:rPr>
                <w:noProof/>
                <w:webHidden/>
              </w:rPr>
              <w:fldChar w:fldCharType="separate"/>
            </w:r>
            <w:r w:rsidR="00C427FF">
              <w:rPr>
                <w:noProof/>
                <w:webHidden/>
              </w:rPr>
              <w:t>6</w:t>
            </w:r>
            <w:r w:rsidR="0008760E" w:rsidRPr="0008760E">
              <w:rPr>
                <w:noProof/>
                <w:webHidden/>
              </w:rPr>
              <w:fldChar w:fldCharType="end"/>
            </w:r>
          </w:hyperlink>
        </w:p>
        <w:p w14:paraId="5FDAD4E3" w14:textId="77777777" w:rsidR="0008760E" w:rsidRPr="0008760E" w:rsidRDefault="00E97101" w:rsidP="0008760E">
          <w:pPr>
            <w:pStyle w:val="TDC3"/>
            <w:rPr>
              <w:rFonts w:asciiTheme="minorHAnsi" w:eastAsiaTheme="minorEastAsia" w:hAnsiTheme="minorHAnsi" w:cstheme="minorBidi"/>
              <w:noProof/>
              <w:szCs w:val="22"/>
              <w:lang w:eastAsia="es-MX"/>
            </w:rPr>
          </w:pPr>
          <w:hyperlink w:anchor="_Toc181794074" w:history="1">
            <w:r w:rsidR="0008760E" w:rsidRPr="0008760E">
              <w:rPr>
                <w:rStyle w:val="Hipervnculo"/>
                <w:noProof/>
                <w:color w:val="auto"/>
              </w:rPr>
              <w:t>b) Legitimidad de la parte recurrente</w:t>
            </w:r>
            <w:r w:rsidR="0008760E" w:rsidRPr="0008760E">
              <w:rPr>
                <w:noProof/>
                <w:webHidden/>
              </w:rPr>
              <w:tab/>
            </w:r>
            <w:r w:rsidR="0008760E" w:rsidRPr="0008760E">
              <w:rPr>
                <w:noProof/>
                <w:webHidden/>
              </w:rPr>
              <w:fldChar w:fldCharType="begin"/>
            </w:r>
            <w:r w:rsidR="0008760E" w:rsidRPr="0008760E">
              <w:rPr>
                <w:noProof/>
                <w:webHidden/>
              </w:rPr>
              <w:instrText xml:space="preserve"> PAGEREF _Toc181794074 \h </w:instrText>
            </w:r>
            <w:r w:rsidR="0008760E" w:rsidRPr="0008760E">
              <w:rPr>
                <w:noProof/>
                <w:webHidden/>
              </w:rPr>
            </w:r>
            <w:r w:rsidR="0008760E" w:rsidRPr="0008760E">
              <w:rPr>
                <w:noProof/>
                <w:webHidden/>
              </w:rPr>
              <w:fldChar w:fldCharType="separate"/>
            </w:r>
            <w:r w:rsidR="00C427FF">
              <w:rPr>
                <w:noProof/>
                <w:webHidden/>
              </w:rPr>
              <w:t>7</w:t>
            </w:r>
            <w:r w:rsidR="0008760E" w:rsidRPr="0008760E">
              <w:rPr>
                <w:noProof/>
                <w:webHidden/>
              </w:rPr>
              <w:fldChar w:fldCharType="end"/>
            </w:r>
          </w:hyperlink>
        </w:p>
        <w:p w14:paraId="6925E41A" w14:textId="77777777" w:rsidR="0008760E" w:rsidRPr="0008760E" w:rsidRDefault="00E97101" w:rsidP="0008760E">
          <w:pPr>
            <w:pStyle w:val="TDC3"/>
            <w:rPr>
              <w:rFonts w:asciiTheme="minorHAnsi" w:eastAsiaTheme="minorEastAsia" w:hAnsiTheme="minorHAnsi" w:cstheme="minorBidi"/>
              <w:noProof/>
              <w:szCs w:val="22"/>
              <w:lang w:eastAsia="es-MX"/>
            </w:rPr>
          </w:pPr>
          <w:hyperlink w:anchor="_Toc181794075" w:history="1">
            <w:r w:rsidR="0008760E" w:rsidRPr="0008760E">
              <w:rPr>
                <w:rStyle w:val="Hipervnculo"/>
                <w:rFonts w:eastAsia="Calibri"/>
                <w:noProof/>
                <w:color w:val="auto"/>
                <w:lang w:eastAsia="es-ES_tradnl"/>
              </w:rPr>
              <w:t>c) Plazo para interponer el recurso</w:t>
            </w:r>
            <w:r w:rsidR="0008760E" w:rsidRPr="0008760E">
              <w:rPr>
                <w:noProof/>
                <w:webHidden/>
              </w:rPr>
              <w:tab/>
            </w:r>
            <w:r w:rsidR="0008760E" w:rsidRPr="0008760E">
              <w:rPr>
                <w:noProof/>
                <w:webHidden/>
              </w:rPr>
              <w:fldChar w:fldCharType="begin"/>
            </w:r>
            <w:r w:rsidR="0008760E" w:rsidRPr="0008760E">
              <w:rPr>
                <w:noProof/>
                <w:webHidden/>
              </w:rPr>
              <w:instrText xml:space="preserve"> PAGEREF _Toc181794075 \h </w:instrText>
            </w:r>
            <w:r w:rsidR="0008760E" w:rsidRPr="0008760E">
              <w:rPr>
                <w:noProof/>
                <w:webHidden/>
              </w:rPr>
            </w:r>
            <w:r w:rsidR="0008760E" w:rsidRPr="0008760E">
              <w:rPr>
                <w:noProof/>
                <w:webHidden/>
              </w:rPr>
              <w:fldChar w:fldCharType="separate"/>
            </w:r>
            <w:r w:rsidR="00C427FF">
              <w:rPr>
                <w:noProof/>
                <w:webHidden/>
              </w:rPr>
              <w:t>7</w:t>
            </w:r>
            <w:r w:rsidR="0008760E" w:rsidRPr="0008760E">
              <w:rPr>
                <w:noProof/>
                <w:webHidden/>
              </w:rPr>
              <w:fldChar w:fldCharType="end"/>
            </w:r>
          </w:hyperlink>
        </w:p>
        <w:p w14:paraId="6DAC98E7" w14:textId="77777777" w:rsidR="0008760E" w:rsidRPr="0008760E" w:rsidRDefault="00E97101" w:rsidP="0008760E">
          <w:pPr>
            <w:pStyle w:val="TDC3"/>
            <w:rPr>
              <w:rFonts w:asciiTheme="minorHAnsi" w:eastAsiaTheme="minorEastAsia" w:hAnsiTheme="minorHAnsi" w:cstheme="minorBidi"/>
              <w:noProof/>
              <w:szCs w:val="22"/>
              <w:lang w:eastAsia="es-MX"/>
            </w:rPr>
          </w:pPr>
          <w:hyperlink w:anchor="_Toc181794076" w:history="1">
            <w:r w:rsidR="0008760E" w:rsidRPr="0008760E">
              <w:rPr>
                <w:rStyle w:val="Hipervnculo"/>
                <w:rFonts w:eastAsia="Calibri"/>
                <w:noProof/>
                <w:color w:val="auto"/>
                <w:lang w:eastAsia="es-ES_tradnl"/>
              </w:rPr>
              <w:t>d) Causal de procedencia</w:t>
            </w:r>
            <w:r w:rsidR="0008760E" w:rsidRPr="0008760E">
              <w:rPr>
                <w:noProof/>
                <w:webHidden/>
              </w:rPr>
              <w:tab/>
            </w:r>
            <w:r w:rsidR="0008760E" w:rsidRPr="0008760E">
              <w:rPr>
                <w:noProof/>
                <w:webHidden/>
              </w:rPr>
              <w:fldChar w:fldCharType="begin"/>
            </w:r>
            <w:r w:rsidR="0008760E" w:rsidRPr="0008760E">
              <w:rPr>
                <w:noProof/>
                <w:webHidden/>
              </w:rPr>
              <w:instrText xml:space="preserve"> PAGEREF _Toc181794076 \h </w:instrText>
            </w:r>
            <w:r w:rsidR="0008760E" w:rsidRPr="0008760E">
              <w:rPr>
                <w:noProof/>
                <w:webHidden/>
              </w:rPr>
            </w:r>
            <w:r w:rsidR="0008760E" w:rsidRPr="0008760E">
              <w:rPr>
                <w:noProof/>
                <w:webHidden/>
              </w:rPr>
              <w:fldChar w:fldCharType="separate"/>
            </w:r>
            <w:r w:rsidR="00C427FF">
              <w:rPr>
                <w:noProof/>
                <w:webHidden/>
              </w:rPr>
              <w:t>7</w:t>
            </w:r>
            <w:r w:rsidR="0008760E" w:rsidRPr="0008760E">
              <w:rPr>
                <w:noProof/>
                <w:webHidden/>
              </w:rPr>
              <w:fldChar w:fldCharType="end"/>
            </w:r>
          </w:hyperlink>
        </w:p>
        <w:p w14:paraId="1172BF7F" w14:textId="77777777" w:rsidR="0008760E" w:rsidRPr="0008760E" w:rsidRDefault="00E97101" w:rsidP="0008760E">
          <w:pPr>
            <w:pStyle w:val="TDC3"/>
            <w:rPr>
              <w:rFonts w:asciiTheme="minorHAnsi" w:eastAsiaTheme="minorEastAsia" w:hAnsiTheme="minorHAnsi" w:cstheme="minorBidi"/>
              <w:noProof/>
              <w:szCs w:val="22"/>
              <w:lang w:eastAsia="es-MX"/>
            </w:rPr>
          </w:pPr>
          <w:hyperlink w:anchor="_Toc181794077" w:history="1">
            <w:r w:rsidR="0008760E" w:rsidRPr="0008760E">
              <w:rPr>
                <w:rStyle w:val="Hipervnculo"/>
                <w:noProof/>
                <w:color w:val="auto"/>
              </w:rPr>
              <w:t>e) Requisitos formales para la interposición del recurso</w:t>
            </w:r>
            <w:r w:rsidR="0008760E" w:rsidRPr="0008760E">
              <w:rPr>
                <w:noProof/>
                <w:webHidden/>
              </w:rPr>
              <w:tab/>
            </w:r>
            <w:r w:rsidR="0008760E" w:rsidRPr="0008760E">
              <w:rPr>
                <w:noProof/>
                <w:webHidden/>
              </w:rPr>
              <w:fldChar w:fldCharType="begin"/>
            </w:r>
            <w:r w:rsidR="0008760E" w:rsidRPr="0008760E">
              <w:rPr>
                <w:noProof/>
                <w:webHidden/>
              </w:rPr>
              <w:instrText xml:space="preserve"> PAGEREF _Toc181794077 \h </w:instrText>
            </w:r>
            <w:r w:rsidR="0008760E" w:rsidRPr="0008760E">
              <w:rPr>
                <w:noProof/>
                <w:webHidden/>
              </w:rPr>
            </w:r>
            <w:r w:rsidR="0008760E" w:rsidRPr="0008760E">
              <w:rPr>
                <w:noProof/>
                <w:webHidden/>
              </w:rPr>
              <w:fldChar w:fldCharType="separate"/>
            </w:r>
            <w:r w:rsidR="00C427FF">
              <w:rPr>
                <w:noProof/>
                <w:webHidden/>
              </w:rPr>
              <w:t>8</w:t>
            </w:r>
            <w:r w:rsidR="0008760E" w:rsidRPr="0008760E">
              <w:rPr>
                <w:noProof/>
                <w:webHidden/>
              </w:rPr>
              <w:fldChar w:fldCharType="end"/>
            </w:r>
          </w:hyperlink>
        </w:p>
        <w:p w14:paraId="7A291C10" w14:textId="77777777" w:rsidR="0008760E" w:rsidRPr="0008760E" w:rsidRDefault="00E97101" w:rsidP="0008760E">
          <w:pPr>
            <w:pStyle w:val="TDC2"/>
            <w:rPr>
              <w:rFonts w:asciiTheme="minorHAnsi" w:eastAsiaTheme="minorEastAsia" w:hAnsiTheme="minorHAnsi" w:cstheme="minorBidi"/>
              <w:noProof/>
              <w:szCs w:val="22"/>
              <w:lang w:eastAsia="es-MX"/>
            </w:rPr>
          </w:pPr>
          <w:hyperlink w:anchor="_Toc181794078" w:history="1">
            <w:r w:rsidR="0008760E" w:rsidRPr="0008760E">
              <w:rPr>
                <w:rStyle w:val="Hipervnculo"/>
                <w:noProof/>
                <w:color w:val="auto"/>
              </w:rPr>
              <w:t>SEGUNDO. Estudio de Fondo</w:t>
            </w:r>
            <w:r w:rsidR="0008760E" w:rsidRPr="0008760E">
              <w:rPr>
                <w:noProof/>
                <w:webHidden/>
              </w:rPr>
              <w:tab/>
            </w:r>
            <w:r w:rsidR="0008760E" w:rsidRPr="0008760E">
              <w:rPr>
                <w:noProof/>
                <w:webHidden/>
              </w:rPr>
              <w:fldChar w:fldCharType="begin"/>
            </w:r>
            <w:r w:rsidR="0008760E" w:rsidRPr="0008760E">
              <w:rPr>
                <w:noProof/>
                <w:webHidden/>
              </w:rPr>
              <w:instrText xml:space="preserve"> PAGEREF _Toc181794078 \h </w:instrText>
            </w:r>
            <w:r w:rsidR="0008760E" w:rsidRPr="0008760E">
              <w:rPr>
                <w:noProof/>
                <w:webHidden/>
              </w:rPr>
            </w:r>
            <w:r w:rsidR="0008760E" w:rsidRPr="0008760E">
              <w:rPr>
                <w:noProof/>
                <w:webHidden/>
              </w:rPr>
              <w:fldChar w:fldCharType="separate"/>
            </w:r>
            <w:r w:rsidR="00C427FF">
              <w:rPr>
                <w:noProof/>
                <w:webHidden/>
              </w:rPr>
              <w:t>8</w:t>
            </w:r>
            <w:r w:rsidR="0008760E" w:rsidRPr="0008760E">
              <w:rPr>
                <w:noProof/>
                <w:webHidden/>
              </w:rPr>
              <w:fldChar w:fldCharType="end"/>
            </w:r>
          </w:hyperlink>
        </w:p>
        <w:p w14:paraId="1626831B" w14:textId="77777777" w:rsidR="0008760E" w:rsidRPr="0008760E" w:rsidRDefault="00E97101" w:rsidP="0008760E">
          <w:pPr>
            <w:pStyle w:val="TDC3"/>
            <w:rPr>
              <w:rFonts w:asciiTheme="minorHAnsi" w:eastAsiaTheme="minorEastAsia" w:hAnsiTheme="minorHAnsi" w:cstheme="minorBidi"/>
              <w:noProof/>
              <w:szCs w:val="22"/>
              <w:lang w:eastAsia="es-MX"/>
            </w:rPr>
          </w:pPr>
          <w:hyperlink w:anchor="_Toc181794079" w:history="1">
            <w:r w:rsidR="0008760E" w:rsidRPr="0008760E">
              <w:rPr>
                <w:rStyle w:val="Hipervnculo"/>
                <w:noProof/>
                <w:color w:val="auto"/>
              </w:rPr>
              <w:t>a) Mandato de transparencia y responsabilidad del Sujeto Obligado</w:t>
            </w:r>
            <w:r w:rsidR="0008760E" w:rsidRPr="0008760E">
              <w:rPr>
                <w:noProof/>
                <w:webHidden/>
              </w:rPr>
              <w:tab/>
            </w:r>
            <w:r w:rsidR="0008760E" w:rsidRPr="0008760E">
              <w:rPr>
                <w:noProof/>
                <w:webHidden/>
              </w:rPr>
              <w:fldChar w:fldCharType="begin"/>
            </w:r>
            <w:r w:rsidR="0008760E" w:rsidRPr="0008760E">
              <w:rPr>
                <w:noProof/>
                <w:webHidden/>
              </w:rPr>
              <w:instrText xml:space="preserve"> PAGEREF _Toc181794079 \h </w:instrText>
            </w:r>
            <w:r w:rsidR="0008760E" w:rsidRPr="0008760E">
              <w:rPr>
                <w:noProof/>
                <w:webHidden/>
              </w:rPr>
            </w:r>
            <w:r w:rsidR="0008760E" w:rsidRPr="0008760E">
              <w:rPr>
                <w:noProof/>
                <w:webHidden/>
              </w:rPr>
              <w:fldChar w:fldCharType="separate"/>
            </w:r>
            <w:r w:rsidR="00C427FF">
              <w:rPr>
                <w:noProof/>
                <w:webHidden/>
              </w:rPr>
              <w:t>8</w:t>
            </w:r>
            <w:r w:rsidR="0008760E" w:rsidRPr="0008760E">
              <w:rPr>
                <w:noProof/>
                <w:webHidden/>
              </w:rPr>
              <w:fldChar w:fldCharType="end"/>
            </w:r>
          </w:hyperlink>
        </w:p>
        <w:p w14:paraId="5E806EDC" w14:textId="77777777" w:rsidR="0008760E" w:rsidRPr="0008760E" w:rsidRDefault="00E97101" w:rsidP="0008760E">
          <w:pPr>
            <w:pStyle w:val="TDC3"/>
            <w:rPr>
              <w:rFonts w:asciiTheme="minorHAnsi" w:eastAsiaTheme="minorEastAsia" w:hAnsiTheme="minorHAnsi" w:cstheme="minorBidi"/>
              <w:noProof/>
              <w:szCs w:val="22"/>
              <w:lang w:eastAsia="es-MX"/>
            </w:rPr>
          </w:pPr>
          <w:hyperlink w:anchor="_Toc181794080" w:history="1">
            <w:r w:rsidR="0008760E" w:rsidRPr="0008760E">
              <w:rPr>
                <w:rStyle w:val="Hipervnculo"/>
                <w:rFonts w:eastAsia="Calibri"/>
                <w:noProof/>
                <w:color w:val="auto"/>
                <w:lang w:eastAsia="es-ES_tradnl"/>
              </w:rPr>
              <w:t>b) Controversia a resolver</w:t>
            </w:r>
            <w:r w:rsidR="0008760E" w:rsidRPr="0008760E">
              <w:rPr>
                <w:noProof/>
                <w:webHidden/>
              </w:rPr>
              <w:tab/>
            </w:r>
            <w:r w:rsidR="0008760E" w:rsidRPr="0008760E">
              <w:rPr>
                <w:noProof/>
                <w:webHidden/>
              </w:rPr>
              <w:fldChar w:fldCharType="begin"/>
            </w:r>
            <w:r w:rsidR="0008760E" w:rsidRPr="0008760E">
              <w:rPr>
                <w:noProof/>
                <w:webHidden/>
              </w:rPr>
              <w:instrText xml:space="preserve"> PAGEREF _Toc181794080 \h </w:instrText>
            </w:r>
            <w:r w:rsidR="0008760E" w:rsidRPr="0008760E">
              <w:rPr>
                <w:noProof/>
                <w:webHidden/>
              </w:rPr>
            </w:r>
            <w:r w:rsidR="0008760E" w:rsidRPr="0008760E">
              <w:rPr>
                <w:noProof/>
                <w:webHidden/>
              </w:rPr>
              <w:fldChar w:fldCharType="separate"/>
            </w:r>
            <w:r w:rsidR="00C427FF">
              <w:rPr>
                <w:noProof/>
                <w:webHidden/>
              </w:rPr>
              <w:t>11</w:t>
            </w:r>
            <w:r w:rsidR="0008760E" w:rsidRPr="0008760E">
              <w:rPr>
                <w:noProof/>
                <w:webHidden/>
              </w:rPr>
              <w:fldChar w:fldCharType="end"/>
            </w:r>
          </w:hyperlink>
        </w:p>
        <w:p w14:paraId="0029D5C7" w14:textId="77777777" w:rsidR="0008760E" w:rsidRPr="0008760E" w:rsidRDefault="00E97101" w:rsidP="0008760E">
          <w:pPr>
            <w:pStyle w:val="TDC3"/>
            <w:rPr>
              <w:rFonts w:asciiTheme="minorHAnsi" w:eastAsiaTheme="minorEastAsia" w:hAnsiTheme="minorHAnsi" w:cstheme="minorBidi"/>
              <w:noProof/>
              <w:szCs w:val="22"/>
              <w:lang w:eastAsia="es-MX"/>
            </w:rPr>
          </w:pPr>
          <w:hyperlink w:anchor="_Toc181794081" w:history="1">
            <w:r w:rsidR="0008760E" w:rsidRPr="0008760E">
              <w:rPr>
                <w:rStyle w:val="Hipervnculo"/>
                <w:noProof/>
                <w:color w:val="auto"/>
              </w:rPr>
              <w:t>c) Estudio de la controversia</w:t>
            </w:r>
            <w:r w:rsidR="0008760E" w:rsidRPr="0008760E">
              <w:rPr>
                <w:noProof/>
                <w:webHidden/>
              </w:rPr>
              <w:tab/>
            </w:r>
            <w:r w:rsidR="0008760E" w:rsidRPr="0008760E">
              <w:rPr>
                <w:noProof/>
                <w:webHidden/>
              </w:rPr>
              <w:fldChar w:fldCharType="begin"/>
            </w:r>
            <w:r w:rsidR="0008760E" w:rsidRPr="0008760E">
              <w:rPr>
                <w:noProof/>
                <w:webHidden/>
              </w:rPr>
              <w:instrText xml:space="preserve"> PAGEREF _Toc181794081 \h </w:instrText>
            </w:r>
            <w:r w:rsidR="0008760E" w:rsidRPr="0008760E">
              <w:rPr>
                <w:noProof/>
                <w:webHidden/>
              </w:rPr>
            </w:r>
            <w:r w:rsidR="0008760E" w:rsidRPr="0008760E">
              <w:rPr>
                <w:noProof/>
                <w:webHidden/>
              </w:rPr>
              <w:fldChar w:fldCharType="separate"/>
            </w:r>
            <w:r w:rsidR="00C427FF">
              <w:rPr>
                <w:noProof/>
                <w:webHidden/>
              </w:rPr>
              <w:t>12</w:t>
            </w:r>
            <w:r w:rsidR="0008760E" w:rsidRPr="0008760E">
              <w:rPr>
                <w:noProof/>
                <w:webHidden/>
              </w:rPr>
              <w:fldChar w:fldCharType="end"/>
            </w:r>
          </w:hyperlink>
        </w:p>
        <w:p w14:paraId="5FFADD53" w14:textId="77777777" w:rsidR="0008760E" w:rsidRPr="0008760E" w:rsidRDefault="00E97101" w:rsidP="0008760E">
          <w:pPr>
            <w:pStyle w:val="TDC3"/>
            <w:rPr>
              <w:rFonts w:asciiTheme="minorHAnsi" w:eastAsiaTheme="minorEastAsia" w:hAnsiTheme="minorHAnsi" w:cstheme="minorBidi"/>
              <w:noProof/>
              <w:szCs w:val="22"/>
              <w:lang w:eastAsia="es-MX"/>
            </w:rPr>
          </w:pPr>
          <w:hyperlink w:anchor="_Toc181794082" w:history="1">
            <w:r w:rsidR="0008760E" w:rsidRPr="0008760E">
              <w:rPr>
                <w:rStyle w:val="Hipervnculo"/>
                <w:noProof/>
                <w:color w:val="auto"/>
              </w:rPr>
              <w:t>d) Conclusión</w:t>
            </w:r>
            <w:r w:rsidR="0008760E" w:rsidRPr="0008760E">
              <w:rPr>
                <w:noProof/>
                <w:webHidden/>
              </w:rPr>
              <w:tab/>
            </w:r>
            <w:r w:rsidR="0008760E" w:rsidRPr="0008760E">
              <w:rPr>
                <w:noProof/>
                <w:webHidden/>
              </w:rPr>
              <w:fldChar w:fldCharType="begin"/>
            </w:r>
            <w:r w:rsidR="0008760E" w:rsidRPr="0008760E">
              <w:rPr>
                <w:noProof/>
                <w:webHidden/>
              </w:rPr>
              <w:instrText xml:space="preserve"> PAGEREF _Toc181794082 \h </w:instrText>
            </w:r>
            <w:r w:rsidR="0008760E" w:rsidRPr="0008760E">
              <w:rPr>
                <w:noProof/>
                <w:webHidden/>
              </w:rPr>
            </w:r>
            <w:r w:rsidR="0008760E" w:rsidRPr="0008760E">
              <w:rPr>
                <w:noProof/>
                <w:webHidden/>
              </w:rPr>
              <w:fldChar w:fldCharType="separate"/>
            </w:r>
            <w:r w:rsidR="00C427FF">
              <w:rPr>
                <w:noProof/>
                <w:webHidden/>
              </w:rPr>
              <w:t>27</w:t>
            </w:r>
            <w:r w:rsidR="0008760E" w:rsidRPr="0008760E">
              <w:rPr>
                <w:noProof/>
                <w:webHidden/>
              </w:rPr>
              <w:fldChar w:fldCharType="end"/>
            </w:r>
          </w:hyperlink>
        </w:p>
        <w:p w14:paraId="3609B589" w14:textId="77777777" w:rsidR="0008760E" w:rsidRPr="0008760E" w:rsidRDefault="00E97101" w:rsidP="0008760E">
          <w:pPr>
            <w:pStyle w:val="TDC1"/>
            <w:tabs>
              <w:tab w:val="right" w:leader="dot" w:pos="9034"/>
            </w:tabs>
            <w:rPr>
              <w:rFonts w:asciiTheme="minorHAnsi" w:eastAsiaTheme="minorEastAsia" w:hAnsiTheme="minorHAnsi" w:cstheme="minorBidi"/>
              <w:noProof/>
              <w:szCs w:val="22"/>
              <w:lang w:eastAsia="es-MX"/>
            </w:rPr>
          </w:pPr>
          <w:hyperlink w:anchor="_Toc181794083" w:history="1">
            <w:r w:rsidR="0008760E" w:rsidRPr="0008760E">
              <w:rPr>
                <w:rStyle w:val="Hipervnculo"/>
                <w:noProof/>
                <w:color w:val="auto"/>
              </w:rPr>
              <w:t>RESUELVE</w:t>
            </w:r>
            <w:r w:rsidR="0008760E" w:rsidRPr="0008760E">
              <w:rPr>
                <w:noProof/>
                <w:webHidden/>
              </w:rPr>
              <w:tab/>
            </w:r>
            <w:r w:rsidR="0008760E" w:rsidRPr="0008760E">
              <w:rPr>
                <w:noProof/>
                <w:webHidden/>
              </w:rPr>
              <w:fldChar w:fldCharType="begin"/>
            </w:r>
            <w:r w:rsidR="0008760E" w:rsidRPr="0008760E">
              <w:rPr>
                <w:noProof/>
                <w:webHidden/>
              </w:rPr>
              <w:instrText xml:space="preserve"> PAGEREF _Toc181794083 \h </w:instrText>
            </w:r>
            <w:r w:rsidR="0008760E" w:rsidRPr="0008760E">
              <w:rPr>
                <w:noProof/>
                <w:webHidden/>
              </w:rPr>
            </w:r>
            <w:r w:rsidR="0008760E" w:rsidRPr="0008760E">
              <w:rPr>
                <w:noProof/>
                <w:webHidden/>
              </w:rPr>
              <w:fldChar w:fldCharType="separate"/>
            </w:r>
            <w:r w:rsidR="00C427FF">
              <w:rPr>
                <w:noProof/>
                <w:webHidden/>
              </w:rPr>
              <w:t>28</w:t>
            </w:r>
            <w:r w:rsidR="0008760E" w:rsidRPr="0008760E">
              <w:rPr>
                <w:noProof/>
                <w:webHidden/>
              </w:rPr>
              <w:fldChar w:fldCharType="end"/>
            </w:r>
          </w:hyperlink>
        </w:p>
        <w:p w14:paraId="0C82FD7A" w14:textId="56536608" w:rsidR="009B2945" w:rsidRPr="0008760E" w:rsidRDefault="00AE3DA7" w:rsidP="0008760E">
          <w:pPr>
            <w:spacing w:line="240" w:lineRule="auto"/>
            <w:rPr>
              <w:b/>
              <w:bCs/>
              <w:lang w:val="es-ES"/>
            </w:rPr>
          </w:pPr>
          <w:r w:rsidRPr="0008760E">
            <w:rPr>
              <w:b/>
              <w:bCs/>
              <w:sz w:val="16"/>
              <w:szCs w:val="16"/>
              <w:lang w:val="es-ES"/>
            </w:rPr>
            <w:lastRenderedPageBreak/>
            <w:fldChar w:fldCharType="end"/>
          </w:r>
        </w:p>
      </w:sdtContent>
    </w:sdt>
    <w:p w14:paraId="603A07E2" w14:textId="77777777" w:rsidR="00646436" w:rsidRPr="0008760E" w:rsidRDefault="00646436" w:rsidP="0008760E">
      <w:pPr>
        <w:rPr>
          <w:rFonts w:cs="Tahoma"/>
          <w:szCs w:val="22"/>
        </w:rPr>
        <w:sectPr w:rsidR="00646436" w:rsidRPr="0008760E"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085CFAC6" w:rsidR="00775BFC" w:rsidRPr="0008760E" w:rsidRDefault="00775BFC" w:rsidP="0008760E">
      <w:r w:rsidRPr="0008760E">
        <w:lastRenderedPageBreak/>
        <w:t>Resolución del Pleno del Instituto de Transparencia, Acceso a la Información Pública y Protección de Datos Personales del Estado de México y Municipios, con domicilio e</w:t>
      </w:r>
      <w:r w:rsidR="004D0573" w:rsidRPr="0008760E">
        <w:t xml:space="preserve">n Metepec, Estado de México, de </w:t>
      </w:r>
      <w:r w:rsidR="00273AFD" w:rsidRPr="0008760E">
        <w:rPr>
          <w:b/>
        </w:rPr>
        <w:t>seis de noviembre</w:t>
      </w:r>
      <w:r w:rsidR="00F9701D" w:rsidRPr="0008760E">
        <w:rPr>
          <w:b/>
        </w:rPr>
        <w:t xml:space="preserve"> </w:t>
      </w:r>
      <w:r w:rsidR="005A5BF2" w:rsidRPr="0008760E">
        <w:rPr>
          <w:b/>
        </w:rPr>
        <w:t>d</w:t>
      </w:r>
      <w:r w:rsidR="004D0573" w:rsidRPr="0008760E">
        <w:rPr>
          <w:b/>
        </w:rPr>
        <w:t>e dos mil veinticuatro</w:t>
      </w:r>
      <w:r w:rsidRPr="0008760E">
        <w:t>.</w:t>
      </w:r>
    </w:p>
    <w:p w14:paraId="0AF3AAC4" w14:textId="77777777" w:rsidR="00775BFC" w:rsidRPr="0008760E" w:rsidRDefault="00775BFC" w:rsidP="0008760E"/>
    <w:p w14:paraId="40EAE038" w14:textId="16EE0B50" w:rsidR="00775BFC" w:rsidRPr="0008760E" w:rsidRDefault="00775BFC" w:rsidP="0008760E">
      <w:r w:rsidRPr="0008760E">
        <w:rPr>
          <w:b/>
        </w:rPr>
        <w:t xml:space="preserve">VISTO </w:t>
      </w:r>
      <w:r w:rsidRPr="0008760E">
        <w:t xml:space="preserve">el expediente formado con motivo del Recurso de Revisión </w:t>
      </w:r>
      <w:r w:rsidR="004D0573" w:rsidRPr="0008760E">
        <w:rPr>
          <w:rFonts w:eastAsia="Calibri"/>
          <w:b/>
          <w:lang w:eastAsia="en-US"/>
        </w:rPr>
        <w:t>0</w:t>
      </w:r>
      <w:r w:rsidR="00F9701D" w:rsidRPr="0008760E">
        <w:rPr>
          <w:rFonts w:eastAsia="Calibri"/>
          <w:b/>
          <w:lang w:eastAsia="en-US"/>
        </w:rPr>
        <w:t>5</w:t>
      </w:r>
      <w:r w:rsidR="00273AFD" w:rsidRPr="0008760E">
        <w:rPr>
          <w:rFonts w:eastAsia="Calibri"/>
          <w:b/>
          <w:lang w:eastAsia="en-US"/>
        </w:rPr>
        <w:t>837</w:t>
      </w:r>
      <w:r w:rsidR="004D0573" w:rsidRPr="0008760E">
        <w:rPr>
          <w:rFonts w:eastAsia="Calibri"/>
          <w:b/>
          <w:lang w:eastAsia="en-US"/>
        </w:rPr>
        <w:t>/</w:t>
      </w:r>
      <w:r w:rsidRPr="0008760E">
        <w:rPr>
          <w:rFonts w:eastAsia="Calibri"/>
          <w:b/>
          <w:lang w:eastAsia="en-US"/>
        </w:rPr>
        <w:t>INFOEM/IP/RR/</w:t>
      </w:r>
      <w:r w:rsidR="004D0573" w:rsidRPr="0008760E">
        <w:rPr>
          <w:rFonts w:eastAsia="Calibri"/>
          <w:b/>
          <w:lang w:eastAsia="en-US"/>
        </w:rPr>
        <w:t>2024</w:t>
      </w:r>
      <w:r w:rsidRPr="0008760E">
        <w:rPr>
          <w:rFonts w:eastAsia="Calibri"/>
          <w:lang w:eastAsia="en-US"/>
        </w:rPr>
        <w:t xml:space="preserve"> </w:t>
      </w:r>
      <w:r w:rsidRPr="0008760E">
        <w:t xml:space="preserve">interpuesto por </w:t>
      </w:r>
      <w:bookmarkStart w:id="2" w:name="_GoBack"/>
      <w:r w:rsidR="00C350B7">
        <w:rPr>
          <w:rFonts w:eastAsia="Calibri"/>
          <w:b/>
          <w:lang w:eastAsia="en-US"/>
        </w:rPr>
        <w:t>XXXXXXXXX XXXXXXX XXXXXXXX</w:t>
      </w:r>
      <w:bookmarkEnd w:id="2"/>
      <w:r w:rsidRPr="0008760E">
        <w:rPr>
          <w:rFonts w:eastAsia="Calibri"/>
          <w:b/>
          <w:lang w:eastAsia="en-US"/>
        </w:rPr>
        <w:t>,</w:t>
      </w:r>
      <w:r w:rsidRPr="0008760E">
        <w:t xml:space="preserve"> a quien en lo subsecuente se le denominará </w:t>
      </w:r>
      <w:r w:rsidRPr="0008760E">
        <w:rPr>
          <w:b/>
          <w:bCs/>
        </w:rPr>
        <w:t>LA PARTE RECURRENTE</w:t>
      </w:r>
      <w:r w:rsidRPr="0008760E">
        <w:t xml:space="preserve">, en contra de la </w:t>
      </w:r>
      <w:r w:rsidR="00773DD6" w:rsidRPr="0008760E">
        <w:t xml:space="preserve">respuesta </w:t>
      </w:r>
      <w:r w:rsidR="00BA1AB6" w:rsidRPr="0008760E">
        <w:t>de</w:t>
      </w:r>
      <w:r w:rsidR="00AC25A6" w:rsidRPr="0008760E">
        <w:t xml:space="preserve">l </w:t>
      </w:r>
      <w:r w:rsidR="00273AFD" w:rsidRPr="0008760E">
        <w:rPr>
          <w:rFonts w:eastAsia="Calibri" w:cs="Tahoma"/>
          <w:b/>
          <w:szCs w:val="22"/>
          <w:lang w:eastAsia="en-US"/>
        </w:rPr>
        <w:t xml:space="preserve">Sindicato Único de Trabajadores de </w:t>
      </w:r>
      <w:r w:rsidR="00CC4F64" w:rsidRPr="0008760E">
        <w:rPr>
          <w:rFonts w:eastAsia="Calibri" w:cs="Tahoma"/>
          <w:b/>
          <w:szCs w:val="22"/>
          <w:lang w:eastAsia="en-US"/>
        </w:rPr>
        <w:t xml:space="preserve">los </w:t>
      </w:r>
      <w:r w:rsidR="00273AFD" w:rsidRPr="0008760E">
        <w:rPr>
          <w:rFonts w:eastAsia="Calibri" w:cs="Tahoma"/>
          <w:b/>
          <w:szCs w:val="22"/>
          <w:lang w:eastAsia="en-US"/>
        </w:rPr>
        <w:t xml:space="preserve">Poderes, Municipios </w:t>
      </w:r>
      <w:r w:rsidR="00CC4F64" w:rsidRPr="0008760E">
        <w:rPr>
          <w:rFonts w:eastAsia="Calibri" w:cs="Tahoma"/>
          <w:b/>
          <w:szCs w:val="22"/>
          <w:lang w:eastAsia="en-US"/>
        </w:rPr>
        <w:t>e</w:t>
      </w:r>
      <w:r w:rsidR="00273AFD" w:rsidRPr="0008760E">
        <w:rPr>
          <w:rFonts w:eastAsia="Calibri" w:cs="Tahoma"/>
          <w:b/>
          <w:szCs w:val="22"/>
          <w:lang w:eastAsia="en-US"/>
        </w:rPr>
        <w:t xml:space="preserve"> Instituciones Descentralizadas del Estado de México</w:t>
      </w:r>
      <w:r w:rsidRPr="0008760E">
        <w:rPr>
          <w:b/>
          <w:bCs/>
        </w:rPr>
        <w:t>,</w:t>
      </w:r>
      <w:r w:rsidRPr="0008760E">
        <w:t xml:space="preserve"> en adelante </w:t>
      </w:r>
      <w:r w:rsidRPr="0008760E">
        <w:rPr>
          <w:b/>
          <w:bCs/>
        </w:rPr>
        <w:t>EL SUJETO OBLIGADO</w:t>
      </w:r>
      <w:r w:rsidRPr="0008760E">
        <w:rPr>
          <w:rFonts w:eastAsia="Calibri"/>
          <w:lang w:eastAsia="en-US"/>
        </w:rPr>
        <w:t xml:space="preserve">, </w:t>
      </w:r>
      <w:r w:rsidRPr="0008760E">
        <w:t>se emite la presente Resolución con base en los Antecedentes y Considerandos que se exponen a continuación:</w:t>
      </w:r>
    </w:p>
    <w:p w14:paraId="2116968C" w14:textId="77777777" w:rsidR="00775BFC" w:rsidRPr="0008760E" w:rsidRDefault="00775BFC" w:rsidP="0008760E"/>
    <w:p w14:paraId="5A444FB6" w14:textId="639D3567" w:rsidR="00664420" w:rsidRPr="0008760E" w:rsidRDefault="00664420" w:rsidP="0008760E">
      <w:pPr>
        <w:pStyle w:val="Ttulo1"/>
      </w:pPr>
      <w:bookmarkStart w:id="3" w:name="_Toc181794060"/>
      <w:r w:rsidRPr="0008760E">
        <w:t>ANTECEDENTES</w:t>
      </w:r>
      <w:bookmarkEnd w:id="3"/>
    </w:p>
    <w:p w14:paraId="5CB5034E" w14:textId="77777777" w:rsidR="00AC2DB8" w:rsidRPr="0008760E" w:rsidRDefault="00AC2DB8" w:rsidP="0008760E"/>
    <w:p w14:paraId="09B2D38F" w14:textId="6E49D146" w:rsidR="00664420" w:rsidRPr="0008760E" w:rsidRDefault="00E37A3F" w:rsidP="0008760E">
      <w:pPr>
        <w:pStyle w:val="Ttulo2"/>
      </w:pPr>
      <w:bookmarkStart w:id="4" w:name="_Toc181794061"/>
      <w:r w:rsidRPr="0008760E">
        <w:t>DE LA SOLICITUD DE INFORMACIÓN</w:t>
      </w:r>
      <w:bookmarkEnd w:id="4"/>
    </w:p>
    <w:p w14:paraId="2C6AD1A5" w14:textId="0405B3CD" w:rsidR="00664420" w:rsidRPr="0008760E" w:rsidRDefault="00E37A3F" w:rsidP="0008760E">
      <w:pPr>
        <w:pStyle w:val="Ttulo3"/>
      </w:pPr>
      <w:bookmarkStart w:id="5" w:name="_Toc181794062"/>
      <w:r w:rsidRPr="0008760E">
        <w:t xml:space="preserve">a) </w:t>
      </w:r>
      <w:r w:rsidR="006B10B0" w:rsidRPr="0008760E">
        <w:t>S</w:t>
      </w:r>
      <w:r w:rsidR="00664420" w:rsidRPr="0008760E">
        <w:t xml:space="preserve">olicitud de </w:t>
      </w:r>
      <w:r w:rsidR="006B10B0" w:rsidRPr="0008760E">
        <w:t>i</w:t>
      </w:r>
      <w:r w:rsidR="00664420" w:rsidRPr="0008760E">
        <w:t>nformación</w:t>
      </w:r>
      <w:bookmarkEnd w:id="5"/>
    </w:p>
    <w:p w14:paraId="3C26397A" w14:textId="45A66B9E" w:rsidR="00B169A2" w:rsidRPr="0008760E" w:rsidRDefault="00B169A2" w:rsidP="0008760E">
      <w:pPr>
        <w:pStyle w:val="Prrafodelista"/>
        <w:tabs>
          <w:tab w:val="left" w:pos="0"/>
        </w:tabs>
        <w:ind w:left="0"/>
        <w:contextualSpacing w:val="0"/>
        <w:rPr>
          <w:rFonts w:cs="Tahoma"/>
        </w:rPr>
      </w:pPr>
      <w:r w:rsidRPr="0008760E">
        <w:rPr>
          <w:rFonts w:cs="Tahoma"/>
        </w:rPr>
        <w:t xml:space="preserve">El </w:t>
      </w:r>
      <w:r w:rsidR="00273AFD" w:rsidRPr="0008760E">
        <w:rPr>
          <w:rFonts w:cs="Tahoma"/>
          <w:b/>
          <w:bCs/>
        </w:rPr>
        <w:t xml:space="preserve">treinta de agosto </w:t>
      </w:r>
      <w:r w:rsidRPr="0008760E">
        <w:rPr>
          <w:rFonts w:cs="Tahoma"/>
          <w:b/>
          <w:bCs/>
        </w:rPr>
        <w:t>de dos mil veinticuatro</w:t>
      </w:r>
      <w:r w:rsidRPr="0008760E">
        <w:rPr>
          <w:rFonts w:cs="Tahoma"/>
        </w:rPr>
        <w:t xml:space="preserve">, </w:t>
      </w:r>
      <w:r w:rsidRPr="0008760E">
        <w:rPr>
          <w:b/>
          <w:bCs/>
        </w:rPr>
        <w:t>LA PARTE RECURRENTE</w:t>
      </w:r>
      <w:r w:rsidRPr="0008760E">
        <w:rPr>
          <w:rFonts w:cs="Tahoma"/>
        </w:rPr>
        <w:t xml:space="preserve"> presentó una solicitud de acceso a la información pública ante el </w:t>
      </w:r>
      <w:r w:rsidRPr="0008760E">
        <w:rPr>
          <w:rFonts w:cs="Tahoma"/>
          <w:b/>
          <w:bCs/>
        </w:rPr>
        <w:t>SUJETO OBLIGADO</w:t>
      </w:r>
      <w:r w:rsidRPr="0008760E">
        <w:rPr>
          <w:rFonts w:cs="Tahoma"/>
        </w:rPr>
        <w:t>, a través del Sistema de Acceso a la Información Mexiquense (</w:t>
      </w:r>
      <w:r w:rsidRPr="0008760E">
        <w:rPr>
          <w:rFonts w:cs="Tahoma"/>
          <w:b/>
        </w:rPr>
        <w:t>SAIMEX</w:t>
      </w:r>
      <w:r w:rsidRPr="0008760E">
        <w:rPr>
          <w:rFonts w:cs="Tahoma"/>
        </w:rPr>
        <w:t>). Dicha solicitud quedó registrada con el número de folio</w:t>
      </w:r>
      <w:r w:rsidRPr="0008760E">
        <w:rPr>
          <w:rFonts w:cs="Tahoma"/>
          <w:b/>
          <w:bCs/>
        </w:rPr>
        <w:t xml:space="preserve"> </w:t>
      </w:r>
      <w:r w:rsidR="00273AFD" w:rsidRPr="0008760E">
        <w:rPr>
          <w:rFonts w:cs="Tahoma"/>
          <w:b/>
        </w:rPr>
        <w:t>00159/SUTEYM/IP/2024</w:t>
      </w:r>
      <w:r w:rsidR="00273AFD" w:rsidRPr="0008760E">
        <w:rPr>
          <w:rFonts w:cs="Tahoma"/>
        </w:rPr>
        <w:t xml:space="preserve"> </w:t>
      </w:r>
      <w:r w:rsidRPr="0008760E">
        <w:rPr>
          <w:rFonts w:cs="Tahoma"/>
        </w:rPr>
        <w:t>y en ella se requirió la siguiente información:</w:t>
      </w:r>
    </w:p>
    <w:p w14:paraId="0459D6AC" w14:textId="77777777" w:rsidR="00664420" w:rsidRPr="0008760E" w:rsidRDefault="00664420" w:rsidP="0008760E">
      <w:pPr>
        <w:tabs>
          <w:tab w:val="left" w:pos="4667"/>
        </w:tabs>
        <w:ind w:left="567" w:right="567"/>
        <w:rPr>
          <w:rFonts w:cs="Tahoma"/>
          <w:b/>
          <w:bCs/>
        </w:rPr>
      </w:pPr>
    </w:p>
    <w:p w14:paraId="64B27DE3" w14:textId="40C5BD2F" w:rsidR="00664420" w:rsidRPr="0008760E" w:rsidRDefault="002B1D44" w:rsidP="0008760E">
      <w:pPr>
        <w:pStyle w:val="Puesto"/>
      </w:pPr>
      <w:r w:rsidRPr="0008760E">
        <w:t>“</w:t>
      </w:r>
      <w:r w:rsidR="00273AFD" w:rsidRPr="0008760E">
        <w:t>REQUIERO COPIA CERTIFICADA DEL Convenio de Prestaciones 2022, celebrado entre S.A.P.A.S.A. ATIZAPÁN DE ZARAGOZA, y el Sindicato Único de trabajadores de los poderes, municipios e instituciones descentralizadas del Estado de México (S.U.T.E.Y.M.), mismo que se encuentra depositado ante el Tribunal Estatal de Conciliación y Arbitraje, bajo el expediente 06/94. Así mismo, requiero copia certificada del acuse con el cual se depositó dicho convenio ante el citado Tribunal.</w:t>
      </w:r>
      <w:r w:rsidRPr="0008760E">
        <w:t>”</w:t>
      </w:r>
      <w:r w:rsidR="00BA1AB6" w:rsidRPr="0008760E">
        <w:t xml:space="preserve"> (sic)</w:t>
      </w:r>
    </w:p>
    <w:p w14:paraId="0BD6321D" w14:textId="30E39AE6" w:rsidR="00664420" w:rsidRPr="0008760E" w:rsidRDefault="009A2D78" w:rsidP="0008760E">
      <w:pPr>
        <w:tabs>
          <w:tab w:val="left" w:pos="4667"/>
        </w:tabs>
        <w:ind w:left="567" w:right="567"/>
        <w:rPr>
          <w:rFonts w:cs="Tahoma"/>
          <w:bCs/>
          <w:szCs w:val="22"/>
        </w:rPr>
      </w:pPr>
      <w:r w:rsidRPr="0008760E">
        <w:rPr>
          <w:rFonts w:cs="Tahoma"/>
          <w:b/>
          <w:bCs/>
          <w:szCs w:val="22"/>
        </w:rPr>
        <w:lastRenderedPageBreak/>
        <w:t>Modalidad de entrega</w:t>
      </w:r>
      <w:r w:rsidR="00273AFD" w:rsidRPr="0008760E">
        <w:rPr>
          <w:rFonts w:cs="Tahoma"/>
          <w:bCs/>
          <w:szCs w:val="22"/>
        </w:rPr>
        <w:t>: copia certificada (con costo).</w:t>
      </w:r>
    </w:p>
    <w:p w14:paraId="334D2860" w14:textId="77777777" w:rsidR="00664420" w:rsidRPr="0008760E" w:rsidRDefault="00664420" w:rsidP="0008760E">
      <w:pPr>
        <w:autoSpaceDE w:val="0"/>
        <w:autoSpaceDN w:val="0"/>
        <w:adjustRightInd w:val="0"/>
        <w:ind w:right="-28"/>
        <w:rPr>
          <w:rFonts w:cs="Tahoma"/>
          <w:bCs/>
          <w:i/>
          <w:szCs w:val="22"/>
        </w:rPr>
      </w:pPr>
    </w:p>
    <w:p w14:paraId="3212BA4D" w14:textId="70324652" w:rsidR="00664420" w:rsidRPr="0008760E" w:rsidRDefault="005A5BF2" w:rsidP="0008760E">
      <w:pPr>
        <w:pStyle w:val="Ttulo3"/>
      </w:pPr>
      <w:bookmarkStart w:id="6" w:name="_Toc170932807"/>
      <w:bookmarkStart w:id="7" w:name="_Toc181794063"/>
      <w:r w:rsidRPr="0008760E">
        <w:t xml:space="preserve">b) </w:t>
      </w:r>
      <w:bookmarkEnd w:id="6"/>
      <w:r w:rsidR="00664420" w:rsidRPr="0008760E">
        <w:rPr>
          <w:lang w:val="es-ES"/>
        </w:rPr>
        <w:t xml:space="preserve">Respuesta </w:t>
      </w:r>
      <w:r w:rsidR="00664420" w:rsidRPr="0008760E">
        <w:rPr>
          <w:rFonts w:eastAsia="Calibri"/>
          <w:lang w:eastAsia="en-US"/>
        </w:rPr>
        <w:t>del Sujeto Obligado</w:t>
      </w:r>
      <w:bookmarkEnd w:id="7"/>
    </w:p>
    <w:p w14:paraId="2143017E" w14:textId="1C95FF0B" w:rsidR="00BA1AB6" w:rsidRPr="0008760E" w:rsidRDefault="003B0255" w:rsidP="0008760E">
      <w:pPr>
        <w:rPr>
          <w:lang w:val="es-ES"/>
        </w:rPr>
      </w:pPr>
      <w:r w:rsidRPr="0008760E">
        <w:rPr>
          <w:lang w:val="es-ES"/>
        </w:rPr>
        <w:t xml:space="preserve">El </w:t>
      </w:r>
      <w:r w:rsidR="00273AFD" w:rsidRPr="0008760E">
        <w:rPr>
          <w:b/>
          <w:bCs/>
          <w:lang w:val="es-ES"/>
        </w:rPr>
        <w:t>diecinueve d</w:t>
      </w:r>
      <w:r w:rsidR="00AC25A6" w:rsidRPr="0008760E">
        <w:rPr>
          <w:b/>
          <w:bCs/>
          <w:lang w:val="es-ES"/>
        </w:rPr>
        <w:t xml:space="preserve">e septiembre </w:t>
      </w:r>
      <w:r w:rsidRPr="0008760E">
        <w:rPr>
          <w:b/>
          <w:bCs/>
          <w:lang w:val="es-ES"/>
        </w:rPr>
        <w:t>de dos mil veinticuatro</w:t>
      </w:r>
      <w:r w:rsidRPr="0008760E">
        <w:rPr>
          <w:lang w:val="es-ES"/>
        </w:rPr>
        <w:t xml:space="preserve">, el Titular de la Unidad de Transparencia del </w:t>
      </w:r>
      <w:r w:rsidRPr="0008760E">
        <w:rPr>
          <w:b/>
          <w:lang w:val="es-ES"/>
        </w:rPr>
        <w:t>SUJETO OBLIGADO</w:t>
      </w:r>
      <w:r w:rsidRPr="0008760E">
        <w:rPr>
          <w:lang w:val="es-ES"/>
        </w:rPr>
        <w:t xml:space="preserve"> notificó la siguiente respuesta a través del </w:t>
      </w:r>
      <w:r w:rsidRPr="0008760E">
        <w:rPr>
          <w:b/>
          <w:lang w:val="es-ES"/>
        </w:rPr>
        <w:t>SAIMEX</w:t>
      </w:r>
      <w:r w:rsidRPr="0008760E">
        <w:rPr>
          <w:lang w:val="es-ES"/>
        </w:rPr>
        <w:t>:</w:t>
      </w:r>
    </w:p>
    <w:p w14:paraId="64166B4B" w14:textId="77777777" w:rsidR="003B0255" w:rsidRPr="0008760E" w:rsidRDefault="003B0255" w:rsidP="0008760E"/>
    <w:p w14:paraId="1CC91B5C" w14:textId="77777777" w:rsidR="00273AFD" w:rsidRPr="0008760E" w:rsidRDefault="003B0255" w:rsidP="0008760E">
      <w:pPr>
        <w:pStyle w:val="Puesto"/>
        <w:ind w:left="851" w:right="822"/>
      </w:pPr>
      <w:r w:rsidRPr="0008760E">
        <w:t>“</w:t>
      </w:r>
      <w:r w:rsidR="00273AFD" w:rsidRPr="0008760E">
        <w:t>Por este medio me permito dar respuesta a su solicitud de información número 00159/SUTEYM/IP/2024 de fecha 30 de agosto del 2024, con fundamento en los artículos 1, 2, 3 fracción XLIV, 4, 12, 16, 23 fracción IX, 24 fracción XI y último párrafo, 50, 51, y 53 fracciones II, IV, V y VI de la Ley de Transparencia y Acceso a la Información Pública del Estado de México y Municipios.</w:t>
      </w:r>
    </w:p>
    <w:p w14:paraId="62B1FCE3" w14:textId="77777777" w:rsidR="00273AFD" w:rsidRPr="0008760E" w:rsidRDefault="00273AFD" w:rsidP="0008760E">
      <w:pPr>
        <w:spacing w:line="240" w:lineRule="auto"/>
        <w:ind w:left="851" w:right="822"/>
      </w:pPr>
    </w:p>
    <w:p w14:paraId="6A2B594F" w14:textId="77777777" w:rsidR="00273AFD" w:rsidRPr="0008760E" w:rsidRDefault="00273AFD" w:rsidP="0008760E">
      <w:pPr>
        <w:pStyle w:val="Puesto"/>
        <w:ind w:left="851" w:right="822"/>
      </w:pPr>
      <w:r w:rsidRPr="0008760E">
        <w:t>ATENTAMENTE</w:t>
      </w:r>
    </w:p>
    <w:p w14:paraId="613F7B63" w14:textId="77777777" w:rsidR="00273AFD" w:rsidRPr="0008760E" w:rsidRDefault="00273AFD" w:rsidP="0008760E">
      <w:pPr>
        <w:spacing w:line="240" w:lineRule="auto"/>
        <w:ind w:left="851" w:right="822"/>
      </w:pPr>
    </w:p>
    <w:p w14:paraId="4A08B1BE" w14:textId="1C0E1114" w:rsidR="003B0255" w:rsidRPr="0008760E" w:rsidRDefault="00273AFD" w:rsidP="0008760E">
      <w:pPr>
        <w:pStyle w:val="Puesto"/>
        <w:ind w:left="851" w:right="822"/>
      </w:pPr>
      <w:r w:rsidRPr="0008760E">
        <w:t>L.A.E. JORGE ARMANDO CERDA CUENCA</w:t>
      </w:r>
      <w:r w:rsidR="003B0255" w:rsidRPr="0008760E">
        <w:t>” (sic)</w:t>
      </w:r>
    </w:p>
    <w:p w14:paraId="4B1F18A0" w14:textId="77777777" w:rsidR="003B0255" w:rsidRPr="0008760E" w:rsidRDefault="003B0255" w:rsidP="0008760E"/>
    <w:p w14:paraId="5FDC6320" w14:textId="77777777" w:rsidR="00824D9A" w:rsidRPr="0008760E" w:rsidRDefault="00824D9A" w:rsidP="0008760E">
      <w:pPr>
        <w:autoSpaceDE w:val="0"/>
        <w:autoSpaceDN w:val="0"/>
        <w:adjustRightInd w:val="0"/>
        <w:ind w:right="-28"/>
        <w:rPr>
          <w:rFonts w:cs="Tahoma"/>
          <w:bCs/>
          <w:szCs w:val="22"/>
          <w:lang w:val="es-ES"/>
        </w:rPr>
      </w:pPr>
      <w:r w:rsidRPr="0008760E">
        <w:rPr>
          <w:rFonts w:cs="Tahoma"/>
          <w:bCs/>
          <w:szCs w:val="22"/>
          <w:lang w:val="es-ES"/>
        </w:rPr>
        <w:t xml:space="preserve">Asimismo, </w:t>
      </w:r>
      <w:r w:rsidRPr="0008760E">
        <w:rPr>
          <w:rFonts w:cs="Tahoma"/>
          <w:b/>
          <w:szCs w:val="22"/>
          <w:lang w:val="es-ES"/>
        </w:rPr>
        <w:t xml:space="preserve">EL SUJETO OBLIGADO </w:t>
      </w:r>
      <w:r w:rsidRPr="0008760E">
        <w:rPr>
          <w:rFonts w:cs="Tahoma"/>
          <w:bCs/>
          <w:szCs w:val="22"/>
          <w:lang w:val="es-ES"/>
        </w:rPr>
        <w:t xml:space="preserve">adjuntó a su respuesta los archivos electrónicos que a continuación se describen: </w:t>
      </w:r>
    </w:p>
    <w:p w14:paraId="6E8783E9" w14:textId="77777777" w:rsidR="00824D9A" w:rsidRPr="0008760E" w:rsidRDefault="00824D9A" w:rsidP="0008760E">
      <w:pPr>
        <w:autoSpaceDE w:val="0"/>
        <w:autoSpaceDN w:val="0"/>
        <w:adjustRightInd w:val="0"/>
        <w:ind w:right="-28"/>
        <w:rPr>
          <w:rFonts w:cs="Tahoma"/>
          <w:b/>
          <w:szCs w:val="22"/>
          <w:lang w:val="es-ES"/>
        </w:rPr>
      </w:pPr>
    </w:p>
    <w:p w14:paraId="5E8C13A5" w14:textId="5BC3F188" w:rsidR="00F45EC7" w:rsidRPr="0008760E" w:rsidRDefault="00273AFD" w:rsidP="0008760E">
      <w:pPr>
        <w:pStyle w:val="Prrafodelista"/>
        <w:numPr>
          <w:ilvl w:val="0"/>
          <w:numId w:val="44"/>
        </w:numPr>
        <w:autoSpaceDE w:val="0"/>
        <w:autoSpaceDN w:val="0"/>
        <w:adjustRightInd w:val="0"/>
        <w:ind w:right="-28"/>
        <w:rPr>
          <w:rFonts w:cs="Tahoma"/>
          <w:b/>
          <w:i/>
          <w:szCs w:val="22"/>
          <w:lang w:val="es-ES"/>
        </w:rPr>
      </w:pPr>
      <w:r w:rsidRPr="0008760E">
        <w:rPr>
          <w:rFonts w:cs="Tahoma"/>
          <w:b/>
          <w:i/>
          <w:szCs w:val="22"/>
          <w:lang w:val="es-ES"/>
        </w:rPr>
        <w:t>OFICIO SAPASA.pdf</w:t>
      </w:r>
      <w:r w:rsidR="00F45EC7" w:rsidRPr="0008760E">
        <w:rPr>
          <w:rFonts w:cs="Tahoma"/>
          <w:b/>
          <w:i/>
          <w:szCs w:val="22"/>
          <w:lang w:val="es-ES"/>
        </w:rPr>
        <w:t xml:space="preserve">, </w:t>
      </w:r>
      <w:r w:rsidR="00F45EC7" w:rsidRPr="0008760E">
        <w:rPr>
          <w:rFonts w:cs="Tahoma"/>
          <w:szCs w:val="22"/>
          <w:lang w:val="es-ES"/>
        </w:rPr>
        <w:t>el cual contiene el oficio número SG/CVI/082/2022 del ocho de junio de dos mil veintidós, por medio del cual el Secretario General, informa al Presidente del H. Tribunal Estatal de Conciliación y Arbitraje del Estado de México, que el Sindicato Único de Trabajadores de los Poderes, Municipios e Instituciones Descentralizados del Estado de México S.U.T.E.Y M. ha tenido a bien firmar el Convenio de prestaciones de Ley y colaterales 2022, con el Organismo Público Descentralizado para la Prestación de Servicios de Agua Potable, Alcantarillado y Saneamiento (S.A.P.A.S.A.) de Atizapán de Zaragoza, Estado de M</w:t>
      </w:r>
      <w:r w:rsidR="003F1147" w:rsidRPr="0008760E">
        <w:rPr>
          <w:rFonts w:cs="Tahoma"/>
          <w:szCs w:val="22"/>
          <w:lang w:val="es-ES"/>
        </w:rPr>
        <w:t>éxico, solicitando se registre y anexe el mismo al expediente 06/94.</w:t>
      </w:r>
      <w:r w:rsidR="00F45EC7" w:rsidRPr="0008760E">
        <w:rPr>
          <w:rFonts w:cs="Tahoma"/>
          <w:szCs w:val="22"/>
          <w:lang w:val="es-ES"/>
        </w:rPr>
        <w:t xml:space="preserve"> </w:t>
      </w:r>
    </w:p>
    <w:p w14:paraId="1422FC7F" w14:textId="6A3C5ACE" w:rsidR="00F45EC7" w:rsidRPr="0008760E" w:rsidRDefault="00273AFD" w:rsidP="0008760E">
      <w:pPr>
        <w:pStyle w:val="Prrafodelista"/>
        <w:numPr>
          <w:ilvl w:val="0"/>
          <w:numId w:val="44"/>
        </w:numPr>
        <w:autoSpaceDE w:val="0"/>
        <w:autoSpaceDN w:val="0"/>
        <w:adjustRightInd w:val="0"/>
        <w:ind w:right="-28"/>
        <w:rPr>
          <w:rFonts w:cs="Tahoma"/>
          <w:b/>
          <w:i/>
          <w:szCs w:val="22"/>
          <w:lang w:val="es-ES"/>
        </w:rPr>
      </w:pPr>
      <w:r w:rsidRPr="0008760E">
        <w:rPr>
          <w:rFonts w:cs="Tahoma"/>
          <w:b/>
          <w:i/>
          <w:szCs w:val="22"/>
          <w:lang w:val="es-ES"/>
        </w:rPr>
        <w:lastRenderedPageBreak/>
        <w:t>RESPUESTA 159.pdf</w:t>
      </w:r>
      <w:r w:rsidR="00F45EC7" w:rsidRPr="0008760E">
        <w:rPr>
          <w:rFonts w:cs="Tahoma"/>
          <w:b/>
          <w:i/>
          <w:szCs w:val="22"/>
          <w:lang w:val="es-ES"/>
        </w:rPr>
        <w:t xml:space="preserve">, </w:t>
      </w:r>
      <w:r w:rsidR="00F45EC7" w:rsidRPr="0008760E">
        <w:rPr>
          <w:rFonts w:cs="Tahoma"/>
          <w:szCs w:val="22"/>
          <w:lang w:val="es-ES"/>
        </w:rPr>
        <w:t xml:space="preserve">el cual contiene el oficio del diecinueve de septiembre de dos mil veinticuatro, por medio del cual el Titular de la Unidad de Transparencia, refiere adjuntar oficio </w:t>
      </w:r>
      <w:r w:rsidR="003F1147" w:rsidRPr="0008760E">
        <w:rPr>
          <w:rFonts w:cs="Tahoma"/>
          <w:szCs w:val="22"/>
          <w:lang w:val="es-ES"/>
        </w:rPr>
        <w:t xml:space="preserve">por medio del cual se solicita al H. Tribunal Estatal de Conciliación y Arbitraje del Estado de México, se registre y anexe en el expediente 06/94 el Convenio de prestaciones de Ley y colaterales 2022, con el Organismo Público Descentralizado para la Prestación de Servicios de Agua Potable, Alcantarillado y Saneamiento (S.A.P.A.S.A.) de Atizapán de Zaragoza, Estado de México. </w:t>
      </w:r>
    </w:p>
    <w:p w14:paraId="5B6D6685" w14:textId="24455914" w:rsidR="00273AFD" w:rsidRPr="0008760E" w:rsidRDefault="00273AFD" w:rsidP="0008760E">
      <w:pPr>
        <w:pStyle w:val="Prrafodelista"/>
        <w:numPr>
          <w:ilvl w:val="0"/>
          <w:numId w:val="44"/>
        </w:numPr>
        <w:autoSpaceDE w:val="0"/>
        <w:autoSpaceDN w:val="0"/>
        <w:adjustRightInd w:val="0"/>
        <w:ind w:right="-28"/>
        <w:rPr>
          <w:rFonts w:cs="Tahoma"/>
          <w:b/>
          <w:i/>
          <w:szCs w:val="22"/>
          <w:lang w:val="es-ES"/>
        </w:rPr>
      </w:pPr>
      <w:r w:rsidRPr="0008760E">
        <w:rPr>
          <w:rFonts w:cs="Tahoma"/>
          <w:b/>
          <w:i/>
          <w:szCs w:val="22"/>
          <w:lang w:val="es-ES"/>
        </w:rPr>
        <w:t>ATIZAPAN DE ZARAGOZA SAPASA 2022.pdf</w:t>
      </w:r>
      <w:r w:rsidR="00F45EC7" w:rsidRPr="0008760E">
        <w:rPr>
          <w:rFonts w:cs="Tahoma"/>
          <w:b/>
          <w:i/>
          <w:szCs w:val="22"/>
          <w:lang w:val="es-ES"/>
        </w:rPr>
        <w:t xml:space="preserve">, </w:t>
      </w:r>
      <w:r w:rsidR="003F1147" w:rsidRPr="0008760E">
        <w:rPr>
          <w:rFonts w:cs="Tahoma"/>
          <w:szCs w:val="22"/>
          <w:lang w:val="es-ES"/>
        </w:rPr>
        <w:t xml:space="preserve">el cual contiene el Convenio de prestaciones de Ley y colaterales 2022, </w:t>
      </w:r>
      <w:r w:rsidR="00C2224F" w:rsidRPr="0008760E">
        <w:rPr>
          <w:rFonts w:cs="Tahoma"/>
          <w:szCs w:val="22"/>
          <w:lang w:val="es-ES"/>
        </w:rPr>
        <w:t xml:space="preserve">celebrado entre </w:t>
      </w:r>
      <w:r w:rsidR="003F1147" w:rsidRPr="0008760E">
        <w:rPr>
          <w:rFonts w:cs="Tahoma"/>
          <w:szCs w:val="22"/>
          <w:lang w:val="es-ES"/>
        </w:rPr>
        <w:t>el Organismo Público Descentralizado para la Prestación de Servicios de Agua Potable, Alcantarillado y Saneamiento (S.A.P.A.S.A.) de Atizapán de Zaragoza, Estado de México</w:t>
      </w:r>
      <w:r w:rsidR="009246E8" w:rsidRPr="0008760E">
        <w:rPr>
          <w:rFonts w:cs="Tahoma"/>
          <w:szCs w:val="22"/>
          <w:lang w:val="es-ES"/>
        </w:rPr>
        <w:t xml:space="preserve"> y el Sindicato Único de Trabajadores de los Poderes, Municipios e Instituciones Descentralizados del Estado de México S.U.T.E.Y </w:t>
      </w:r>
      <w:proofErr w:type="gramStart"/>
      <w:r w:rsidR="009246E8" w:rsidRPr="0008760E">
        <w:rPr>
          <w:rFonts w:cs="Tahoma"/>
          <w:szCs w:val="22"/>
          <w:lang w:val="es-ES"/>
        </w:rPr>
        <w:t>M.</w:t>
      </w:r>
      <w:r w:rsidR="003F1147" w:rsidRPr="0008760E">
        <w:rPr>
          <w:rFonts w:cs="Tahoma"/>
          <w:szCs w:val="22"/>
          <w:lang w:val="es-ES"/>
        </w:rPr>
        <w:t>.</w:t>
      </w:r>
      <w:proofErr w:type="gramEnd"/>
      <w:r w:rsidR="003F1147" w:rsidRPr="0008760E">
        <w:rPr>
          <w:rFonts w:cs="Tahoma"/>
          <w:szCs w:val="22"/>
          <w:lang w:val="es-ES"/>
        </w:rPr>
        <w:t xml:space="preserve"> </w:t>
      </w:r>
    </w:p>
    <w:p w14:paraId="558B19AC" w14:textId="77777777" w:rsidR="003F1147" w:rsidRPr="0008760E" w:rsidRDefault="003F1147" w:rsidP="0008760E">
      <w:pPr>
        <w:pStyle w:val="Ttulo2"/>
        <w:jc w:val="left"/>
      </w:pPr>
      <w:bookmarkStart w:id="8" w:name="_Toc171527280"/>
    </w:p>
    <w:p w14:paraId="0F24A322" w14:textId="7F9E5F9A" w:rsidR="00B137E8" w:rsidRPr="0008760E" w:rsidRDefault="00B137E8" w:rsidP="0008760E">
      <w:pPr>
        <w:pStyle w:val="Ttulo2"/>
        <w:jc w:val="left"/>
      </w:pPr>
      <w:bookmarkStart w:id="9" w:name="_Toc181794064"/>
      <w:r w:rsidRPr="0008760E">
        <w:t>DEL RECURSO DE REVISIÓN</w:t>
      </w:r>
      <w:bookmarkEnd w:id="8"/>
      <w:bookmarkEnd w:id="9"/>
    </w:p>
    <w:p w14:paraId="2B216813" w14:textId="61ADBB2B" w:rsidR="00664420" w:rsidRPr="0008760E" w:rsidRDefault="006E25BC" w:rsidP="0008760E">
      <w:pPr>
        <w:pStyle w:val="Ttulo3"/>
      </w:pPr>
      <w:bookmarkStart w:id="10" w:name="_Toc181794065"/>
      <w:r w:rsidRPr="0008760E">
        <w:rPr>
          <w:szCs w:val="32"/>
        </w:rPr>
        <w:t>a)</w:t>
      </w:r>
      <w:r w:rsidRPr="0008760E">
        <w:t xml:space="preserve"> </w:t>
      </w:r>
      <w:r w:rsidR="00664420" w:rsidRPr="0008760E">
        <w:t>Interposición del Recurso de Revisión</w:t>
      </w:r>
      <w:bookmarkEnd w:id="10"/>
    </w:p>
    <w:p w14:paraId="6279C622" w14:textId="3E521CBB" w:rsidR="00664420" w:rsidRPr="0008760E" w:rsidRDefault="00664420" w:rsidP="0008760E">
      <w:pPr>
        <w:autoSpaceDE w:val="0"/>
        <w:autoSpaceDN w:val="0"/>
        <w:adjustRightInd w:val="0"/>
        <w:ind w:right="-28"/>
        <w:rPr>
          <w:rFonts w:cs="Tahoma"/>
          <w:szCs w:val="22"/>
        </w:rPr>
      </w:pPr>
      <w:r w:rsidRPr="0008760E">
        <w:rPr>
          <w:rFonts w:cs="Tahoma"/>
          <w:szCs w:val="22"/>
        </w:rPr>
        <w:t xml:space="preserve">El </w:t>
      </w:r>
      <w:r w:rsidR="003F1147" w:rsidRPr="0008760E">
        <w:rPr>
          <w:rFonts w:cs="Tahoma"/>
          <w:b/>
          <w:bCs/>
          <w:szCs w:val="22"/>
        </w:rPr>
        <w:t xml:space="preserve">veinticinco </w:t>
      </w:r>
      <w:r w:rsidR="00067FB9" w:rsidRPr="0008760E">
        <w:rPr>
          <w:rFonts w:cs="Tahoma"/>
          <w:b/>
          <w:bCs/>
          <w:szCs w:val="22"/>
        </w:rPr>
        <w:t xml:space="preserve">de </w:t>
      </w:r>
      <w:r w:rsidR="00AC25A6" w:rsidRPr="0008760E">
        <w:rPr>
          <w:rFonts w:cs="Tahoma"/>
          <w:b/>
          <w:bCs/>
          <w:szCs w:val="22"/>
        </w:rPr>
        <w:t xml:space="preserve">septiembre </w:t>
      </w:r>
      <w:r w:rsidR="00475FF6" w:rsidRPr="0008760E">
        <w:rPr>
          <w:rFonts w:cs="Tahoma"/>
          <w:b/>
          <w:bCs/>
          <w:szCs w:val="22"/>
        </w:rPr>
        <w:t xml:space="preserve">de </w:t>
      </w:r>
      <w:r w:rsidRPr="0008760E">
        <w:rPr>
          <w:rFonts w:cs="Tahoma"/>
          <w:b/>
          <w:bCs/>
          <w:szCs w:val="22"/>
        </w:rPr>
        <w:t>dos mil</w:t>
      </w:r>
      <w:r w:rsidR="00F45902" w:rsidRPr="0008760E">
        <w:rPr>
          <w:rFonts w:cs="Tahoma"/>
          <w:b/>
          <w:bCs/>
          <w:szCs w:val="22"/>
        </w:rPr>
        <w:t xml:space="preserve"> veinticuatro</w:t>
      </w:r>
      <w:r w:rsidRPr="0008760E">
        <w:rPr>
          <w:rFonts w:cs="Tahoma"/>
          <w:szCs w:val="22"/>
        </w:rPr>
        <w:t xml:space="preserve"> </w:t>
      </w:r>
      <w:r w:rsidR="00F75D23" w:rsidRPr="0008760E">
        <w:rPr>
          <w:rFonts w:cs="Tahoma"/>
          <w:b/>
          <w:bCs/>
          <w:szCs w:val="22"/>
        </w:rPr>
        <w:t>LA PARTE RECURRENTE</w:t>
      </w:r>
      <w:r w:rsidR="00F75D23" w:rsidRPr="0008760E">
        <w:rPr>
          <w:rFonts w:cs="Tahoma"/>
          <w:szCs w:val="22"/>
        </w:rPr>
        <w:t xml:space="preserve"> interpuso el recurso de revisión en contra de la respuesta emitida por el </w:t>
      </w:r>
      <w:r w:rsidR="00F75D23" w:rsidRPr="0008760E">
        <w:rPr>
          <w:rFonts w:cs="Tahoma"/>
          <w:b/>
          <w:bCs/>
          <w:szCs w:val="22"/>
        </w:rPr>
        <w:t>SUJETO OBLIGADO</w:t>
      </w:r>
      <w:r w:rsidR="00953430" w:rsidRPr="0008760E">
        <w:rPr>
          <w:rFonts w:cs="Tahoma"/>
          <w:szCs w:val="22"/>
        </w:rPr>
        <w:t xml:space="preserve">, mismo que fue registrado en el </w:t>
      </w:r>
      <w:r w:rsidR="00953430" w:rsidRPr="0008760E">
        <w:rPr>
          <w:rFonts w:cs="Tahoma"/>
          <w:b/>
          <w:szCs w:val="22"/>
        </w:rPr>
        <w:t>SAIMEX</w:t>
      </w:r>
      <w:r w:rsidR="00953430" w:rsidRPr="0008760E">
        <w:rPr>
          <w:rFonts w:cs="Tahoma"/>
          <w:szCs w:val="22"/>
        </w:rPr>
        <w:t xml:space="preserve"> con el número de expediente </w:t>
      </w:r>
      <w:r w:rsidR="00F45902" w:rsidRPr="0008760E">
        <w:rPr>
          <w:rFonts w:cs="Tahoma"/>
          <w:b/>
          <w:bCs/>
          <w:szCs w:val="22"/>
        </w:rPr>
        <w:t>0</w:t>
      </w:r>
      <w:r w:rsidR="008A7480" w:rsidRPr="0008760E">
        <w:rPr>
          <w:rFonts w:cs="Tahoma"/>
          <w:b/>
          <w:bCs/>
          <w:szCs w:val="22"/>
        </w:rPr>
        <w:t>5</w:t>
      </w:r>
      <w:r w:rsidR="003F1147" w:rsidRPr="0008760E">
        <w:rPr>
          <w:rFonts w:cs="Tahoma"/>
          <w:b/>
          <w:bCs/>
          <w:szCs w:val="22"/>
        </w:rPr>
        <w:t>837</w:t>
      </w:r>
      <w:r w:rsidR="00F45902" w:rsidRPr="0008760E">
        <w:rPr>
          <w:rFonts w:cs="Tahoma"/>
          <w:b/>
          <w:bCs/>
          <w:szCs w:val="22"/>
        </w:rPr>
        <w:t>/</w:t>
      </w:r>
      <w:r w:rsidR="00953430" w:rsidRPr="0008760E">
        <w:rPr>
          <w:rFonts w:cs="Tahoma"/>
          <w:b/>
          <w:bCs/>
          <w:szCs w:val="22"/>
        </w:rPr>
        <w:t>INFOEM/IP/RR/</w:t>
      </w:r>
      <w:r w:rsidR="00F45902" w:rsidRPr="0008760E">
        <w:rPr>
          <w:rFonts w:cs="Tahoma"/>
          <w:b/>
          <w:bCs/>
          <w:szCs w:val="22"/>
        </w:rPr>
        <w:t>2024</w:t>
      </w:r>
      <w:r w:rsidR="00953430" w:rsidRPr="0008760E">
        <w:rPr>
          <w:rFonts w:cs="Tahoma"/>
          <w:szCs w:val="22"/>
        </w:rPr>
        <w:t>, y en el cual manifiesta lo siguiente</w:t>
      </w:r>
      <w:r w:rsidRPr="0008760E">
        <w:rPr>
          <w:rFonts w:cs="Tahoma"/>
          <w:szCs w:val="22"/>
        </w:rPr>
        <w:t>:</w:t>
      </w:r>
    </w:p>
    <w:p w14:paraId="74B30008" w14:textId="77777777" w:rsidR="00664420" w:rsidRPr="0008760E" w:rsidRDefault="00664420" w:rsidP="0008760E">
      <w:pPr>
        <w:tabs>
          <w:tab w:val="left" w:pos="4667"/>
        </w:tabs>
        <w:ind w:right="539"/>
        <w:rPr>
          <w:rFonts w:cs="Tahoma"/>
          <w:szCs w:val="22"/>
        </w:rPr>
      </w:pPr>
    </w:p>
    <w:p w14:paraId="12153283" w14:textId="77777777" w:rsidR="00664420" w:rsidRPr="0008760E" w:rsidRDefault="00664420" w:rsidP="0008760E">
      <w:pPr>
        <w:tabs>
          <w:tab w:val="left" w:pos="4667"/>
        </w:tabs>
        <w:ind w:right="539"/>
        <w:rPr>
          <w:rFonts w:cs="Tahoma"/>
          <w:b/>
          <w:iCs/>
        </w:rPr>
      </w:pPr>
      <w:r w:rsidRPr="0008760E">
        <w:rPr>
          <w:rFonts w:cs="Tahoma"/>
          <w:b/>
          <w:iCs/>
        </w:rPr>
        <w:t>ACTO IMPUGNADO</w:t>
      </w:r>
      <w:r w:rsidRPr="0008760E">
        <w:rPr>
          <w:rFonts w:cs="Tahoma"/>
          <w:b/>
          <w:iCs/>
        </w:rPr>
        <w:tab/>
      </w:r>
    </w:p>
    <w:p w14:paraId="177EE3D5" w14:textId="77777777" w:rsidR="00F45902" w:rsidRPr="0008760E" w:rsidRDefault="00F45902" w:rsidP="0008760E">
      <w:pPr>
        <w:pStyle w:val="Puesto"/>
      </w:pPr>
    </w:p>
    <w:p w14:paraId="523F8BF4" w14:textId="45DCC7D8" w:rsidR="00664420" w:rsidRPr="0008760E" w:rsidRDefault="00F45902" w:rsidP="0008760E">
      <w:pPr>
        <w:pStyle w:val="Puesto"/>
      </w:pPr>
      <w:r w:rsidRPr="0008760E">
        <w:t>“</w:t>
      </w:r>
      <w:r w:rsidR="003F1147" w:rsidRPr="0008760E">
        <w:t>cambio de modalidad de entrega sin fundamento o motivo alguno.</w:t>
      </w:r>
      <w:r w:rsidRPr="0008760E">
        <w:t xml:space="preserve">” (sic) </w:t>
      </w:r>
    </w:p>
    <w:p w14:paraId="6AE8EA9A" w14:textId="77777777" w:rsidR="00664420" w:rsidRPr="0008760E" w:rsidRDefault="00664420" w:rsidP="0008760E">
      <w:pPr>
        <w:pStyle w:val="Puesto"/>
        <w:ind w:left="0"/>
      </w:pPr>
    </w:p>
    <w:p w14:paraId="5A69219D" w14:textId="77777777" w:rsidR="0008760E" w:rsidRPr="0008760E" w:rsidRDefault="0008760E" w:rsidP="0008760E"/>
    <w:p w14:paraId="19F223B6" w14:textId="6E75938F" w:rsidR="009233A1" w:rsidRPr="0008760E" w:rsidRDefault="009233A1" w:rsidP="0008760E">
      <w:pPr>
        <w:tabs>
          <w:tab w:val="left" w:pos="4667"/>
        </w:tabs>
        <w:ind w:right="539"/>
        <w:rPr>
          <w:rFonts w:cs="Tahoma"/>
          <w:b/>
          <w:iCs/>
        </w:rPr>
      </w:pPr>
      <w:r w:rsidRPr="0008760E">
        <w:rPr>
          <w:rFonts w:cs="Tahoma"/>
          <w:b/>
          <w:iCs/>
        </w:rPr>
        <w:lastRenderedPageBreak/>
        <w:t>RAZONES O MOTIVOS DE INCONFORMIDAD</w:t>
      </w:r>
      <w:r w:rsidRPr="0008760E">
        <w:rPr>
          <w:rFonts w:cs="Tahoma"/>
          <w:b/>
          <w:iCs/>
        </w:rPr>
        <w:tab/>
      </w:r>
    </w:p>
    <w:p w14:paraId="3E0326BE" w14:textId="77777777" w:rsidR="009233A1" w:rsidRPr="0008760E" w:rsidRDefault="009233A1" w:rsidP="0008760E">
      <w:pPr>
        <w:pStyle w:val="Puesto"/>
      </w:pPr>
    </w:p>
    <w:p w14:paraId="34E2E57F" w14:textId="285399D6" w:rsidR="008A7480" w:rsidRPr="0008760E" w:rsidRDefault="008A7480" w:rsidP="0008760E">
      <w:pPr>
        <w:pStyle w:val="Puesto"/>
      </w:pPr>
      <w:r w:rsidRPr="0008760E">
        <w:t>“</w:t>
      </w:r>
      <w:r w:rsidR="003F1147" w:rsidRPr="0008760E">
        <w:t>EL SUSCRITO SOLICITÉ LA INFORMACIÓN VÍA COPIA CERTIFICADA, NO VÍA SAIMEX, SIN EMBARGO EL SUJETO OBLIGADO ENTREGÓ SIN FUNDAMENTO O MOTIVO ALGUNO, LA INFORMACIÓN MEDIANTE UN SISTEMA ELECTRÓNICO Y NO MEDIANTE COPIA CERTIFICADA, COMO LE FUE REQUERIDO. LO ANTERIOR PONE DE MANIFIESTO QUE MI SOLICITUD SE ATENDIÓ DE FORMA NEGLIGENTE PUES EL SUJETO OBLIGADO, PARA CAMBIAR LA MODALIDAD DE ENTREGA ELEGIDA POR EL SUSCRITO, DEBIÓ FUNDAR Y MOTIVAR TAL SITUACIÓN, EN EL SENTIDO DE ESTAR IMPOSIBILITADO PARA ENTREGAR LA INFORMACIÓN EN COPIA CERTIFICADA, SIN EMBARGO, NO LO HIZO, DE AHÍ QUE LA ATENCIÓN FUE NEGLIGENTE. EN ESE SENTIDO, SOLICITO QUE SEAN A SU CARGO LOS COSTOS DE REPRODUCCIÓN DE LA INFORMACIÓN TAL Y COMO LO ESTABLECE EL ARTÍCULO 234 DE LA LEY DE TRANSPARENCIA DE LA ENTIDAD. Artículo 234. En caso que el Instituto determine que por negligencia no se hubiere atendido alguna solicitud en los términos de esta Ley, requerirá a la Unidad de Transparencia correspondiente para que proporcione la información sin costo alguno para el solicitante, dentro del plazo de quince días hábiles a partir del requerimiento.</w:t>
      </w:r>
      <w:r w:rsidRPr="0008760E">
        <w:t xml:space="preserve">” (sic) </w:t>
      </w:r>
    </w:p>
    <w:p w14:paraId="13390B75" w14:textId="77777777" w:rsidR="008A7480" w:rsidRPr="0008760E" w:rsidRDefault="008A7480" w:rsidP="0008760E">
      <w:pPr>
        <w:pStyle w:val="Puesto"/>
      </w:pPr>
    </w:p>
    <w:p w14:paraId="6804DEF1" w14:textId="7F8B0483" w:rsidR="00664420" w:rsidRPr="0008760E" w:rsidRDefault="006E25BC" w:rsidP="0008760E">
      <w:pPr>
        <w:pStyle w:val="Ttulo3"/>
      </w:pPr>
      <w:bookmarkStart w:id="11" w:name="_Toc181794066"/>
      <w:r w:rsidRPr="0008760E">
        <w:t>b</w:t>
      </w:r>
      <w:r w:rsidR="00664420" w:rsidRPr="0008760E">
        <w:t>) Turno del Recurso de Revisión</w:t>
      </w:r>
      <w:bookmarkEnd w:id="11"/>
    </w:p>
    <w:p w14:paraId="1173671B" w14:textId="3421521F" w:rsidR="00C72DAA" w:rsidRPr="0008760E" w:rsidRDefault="00C72DAA" w:rsidP="0008760E">
      <w:r w:rsidRPr="0008760E">
        <w:t>Con fundamento en el artículo 185, fracción I de la Ley de Transparencia y Acceso a la Información Pública del Estado de México y Municipios, el</w:t>
      </w:r>
      <w:r w:rsidRPr="0008760E">
        <w:rPr>
          <w:b/>
          <w:bCs/>
        </w:rPr>
        <w:t xml:space="preserve"> </w:t>
      </w:r>
      <w:r w:rsidR="003F1147" w:rsidRPr="0008760E">
        <w:rPr>
          <w:rFonts w:eastAsia="Palatino Linotype" w:cs="Palatino Linotype"/>
          <w:b/>
        </w:rPr>
        <w:t>veinticinco</w:t>
      </w:r>
      <w:r w:rsidR="00067FB9" w:rsidRPr="0008760E">
        <w:rPr>
          <w:rFonts w:eastAsia="Palatino Linotype" w:cs="Palatino Linotype"/>
          <w:b/>
        </w:rPr>
        <w:t xml:space="preserve"> de </w:t>
      </w:r>
      <w:r w:rsidR="00AC25A6" w:rsidRPr="0008760E">
        <w:rPr>
          <w:rFonts w:eastAsia="Palatino Linotype" w:cs="Palatino Linotype"/>
          <w:b/>
        </w:rPr>
        <w:t xml:space="preserve">septiembre </w:t>
      </w:r>
      <w:r w:rsidRPr="0008760E">
        <w:rPr>
          <w:rFonts w:eastAsia="Palatino Linotype" w:cs="Palatino Linotype"/>
          <w:b/>
        </w:rPr>
        <w:t xml:space="preserve">de dos mil </w:t>
      </w:r>
      <w:r w:rsidR="00657603" w:rsidRPr="0008760E">
        <w:rPr>
          <w:rFonts w:eastAsia="Palatino Linotype" w:cs="Palatino Linotype"/>
          <w:b/>
        </w:rPr>
        <w:t xml:space="preserve">veinticuatro </w:t>
      </w:r>
      <w:r w:rsidRPr="0008760E">
        <w:t>se turnó el recurso de revisión a través del</w:t>
      </w:r>
      <w:r w:rsidRPr="0008760E">
        <w:rPr>
          <w:rFonts w:eastAsia="Arial Unicode MS"/>
        </w:rPr>
        <w:t xml:space="preserve"> </w:t>
      </w:r>
      <w:r w:rsidRPr="0008760E">
        <w:rPr>
          <w:rFonts w:eastAsia="Arial Unicode MS"/>
          <w:bCs/>
        </w:rPr>
        <w:t>SAIMEX</w:t>
      </w:r>
      <w:r w:rsidRPr="0008760E">
        <w:t xml:space="preserve"> a la </w:t>
      </w:r>
      <w:r w:rsidRPr="0008760E">
        <w:rPr>
          <w:b/>
        </w:rPr>
        <w:t>Comisionada Sharon Cristina Morales Martínez</w:t>
      </w:r>
      <w:r w:rsidRPr="0008760E">
        <w:rPr>
          <w:bCs/>
        </w:rPr>
        <w:t xml:space="preserve">, </w:t>
      </w:r>
      <w:r w:rsidRPr="0008760E">
        <w:t xml:space="preserve">a efecto de decretar su admisión o </w:t>
      </w:r>
      <w:proofErr w:type="spellStart"/>
      <w:r w:rsidRPr="0008760E">
        <w:t>desechamiento</w:t>
      </w:r>
      <w:proofErr w:type="spellEnd"/>
      <w:r w:rsidRPr="0008760E">
        <w:t xml:space="preserve">. </w:t>
      </w:r>
    </w:p>
    <w:p w14:paraId="18F305CB" w14:textId="77777777" w:rsidR="00664420" w:rsidRPr="0008760E" w:rsidRDefault="00664420" w:rsidP="0008760E">
      <w:pPr>
        <w:rPr>
          <w:rFonts w:eastAsia="Batang" w:cs="Tahoma"/>
          <w:bCs/>
          <w:szCs w:val="22"/>
        </w:rPr>
      </w:pPr>
    </w:p>
    <w:p w14:paraId="3E31EC2D" w14:textId="295256A1" w:rsidR="00664420" w:rsidRPr="0008760E" w:rsidRDefault="006E25BC" w:rsidP="0008760E">
      <w:pPr>
        <w:pStyle w:val="Ttulo3"/>
      </w:pPr>
      <w:bookmarkStart w:id="12" w:name="_Toc181794067"/>
      <w:r w:rsidRPr="0008760E">
        <w:t>c</w:t>
      </w:r>
      <w:r w:rsidR="00664420" w:rsidRPr="0008760E">
        <w:t>) Admisión del Recurso de Revisión</w:t>
      </w:r>
      <w:bookmarkEnd w:id="12"/>
    </w:p>
    <w:p w14:paraId="240447D5" w14:textId="075B5FAD" w:rsidR="000E09C4" w:rsidRPr="0008760E" w:rsidRDefault="000E09C4" w:rsidP="0008760E">
      <w:pPr>
        <w:rPr>
          <w:rFonts w:cs="Arial"/>
        </w:rPr>
      </w:pPr>
      <w:r w:rsidRPr="0008760E">
        <w:rPr>
          <w:rFonts w:cs="Arial"/>
        </w:rPr>
        <w:t xml:space="preserve">El </w:t>
      </w:r>
      <w:r w:rsidR="003F1147" w:rsidRPr="0008760E">
        <w:rPr>
          <w:rFonts w:eastAsia="Palatino Linotype" w:cs="Palatino Linotype"/>
          <w:b/>
        </w:rPr>
        <w:t xml:space="preserve">veintiséis </w:t>
      </w:r>
      <w:r w:rsidR="00AC25A6" w:rsidRPr="0008760E">
        <w:rPr>
          <w:rFonts w:eastAsia="Palatino Linotype" w:cs="Palatino Linotype"/>
          <w:b/>
        </w:rPr>
        <w:t xml:space="preserve">de septiembre </w:t>
      </w:r>
      <w:r w:rsidR="003A67CC" w:rsidRPr="0008760E">
        <w:rPr>
          <w:rFonts w:eastAsia="Palatino Linotype" w:cs="Palatino Linotype"/>
          <w:b/>
        </w:rPr>
        <w:t>d</w:t>
      </w:r>
      <w:r w:rsidR="00657603" w:rsidRPr="0008760E">
        <w:rPr>
          <w:rFonts w:eastAsia="Palatino Linotype" w:cs="Palatino Linotype"/>
          <w:b/>
        </w:rPr>
        <w:t>e dos mil veinticuatro</w:t>
      </w:r>
      <w:r w:rsidRPr="0008760E">
        <w:rPr>
          <w:rFonts w:cs="Arial"/>
        </w:rPr>
        <w:t xml:space="preserve"> se acordó la admisión a trámite del Recurso de Revisión y se integró el expediente respectivo, mismo que se puso a disposición de las partes para que, en un plazo de siete días hábiles, manifestaran lo que a su derecho </w:t>
      </w:r>
      <w:r w:rsidRPr="0008760E">
        <w:rPr>
          <w:rFonts w:cs="Arial"/>
        </w:rPr>
        <w:lastRenderedPageBreak/>
        <w:t>conviniera, conforme a lo dispuesto por el artículo 185</w:t>
      </w:r>
      <w:r w:rsidR="00865CF4" w:rsidRPr="0008760E">
        <w:rPr>
          <w:rFonts w:cs="Arial"/>
        </w:rPr>
        <w:t>, fracción II</w:t>
      </w:r>
      <w:r w:rsidRPr="0008760E">
        <w:rPr>
          <w:rFonts w:cs="Arial"/>
        </w:rPr>
        <w:t xml:space="preserve"> de la Ley de Transparencia y Acceso a la Información Pública del Estado de México y Municipios.</w:t>
      </w:r>
    </w:p>
    <w:p w14:paraId="34EC3F86" w14:textId="77777777" w:rsidR="00D2790D" w:rsidRPr="0008760E" w:rsidRDefault="00D2790D" w:rsidP="0008760E">
      <w:pPr>
        <w:rPr>
          <w:rFonts w:cs="Arial"/>
        </w:rPr>
      </w:pPr>
    </w:p>
    <w:p w14:paraId="3B820F58" w14:textId="503F9071" w:rsidR="00865CF4" w:rsidRPr="0008760E" w:rsidRDefault="0075751F" w:rsidP="0008760E">
      <w:pPr>
        <w:pStyle w:val="Ttulo3"/>
      </w:pPr>
      <w:bookmarkStart w:id="13" w:name="_Toc181794068"/>
      <w:r w:rsidRPr="0008760E">
        <w:t>d</w:t>
      </w:r>
      <w:r w:rsidR="00664420" w:rsidRPr="0008760E">
        <w:t xml:space="preserve">) </w:t>
      </w:r>
      <w:r w:rsidR="00865CF4" w:rsidRPr="0008760E">
        <w:t>Informe Justificado del Sujeto Obligado</w:t>
      </w:r>
      <w:bookmarkEnd w:id="13"/>
    </w:p>
    <w:p w14:paraId="23B040E8" w14:textId="56DFBA1A" w:rsidR="00067FB9" w:rsidRPr="0008760E" w:rsidRDefault="00067FB9" w:rsidP="0008760E">
      <w:pPr>
        <w:rPr>
          <w:rFonts w:cs="Tahoma"/>
          <w:bCs/>
          <w:szCs w:val="24"/>
        </w:rPr>
      </w:pPr>
      <w:r w:rsidRPr="0008760E">
        <w:rPr>
          <w:rFonts w:cs="Tahoma"/>
          <w:bCs/>
          <w:szCs w:val="24"/>
        </w:rPr>
        <w:t xml:space="preserve">El </w:t>
      </w:r>
      <w:r w:rsidR="003F1147" w:rsidRPr="0008760E">
        <w:rPr>
          <w:rFonts w:cs="Tahoma"/>
          <w:b/>
          <w:szCs w:val="24"/>
        </w:rPr>
        <w:t xml:space="preserve">treinta de septiembre </w:t>
      </w:r>
      <w:r w:rsidRPr="0008760E">
        <w:rPr>
          <w:rFonts w:cs="Tahoma"/>
          <w:b/>
          <w:szCs w:val="24"/>
        </w:rPr>
        <w:t>de dos mil veinticuatro EL SUJETO OBLIGADO</w:t>
      </w:r>
      <w:r w:rsidRPr="0008760E">
        <w:rPr>
          <w:rFonts w:cs="Tahoma"/>
          <w:bCs/>
          <w:szCs w:val="24"/>
        </w:rPr>
        <w:t xml:space="preserve"> rindió su informe justificado a través del </w:t>
      </w:r>
      <w:r w:rsidRPr="0008760E">
        <w:rPr>
          <w:rFonts w:cs="Tahoma"/>
          <w:b/>
          <w:bCs/>
          <w:szCs w:val="24"/>
        </w:rPr>
        <w:t>SAIMEX</w:t>
      </w:r>
      <w:r w:rsidRPr="0008760E">
        <w:rPr>
          <w:rFonts w:cs="Tahoma"/>
          <w:bCs/>
          <w:szCs w:val="24"/>
        </w:rPr>
        <w:t xml:space="preserve">, </w:t>
      </w:r>
      <w:bookmarkStart w:id="14" w:name="_Hlk165379932"/>
      <w:r w:rsidRPr="0008760E">
        <w:rPr>
          <w:rFonts w:cs="Tahoma"/>
          <w:bCs/>
          <w:szCs w:val="24"/>
        </w:rPr>
        <w:t xml:space="preserve">ajuntando para ello los archivos electrónicos que a continuación se describen: </w:t>
      </w:r>
    </w:p>
    <w:p w14:paraId="3BB6CFCF" w14:textId="77777777" w:rsidR="00067FB9" w:rsidRPr="0008760E" w:rsidRDefault="00067FB9" w:rsidP="0008760E">
      <w:pPr>
        <w:rPr>
          <w:rFonts w:cs="Tahoma"/>
          <w:bCs/>
          <w:szCs w:val="24"/>
        </w:rPr>
      </w:pPr>
    </w:p>
    <w:p w14:paraId="5FF3533B" w14:textId="30D96DE7" w:rsidR="003F1147" w:rsidRPr="0008760E" w:rsidRDefault="003F1147" w:rsidP="0008760E">
      <w:pPr>
        <w:pStyle w:val="Prrafodelista"/>
        <w:numPr>
          <w:ilvl w:val="0"/>
          <w:numId w:val="44"/>
        </w:numPr>
        <w:autoSpaceDE w:val="0"/>
        <w:autoSpaceDN w:val="0"/>
        <w:adjustRightInd w:val="0"/>
        <w:ind w:right="-28"/>
        <w:rPr>
          <w:rFonts w:cs="Tahoma"/>
          <w:b/>
          <w:i/>
          <w:szCs w:val="24"/>
        </w:rPr>
      </w:pPr>
      <w:r w:rsidRPr="0008760E">
        <w:rPr>
          <w:rFonts w:cs="Tahoma"/>
          <w:b/>
          <w:i/>
          <w:szCs w:val="24"/>
        </w:rPr>
        <w:t xml:space="preserve">INFORME DE JUSTIFICACION 159.pdf, </w:t>
      </w:r>
      <w:r w:rsidRPr="0008760E">
        <w:rPr>
          <w:rFonts w:cs="Tahoma"/>
          <w:szCs w:val="24"/>
        </w:rPr>
        <w:t xml:space="preserve">el cual contiene el Informe Justificado rendido por el Titular </w:t>
      </w:r>
      <w:r w:rsidR="00AF152D" w:rsidRPr="0008760E">
        <w:rPr>
          <w:rFonts w:cs="Tahoma"/>
          <w:szCs w:val="24"/>
        </w:rPr>
        <w:t xml:space="preserve">de la Unidad de Transparencia, por medio del </w:t>
      </w:r>
      <w:r w:rsidR="001C04A2" w:rsidRPr="0008760E">
        <w:rPr>
          <w:rFonts w:cs="Tahoma"/>
          <w:szCs w:val="24"/>
        </w:rPr>
        <w:t>cual</w:t>
      </w:r>
      <w:r w:rsidR="00AF152D" w:rsidRPr="0008760E">
        <w:rPr>
          <w:rFonts w:cs="Tahoma"/>
          <w:szCs w:val="24"/>
        </w:rPr>
        <w:t xml:space="preserve"> </w:t>
      </w:r>
      <w:r w:rsidR="001C04A2" w:rsidRPr="0008760E">
        <w:rPr>
          <w:rFonts w:cs="Tahoma"/>
          <w:szCs w:val="24"/>
        </w:rPr>
        <w:t xml:space="preserve">medularmente refiere que la agrupación sindical informó y dio respuesta a la solicitud de información en tiempo y forma. </w:t>
      </w:r>
    </w:p>
    <w:p w14:paraId="378FD330" w14:textId="77777777" w:rsidR="001C04A2" w:rsidRPr="0008760E" w:rsidRDefault="003F1147" w:rsidP="0008760E">
      <w:pPr>
        <w:pStyle w:val="Prrafodelista"/>
        <w:numPr>
          <w:ilvl w:val="0"/>
          <w:numId w:val="44"/>
        </w:numPr>
        <w:autoSpaceDE w:val="0"/>
        <w:autoSpaceDN w:val="0"/>
        <w:adjustRightInd w:val="0"/>
        <w:ind w:right="-28"/>
        <w:rPr>
          <w:rFonts w:cs="Tahoma"/>
          <w:b/>
          <w:i/>
          <w:szCs w:val="22"/>
          <w:lang w:val="es-ES"/>
        </w:rPr>
      </w:pPr>
      <w:r w:rsidRPr="0008760E">
        <w:rPr>
          <w:rFonts w:cs="Tahoma"/>
          <w:b/>
          <w:i/>
          <w:szCs w:val="24"/>
        </w:rPr>
        <w:t>ATIZAPAN DE ZARAGOZA SAPASA 2022.pdf</w:t>
      </w:r>
      <w:r w:rsidR="001C04A2" w:rsidRPr="0008760E">
        <w:rPr>
          <w:rFonts w:cs="Tahoma"/>
          <w:b/>
          <w:i/>
          <w:szCs w:val="24"/>
        </w:rPr>
        <w:t xml:space="preserve">, </w:t>
      </w:r>
      <w:r w:rsidR="001C04A2" w:rsidRPr="0008760E">
        <w:rPr>
          <w:rFonts w:cs="Tahoma"/>
          <w:szCs w:val="24"/>
        </w:rPr>
        <w:t xml:space="preserve">el cual contiene </w:t>
      </w:r>
      <w:r w:rsidR="001C04A2" w:rsidRPr="0008760E">
        <w:rPr>
          <w:rFonts w:cs="Tahoma"/>
          <w:szCs w:val="22"/>
          <w:lang w:val="es-ES"/>
        </w:rPr>
        <w:t xml:space="preserve">el Convenio de prestaciones de Ley y colaterales 2022, con el Organismo Público Descentralizado para la Prestación de Servicios de Agua Potable, Alcantarillado y Saneamiento (S.A.P.A.S.A.) de Atizapán de Zaragoza, Estado de México. </w:t>
      </w:r>
    </w:p>
    <w:p w14:paraId="0E59FF4D" w14:textId="51D2014E" w:rsidR="003F1147" w:rsidRPr="0008760E" w:rsidRDefault="003F1147" w:rsidP="0008760E">
      <w:pPr>
        <w:pStyle w:val="Prrafodelista"/>
        <w:numPr>
          <w:ilvl w:val="0"/>
          <w:numId w:val="44"/>
        </w:numPr>
        <w:autoSpaceDE w:val="0"/>
        <w:autoSpaceDN w:val="0"/>
        <w:adjustRightInd w:val="0"/>
        <w:ind w:right="-28"/>
        <w:rPr>
          <w:rFonts w:cs="Tahoma"/>
          <w:b/>
          <w:i/>
          <w:szCs w:val="24"/>
        </w:rPr>
      </w:pPr>
      <w:r w:rsidRPr="0008760E">
        <w:rPr>
          <w:rFonts w:cs="Tahoma"/>
          <w:b/>
          <w:i/>
          <w:szCs w:val="24"/>
        </w:rPr>
        <w:t>OFICIO SAPASA.pdf</w:t>
      </w:r>
      <w:r w:rsidR="001C04A2" w:rsidRPr="0008760E">
        <w:rPr>
          <w:rFonts w:cs="Tahoma"/>
          <w:b/>
          <w:i/>
          <w:szCs w:val="24"/>
        </w:rPr>
        <w:t xml:space="preserve">, </w:t>
      </w:r>
      <w:r w:rsidR="001C04A2" w:rsidRPr="0008760E">
        <w:rPr>
          <w:rFonts w:cs="Tahoma"/>
          <w:szCs w:val="24"/>
        </w:rPr>
        <w:t xml:space="preserve">el cual corresponde al oficio número SG/CVI/0842/2022, el cual corresponde al notificado en respuesta. </w:t>
      </w:r>
    </w:p>
    <w:p w14:paraId="3E17C283" w14:textId="6710CBAC" w:rsidR="003F1147" w:rsidRPr="0008760E" w:rsidRDefault="003F1147" w:rsidP="0008760E">
      <w:pPr>
        <w:pStyle w:val="Prrafodelista"/>
        <w:numPr>
          <w:ilvl w:val="0"/>
          <w:numId w:val="44"/>
        </w:numPr>
        <w:autoSpaceDE w:val="0"/>
        <w:autoSpaceDN w:val="0"/>
        <w:adjustRightInd w:val="0"/>
        <w:ind w:right="-28"/>
        <w:rPr>
          <w:rFonts w:cs="Tahoma"/>
          <w:b/>
          <w:i/>
          <w:szCs w:val="24"/>
        </w:rPr>
      </w:pPr>
      <w:r w:rsidRPr="0008760E">
        <w:rPr>
          <w:rFonts w:cs="Tahoma"/>
          <w:b/>
          <w:i/>
          <w:szCs w:val="24"/>
        </w:rPr>
        <w:t>SOLICITUD 159.pdf</w:t>
      </w:r>
      <w:r w:rsidR="001C04A2" w:rsidRPr="0008760E">
        <w:rPr>
          <w:rFonts w:cs="Tahoma"/>
          <w:b/>
          <w:i/>
          <w:szCs w:val="24"/>
        </w:rPr>
        <w:t xml:space="preserve">, </w:t>
      </w:r>
      <w:r w:rsidR="001C04A2" w:rsidRPr="0008760E">
        <w:rPr>
          <w:rFonts w:cs="Tahoma"/>
          <w:szCs w:val="24"/>
        </w:rPr>
        <w:t xml:space="preserve">el cual contiene el acuse de solicitud de información pública materia del presente estudio. </w:t>
      </w:r>
    </w:p>
    <w:bookmarkEnd w:id="14"/>
    <w:p w14:paraId="0A626C97" w14:textId="77777777" w:rsidR="001C04A2" w:rsidRPr="0008760E" w:rsidRDefault="001C04A2" w:rsidP="0008760E">
      <w:pPr>
        <w:rPr>
          <w:rFonts w:cs="Tahoma"/>
          <w:bCs/>
          <w:szCs w:val="24"/>
        </w:rPr>
      </w:pPr>
    </w:p>
    <w:p w14:paraId="6FE4F3A0" w14:textId="011A3F12" w:rsidR="00067FB9" w:rsidRPr="0008760E" w:rsidRDefault="00067FB9" w:rsidP="0008760E">
      <w:pPr>
        <w:rPr>
          <w:rFonts w:cs="Tahoma"/>
          <w:bCs/>
          <w:szCs w:val="24"/>
        </w:rPr>
      </w:pPr>
      <w:r w:rsidRPr="0008760E">
        <w:rPr>
          <w:rFonts w:cs="Tahoma"/>
          <w:bCs/>
          <w:szCs w:val="24"/>
        </w:rPr>
        <w:t xml:space="preserve">Esta información fue puesta a la vista de </w:t>
      </w:r>
      <w:r w:rsidRPr="0008760E">
        <w:rPr>
          <w:rFonts w:cs="Tahoma"/>
          <w:b/>
          <w:szCs w:val="24"/>
        </w:rPr>
        <w:t xml:space="preserve">LA PARTE RECURRENTE </w:t>
      </w:r>
      <w:r w:rsidRPr="0008760E">
        <w:rPr>
          <w:rFonts w:cs="Tahoma"/>
          <w:bCs/>
          <w:szCs w:val="24"/>
        </w:rPr>
        <w:t xml:space="preserve">el </w:t>
      </w:r>
      <w:r w:rsidR="001C04A2" w:rsidRPr="0008760E">
        <w:rPr>
          <w:rFonts w:cs="Tahoma"/>
          <w:b/>
          <w:szCs w:val="24"/>
        </w:rPr>
        <w:t xml:space="preserve">veintidós </w:t>
      </w:r>
      <w:r w:rsidR="00C4456F" w:rsidRPr="0008760E">
        <w:rPr>
          <w:rFonts w:cs="Tahoma"/>
          <w:b/>
          <w:szCs w:val="24"/>
        </w:rPr>
        <w:t xml:space="preserve">de octubre de </w:t>
      </w:r>
      <w:r w:rsidRPr="0008760E">
        <w:rPr>
          <w:rFonts w:cs="Tahoma"/>
          <w:b/>
          <w:szCs w:val="24"/>
        </w:rPr>
        <w:t>dos mil veinticuatro</w:t>
      </w:r>
      <w:r w:rsidRPr="0008760E">
        <w:rPr>
          <w:rFonts w:cs="Tahoma"/>
          <w:bCs/>
          <w:szCs w:val="24"/>
        </w:rPr>
        <w:t xml:space="preserve"> para que, en un plazo de tres días hábiles, manifestara lo que a su derecho conviniera, de conformidad con lo establecido en el </w:t>
      </w:r>
      <w:r w:rsidRPr="0008760E">
        <w:rPr>
          <w:rFonts w:cs="Arial"/>
        </w:rPr>
        <w:t>artículo 185, fracción III de la Ley de Transparencia y Acceso a la Información Pública del Estado de México y Municipios</w:t>
      </w:r>
      <w:r w:rsidRPr="0008760E">
        <w:rPr>
          <w:rFonts w:cs="Tahoma"/>
          <w:bCs/>
          <w:szCs w:val="24"/>
        </w:rPr>
        <w:t>.</w:t>
      </w:r>
    </w:p>
    <w:p w14:paraId="755B7730" w14:textId="3EA3E31D" w:rsidR="00664420" w:rsidRPr="0008760E" w:rsidRDefault="0075751F" w:rsidP="0008760E">
      <w:pPr>
        <w:pStyle w:val="Ttulo3"/>
        <w:rPr>
          <w:lang w:val="es-ES"/>
        </w:rPr>
      </w:pPr>
      <w:bookmarkStart w:id="15" w:name="_Toc181794069"/>
      <w:r w:rsidRPr="0008760E">
        <w:rPr>
          <w:rFonts w:eastAsia="Calibri"/>
          <w:bCs/>
          <w:lang w:eastAsia="en-US"/>
        </w:rPr>
        <w:lastRenderedPageBreak/>
        <w:t>e</w:t>
      </w:r>
      <w:r w:rsidR="00664420" w:rsidRPr="0008760E">
        <w:rPr>
          <w:rFonts w:eastAsia="Calibri"/>
          <w:bCs/>
          <w:lang w:eastAsia="en-US"/>
        </w:rPr>
        <w:t>)</w:t>
      </w:r>
      <w:r w:rsidR="00664420" w:rsidRPr="0008760E">
        <w:t xml:space="preserve"> </w:t>
      </w:r>
      <w:r w:rsidR="00865CF4" w:rsidRPr="0008760E">
        <w:rPr>
          <w:lang w:val="es-ES"/>
        </w:rPr>
        <w:t>Manifestaciones de la Parte Recurrente</w:t>
      </w:r>
      <w:bookmarkEnd w:id="15"/>
    </w:p>
    <w:p w14:paraId="08555514" w14:textId="7A5A9358" w:rsidR="002F6F77" w:rsidRPr="0008760E" w:rsidRDefault="001C04A2" w:rsidP="0008760E">
      <w:pPr>
        <w:rPr>
          <w:rFonts w:cs="Tahoma"/>
          <w:szCs w:val="24"/>
        </w:rPr>
      </w:pPr>
      <w:r w:rsidRPr="0008760E">
        <w:rPr>
          <w:rFonts w:cs="Tahoma"/>
          <w:szCs w:val="24"/>
        </w:rPr>
        <w:t xml:space="preserve">El </w:t>
      </w:r>
      <w:r w:rsidRPr="0008760E">
        <w:rPr>
          <w:rFonts w:cs="Tahoma"/>
          <w:b/>
          <w:szCs w:val="24"/>
        </w:rPr>
        <w:t xml:space="preserve">veintiocho de octubre de dos mil veinticuatro, </w:t>
      </w:r>
      <w:r w:rsidR="00865CF4" w:rsidRPr="0008760E">
        <w:rPr>
          <w:rFonts w:cs="Tahoma"/>
          <w:b/>
          <w:szCs w:val="24"/>
        </w:rPr>
        <w:t xml:space="preserve">LA PARTE RECURRENTE </w:t>
      </w:r>
      <w:r w:rsidR="002F6F77" w:rsidRPr="0008760E">
        <w:rPr>
          <w:rFonts w:eastAsia="Arial Unicode MS" w:cs="Arial"/>
        </w:rPr>
        <w:t xml:space="preserve">en el apartado de </w:t>
      </w:r>
      <w:r w:rsidR="00865CF4" w:rsidRPr="0008760E">
        <w:rPr>
          <w:rFonts w:eastAsia="Arial Unicode MS" w:cs="Arial"/>
        </w:rPr>
        <w:t>manifestaci</w:t>
      </w:r>
      <w:r w:rsidR="002F6F77" w:rsidRPr="0008760E">
        <w:rPr>
          <w:rFonts w:eastAsia="Arial Unicode MS" w:cs="Arial"/>
        </w:rPr>
        <w:t xml:space="preserve">ones ajuntó el archivo electrónico denominado </w:t>
      </w:r>
      <w:r w:rsidR="002F6F77" w:rsidRPr="0008760E">
        <w:rPr>
          <w:rFonts w:cs="Tahoma"/>
          <w:b/>
          <w:szCs w:val="24"/>
        </w:rPr>
        <w:t xml:space="preserve">alegatos 159SUTEYM.pdf, </w:t>
      </w:r>
      <w:r w:rsidR="002F6F77" w:rsidRPr="0008760E">
        <w:rPr>
          <w:rFonts w:cs="Tahoma"/>
          <w:szCs w:val="24"/>
        </w:rPr>
        <w:t xml:space="preserve">por medio del cual reitera su intención de obtener la copia certificada. </w:t>
      </w:r>
    </w:p>
    <w:p w14:paraId="43289D82" w14:textId="77777777" w:rsidR="00865CF4" w:rsidRPr="0008760E" w:rsidRDefault="00865CF4" w:rsidP="0008760E">
      <w:pPr>
        <w:rPr>
          <w:rFonts w:eastAsia="Arial Unicode MS" w:cs="Arial"/>
        </w:rPr>
      </w:pPr>
    </w:p>
    <w:p w14:paraId="0E651988" w14:textId="07B7DBA4" w:rsidR="00664420" w:rsidRPr="0008760E" w:rsidRDefault="007517BD" w:rsidP="0008760E">
      <w:pPr>
        <w:pStyle w:val="Ttulo3"/>
      </w:pPr>
      <w:bookmarkStart w:id="16" w:name="_Toc181794070"/>
      <w:r w:rsidRPr="0008760E">
        <w:rPr>
          <w:rFonts w:eastAsia="Calibri"/>
        </w:rPr>
        <w:t xml:space="preserve">f) </w:t>
      </w:r>
      <w:r w:rsidR="00664420" w:rsidRPr="0008760E">
        <w:t>Cierre de instrucción</w:t>
      </w:r>
      <w:bookmarkEnd w:id="16"/>
    </w:p>
    <w:p w14:paraId="79AF95DC" w14:textId="7B81A8A3" w:rsidR="00664420" w:rsidRPr="0008760E" w:rsidRDefault="00BF091A" w:rsidP="0008760E">
      <w:r w:rsidRPr="0008760E">
        <w:rPr>
          <w:rFonts w:cs="Tahoma"/>
          <w:szCs w:val="22"/>
        </w:rPr>
        <w:t>Al no existir diligencias pendientes por desahogar</w:t>
      </w:r>
      <w:r w:rsidRPr="0008760E">
        <w:rPr>
          <w:rFonts w:cs="Arial"/>
        </w:rPr>
        <w:t xml:space="preserve">, el </w:t>
      </w:r>
      <w:bookmarkStart w:id="17" w:name="_Hlk104892386"/>
      <w:r w:rsidR="002F6F77" w:rsidRPr="0008760E">
        <w:rPr>
          <w:rFonts w:cs="Arial"/>
          <w:b/>
        </w:rPr>
        <w:t xml:space="preserve">cinco de noviembre </w:t>
      </w:r>
      <w:bookmarkEnd w:id="17"/>
      <w:r w:rsidRPr="0008760E">
        <w:rPr>
          <w:rFonts w:cs="Arial"/>
          <w:b/>
        </w:rPr>
        <w:t xml:space="preserve">de dos mil </w:t>
      </w:r>
      <w:r w:rsidR="0075751F" w:rsidRPr="0008760E">
        <w:rPr>
          <w:rFonts w:cs="Arial"/>
          <w:b/>
        </w:rPr>
        <w:t xml:space="preserve">veinticuatro </w:t>
      </w:r>
      <w:r w:rsidRPr="0008760E">
        <w:rPr>
          <w:rFonts w:cs="Arial"/>
        </w:rPr>
        <w:t xml:space="preserve">la </w:t>
      </w:r>
      <w:r w:rsidRPr="0008760E">
        <w:rPr>
          <w:rFonts w:cs="Arial"/>
          <w:b/>
          <w:bCs/>
        </w:rPr>
        <w:t xml:space="preserve">Comisionada </w:t>
      </w:r>
      <w:r w:rsidRPr="0008760E">
        <w:rPr>
          <w:b/>
        </w:rPr>
        <w:t xml:space="preserve">Sharon Cristina Morales Martínez </w:t>
      </w:r>
      <w:r w:rsidRPr="0008760E">
        <w:rPr>
          <w:rFonts w:cs="Arial"/>
        </w:rPr>
        <w:t>acordó el cierre de instrucción</w:t>
      </w:r>
      <w:r w:rsidR="0011350D" w:rsidRPr="0008760E">
        <w:rPr>
          <w:rFonts w:cs="Arial"/>
        </w:rPr>
        <w:t xml:space="preserve"> y</w:t>
      </w:r>
      <w:r w:rsidRPr="0008760E">
        <w:rPr>
          <w:rFonts w:cs="Arial"/>
        </w:rPr>
        <w:t xml:space="preserve"> </w:t>
      </w:r>
      <w:r w:rsidR="0011350D" w:rsidRPr="0008760E">
        <w:rPr>
          <w:rFonts w:cs="Arial"/>
        </w:rPr>
        <w:t xml:space="preserve">la </w:t>
      </w:r>
      <w:r w:rsidRPr="0008760E">
        <w:rPr>
          <w:rFonts w:cs="Arial"/>
        </w:rPr>
        <w:t>remisión del expediente a efecto de ser resuelto, de conformidad con lo establecido en el artículo 185 fracciones VI y VIII de la Ley de Transparencia y Acceso a la Información Pública del Estado de México y Municipios</w:t>
      </w:r>
      <w:r w:rsidRPr="0008760E">
        <w:t>.</w:t>
      </w:r>
      <w:r w:rsidR="0011350D" w:rsidRPr="0008760E">
        <w:t xml:space="preserve"> Dicho acuerdo </w:t>
      </w:r>
      <w:r w:rsidR="00664420" w:rsidRPr="0008760E">
        <w:rPr>
          <w:rFonts w:cs="Tahoma"/>
          <w:szCs w:val="22"/>
        </w:rPr>
        <w:t xml:space="preserve">fue notificado a las partes el mismo día a través del </w:t>
      </w:r>
      <w:r w:rsidR="00664420" w:rsidRPr="0008760E">
        <w:rPr>
          <w:rFonts w:cs="Tahoma"/>
          <w:szCs w:val="22"/>
          <w:lang w:val="es-ES"/>
        </w:rPr>
        <w:t>SAIMEX</w:t>
      </w:r>
      <w:r w:rsidR="00664420" w:rsidRPr="0008760E">
        <w:rPr>
          <w:rFonts w:cs="Tahoma"/>
          <w:szCs w:val="22"/>
        </w:rPr>
        <w:t>.</w:t>
      </w:r>
    </w:p>
    <w:p w14:paraId="741683E3" w14:textId="77777777" w:rsidR="0011350D" w:rsidRPr="0008760E" w:rsidRDefault="0011350D" w:rsidP="0008760E">
      <w:pPr>
        <w:rPr>
          <w:rFonts w:cs="Tahoma"/>
          <w:szCs w:val="22"/>
        </w:rPr>
      </w:pPr>
    </w:p>
    <w:p w14:paraId="7A9629DE" w14:textId="77777777" w:rsidR="00664420" w:rsidRPr="0008760E" w:rsidRDefault="00664420" w:rsidP="0008760E">
      <w:pPr>
        <w:pStyle w:val="Ttulo1"/>
        <w:rPr>
          <w:rFonts w:eastAsiaTheme="minorHAnsi"/>
          <w:lang w:eastAsia="en-US"/>
        </w:rPr>
      </w:pPr>
      <w:bookmarkStart w:id="18" w:name="_Toc181794071"/>
      <w:r w:rsidRPr="0008760E">
        <w:rPr>
          <w:rFonts w:eastAsiaTheme="minorHAnsi"/>
          <w:lang w:eastAsia="en-US"/>
        </w:rPr>
        <w:t>CONSIDERANDOS</w:t>
      </w:r>
      <w:bookmarkEnd w:id="18"/>
    </w:p>
    <w:p w14:paraId="6DD1243B" w14:textId="77777777" w:rsidR="00664420" w:rsidRPr="0008760E" w:rsidRDefault="00664420" w:rsidP="0008760E">
      <w:pPr>
        <w:contextualSpacing/>
        <w:jc w:val="center"/>
        <w:rPr>
          <w:rFonts w:eastAsiaTheme="minorHAnsi" w:cs="Tahoma"/>
          <w:b/>
          <w:szCs w:val="22"/>
          <w:lang w:eastAsia="en-US"/>
        </w:rPr>
      </w:pPr>
    </w:p>
    <w:p w14:paraId="0B67CB92" w14:textId="2E307D3B" w:rsidR="00664420" w:rsidRPr="0008760E" w:rsidRDefault="00664420" w:rsidP="0008760E">
      <w:pPr>
        <w:pStyle w:val="Ttulo2"/>
        <w:rPr>
          <w:rFonts w:eastAsia="Batang"/>
        </w:rPr>
      </w:pPr>
      <w:bookmarkStart w:id="19" w:name="_Toc181794072"/>
      <w:r w:rsidRPr="0008760E">
        <w:rPr>
          <w:rFonts w:eastAsia="Batang"/>
        </w:rPr>
        <w:t xml:space="preserve">PRIMERO. </w:t>
      </w:r>
      <w:r w:rsidR="00BA55A8" w:rsidRPr="0008760E">
        <w:rPr>
          <w:rFonts w:eastAsia="Batang"/>
        </w:rPr>
        <w:t>Procedibilidad</w:t>
      </w:r>
      <w:bookmarkEnd w:id="19"/>
    </w:p>
    <w:p w14:paraId="39C52BC1" w14:textId="56FCC20D" w:rsidR="00BA55A8" w:rsidRPr="0008760E" w:rsidRDefault="00BA55A8" w:rsidP="0008760E">
      <w:pPr>
        <w:pStyle w:val="Ttulo3"/>
      </w:pPr>
      <w:bookmarkStart w:id="20" w:name="_Toc181794073"/>
      <w:r w:rsidRPr="0008760E">
        <w:t>a) Competencia</w:t>
      </w:r>
      <w:r w:rsidR="00150C49" w:rsidRPr="0008760E">
        <w:t xml:space="preserve"> del Instituto</w:t>
      </w:r>
      <w:bookmarkEnd w:id="20"/>
    </w:p>
    <w:p w14:paraId="56E64942" w14:textId="6572EDF7" w:rsidR="0011350D" w:rsidRPr="0008760E" w:rsidRDefault="0011350D" w:rsidP="0008760E">
      <w:pPr>
        <w:rPr>
          <w:rFonts w:cs="Arial"/>
        </w:rPr>
      </w:pPr>
      <w:r w:rsidRPr="0008760E">
        <w:t xml:space="preserve">Este Instituto de Transparencia, Acceso a la Información Pública y Protección de Datos Personales del Estado de México y Municipios es competente para conocer y resolver </w:t>
      </w:r>
      <w:r w:rsidR="005F65B7" w:rsidRPr="0008760E">
        <w:t xml:space="preserve">el </w:t>
      </w:r>
      <w:r w:rsidRPr="0008760E">
        <w:t xml:space="preserve">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w:t>
      </w:r>
      <w:r w:rsidRPr="0008760E">
        <w:lastRenderedPageBreak/>
        <w:t>de México y Municipios</w:t>
      </w:r>
      <w:r w:rsidRPr="0008760E">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08760E" w:rsidRDefault="00DB1C09" w:rsidP="0008760E">
      <w:pPr>
        <w:rPr>
          <w:rFonts w:cs="Arial"/>
        </w:rPr>
      </w:pPr>
    </w:p>
    <w:p w14:paraId="517A2DD6" w14:textId="4169BE4D" w:rsidR="00664420" w:rsidRPr="0008760E" w:rsidRDefault="00BA55A8" w:rsidP="0008760E">
      <w:pPr>
        <w:pStyle w:val="Ttulo3"/>
      </w:pPr>
      <w:bookmarkStart w:id="21" w:name="_Toc181794074"/>
      <w:r w:rsidRPr="0008760E">
        <w:t>b)</w:t>
      </w:r>
      <w:r w:rsidR="00664420" w:rsidRPr="0008760E">
        <w:t xml:space="preserve"> </w:t>
      </w:r>
      <w:r w:rsidR="00D91CB4" w:rsidRPr="0008760E">
        <w:t>Legitimidad</w:t>
      </w:r>
      <w:r w:rsidRPr="0008760E">
        <w:t xml:space="preserve"> de la parte recurrente</w:t>
      </w:r>
      <w:bookmarkEnd w:id="21"/>
    </w:p>
    <w:p w14:paraId="26FEA382" w14:textId="0B06695C" w:rsidR="00D91CB4" w:rsidRPr="0008760E" w:rsidRDefault="00D91CB4" w:rsidP="0008760E">
      <w:pPr>
        <w:rPr>
          <w:rFonts w:cs="Arial"/>
          <w:bCs/>
        </w:rPr>
      </w:pPr>
      <w:r w:rsidRPr="0008760E">
        <w:rPr>
          <w:rFonts w:cs="Arial"/>
          <w:bCs/>
        </w:rPr>
        <w:t>El recurso de revisión fue interpuesto por parte legítima, ya que se presentó por la misma persona que formuló la solicitud de acceso a la Información Pública,</w:t>
      </w:r>
      <w:r w:rsidRPr="0008760E">
        <w:rPr>
          <w:rFonts w:cs="Arial"/>
          <w:b/>
          <w:bCs/>
        </w:rPr>
        <w:t xml:space="preserve"> </w:t>
      </w:r>
      <w:r w:rsidRPr="0008760E">
        <w:rPr>
          <w:rFonts w:cs="Arial"/>
        </w:rPr>
        <w:t>debido a que los datos de acceso</w:t>
      </w:r>
      <w:r w:rsidRPr="0008760E">
        <w:rPr>
          <w:rFonts w:cs="Arial"/>
          <w:b/>
          <w:bCs/>
        </w:rPr>
        <w:t xml:space="preserve"> </w:t>
      </w:r>
      <w:r w:rsidRPr="0008760E">
        <w:rPr>
          <w:rFonts w:cs="Arial"/>
          <w:b/>
        </w:rPr>
        <w:t>SAIMEX</w:t>
      </w:r>
      <w:r w:rsidRPr="0008760E">
        <w:rPr>
          <w:rFonts w:eastAsia="Calibri" w:cs="Arial"/>
          <w:lang w:eastAsia="en-US"/>
        </w:rPr>
        <w:t xml:space="preserve"> son personales e irrepetibles.</w:t>
      </w:r>
    </w:p>
    <w:p w14:paraId="2C367810" w14:textId="77777777" w:rsidR="00D91CB4" w:rsidRPr="0008760E" w:rsidRDefault="00D91CB4" w:rsidP="0008760E"/>
    <w:p w14:paraId="5C5FA5A8" w14:textId="77777777" w:rsidR="004565C2" w:rsidRPr="0008760E" w:rsidRDefault="004565C2" w:rsidP="0008760E">
      <w:pPr>
        <w:pStyle w:val="Ttulo3"/>
        <w:rPr>
          <w:rFonts w:eastAsia="Calibri"/>
          <w:lang w:eastAsia="es-ES_tradnl"/>
        </w:rPr>
      </w:pPr>
      <w:bookmarkStart w:id="22" w:name="_Toc170932820"/>
      <w:bookmarkStart w:id="23" w:name="_Toc181794075"/>
      <w:r w:rsidRPr="0008760E">
        <w:rPr>
          <w:rFonts w:eastAsia="Calibri"/>
          <w:lang w:eastAsia="es-ES_tradnl"/>
        </w:rPr>
        <w:t>c) Plazo para interponer el recurso</w:t>
      </w:r>
      <w:bookmarkEnd w:id="22"/>
      <w:bookmarkEnd w:id="23"/>
    </w:p>
    <w:p w14:paraId="5C63152A" w14:textId="6B17304C" w:rsidR="004565C2" w:rsidRPr="0008760E" w:rsidRDefault="004565C2" w:rsidP="0008760E">
      <w:pPr>
        <w:rPr>
          <w:rFonts w:eastAsiaTheme="minorEastAsia" w:cs="Arial"/>
          <w:lang w:val="es-ES_tradnl"/>
        </w:rPr>
      </w:pPr>
      <w:r w:rsidRPr="0008760E">
        <w:rPr>
          <w:rFonts w:cs="Arial"/>
          <w:b/>
        </w:rPr>
        <w:t>EL SUJETO OBLIGADO</w:t>
      </w:r>
      <w:r w:rsidRPr="0008760E">
        <w:rPr>
          <w:rFonts w:cs="Arial"/>
        </w:rPr>
        <w:t xml:space="preserve"> notificó la respuesta a la solicitud de acceso a la Información Pública el </w:t>
      </w:r>
      <w:r w:rsidR="001E7669" w:rsidRPr="0008760E">
        <w:rPr>
          <w:rFonts w:eastAsia="Palatino Linotype" w:cs="Palatino Linotype"/>
          <w:b/>
        </w:rPr>
        <w:t xml:space="preserve">diecinueve </w:t>
      </w:r>
      <w:r w:rsidR="00C4456F" w:rsidRPr="0008760E">
        <w:rPr>
          <w:rFonts w:eastAsia="Palatino Linotype" w:cs="Palatino Linotype"/>
          <w:b/>
        </w:rPr>
        <w:t xml:space="preserve">de </w:t>
      </w:r>
      <w:r w:rsidR="003F72B0" w:rsidRPr="0008760E">
        <w:rPr>
          <w:rFonts w:eastAsia="Palatino Linotype" w:cs="Palatino Linotype"/>
          <w:b/>
        </w:rPr>
        <w:t>septiembre d</w:t>
      </w:r>
      <w:r w:rsidR="00101093" w:rsidRPr="0008760E">
        <w:rPr>
          <w:rFonts w:eastAsia="Palatino Linotype" w:cs="Palatino Linotype"/>
          <w:b/>
        </w:rPr>
        <w:t>e</w:t>
      </w:r>
      <w:r w:rsidRPr="0008760E">
        <w:rPr>
          <w:rFonts w:eastAsia="Palatino Linotype" w:cs="Palatino Linotype"/>
          <w:b/>
        </w:rPr>
        <w:t xml:space="preserve"> dos mil veinticuatro </w:t>
      </w:r>
      <w:r w:rsidRPr="0008760E">
        <w:rPr>
          <w:rFonts w:cs="Arial"/>
        </w:rPr>
        <w:t xml:space="preserve">y el recurso </w:t>
      </w:r>
      <w:r w:rsidRPr="0008760E">
        <w:rPr>
          <w:rFonts w:eastAsia="Palatino Linotype" w:cs="Palatino Linotype"/>
        </w:rPr>
        <w:t xml:space="preserve">que nos ocupa se interpuso el </w:t>
      </w:r>
      <w:r w:rsidR="001E7669" w:rsidRPr="0008760E">
        <w:rPr>
          <w:rFonts w:eastAsia="Palatino Linotype" w:cs="Palatino Linotype"/>
          <w:b/>
        </w:rPr>
        <w:t xml:space="preserve">veinticinco </w:t>
      </w:r>
      <w:r w:rsidR="003F72B0" w:rsidRPr="0008760E">
        <w:rPr>
          <w:rFonts w:eastAsia="Palatino Linotype" w:cs="Palatino Linotype"/>
          <w:b/>
        </w:rPr>
        <w:t xml:space="preserve">de septiembre </w:t>
      </w:r>
      <w:r w:rsidRPr="0008760E">
        <w:rPr>
          <w:rFonts w:eastAsia="Palatino Linotype" w:cs="Palatino Linotype"/>
          <w:b/>
        </w:rPr>
        <w:t>de dos mil veinticuatro</w:t>
      </w:r>
      <w:r w:rsidRPr="0008760E">
        <w:rPr>
          <w:rFonts w:eastAsia="Palatino Linotype" w:cs="Palatino Linotype"/>
          <w:bCs/>
        </w:rPr>
        <w:t>;</w:t>
      </w:r>
      <w:r w:rsidRPr="0008760E">
        <w:rPr>
          <w:rFonts w:eastAsia="Palatino Linotype" w:cs="Palatino Linotype"/>
        </w:rPr>
        <w:t xml:space="preserve"> por lo tanto, éste se encuentra dentro del margen temporal previsto en el artículo 178 de la </w:t>
      </w:r>
      <w:r w:rsidRPr="0008760E">
        <w:rPr>
          <w:rFonts w:cs="Arial"/>
        </w:rPr>
        <w:t xml:space="preserve">Ley de Transparencia y Acceso a la Información Pública del Estado de México y Municipios, </w:t>
      </w:r>
      <w:r w:rsidRPr="0008760E">
        <w:rPr>
          <w:rFonts w:eastAsia="Calibri"/>
          <w:lang w:eastAsia="es-ES_tradnl"/>
        </w:rPr>
        <w:t xml:space="preserve">el cual </w:t>
      </w:r>
      <w:r w:rsidRPr="0008760E">
        <w:rPr>
          <w:rFonts w:cs="Arial"/>
        </w:rPr>
        <w:t xml:space="preserve">transcurrió del </w:t>
      </w:r>
      <w:r w:rsidR="001E7669" w:rsidRPr="0008760E">
        <w:rPr>
          <w:rFonts w:cs="Arial"/>
          <w:b/>
        </w:rPr>
        <w:t>veinte</w:t>
      </w:r>
      <w:r w:rsidR="003F72B0" w:rsidRPr="0008760E">
        <w:rPr>
          <w:rFonts w:cs="Arial"/>
          <w:b/>
        </w:rPr>
        <w:t xml:space="preserve"> de septiembre al </w:t>
      </w:r>
      <w:r w:rsidR="001E7669" w:rsidRPr="0008760E">
        <w:rPr>
          <w:rFonts w:cs="Arial"/>
          <w:b/>
        </w:rPr>
        <w:t>once</w:t>
      </w:r>
      <w:r w:rsidR="003F72B0" w:rsidRPr="0008760E">
        <w:rPr>
          <w:rFonts w:cs="Arial"/>
          <w:b/>
        </w:rPr>
        <w:t xml:space="preserve"> de octubre </w:t>
      </w:r>
      <w:r w:rsidR="00DA54C1" w:rsidRPr="0008760E">
        <w:rPr>
          <w:rFonts w:cs="Arial"/>
          <w:b/>
        </w:rPr>
        <w:t xml:space="preserve">de dos mil </w:t>
      </w:r>
      <w:r w:rsidRPr="0008760E">
        <w:rPr>
          <w:rFonts w:cs="Arial"/>
          <w:b/>
        </w:rPr>
        <w:t>veinticuatro</w:t>
      </w:r>
      <w:r w:rsidRPr="0008760E">
        <w:rPr>
          <w:rFonts w:cs="Arial"/>
        </w:rPr>
        <w:t xml:space="preserve">, </w:t>
      </w:r>
      <w:r w:rsidRPr="0008760E">
        <w:rPr>
          <w:rFonts w:eastAsiaTheme="minorEastAsia" w:cs="Arial"/>
          <w:lang w:val="es-ES_tradnl"/>
        </w:rPr>
        <w:t xml:space="preserve">sin contemplar en el cómputo los días </w:t>
      </w:r>
      <w:bookmarkStart w:id="24" w:name="_Hlk62134391"/>
      <w:r w:rsidRPr="0008760E">
        <w:rPr>
          <w:rFonts w:eastAsiaTheme="minorEastAsia" w:cs="Arial"/>
          <w:lang w:val="es-ES_tradnl"/>
        </w:rPr>
        <w:t xml:space="preserve">sábados, domingos y aquellos considerados como días inhábiles en términos del </w:t>
      </w:r>
      <w:bookmarkEnd w:id="24"/>
      <w:r w:rsidRPr="0008760E">
        <w:rPr>
          <w:rFonts w:eastAsiaTheme="minorEastAsia" w:cs="Arial"/>
          <w:lang w:val="es-ES_tradnl"/>
        </w:rPr>
        <w:t>Calendario oficial en Materia de Transparencia, Acceso a la Información Pública y Protección de Datos Personales del Estado de México y Municipios, así como de labores del Instituto.</w:t>
      </w:r>
    </w:p>
    <w:p w14:paraId="11CC0EC7" w14:textId="77777777" w:rsidR="004565C2" w:rsidRPr="0008760E" w:rsidRDefault="004565C2" w:rsidP="0008760E"/>
    <w:p w14:paraId="46C0EB3A" w14:textId="5A92AF42" w:rsidR="00A53315" w:rsidRPr="0008760E" w:rsidRDefault="00BA55A8" w:rsidP="0008760E">
      <w:pPr>
        <w:pStyle w:val="Ttulo3"/>
        <w:rPr>
          <w:rFonts w:eastAsia="Calibri"/>
          <w:lang w:eastAsia="es-ES_tradnl"/>
        </w:rPr>
      </w:pPr>
      <w:bookmarkStart w:id="25" w:name="_Toc181794076"/>
      <w:r w:rsidRPr="0008760E">
        <w:rPr>
          <w:rFonts w:eastAsia="Calibri"/>
          <w:lang w:eastAsia="es-ES_tradnl"/>
        </w:rPr>
        <w:t>d)</w:t>
      </w:r>
      <w:r w:rsidR="00D91CB4" w:rsidRPr="0008760E">
        <w:rPr>
          <w:rFonts w:eastAsia="Calibri"/>
          <w:lang w:eastAsia="es-ES_tradnl"/>
        </w:rPr>
        <w:t xml:space="preserve"> </w:t>
      </w:r>
      <w:r w:rsidR="004565C2" w:rsidRPr="0008760E">
        <w:rPr>
          <w:rFonts w:eastAsia="Calibri"/>
          <w:lang w:eastAsia="es-ES_tradnl"/>
        </w:rPr>
        <w:t>Causal de procedencia</w:t>
      </w:r>
      <w:bookmarkEnd w:id="25"/>
    </w:p>
    <w:p w14:paraId="190404A6" w14:textId="26A9C2A3" w:rsidR="00BA55A8" w:rsidRPr="0008760E" w:rsidRDefault="00BA55A8" w:rsidP="0008760E">
      <w:r w:rsidRPr="0008760E">
        <w:rPr>
          <w:rFonts w:cs="Arial"/>
        </w:rPr>
        <w:t xml:space="preserve">Resulta procedente la interposición del recurso de revisión, ya que </w:t>
      </w:r>
      <w:r w:rsidRPr="0008760E">
        <w:rPr>
          <w:rFonts w:eastAsia="Calibri" w:cs="Tahoma"/>
          <w:szCs w:val="22"/>
          <w:lang w:eastAsia="es-MX"/>
        </w:rPr>
        <w:t xml:space="preserve">se actualiza la causal de procedencia señalada en el artículo 179, fracción </w:t>
      </w:r>
      <w:r w:rsidR="001E7669" w:rsidRPr="0008760E">
        <w:rPr>
          <w:rFonts w:eastAsia="Calibri" w:cs="Tahoma"/>
          <w:szCs w:val="22"/>
          <w:lang w:eastAsia="es-MX"/>
        </w:rPr>
        <w:t>VIII</w:t>
      </w:r>
      <w:r w:rsidRPr="0008760E">
        <w:rPr>
          <w:rFonts w:cs="Arial"/>
        </w:rPr>
        <w:t xml:space="preserve"> de la </w:t>
      </w:r>
      <w:r w:rsidRPr="0008760E">
        <w:t>Ley de Transparencia y Acceso a la Información Pública del Estado de México y Municipios.</w:t>
      </w:r>
    </w:p>
    <w:p w14:paraId="2284D7EB" w14:textId="3EE1D036" w:rsidR="00BA55A8" w:rsidRPr="0008760E" w:rsidRDefault="00362A11" w:rsidP="0008760E">
      <w:pPr>
        <w:pStyle w:val="Ttulo3"/>
      </w:pPr>
      <w:bookmarkStart w:id="26" w:name="_Toc181794077"/>
      <w:r w:rsidRPr="0008760E">
        <w:lastRenderedPageBreak/>
        <w:t>e) Requisitos formales para la interposición del recurso</w:t>
      </w:r>
      <w:bookmarkEnd w:id="26"/>
    </w:p>
    <w:p w14:paraId="1646C66E" w14:textId="77777777" w:rsidR="00101093" w:rsidRPr="0008760E" w:rsidRDefault="00101093" w:rsidP="0008760E">
      <w:pPr>
        <w:rPr>
          <w:rFonts w:cs="Arial"/>
        </w:rPr>
      </w:pPr>
      <w:r w:rsidRPr="0008760E">
        <w:rPr>
          <w:rFonts w:cs="Arial"/>
          <w:b/>
          <w:bCs/>
        </w:rPr>
        <w:t xml:space="preserve">LA PARTE RECURRENTE </w:t>
      </w:r>
      <w:r w:rsidRPr="0008760E">
        <w:rPr>
          <w:rFonts w:cs="Arial"/>
        </w:rPr>
        <w:t>acreditó todos y cada uno de los elementos formales exigidos por el artículo 180 de la misma normatividad.</w:t>
      </w:r>
    </w:p>
    <w:p w14:paraId="343723E2" w14:textId="77777777" w:rsidR="00101093" w:rsidRPr="0008760E" w:rsidRDefault="00101093" w:rsidP="0008760E">
      <w:pPr>
        <w:rPr>
          <w:rFonts w:cs="Arial"/>
        </w:rPr>
      </w:pPr>
    </w:p>
    <w:p w14:paraId="457548E9" w14:textId="3F7AF03B" w:rsidR="00C71CEF" w:rsidRPr="0008760E" w:rsidRDefault="00C71CEF" w:rsidP="0008760E">
      <w:pPr>
        <w:pStyle w:val="Ttulo2"/>
      </w:pPr>
      <w:bookmarkStart w:id="27" w:name="_Toc181794078"/>
      <w:r w:rsidRPr="0008760E">
        <w:t>SEGUNDO. Estudio de Fondo</w:t>
      </w:r>
      <w:bookmarkEnd w:id="27"/>
    </w:p>
    <w:p w14:paraId="2A308F59" w14:textId="0FF373F0" w:rsidR="00C049E2" w:rsidRPr="0008760E" w:rsidRDefault="00C71CEF" w:rsidP="0008760E">
      <w:pPr>
        <w:pStyle w:val="Ttulo3"/>
      </w:pPr>
      <w:bookmarkStart w:id="28" w:name="_Toc181794079"/>
      <w:r w:rsidRPr="0008760E">
        <w:t>a</w:t>
      </w:r>
      <w:r w:rsidR="00C049E2" w:rsidRPr="0008760E">
        <w:t>) Mandato de transparencia y responsabilidad del Sujeto Obligado</w:t>
      </w:r>
      <w:bookmarkEnd w:id="28"/>
    </w:p>
    <w:p w14:paraId="6901A889" w14:textId="59EEDAE1" w:rsidR="00C049E2" w:rsidRPr="0008760E" w:rsidRDefault="00C049E2" w:rsidP="0008760E">
      <w:pPr>
        <w:rPr>
          <w:rFonts w:eastAsia="Palatino Linotype"/>
        </w:rPr>
      </w:pPr>
      <w:r w:rsidRPr="0008760E">
        <w:rPr>
          <w:rFonts w:eastAsia="Palatino Linotype"/>
        </w:rPr>
        <w:t xml:space="preserve">El </w:t>
      </w:r>
      <w:r w:rsidR="00717E59" w:rsidRPr="0008760E">
        <w:rPr>
          <w:rFonts w:eastAsia="Palatino Linotype"/>
        </w:rPr>
        <w:t>d</w:t>
      </w:r>
      <w:r w:rsidRPr="0008760E">
        <w:rPr>
          <w:rFonts w:eastAsia="Palatino Linotype"/>
        </w:rPr>
        <w:t xml:space="preserve">erecho de </w:t>
      </w:r>
      <w:r w:rsidR="00717E59" w:rsidRPr="0008760E">
        <w:rPr>
          <w:rFonts w:eastAsia="Palatino Linotype"/>
        </w:rPr>
        <w:t>a</w:t>
      </w:r>
      <w:r w:rsidRPr="0008760E">
        <w:rPr>
          <w:rFonts w:eastAsia="Palatino Linotype"/>
        </w:rPr>
        <w:t xml:space="preserve">cceso a la </w:t>
      </w:r>
      <w:r w:rsidR="00717E59" w:rsidRPr="0008760E">
        <w:rPr>
          <w:rFonts w:eastAsia="Palatino Linotype"/>
        </w:rPr>
        <w:t>i</w:t>
      </w:r>
      <w:r w:rsidRPr="0008760E">
        <w:rPr>
          <w:rFonts w:eastAsia="Palatino Linotype"/>
        </w:rPr>
        <w:t xml:space="preserve">nformación </w:t>
      </w:r>
      <w:r w:rsidR="00717E59" w:rsidRPr="0008760E">
        <w:rPr>
          <w:rFonts w:eastAsia="Palatino Linotype"/>
        </w:rPr>
        <w:t>p</w:t>
      </w:r>
      <w:r w:rsidRPr="0008760E">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08760E">
        <w:rPr>
          <w:rFonts w:eastAsia="Palatino Linotype"/>
        </w:rPr>
        <w:t>:</w:t>
      </w:r>
    </w:p>
    <w:p w14:paraId="7FAB8D32" w14:textId="77777777" w:rsidR="00C049E2" w:rsidRPr="0008760E" w:rsidRDefault="00C049E2" w:rsidP="0008760E">
      <w:pPr>
        <w:rPr>
          <w:rFonts w:eastAsia="Palatino Linotype"/>
        </w:rPr>
      </w:pPr>
    </w:p>
    <w:p w14:paraId="05320813" w14:textId="77777777" w:rsidR="00C049E2" w:rsidRPr="0008760E" w:rsidRDefault="00C049E2" w:rsidP="0008760E">
      <w:pPr>
        <w:pStyle w:val="Puesto"/>
        <w:rPr>
          <w:rFonts w:eastAsia="Palatino Linotype"/>
          <w:b/>
        </w:rPr>
      </w:pPr>
      <w:r w:rsidRPr="0008760E">
        <w:rPr>
          <w:rFonts w:eastAsia="Palatino Linotype"/>
          <w:b/>
        </w:rPr>
        <w:t>Constitución Política de los Estados Unidos Mexicanos</w:t>
      </w:r>
    </w:p>
    <w:p w14:paraId="6B6C67B6" w14:textId="77777777" w:rsidR="00C049E2" w:rsidRPr="0008760E" w:rsidRDefault="00C049E2" w:rsidP="0008760E">
      <w:pPr>
        <w:pStyle w:val="Puesto"/>
        <w:rPr>
          <w:rFonts w:eastAsia="Palatino Linotype"/>
          <w:b/>
        </w:rPr>
      </w:pPr>
      <w:r w:rsidRPr="0008760E">
        <w:rPr>
          <w:rFonts w:eastAsia="Palatino Linotype"/>
        </w:rPr>
        <w:t>“</w:t>
      </w:r>
      <w:r w:rsidRPr="0008760E">
        <w:rPr>
          <w:rFonts w:eastAsia="Palatino Linotype"/>
          <w:b/>
        </w:rPr>
        <w:t>Artículo 6.</w:t>
      </w:r>
    </w:p>
    <w:p w14:paraId="38D3B4C4" w14:textId="77777777" w:rsidR="00C049E2" w:rsidRPr="0008760E" w:rsidRDefault="00C049E2" w:rsidP="0008760E">
      <w:pPr>
        <w:pStyle w:val="Puesto"/>
        <w:rPr>
          <w:rFonts w:eastAsia="Palatino Linotype"/>
        </w:rPr>
      </w:pPr>
      <w:r w:rsidRPr="0008760E">
        <w:rPr>
          <w:rFonts w:eastAsia="Palatino Linotype"/>
        </w:rPr>
        <w:t>(…)</w:t>
      </w:r>
    </w:p>
    <w:p w14:paraId="2CCAA297" w14:textId="6602827B" w:rsidR="00C049E2" w:rsidRPr="0008760E" w:rsidRDefault="00C049E2" w:rsidP="0008760E">
      <w:pPr>
        <w:pStyle w:val="Puesto"/>
        <w:rPr>
          <w:rFonts w:eastAsia="Palatino Linotype"/>
        </w:rPr>
      </w:pPr>
      <w:r w:rsidRPr="0008760E">
        <w:rPr>
          <w:rFonts w:eastAsia="Palatino Linotype"/>
        </w:rPr>
        <w:t>Para efectos de lo dispuesto en el presente artículo se observará lo siguiente:</w:t>
      </w:r>
    </w:p>
    <w:p w14:paraId="74CC3718" w14:textId="77777777" w:rsidR="00C049E2" w:rsidRPr="0008760E" w:rsidRDefault="00C049E2" w:rsidP="0008760E">
      <w:pPr>
        <w:pStyle w:val="Puesto"/>
        <w:rPr>
          <w:rFonts w:eastAsia="Palatino Linotype"/>
        </w:rPr>
      </w:pPr>
      <w:r w:rsidRPr="0008760E">
        <w:rPr>
          <w:rFonts w:eastAsia="Palatino Linotype"/>
        </w:rPr>
        <w:t>A. Para el ejercicio del derecho de acceso a la información, la Federación y las entidades federativas, en el ámbito de sus respectivas competencias, se regirán por los siguientes principios y bases:</w:t>
      </w:r>
    </w:p>
    <w:p w14:paraId="596A956B" w14:textId="77777777" w:rsidR="00C049E2" w:rsidRPr="0008760E" w:rsidRDefault="00C049E2" w:rsidP="0008760E">
      <w:pPr>
        <w:pStyle w:val="Puesto"/>
        <w:rPr>
          <w:rFonts w:eastAsia="Palatino Linotype"/>
        </w:rPr>
      </w:pPr>
      <w:r w:rsidRPr="0008760E">
        <w:rPr>
          <w:rFonts w:eastAsia="Palatino Linotype"/>
        </w:rPr>
        <w:t xml:space="preserve">I. </w:t>
      </w:r>
      <w:r w:rsidRPr="0008760E">
        <w:rPr>
          <w:rFonts w:eastAsia="Palatino Linotype"/>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8F313E4" w14:textId="77777777" w:rsidR="00C049E2" w:rsidRPr="0008760E" w:rsidRDefault="00C049E2" w:rsidP="0008760E">
      <w:pPr>
        <w:pStyle w:val="Puesto"/>
        <w:rPr>
          <w:rFonts w:eastAsia="Palatino Linotype"/>
        </w:rPr>
      </w:pPr>
    </w:p>
    <w:p w14:paraId="504F12DB" w14:textId="77777777" w:rsidR="00C049E2" w:rsidRPr="0008760E" w:rsidRDefault="00C049E2" w:rsidP="0008760E">
      <w:pPr>
        <w:pStyle w:val="Puesto"/>
        <w:rPr>
          <w:rFonts w:eastAsia="Palatino Linotype"/>
          <w:b/>
        </w:rPr>
      </w:pPr>
      <w:r w:rsidRPr="0008760E">
        <w:rPr>
          <w:rFonts w:eastAsia="Palatino Linotype"/>
          <w:b/>
        </w:rPr>
        <w:t>Constitución Política del Estado Libre y Soberano de México</w:t>
      </w:r>
    </w:p>
    <w:p w14:paraId="04932D29" w14:textId="77777777" w:rsidR="00C049E2" w:rsidRPr="0008760E" w:rsidRDefault="00C049E2" w:rsidP="0008760E">
      <w:pPr>
        <w:pStyle w:val="Puesto"/>
        <w:rPr>
          <w:rFonts w:eastAsia="Palatino Linotype"/>
          <w:b/>
        </w:rPr>
      </w:pPr>
      <w:r w:rsidRPr="0008760E">
        <w:rPr>
          <w:rFonts w:eastAsia="Palatino Linotype"/>
        </w:rPr>
        <w:t>“</w:t>
      </w:r>
      <w:r w:rsidRPr="0008760E">
        <w:rPr>
          <w:rFonts w:eastAsia="Palatino Linotype"/>
          <w:b/>
        </w:rPr>
        <w:t xml:space="preserve">Artículo 5.- </w:t>
      </w:r>
    </w:p>
    <w:p w14:paraId="1D3829F4" w14:textId="77777777" w:rsidR="00C049E2" w:rsidRPr="0008760E" w:rsidRDefault="00C049E2" w:rsidP="0008760E">
      <w:pPr>
        <w:pStyle w:val="Puesto"/>
        <w:rPr>
          <w:rFonts w:eastAsia="Palatino Linotype"/>
        </w:rPr>
      </w:pPr>
      <w:r w:rsidRPr="0008760E">
        <w:rPr>
          <w:rFonts w:eastAsia="Palatino Linotype"/>
        </w:rPr>
        <w:t>(…)</w:t>
      </w:r>
    </w:p>
    <w:p w14:paraId="0EAE47FD" w14:textId="77777777" w:rsidR="00C049E2" w:rsidRPr="0008760E" w:rsidRDefault="00C049E2" w:rsidP="0008760E">
      <w:pPr>
        <w:pStyle w:val="Puesto"/>
        <w:rPr>
          <w:rFonts w:eastAsia="Palatino Linotype"/>
        </w:rPr>
      </w:pPr>
      <w:r w:rsidRPr="0008760E">
        <w:rPr>
          <w:rFonts w:eastAsia="Palatino Linotype"/>
        </w:rPr>
        <w:lastRenderedPageBreak/>
        <w:t>El derecho a la información será garantizado por el Estado. La ley establecerá las previsiones que permitan asegurar la protección, el respeto y la difusión de este derecho.</w:t>
      </w:r>
    </w:p>
    <w:p w14:paraId="4F0C804A" w14:textId="77777777" w:rsidR="00C049E2" w:rsidRPr="0008760E" w:rsidRDefault="00C049E2" w:rsidP="0008760E">
      <w:pPr>
        <w:pStyle w:val="Puesto"/>
        <w:rPr>
          <w:rFonts w:eastAsia="Palatino Linotype"/>
        </w:rPr>
      </w:pPr>
      <w:r w:rsidRPr="0008760E">
        <w:rPr>
          <w:rFonts w:eastAsia="Palatino Linotype"/>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08760E" w:rsidRDefault="00C049E2" w:rsidP="0008760E">
      <w:pPr>
        <w:pStyle w:val="Puesto"/>
        <w:rPr>
          <w:rFonts w:eastAsia="Palatino Linotype"/>
        </w:rPr>
      </w:pPr>
      <w:r w:rsidRPr="0008760E">
        <w:rPr>
          <w:rFonts w:eastAsia="Palatino Linotype"/>
        </w:rPr>
        <w:t>Este derecho se regirá por los principios y bases siguientes:</w:t>
      </w:r>
    </w:p>
    <w:p w14:paraId="4A3E8CBA" w14:textId="77777777" w:rsidR="00C049E2" w:rsidRPr="0008760E" w:rsidRDefault="00C049E2" w:rsidP="0008760E">
      <w:pPr>
        <w:pStyle w:val="Puesto"/>
        <w:rPr>
          <w:rFonts w:eastAsia="Palatino Linotype"/>
        </w:rPr>
      </w:pPr>
      <w:r w:rsidRPr="0008760E">
        <w:rPr>
          <w:rFonts w:eastAsia="Palatino Linotype"/>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CA98E37" w14:textId="77777777" w:rsidR="00C049E2" w:rsidRPr="0008760E" w:rsidRDefault="00C049E2" w:rsidP="0008760E">
      <w:pPr>
        <w:rPr>
          <w:rFonts w:eastAsia="Palatino Linotype"/>
          <w:b/>
          <w:i/>
        </w:rPr>
      </w:pPr>
    </w:p>
    <w:p w14:paraId="6FC1BB3B" w14:textId="3BF4A33D" w:rsidR="00C049E2" w:rsidRPr="0008760E" w:rsidRDefault="00717E59" w:rsidP="0008760E">
      <w:pPr>
        <w:rPr>
          <w:rFonts w:eastAsia="Palatino Linotype"/>
          <w:i/>
        </w:rPr>
      </w:pPr>
      <w:r w:rsidRPr="0008760E">
        <w:rPr>
          <w:rFonts w:eastAsia="Palatino Linotype"/>
        </w:rPr>
        <w:t xml:space="preserve">Asimismo, </w:t>
      </w:r>
      <w:r w:rsidR="00C049E2" w:rsidRPr="0008760E">
        <w:rPr>
          <w:rFonts w:eastAsia="Palatino Linotype"/>
        </w:rPr>
        <w:t>el artículo 150 de la Ley de Transparencia y Acceso a la Información Pública del Estado de México y Municipios</w:t>
      </w:r>
      <w:r w:rsidR="00057B2D" w:rsidRPr="0008760E">
        <w:rPr>
          <w:rFonts w:eastAsia="Palatino Linotype"/>
        </w:rPr>
        <w:t xml:space="preserve"> </w:t>
      </w:r>
      <w:r w:rsidR="00E9335C" w:rsidRPr="0008760E">
        <w:rPr>
          <w:rFonts w:eastAsia="Palatino Linotype"/>
        </w:rPr>
        <w:t xml:space="preserve">indica </w:t>
      </w:r>
      <w:r w:rsidR="00057B2D" w:rsidRPr="0008760E">
        <w:rPr>
          <w:rFonts w:eastAsia="Palatino Linotype"/>
        </w:rPr>
        <w:t>que</w:t>
      </w:r>
      <w:r w:rsidR="00C049E2" w:rsidRPr="0008760E">
        <w:rPr>
          <w:rFonts w:eastAsia="Palatino Linotype"/>
        </w:rPr>
        <w:t xml:space="preserve"> la solicitud es la garantía primaria del Derecho de Acceso a la Información, además, establece que se regirá </w:t>
      </w:r>
      <w:r w:rsidR="00C049E2" w:rsidRPr="0008760E">
        <w:rPr>
          <w:rFonts w:eastAsia="Palatino Linotype"/>
          <w:i/>
        </w:rPr>
        <w:t>por los principios de simplicidad, rapidez</w:t>
      </w:r>
      <w:r w:rsidR="005F65B7" w:rsidRPr="0008760E">
        <w:rPr>
          <w:rFonts w:eastAsia="Palatino Linotype"/>
          <w:i/>
        </w:rPr>
        <w:t>,</w:t>
      </w:r>
      <w:r w:rsidR="00C049E2" w:rsidRPr="0008760E">
        <w:rPr>
          <w:rFonts w:eastAsia="Palatino Linotype"/>
          <w:i/>
        </w:rPr>
        <w:t xml:space="preserve"> gratuidad del procedimiento, auxilio y orientación a los particulare</w:t>
      </w:r>
      <w:r w:rsidR="001A58B3" w:rsidRPr="0008760E">
        <w:rPr>
          <w:rFonts w:eastAsia="Palatino Linotype"/>
          <w:i/>
        </w:rPr>
        <w:t>s.</w:t>
      </w:r>
    </w:p>
    <w:p w14:paraId="033466A6" w14:textId="77777777" w:rsidR="001A58B3" w:rsidRPr="0008760E" w:rsidRDefault="001A58B3" w:rsidP="0008760E">
      <w:pPr>
        <w:rPr>
          <w:rFonts w:eastAsia="Palatino Linotype"/>
          <w:i/>
        </w:rPr>
      </w:pPr>
    </w:p>
    <w:p w14:paraId="04ADA10B" w14:textId="574A944A" w:rsidR="001A58B3" w:rsidRPr="0008760E" w:rsidRDefault="00233F17" w:rsidP="0008760E">
      <w:pPr>
        <w:rPr>
          <w:rFonts w:eastAsia="Palatino Linotype" w:cs="Palatino Linotype"/>
          <w:i/>
          <w:szCs w:val="22"/>
        </w:rPr>
      </w:pPr>
      <w:r w:rsidRPr="0008760E">
        <w:rPr>
          <w:rFonts w:eastAsia="Palatino Linotype" w:cs="Palatino Linotype"/>
        </w:rPr>
        <w:t xml:space="preserve">Por su parte, el artículo 4 de </w:t>
      </w:r>
      <w:r w:rsidR="001A58B3" w:rsidRPr="0008760E">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08760E">
        <w:rPr>
          <w:rFonts w:eastAsia="Palatino Linotype" w:cs="Palatino Linotype"/>
        </w:rPr>
        <w:t>.</w:t>
      </w:r>
    </w:p>
    <w:p w14:paraId="1407DBB8" w14:textId="77777777" w:rsidR="001A58B3" w:rsidRPr="0008760E" w:rsidRDefault="001A58B3" w:rsidP="0008760E">
      <w:pPr>
        <w:rPr>
          <w:rFonts w:eastAsia="Palatino Linotype" w:cs="Palatino Linotype"/>
        </w:rPr>
      </w:pPr>
    </w:p>
    <w:p w14:paraId="7552AA79" w14:textId="5C52E4A4" w:rsidR="001A58B3" w:rsidRPr="0008760E" w:rsidRDefault="001A58B3" w:rsidP="0008760E">
      <w:pPr>
        <w:rPr>
          <w:rFonts w:eastAsia="Palatino Linotype" w:cs="Palatino Linotype"/>
        </w:rPr>
      </w:pPr>
      <w:r w:rsidRPr="0008760E">
        <w:rPr>
          <w:rFonts w:eastAsia="Palatino Linotype" w:cs="Palatino Linotype"/>
        </w:rPr>
        <w:t xml:space="preserve">Esto es, que los Sujetos Obligados </w:t>
      </w:r>
      <w:r w:rsidR="00FA5957" w:rsidRPr="0008760E">
        <w:rPr>
          <w:rFonts w:eastAsia="Palatino Linotype" w:cs="Palatino Linotype"/>
        </w:rPr>
        <w:t>deben</w:t>
      </w:r>
      <w:r w:rsidRPr="0008760E">
        <w:rPr>
          <w:rFonts w:eastAsia="Palatino Linotype" w:cs="Palatino Linotype"/>
        </w:rPr>
        <w:t xml:space="preserve"> atender las solicitudes de acceso a la información pública que se les </w:t>
      </w:r>
      <w:r w:rsidR="00FA5957" w:rsidRPr="0008760E">
        <w:rPr>
          <w:rFonts w:eastAsia="Palatino Linotype" w:cs="Palatino Linotype"/>
        </w:rPr>
        <w:t>sean realizadas,</w:t>
      </w:r>
      <w:r w:rsidRPr="0008760E">
        <w:rPr>
          <w:rFonts w:eastAsia="Palatino Linotype" w:cs="Palatino Linotype"/>
        </w:rPr>
        <w:t xml:space="preserve"> y proporcionar la información pública que obre en su poder</w:t>
      </w:r>
      <w:r w:rsidR="00FA5957" w:rsidRPr="0008760E">
        <w:rPr>
          <w:rFonts w:eastAsia="Palatino Linotype" w:cs="Palatino Linotype"/>
        </w:rPr>
        <w:t>,</w:t>
      </w:r>
      <w:r w:rsidRPr="0008760E">
        <w:rPr>
          <w:rFonts w:eastAsia="Palatino Linotype" w:cs="Palatino Linotype"/>
        </w:rPr>
        <w:t xml:space="preserve"> </w:t>
      </w:r>
      <w:r w:rsidRPr="0008760E">
        <w:rPr>
          <w:rFonts w:eastAsia="Palatino Linotype" w:cs="Palatino Linotype"/>
        </w:rPr>
        <w:lastRenderedPageBreak/>
        <w:t xml:space="preserve">conforme </w:t>
      </w:r>
      <w:r w:rsidR="00FA5957" w:rsidRPr="0008760E">
        <w:rPr>
          <w:rFonts w:eastAsia="Palatino Linotype" w:cs="Palatino Linotype"/>
        </w:rPr>
        <w:t>a</w:t>
      </w:r>
      <w:r w:rsidRPr="0008760E">
        <w:rPr>
          <w:rFonts w:eastAsia="Palatino Linotype" w:cs="Palatino Linotype"/>
        </w:rPr>
        <w:t xml:space="preserve">l estado </w:t>
      </w:r>
      <w:r w:rsidR="00FA5957" w:rsidRPr="0008760E">
        <w:rPr>
          <w:rFonts w:eastAsia="Palatino Linotype" w:cs="Palatino Linotype"/>
        </w:rPr>
        <w:t xml:space="preserve">en </w:t>
      </w:r>
      <w:r w:rsidRPr="0008760E">
        <w:rPr>
          <w:rFonts w:eastAsia="Palatino Linotype" w:cs="Palatino Linotype"/>
        </w:rPr>
        <w:t>que se encuentr</w:t>
      </w:r>
      <w:r w:rsidR="00FA5957" w:rsidRPr="0008760E">
        <w:rPr>
          <w:rFonts w:eastAsia="Palatino Linotype" w:cs="Palatino Linotype"/>
        </w:rPr>
        <w:t>e, sin que sea necesario</w:t>
      </w:r>
      <w:r w:rsidRPr="0008760E">
        <w:rPr>
          <w:rFonts w:eastAsia="Palatino Linotype" w:cs="Palatino Linotype"/>
        </w:rPr>
        <w:t xml:space="preserve"> </w:t>
      </w:r>
      <w:r w:rsidR="00FA5957" w:rsidRPr="0008760E">
        <w:rPr>
          <w:rFonts w:eastAsia="Palatino Linotype" w:cs="Palatino Linotype"/>
        </w:rPr>
        <w:t>procesar</w:t>
      </w:r>
      <w:r w:rsidRPr="0008760E">
        <w:rPr>
          <w:rFonts w:eastAsia="Palatino Linotype" w:cs="Palatino Linotype"/>
        </w:rPr>
        <w:t xml:space="preserve"> la misma, ni presentarla conforme al interés del solicitante; </w:t>
      </w:r>
      <w:r w:rsidR="00FA5957" w:rsidRPr="0008760E">
        <w:rPr>
          <w:rFonts w:eastAsia="Palatino Linotype" w:cs="Palatino Linotype"/>
        </w:rPr>
        <w:t>tal y como</w:t>
      </w:r>
      <w:r w:rsidRPr="0008760E">
        <w:rPr>
          <w:rFonts w:eastAsia="Palatino Linotype" w:cs="Palatino Linotype"/>
        </w:rPr>
        <w:t xml:space="preserve"> lo establece el artículo 12 de la Ley de Transparencia y Acceso a la Información Pública del Estado de México y Municipios</w:t>
      </w:r>
      <w:r w:rsidR="00970EB3" w:rsidRPr="0008760E">
        <w:rPr>
          <w:rFonts w:eastAsia="Palatino Linotype" w:cs="Palatino Linotype"/>
        </w:rPr>
        <w:t>.</w:t>
      </w:r>
    </w:p>
    <w:p w14:paraId="73245195" w14:textId="77777777" w:rsidR="00970EB3" w:rsidRPr="0008760E" w:rsidRDefault="00970EB3" w:rsidP="0008760E">
      <w:pPr>
        <w:rPr>
          <w:rFonts w:eastAsia="Palatino Linotype" w:cs="Palatino Linotype"/>
        </w:rPr>
      </w:pPr>
    </w:p>
    <w:p w14:paraId="7F62D4DF" w14:textId="775730E1" w:rsidR="001A58B3" w:rsidRPr="0008760E" w:rsidRDefault="001A58B3" w:rsidP="0008760E">
      <w:pPr>
        <w:rPr>
          <w:rFonts w:eastAsia="Palatino Linotype" w:cs="Palatino Linotype"/>
        </w:rPr>
      </w:pPr>
      <w:r w:rsidRPr="0008760E">
        <w:rPr>
          <w:rFonts w:eastAsia="Palatino Linotype" w:cs="Palatino Linotype"/>
        </w:rPr>
        <w:t>Es decir, que todo sujeto obligado que genere, recopile, administre, procese, archive, posea o conserven, son responsables de la misma</w:t>
      </w:r>
      <w:r w:rsidR="00970EB3" w:rsidRPr="0008760E">
        <w:rPr>
          <w:rFonts w:eastAsia="Palatino Linotype" w:cs="Palatino Linotype"/>
        </w:rPr>
        <w:t>,</w:t>
      </w:r>
      <w:r w:rsidRPr="0008760E">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08760E">
        <w:rPr>
          <w:rFonts w:eastAsia="Palatino Linotype" w:cs="Palatino Linotype"/>
        </w:rPr>
        <w:t>o</w:t>
      </w:r>
      <w:r w:rsidRPr="0008760E">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08760E" w:rsidRDefault="001A58B3" w:rsidP="0008760E">
      <w:pPr>
        <w:rPr>
          <w:rFonts w:eastAsia="Palatino Linotype" w:cs="Palatino Linotype"/>
        </w:rPr>
      </w:pPr>
    </w:p>
    <w:p w14:paraId="04E42DFE" w14:textId="573F1198" w:rsidR="001A58B3" w:rsidRPr="0008760E" w:rsidRDefault="001A58B3" w:rsidP="0008760E">
      <w:pPr>
        <w:rPr>
          <w:rFonts w:eastAsia="Palatino Linotype" w:cs="Palatino Linotype"/>
        </w:rPr>
      </w:pPr>
      <w:r w:rsidRPr="0008760E">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08760E">
        <w:rPr>
          <w:rFonts w:eastAsia="Palatino Linotype" w:cs="Palatino Linotype"/>
        </w:rPr>
        <w:t>, s</w:t>
      </w:r>
      <w:r w:rsidRPr="0008760E">
        <w:rPr>
          <w:rFonts w:eastAsia="Palatino Linotype" w:cs="Palatino Linotype"/>
        </w:rPr>
        <w:t xml:space="preserve">iempre y cuando no se trate de información reservada o </w:t>
      </w:r>
      <w:r w:rsidR="00331F35" w:rsidRPr="0008760E">
        <w:rPr>
          <w:rFonts w:eastAsia="Palatino Linotype" w:cs="Palatino Linotype"/>
        </w:rPr>
        <w:t>confidencial.</w:t>
      </w:r>
    </w:p>
    <w:p w14:paraId="40C5219F" w14:textId="77777777" w:rsidR="001A58B3" w:rsidRPr="0008760E" w:rsidRDefault="001A58B3" w:rsidP="0008760E">
      <w:pPr>
        <w:rPr>
          <w:rFonts w:eastAsia="Palatino Linotype" w:cs="Palatino Linotype"/>
        </w:rPr>
      </w:pPr>
    </w:p>
    <w:p w14:paraId="2E629608" w14:textId="01727E15" w:rsidR="00C049E2" w:rsidRPr="0008760E" w:rsidRDefault="006067C7" w:rsidP="0008760E">
      <w:pPr>
        <w:rPr>
          <w:rFonts w:eastAsia="Palatino Linotype"/>
        </w:rPr>
      </w:pPr>
      <w:bookmarkStart w:id="29" w:name="_heading=h.2s8eyo1" w:colFirst="0" w:colLast="0"/>
      <w:bookmarkEnd w:id="29"/>
      <w:r w:rsidRPr="0008760E">
        <w:rPr>
          <w:rFonts w:eastAsia="Palatino Linotype"/>
        </w:rPr>
        <w:t>Con base en lo anterior</w:t>
      </w:r>
      <w:r w:rsidR="00B22A80" w:rsidRPr="0008760E">
        <w:rPr>
          <w:rFonts w:eastAsia="Palatino Linotype"/>
        </w:rPr>
        <w:t>, se considera que</w:t>
      </w:r>
      <w:r w:rsidR="00C049E2" w:rsidRPr="0008760E">
        <w:rPr>
          <w:rFonts w:eastAsia="Palatino Linotype"/>
        </w:rPr>
        <w:t xml:space="preserve"> </w:t>
      </w:r>
      <w:r w:rsidR="00B22A80" w:rsidRPr="0008760E">
        <w:rPr>
          <w:rFonts w:eastAsia="Palatino Linotype"/>
          <w:b/>
          <w:bCs/>
        </w:rPr>
        <w:t>EL</w:t>
      </w:r>
      <w:r w:rsidR="00C049E2" w:rsidRPr="0008760E">
        <w:rPr>
          <w:rFonts w:eastAsia="Palatino Linotype"/>
        </w:rPr>
        <w:t xml:space="preserve"> </w:t>
      </w:r>
      <w:r w:rsidR="00C049E2" w:rsidRPr="0008760E">
        <w:rPr>
          <w:rFonts w:eastAsia="Palatino Linotype"/>
          <w:b/>
        </w:rPr>
        <w:t>SUJETO OBLIGADO</w:t>
      </w:r>
      <w:r w:rsidR="00C049E2" w:rsidRPr="0008760E">
        <w:rPr>
          <w:rFonts w:eastAsia="Palatino Linotype"/>
        </w:rPr>
        <w:t xml:space="preserve"> </w:t>
      </w:r>
      <w:r w:rsidR="00B22A80" w:rsidRPr="0008760E">
        <w:rPr>
          <w:rFonts w:eastAsia="Palatino Linotype"/>
        </w:rPr>
        <w:t xml:space="preserve">se </w:t>
      </w:r>
      <w:r w:rsidR="00717E59" w:rsidRPr="0008760E">
        <w:rPr>
          <w:rFonts w:eastAsia="Palatino Linotype"/>
        </w:rPr>
        <w:t>encontraba</w:t>
      </w:r>
      <w:r w:rsidR="00B22A80" w:rsidRPr="0008760E">
        <w:rPr>
          <w:rFonts w:eastAsia="Palatino Linotype"/>
        </w:rPr>
        <w:t xml:space="preserve"> compelido a</w:t>
      </w:r>
      <w:r w:rsidR="00C049E2" w:rsidRPr="0008760E">
        <w:rPr>
          <w:rFonts w:eastAsia="Palatino Linotype"/>
        </w:rPr>
        <w:t xml:space="preserve"> atender la solicitud de acceso a la información </w:t>
      </w:r>
      <w:r w:rsidR="00B22A80" w:rsidRPr="0008760E">
        <w:rPr>
          <w:rFonts w:eastAsia="Palatino Linotype"/>
        </w:rPr>
        <w:t xml:space="preserve">realizada por </w:t>
      </w:r>
      <w:r w:rsidR="00B22A80" w:rsidRPr="0008760E">
        <w:rPr>
          <w:rFonts w:eastAsia="Palatino Linotype"/>
          <w:b/>
          <w:bCs/>
        </w:rPr>
        <w:t>LA PARTE RECURRENTE</w:t>
      </w:r>
      <w:r w:rsidR="00331F35" w:rsidRPr="0008760E">
        <w:rPr>
          <w:rFonts w:eastAsia="Palatino Linotype"/>
        </w:rPr>
        <w:t>.</w:t>
      </w:r>
    </w:p>
    <w:p w14:paraId="1611F147" w14:textId="77777777" w:rsidR="00BD5A7C" w:rsidRPr="0008760E" w:rsidRDefault="00BD5A7C" w:rsidP="0008760E">
      <w:pPr>
        <w:rPr>
          <w:rFonts w:eastAsia="Palatino Linotype"/>
        </w:rPr>
      </w:pPr>
    </w:p>
    <w:p w14:paraId="51A0E8B4" w14:textId="676DCA47" w:rsidR="00664420" w:rsidRPr="0008760E" w:rsidRDefault="00C71CEF" w:rsidP="0008760E">
      <w:pPr>
        <w:pStyle w:val="Ttulo3"/>
        <w:rPr>
          <w:rFonts w:eastAsia="Calibri"/>
          <w:lang w:eastAsia="es-ES_tradnl"/>
        </w:rPr>
      </w:pPr>
      <w:bookmarkStart w:id="30" w:name="_Toc181794080"/>
      <w:r w:rsidRPr="0008760E">
        <w:rPr>
          <w:rFonts w:eastAsia="Calibri"/>
          <w:lang w:eastAsia="es-ES_tradnl"/>
        </w:rPr>
        <w:lastRenderedPageBreak/>
        <w:t>b)</w:t>
      </w:r>
      <w:r w:rsidR="00A53315" w:rsidRPr="0008760E">
        <w:rPr>
          <w:rFonts w:eastAsia="Calibri"/>
          <w:lang w:eastAsia="es-ES_tradnl"/>
        </w:rPr>
        <w:t xml:space="preserve"> </w:t>
      </w:r>
      <w:r w:rsidR="00A21A20" w:rsidRPr="0008760E">
        <w:rPr>
          <w:rFonts w:eastAsia="Calibri"/>
          <w:lang w:eastAsia="es-ES_tradnl"/>
        </w:rPr>
        <w:t>Controversia a resolver</w:t>
      </w:r>
      <w:bookmarkEnd w:id="30"/>
    </w:p>
    <w:p w14:paraId="6CA73344" w14:textId="256177F2" w:rsidR="001E7669" w:rsidRPr="0008760E" w:rsidRDefault="00AC25A6" w:rsidP="0008760E">
      <w:pPr>
        <w:rPr>
          <w:rFonts w:eastAsia="Calibri"/>
          <w:lang w:eastAsia="es-ES_tradnl"/>
        </w:rPr>
      </w:pPr>
      <w:r w:rsidRPr="0008760E">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Pr="0008760E">
        <w:rPr>
          <w:rFonts w:eastAsia="Calibri"/>
          <w:b/>
          <w:bCs/>
          <w:lang w:eastAsia="es-ES_tradnl"/>
        </w:rPr>
        <w:t>LA PARTE RECURRENTE</w:t>
      </w:r>
      <w:r w:rsidRPr="0008760E">
        <w:rPr>
          <w:rFonts w:eastAsia="Calibri"/>
          <w:lang w:eastAsia="es-ES_tradnl"/>
        </w:rPr>
        <w:t xml:space="preserve"> solicitó </w:t>
      </w:r>
      <w:r w:rsidR="001E7669" w:rsidRPr="0008760E">
        <w:rPr>
          <w:rFonts w:eastAsia="Calibri"/>
          <w:lang w:eastAsia="es-ES_tradnl"/>
        </w:rPr>
        <w:t xml:space="preserve">copia certificada de lo siguiente: </w:t>
      </w:r>
    </w:p>
    <w:p w14:paraId="5366AF57" w14:textId="77777777" w:rsidR="001E7669" w:rsidRPr="0008760E" w:rsidRDefault="001E7669" w:rsidP="0008760E">
      <w:pPr>
        <w:rPr>
          <w:rFonts w:eastAsia="Calibri"/>
          <w:lang w:eastAsia="es-ES_tradnl"/>
        </w:rPr>
      </w:pPr>
    </w:p>
    <w:p w14:paraId="27F2AA35" w14:textId="77777777" w:rsidR="001E7669" w:rsidRPr="0008760E" w:rsidRDefault="001E7669" w:rsidP="0008760E">
      <w:pPr>
        <w:pStyle w:val="Prrafodelista"/>
        <w:numPr>
          <w:ilvl w:val="0"/>
          <w:numId w:val="47"/>
        </w:numPr>
        <w:rPr>
          <w:rFonts w:eastAsia="Calibri"/>
          <w:lang w:eastAsia="es-ES_tradnl"/>
        </w:rPr>
      </w:pPr>
      <w:r w:rsidRPr="0008760E">
        <w:rPr>
          <w:rFonts w:eastAsia="Calibri"/>
          <w:lang w:eastAsia="es-ES_tradnl"/>
        </w:rPr>
        <w:t>EL Convenio de Prestaciones 2022, celebrado entre S.A.P.A.S.A. ATIZAPÁN DE ZARAGOZA, y el Sindicato Único de trabajadores de los poderes, municipios e instituciones descentralizadas del Estado de México (S.U.T.E.Y.M.).</w:t>
      </w:r>
    </w:p>
    <w:p w14:paraId="2E120ED4" w14:textId="54599746" w:rsidR="001E7669" w:rsidRPr="0008760E" w:rsidRDefault="001E7669" w:rsidP="0008760E">
      <w:pPr>
        <w:pStyle w:val="Prrafodelista"/>
        <w:numPr>
          <w:ilvl w:val="0"/>
          <w:numId w:val="47"/>
        </w:numPr>
        <w:rPr>
          <w:rFonts w:eastAsia="Calibri"/>
          <w:lang w:eastAsia="es-ES_tradnl"/>
        </w:rPr>
      </w:pPr>
      <w:r w:rsidRPr="0008760E">
        <w:rPr>
          <w:rFonts w:eastAsia="Calibri"/>
          <w:lang w:eastAsia="es-ES_tradnl"/>
        </w:rPr>
        <w:t>El acuse con el cual se depositó dicho convenio ante el citado Tribunal Estatal de Conciliación y Arbitraje.</w:t>
      </w:r>
    </w:p>
    <w:p w14:paraId="5AFD36C7" w14:textId="0C0D4095" w:rsidR="00AC25A6" w:rsidRPr="0008760E" w:rsidRDefault="00AC25A6" w:rsidP="0008760E">
      <w:pPr>
        <w:tabs>
          <w:tab w:val="left" w:pos="4962"/>
        </w:tabs>
        <w:contextualSpacing/>
        <w:rPr>
          <w:rFonts w:eastAsiaTheme="minorHAnsi" w:cs="Tahoma"/>
          <w:bCs/>
          <w:iCs/>
          <w:szCs w:val="22"/>
          <w:lang w:eastAsia="en-US"/>
        </w:rPr>
      </w:pPr>
    </w:p>
    <w:p w14:paraId="7CD5552D" w14:textId="74E000E9" w:rsidR="00D124B5" w:rsidRPr="0008760E" w:rsidRDefault="00AC25A6" w:rsidP="0008760E">
      <w:pPr>
        <w:tabs>
          <w:tab w:val="left" w:pos="4962"/>
        </w:tabs>
        <w:contextualSpacing/>
        <w:rPr>
          <w:rFonts w:eastAsia="Calibri"/>
          <w:lang w:eastAsia="es-ES_tradnl"/>
        </w:rPr>
      </w:pPr>
      <w:r w:rsidRPr="0008760E">
        <w:rPr>
          <w:rFonts w:eastAsiaTheme="minorHAnsi" w:cs="Tahoma"/>
          <w:bCs/>
          <w:iCs/>
          <w:szCs w:val="22"/>
          <w:lang w:eastAsia="en-US"/>
        </w:rPr>
        <w:t xml:space="preserve">Al respecto </w:t>
      </w:r>
      <w:r w:rsidRPr="0008760E">
        <w:rPr>
          <w:rFonts w:eastAsiaTheme="minorHAnsi" w:cs="Tahoma"/>
          <w:b/>
          <w:iCs/>
          <w:szCs w:val="22"/>
          <w:lang w:eastAsia="en-US"/>
        </w:rPr>
        <w:t>EL SUJETO OBLIGADO</w:t>
      </w:r>
      <w:r w:rsidRPr="0008760E">
        <w:rPr>
          <w:rFonts w:eastAsiaTheme="minorHAnsi" w:cs="Tahoma"/>
          <w:bCs/>
          <w:iCs/>
          <w:szCs w:val="22"/>
          <w:lang w:eastAsia="en-US"/>
        </w:rPr>
        <w:t xml:space="preserve"> </w:t>
      </w:r>
      <w:r w:rsidR="00D124B5" w:rsidRPr="0008760E">
        <w:rPr>
          <w:rFonts w:eastAsiaTheme="minorHAnsi" w:cs="Tahoma"/>
          <w:bCs/>
          <w:iCs/>
          <w:szCs w:val="22"/>
          <w:lang w:eastAsia="en-US"/>
        </w:rPr>
        <w:t xml:space="preserve">adjuntó lo el </w:t>
      </w:r>
      <w:r w:rsidR="00D124B5" w:rsidRPr="0008760E">
        <w:rPr>
          <w:rFonts w:eastAsia="Calibri"/>
          <w:lang w:eastAsia="es-ES_tradnl"/>
        </w:rPr>
        <w:t xml:space="preserve">Convenio de Prestaciones 2022, celebrado entre S.A.P.A.S.A. ATIZAPÁN DE ZARAGOZA, y el Sindicato Único de trabajadores de los poderes, municipios e instituciones descentralizadas del Estado de México (S.U.T.E.Y.M.); así como, el acuse de depósito del mismo. </w:t>
      </w:r>
    </w:p>
    <w:p w14:paraId="4EFEE7BE" w14:textId="77777777" w:rsidR="00D124B5" w:rsidRPr="0008760E" w:rsidRDefault="00D124B5" w:rsidP="0008760E">
      <w:pPr>
        <w:tabs>
          <w:tab w:val="left" w:pos="4962"/>
        </w:tabs>
        <w:contextualSpacing/>
        <w:rPr>
          <w:rFonts w:eastAsia="Calibri"/>
          <w:lang w:eastAsia="es-ES_tradnl"/>
        </w:rPr>
      </w:pPr>
    </w:p>
    <w:p w14:paraId="4EA5A885" w14:textId="5FD65C9F" w:rsidR="00D45259" w:rsidRPr="0008760E" w:rsidRDefault="00CF7586" w:rsidP="0008760E">
      <w:pPr>
        <w:tabs>
          <w:tab w:val="left" w:pos="4962"/>
        </w:tabs>
        <w:contextualSpacing/>
        <w:rPr>
          <w:rFonts w:eastAsiaTheme="minorHAnsi" w:cs="Tahoma"/>
          <w:bCs/>
          <w:iCs/>
          <w:szCs w:val="22"/>
          <w:lang w:eastAsia="en-US"/>
        </w:rPr>
      </w:pPr>
      <w:r w:rsidRPr="0008760E">
        <w:rPr>
          <w:rFonts w:eastAsiaTheme="minorHAnsi" w:cs="Tahoma"/>
          <w:bCs/>
          <w:iCs/>
          <w:szCs w:val="22"/>
          <w:lang w:eastAsia="en-US"/>
        </w:rPr>
        <w:t xml:space="preserve">Ahora bien, en la interposición del presente recurso </w:t>
      </w:r>
      <w:r w:rsidRPr="0008760E">
        <w:rPr>
          <w:rFonts w:eastAsiaTheme="minorHAnsi" w:cs="Tahoma"/>
          <w:b/>
          <w:iCs/>
          <w:szCs w:val="22"/>
          <w:lang w:eastAsia="en-US"/>
        </w:rPr>
        <w:t>LA PARTE RECURRENTE</w:t>
      </w:r>
      <w:r w:rsidR="00237120" w:rsidRPr="0008760E">
        <w:rPr>
          <w:rFonts w:eastAsiaTheme="minorHAnsi" w:cs="Tahoma"/>
          <w:bCs/>
          <w:iCs/>
          <w:szCs w:val="22"/>
          <w:lang w:eastAsia="en-US"/>
        </w:rPr>
        <w:t xml:space="preserve"> s</w:t>
      </w:r>
      <w:r w:rsidR="00E11AA0" w:rsidRPr="0008760E">
        <w:rPr>
          <w:rFonts w:eastAsiaTheme="minorHAnsi" w:cs="Tahoma"/>
          <w:bCs/>
          <w:iCs/>
          <w:szCs w:val="22"/>
          <w:lang w:eastAsia="en-US"/>
        </w:rPr>
        <w:t>e inconformó medularmente por</w:t>
      </w:r>
      <w:r w:rsidR="00EF5F54" w:rsidRPr="0008760E">
        <w:rPr>
          <w:rFonts w:eastAsiaTheme="minorHAnsi" w:cs="Tahoma"/>
          <w:bCs/>
          <w:iCs/>
          <w:szCs w:val="22"/>
          <w:lang w:eastAsia="en-US"/>
        </w:rPr>
        <w:t>que</w:t>
      </w:r>
      <w:r w:rsidR="0063170D" w:rsidRPr="0008760E">
        <w:rPr>
          <w:rFonts w:eastAsiaTheme="minorHAnsi" w:cs="Tahoma"/>
          <w:bCs/>
          <w:iCs/>
          <w:szCs w:val="22"/>
          <w:lang w:eastAsia="en-US"/>
        </w:rPr>
        <w:t xml:space="preserve"> </w:t>
      </w:r>
      <w:r w:rsidR="00D124B5" w:rsidRPr="0008760E">
        <w:rPr>
          <w:rFonts w:eastAsiaTheme="minorHAnsi" w:cs="Tahoma"/>
          <w:bCs/>
          <w:iCs/>
          <w:szCs w:val="22"/>
          <w:lang w:eastAsia="en-US"/>
        </w:rPr>
        <w:t>el cambio de modalidad.</w:t>
      </w:r>
      <w:r w:rsidR="0063170D" w:rsidRPr="0008760E">
        <w:rPr>
          <w:rFonts w:eastAsiaTheme="minorHAnsi" w:cs="Tahoma"/>
          <w:bCs/>
          <w:iCs/>
          <w:szCs w:val="22"/>
          <w:lang w:eastAsia="en-US"/>
        </w:rPr>
        <w:t xml:space="preserve"> </w:t>
      </w:r>
    </w:p>
    <w:p w14:paraId="3B006678" w14:textId="77777777" w:rsidR="00D45259" w:rsidRPr="0008760E" w:rsidRDefault="00D45259" w:rsidP="0008760E">
      <w:pPr>
        <w:tabs>
          <w:tab w:val="left" w:pos="4962"/>
        </w:tabs>
        <w:contextualSpacing/>
        <w:rPr>
          <w:rFonts w:eastAsiaTheme="minorHAnsi" w:cs="Tahoma"/>
          <w:bCs/>
          <w:iCs/>
          <w:szCs w:val="22"/>
          <w:lang w:eastAsia="en-US"/>
        </w:rPr>
      </w:pPr>
    </w:p>
    <w:p w14:paraId="3DAC371F" w14:textId="48FFC148" w:rsidR="00D124B5" w:rsidRPr="0008760E" w:rsidRDefault="00EF5F54" w:rsidP="0008760E">
      <w:pPr>
        <w:pStyle w:val="Prrafodelista"/>
        <w:widowControl w:val="0"/>
        <w:autoSpaceDE w:val="0"/>
        <w:autoSpaceDN w:val="0"/>
        <w:adjustRightInd w:val="0"/>
        <w:ind w:left="0"/>
      </w:pPr>
      <w:r w:rsidRPr="0008760E">
        <w:t>Asimismo, es importante señalar que</w:t>
      </w:r>
      <w:r w:rsidR="00D124B5" w:rsidRPr="0008760E">
        <w:rPr>
          <w:rFonts w:cs="Arial"/>
          <w:b/>
        </w:rPr>
        <w:t xml:space="preserve"> EL SUJETO OBLIGADO </w:t>
      </w:r>
      <w:r w:rsidR="00D124B5" w:rsidRPr="0008760E">
        <w:rPr>
          <w:rFonts w:cs="Arial"/>
        </w:rPr>
        <w:t>mediante In</w:t>
      </w:r>
      <w:r w:rsidR="00D124B5" w:rsidRPr="0008760E">
        <w:t xml:space="preserve">forme Justificado </w:t>
      </w:r>
      <w:r w:rsidR="00D124B5" w:rsidRPr="0008760E">
        <w:rPr>
          <w:rFonts w:cs="Tahoma"/>
          <w:szCs w:val="24"/>
        </w:rPr>
        <w:t xml:space="preserve">medularmente refirió que la agrupación sindical informó y dio respuesta a la solicitud de información en tiempo y forma. Por su parte </w:t>
      </w:r>
      <w:r w:rsidR="00D124B5" w:rsidRPr="0008760E">
        <w:rPr>
          <w:b/>
        </w:rPr>
        <w:t xml:space="preserve">LA PARTE RECURRENTE </w:t>
      </w:r>
      <w:r w:rsidR="00D124B5" w:rsidRPr="0008760E">
        <w:t xml:space="preserve">reiteró su interés en obtener copia certificada de los documentos solicitados. </w:t>
      </w:r>
    </w:p>
    <w:p w14:paraId="252051B6" w14:textId="77777777" w:rsidR="00D124B5" w:rsidRPr="0008760E" w:rsidRDefault="00D124B5" w:rsidP="0008760E">
      <w:pPr>
        <w:pStyle w:val="Prrafodelista"/>
        <w:widowControl w:val="0"/>
        <w:autoSpaceDE w:val="0"/>
        <w:autoSpaceDN w:val="0"/>
        <w:adjustRightInd w:val="0"/>
        <w:ind w:left="0"/>
      </w:pPr>
    </w:p>
    <w:p w14:paraId="414FD2D5" w14:textId="4408E416" w:rsidR="00664420" w:rsidRPr="0008760E" w:rsidRDefault="00A21A20" w:rsidP="0008760E">
      <w:pPr>
        <w:pStyle w:val="Ttulo3"/>
      </w:pPr>
      <w:bookmarkStart w:id="31" w:name="_Toc181794081"/>
      <w:r w:rsidRPr="0008760E">
        <w:lastRenderedPageBreak/>
        <w:t>c)</w:t>
      </w:r>
      <w:r w:rsidR="00664420" w:rsidRPr="0008760E">
        <w:t xml:space="preserve"> </w:t>
      </w:r>
      <w:r w:rsidRPr="0008760E">
        <w:t>Estudio de la controversia</w:t>
      </w:r>
      <w:bookmarkEnd w:id="31"/>
    </w:p>
    <w:p w14:paraId="202474F2" w14:textId="77777777" w:rsidR="007B64D4" w:rsidRPr="0008760E" w:rsidRDefault="00A251A4" w:rsidP="0008760E">
      <w:pPr>
        <w:rPr>
          <w:rFonts w:cs="Arial"/>
          <w:bCs/>
          <w:sz w:val="24"/>
          <w:szCs w:val="24"/>
        </w:rPr>
      </w:pPr>
      <w:r w:rsidRPr="0008760E">
        <w:t xml:space="preserve">Primero, </w:t>
      </w:r>
      <w:r w:rsidR="007B64D4" w:rsidRPr="0008760E">
        <w:rPr>
          <w:rFonts w:cs="Arial"/>
          <w:bCs/>
          <w:sz w:val="24"/>
          <w:szCs w:val="24"/>
        </w:rPr>
        <w:t>se considera necesario traer a contexto el artículo 23, fracción IX de la Ley de Transparencia y Acceso a la Información Pública del Estado de México y Municipios:</w:t>
      </w:r>
    </w:p>
    <w:p w14:paraId="31A721FC" w14:textId="77777777" w:rsidR="007B64D4" w:rsidRPr="0008760E" w:rsidRDefault="007B64D4" w:rsidP="0008760E">
      <w:pPr>
        <w:rPr>
          <w:rFonts w:cs="Arial"/>
          <w:bCs/>
          <w:sz w:val="24"/>
          <w:szCs w:val="24"/>
        </w:rPr>
      </w:pPr>
    </w:p>
    <w:p w14:paraId="73CF919E" w14:textId="77777777" w:rsidR="007B64D4" w:rsidRPr="0008760E" w:rsidRDefault="007B64D4" w:rsidP="0008760E">
      <w:pPr>
        <w:pStyle w:val="Puesto"/>
      </w:pPr>
      <w:r w:rsidRPr="0008760E">
        <w:rPr>
          <w:b/>
          <w:bCs/>
        </w:rPr>
        <w:t xml:space="preserve">Artículo 23. </w:t>
      </w:r>
      <w:r w:rsidRPr="0008760E">
        <w:t xml:space="preserve">Son sujetos obligados a transparentar y permitir el acceso a su información y proteger los datos personales que obren en su poder: </w:t>
      </w:r>
    </w:p>
    <w:p w14:paraId="7D1248C4" w14:textId="77777777" w:rsidR="007B64D4" w:rsidRPr="0008760E" w:rsidRDefault="007B64D4" w:rsidP="0008760E">
      <w:pPr>
        <w:pStyle w:val="Puesto"/>
      </w:pPr>
      <w:r w:rsidRPr="0008760E">
        <w:rPr>
          <w:iCs/>
        </w:rPr>
        <w:t xml:space="preserve">(…) </w:t>
      </w:r>
    </w:p>
    <w:p w14:paraId="417E7679" w14:textId="77777777" w:rsidR="007B64D4" w:rsidRPr="0008760E" w:rsidRDefault="007B64D4" w:rsidP="0008760E">
      <w:pPr>
        <w:pStyle w:val="Puesto"/>
        <w:rPr>
          <w:bCs/>
          <w:iCs/>
        </w:rPr>
      </w:pPr>
      <w:r w:rsidRPr="0008760E">
        <w:rPr>
          <w:b/>
          <w:bCs/>
          <w:iCs/>
        </w:rPr>
        <w:t>IX.</w:t>
      </w:r>
      <w:r w:rsidRPr="0008760E">
        <w:rPr>
          <w:bCs/>
          <w:iCs/>
        </w:rPr>
        <w:t xml:space="preserve"> Los sindicatos que reciban y/o ejerzan recursos públicos en el ámbito estatal y municipal;</w:t>
      </w:r>
    </w:p>
    <w:p w14:paraId="2B93CFC2" w14:textId="77777777" w:rsidR="007B64D4" w:rsidRPr="0008760E" w:rsidRDefault="007B64D4" w:rsidP="0008760E"/>
    <w:p w14:paraId="1B222D43" w14:textId="597CDE88" w:rsidR="00D124B5" w:rsidRPr="0008760E" w:rsidRDefault="00DC6730" w:rsidP="0008760E">
      <w:pPr>
        <w:rPr>
          <w:rFonts w:eastAsia="Calibri" w:cs="Arial"/>
          <w:lang w:eastAsia="en-US"/>
        </w:rPr>
      </w:pPr>
      <w:r w:rsidRPr="0008760E">
        <w:rPr>
          <w:rFonts w:eastAsia="Calibri"/>
          <w:lang w:eastAsia="es-MX"/>
        </w:rPr>
        <w:t>En tal sentido, debemos</w:t>
      </w:r>
      <w:r w:rsidR="00D124B5" w:rsidRPr="0008760E">
        <w:rPr>
          <w:rFonts w:eastAsia="Calibri"/>
          <w:lang w:eastAsia="es-MX"/>
        </w:rPr>
        <w:t xml:space="preserve"> mencionar que </w:t>
      </w:r>
      <w:r w:rsidR="00D124B5" w:rsidRPr="0008760E">
        <w:rPr>
          <w:rFonts w:eastAsia="Calibri"/>
          <w:lang w:eastAsia="en-US"/>
        </w:rPr>
        <w:t xml:space="preserve">para tener por satisfecho </w:t>
      </w:r>
      <w:r w:rsidR="00D124B5" w:rsidRPr="0008760E">
        <w:rPr>
          <w:rFonts w:eastAsia="Calibri" w:cs="Arial"/>
          <w:lang w:eastAsia="en-US"/>
        </w:rPr>
        <w:t>el derecho de acceso a la información pública implica que cualquier persona conozca la información contenida en los documentos que se encuentren en los archivos de los Sujetos Obligados.</w:t>
      </w:r>
    </w:p>
    <w:p w14:paraId="092F2BB9" w14:textId="77777777" w:rsidR="00D124B5" w:rsidRPr="0008760E" w:rsidRDefault="00D124B5" w:rsidP="0008760E">
      <w:pPr>
        <w:rPr>
          <w:rFonts w:eastAsia="Calibri"/>
          <w:lang w:eastAsia="en-US"/>
        </w:rPr>
      </w:pPr>
    </w:p>
    <w:p w14:paraId="71AD1D83" w14:textId="7887CF8D" w:rsidR="00D124B5" w:rsidRPr="0008760E" w:rsidRDefault="00D124B5" w:rsidP="0008760E">
      <w:pPr>
        <w:rPr>
          <w:rFonts w:eastAsia="Calibri" w:cs="Arial"/>
          <w:lang w:eastAsia="en-US"/>
        </w:rPr>
      </w:pPr>
      <w:r w:rsidRPr="0008760E">
        <w:rPr>
          <w:rFonts w:eastAsia="Calibri" w:cs="Arial"/>
          <w:lang w:eastAsia="en-US"/>
        </w:rPr>
        <w:t xml:space="preserve">Así que la obligación de acceso a la información se tendrá por cumplida cuando el solicitante tenga a su disposición la información requerida, o cuando realice su consulta en el lugar que ésta se localice, conforme a los artículos 3 fracción XI, XII 4, 12 y 24 último párrafo </w:t>
      </w:r>
      <w:r w:rsidRPr="0008760E">
        <w:rPr>
          <w:rFonts w:eastAsia="Calibri" w:cs="Arial"/>
          <w:bCs/>
          <w:lang w:eastAsia="en-US"/>
        </w:rPr>
        <w:t>de la Ley de Transparencia y Acceso a la Información Pública del Estado de México y Municipios</w:t>
      </w:r>
      <w:r w:rsidRPr="0008760E">
        <w:rPr>
          <w:rFonts w:eastAsia="Calibri" w:cs="Arial"/>
          <w:lang w:eastAsia="en-US"/>
        </w:rPr>
        <w:t>:</w:t>
      </w:r>
    </w:p>
    <w:p w14:paraId="19522B78" w14:textId="77777777" w:rsidR="00D124B5" w:rsidRPr="0008760E" w:rsidRDefault="00D124B5" w:rsidP="0008760E">
      <w:pPr>
        <w:rPr>
          <w:rFonts w:eastAsia="Calibri" w:cs="Arial"/>
          <w:lang w:eastAsia="en-US"/>
        </w:rPr>
      </w:pPr>
      <w:r w:rsidRPr="0008760E">
        <w:rPr>
          <w:rFonts w:eastAsia="Calibri" w:cs="Arial"/>
          <w:lang w:eastAsia="en-US"/>
        </w:rPr>
        <w:tab/>
      </w:r>
    </w:p>
    <w:p w14:paraId="005A5E42" w14:textId="77777777" w:rsidR="00D124B5" w:rsidRPr="0008760E" w:rsidRDefault="00D124B5" w:rsidP="0008760E">
      <w:pPr>
        <w:pStyle w:val="Puesto"/>
        <w:rPr>
          <w:rFonts w:eastAsia="Calibri"/>
          <w:b/>
          <w:lang w:eastAsia="en-US"/>
        </w:rPr>
      </w:pPr>
      <w:r w:rsidRPr="0008760E">
        <w:rPr>
          <w:rFonts w:eastAsia="Calibri"/>
          <w:b/>
          <w:lang w:eastAsia="en-US"/>
        </w:rPr>
        <w:t>“Artículo 3. Para los efectos de la presente Ley se entenderá por:</w:t>
      </w:r>
    </w:p>
    <w:p w14:paraId="25DEBE47" w14:textId="77777777" w:rsidR="00D124B5" w:rsidRPr="0008760E" w:rsidRDefault="00D124B5" w:rsidP="0008760E">
      <w:pPr>
        <w:pStyle w:val="Puesto"/>
        <w:rPr>
          <w:rFonts w:eastAsia="Calibri"/>
          <w:lang w:eastAsia="en-US"/>
        </w:rPr>
      </w:pPr>
      <w:r w:rsidRPr="0008760E">
        <w:rPr>
          <w:rFonts w:eastAsia="Calibri"/>
          <w:lang w:eastAsia="en-US"/>
        </w:rPr>
        <w:t>…</w:t>
      </w:r>
    </w:p>
    <w:p w14:paraId="6D367B64" w14:textId="77777777" w:rsidR="00D124B5" w:rsidRPr="0008760E" w:rsidRDefault="00D124B5" w:rsidP="0008760E">
      <w:pPr>
        <w:pStyle w:val="Puesto"/>
        <w:rPr>
          <w:rFonts w:eastAsia="Calibri"/>
          <w:lang w:eastAsia="en-US"/>
        </w:rPr>
      </w:pPr>
      <w:r w:rsidRPr="0008760E">
        <w:rPr>
          <w:rFonts w:eastAsia="Calibri"/>
          <w:b/>
          <w:bCs/>
          <w:lang w:eastAsia="en-US"/>
        </w:rPr>
        <w:t xml:space="preserve">XI. Documento: </w:t>
      </w:r>
      <w:r w:rsidRPr="0008760E">
        <w:rPr>
          <w:rFonts w:eastAsia="Calibri"/>
          <w:lang w:eastAsia="en-US"/>
        </w:rPr>
        <w:t>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5E288C22" w14:textId="77777777" w:rsidR="00D124B5" w:rsidRPr="0008760E" w:rsidRDefault="00D124B5" w:rsidP="0008760E">
      <w:pPr>
        <w:pStyle w:val="Puesto"/>
        <w:rPr>
          <w:rFonts w:eastAsia="Calibri"/>
          <w:lang w:eastAsia="en-US"/>
        </w:rPr>
      </w:pPr>
      <w:r w:rsidRPr="0008760E">
        <w:rPr>
          <w:rFonts w:eastAsia="Calibri"/>
          <w:b/>
          <w:lang w:eastAsia="en-US"/>
        </w:rPr>
        <w:t>XII. Documento electrónico:</w:t>
      </w:r>
      <w:r w:rsidRPr="0008760E">
        <w:rPr>
          <w:rFonts w:eastAsia="Calibri"/>
          <w:lang w:eastAsia="en-US"/>
        </w:rPr>
        <w:t xml:space="preserve"> Al soporte escrito con caracteres alfanuméricos, archivo de imagen, video, audio o cualquier otro formato tecnológicamente disponible, que contenga </w:t>
      </w:r>
      <w:r w:rsidRPr="0008760E">
        <w:rPr>
          <w:rFonts w:eastAsia="Calibri"/>
          <w:lang w:eastAsia="en-US"/>
        </w:rPr>
        <w:lastRenderedPageBreak/>
        <w:t>información en lenguaje natural o convencional, intercambiado por medios electrónicos, con el que sea posible dar constancia de un hecho y que esté signado con la firma electrónica avanzada y/o en el que se encuentre plasmado el sello electrónico;</w:t>
      </w:r>
    </w:p>
    <w:p w14:paraId="5494E844" w14:textId="77777777" w:rsidR="00D124B5" w:rsidRPr="0008760E" w:rsidRDefault="00D124B5" w:rsidP="0008760E">
      <w:pPr>
        <w:pStyle w:val="Puesto"/>
        <w:rPr>
          <w:rFonts w:eastAsia="Calibri"/>
          <w:lang w:eastAsia="en-US"/>
        </w:rPr>
      </w:pPr>
      <w:r w:rsidRPr="0008760E">
        <w:rPr>
          <w:rFonts w:eastAsia="Calibri"/>
          <w:lang w:eastAsia="en-US"/>
        </w:rPr>
        <w:t>…</w:t>
      </w:r>
    </w:p>
    <w:p w14:paraId="6F9F5277" w14:textId="77777777" w:rsidR="00D124B5" w:rsidRPr="0008760E" w:rsidRDefault="00D124B5" w:rsidP="0008760E">
      <w:pPr>
        <w:pStyle w:val="Puesto"/>
        <w:rPr>
          <w:rFonts w:eastAsia="Calibri"/>
          <w:b/>
          <w:lang w:eastAsia="en-US"/>
        </w:rPr>
      </w:pPr>
      <w:r w:rsidRPr="0008760E">
        <w:rPr>
          <w:rFonts w:eastAsia="Calibri"/>
          <w:b/>
          <w:lang w:eastAsia="en-US"/>
        </w:rPr>
        <w:t>Artículo 4. El derecho humano de acceso a la información pública es la prerrogativa de las personas para buscar, difundir, investigar, recabar, recibir y solicitar información pública, sin necesidad de acreditar personalidad ni interés jurídico.</w:t>
      </w:r>
    </w:p>
    <w:p w14:paraId="4E2B904C" w14:textId="77777777" w:rsidR="00D124B5" w:rsidRPr="0008760E" w:rsidRDefault="00D124B5" w:rsidP="0008760E">
      <w:pPr>
        <w:pStyle w:val="Puesto"/>
        <w:rPr>
          <w:rFonts w:eastAsia="Calibri"/>
          <w:lang w:eastAsia="en-US"/>
        </w:rPr>
      </w:pPr>
      <w:r w:rsidRPr="0008760E">
        <w:rPr>
          <w:rFonts w:eastAsia="Calibri"/>
          <w:b/>
          <w:lang w:eastAsia="en-U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w:t>
      </w:r>
      <w:r w:rsidRPr="0008760E">
        <w:rPr>
          <w:rFonts w:eastAsia="Calibri"/>
          <w:lang w:eastAsia="en-US"/>
        </w:rPr>
        <w:t xml:space="preserve"> Solo podrá ser clasificada excepcionalmente como reservada temporalmente por razones de interés público, en los términos de las causas legítimas y estrictamente necesarias previstas por esta Ley.</w:t>
      </w:r>
    </w:p>
    <w:p w14:paraId="784B9131" w14:textId="77777777" w:rsidR="00D124B5" w:rsidRPr="0008760E" w:rsidRDefault="00D124B5" w:rsidP="0008760E">
      <w:pPr>
        <w:pStyle w:val="Puesto"/>
        <w:rPr>
          <w:rFonts w:eastAsia="Calibri"/>
          <w:lang w:eastAsia="en-US"/>
        </w:rPr>
      </w:pPr>
      <w:r w:rsidRPr="0008760E">
        <w:rPr>
          <w:rFonts w:eastAsia="Calibri"/>
          <w:lang w:eastAsia="en-US"/>
        </w:rPr>
        <w:t>Los sujetos obligados deben poner en práctica, políticas y programas de acceso a la información que se apeguen a criterios de publicidad, veracidad, oportunidad, precisión y suficiencia en beneficio de los solicitantes.</w:t>
      </w:r>
    </w:p>
    <w:p w14:paraId="060DFFFD" w14:textId="77777777" w:rsidR="00D124B5" w:rsidRPr="0008760E" w:rsidRDefault="00D124B5" w:rsidP="0008760E">
      <w:pPr>
        <w:pStyle w:val="Puesto"/>
        <w:rPr>
          <w:rFonts w:eastAsia="Calibri"/>
          <w:lang w:eastAsia="en-US"/>
        </w:rPr>
      </w:pPr>
      <w:r w:rsidRPr="0008760E">
        <w:rPr>
          <w:rFonts w:eastAsia="Calibri"/>
          <w:b/>
          <w:bCs/>
          <w:lang w:eastAsia="en-US"/>
        </w:rPr>
        <w:t xml:space="preserve">Artículo 12. </w:t>
      </w:r>
      <w:r w:rsidRPr="0008760E">
        <w:rPr>
          <w:rFonts w:eastAsia="Calibri"/>
          <w:lang w:eastAsia="en-US"/>
        </w:rPr>
        <w:t>Quienes generen, recopilen, administren, manejen, procesen, archiven o conserven información pública serán responsables de la misma en los términos de las disposiciones jurídicas aplicables.</w:t>
      </w:r>
    </w:p>
    <w:p w14:paraId="622231B3" w14:textId="77777777" w:rsidR="00D124B5" w:rsidRPr="0008760E" w:rsidRDefault="00D124B5" w:rsidP="0008760E">
      <w:pPr>
        <w:pStyle w:val="Puesto"/>
        <w:rPr>
          <w:rFonts w:eastAsia="Calibri"/>
          <w:lang w:eastAsia="en-US"/>
        </w:rPr>
      </w:pPr>
      <w:r w:rsidRPr="0008760E">
        <w:rPr>
          <w:rFonts w:eastAsia="Calibri"/>
          <w:b/>
          <w:lang w:eastAsia="en-US"/>
        </w:rPr>
        <w:t>Los sujetos obligados sólo proporcionarán la información pública que se les requiera y que obre en sus archivos y en el estado en que ésta se encuentre.</w:t>
      </w:r>
      <w:r w:rsidRPr="0008760E">
        <w:rPr>
          <w:rFonts w:eastAsia="Calibri"/>
          <w:lang w:eastAsia="en-US"/>
        </w:rPr>
        <w:t xml:space="preserve"> La obligación de proporcionar información no comprende el procesamiento de la misma, ni el presentarla conforme al interés del solicitante; no estarán obligados a generarla, resumirla, efectuar cálculos o practicar investigaciones. </w:t>
      </w:r>
    </w:p>
    <w:p w14:paraId="54D980FC" w14:textId="77777777" w:rsidR="00D124B5" w:rsidRPr="0008760E" w:rsidRDefault="00D124B5" w:rsidP="0008760E">
      <w:pPr>
        <w:pStyle w:val="Puesto"/>
        <w:rPr>
          <w:rFonts w:eastAsia="Calibri"/>
          <w:lang w:eastAsia="en-US"/>
        </w:rPr>
      </w:pPr>
      <w:r w:rsidRPr="0008760E">
        <w:rPr>
          <w:rFonts w:eastAsia="Calibri"/>
          <w:lang w:eastAsia="en-US"/>
        </w:rPr>
        <w:t>…</w:t>
      </w:r>
    </w:p>
    <w:p w14:paraId="37361F09" w14:textId="77777777" w:rsidR="00D124B5" w:rsidRPr="0008760E" w:rsidRDefault="00D124B5" w:rsidP="0008760E">
      <w:pPr>
        <w:pStyle w:val="Puesto"/>
        <w:rPr>
          <w:rFonts w:eastAsia="Calibri"/>
          <w:b/>
          <w:lang w:eastAsia="en-US"/>
        </w:rPr>
      </w:pPr>
      <w:r w:rsidRPr="0008760E">
        <w:rPr>
          <w:rFonts w:eastAsia="Calibri"/>
          <w:b/>
          <w:bCs/>
          <w:lang w:eastAsia="en-US"/>
        </w:rPr>
        <w:t xml:space="preserve">Artículo 24. </w:t>
      </w:r>
      <w:r w:rsidRPr="0008760E">
        <w:rPr>
          <w:rFonts w:eastAsia="Calibri"/>
          <w:b/>
          <w:lang w:eastAsia="en-US"/>
        </w:rPr>
        <w:t>Para el cumplimiento de los objetivos de esta Ley, los sujetos obligados deberán cumplir con las siguientes obligaciones, según corresponda, de acuerdo a su naturaleza:</w:t>
      </w:r>
    </w:p>
    <w:p w14:paraId="32516DCB" w14:textId="77777777" w:rsidR="00D124B5" w:rsidRPr="0008760E" w:rsidRDefault="00D124B5" w:rsidP="0008760E">
      <w:pPr>
        <w:pStyle w:val="Puesto"/>
        <w:rPr>
          <w:rFonts w:eastAsia="Calibri"/>
          <w:lang w:eastAsia="en-US"/>
        </w:rPr>
      </w:pPr>
      <w:r w:rsidRPr="0008760E">
        <w:rPr>
          <w:rFonts w:eastAsia="Calibri"/>
          <w:bCs/>
          <w:lang w:eastAsia="en-US"/>
        </w:rPr>
        <w:t>..</w:t>
      </w:r>
      <w:r w:rsidRPr="0008760E">
        <w:rPr>
          <w:rFonts w:eastAsia="Calibri"/>
          <w:lang w:eastAsia="en-US"/>
        </w:rPr>
        <w:t>.</w:t>
      </w:r>
    </w:p>
    <w:p w14:paraId="78EDD032" w14:textId="77777777" w:rsidR="00D124B5" w:rsidRPr="0008760E" w:rsidRDefault="00D124B5" w:rsidP="0008760E">
      <w:pPr>
        <w:pStyle w:val="Puesto"/>
        <w:rPr>
          <w:rFonts w:eastAsia="Calibri"/>
          <w:bCs/>
          <w:lang w:eastAsia="en-US"/>
        </w:rPr>
      </w:pPr>
      <w:r w:rsidRPr="0008760E">
        <w:rPr>
          <w:rFonts w:eastAsia="Calibri"/>
          <w:b/>
          <w:bCs/>
          <w:lang w:eastAsia="en-US"/>
        </w:rPr>
        <w:t>IX.</w:t>
      </w:r>
      <w:r w:rsidRPr="0008760E">
        <w:rPr>
          <w:rFonts w:eastAsia="Calibri"/>
          <w:bCs/>
          <w:lang w:eastAsia="en-US"/>
        </w:rPr>
        <w:t xml:space="preserve"> Fomentar el uso de tecnologías de la información para garantizar la transparencia, el derecho de acceso a la información y la accesibilidad a éstos;</w:t>
      </w:r>
    </w:p>
    <w:p w14:paraId="56590AFE" w14:textId="77777777" w:rsidR="00D124B5" w:rsidRPr="0008760E" w:rsidRDefault="00D124B5" w:rsidP="0008760E">
      <w:pPr>
        <w:pStyle w:val="Puesto"/>
        <w:rPr>
          <w:rFonts w:eastAsia="Calibri"/>
          <w:bCs/>
          <w:lang w:eastAsia="en-US"/>
        </w:rPr>
      </w:pPr>
      <w:r w:rsidRPr="0008760E">
        <w:rPr>
          <w:rFonts w:eastAsia="Calibri"/>
          <w:b/>
          <w:bCs/>
          <w:lang w:eastAsia="en-US"/>
        </w:rPr>
        <w:t>…</w:t>
      </w:r>
    </w:p>
    <w:p w14:paraId="3107A3CB" w14:textId="77777777" w:rsidR="00D124B5" w:rsidRPr="0008760E" w:rsidRDefault="00D124B5" w:rsidP="0008760E">
      <w:pPr>
        <w:pStyle w:val="Puesto"/>
        <w:rPr>
          <w:rFonts w:eastAsia="Calibri"/>
          <w:b/>
          <w:bCs/>
          <w:lang w:eastAsia="en-US"/>
        </w:rPr>
      </w:pPr>
      <w:r w:rsidRPr="0008760E">
        <w:rPr>
          <w:rFonts w:eastAsia="Calibri"/>
          <w:b/>
          <w:bCs/>
          <w:lang w:eastAsia="en-US"/>
        </w:rPr>
        <w:t>XI.</w:t>
      </w:r>
      <w:r w:rsidRPr="0008760E">
        <w:rPr>
          <w:rFonts w:eastAsia="Calibri"/>
          <w:bCs/>
          <w:lang w:eastAsia="en-US"/>
        </w:rPr>
        <w:t xml:space="preserve"> </w:t>
      </w:r>
      <w:r w:rsidRPr="0008760E">
        <w:rPr>
          <w:rFonts w:eastAsia="Calibri"/>
          <w:b/>
          <w:bCs/>
          <w:lang w:eastAsia="en-US"/>
        </w:rPr>
        <w:t>Dar acceso a la información pública que le sea requerida, en los términos de la Ley General, esta Ley y demás disposiciones jurídicas aplicables;</w:t>
      </w:r>
    </w:p>
    <w:p w14:paraId="0D235D58" w14:textId="77777777" w:rsidR="00D124B5" w:rsidRPr="0008760E" w:rsidRDefault="00D124B5" w:rsidP="0008760E">
      <w:pPr>
        <w:pStyle w:val="Puesto"/>
        <w:rPr>
          <w:rFonts w:eastAsia="Calibri"/>
          <w:lang w:eastAsia="en-US"/>
        </w:rPr>
      </w:pPr>
      <w:r w:rsidRPr="0008760E">
        <w:rPr>
          <w:rFonts w:eastAsia="Calibri"/>
          <w:bCs/>
          <w:lang w:eastAsia="en-US"/>
        </w:rPr>
        <w:t>…</w:t>
      </w:r>
    </w:p>
    <w:p w14:paraId="20C0AE18" w14:textId="77777777" w:rsidR="00D124B5" w:rsidRPr="0008760E" w:rsidRDefault="00D124B5" w:rsidP="0008760E">
      <w:pPr>
        <w:pStyle w:val="Puesto"/>
        <w:rPr>
          <w:rFonts w:eastAsia="Calibri"/>
          <w:lang w:eastAsia="en-US"/>
        </w:rPr>
      </w:pPr>
      <w:r w:rsidRPr="0008760E">
        <w:rPr>
          <w:rFonts w:eastAsia="Calibri"/>
          <w:lang w:eastAsia="en-US"/>
        </w:rPr>
        <w:lastRenderedPageBreak/>
        <w:t>En la administración, gestión y custodia de los archivos de información pública, los sujetos obligados, los servidores públicos habilitados y los servidores públicos en general, se ajustarán a lo establecido por la normatividad aplicable.</w:t>
      </w:r>
    </w:p>
    <w:p w14:paraId="1AE3A03E" w14:textId="77777777" w:rsidR="00D124B5" w:rsidRPr="0008760E" w:rsidRDefault="00D124B5" w:rsidP="0008760E">
      <w:pPr>
        <w:pStyle w:val="Puesto"/>
        <w:rPr>
          <w:rFonts w:eastAsia="Calibri"/>
          <w:b/>
          <w:lang w:eastAsia="en-US"/>
        </w:rPr>
      </w:pPr>
      <w:r w:rsidRPr="0008760E">
        <w:rPr>
          <w:rFonts w:eastAsia="Calibri"/>
          <w:b/>
          <w:lang w:eastAsia="en-US"/>
        </w:rPr>
        <w:t>Los sujetos obligados solo proporcionarán la información pública que generen, administren o posean en el ejercicio de sus atribuciones.</w:t>
      </w:r>
    </w:p>
    <w:p w14:paraId="298735FA" w14:textId="77777777" w:rsidR="00D124B5" w:rsidRPr="0008760E" w:rsidRDefault="00D124B5" w:rsidP="0008760E">
      <w:pPr>
        <w:ind w:left="851" w:right="851"/>
        <w:rPr>
          <w:rFonts w:eastAsia="Calibri" w:cs="Arial"/>
          <w:b/>
          <w:i/>
          <w:szCs w:val="22"/>
          <w:lang w:eastAsia="en-US"/>
        </w:rPr>
      </w:pPr>
    </w:p>
    <w:p w14:paraId="432E8E4A" w14:textId="77777777" w:rsidR="00D124B5" w:rsidRPr="0008760E" w:rsidRDefault="00D124B5" w:rsidP="0008760E">
      <w:pPr>
        <w:rPr>
          <w:rFonts w:eastAsia="Calibri" w:cs="Arial"/>
          <w:lang w:eastAsia="en-US"/>
        </w:rPr>
      </w:pPr>
      <w:r w:rsidRPr="0008760E">
        <w:rPr>
          <w:rFonts w:eastAsia="Calibri" w:cs="Arial"/>
          <w:lang w:eastAsia="en-US"/>
        </w:rPr>
        <w:t>Por lo que el ejercicio del derecho de acceso a la información pública es la prerrogativa de las personas para buscar, difundir, investigar, recabar, recibir y solicitar información pública, sin necesidad de acreditar personalidad ni interés jurídico.</w:t>
      </w:r>
    </w:p>
    <w:p w14:paraId="6C1577E2" w14:textId="77777777" w:rsidR="00D124B5" w:rsidRPr="0008760E" w:rsidRDefault="00D124B5" w:rsidP="0008760E">
      <w:pPr>
        <w:rPr>
          <w:rFonts w:eastAsia="Calibri" w:cs="Arial"/>
          <w:lang w:eastAsia="en-US"/>
        </w:rPr>
      </w:pPr>
    </w:p>
    <w:p w14:paraId="0EA5127D" w14:textId="77777777" w:rsidR="00D124B5" w:rsidRPr="0008760E" w:rsidRDefault="00D124B5" w:rsidP="0008760E">
      <w:pPr>
        <w:rPr>
          <w:rFonts w:eastAsia="Calibri" w:cs="Arial"/>
          <w:lang w:eastAsia="en-US"/>
        </w:rPr>
      </w:pPr>
      <w:r w:rsidRPr="0008760E">
        <w:rPr>
          <w:rFonts w:eastAsia="Calibri" w:cs="Arial"/>
          <w:lang w:eastAsia="en-US"/>
        </w:rPr>
        <w:t>Así como en la obligación de los sujetos obligados a permitir el acceso a su información, es decir, otorgar el acceso a la información que se haya solicitado y que obre en sus archivos tal y como fue generado el documento, por lo que no tienen la obligación de procesarla, resumirla, efectuar cálculos o practicar investigaciones.</w:t>
      </w:r>
    </w:p>
    <w:p w14:paraId="6DC302C6" w14:textId="77777777" w:rsidR="00D124B5" w:rsidRPr="0008760E" w:rsidRDefault="00D124B5" w:rsidP="0008760E">
      <w:pPr>
        <w:rPr>
          <w:rFonts w:eastAsia="Calibri"/>
          <w:szCs w:val="22"/>
          <w:lang w:eastAsia="en-US"/>
        </w:rPr>
      </w:pPr>
    </w:p>
    <w:p w14:paraId="6D4E5D10" w14:textId="77777777" w:rsidR="00D124B5" w:rsidRPr="0008760E" w:rsidRDefault="00D124B5" w:rsidP="0008760E">
      <w:pPr>
        <w:tabs>
          <w:tab w:val="left" w:pos="709"/>
        </w:tabs>
        <w:rPr>
          <w:rFonts w:eastAsia="Calibri" w:cs="Arial"/>
          <w:lang w:eastAsia="en-US"/>
        </w:rPr>
      </w:pPr>
      <w:r w:rsidRPr="0008760E">
        <w:rPr>
          <w:rFonts w:eastAsia="Calibri"/>
          <w:lang w:eastAsia="en-US"/>
        </w:rPr>
        <w:t>En estricto sentido</w:t>
      </w:r>
      <w:r w:rsidRPr="0008760E">
        <w:rPr>
          <w:rFonts w:eastAsia="Calibri" w:cs="Arial"/>
          <w:lang w:eastAsia="en-US"/>
        </w:rPr>
        <w:t>, el derecho de acceso a la información pública se satisface en aquellos casos en que se entregue el soporte documental en que conste la información pública, toda vez que, los Sujetos Obligados</w:t>
      </w:r>
      <w:r w:rsidRPr="0008760E">
        <w:rPr>
          <w:rFonts w:eastAsia="Calibri" w:cs="Arial"/>
          <w:b/>
          <w:lang w:eastAsia="en-US"/>
        </w:rPr>
        <w:t xml:space="preserve"> </w:t>
      </w:r>
      <w:r w:rsidRPr="0008760E">
        <w:rPr>
          <w:rFonts w:eastAsia="Calibri" w:cs="Arial"/>
          <w:lang w:eastAsia="en-US"/>
        </w:rPr>
        <w:t xml:space="preserve">no tienen el deber de generar, poseer o administrar la información pública con el grado de detalle solicitado; esto es, que no tienen el deber de generar un documento </w:t>
      </w:r>
      <w:r w:rsidRPr="0008760E">
        <w:rPr>
          <w:rFonts w:eastAsia="Calibri" w:cs="Arial"/>
          <w:i/>
          <w:lang w:eastAsia="en-US"/>
        </w:rPr>
        <w:t>ad hoc</w:t>
      </w:r>
      <w:r w:rsidRPr="0008760E">
        <w:rPr>
          <w:rFonts w:eastAsia="Calibri" w:cs="Arial"/>
          <w:lang w:eastAsia="en-US"/>
        </w:rPr>
        <w:t>, para satisfacer el derecho de acceso a la información pública, como lo establece el artículo 12 de la Ley de Transparencia y Acceso a la Información Pública del Estado de México y Municipios.</w:t>
      </w:r>
    </w:p>
    <w:p w14:paraId="725527D2" w14:textId="77777777" w:rsidR="00D124B5" w:rsidRPr="0008760E" w:rsidRDefault="00D124B5" w:rsidP="0008760E">
      <w:pPr>
        <w:ind w:left="567" w:right="51"/>
        <w:rPr>
          <w:rFonts w:cs="Arial"/>
        </w:rPr>
      </w:pPr>
    </w:p>
    <w:p w14:paraId="47E58A9D" w14:textId="77777777" w:rsidR="00D124B5" w:rsidRPr="0008760E" w:rsidRDefault="00D124B5" w:rsidP="0008760E">
      <w:pPr>
        <w:ind w:right="51"/>
        <w:rPr>
          <w:rFonts w:eastAsia="Calibri" w:cs="Arial"/>
          <w:lang w:eastAsia="en-US"/>
        </w:rPr>
      </w:pPr>
      <w:r w:rsidRPr="0008760E">
        <w:rPr>
          <w:rFonts w:eastAsia="Calibri" w:cs="Arial"/>
          <w:lang w:eastAsia="en-US"/>
        </w:rPr>
        <w:t xml:space="preserve">Como apoyo a lo anterior, es aplicable el Criterio 03-17, emitido por </w:t>
      </w:r>
      <w:r w:rsidRPr="0008760E">
        <w:rPr>
          <w:rFonts w:eastAsia="Arial Unicode MS" w:cs="Arial"/>
          <w:lang w:eastAsia="en-US"/>
        </w:rPr>
        <w:t>el Instituto Nacional de Transparencia, Acceso a la Información y Protección de Datos Personales,</w:t>
      </w:r>
      <w:r w:rsidRPr="0008760E">
        <w:rPr>
          <w:rFonts w:eastAsia="Calibri"/>
          <w:bCs/>
          <w:lang w:eastAsia="en-US"/>
        </w:rPr>
        <w:t xml:space="preserve"> que dice:</w:t>
      </w:r>
      <w:r w:rsidRPr="0008760E">
        <w:rPr>
          <w:rFonts w:eastAsia="Calibri"/>
          <w:b/>
          <w:bCs/>
          <w:lang w:eastAsia="en-US"/>
        </w:rPr>
        <w:t xml:space="preserve"> </w:t>
      </w:r>
    </w:p>
    <w:p w14:paraId="4C039575" w14:textId="77777777" w:rsidR="00D124B5" w:rsidRPr="0008760E" w:rsidRDefault="00D124B5" w:rsidP="0008760E">
      <w:pPr>
        <w:ind w:left="928" w:right="850"/>
        <w:rPr>
          <w:rFonts w:cs="Arial"/>
          <w:i/>
          <w:szCs w:val="22"/>
        </w:rPr>
      </w:pPr>
    </w:p>
    <w:p w14:paraId="40897CF9" w14:textId="77777777" w:rsidR="00D124B5" w:rsidRPr="0008760E" w:rsidRDefault="00D124B5" w:rsidP="0008760E">
      <w:pPr>
        <w:pStyle w:val="Puesto"/>
      </w:pPr>
      <w:r w:rsidRPr="0008760E">
        <w:lastRenderedPageBreak/>
        <w:t>“</w:t>
      </w:r>
      <w:r w:rsidRPr="0008760E">
        <w:rPr>
          <w:b/>
        </w:rPr>
        <w:t>No existe obligación de elaborar documentos ad hoc para atender las solicitudes de acceso a la información.</w:t>
      </w:r>
      <w:r w:rsidRPr="0008760E">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758C43A1" w14:textId="77777777" w:rsidR="00D124B5" w:rsidRPr="0008760E" w:rsidRDefault="00D124B5" w:rsidP="0008760E"/>
    <w:p w14:paraId="5FAA43D3" w14:textId="3E6A512F" w:rsidR="00DC6730" w:rsidRPr="0008760E" w:rsidRDefault="007B64D4" w:rsidP="0008760E">
      <w:pPr>
        <w:rPr>
          <w:i/>
          <w:szCs w:val="22"/>
          <w:lang w:val="es-ES"/>
        </w:rPr>
      </w:pPr>
      <w:r w:rsidRPr="0008760E">
        <w:rPr>
          <w:rFonts w:cs="Arial"/>
          <w:bCs/>
          <w:sz w:val="24"/>
          <w:szCs w:val="24"/>
        </w:rPr>
        <w:t xml:space="preserve">Una vez precisado lo anterior, </w:t>
      </w:r>
      <w:r w:rsidR="00DC6730" w:rsidRPr="0008760E">
        <w:rPr>
          <w:lang w:eastAsia="es-MX"/>
        </w:rPr>
        <w:t xml:space="preserve">es importante señalar que </w:t>
      </w:r>
      <w:r w:rsidR="00DC6730" w:rsidRPr="0008760E">
        <w:rPr>
          <w:b/>
          <w:lang w:eastAsia="es-MX"/>
        </w:rPr>
        <w:t>EL SUJETO OBLIGADO</w:t>
      </w:r>
      <w:r w:rsidR="00DC6730" w:rsidRPr="0008760E">
        <w:rPr>
          <w:lang w:eastAsia="es-MX"/>
        </w:rPr>
        <w:t xml:space="preserve"> es competente para generar, recopilar, administrar, manejar, procesar, archivar, corregir o poseer la información solicitada, derivado de que éste ha asumido la misma, ya que en respuesta entregó la información requerida por el particular, motivo por el cual se actualiza el supuesto jurídico, previsto en el artículo 12 de la Ley de Transparencia y Acceso a la Información Pública del Estado de México y Municipios. </w:t>
      </w:r>
    </w:p>
    <w:p w14:paraId="17F9906F" w14:textId="77777777" w:rsidR="00DC6730" w:rsidRPr="0008760E" w:rsidRDefault="00DC6730" w:rsidP="0008760E">
      <w:pPr>
        <w:rPr>
          <w:lang w:eastAsia="es-MX"/>
        </w:rPr>
      </w:pPr>
    </w:p>
    <w:p w14:paraId="5C26A546" w14:textId="13AD20BF" w:rsidR="00DC6730" w:rsidRPr="0008760E" w:rsidRDefault="00DC6730" w:rsidP="0008760E">
      <w:pPr>
        <w:rPr>
          <w:lang w:eastAsia="es-MX"/>
        </w:rPr>
      </w:pPr>
      <w:r w:rsidRPr="0008760E">
        <w:rPr>
          <w:lang w:eastAsia="es-MX"/>
        </w:rPr>
        <w:t xml:space="preserve">En atención a lo anterior, el estudio de la naturaleza jurídica de la información pública solicitada, tiene por objeto determinar si </w:t>
      </w:r>
      <w:r w:rsidRPr="0008760E">
        <w:rPr>
          <w:b/>
          <w:lang w:eastAsia="es-MX"/>
        </w:rPr>
        <w:t>EL SUJETO OBLIGADO</w:t>
      </w:r>
      <w:r w:rsidRPr="0008760E">
        <w:rPr>
          <w:lang w:eastAsia="es-MX"/>
        </w:rPr>
        <w:t xml:space="preserve"> la genera, recopila, administra, maneja, procesa, archiva o corrige; sin embargo, en aquellos casos en que éste la asume, a nada práctico nos conduciría su estudio, ya que como se observa de la respuesta vertida por </w:t>
      </w:r>
      <w:r w:rsidRPr="0008760E">
        <w:rPr>
          <w:b/>
          <w:lang w:eastAsia="es-MX"/>
        </w:rPr>
        <w:t>EL SUJETO OBLIGADO</w:t>
      </w:r>
      <w:r w:rsidRPr="0008760E">
        <w:rPr>
          <w:lang w:eastAsia="es-MX"/>
        </w:rPr>
        <w:t>, dicha información, fue admitida por el mismo.</w:t>
      </w:r>
    </w:p>
    <w:p w14:paraId="0012238C" w14:textId="77777777" w:rsidR="00DC6730" w:rsidRPr="0008760E" w:rsidRDefault="00DC6730" w:rsidP="0008760E">
      <w:pPr>
        <w:rPr>
          <w:rFonts w:cs="Arial"/>
          <w:bCs/>
          <w:sz w:val="24"/>
          <w:szCs w:val="24"/>
        </w:rPr>
      </w:pPr>
    </w:p>
    <w:p w14:paraId="3FFD7645" w14:textId="5DA6550D" w:rsidR="004606B6" w:rsidRPr="0008760E" w:rsidRDefault="004606B6" w:rsidP="0008760E">
      <w:pPr>
        <w:rPr>
          <w:b/>
          <w:lang w:eastAsia="es-MX"/>
        </w:rPr>
      </w:pPr>
      <w:r w:rsidRPr="0008760E">
        <w:rPr>
          <w:lang w:eastAsia="es-MX"/>
        </w:rPr>
        <w:t xml:space="preserve">En consecuencia, este Órgano Garante procede al análisis del cambio de modalidad pretendido por </w:t>
      </w:r>
      <w:r w:rsidRPr="0008760E">
        <w:rPr>
          <w:b/>
          <w:lang w:eastAsia="es-MX"/>
        </w:rPr>
        <w:t xml:space="preserve">EL SUJETO OBLIGADO </w:t>
      </w:r>
      <w:r w:rsidRPr="0008760E">
        <w:rPr>
          <w:lang w:eastAsia="es-MX"/>
        </w:rPr>
        <w:t xml:space="preserve">a fin de determinar si atiende cabalmente el derecho de acceso a la información ejercido por </w:t>
      </w:r>
      <w:r w:rsidRPr="0008760E">
        <w:rPr>
          <w:b/>
          <w:lang w:eastAsia="es-MX"/>
        </w:rPr>
        <w:t xml:space="preserve">LA PARTE RECURRENTE. </w:t>
      </w:r>
    </w:p>
    <w:p w14:paraId="48F60D52" w14:textId="77777777" w:rsidR="004606B6" w:rsidRPr="0008760E" w:rsidRDefault="004606B6" w:rsidP="0008760E">
      <w:pPr>
        <w:rPr>
          <w:lang w:eastAsia="es-MX"/>
        </w:rPr>
      </w:pPr>
    </w:p>
    <w:p w14:paraId="507DA36B" w14:textId="44821DED" w:rsidR="004606B6" w:rsidRPr="0008760E" w:rsidRDefault="004606B6" w:rsidP="0008760E">
      <w:pPr>
        <w:rPr>
          <w:b/>
          <w:lang w:eastAsia="es-MX"/>
        </w:rPr>
      </w:pPr>
      <w:r w:rsidRPr="0008760E">
        <w:rPr>
          <w:lang w:eastAsia="es-MX"/>
        </w:rPr>
        <w:lastRenderedPageBreak/>
        <w:t xml:space="preserve">Por lo que, si bien </w:t>
      </w:r>
      <w:r w:rsidRPr="0008760E">
        <w:rPr>
          <w:b/>
          <w:lang w:eastAsia="es-MX"/>
        </w:rPr>
        <w:t xml:space="preserve">EL SUJETO OBLIGADO </w:t>
      </w:r>
      <w:r w:rsidR="007B64D4" w:rsidRPr="0008760E">
        <w:rPr>
          <w:lang w:eastAsia="es-MX"/>
        </w:rPr>
        <w:t xml:space="preserve">en respuesta hace </w:t>
      </w:r>
      <w:r w:rsidRPr="0008760E">
        <w:rPr>
          <w:lang w:eastAsia="es-MX"/>
        </w:rPr>
        <w:t>entrega del</w:t>
      </w:r>
      <w:r w:rsidR="007B64D4" w:rsidRPr="0008760E">
        <w:rPr>
          <w:lang w:eastAsia="es-MX"/>
        </w:rPr>
        <w:t xml:space="preserve"> Convenio solicitado y los documentos con el cual se solicita el depósito</w:t>
      </w:r>
      <w:r w:rsidRPr="0008760E">
        <w:rPr>
          <w:lang w:eastAsia="es-MX"/>
        </w:rPr>
        <w:t xml:space="preserve"> -</w:t>
      </w:r>
      <w:r w:rsidR="007B64D4" w:rsidRPr="0008760E">
        <w:rPr>
          <w:lang w:eastAsia="es-MX"/>
        </w:rPr>
        <w:t xml:space="preserve"> registro del Convenio y el acuse de recibido emitido por el Tribunal Estatal de Conciliación y Arbitraje Estado de México, a través del Sistema de Acceso a la Información Mexiquense </w:t>
      </w:r>
      <w:r w:rsidR="007B64D4" w:rsidRPr="0008760E">
        <w:rPr>
          <w:b/>
          <w:lang w:eastAsia="es-MX"/>
        </w:rPr>
        <w:t>SAIMEX</w:t>
      </w:r>
      <w:r w:rsidRPr="0008760E">
        <w:rPr>
          <w:lang w:eastAsia="es-MX"/>
        </w:rPr>
        <w:t xml:space="preserve">; lo cierto es que dichos documentos no fueron entregados en la modalidad elegida por el particular; es decir en </w:t>
      </w:r>
      <w:r w:rsidRPr="0008760E">
        <w:rPr>
          <w:b/>
          <w:lang w:eastAsia="es-MX"/>
        </w:rPr>
        <w:t xml:space="preserve">copia certificada. </w:t>
      </w:r>
    </w:p>
    <w:p w14:paraId="52E2090D" w14:textId="77777777" w:rsidR="004606B6" w:rsidRPr="0008760E" w:rsidRDefault="004606B6" w:rsidP="0008760E">
      <w:pPr>
        <w:rPr>
          <w:rFonts w:cs="Palatino Linotype"/>
          <w:b/>
          <w:bCs/>
          <w:iCs/>
          <w:sz w:val="24"/>
        </w:rPr>
      </w:pPr>
    </w:p>
    <w:p w14:paraId="32D606DB" w14:textId="77777777" w:rsidR="004606B6" w:rsidRPr="0008760E" w:rsidRDefault="004606B6" w:rsidP="0008760E">
      <w:pPr>
        <w:rPr>
          <w:szCs w:val="17"/>
          <w:lang w:eastAsia="es-ES_tradnl"/>
        </w:rPr>
      </w:pPr>
      <w:r w:rsidRPr="0008760E">
        <w:t xml:space="preserve">Derivado de lo anterior, </w:t>
      </w:r>
      <w:r w:rsidRPr="0008760E">
        <w:rPr>
          <w:rFonts w:eastAsia="Calibri"/>
          <w:lang w:eastAsia="en-US"/>
        </w:rPr>
        <w:t>es</w:t>
      </w:r>
      <w:r w:rsidRPr="0008760E">
        <w:t xml:space="preserve"> importante referir el contenido de l</w:t>
      </w:r>
      <w:r w:rsidRPr="0008760E">
        <w:rPr>
          <w:rFonts w:cs="Arial"/>
          <w:lang w:val="es-ES_tradnl"/>
        </w:rPr>
        <w:t>os</w:t>
      </w:r>
      <w:r w:rsidRPr="0008760E">
        <w:t xml:space="preserve"> artículos 155, fracción V y 164,</w:t>
      </w:r>
      <w:r w:rsidRPr="0008760E">
        <w:rPr>
          <w:szCs w:val="17"/>
          <w:lang w:eastAsia="es-ES_tradnl"/>
        </w:rPr>
        <w:t xml:space="preserve"> de la Ley de Transparencia y Acceso a la Información Pública del Estado de México y Municipios, disponen lo siguiente:</w:t>
      </w:r>
    </w:p>
    <w:p w14:paraId="57D1BBA6" w14:textId="77777777" w:rsidR="004606B6" w:rsidRPr="0008760E" w:rsidRDefault="004606B6" w:rsidP="0008760E">
      <w:pPr>
        <w:rPr>
          <w:lang w:eastAsia="es-MX"/>
        </w:rPr>
      </w:pPr>
    </w:p>
    <w:p w14:paraId="2418C312" w14:textId="77777777" w:rsidR="004606B6" w:rsidRPr="0008760E" w:rsidRDefault="004606B6" w:rsidP="0008760E">
      <w:pPr>
        <w:pStyle w:val="Puesto"/>
        <w:rPr>
          <w:b/>
          <w:lang w:val="es-ES"/>
        </w:rPr>
      </w:pPr>
      <w:r w:rsidRPr="0008760E">
        <w:rPr>
          <w:lang w:val="es-ES"/>
        </w:rPr>
        <w:t>“</w:t>
      </w:r>
      <w:r w:rsidRPr="0008760E">
        <w:rPr>
          <w:b/>
          <w:lang w:val="es-ES"/>
        </w:rPr>
        <w:t xml:space="preserve">Artículo 155. Para presentar una solicitud por escrito, no se podrán exigir mayores requisitos que los siguientes: </w:t>
      </w:r>
    </w:p>
    <w:p w14:paraId="6500555D" w14:textId="77777777" w:rsidR="004606B6" w:rsidRPr="0008760E" w:rsidRDefault="004606B6" w:rsidP="0008760E">
      <w:pPr>
        <w:pStyle w:val="Puesto"/>
        <w:rPr>
          <w:lang w:val="es-ES"/>
        </w:rPr>
      </w:pPr>
      <w:r w:rsidRPr="0008760E">
        <w:rPr>
          <w:lang w:val="es-ES"/>
        </w:rPr>
        <w:t>[…]</w:t>
      </w:r>
    </w:p>
    <w:p w14:paraId="58D7CA18" w14:textId="77777777" w:rsidR="004606B6" w:rsidRPr="0008760E" w:rsidRDefault="004606B6" w:rsidP="0008760E">
      <w:pPr>
        <w:pStyle w:val="Puesto"/>
        <w:rPr>
          <w:b/>
          <w:lang w:val="es-ES"/>
        </w:rPr>
      </w:pPr>
      <w:r w:rsidRPr="0008760E">
        <w:rPr>
          <w:lang w:val="es-ES"/>
        </w:rPr>
        <w:t xml:space="preserve">V. </w:t>
      </w:r>
      <w:r w:rsidRPr="0008760E">
        <w:rPr>
          <w:b/>
          <w:lang w:val="es-ES"/>
        </w:rPr>
        <w:t>La modalidad en la que prefiere se otorgue el acceso a la información, la cual podrá ser</w:t>
      </w:r>
      <w:r w:rsidRPr="0008760E">
        <w:rPr>
          <w:lang w:val="es-ES"/>
        </w:rPr>
        <w:t xml:space="preserve"> verbal, siempre y cuando sea para fines de orientación, </w:t>
      </w:r>
      <w:r w:rsidRPr="0008760E">
        <w:rPr>
          <w:b/>
          <w:lang w:val="es-ES"/>
        </w:rPr>
        <w:t>mediante consulta directa,</w:t>
      </w:r>
      <w:r w:rsidRPr="0008760E">
        <w:rPr>
          <w:lang w:val="es-ES"/>
        </w:rPr>
        <w:t xml:space="preserve"> mediante la </w:t>
      </w:r>
      <w:r w:rsidRPr="0008760E">
        <w:rPr>
          <w:b/>
          <w:lang w:val="es-ES"/>
        </w:rPr>
        <w:t xml:space="preserve">expedición de copias simples o certificadas o la reproducción en cualquier otro medio, incluidos los electrónicos. </w:t>
      </w:r>
    </w:p>
    <w:p w14:paraId="6970D77A" w14:textId="77777777" w:rsidR="004606B6" w:rsidRPr="0008760E" w:rsidRDefault="004606B6" w:rsidP="0008760E">
      <w:pPr>
        <w:pStyle w:val="Puesto"/>
        <w:rPr>
          <w:lang w:val="es-ES"/>
        </w:rPr>
      </w:pPr>
      <w:r w:rsidRPr="0008760E">
        <w:rPr>
          <w:lang w:val="es-ES"/>
        </w:rPr>
        <w:t xml:space="preserve">Artículo 164. El </w:t>
      </w:r>
      <w:r w:rsidRPr="0008760E">
        <w:rPr>
          <w:b/>
          <w:lang w:val="es-ES"/>
        </w:rPr>
        <w:t>acceso se dará en la modalidad de entrega</w:t>
      </w:r>
      <w:r w:rsidRPr="0008760E">
        <w:rPr>
          <w:lang w:val="es-ES"/>
        </w:rPr>
        <w:t xml:space="preserve"> y, en su caso, de envío </w:t>
      </w:r>
      <w:r w:rsidRPr="0008760E">
        <w:rPr>
          <w:b/>
          <w:lang w:val="es-ES"/>
        </w:rPr>
        <w:t>elegidos por el solicitante</w:t>
      </w:r>
      <w:r w:rsidRPr="0008760E">
        <w:rPr>
          <w:lang w:val="es-ES"/>
        </w:rPr>
        <w:t xml:space="preserve">. Cuando la información no pueda entregarse o enviarse en la modalidad solicitada, el sujeto obligado deberá ofrecer otra u otras modalidades de entrega. </w:t>
      </w:r>
    </w:p>
    <w:p w14:paraId="29075E94" w14:textId="77777777" w:rsidR="004606B6" w:rsidRPr="0008760E" w:rsidRDefault="004606B6" w:rsidP="0008760E">
      <w:pPr>
        <w:pStyle w:val="Puesto"/>
        <w:rPr>
          <w:lang w:val="es-ES"/>
        </w:rPr>
      </w:pPr>
      <w:r w:rsidRPr="0008760E">
        <w:rPr>
          <w:lang w:val="es-ES"/>
        </w:rPr>
        <w:t xml:space="preserve">En cualquier caso, se deberá fundar y motivar la necesidad de ofrecer otras modalidades.” </w:t>
      </w:r>
    </w:p>
    <w:p w14:paraId="1AC425E4" w14:textId="77777777" w:rsidR="004606B6" w:rsidRPr="0008760E" w:rsidRDefault="004606B6" w:rsidP="0008760E">
      <w:pPr>
        <w:pStyle w:val="Puesto"/>
      </w:pPr>
      <w:r w:rsidRPr="0008760E">
        <w:t>(Énfasis añadido)</w:t>
      </w:r>
    </w:p>
    <w:p w14:paraId="71EE524C" w14:textId="77777777" w:rsidR="004606B6" w:rsidRPr="0008760E" w:rsidRDefault="004606B6" w:rsidP="0008760E">
      <w:pPr>
        <w:rPr>
          <w:lang w:eastAsia="es-MX"/>
        </w:rPr>
      </w:pPr>
    </w:p>
    <w:p w14:paraId="5ED82FD5" w14:textId="4572DED8" w:rsidR="004606B6" w:rsidRPr="0008760E" w:rsidRDefault="004606B6" w:rsidP="0008760E">
      <w:r w:rsidRPr="0008760E">
        <w:t xml:space="preserve">En ese sentido, a efecto de dar cumplimiento al derecho de acceso a la Información Pública, los particulares tienen la posibilidad de elegir la modalidad de entrega que prefieran, entre ellas, </w:t>
      </w:r>
      <w:r w:rsidR="009805E1" w:rsidRPr="0008760E">
        <w:rPr>
          <w:b/>
        </w:rPr>
        <w:t>copia certificada (con costo)</w:t>
      </w:r>
      <w:r w:rsidRPr="0008760E">
        <w:t xml:space="preserve">, como lo realizó el particular en la solicitud materia de estudio, para mayor referencia se inserta la siguiente imagen: </w:t>
      </w:r>
    </w:p>
    <w:p w14:paraId="62DBE3DA" w14:textId="51C4C972" w:rsidR="009805E1" w:rsidRPr="0008760E" w:rsidRDefault="009805E1" w:rsidP="0008760E">
      <w:r w:rsidRPr="0008760E">
        <w:rPr>
          <w:noProof/>
          <w:lang w:eastAsia="es-MX"/>
        </w:rPr>
        <w:lastRenderedPageBreak/>
        <mc:AlternateContent>
          <mc:Choice Requires="wps">
            <w:drawing>
              <wp:anchor distT="0" distB="0" distL="114300" distR="114300" simplePos="0" relativeHeight="251659264" behindDoc="0" locked="0" layoutInCell="1" allowOverlap="1" wp14:anchorId="108DDBC8" wp14:editId="39427155">
                <wp:simplePos x="0" y="0"/>
                <wp:positionH relativeFrom="margin">
                  <wp:posOffset>1615077</wp:posOffset>
                </wp:positionH>
                <wp:positionV relativeFrom="paragraph">
                  <wp:posOffset>1756409</wp:posOffset>
                </wp:positionV>
                <wp:extent cx="1959429" cy="283029"/>
                <wp:effectExtent l="19050" t="19050" r="22225" b="22225"/>
                <wp:wrapNone/>
                <wp:docPr id="15" name="Elipse 15"/>
                <wp:cNvGraphicFramePr/>
                <a:graphic xmlns:a="http://schemas.openxmlformats.org/drawingml/2006/main">
                  <a:graphicData uri="http://schemas.microsoft.com/office/word/2010/wordprocessingShape">
                    <wps:wsp>
                      <wps:cNvSpPr/>
                      <wps:spPr>
                        <a:xfrm>
                          <a:off x="0" y="0"/>
                          <a:ext cx="1959429" cy="283029"/>
                        </a:xfrm>
                        <a:prstGeom prst="ellipse">
                          <a:avLst/>
                        </a:prstGeom>
                        <a:noFill/>
                        <a:ln w="28575">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oval w14:anchorId="3E8D73AB" id="Elipse 15" o:spid="_x0000_s1026" style="position:absolute;margin-left:127.15pt;margin-top:138.3pt;width:154.3pt;height:22.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" filled="f" strokecolor="red" strokeweight="2.25pt">
                <v:stroke joinstyle="miter"/>
                <w10:wrap anchorx="margin"/>
              </v:oval>
            </w:pict>
          </mc:Fallback>
        </mc:AlternateContent>
      </w:r>
      <w:r w:rsidRPr="0008760E">
        <w:rPr>
          <w:noProof/>
          <w:lang w:eastAsia="es-MX"/>
          <w14:ligatures w14:val="standardContextual"/>
        </w:rPr>
        <w:drawing>
          <wp:inline distT="0" distB="0" distL="0" distR="0" wp14:anchorId="0702088B" wp14:editId="4993C9EA">
            <wp:extent cx="5742940" cy="21539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2940" cy="2153920"/>
                    </a:xfrm>
                    <a:prstGeom prst="rect">
                      <a:avLst/>
                    </a:prstGeom>
                  </pic:spPr>
                </pic:pic>
              </a:graphicData>
            </a:graphic>
          </wp:inline>
        </w:drawing>
      </w:r>
    </w:p>
    <w:p w14:paraId="26AFF2E5" w14:textId="39C83C79" w:rsidR="004606B6" w:rsidRPr="0008760E" w:rsidRDefault="004606B6" w:rsidP="0008760E"/>
    <w:p w14:paraId="64CFBCE0" w14:textId="77777777" w:rsidR="004606B6" w:rsidRPr="0008760E" w:rsidRDefault="004606B6" w:rsidP="0008760E">
      <w:pPr>
        <w:tabs>
          <w:tab w:val="left" w:pos="709"/>
        </w:tabs>
        <w:rPr>
          <w:rFonts w:eastAsiaTheme="minorHAnsi" w:cs="Arial"/>
          <w:lang w:eastAsia="en-US"/>
        </w:rPr>
      </w:pPr>
      <w:r w:rsidRPr="0008760E">
        <w:rPr>
          <w:rFonts w:eastAsiaTheme="minorHAnsi" w:cstheme="minorBidi"/>
          <w:szCs w:val="22"/>
          <w:lang w:eastAsia="en-US"/>
        </w:rPr>
        <w:t xml:space="preserve">Por consiguiente, tanto la modalidad de entrega como la forma de envío de la información se harán preferentemente como haya señalado el requirente. En los casos en que esto no sea posible, </w:t>
      </w:r>
      <w:r w:rsidRPr="0008760E">
        <w:rPr>
          <w:rFonts w:eastAsiaTheme="minorHAnsi" w:cstheme="minorBidi"/>
          <w:b/>
          <w:szCs w:val="22"/>
          <w:lang w:eastAsia="en-US"/>
        </w:rPr>
        <w:t xml:space="preserve">EL SUJETO OBLIGADO </w:t>
      </w:r>
      <w:r w:rsidRPr="0008760E">
        <w:rPr>
          <w:rFonts w:eastAsiaTheme="minorHAnsi" w:cstheme="minorBidi"/>
          <w:szCs w:val="22"/>
          <w:lang w:eastAsia="en-US"/>
        </w:rPr>
        <w:t xml:space="preserve">podrá garantizar la entrega a través de cualquier otro medio, siempre y cuando funde y motive la razón para hacerlo. </w:t>
      </w:r>
    </w:p>
    <w:p w14:paraId="3CB97BFA" w14:textId="77777777" w:rsidR="004606B6" w:rsidRPr="0008760E" w:rsidRDefault="004606B6" w:rsidP="0008760E">
      <w:pPr>
        <w:rPr>
          <w:rFonts w:cs="Palatino Linotype"/>
          <w:b/>
          <w:bCs/>
          <w:iCs/>
          <w:sz w:val="24"/>
        </w:rPr>
      </w:pPr>
    </w:p>
    <w:p w14:paraId="24F31E5C" w14:textId="77777777" w:rsidR="004F4BDB" w:rsidRPr="0008760E" w:rsidRDefault="004F4BDB" w:rsidP="0008760E">
      <w:pPr>
        <w:contextualSpacing/>
        <w:rPr>
          <w:rFonts w:eastAsiaTheme="minorHAnsi" w:cstheme="minorBidi"/>
          <w:b/>
          <w:szCs w:val="22"/>
          <w:lang w:eastAsia="en-US"/>
        </w:rPr>
      </w:pPr>
      <w:r w:rsidRPr="0008760E">
        <w:rPr>
          <w:rFonts w:eastAsiaTheme="minorHAnsi" w:cstheme="minorBidi"/>
          <w:szCs w:val="22"/>
          <w:lang w:eastAsia="en-US"/>
        </w:rPr>
        <w:t xml:space="preserve">Ahora bien, es necesario referir que la </w:t>
      </w:r>
      <w:r w:rsidRPr="0008760E">
        <w:t>Ley de Transparencia y Acceso a la Información Pública del Estado de México y Municipios</w:t>
      </w:r>
      <w:r w:rsidRPr="0008760E">
        <w:rPr>
          <w:rFonts w:eastAsiaTheme="minorHAnsi" w:cstheme="minorBidi"/>
          <w:szCs w:val="22"/>
          <w:lang w:eastAsia="en-US"/>
        </w:rPr>
        <w:t xml:space="preserve">, busca privilegiar la entrega de la información solicitada en la modalidad requerida por el particular. Así el citado artículo </w:t>
      </w:r>
      <w:r w:rsidRPr="0008760E">
        <w:t>164,</w:t>
      </w:r>
      <w:r w:rsidRPr="0008760E">
        <w:rPr>
          <w:szCs w:val="17"/>
          <w:lang w:eastAsia="es-ES_tradnl"/>
        </w:rPr>
        <w:t xml:space="preserve"> de la Ley de Transparencia y Acceso a la Información Pública del Estado de México y Municipio, </w:t>
      </w:r>
      <w:r w:rsidRPr="0008760E">
        <w:rPr>
          <w:rFonts w:eastAsiaTheme="minorHAnsi" w:cstheme="minorBidi"/>
          <w:szCs w:val="22"/>
          <w:lang w:eastAsia="en-US"/>
        </w:rPr>
        <w:t>establece que tanto la modalidad de entrega como la forma de envío de la información se hará preferentemente como lo haya señalado el requirente. En los casos en que esto no sea posible, se</w:t>
      </w:r>
      <w:r w:rsidRPr="0008760E">
        <w:rPr>
          <w:rFonts w:eastAsiaTheme="minorHAnsi" w:cstheme="minorBidi"/>
          <w:b/>
          <w:szCs w:val="22"/>
          <w:lang w:eastAsia="en-US"/>
        </w:rPr>
        <w:t xml:space="preserve"> </w:t>
      </w:r>
      <w:r w:rsidRPr="0008760E">
        <w:rPr>
          <w:rFonts w:eastAsiaTheme="minorHAnsi" w:cstheme="minorBidi"/>
          <w:szCs w:val="22"/>
          <w:lang w:eastAsia="en-US"/>
        </w:rPr>
        <w:t xml:space="preserve">podrá garantizar la entrega a través de cualquier otro medio, siempre y cuando funde y motive la razón para hacerlo. </w:t>
      </w:r>
    </w:p>
    <w:p w14:paraId="46B83C6E" w14:textId="77777777" w:rsidR="004F4BDB" w:rsidRPr="0008760E" w:rsidRDefault="004F4BDB" w:rsidP="0008760E">
      <w:pPr>
        <w:rPr>
          <w:rFonts w:cs="Palatino Linotype"/>
          <w:b/>
          <w:bCs/>
          <w:iCs/>
          <w:sz w:val="24"/>
        </w:rPr>
      </w:pPr>
    </w:p>
    <w:p w14:paraId="60B55EE5" w14:textId="58B4575E" w:rsidR="004F4BDB" w:rsidRPr="0008760E" w:rsidRDefault="004F4BDB" w:rsidP="0008760E">
      <w:pPr>
        <w:rPr>
          <w:rFonts w:cs="Arial"/>
        </w:rPr>
      </w:pPr>
      <w:r w:rsidRPr="0008760E">
        <w:rPr>
          <w:rFonts w:eastAsiaTheme="minorHAnsi" w:cstheme="minorBidi"/>
          <w:szCs w:val="22"/>
          <w:lang w:eastAsia="en-US"/>
        </w:rPr>
        <w:t xml:space="preserve">Ahora bien, es importante destacar que lo solicitado por el particular corresponde a información que se encuentra considerada como una de las obligaciones de transparencia </w:t>
      </w:r>
      <w:r w:rsidRPr="0008760E">
        <w:rPr>
          <w:rFonts w:eastAsiaTheme="minorHAnsi" w:cstheme="minorBidi"/>
          <w:szCs w:val="22"/>
          <w:lang w:eastAsia="en-US"/>
        </w:rPr>
        <w:lastRenderedPageBreak/>
        <w:t>comunes que los Sujetos Obligados tienen el deber de poner a disposición del público de</w:t>
      </w:r>
      <w:r w:rsidRPr="0008760E">
        <w:t xml:space="preserve"> manera permanente y actualizada de forma sencilla, precisa y entendible, en los respectivos medios electrónicos, de acuerdo con sus facultades, atribuciones, funciones u objeto social, según corresponda; esto conforme a lo establecido en </w:t>
      </w:r>
      <w:r w:rsidRPr="0008760E">
        <w:rPr>
          <w:rFonts w:cs="Arial"/>
        </w:rPr>
        <w:t>el artículo 92 de la de la Ley de Transparencia y Acceso a la Información Pública del Estado de México y Municipios, en su fracción XXXVII, dispone lo siguiente:</w:t>
      </w:r>
    </w:p>
    <w:p w14:paraId="1DE06419" w14:textId="77777777" w:rsidR="004F4BDB" w:rsidRPr="0008760E" w:rsidRDefault="004F4BDB" w:rsidP="0008760E">
      <w:pPr>
        <w:autoSpaceDE w:val="0"/>
        <w:autoSpaceDN w:val="0"/>
        <w:adjustRightInd w:val="0"/>
        <w:rPr>
          <w:rFonts w:cs="Palatino Linotype"/>
          <w:bCs/>
          <w:iCs/>
          <w:sz w:val="24"/>
        </w:rPr>
      </w:pPr>
    </w:p>
    <w:p w14:paraId="281FE005" w14:textId="77777777" w:rsidR="007B64D4" w:rsidRPr="0008760E" w:rsidRDefault="007B64D4" w:rsidP="0008760E">
      <w:pPr>
        <w:pStyle w:val="Puesto"/>
      </w:pPr>
      <w:r w:rsidRPr="0008760E">
        <w:rPr>
          <w:b/>
        </w:rPr>
        <w:t>Artículo 92.</w:t>
      </w:r>
      <w:r w:rsidRPr="0008760E">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311DE7B9" w14:textId="1075B590" w:rsidR="004F4BDB" w:rsidRPr="0008760E" w:rsidRDefault="004F4BDB" w:rsidP="0008760E">
      <w:pPr>
        <w:pStyle w:val="Puesto"/>
      </w:pPr>
      <w:r w:rsidRPr="0008760E">
        <w:rPr>
          <w:b/>
        </w:rPr>
        <w:t>…</w:t>
      </w:r>
    </w:p>
    <w:p w14:paraId="69E1DBE8" w14:textId="77777777" w:rsidR="007B64D4" w:rsidRPr="0008760E" w:rsidRDefault="007B64D4" w:rsidP="0008760E">
      <w:pPr>
        <w:pStyle w:val="Puesto"/>
      </w:pPr>
      <w:r w:rsidRPr="0008760E">
        <w:rPr>
          <w:b/>
        </w:rPr>
        <w:t>XXXVII.</w:t>
      </w:r>
      <w:r w:rsidRPr="0008760E">
        <w:t xml:space="preserve"> Los convenios de coordinación, de concertación, entre otros, que suscriban con otros entes de los sectores público, social y privado;</w:t>
      </w:r>
    </w:p>
    <w:p w14:paraId="7B8B4DC1" w14:textId="42BEE9D8" w:rsidR="004F4BDB" w:rsidRPr="0008760E" w:rsidRDefault="004F4BDB" w:rsidP="0008760E">
      <w:pPr>
        <w:pStyle w:val="Puesto"/>
        <w:rPr>
          <w:b/>
        </w:rPr>
      </w:pPr>
      <w:r w:rsidRPr="0008760E">
        <w:rPr>
          <w:b/>
        </w:rPr>
        <w:t>…</w:t>
      </w:r>
    </w:p>
    <w:p w14:paraId="04AF50CC" w14:textId="77777777" w:rsidR="004F4BDB" w:rsidRPr="0008760E" w:rsidRDefault="004F4BDB" w:rsidP="0008760E">
      <w:pPr>
        <w:autoSpaceDE w:val="0"/>
        <w:autoSpaceDN w:val="0"/>
        <w:adjustRightInd w:val="0"/>
        <w:spacing w:line="276" w:lineRule="auto"/>
        <w:ind w:left="851" w:right="567"/>
        <w:rPr>
          <w:rFonts w:cs="Palatino Linotype"/>
          <w:bCs/>
          <w:i/>
          <w:iCs/>
        </w:rPr>
      </w:pPr>
    </w:p>
    <w:p w14:paraId="18BE470C" w14:textId="77777777" w:rsidR="007B64D4" w:rsidRPr="0008760E" w:rsidRDefault="007B64D4" w:rsidP="0008760E">
      <w:r w:rsidRPr="0008760E">
        <w:t>Aunado a lo anterior el diverso 99, fracción VII, establece como obligación de transparencia específica de las autoridades administrativas y jurisdiccionales en materia laboral poner a disposición de las personas la información de contratos colectivos, convenios y condiciones generales de trabajo.</w:t>
      </w:r>
    </w:p>
    <w:p w14:paraId="30763CAF" w14:textId="77777777" w:rsidR="004F4BDB" w:rsidRPr="0008760E" w:rsidRDefault="004F4BDB" w:rsidP="0008760E">
      <w:pPr>
        <w:autoSpaceDE w:val="0"/>
        <w:autoSpaceDN w:val="0"/>
        <w:adjustRightInd w:val="0"/>
        <w:rPr>
          <w:rFonts w:cs="Palatino Linotype"/>
          <w:bCs/>
          <w:iCs/>
          <w:sz w:val="24"/>
        </w:rPr>
      </w:pPr>
    </w:p>
    <w:p w14:paraId="56B86330" w14:textId="77777777" w:rsidR="007B64D4" w:rsidRPr="0008760E" w:rsidRDefault="007B64D4" w:rsidP="0008760E">
      <w:pPr>
        <w:pStyle w:val="Puesto"/>
      </w:pPr>
      <w:r w:rsidRPr="0008760E">
        <w:rPr>
          <w:b/>
        </w:rPr>
        <w:t>Artículo 99.</w:t>
      </w:r>
      <w:r w:rsidRPr="0008760E">
        <w:t xml:space="preserve"> Las autoridades administrativas y jurisdiccionales en materia laboral deberán poner a disposición del público y mantener actualizada y accesible, la siguiente información de los sindicatos que reciban recursos públicos o ejerzan actos de autoridad:</w:t>
      </w:r>
    </w:p>
    <w:p w14:paraId="7AC1FB61" w14:textId="77777777" w:rsidR="007B64D4" w:rsidRPr="0008760E" w:rsidRDefault="007B64D4" w:rsidP="0008760E">
      <w:pPr>
        <w:pStyle w:val="Puesto"/>
      </w:pPr>
      <w:r w:rsidRPr="0008760E">
        <w:t>(…)</w:t>
      </w:r>
    </w:p>
    <w:p w14:paraId="7ED5BB5C" w14:textId="77777777" w:rsidR="007B64D4" w:rsidRPr="0008760E" w:rsidRDefault="007B64D4" w:rsidP="0008760E">
      <w:pPr>
        <w:pStyle w:val="Puesto"/>
      </w:pPr>
      <w:r w:rsidRPr="0008760E">
        <w:t>VII. Los contratos colectivos, incluyendo el tabulador, convenios y las condiciones generales de trabajo; y</w:t>
      </w:r>
    </w:p>
    <w:p w14:paraId="6881B3D4" w14:textId="77777777" w:rsidR="007B64D4" w:rsidRPr="0008760E" w:rsidRDefault="007B64D4" w:rsidP="0008760E">
      <w:pPr>
        <w:pStyle w:val="Puesto"/>
      </w:pPr>
      <w:r w:rsidRPr="0008760E">
        <w:t>VIII. Todos los documentos contenidos en el expediente de registro sindical y de contratos colectivos de trabajo.</w:t>
      </w:r>
    </w:p>
    <w:p w14:paraId="52DCAC26" w14:textId="77777777" w:rsidR="007B64D4" w:rsidRPr="0008760E" w:rsidRDefault="007B64D4" w:rsidP="0008760E">
      <w:pPr>
        <w:pStyle w:val="Puesto"/>
      </w:pPr>
      <w:r w:rsidRPr="0008760E">
        <w:t>(…)</w:t>
      </w:r>
    </w:p>
    <w:p w14:paraId="54BB4C98" w14:textId="77777777" w:rsidR="004F4BDB" w:rsidRPr="0008760E" w:rsidRDefault="004F4BDB" w:rsidP="0008760E"/>
    <w:p w14:paraId="76C5095D" w14:textId="572F06DD" w:rsidR="007B64D4" w:rsidRPr="0008760E" w:rsidRDefault="007B64D4" w:rsidP="0008760E">
      <w:r w:rsidRPr="0008760E">
        <w:t xml:space="preserve">De lo anteriormente trascrito, se desprende que la información solicitada por </w:t>
      </w:r>
      <w:r w:rsidR="004F4BDB" w:rsidRPr="0008760E">
        <w:rPr>
          <w:b/>
        </w:rPr>
        <w:t>LA PARTE RECURRENTE</w:t>
      </w:r>
      <w:r w:rsidRPr="0008760E">
        <w:t xml:space="preserve"> es de naturaleza pública, además que </w:t>
      </w:r>
      <w:r w:rsidR="004F4BDB" w:rsidRPr="0008760E">
        <w:rPr>
          <w:b/>
        </w:rPr>
        <w:t>EL SUJETO OBLIGADO</w:t>
      </w:r>
      <w:r w:rsidR="004F4BDB" w:rsidRPr="0008760E">
        <w:t xml:space="preserve"> </w:t>
      </w:r>
      <w:r w:rsidRPr="0008760E">
        <w:t xml:space="preserve">se encuentra obligado por la Ley de Transparencia Local a dar acceso a la misma en la modalidad seleccionada.  </w:t>
      </w:r>
    </w:p>
    <w:p w14:paraId="362F7F2F" w14:textId="77777777" w:rsidR="003C5637" w:rsidRPr="0008760E" w:rsidRDefault="003C5637" w:rsidP="0008760E">
      <w:pPr>
        <w:autoSpaceDE w:val="0"/>
        <w:autoSpaceDN w:val="0"/>
        <w:adjustRightInd w:val="0"/>
        <w:rPr>
          <w:rFonts w:cs="Palatino Linotype"/>
          <w:bCs/>
          <w:iCs/>
          <w:sz w:val="24"/>
        </w:rPr>
      </w:pPr>
    </w:p>
    <w:p w14:paraId="000533A5" w14:textId="1E008189" w:rsidR="007B64D4" w:rsidRPr="0008760E" w:rsidRDefault="003C5637" w:rsidP="0008760E">
      <w:r w:rsidRPr="0008760E">
        <w:t>Es así que, r</w:t>
      </w:r>
      <w:r w:rsidR="007B64D4" w:rsidRPr="0008760E">
        <w:t>especto</w:t>
      </w:r>
      <w:r w:rsidRPr="0008760E">
        <w:t xml:space="preserve"> a la modalidad de entrega elegida por el particular, es conveniente traer a contexto </w:t>
      </w:r>
      <w:r w:rsidR="007B64D4" w:rsidRPr="0008760E">
        <w:t xml:space="preserve">el Criterio de Interpretación con Clave de control SO/006/2017, emitido por el Instituto Nacional de Transparencia, Acceso a la Información y Protección de Datos Personales, de carácter obligatorio para los Sujetos Obligados, el cual establece que el acceso a la información se dará en la modalidad establecida por el solicitante, aunado que la certificación no tiene como propósito que el documento hagas las veces de original; </w:t>
      </w:r>
      <w:r w:rsidR="007D5290" w:rsidRPr="0008760E">
        <w:t>más</w:t>
      </w:r>
      <w:r w:rsidR="007B64D4" w:rsidRPr="0008760E">
        <w:t xml:space="preserve"> bien que es un documento que obra en los archivos del Sujeto Obligado.</w:t>
      </w:r>
    </w:p>
    <w:p w14:paraId="42272F7E" w14:textId="77777777" w:rsidR="003C5637" w:rsidRPr="0008760E" w:rsidRDefault="003C5637" w:rsidP="0008760E">
      <w:pPr>
        <w:pStyle w:val="Puesto"/>
      </w:pPr>
    </w:p>
    <w:p w14:paraId="629AE1FC" w14:textId="77777777" w:rsidR="007B64D4" w:rsidRPr="0008760E" w:rsidRDefault="007B64D4" w:rsidP="0008760E">
      <w:pPr>
        <w:pStyle w:val="Puesto"/>
        <w:rPr>
          <w:rFonts w:eastAsia="Calibri" w:cs="Arial"/>
        </w:rPr>
      </w:pPr>
      <w:r w:rsidRPr="0008760E">
        <w:rPr>
          <w:rFonts w:eastAsia="Arial Unicode MS" w:cs="Arial"/>
          <w:b/>
        </w:rPr>
        <w:t xml:space="preserve">Copias certificadas, como modalidad de entrega en la Ley Federal de Transparencia y Acceso a la Información Pública corrobora que el documento es una copia fiel del que obra en los archivos del sujeto obligado. </w:t>
      </w:r>
      <w:r w:rsidRPr="0008760E">
        <w:rPr>
          <w:rFonts w:eastAsia="Arial Unicode MS" w:cs="Arial"/>
        </w:rPr>
        <w:t>Los artículos 125, fracción V y 136 de la Ley Federal de Transparencia y Acceso a la Información Pública, prevén que el acceso a la información se dará en la modalidad de entrega elegida por los solicitantes, como lo es, en copia certificada. Considerando que el artículo 1° de la Ley en cita tiene como finalidad proveer lo necesario para garantizar el acceso de toda persona a la información en posesión de los sujetos obligados del ámbito federal, la certificación en materia de transparencia y acceso a la información tiene por efecto constatar que la copia certificada entregada es una reproducción fiel del documento -original o copia simple- que obra en los archivos del sujeto obligado. En ese orden de ideas, la certificación, para efectos de acceso a la información, a diferencia del concepto que tradicionalmente se ha sostenido en diversas tesis del Poder Judicial de la Federación, no tiene como propósito que el documento certificado haga las veces de un original, sino dejar evidencia de que los documentos obran en los archivos de los sujetos obligados, tal como se encuentran.</w:t>
      </w:r>
    </w:p>
    <w:p w14:paraId="6ADC5E5B" w14:textId="77777777" w:rsidR="007B64D4" w:rsidRPr="0008760E" w:rsidRDefault="007B64D4" w:rsidP="0008760E">
      <w:pPr>
        <w:pStyle w:val="Puesto"/>
        <w:rPr>
          <w:rFonts w:eastAsia="Calibri" w:cs="Arial"/>
        </w:rPr>
      </w:pPr>
    </w:p>
    <w:p w14:paraId="41E08E9E" w14:textId="43661BF8" w:rsidR="007B64D4" w:rsidRPr="0008760E" w:rsidRDefault="003C5637" w:rsidP="0008760E">
      <w:pPr>
        <w:autoSpaceDE w:val="0"/>
        <w:autoSpaceDN w:val="0"/>
        <w:adjustRightInd w:val="0"/>
        <w:rPr>
          <w:rFonts w:cs="Palatino Linotype"/>
          <w:bCs/>
          <w:iCs/>
        </w:rPr>
      </w:pPr>
      <w:r w:rsidRPr="0008760E">
        <w:rPr>
          <w:rFonts w:cs="Palatino Linotype"/>
          <w:bCs/>
          <w:iCs/>
        </w:rPr>
        <w:lastRenderedPageBreak/>
        <w:t xml:space="preserve">Es así que, derivado que </w:t>
      </w:r>
      <w:r w:rsidRPr="0008760E">
        <w:rPr>
          <w:rFonts w:cs="Palatino Linotype"/>
          <w:b/>
          <w:bCs/>
          <w:iCs/>
        </w:rPr>
        <w:t xml:space="preserve">EL SUJETO OBLIGADO </w:t>
      </w:r>
      <w:r w:rsidRPr="0008760E">
        <w:rPr>
          <w:rFonts w:cs="Palatino Linotype"/>
          <w:bCs/>
          <w:iCs/>
        </w:rPr>
        <w:t xml:space="preserve">posee la información, pues en respuesta hace entrega a través </w:t>
      </w:r>
      <w:r w:rsidR="007B64D4" w:rsidRPr="0008760E">
        <w:rPr>
          <w:rFonts w:cs="Palatino Linotype"/>
          <w:bCs/>
          <w:iCs/>
        </w:rPr>
        <w:t>del Sistema de Acceso a la Información Mexiquense (</w:t>
      </w:r>
      <w:r w:rsidR="007B64D4" w:rsidRPr="0008760E">
        <w:rPr>
          <w:rFonts w:cs="Palatino Linotype"/>
          <w:b/>
          <w:bCs/>
          <w:iCs/>
        </w:rPr>
        <w:t>SAIMEX</w:t>
      </w:r>
      <w:r w:rsidR="007B64D4" w:rsidRPr="0008760E">
        <w:rPr>
          <w:rFonts w:cs="Palatino Linotype"/>
          <w:bCs/>
          <w:iCs/>
        </w:rPr>
        <w:t>)</w:t>
      </w:r>
      <w:r w:rsidRPr="0008760E">
        <w:rPr>
          <w:rFonts w:cs="Palatino Linotype"/>
          <w:bCs/>
          <w:iCs/>
        </w:rPr>
        <w:t xml:space="preserve">, </w:t>
      </w:r>
      <w:r w:rsidR="007B64D4" w:rsidRPr="0008760E">
        <w:rPr>
          <w:rFonts w:cs="Palatino Linotype"/>
          <w:bCs/>
          <w:iCs/>
        </w:rPr>
        <w:t xml:space="preserve">éste Órgano Garante determina que no resulta aplicable el </w:t>
      </w:r>
      <w:r w:rsidRPr="0008760E">
        <w:rPr>
          <w:rFonts w:cs="Palatino Linotype"/>
          <w:bCs/>
          <w:iCs/>
        </w:rPr>
        <w:t>artículo</w:t>
      </w:r>
      <w:r w:rsidR="007B64D4" w:rsidRPr="0008760E">
        <w:rPr>
          <w:rFonts w:cs="Palatino Linotype"/>
          <w:bCs/>
          <w:iCs/>
        </w:rPr>
        <w:t xml:space="preserve"> 234, de la Ley de Transparencia y Acceso a la Información Pública del Estado de México y Municipios, que a la letra dice: </w:t>
      </w:r>
    </w:p>
    <w:p w14:paraId="3F4BE4D7" w14:textId="77777777" w:rsidR="003C5637" w:rsidRPr="0008760E" w:rsidRDefault="003C5637" w:rsidP="0008760E">
      <w:pPr>
        <w:autoSpaceDE w:val="0"/>
        <w:autoSpaceDN w:val="0"/>
        <w:adjustRightInd w:val="0"/>
        <w:rPr>
          <w:rFonts w:cs="Palatino Linotype"/>
          <w:bCs/>
          <w:iCs/>
          <w:sz w:val="24"/>
        </w:rPr>
      </w:pPr>
    </w:p>
    <w:p w14:paraId="5ECC0EB3" w14:textId="77777777" w:rsidR="007B64D4" w:rsidRPr="0008760E" w:rsidRDefault="007B64D4" w:rsidP="0008760E">
      <w:pPr>
        <w:pStyle w:val="Puesto"/>
      </w:pPr>
      <w:r w:rsidRPr="0008760E">
        <w:rPr>
          <w:b/>
        </w:rPr>
        <w:t>Artículo 234.</w:t>
      </w:r>
      <w:r w:rsidRPr="0008760E">
        <w:t xml:space="preserve"> En caso que el Instituto determine que por negligencia no se hubiere atendido alguna solicitud en los términos de esta Ley, requerirá a la Unidad de Transparencia correspondiente para que proporcione la información sin costo alguno para el solicitante, dentro del plazo de quince días hábiles a partir del requerimiento.</w:t>
      </w:r>
    </w:p>
    <w:p w14:paraId="5D96ED96" w14:textId="77777777" w:rsidR="003C5637" w:rsidRPr="0008760E" w:rsidRDefault="003C5637" w:rsidP="0008760E">
      <w:pPr>
        <w:autoSpaceDE w:val="0"/>
        <w:autoSpaceDN w:val="0"/>
        <w:adjustRightInd w:val="0"/>
        <w:rPr>
          <w:rFonts w:cs="Palatino Linotype"/>
          <w:bCs/>
          <w:iCs/>
        </w:rPr>
      </w:pPr>
    </w:p>
    <w:p w14:paraId="555CD7EC" w14:textId="4B9B4F30" w:rsidR="007B64D4" w:rsidRPr="0008760E" w:rsidRDefault="007B64D4" w:rsidP="0008760E">
      <w:pPr>
        <w:autoSpaceDE w:val="0"/>
        <w:autoSpaceDN w:val="0"/>
        <w:adjustRightInd w:val="0"/>
        <w:rPr>
          <w:rFonts w:cs="Palatino Linotype"/>
          <w:bCs/>
          <w:iCs/>
        </w:rPr>
      </w:pPr>
      <w:r w:rsidRPr="0008760E">
        <w:rPr>
          <w:rFonts w:cs="Palatino Linotype"/>
          <w:bCs/>
          <w:iCs/>
        </w:rPr>
        <w:t>De acuerdo al Diccionario de la Real Academia Española, negligencia es:</w:t>
      </w:r>
      <w:r w:rsidRPr="0008760E">
        <w:rPr>
          <w:rStyle w:val="Refdenotaalpie"/>
          <w:rFonts w:eastAsiaTheme="majorEastAsia" w:cs="Palatino Linotype"/>
          <w:bCs/>
        </w:rPr>
        <w:footnoteReference w:id="1"/>
      </w:r>
      <w:r w:rsidRPr="0008760E">
        <w:rPr>
          <w:rFonts w:cs="Palatino Linotype"/>
          <w:bCs/>
          <w:iCs/>
        </w:rPr>
        <w:t xml:space="preserve"> </w:t>
      </w:r>
      <w:r w:rsidRPr="0008760E">
        <w:rPr>
          <w:rFonts w:cs="Palatino Linotype"/>
          <w:bCs/>
          <w:i/>
        </w:rPr>
        <w:t>Descuido, falta de cuidado</w:t>
      </w:r>
      <w:r w:rsidRPr="0008760E">
        <w:rPr>
          <w:rFonts w:cs="Palatino Linotype"/>
          <w:bCs/>
          <w:iCs/>
        </w:rPr>
        <w:t xml:space="preserve">. 2. f. </w:t>
      </w:r>
      <w:r w:rsidRPr="0008760E">
        <w:rPr>
          <w:rFonts w:cs="Palatino Linotype"/>
          <w:bCs/>
          <w:i/>
        </w:rPr>
        <w:t>Falta de aplicación</w:t>
      </w:r>
      <w:r w:rsidRPr="0008760E">
        <w:rPr>
          <w:rFonts w:cs="Palatino Linotype"/>
          <w:bCs/>
          <w:iCs/>
        </w:rPr>
        <w:t>, y que en adición al elemento establecido en la Ley “</w:t>
      </w:r>
      <w:r w:rsidRPr="0008760E">
        <w:rPr>
          <w:rFonts w:cs="Palatino Linotype"/>
          <w:bCs/>
          <w:i/>
        </w:rPr>
        <w:t>no se hubiere atendido</w:t>
      </w:r>
      <w:r w:rsidRPr="0008760E">
        <w:rPr>
          <w:rFonts w:cs="Palatino Linotype"/>
          <w:bCs/>
          <w:iCs/>
        </w:rPr>
        <w:t xml:space="preserve">”, se considera que no se actualiza el contenido de la hipótesis ya que </w:t>
      </w:r>
      <w:r w:rsidR="006E481A" w:rsidRPr="0008760E">
        <w:rPr>
          <w:rFonts w:cs="Palatino Linotype"/>
          <w:b/>
          <w:bCs/>
          <w:iCs/>
        </w:rPr>
        <w:t>EL SUJETO OBLIGADO</w:t>
      </w:r>
      <w:r w:rsidR="006E481A" w:rsidRPr="0008760E">
        <w:rPr>
          <w:rFonts w:cs="Palatino Linotype"/>
          <w:bCs/>
          <w:iCs/>
        </w:rPr>
        <w:t xml:space="preserve"> si otorga </w:t>
      </w:r>
      <w:r w:rsidRPr="0008760E">
        <w:rPr>
          <w:rFonts w:cs="Palatino Linotype"/>
          <w:bCs/>
          <w:iCs/>
        </w:rPr>
        <w:t>respuesta a los dos puntos de la solicitud en tiempo</w:t>
      </w:r>
      <w:r w:rsidR="006E481A" w:rsidRPr="0008760E">
        <w:rPr>
          <w:rFonts w:cs="Palatino Linotype"/>
          <w:bCs/>
          <w:iCs/>
        </w:rPr>
        <w:t>;</w:t>
      </w:r>
      <w:r w:rsidRPr="0008760E">
        <w:rPr>
          <w:rFonts w:cs="Palatino Linotype"/>
          <w:bCs/>
          <w:iCs/>
        </w:rPr>
        <w:t xml:space="preserve"> por tanto, no es posible advertir negligencia en la atención a la solicitud. </w:t>
      </w:r>
    </w:p>
    <w:p w14:paraId="65D44BFA" w14:textId="77777777" w:rsidR="007B64D4" w:rsidRPr="0008760E" w:rsidRDefault="007B64D4" w:rsidP="0008760E">
      <w:pPr>
        <w:rPr>
          <w:sz w:val="24"/>
          <w:szCs w:val="24"/>
        </w:rPr>
      </w:pPr>
    </w:p>
    <w:p w14:paraId="1C73AE75" w14:textId="048E889E" w:rsidR="007B64D4" w:rsidRPr="0008760E" w:rsidRDefault="006E481A" w:rsidP="0008760E">
      <w:pPr>
        <w:rPr>
          <w:rFonts w:cs="Arial"/>
          <w:szCs w:val="24"/>
        </w:rPr>
      </w:pPr>
      <w:r w:rsidRPr="0008760E">
        <w:rPr>
          <w:szCs w:val="24"/>
        </w:rPr>
        <w:t>Por otro lado</w:t>
      </w:r>
      <w:r w:rsidR="007B64D4" w:rsidRPr="0008760E">
        <w:rPr>
          <w:szCs w:val="24"/>
        </w:rPr>
        <w:t xml:space="preserve">, </w:t>
      </w:r>
      <w:r w:rsidR="007B64D4" w:rsidRPr="0008760E">
        <w:rPr>
          <w:szCs w:val="24"/>
          <w:lang w:val="es-ES_tradnl"/>
        </w:rPr>
        <w:t xml:space="preserve">no debe pasarse por alto lo que la Ley de Transparencia y Acceso a la Información Pública del Estado de México y Municipios regula la forma de entregar la información de acuerdo a la modalidad elegida por el recurrente y sus excepciones, sirviendo de sustento </w:t>
      </w:r>
      <w:r w:rsidR="007B64D4" w:rsidRPr="0008760E">
        <w:rPr>
          <w:rFonts w:cs="Arial"/>
          <w:szCs w:val="24"/>
        </w:rPr>
        <w:t>los artículos 9 fracción III, 164, 165 y 174 de la Ley citada, los cuales a la letra señalan:</w:t>
      </w:r>
    </w:p>
    <w:p w14:paraId="1CF882EA" w14:textId="77777777" w:rsidR="007B64D4" w:rsidRPr="0008760E" w:rsidRDefault="007B64D4" w:rsidP="0008760E">
      <w:pPr>
        <w:rPr>
          <w:rFonts w:cs="Arial"/>
          <w:sz w:val="24"/>
          <w:szCs w:val="24"/>
        </w:rPr>
      </w:pPr>
    </w:p>
    <w:p w14:paraId="04C31EA2" w14:textId="77777777" w:rsidR="007B64D4" w:rsidRPr="0008760E" w:rsidRDefault="007B64D4" w:rsidP="0008760E">
      <w:pPr>
        <w:pStyle w:val="Puesto"/>
      </w:pPr>
      <w:r w:rsidRPr="0008760E">
        <w:t>“</w:t>
      </w:r>
      <w:r w:rsidRPr="0008760E">
        <w:rPr>
          <w:b/>
        </w:rPr>
        <w:t>Artículo 9</w:t>
      </w:r>
      <w:r w:rsidRPr="0008760E">
        <w:t xml:space="preserve">. El Instituto deberá regir su funcionamiento de acuerdo a los siguientes principios: </w:t>
      </w:r>
    </w:p>
    <w:p w14:paraId="4C7AD53D" w14:textId="77777777" w:rsidR="007B64D4" w:rsidRPr="0008760E" w:rsidRDefault="007B64D4" w:rsidP="0008760E">
      <w:pPr>
        <w:pStyle w:val="Puesto"/>
      </w:pPr>
      <w:r w:rsidRPr="0008760E">
        <w:t>…</w:t>
      </w:r>
    </w:p>
    <w:p w14:paraId="1F535B54" w14:textId="77777777" w:rsidR="007B64D4" w:rsidRPr="0008760E" w:rsidRDefault="007B64D4" w:rsidP="0008760E">
      <w:pPr>
        <w:pStyle w:val="Puesto"/>
      </w:pPr>
      <w:r w:rsidRPr="0008760E">
        <w:lastRenderedPageBreak/>
        <w:t>III.</w:t>
      </w:r>
      <w:r w:rsidRPr="0008760E">
        <w:tab/>
      </w:r>
      <w:r w:rsidRPr="0008760E">
        <w:rPr>
          <w:b/>
        </w:rPr>
        <w:t>Gratuidad</w:t>
      </w:r>
      <w:r w:rsidRPr="0008760E">
        <w:t>: Consiste en que el acceso a la información pública no genera costo alguno para los solicitantes, sólo podrá requerirse el cobro correspondiente a la modalidad de reproducción y entrega solicitada conforme a lo establecido en la presente Ley y demás disposiciones jurídicas aplicables;</w:t>
      </w:r>
    </w:p>
    <w:p w14:paraId="5BE37B02" w14:textId="77777777" w:rsidR="007B64D4" w:rsidRPr="0008760E" w:rsidRDefault="007B64D4" w:rsidP="0008760E">
      <w:pPr>
        <w:pStyle w:val="Puesto"/>
      </w:pPr>
      <w:r w:rsidRPr="0008760E">
        <w:t>(…)</w:t>
      </w:r>
    </w:p>
    <w:p w14:paraId="40F2DF3B" w14:textId="77777777" w:rsidR="007B64D4" w:rsidRPr="0008760E" w:rsidRDefault="007B64D4" w:rsidP="0008760E">
      <w:pPr>
        <w:spacing w:line="240" w:lineRule="auto"/>
        <w:ind w:left="709" w:right="567"/>
        <w:rPr>
          <w:rFonts w:cs="Arial"/>
          <w:b/>
          <w:i/>
        </w:rPr>
      </w:pPr>
    </w:p>
    <w:p w14:paraId="406ABCAA" w14:textId="77777777" w:rsidR="007B64D4" w:rsidRPr="0008760E" w:rsidRDefault="007B64D4" w:rsidP="0008760E">
      <w:pPr>
        <w:pStyle w:val="Puesto"/>
      </w:pPr>
      <w:r w:rsidRPr="0008760E">
        <w:rPr>
          <w:b/>
        </w:rPr>
        <w:t>Artículo 164.</w:t>
      </w:r>
      <w:r w:rsidRPr="0008760E">
        <w:t xml:space="preserve"> </w:t>
      </w:r>
      <w:r w:rsidRPr="0008760E">
        <w:rPr>
          <w:u w:val="single"/>
        </w:rPr>
        <w:t>El acceso se dará en la modalidad de entrega</w:t>
      </w:r>
      <w:r w:rsidRPr="0008760E">
        <w:t xml:space="preserve"> y, en su caso, de envío </w:t>
      </w:r>
      <w:r w:rsidRPr="0008760E">
        <w:rPr>
          <w:u w:val="single"/>
        </w:rPr>
        <w:t>elegidos por el solicitante</w:t>
      </w:r>
      <w:r w:rsidRPr="0008760E">
        <w:t xml:space="preserve">. Cuando la información no pueda entregarse o enviarse en la modalidad solicitada, el sujeto obligado deberá ofrecer otra u otras modalidades de entrega. </w:t>
      </w:r>
    </w:p>
    <w:p w14:paraId="59D4A49E" w14:textId="77777777" w:rsidR="007B64D4" w:rsidRPr="0008760E" w:rsidRDefault="007B64D4" w:rsidP="0008760E">
      <w:pPr>
        <w:spacing w:line="240" w:lineRule="auto"/>
        <w:ind w:left="709" w:right="567"/>
        <w:rPr>
          <w:rFonts w:cs="Arial"/>
          <w:i/>
        </w:rPr>
      </w:pPr>
    </w:p>
    <w:p w14:paraId="4DBC1997" w14:textId="77777777" w:rsidR="007B64D4" w:rsidRPr="0008760E" w:rsidRDefault="007B64D4" w:rsidP="0008760E">
      <w:pPr>
        <w:pStyle w:val="Puesto"/>
      </w:pPr>
      <w:r w:rsidRPr="0008760E">
        <w:t>En cualquier caso, se deberá fundar y motivar la necesidad de ofrecer otras modalidades.</w:t>
      </w:r>
    </w:p>
    <w:p w14:paraId="442E87AD" w14:textId="77777777" w:rsidR="007B64D4" w:rsidRPr="0008760E" w:rsidRDefault="007B64D4" w:rsidP="0008760E">
      <w:pPr>
        <w:pStyle w:val="Puesto"/>
        <w:rPr>
          <w:b/>
          <w:u w:val="single"/>
        </w:rPr>
      </w:pPr>
    </w:p>
    <w:p w14:paraId="4817DF2C" w14:textId="77777777" w:rsidR="007B64D4" w:rsidRPr="0008760E" w:rsidRDefault="007B64D4" w:rsidP="0008760E">
      <w:pPr>
        <w:pStyle w:val="Puesto"/>
      </w:pPr>
      <w:r w:rsidRPr="0008760E">
        <w:rPr>
          <w:b/>
        </w:rPr>
        <w:t>Artículo 165</w:t>
      </w:r>
      <w:r w:rsidRPr="0008760E">
        <w:t xml:space="preserve">. Los sujetos obligados establecerán la forma y términos en que darán trámite interno a las solicitudes en materia de acceso a la información. </w:t>
      </w:r>
    </w:p>
    <w:p w14:paraId="56D98754" w14:textId="77777777" w:rsidR="007B64D4" w:rsidRPr="0008760E" w:rsidRDefault="007B64D4" w:rsidP="0008760E">
      <w:pPr>
        <w:pStyle w:val="Puesto"/>
      </w:pPr>
    </w:p>
    <w:p w14:paraId="72299461" w14:textId="77777777" w:rsidR="007B64D4" w:rsidRPr="0008760E" w:rsidRDefault="007B64D4" w:rsidP="0008760E">
      <w:pPr>
        <w:pStyle w:val="Puesto"/>
      </w:pPr>
      <w:r w:rsidRPr="0008760E">
        <w:t xml:space="preserve">La información que se entregue en versión pública, cuya modalidad de reproducción o envío tenga un costo, procederá una vez que se acredite el pago respectivo. No puede entenderse como reproducción la elaboración de la misma. </w:t>
      </w:r>
    </w:p>
    <w:p w14:paraId="402E3889" w14:textId="77777777" w:rsidR="007B64D4" w:rsidRPr="0008760E" w:rsidRDefault="007B64D4" w:rsidP="0008760E">
      <w:pPr>
        <w:pStyle w:val="Puesto"/>
      </w:pPr>
    </w:p>
    <w:p w14:paraId="483BBDCE" w14:textId="77777777" w:rsidR="007B64D4" w:rsidRPr="0008760E" w:rsidRDefault="007B64D4" w:rsidP="0008760E">
      <w:pPr>
        <w:pStyle w:val="Puesto"/>
      </w:pPr>
      <w:r w:rsidRPr="0008760E">
        <w:t xml:space="preserve">Ante la falta de respuesta a una solicitud en el plazo previsto y en caso de que proceda el acceso, los costos de reproducción y envío correrán a cargo del sujeto obligado. </w:t>
      </w:r>
    </w:p>
    <w:p w14:paraId="36ED601A" w14:textId="77777777" w:rsidR="007B64D4" w:rsidRPr="0008760E" w:rsidRDefault="007B64D4" w:rsidP="0008760E">
      <w:pPr>
        <w:pStyle w:val="Puesto"/>
      </w:pPr>
    </w:p>
    <w:p w14:paraId="4B8C9E3C" w14:textId="77777777" w:rsidR="007B64D4" w:rsidRPr="0008760E" w:rsidRDefault="007B64D4" w:rsidP="0008760E">
      <w:pPr>
        <w:pStyle w:val="Puesto"/>
      </w:pPr>
      <w:r w:rsidRPr="0008760E">
        <w:rPr>
          <w:b/>
        </w:rPr>
        <w:t>Artículo 174</w:t>
      </w:r>
      <w:r w:rsidRPr="0008760E">
        <w:t xml:space="preserve">. </w:t>
      </w:r>
      <w:r w:rsidRPr="0008760E">
        <w:rPr>
          <w:u w:val="single"/>
        </w:rPr>
        <w:t>En caso de existir costos para obtener la información deberán cubrirse de manera previa a la entrega</w:t>
      </w:r>
      <w:r w:rsidRPr="0008760E">
        <w:t xml:space="preserve"> y no podrán ser superiores a la suma de: </w:t>
      </w:r>
    </w:p>
    <w:p w14:paraId="6C9F4700" w14:textId="77777777" w:rsidR="007B64D4" w:rsidRPr="0008760E" w:rsidRDefault="007B64D4" w:rsidP="0008760E">
      <w:pPr>
        <w:pStyle w:val="Puesto"/>
      </w:pPr>
    </w:p>
    <w:p w14:paraId="3573B7B9" w14:textId="77777777" w:rsidR="007B64D4" w:rsidRPr="0008760E" w:rsidRDefault="007B64D4" w:rsidP="0008760E">
      <w:pPr>
        <w:pStyle w:val="Puesto"/>
      </w:pPr>
      <w:r w:rsidRPr="0008760E">
        <w:t xml:space="preserve">I. </w:t>
      </w:r>
      <w:r w:rsidRPr="0008760E">
        <w:tab/>
        <w:t xml:space="preserve">El costo de los materiales utilizados en la reproducción de la información; </w:t>
      </w:r>
    </w:p>
    <w:p w14:paraId="335BFD43" w14:textId="77777777" w:rsidR="007B64D4" w:rsidRPr="0008760E" w:rsidRDefault="007B64D4" w:rsidP="0008760E">
      <w:pPr>
        <w:pStyle w:val="Puesto"/>
      </w:pPr>
      <w:r w:rsidRPr="0008760E">
        <w:t>II.</w:t>
      </w:r>
      <w:r w:rsidRPr="0008760E">
        <w:tab/>
        <w:t xml:space="preserve">El costo de envío, en su caso; y </w:t>
      </w:r>
    </w:p>
    <w:p w14:paraId="6B0FD0FF" w14:textId="77777777" w:rsidR="007B64D4" w:rsidRPr="0008760E" w:rsidRDefault="007B64D4" w:rsidP="0008760E">
      <w:pPr>
        <w:pStyle w:val="Puesto"/>
      </w:pPr>
      <w:r w:rsidRPr="0008760E">
        <w:t>III.</w:t>
      </w:r>
      <w:r w:rsidRPr="0008760E">
        <w:tab/>
        <w:t>El pago de la certificación de los documentos, cuando proceda.</w:t>
      </w:r>
    </w:p>
    <w:p w14:paraId="58D1C8C9" w14:textId="77777777" w:rsidR="007B64D4" w:rsidRPr="0008760E" w:rsidRDefault="007B64D4" w:rsidP="0008760E">
      <w:pPr>
        <w:pStyle w:val="Puesto"/>
      </w:pPr>
    </w:p>
    <w:p w14:paraId="0310B47E" w14:textId="77777777" w:rsidR="007B64D4" w:rsidRPr="0008760E" w:rsidRDefault="007B64D4" w:rsidP="0008760E">
      <w:pPr>
        <w:pStyle w:val="Puesto"/>
      </w:pPr>
      <w:r w:rsidRPr="0008760E">
        <w:rPr>
          <w:u w:val="single"/>
        </w:rPr>
        <w:t>Las cuotas de los derechos aplicables deberán establecerse, en su caso, en el Código Financiero del Estado de México y Municipios y demás disposiciones jurídicas aplicables</w:t>
      </w:r>
      <w:r w:rsidRPr="0008760E">
        <w:t xml:space="preserve">, las cuales se publicarán en los sitios de internet de los sujetos obligados. </w:t>
      </w:r>
      <w:r w:rsidRPr="0008760E">
        <w:rPr>
          <w:u w:val="single"/>
        </w:rPr>
        <w:t>En su determinación se deberá considerar que los montos permitan o faciliten el ejercicio del derecho de acceso a la información</w:t>
      </w:r>
      <w:r w:rsidRPr="0008760E">
        <w:t xml:space="preserve">. </w:t>
      </w:r>
    </w:p>
    <w:p w14:paraId="32E907B6" w14:textId="77777777" w:rsidR="007B64D4" w:rsidRPr="0008760E" w:rsidRDefault="007B64D4" w:rsidP="0008760E">
      <w:pPr>
        <w:pStyle w:val="Puesto"/>
      </w:pPr>
    </w:p>
    <w:p w14:paraId="30D9A4F7" w14:textId="77777777" w:rsidR="007B64D4" w:rsidRPr="0008760E" w:rsidRDefault="007B64D4" w:rsidP="0008760E">
      <w:pPr>
        <w:pStyle w:val="Puesto"/>
      </w:pPr>
      <w:r w:rsidRPr="0008760E">
        <w:t xml:space="preserve">Los sujetos obligados a los que no les sea aplicable el Código Financiero del Estado de México y Municipios deberán establecer cuotas que no sean mayores a las dispuestas en dicho ordenamiento. </w:t>
      </w:r>
    </w:p>
    <w:p w14:paraId="289A6C07" w14:textId="77777777" w:rsidR="007B64D4" w:rsidRPr="0008760E" w:rsidRDefault="007B64D4" w:rsidP="0008760E">
      <w:pPr>
        <w:pStyle w:val="Puesto"/>
      </w:pPr>
    </w:p>
    <w:p w14:paraId="472F0948" w14:textId="77777777" w:rsidR="007B64D4" w:rsidRPr="0008760E" w:rsidRDefault="007B64D4" w:rsidP="0008760E">
      <w:pPr>
        <w:pStyle w:val="Puesto"/>
        <w:rPr>
          <w:b/>
          <w:bCs/>
        </w:rPr>
      </w:pPr>
      <w:r w:rsidRPr="0008760E">
        <w:t xml:space="preserve">La información deberá ser entregada sin costo, cuando implique la entrega de no más de veinte hojas simples. Las unidades de transparencia podrán exceptuar el pago de reproducción y envío atendiendo a las circunstancias socioeconómicas del solicitante, en términos de los lineamientos que expida el Instituto.” </w:t>
      </w:r>
      <w:r w:rsidRPr="0008760E">
        <w:rPr>
          <w:b/>
          <w:bCs/>
        </w:rPr>
        <w:t>(Sic)</w:t>
      </w:r>
    </w:p>
    <w:p w14:paraId="7283E698" w14:textId="77777777" w:rsidR="007B64D4" w:rsidRPr="0008760E" w:rsidRDefault="007B64D4" w:rsidP="0008760E">
      <w:pPr>
        <w:rPr>
          <w:rFonts w:cs="Arial"/>
        </w:rPr>
      </w:pPr>
    </w:p>
    <w:p w14:paraId="49325472" w14:textId="1B915E05" w:rsidR="007B64D4" w:rsidRPr="0008760E" w:rsidRDefault="007B64D4" w:rsidP="0008760E">
      <w:pPr>
        <w:rPr>
          <w:szCs w:val="24"/>
        </w:rPr>
      </w:pPr>
      <w:r w:rsidRPr="0008760E">
        <w:rPr>
          <w:szCs w:val="24"/>
        </w:rPr>
        <w:t xml:space="preserve">Derivado de lo anterior, </w:t>
      </w:r>
      <w:r w:rsidR="006E481A" w:rsidRPr="0008760E">
        <w:rPr>
          <w:szCs w:val="24"/>
        </w:rPr>
        <w:t xml:space="preserve">se estima </w:t>
      </w:r>
      <w:r w:rsidRPr="0008760E">
        <w:rPr>
          <w:szCs w:val="24"/>
        </w:rPr>
        <w:t>que es innegable que el ejercicio del derecho de acceso, tiene como principio fundamental el de la gratuidad, y si bien es el eje rector del procedimiento en sí mismo, que comprende desde la solicitud hasta la entrega de la información que obra en los archivos de los sujetos obligados, la gratuidad no puede hacerse extensiva a cuestiones que por ley se prevén de manera distinta, pues en cuanto al tema de los costos por concepto de reproducción de copias certificadas, la Ley de Transparencia y Acceso a la Información Pública del Estado de México, establece expresamente el pago por dicho concepto, cuando la modalidad de entrega sea en copia certificada, incluso, condicionan la entrega a dicho pago, lo cual no puede ser obviado en las resoluciones que emita este Órgano Garante, bajo el principio de legalidad.</w:t>
      </w:r>
    </w:p>
    <w:p w14:paraId="2ADE83BD" w14:textId="77777777" w:rsidR="007B64D4" w:rsidRPr="0008760E" w:rsidRDefault="007B64D4" w:rsidP="0008760E">
      <w:pPr>
        <w:rPr>
          <w:szCs w:val="24"/>
        </w:rPr>
      </w:pPr>
    </w:p>
    <w:p w14:paraId="3570B9D6" w14:textId="77777777" w:rsidR="007B64D4" w:rsidRPr="0008760E" w:rsidRDefault="007B64D4" w:rsidP="0008760E">
      <w:pPr>
        <w:rPr>
          <w:szCs w:val="24"/>
        </w:rPr>
      </w:pPr>
      <w:r w:rsidRPr="0008760E">
        <w:rPr>
          <w:szCs w:val="24"/>
        </w:rPr>
        <w:t>Lo anterior responde al hecho de que la certificación de documentos, en términos del Código Financiero del Estado de México y Municipios, configura un servicio que presta el Estado en sus funciones de derecho público, por el cual debe pagarse una contraprestación que se contabiliza como un ingreso por parte de los sujetos obligados.</w:t>
      </w:r>
    </w:p>
    <w:p w14:paraId="409607DB" w14:textId="77777777" w:rsidR="007B64D4" w:rsidRPr="0008760E" w:rsidRDefault="007B64D4" w:rsidP="0008760E">
      <w:pPr>
        <w:rPr>
          <w:szCs w:val="24"/>
        </w:rPr>
      </w:pPr>
    </w:p>
    <w:p w14:paraId="56B8307A" w14:textId="77777777" w:rsidR="007B64D4" w:rsidRPr="0008760E" w:rsidRDefault="007B64D4" w:rsidP="0008760E">
      <w:pPr>
        <w:rPr>
          <w:szCs w:val="24"/>
        </w:rPr>
      </w:pPr>
      <w:r w:rsidRPr="0008760E">
        <w:rPr>
          <w:szCs w:val="24"/>
        </w:rPr>
        <w:t xml:space="preserve">Luego entonces, si bien el principio de gratuidad rige el procedimiento del derecho de acceso a la información, la entrega de la misma en la modalidad de copias certificadas, implica un costo para el Estado, de ahí que resulte necesario que exista un medio de recuperación de tales gastos, en el caso, mediante el pago de un derecho ya establecido en la normatividad aplicable, </w:t>
      </w:r>
      <w:r w:rsidRPr="0008760E">
        <w:rPr>
          <w:szCs w:val="24"/>
        </w:rPr>
        <w:lastRenderedPageBreak/>
        <w:t xml:space="preserve">esto es, una contraprestación que deben pagar las personas físicas y jurídicas colectivas por el uso o aprovechamiento de los bienes del dominio público de la Entidad. </w:t>
      </w:r>
    </w:p>
    <w:p w14:paraId="7328A2F1" w14:textId="77777777" w:rsidR="007B64D4" w:rsidRPr="0008760E" w:rsidRDefault="007B64D4" w:rsidP="0008760E">
      <w:pPr>
        <w:rPr>
          <w:szCs w:val="24"/>
        </w:rPr>
      </w:pPr>
    </w:p>
    <w:p w14:paraId="78FFE398" w14:textId="77777777" w:rsidR="007B64D4" w:rsidRPr="0008760E" w:rsidRDefault="007B64D4" w:rsidP="0008760E">
      <w:pPr>
        <w:rPr>
          <w:szCs w:val="24"/>
        </w:rPr>
      </w:pPr>
      <w:r w:rsidRPr="0008760E">
        <w:rPr>
          <w:szCs w:val="24"/>
        </w:rPr>
        <w:t xml:space="preserve">Por lo antes señalado, se insiste, que si bien el acceso a la información pública es gratuito de conformidad con la normatividad aplicable, la entrega de información pública en la modalidad de copias certificadas es un derecho delimitado por el Código Financiero del Estado de México, por lo que se trata de supuestos distintos, es decir, el acceso a la información pública implica el ejercicio del derecho fundamental previsto en el artículo 6 de la Constitución Política de los Estados Unidos Mexicanos, que consistente en la facultad de un particular para exigir de la autoridad una acción concreta, protegida directamente por el derecho objetivo; en tanto que la reproducción de la información solicitada implica la utilización de recursos públicos asignados al ente gubernamental. </w:t>
      </w:r>
    </w:p>
    <w:p w14:paraId="0BCB3BBA" w14:textId="77777777" w:rsidR="007B64D4" w:rsidRPr="0008760E" w:rsidRDefault="007B64D4" w:rsidP="0008760E">
      <w:pPr>
        <w:rPr>
          <w:szCs w:val="24"/>
        </w:rPr>
      </w:pPr>
    </w:p>
    <w:p w14:paraId="0EBF0BA4" w14:textId="77777777" w:rsidR="007B64D4" w:rsidRPr="0008760E" w:rsidRDefault="007B64D4" w:rsidP="0008760E">
      <w:pPr>
        <w:rPr>
          <w:szCs w:val="24"/>
        </w:rPr>
      </w:pPr>
      <w:r w:rsidRPr="0008760E">
        <w:rPr>
          <w:szCs w:val="24"/>
        </w:rPr>
        <w:t>Tratándose del cobro, por concepto de los servicios que sean prestados por el Estado, se pagarán derechos conforme a las cuotas establecidas para cada caso, como lo son la expedición de copias certificadas; en tal virtud, si bien, se encuentran señalados de manera genérica en la Ley de Transparencia y Acceso a la Información Pública del Estado de México, lo cierto es que, atendiendo al principio de especialidad y por lo que hace al cobro, debemos sujetarnos a las disposiciones, reglas, normas y lineamientos estipulados en el Código Financiero del Estado de México y Municipios, en tanto que se trata de una norma tributaria.</w:t>
      </w:r>
    </w:p>
    <w:p w14:paraId="522E477A" w14:textId="77777777" w:rsidR="007B64D4" w:rsidRPr="0008760E" w:rsidRDefault="007B64D4" w:rsidP="0008760E">
      <w:pPr>
        <w:rPr>
          <w:sz w:val="24"/>
          <w:szCs w:val="24"/>
        </w:rPr>
      </w:pPr>
    </w:p>
    <w:p w14:paraId="5478F64D" w14:textId="77777777" w:rsidR="007B64D4" w:rsidRPr="0008760E" w:rsidRDefault="007B64D4" w:rsidP="0008760E">
      <w:pPr>
        <w:rPr>
          <w:szCs w:val="24"/>
        </w:rPr>
      </w:pPr>
      <w:r w:rsidRPr="0008760E">
        <w:rPr>
          <w:szCs w:val="24"/>
        </w:rPr>
        <w:t xml:space="preserve">Por ello, es que se estima que el cobro de derechos por la expedición de copias certificadas deberá ceñirse, en apego al principio de estricto derecho, a las disposiciones en materia tributaria y presupuestaria. </w:t>
      </w:r>
    </w:p>
    <w:p w14:paraId="3F8DBFCA" w14:textId="77777777" w:rsidR="007B64D4" w:rsidRPr="0008760E" w:rsidRDefault="007B64D4" w:rsidP="0008760E">
      <w:pPr>
        <w:rPr>
          <w:szCs w:val="24"/>
        </w:rPr>
      </w:pPr>
    </w:p>
    <w:p w14:paraId="3C037DBA" w14:textId="77777777" w:rsidR="007B64D4" w:rsidRPr="0008760E" w:rsidRDefault="007B64D4" w:rsidP="0008760E">
      <w:pPr>
        <w:rPr>
          <w:szCs w:val="24"/>
        </w:rPr>
      </w:pPr>
      <w:r w:rsidRPr="0008760E">
        <w:rPr>
          <w:szCs w:val="24"/>
        </w:rPr>
        <w:lastRenderedPageBreak/>
        <w:t>En tal consideración, sin duda, el acceso a la información pública atiende de manera inseparable a la persona que ejerce el derecho, no así a la reproducción y envío de la información solicitada pues es claro que se trata de momentos y supuestos diversos.</w:t>
      </w:r>
    </w:p>
    <w:p w14:paraId="6CFB1E23" w14:textId="77777777" w:rsidR="007B64D4" w:rsidRPr="0008760E" w:rsidRDefault="007B64D4" w:rsidP="0008760E">
      <w:pPr>
        <w:rPr>
          <w:szCs w:val="24"/>
        </w:rPr>
      </w:pPr>
    </w:p>
    <w:p w14:paraId="78C00F2F" w14:textId="77777777" w:rsidR="007B64D4" w:rsidRPr="0008760E" w:rsidRDefault="007B64D4" w:rsidP="0008760E">
      <w:pPr>
        <w:rPr>
          <w:szCs w:val="24"/>
        </w:rPr>
      </w:pPr>
      <w:r w:rsidRPr="0008760E">
        <w:rPr>
          <w:szCs w:val="24"/>
        </w:rPr>
        <w:t>Establecido lo anterior, no debe olvidarse que, en cuanto a la certificación de documentos en su poder, los sujetos obligados a los cuales les resulta aplicable el Código Financiero del Estado de México y Municipios, por lo que, indiscutiblemente deben emitir respuesta de acuerdo a lo establecido por la misma, puesto que no se encuentran facultados para no aplicar la misma.</w:t>
      </w:r>
    </w:p>
    <w:p w14:paraId="7B13829E" w14:textId="77777777" w:rsidR="007B64D4" w:rsidRPr="0008760E" w:rsidRDefault="007B64D4" w:rsidP="0008760E">
      <w:pPr>
        <w:rPr>
          <w:szCs w:val="24"/>
        </w:rPr>
      </w:pPr>
    </w:p>
    <w:p w14:paraId="3686F40A" w14:textId="77777777" w:rsidR="007B64D4" w:rsidRPr="0008760E" w:rsidRDefault="007B64D4" w:rsidP="0008760E">
      <w:pPr>
        <w:rPr>
          <w:szCs w:val="24"/>
        </w:rPr>
      </w:pPr>
      <w:r w:rsidRPr="0008760E">
        <w:rPr>
          <w:szCs w:val="24"/>
        </w:rPr>
        <w:t>Consecuentemente, al realizar una interpretación del principio de gratuidad y aplicarlo de manera indistinta a las primeras veinte copias certificadas, por un lado, se deja de observar lo dispuesto por el Código Financiero del Estado de México y Municipios que prevé expresamente el cobro por la certificación de documentos, y por el otro, genera un daño al erario público, pues ello se traduce en que el Estado deje de percibir recursos por concepto de prestación de servicios que se encuentran previstos en el referido ordenamiento legal.</w:t>
      </w:r>
    </w:p>
    <w:p w14:paraId="724CFB39" w14:textId="77777777" w:rsidR="007B64D4" w:rsidRPr="0008760E" w:rsidRDefault="007B64D4" w:rsidP="0008760E">
      <w:pPr>
        <w:rPr>
          <w:szCs w:val="24"/>
        </w:rPr>
      </w:pPr>
    </w:p>
    <w:p w14:paraId="0E4EA083" w14:textId="77777777" w:rsidR="007B64D4" w:rsidRPr="0008760E" w:rsidRDefault="007B64D4" w:rsidP="0008760E">
      <w:pPr>
        <w:rPr>
          <w:szCs w:val="24"/>
        </w:rPr>
      </w:pPr>
      <w:r w:rsidRPr="0008760E">
        <w:rPr>
          <w:szCs w:val="24"/>
        </w:rPr>
        <w:t>Finalmente, se concluye que el cobro por concepto de reproducción de la información en copia certificada no transgrede la esfera de derechos del solicitante, pues, por un lado, se encuentra previsto en la ley de la materia, y por el otro, como se estableció en supra líneas configura una prestación de servicios por parte del Estado, previsto en el Código Financiero del Estado de México y Municipios.</w:t>
      </w:r>
    </w:p>
    <w:p w14:paraId="79707D28" w14:textId="77777777" w:rsidR="007B64D4" w:rsidRPr="0008760E" w:rsidRDefault="007B64D4" w:rsidP="0008760E">
      <w:pPr>
        <w:rPr>
          <w:sz w:val="24"/>
          <w:szCs w:val="24"/>
        </w:rPr>
      </w:pPr>
    </w:p>
    <w:p w14:paraId="6B7E50E1" w14:textId="77777777" w:rsidR="007B64D4" w:rsidRPr="0008760E" w:rsidRDefault="007B64D4" w:rsidP="0008760E">
      <w:pPr>
        <w:pBdr>
          <w:top w:val="nil"/>
          <w:left w:val="nil"/>
          <w:bottom w:val="nil"/>
          <w:right w:val="nil"/>
          <w:between w:val="nil"/>
        </w:pBdr>
      </w:pPr>
      <w:r w:rsidRPr="0008760E">
        <w:rPr>
          <w:rFonts w:eastAsia="Palatino Linotype" w:cs="Palatino Linotype"/>
        </w:rPr>
        <w:t>Asimismo, las cuotas de los derechos aplicables para la expedición de documentos solicitados, se encuentran previstas en el artículo 148 del Código Financiero del Estado de México que de manera supletoria se aplica en el ejercicio de derecho de acceso a datos personales, a saber:</w:t>
      </w:r>
    </w:p>
    <w:p w14:paraId="67F1B090" w14:textId="77777777" w:rsidR="007B64D4" w:rsidRPr="0008760E" w:rsidRDefault="007B64D4" w:rsidP="0008760E">
      <w:pPr>
        <w:spacing w:after="80"/>
        <w:ind w:firstLine="1"/>
        <w:rPr>
          <w:rFonts w:eastAsia="Palatino Linotype" w:cs="Palatino Linotype"/>
          <w:sz w:val="24"/>
        </w:rPr>
      </w:pPr>
    </w:p>
    <w:p w14:paraId="3E0F62A6" w14:textId="77777777" w:rsidR="007B64D4" w:rsidRPr="0008760E" w:rsidRDefault="007B64D4" w:rsidP="0008760E">
      <w:pPr>
        <w:tabs>
          <w:tab w:val="left" w:pos="7938"/>
        </w:tabs>
        <w:rPr>
          <w:rFonts w:eastAsia="Palatino Linotype" w:cs="Palatino Linotype"/>
          <w:sz w:val="24"/>
        </w:rPr>
      </w:pPr>
      <w:r w:rsidRPr="0008760E">
        <w:rPr>
          <w:rFonts w:eastAsia="Palatino Linotype" w:cs="Palatino Linotype"/>
          <w:noProof/>
          <w:sz w:val="24"/>
          <w:lang w:eastAsia="es-MX"/>
        </w:rPr>
        <w:drawing>
          <wp:inline distT="0" distB="0" distL="0" distR="0" wp14:anchorId="796A7603" wp14:editId="271935F4">
            <wp:extent cx="5612130" cy="1317171"/>
            <wp:effectExtent l="0" t="0" r="7620" b="0"/>
            <wp:docPr id="17" name="image3.png" descr="A close-up of a document&#10;&#10;Description automatically generated"/>
            <wp:cNvGraphicFramePr/>
            <a:graphic xmlns:a="http://schemas.openxmlformats.org/drawingml/2006/main">
              <a:graphicData uri="http://schemas.openxmlformats.org/drawingml/2006/picture">
                <pic:pic xmlns:pic="http://schemas.openxmlformats.org/drawingml/2006/picture">
                  <pic:nvPicPr>
                    <pic:cNvPr id="17" name="image3.png" descr="A close-up of a document&#10;&#10;Description automatically generated"/>
                    <pic:cNvPicPr preferRelativeResize="0"/>
                  </pic:nvPicPr>
                  <pic:blipFill>
                    <a:blip r:embed="rId15"/>
                    <a:srcRect/>
                    <a:stretch>
                      <a:fillRect/>
                    </a:stretch>
                  </pic:blipFill>
                  <pic:spPr>
                    <a:xfrm>
                      <a:off x="0" y="0"/>
                      <a:ext cx="5620857" cy="1319219"/>
                    </a:xfrm>
                    <a:prstGeom prst="rect">
                      <a:avLst/>
                    </a:prstGeom>
                    <a:ln/>
                  </pic:spPr>
                </pic:pic>
              </a:graphicData>
            </a:graphic>
          </wp:inline>
        </w:drawing>
      </w:r>
    </w:p>
    <w:p w14:paraId="6F484814" w14:textId="77777777" w:rsidR="007B64D4" w:rsidRPr="0008760E" w:rsidRDefault="007B64D4" w:rsidP="0008760E">
      <w:pPr>
        <w:tabs>
          <w:tab w:val="left" w:pos="7938"/>
        </w:tabs>
        <w:rPr>
          <w:rFonts w:eastAsia="Palatino Linotype" w:cs="Palatino Linotype"/>
          <w:sz w:val="24"/>
        </w:rPr>
      </w:pPr>
      <w:r w:rsidRPr="0008760E">
        <w:rPr>
          <w:rFonts w:eastAsia="Palatino Linotype" w:cs="Palatino Linotype"/>
          <w:noProof/>
          <w:sz w:val="24"/>
          <w:lang w:eastAsia="es-MX"/>
        </w:rPr>
        <w:drawing>
          <wp:inline distT="0" distB="0" distL="0" distR="0" wp14:anchorId="627FE17F" wp14:editId="7FEF5BA1">
            <wp:extent cx="5612130" cy="2231571"/>
            <wp:effectExtent l="0" t="0" r="7620" b="0"/>
            <wp:docPr id="16" name="image5.png" descr="A white paper with black text&#10;&#10;Description automatically generated"/>
            <wp:cNvGraphicFramePr/>
            <a:graphic xmlns:a="http://schemas.openxmlformats.org/drawingml/2006/main">
              <a:graphicData uri="http://schemas.openxmlformats.org/drawingml/2006/picture">
                <pic:pic xmlns:pic="http://schemas.openxmlformats.org/drawingml/2006/picture">
                  <pic:nvPicPr>
                    <pic:cNvPr id="16" name="image5.png" descr="A white paper with black text&#10;&#10;Description automatically generated"/>
                    <pic:cNvPicPr preferRelativeResize="0"/>
                  </pic:nvPicPr>
                  <pic:blipFill>
                    <a:blip r:embed="rId16"/>
                    <a:srcRect/>
                    <a:stretch>
                      <a:fillRect/>
                    </a:stretch>
                  </pic:blipFill>
                  <pic:spPr>
                    <a:xfrm>
                      <a:off x="0" y="0"/>
                      <a:ext cx="5616506" cy="2233311"/>
                    </a:xfrm>
                    <a:prstGeom prst="rect">
                      <a:avLst/>
                    </a:prstGeom>
                    <a:ln/>
                  </pic:spPr>
                </pic:pic>
              </a:graphicData>
            </a:graphic>
          </wp:inline>
        </w:drawing>
      </w:r>
    </w:p>
    <w:p w14:paraId="430215EF" w14:textId="77777777" w:rsidR="007B64D4" w:rsidRPr="0008760E" w:rsidRDefault="007B64D4" w:rsidP="0008760E">
      <w:pPr>
        <w:spacing w:before="240"/>
        <w:ind w:right="49"/>
        <w:rPr>
          <w:rFonts w:eastAsia="Palatino Linotype" w:cs="Palatino Linotype"/>
        </w:rPr>
      </w:pPr>
      <w:r w:rsidRPr="0008760E">
        <w:rPr>
          <w:rFonts w:eastAsia="Palatino Linotype" w:cs="Palatino Linotype"/>
        </w:rPr>
        <w:t>En este sentido, es evidente que la entrega de la información a la particular mediante copias certificadas, procederá una vez que se acredite el pago de derechos correspondiente.</w:t>
      </w:r>
    </w:p>
    <w:p w14:paraId="4210569A" w14:textId="77777777" w:rsidR="007B64D4" w:rsidRPr="0008760E" w:rsidRDefault="007B64D4" w:rsidP="0008760E">
      <w:pPr>
        <w:rPr>
          <w:rFonts w:eastAsia="Palatino Linotype" w:cs="Palatino Linotype"/>
        </w:rPr>
      </w:pPr>
    </w:p>
    <w:p w14:paraId="07D7378D" w14:textId="77777777" w:rsidR="007B64D4" w:rsidRPr="0008760E" w:rsidRDefault="007B64D4" w:rsidP="0008760E">
      <w:pPr>
        <w:rPr>
          <w:rFonts w:eastAsia="Palatino Linotype" w:cs="Palatino Linotype"/>
        </w:rPr>
      </w:pPr>
      <w:r w:rsidRPr="0008760E">
        <w:rPr>
          <w:rFonts w:eastAsia="Palatino Linotype" w:cs="Palatino Linotype"/>
        </w:rPr>
        <w:t>Así, se señala que el monto por concepto de derechos, como se lee en el referido precepto legal del Código Financiero, se calcula tomando en consideración la Unidad de Medida y Actualización, UMA, como la referencia económica en pesos para determinar la cuantía del pago de las obligaciones y supuestos previstos en las leyes federales, de las entidades federativas, así como en las disposiciones jurídicas que emanen de todas las anteriores, que es determinado en cada ejercicio fiscal por el Instituto Nacional de Estadística y Geografía, INEGI, cuyo valor actual es por la cantidad de $108.57 diarios, como se observa en seguida:</w:t>
      </w:r>
    </w:p>
    <w:p w14:paraId="667ADB63" w14:textId="77777777" w:rsidR="007B64D4" w:rsidRPr="0008760E" w:rsidRDefault="007B64D4" w:rsidP="0008760E">
      <w:pPr>
        <w:rPr>
          <w:rFonts w:eastAsia="Palatino Linotype" w:cs="Palatino Linotype"/>
          <w:b/>
          <w:sz w:val="24"/>
        </w:rPr>
      </w:pPr>
      <w:r w:rsidRPr="0008760E">
        <w:rPr>
          <w:rFonts w:eastAsia="Palatino Linotype" w:cs="Palatino Linotype"/>
          <w:b/>
          <w:noProof/>
          <w:sz w:val="24"/>
          <w:lang w:eastAsia="es-MX"/>
        </w:rPr>
        <w:lastRenderedPageBreak/>
        <w:drawing>
          <wp:inline distT="0" distB="0" distL="0" distR="0" wp14:anchorId="518BF927" wp14:editId="01E23120">
            <wp:extent cx="5544324" cy="3972479"/>
            <wp:effectExtent l="0" t="0" r="0" b="0"/>
            <wp:docPr id="18" name="image2.png" descr="A screenshot of a graph&#10;&#10;Description automatically generated"/>
            <wp:cNvGraphicFramePr/>
            <a:graphic xmlns:a="http://schemas.openxmlformats.org/drawingml/2006/main">
              <a:graphicData uri="http://schemas.openxmlformats.org/drawingml/2006/picture">
                <pic:pic xmlns:pic="http://schemas.openxmlformats.org/drawingml/2006/picture">
                  <pic:nvPicPr>
                    <pic:cNvPr id="18" name="image2.png" descr="A screenshot of a graph&#10;&#10;Description automatically generated"/>
                    <pic:cNvPicPr preferRelativeResize="0"/>
                  </pic:nvPicPr>
                  <pic:blipFill>
                    <a:blip r:embed="rId17"/>
                    <a:srcRect/>
                    <a:stretch>
                      <a:fillRect/>
                    </a:stretch>
                  </pic:blipFill>
                  <pic:spPr>
                    <a:xfrm>
                      <a:off x="0" y="0"/>
                      <a:ext cx="5544324" cy="3972479"/>
                    </a:xfrm>
                    <a:prstGeom prst="rect">
                      <a:avLst/>
                    </a:prstGeom>
                    <a:ln/>
                  </pic:spPr>
                </pic:pic>
              </a:graphicData>
            </a:graphic>
          </wp:inline>
        </w:drawing>
      </w:r>
    </w:p>
    <w:p w14:paraId="123F4387" w14:textId="77777777" w:rsidR="007B64D4" w:rsidRPr="0008760E" w:rsidRDefault="007B64D4" w:rsidP="0008760E">
      <w:pPr>
        <w:spacing w:before="240"/>
        <w:ind w:right="51"/>
        <w:rPr>
          <w:rFonts w:eastAsia="Palatino Linotype" w:cs="Palatino Linotype"/>
        </w:rPr>
      </w:pPr>
      <w:r w:rsidRPr="0008760E">
        <w:rPr>
          <w:rFonts w:eastAsia="Palatino Linotype" w:cs="Palatino Linotype"/>
        </w:rPr>
        <w:t>De tal forma que, los derechos por la certificación de la primera hoja, equivalen a 0.224 veces el valor diario de la Unidad de Medida y Actualización vigente, mientras que los derechos para cada una de las subsecuentes equivalen a 0.016 veces el valor diario de la Unidad de Medida y Actualización vigente, es decir, $24.31968 la primera hoja, y $1.73712 cada una de las hojas subsecuentes.</w:t>
      </w:r>
    </w:p>
    <w:p w14:paraId="200E4E5D" w14:textId="77777777" w:rsidR="007B64D4" w:rsidRPr="0008760E" w:rsidRDefault="007B64D4" w:rsidP="0008760E">
      <w:pPr>
        <w:rPr>
          <w:rFonts w:eastAsia="Palatino Linotype" w:cs="Palatino Linotype"/>
        </w:rPr>
      </w:pPr>
    </w:p>
    <w:p w14:paraId="5FE101BA" w14:textId="77777777" w:rsidR="007B64D4" w:rsidRPr="0008760E" w:rsidRDefault="007B64D4" w:rsidP="0008760E">
      <w:pPr>
        <w:pBdr>
          <w:top w:val="nil"/>
          <w:left w:val="nil"/>
          <w:bottom w:val="nil"/>
          <w:right w:val="nil"/>
          <w:between w:val="nil"/>
        </w:pBdr>
        <w:spacing w:after="240"/>
        <w:ind w:right="49"/>
      </w:pPr>
      <w:r w:rsidRPr="0008760E">
        <w:rPr>
          <w:rFonts w:eastAsia="Palatino Linotype" w:cs="Palatino Linotype"/>
        </w:rPr>
        <w:t xml:space="preserve">No obstante, no procede el cobro de las primeras veinte hojas, lo anterior derivado del criterio adoptado por la mayoría de los integrantes del Pleno de este Organismo Garante, se toma en consideración, por analogía, el criterio orientador 02/18 emitido por el Instituto Nacional de </w:t>
      </w:r>
      <w:r w:rsidRPr="0008760E">
        <w:rPr>
          <w:rFonts w:eastAsia="Palatino Linotype" w:cs="Palatino Linotype"/>
        </w:rPr>
        <w:lastRenderedPageBreak/>
        <w:t>Transparencia, Acceso a la Información y Protección de Datos Personales, que es del tenor literal siguiente:</w:t>
      </w:r>
    </w:p>
    <w:p w14:paraId="560C2266" w14:textId="77777777" w:rsidR="007B64D4" w:rsidRPr="0008760E" w:rsidRDefault="007B64D4" w:rsidP="0008760E">
      <w:pPr>
        <w:pStyle w:val="Puesto"/>
      </w:pPr>
      <w:r w:rsidRPr="0008760E">
        <w:rPr>
          <w:rFonts w:eastAsia="Palatino Linotype"/>
          <w:b/>
        </w:rPr>
        <w:t>“Gratuidad de las primeras veinte hojas simples o certificadas</w:t>
      </w:r>
      <w:r w:rsidRPr="0008760E">
        <w:rPr>
          <w:rFonts w:eastAsia="Palatino Linotype"/>
        </w:rPr>
        <w:t>. Cuando la entrega de los datos personales sea a través de copias simples o certificadas, las primeras veinte hojas serán sin costo. ”</w:t>
      </w:r>
    </w:p>
    <w:p w14:paraId="2A907720" w14:textId="77777777" w:rsidR="007B64D4" w:rsidRPr="0008760E" w:rsidRDefault="007B64D4" w:rsidP="0008760E">
      <w:pPr>
        <w:ind w:right="49"/>
        <w:rPr>
          <w:rFonts w:eastAsia="Palatino Linotype" w:cs="Palatino Linotype"/>
        </w:rPr>
      </w:pPr>
    </w:p>
    <w:p w14:paraId="0336D8D3" w14:textId="77777777" w:rsidR="007B64D4" w:rsidRPr="0008760E" w:rsidRDefault="007B64D4" w:rsidP="0008760E">
      <w:pPr>
        <w:rPr>
          <w:szCs w:val="24"/>
        </w:rPr>
      </w:pPr>
      <w:r w:rsidRPr="0008760E">
        <w:rPr>
          <w:szCs w:val="24"/>
        </w:rPr>
        <w:t>Para la entrega de la información en la modalidad solicitada por el particular en el asunto que nos ocupa, los Lineamientos para la Recepción, Trámite y Resolución de las solicitudes de acceso a la información pública, así como de los recursos de revisión que deberán observar los sujetos obligados por la Ley de Transparencia y Acceso a la Información Pública del Estado de México y Municipios, disponen en el numeral treinta y ocho incisos e), f) y h), establecen que en el caso de que la información se haya solicitado en una modalidad que sea técnicamente factible y que constituya un costo de reproducción, se deberá informar al particular el costo total, el lugar y procedimiento para realizar el pago correspondiente; y los horarios en los cuales estará a su disposición la información solicitada, en consecuencia resulta dable ordenar la entrega de la información en la modalidad de copias certificadas con costo.</w:t>
      </w:r>
    </w:p>
    <w:p w14:paraId="6A28D417" w14:textId="77777777" w:rsidR="007B64D4" w:rsidRPr="0008760E" w:rsidRDefault="007B64D4" w:rsidP="0008760E">
      <w:pPr>
        <w:autoSpaceDE w:val="0"/>
        <w:autoSpaceDN w:val="0"/>
        <w:adjustRightInd w:val="0"/>
        <w:rPr>
          <w:rFonts w:cs="Palatino Linotype"/>
          <w:bCs/>
          <w:iCs/>
          <w:sz w:val="24"/>
        </w:rPr>
      </w:pPr>
    </w:p>
    <w:p w14:paraId="6CD05AC4" w14:textId="51864FE7" w:rsidR="00BD5A7C" w:rsidRPr="0008760E" w:rsidRDefault="00A6415E" w:rsidP="0008760E">
      <w:pPr>
        <w:pStyle w:val="Ttulo3"/>
      </w:pPr>
      <w:bookmarkStart w:id="32" w:name="_Toc181794082"/>
      <w:r w:rsidRPr="0008760E">
        <w:t>d</w:t>
      </w:r>
      <w:r w:rsidR="00BD5A7C" w:rsidRPr="0008760E">
        <w:t>) Conclusión</w:t>
      </w:r>
      <w:bookmarkEnd w:id="32"/>
    </w:p>
    <w:p w14:paraId="029A5FD9" w14:textId="1BB08DAA" w:rsidR="00C351EC" w:rsidRPr="0008760E" w:rsidRDefault="00C351EC" w:rsidP="0008760E">
      <w:pPr>
        <w:widowControl w:val="0"/>
        <w:tabs>
          <w:tab w:val="left" w:pos="1701"/>
          <w:tab w:val="left" w:pos="1843"/>
        </w:tabs>
        <w:rPr>
          <w:rFonts w:eastAsia="Palatino Linotype" w:cs="Palatino Linotype"/>
        </w:rPr>
      </w:pPr>
      <w:r w:rsidRPr="0008760E">
        <w:rPr>
          <w:rFonts w:eastAsia="Palatino Linotype" w:cs="Palatino Linotype"/>
        </w:rPr>
        <w:t xml:space="preserve">En razón de lo anteriormente expuesto, este Instituto estima que las razones o motivos de inconformidad hechos valer por </w:t>
      </w:r>
      <w:r w:rsidRPr="0008760E">
        <w:rPr>
          <w:rFonts w:eastAsiaTheme="minorHAnsi" w:cs="Tahoma"/>
          <w:b/>
          <w:iCs/>
          <w:szCs w:val="22"/>
          <w:lang w:eastAsia="en-US"/>
        </w:rPr>
        <w:t>LA PARTE RECURRENTE</w:t>
      </w:r>
      <w:r w:rsidRPr="0008760E">
        <w:rPr>
          <w:rFonts w:eastAsiaTheme="minorHAnsi" w:cs="Tahoma"/>
          <w:bCs/>
          <w:iCs/>
          <w:szCs w:val="22"/>
          <w:lang w:eastAsia="en-US"/>
        </w:rPr>
        <w:t xml:space="preserve"> </w:t>
      </w:r>
      <w:r w:rsidRPr="0008760E">
        <w:rPr>
          <w:rFonts w:eastAsia="Palatino Linotype" w:cs="Palatino Linotype"/>
        </w:rPr>
        <w:t xml:space="preserve">devienen </w:t>
      </w:r>
      <w:r w:rsidRPr="0008760E">
        <w:rPr>
          <w:rFonts w:eastAsia="Palatino Linotype" w:cs="Palatino Linotype"/>
          <w:b/>
        </w:rPr>
        <w:t>fundadas</w:t>
      </w:r>
      <w:r w:rsidRPr="0008760E">
        <w:rPr>
          <w:rFonts w:eastAsia="Palatino Linotype" w:cs="Palatino Linotype"/>
        </w:rPr>
        <w:t xml:space="preserve"> y suficientes para </w:t>
      </w:r>
      <w:r w:rsidR="00C2224F" w:rsidRPr="0008760E">
        <w:rPr>
          <w:rFonts w:eastAsia="Palatino Linotype" w:cs="Palatino Linotype"/>
          <w:b/>
        </w:rPr>
        <w:t>MODIFICA</w:t>
      </w:r>
      <w:r w:rsidRPr="0008760E">
        <w:rPr>
          <w:rFonts w:eastAsia="Palatino Linotype" w:cs="Palatino Linotype"/>
        </w:rPr>
        <w:t xml:space="preserve"> la respuesta del </w:t>
      </w:r>
      <w:r w:rsidRPr="0008760E">
        <w:rPr>
          <w:rFonts w:eastAsia="Palatino Linotype" w:cs="Palatino Linotype"/>
          <w:b/>
        </w:rPr>
        <w:t>SUJETO OBLIGADO</w:t>
      </w:r>
      <w:r w:rsidRPr="0008760E">
        <w:rPr>
          <w:rFonts w:eastAsia="Palatino Linotype" w:cs="Palatino Linotype"/>
        </w:rPr>
        <w:t xml:space="preserve"> y ordenarle haga entrega de la información descrita en el presente Considerando.</w:t>
      </w:r>
    </w:p>
    <w:p w14:paraId="7A667108" w14:textId="77777777" w:rsidR="00A63966" w:rsidRPr="0008760E" w:rsidRDefault="00A63966" w:rsidP="0008760E"/>
    <w:p w14:paraId="6C4C444E" w14:textId="16F1DC79" w:rsidR="00BD5A7C" w:rsidRPr="0008760E" w:rsidRDefault="00BD5A7C" w:rsidP="0008760E">
      <w:pPr>
        <w:ind w:right="-93"/>
        <w:rPr>
          <w:rFonts w:cs="Tahoma"/>
          <w:bCs/>
          <w:szCs w:val="22"/>
        </w:rPr>
      </w:pPr>
      <w:bookmarkStart w:id="33" w:name="_Hlk165381027"/>
      <w:r w:rsidRPr="0008760E">
        <w:rPr>
          <w:rFonts w:cs="Tahoma"/>
          <w:bCs/>
          <w:szCs w:val="22"/>
        </w:rPr>
        <w:t xml:space="preserve">Así, con fundamento en lo establecido en los artículos 5, párrafos trigésimo segundo, trigésimo tercero y trigésimo cuarto, fracciones IV y V, de la Constitución Política del Estado Libre y </w:t>
      </w:r>
      <w:r w:rsidRPr="0008760E">
        <w:rPr>
          <w:rFonts w:cs="Tahoma"/>
          <w:bCs/>
          <w:szCs w:val="22"/>
        </w:rPr>
        <w:lastRenderedPageBreak/>
        <w:t>Soberano de México; y en los artículos 2, fracción II, 9, 29, 36, fracciones I y II, 176, 178, 179, 186 y 188 de la Ley de Transparencia y Acceso a la Información Pública del Estado de México y Municipios, este Pleno:</w:t>
      </w:r>
    </w:p>
    <w:bookmarkEnd w:id="33"/>
    <w:p w14:paraId="7C13D1A0" w14:textId="77777777" w:rsidR="00BD5A7C" w:rsidRPr="0008760E" w:rsidRDefault="00BD5A7C" w:rsidP="0008760E"/>
    <w:p w14:paraId="5C396097" w14:textId="684A0E4F" w:rsidR="00664420" w:rsidRPr="0008760E" w:rsidRDefault="00664420" w:rsidP="0008760E">
      <w:pPr>
        <w:pStyle w:val="Ttulo1"/>
      </w:pPr>
      <w:bookmarkStart w:id="34" w:name="_Toc181794083"/>
      <w:r w:rsidRPr="0008760E">
        <w:t>RESUELVE</w:t>
      </w:r>
      <w:bookmarkEnd w:id="34"/>
    </w:p>
    <w:p w14:paraId="203B7093" w14:textId="77777777" w:rsidR="00664420" w:rsidRPr="0008760E" w:rsidRDefault="00664420" w:rsidP="0008760E">
      <w:pPr>
        <w:ind w:right="113"/>
        <w:rPr>
          <w:rFonts w:cs="Arial"/>
          <w:b/>
          <w:szCs w:val="22"/>
        </w:rPr>
      </w:pPr>
    </w:p>
    <w:p w14:paraId="373B2C7F" w14:textId="1EF44931" w:rsidR="00C351EC" w:rsidRPr="0008760E" w:rsidRDefault="00C351EC" w:rsidP="0008760E">
      <w:pPr>
        <w:widowControl w:val="0"/>
        <w:rPr>
          <w:rFonts w:eastAsia="Calibri" w:cs="Tahoma"/>
          <w:bCs/>
          <w:szCs w:val="22"/>
          <w:lang w:eastAsia="en-US"/>
        </w:rPr>
      </w:pPr>
      <w:r w:rsidRPr="0008760E">
        <w:rPr>
          <w:b/>
          <w:bCs/>
        </w:rPr>
        <w:t>PRIMERO.</w:t>
      </w:r>
      <w:r w:rsidRPr="0008760E">
        <w:t xml:space="preserve"> </w:t>
      </w:r>
      <w:r w:rsidRPr="0008760E">
        <w:rPr>
          <w:rFonts w:cs="Tahoma"/>
          <w:szCs w:val="22"/>
        </w:rPr>
        <w:t xml:space="preserve">Se </w:t>
      </w:r>
      <w:r w:rsidR="006E1525" w:rsidRPr="0008760E">
        <w:rPr>
          <w:rFonts w:cs="Tahoma"/>
          <w:b/>
          <w:bCs/>
          <w:szCs w:val="22"/>
        </w:rPr>
        <w:t>MODIFICA</w:t>
      </w:r>
      <w:r w:rsidRPr="0008760E">
        <w:rPr>
          <w:rFonts w:cs="Tahoma"/>
          <w:szCs w:val="22"/>
        </w:rPr>
        <w:t xml:space="preserve"> la respuesta entregada por el </w:t>
      </w:r>
      <w:r w:rsidRPr="0008760E">
        <w:rPr>
          <w:rFonts w:cs="Tahoma"/>
          <w:b/>
          <w:bCs/>
          <w:szCs w:val="22"/>
        </w:rPr>
        <w:t>SUJETO OBLIGADO</w:t>
      </w:r>
      <w:r w:rsidRPr="0008760E">
        <w:rPr>
          <w:rFonts w:cs="Tahoma"/>
          <w:szCs w:val="22"/>
        </w:rPr>
        <w:t xml:space="preserve"> en la solicitud de información </w:t>
      </w:r>
      <w:r w:rsidR="00C2224F" w:rsidRPr="0008760E">
        <w:rPr>
          <w:rFonts w:cs="Tahoma"/>
          <w:b/>
          <w:bCs/>
          <w:szCs w:val="22"/>
        </w:rPr>
        <w:t>00159/SUTEYM/IP/2024</w:t>
      </w:r>
      <w:r w:rsidRPr="0008760E">
        <w:rPr>
          <w:rFonts w:cs="Tahoma"/>
          <w:bCs/>
          <w:szCs w:val="22"/>
        </w:rPr>
        <w:t xml:space="preserve">, </w:t>
      </w:r>
      <w:r w:rsidRPr="0008760E">
        <w:rPr>
          <w:rFonts w:eastAsia="Calibri" w:cs="Tahoma"/>
          <w:bCs/>
          <w:szCs w:val="22"/>
          <w:lang w:eastAsia="en-US"/>
        </w:rPr>
        <w:t xml:space="preserve">por resultar </w:t>
      </w:r>
      <w:r w:rsidRPr="0008760E">
        <w:rPr>
          <w:rFonts w:eastAsia="Calibri" w:cs="Tahoma"/>
          <w:b/>
          <w:bCs/>
          <w:szCs w:val="22"/>
          <w:lang w:eastAsia="en-US"/>
        </w:rPr>
        <w:t>FUNDADAS</w:t>
      </w:r>
      <w:r w:rsidRPr="0008760E">
        <w:rPr>
          <w:rFonts w:eastAsia="Calibri" w:cs="Tahoma"/>
          <w:bCs/>
          <w:szCs w:val="22"/>
          <w:lang w:eastAsia="en-US"/>
        </w:rPr>
        <w:t xml:space="preserve"> las razones o motivos de inconformidad hechos valer por </w:t>
      </w:r>
      <w:r w:rsidRPr="0008760E">
        <w:rPr>
          <w:rFonts w:eastAsia="Calibri" w:cs="Tahoma"/>
          <w:b/>
          <w:szCs w:val="22"/>
          <w:lang w:eastAsia="en-US"/>
        </w:rPr>
        <w:t>LA PARTE RECURRENTE</w:t>
      </w:r>
      <w:r w:rsidRPr="0008760E">
        <w:rPr>
          <w:rFonts w:eastAsia="Calibri" w:cs="Tahoma"/>
          <w:bCs/>
          <w:szCs w:val="22"/>
          <w:lang w:eastAsia="en-US"/>
        </w:rPr>
        <w:t xml:space="preserve"> en el Recurso de Revisión </w:t>
      </w:r>
      <w:r w:rsidRPr="0008760E">
        <w:rPr>
          <w:rFonts w:eastAsia="Palatino Linotype"/>
          <w:b/>
          <w:szCs w:val="22"/>
        </w:rPr>
        <w:t>0</w:t>
      </w:r>
      <w:r w:rsidR="00C2224F" w:rsidRPr="0008760E">
        <w:rPr>
          <w:rFonts w:eastAsia="Palatino Linotype"/>
          <w:b/>
          <w:szCs w:val="22"/>
        </w:rPr>
        <w:t>5837</w:t>
      </w:r>
      <w:r w:rsidRPr="0008760E">
        <w:rPr>
          <w:rFonts w:eastAsia="Palatino Linotype"/>
          <w:b/>
          <w:szCs w:val="22"/>
        </w:rPr>
        <w:t>/INFOEM/IP/RR/2024</w:t>
      </w:r>
      <w:r w:rsidRPr="0008760E">
        <w:rPr>
          <w:rFonts w:eastAsiaTheme="minorHAnsi" w:cstheme="minorBidi"/>
          <w:szCs w:val="22"/>
          <w:lang w:eastAsia="en-US"/>
        </w:rPr>
        <w:t>,</w:t>
      </w:r>
      <w:r w:rsidRPr="0008760E">
        <w:rPr>
          <w:rFonts w:cs="Tahoma"/>
          <w:b/>
          <w:szCs w:val="22"/>
        </w:rPr>
        <w:t xml:space="preserve"> </w:t>
      </w:r>
      <w:r w:rsidRPr="0008760E">
        <w:rPr>
          <w:rFonts w:eastAsia="Calibri" w:cs="Tahoma"/>
          <w:bCs/>
          <w:szCs w:val="22"/>
          <w:lang w:eastAsia="en-US"/>
        </w:rPr>
        <w:t xml:space="preserve">en términos del considerando </w:t>
      </w:r>
      <w:r w:rsidRPr="0008760E">
        <w:rPr>
          <w:rFonts w:eastAsia="Calibri" w:cs="Tahoma"/>
          <w:b/>
          <w:szCs w:val="22"/>
          <w:lang w:eastAsia="en-US"/>
        </w:rPr>
        <w:t>SEGUNDO</w:t>
      </w:r>
      <w:r w:rsidRPr="0008760E">
        <w:rPr>
          <w:rFonts w:eastAsia="Calibri" w:cs="Tahoma"/>
          <w:bCs/>
          <w:szCs w:val="22"/>
          <w:lang w:eastAsia="en-US"/>
        </w:rPr>
        <w:t xml:space="preserve"> de la presente Resolución.</w:t>
      </w:r>
    </w:p>
    <w:p w14:paraId="7426E517" w14:textId="77777777" w:rsidR="00C351EC" w:rsidRPr="0008760E" w:rsidRDefault="00C351EC" w:rsidP="0008760E">
      <w:pPr>
        <w:rPr>
          <w:rFonts w:eastAsia="Palatino Linotype"/>
          <w:b/>
          <w:szCs w:val="22"/>
        </w:rPr>
      </w:pPr>
    </w:p>
    <w:p w14:paraId="132FA536" w14:textId="5868CB5B" w:rsidR="00C351EC" w:rsidRPr="0008760E" w:rsidRDefault="00C351EC" w:rsidP="0008760E">
      <w:pPr>
        <w:ind w:right="-93"/>
        <w:rPr>
          <w:rFonts w:eastAsia="Calibri" w:cs="Tahoma"/>
          <w:bCs/>
          <w:szCs w:val="22"/>
          <w:lang w:eastAsia="en-US"/>
        </w:rPr>
      </w:pPr>
      <w:r w:rsidRPr="0008760E">
        <w:rPr>
          <w:rFonts w:eastAsia="Calibri" w:cs="Tahoma"/>
          <w:b/>
          <w:bCs/>
          <w:szCs w:val="22"/>
          <w:lang w:eastAsia="en-US"/>
        </w:rPr>
        <w:t>SEGUNDO.</w:t>
      </w:r>
      <w:r w:rsidRPr="0008760E">
        <w:rPr>
          <w:rFonts w:eastAsia="Calibri" w:cs="Tahoma"/>
          <w:szCs w:val="22"/>
          <w:lang w:eastAsia="es-MX"/>
        </w:rPr>
        <w:t xml:space="preserve"> Se </w:t>
      </w:r>
      <w:r w:rsidRPr="0008760E">
        <w:rPr>
          <w:rFonts w:eastAsia="Calibri" w:cs="Tahoma"/>
          <w:b/>
          <w:szCs w:val="22"/>
          <w:lang w:eastAsia="es-MX"/>
        </w:rPr>
        <w:t xml:space="preserve">ORDENA </w:t>
      </w:r>
      <w:r w:rsidRPr="0008760E">
        <w:rPr>
          <w:rFonts w:eastAsia="Calibri" w:cs="Tahoma"/>
          <w:szCs w:val="22"/>
          <w:lang w:eastAsia="es-MX"/>
        </w:rPr>
        <w:t xml:space="preserve">al </w:t>
      </w:r>
      <w:r w:rsidRPr="0008760E">
        <w:rPr>
          <w:rFonts w:eastAsia="Calibri" w:cs="Tahoma"/>
          <w:b/>
          <w:bCs/>
          <w:szCs w:val="22"/>
          <w:lang w:eastAsia="es-MX"/>
        </w:rPr>
        <w:t>SUJETO OBLIGADO</w:t>
      </w:r>
      <w:r w:rsidRPr="0008760E">
        <w:rPr>
          <w:rFonts w:eastAsia="Calibri" w:cs="Tahoma"/>
          <w:szCs w:val="22"/>
          <w:lang w:eastAsia="es-MX"/>
        </w:rPr>
        <w:t xml:space="preserve">, </w:t>
      </w:r>
      <w:r w:rsidRPr="0008760E">
        <w:rPr>
          <w:rFonts w:eastAsia="Calibri" w:cs="Tahoma"/>
          <w:bCs/>
          <w:szCs w:val="22"/>
          <w:lang w:eastAsia="en-US"/>
        </w:rPr>
        <w:t xml:space="preserve">a efecto de que entregue </w:t>
      </w:r>
      <w:r w:rsidR="006E1525" w:rsidRPr="0008760E">
        <w:rPr>
          <w:rFonts w:eastAsia="Calibri" w:cs="Tahoma"/>
          <w:bCs/>
          <w:szCs w:val="22"/>
          <w:lang w:eastAsia="en-US"/>
        </w:rPr>
        <w:t>en</w:t>
      </w:r>
      <w:r w:rsidR="006E1525" w:rsidRPr="0008760E">
        <w:rPr>
          <w:rFonts w:eastAsia="Calibri" w:cs="Tahoma"/>
          <w:b/>
          <w:bCs/>
          <w:szCs w:val="22"/>
          <w:lang w:eastAsia="en-US"/>
        </w:rPr>
        <w:t xml:space="preserve"> </w:t>
      </w:r>
      <w:r w:rsidR="00C2224F" w:rsidRPr="0008760E">
        <w:rPr>
          <w:rFonts w:eastAsia="Calibri" w:cs="Tahoma"/>
          <w:b/>
          <w:bCs/>
          <w:szCs w:val="22"/>
          <w:lang w:eastAsia="en-US"/>
        </w:rPr>
        <w:t xml:space="preserve">copias certificadas (con costo) </w:t>
      </w:r>
      <w:r w:rsidRPr="0008760E">
        <w:rPr>
          <w:rFonts w:eastAsia="Calibri" w:cs="Tahoma"/>
          <w:bCs/>
          <w:szCs w:val="22"/>
          <w:lang w:eastAsia="en-US"/>
        </w:rPr>
        <w:t>lo siguiente:</w:t>
      </w:r>
    </w:p>
    <w:p w14:paraId="2B18E46E" w14:textId="77777777" w:rsidR="00262116" w:rsidRPr="0008760E" w:rsidRDefault="00262116" w:rsidP="0008760E">
      <w:pPr>
        <w:ind w:right="-93"/>
        <w:rPr>
          <w:rFonts w:eastAsia="Calibri" w:cs="Tahoma"/>
          <w:bCs/>
          <w:szCs w:val="22"/>
          <w:lang w:eastAsia="en-US"/>
        </w:rPr>
      </w:pPr>
    </w:p>
    <w:p w14:paraId="1AA0AE4B" w14:textId="07B7A029" w:rsidR="00C2224F" w:rsidRPr="0008760E" w:rsidRDefault="009246E8" w:rsidP="0008760E">
      <w:pPr>
        <w:pStyle w:val="Puesto"/>
      </w:pPr>
      <w:r w:rsidRPr="0008760E">
        <w:rPr>
          <w:rFonts w:eastAsia="Palatino Linotype"/>
          <w:lang w:val="es-ES_tradnl" w:eastAsia="es-MX"/>
        </w:rPr>
        <w:t>a</w:t>
      </w:r>
      <w:r w:rsidRPr="0008760E">
        <w:t xml:space="preserve">) </w:t>
      </w:r>
      <w:r w:rsidR="00C2224F" w:rsidRPr="0008760E">
        <w:t>Convenio de Prestaciones 2022</w:t>
      </w:r>
      <w:r w:rsidRPr="0008760E">
        <w:t xml:space="preserve"> celebrado entre el Organismo Público Descentralizado para la Prestación de Servicios de Agua Potable, Alcantarillado y Saneamiento (S.A.P.A.S.A.) de Atizapán de Zaragoza, Estado de México y el Sindicato Único de Trabajadores de los Poderes, Municipios e Instituciones Descentralizados del Estado de México S.U.T.E.Y M.,</w:t>
      </w:r>
      <w:r w:rsidR="00C2224F" w:rsidRPr="0008760E">
        <w:t xml:space="preserve"> registrado en el expediente 06/94, remitido en respuesta.</w:t>
      </w:r>
    </w:p>
    <w:p w14:paraId="214B4059" w14:textId="2B9A1CB6" w:rsidR="00C2224F" w:rsidRPr="0008760E" w:rsidRDefault="009246E8" w:rsidP="0008760E">
      <w:pPr>
        <w:pStyle w:val="Puesto"/>
      </w:pPr>
      <w:r w:rsidRPr="0008760E">
        <w:t>b) El a</w:t>
      </w:r>
      <w:r w:rsidR="00C2224F" w:rsidRPr="0008760E">
        <w:t>cuse con el cual se depositó el Convenio en el Tribunal Estatal de Conciliación y Arbitraje del Estado de México, referido en el punto anterior y remitido en respuesta.</w:t>
      </w:r>
    </w:p>
    <w:p w14:paraId="5EF06CA6" w14:textId="77777777" w:rsidR="00C2224F" w:rsidRPr="0008760E" w:rsidRDefault="00C2224F" w:rsidP="0008760E">
      <w:pPr>
        <w:pStyle w:val="Puesto"/>
      </w:pPr>
    </w:p>
    <w:p w14:paraId="5C6DE86C" w14:textId="7B219D63" w:rsidR="007B4C31" w:rsidRPr="0008760E" w:rsidRDefault="007B4C31" w:rsidP="0008760E">
      <w:pPr>
        <w:pStyle w:val="Puesto"/>
        <w:rPr>
          <w:i w:val="0"/>
        </w:rPr>
      </w:pPr>
      <w:r w:rsidRPr="0008760E">
        <w:rPr>
          <w:rFonts w:eastAsia="Arial Unicode MS" w:cs="Arial"/>
        </w:rPr>
        <w:t xml:space="preserve">Para la entrega de la información </w:t>
      </w:r>
      <w:r w:rsidRPr="0008760E">
        <w:rPr>
          <w:rFonts w:eastAsia="Arial Unicode MS" w:cs="Arial"/>
          <w:b/>
        </w:rPr>
        <w:t xml:space="preserve">EL SUJETO OBLIGADO </w:t>
      </w:r>
      <w:r w:rsidRPr="0008760E">
        <w:rPr>
          <w:rFonts w:eastAsia="Arial Unicode MS" w:cs="Arial"/>
        </w:rPr>
        <w:t xml:space="preserve">deberá notificar al </w:t>
      </w:r>
      <w:r w:rsidRPr="0008760E">
        <w:rPr>
          <w:rFonts w:eastAsia="Arial Unicode MS" w:cs="Arial"/>
          <w:b/>
        </w:rPr>
        <w:t>RECURRENTE</w:t>
      </w:r>
      <w:r w:rsidRPr="0008760E">
        <w:rPr>
          <w:rFonts w:eastAsia="Arial Unicode MS" w:cs="Arial"/>
        </w:rPr>
        <w:t xml:space="preserve"> a través de </w:t>
      </w:r>
      <w:r w:rsidRPr="0008760E">
        <w:rPr>
          <w:rFonts w:eastAsia="Arial Unicode MS" w:cs="Arial"/>
          <w:b/>
        </w:rPr>
        <w:t xml:space="preserve">SAIMEX, </w:t>
      </w:r>
      <w:r w:rsidRPr="0008760E">
        <w:rPr>
          <w:rFonts w:eastAsia="Arial Unicode MS" w:cs="Arial"/>
        </w:rPr>
        <w:t xml:space="preserve">el costo total por la certificación de la información que se ordena; así como, el procedimiento para la entrega de la misma en el que se establezca: procedimiento para realizar el pago </w:t>
      </w:r>
      <w:r w:rsidRPr="0008760E">
        <w:t>correspondiente</w:t>
      </w:r>
      <w:r w:rsidRPr="0008760E">
        <w:rPr>
          <w:rFonts w:eastAsia="Arial Unicode MS" w:cs="Arial"/>
        </w:rPr>
        <w:t>, lugar, día y horarios en los que podrá presentarse a recoger las copias certificadas y el nombre del o los servidores públicos que le atenderán.</w:t>
      </w:r>
    </w:p>
    <w:p w14:paraId="48A0D08F" w14:textId="77777777" w:rsidR="007B4C31" w:rsidRPr="0008760E" w:rsidRDefault="007B4C31" w:rsidP="0008760E">
      <w:pPr>
        <w:pStyle w:val="Puesto"/>
      </w:pPr>
    </w:p>
    <w:p w14:paraId="41C3B5D5" w14:textId="77777777" w:rsidR="00C351EC" w:rsidRPr="0008760E" w:rsidRDefault="00C351EC" w:rsidP="0008760E">
      <w:r w:rsidRPr="0008760E">
        <w:rPr>
          <w:b/>
          <w:bCs/>
        </w:rPr>
        <w:lastRenderedPageBreak/>
        <w:t>TERCERO.</w:t>
      </w:r>
      <w:r w:rsidRPr="0008760E">
        <w:t xml:space="preserve"> </w:t>
      </w:r>
      <w:r w:rsidRPr="0008760E">
        <w:rPr>
          <w:rFonts w:eastAsia="Palatino Linotype" w:cs="Palatino Linotype"/>
          <w:b/>
          <w:lang w:eastAsia="es-MX"/>
        </w:rPr>
        <w:t xml:space="preserve">Notifíquese </w:t>
      </w:r>
      <w:r w:rsidRPr="0008760E">
        <w:rPr>
          <w:szCs w:val="17"/>
          <w:lang w:eastAsia="es-ES_tradnl"/>
        </w:rPr>
        <w:t xml:space="preserve">vía </w:t>
      </w:r>
      <w:r w:rsidRPr="0008760E">
        <w:rPr>
          <w:rFonts w:cs="Arial"/>
        </w:rPr>
        <w:t>Sistema de Acceso a la Información Mexiquense (</w:t>
      </w:r>
      <w:r w:rsidRPr="0008760E">
        <w:rPr>
          <w:rFonts w:cs="Arial"/>
          <w:b/>
          <w:bCs/>
        </w:rPr>
        <w:t>SAIMEX)</w:t>
      </w:r>
      <w:r w:rsidRPr="0008760E">
        <w:rPr>
          <w:shd w:val="clear" w:color="auto" w:fill="FFFFFF"/>
        </w:rPr>
        <w:t xml:space="preserve"> la presente resolución al Titular de la Unidad de Transparencia del Sujeto Obligado</w:t>
      </w:r>
      <w:r w:rsidRPr="0008760E">
        <w:t xml:space="preserve">, para que conforme al artículo 186 último párrafo, 189 segundo párrafo y 194 de la Ley de Transparencia y Acceso a la Información Pública del Estado de México y Municipios, dé cumplimiento a lo ordenado dentro del plazo de </w:t>
      </w:r>
      <w:r w:rsidRPr="0008760E">
        <w:rPr>
          <w:b/>
          <w:bCs/>
        </w:rPr>
        <w:t>diez días hábiles</w:t>
      </w:r>
      <w:r w:rsidRPr="0008760E">
        <w:t xml:space="preserve">, e informe a este Instituto en un plazo de </w:t>
      </w:r>
      <w:r w:rsidRPr="0008760E">
        <w:rPr>
          <w:b/>
          <w:bCs/>
        </w:rPr>
        <w:t>tres días hábiles</w:t>
      </w:r>
      <w:r w:rsidRPr="0008760E">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C2391C3" w14:textId="77777777" w:rsidR="00C351EC" w:rsidRPr="0008760E" w:rsidRDefault="00C351EC" w:rsidP="0008760E"/>
    <w:p w14:paraId="4B9B9019" w14:textId="77777777" w:rsidR="00C351EC" w:rsidRPr="0008760E" w:rsidRDefault="00C351EC" w:rsidP="0008760E">
      <w:r w:rsidRPr="0008760E">
        <w:rPr>
          <w:b/>
          <w:bCs/>
        </w:rPr>
        <w:t>CUARTO.</w:t>
      </w:r>
      <w:r w:rsidRPr="0008760E">
        <w:t xml:space="preserve"> Notifíquese a </w:t>
      </w:r>
      <w:r w:rsidRPr="0008760E">
        <w:rPr>
          <w:b/>
          <w:bCs/>
        </w:rPr>
        <w:t>LA PARTE RECURRENTE</w:t>
      </w:r>
      <w:r w:rsidRPr="0008760E">
        <w:t xml:space="preserve"> la presente resolución vía Sistema de Acceso a la Información Mexiquense (</w:t>
      </w:r>
      <w:r w:rsidRPr="0008760E">
        <w:rPr>
          <w:b/>
        </w:rPr>
        <w:t>SAIMEX</w:t>
      </w:r>
      <w:r w:rsidRPr="0008760E">
        <w:t>).</w:t>
      </w:r>
    </w:p>
    <w:p w14:paraId="29F3FA02" w14:textId="77777777" w:rsidR="00C351EC" w:rsidRPr="0008760E" w:rsidRDefault="00C351EC" w:rsidP="0008760E"/>
    <w:p w14:paraId="0FCAD9EC" w14:textId="77777777" w:rsidR="00C351EC" w:rsidRPr="0008760E" w:rsidRDefault="00C351EC" w:rsidP="0008760E">
      <w:r w:rsidRPr="0008760E">
        <w:rPr>
          <w:b/>
          <w:bCs/>
        </w:rPr>
        <w:t>QUINTO</w:t>
      </w:r>
      <w:r w:rsidRPr="0008760E">
        <w:t xml:space="preserve">. Hágase del conocimiento a </w:t>
      </w:r>
      <w:r w:rsidRPr="0008760E">
        <w:rPr>
          <w:b/>
          <w:bCs/>
        </w:rPr>
        <w:t>LA PARTE RECURRENTE</w:t>
      </w:r>
      <w:r w:rsidRPr="0008760E">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7416F93D" w14:textId="77777777" w:rsidR="00C351EC" w:rsidRPr="0008760E" w:rsidRDefault="00C351EC" w:rsidP="0008760E"/>
    <w:p w14:paraId="30649671" w14:textId="77777777" w:rsidR="00C351EC" w:rsidRPr="0008760E" w:rsidRDefault="00C351EC" w:rsidP="0008760E">
      <w:r w:rsidRPr="0008760E">
        <w:rPr>
          <w:b/>
          <w:bCs/>
        </w:rPr>
        <w:t>SEXTO.</w:t>
      </w:r>
      <w:r w:rsidRPr="0008760E">
        <w:t xml:space="preserve"> De conformidad con el artículo 198 de la Ley de Transparencia y Acceso a la Información Pública del Estado de México y Municipios, el </w:t>
      </w:r>
      <w:r w:rsidRPr="0008760E">
        <w:rPr>
          <w:b/>
          <w:bCs/>
        </w:rPr>
        <w:t>SUJETO OBLIGADO</w:t>
      </w:r>
      <w:r w:rsidRPr="0008760E">
        <w:t xml:space="preserve"> podrá solicitar una ampliación de plazo de manera fundada y motivada, para el cumplimiento de la presente resolución.</w:t>
      </w:r>
    </w:p>
    <w:p w14:paraId="430D4192" w14:textId="77777777" w:rsidR="00B137E8" w:rsidRPr="0008760E" w:rsidRDefault="00B137E8" w:rsidP="0008760E">
      <w:pPr>
        <w:ind w:right="113"/>
        <w:rPr>
          <w:rFonts w:cs="Arial"/>
          <w:b/>
          <w:szCs w:val="22"/>
        </w:rPr>
      </w:pPr>
    </w:p>
    <w:p w14:paraId="1D183D16" w14:textId="36F37F02" w:rsidR="00F3465D" w:rsidRPr="0008760E" w:rsidRDefault="00F3465D" w:rsidP="0008760E">
      <w:r w:rsidRPr="0008760E">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w:t>
      </w:r>
      <w:r w:rsidR="00B82B5A">
        <w:t xml:space="preserve"> </w:t>
      </w:r>
      <w:r w:rsidR="00B82B5A">
        <w:rPr>
          <w:rFonts w:eastAsia="Palatino Linotype" w:cs="Palatino Linotype"/>
          <w:szCs w:val="22"/>
        </w:rPr>
        <w:t>EMITIENDO VOTO PARTICULAR CONCURRENTE</w:t>
      </w:r>
      <w:r w:rsidRPr="0008760E">
        <w:t xml:space="preserve">, SHARON CRISTINA MORALES MARTÍNEZ, LUIS GUSTAVO PARRA NORIEGA </w:t>
      </w:r>
      <w:r w:rsidR="00B82B5A">
        <w:rPr>
          <w:rFonts w:eastAsia="Palatino Linotype" w:cs="Palatino Linotype"/>
          <w:szCs w:val="22"/>
        </w:rPr>
        <w:t xml:space="preserve">EMITIENDO VOTO PARTICULAR CONCURRENTE </w:t>
      </w:r>
      <w:r w:rsidRPr="0008760E">
        <w:t>Y GUADALUPE</w:t>
      </w:r>
      <w:r w:rsidR="007D5290" w:rsidRPr="0008760E">
        <w:t xml:space="preserve"> RAMÍREZ PEÑA, EN LA TRIGÉSIMA OCTAVA</w:t>
      </w:r>
      <w:r w:rsidRPr="0008760E">
        <w:t xml:space="preserve"> SESIÓN ORDINARIA, CELEBRADA EL </w:t>
      </w:r>
      <w:r w:rsidR="007D5290" w:rsidRPr="0008760E">
        <w:t>SEIS DE NOVIEMBRE</w:t>
      </w:r>
      <w:r w:rsidRPr="0008760E">
        <w:t xml:space="preserve"> DE DOS MIL VEINTICUATRO ANTE EL SECRETARIO TÉCNICO DEL PLENO, ALEXIS TAPIA RAMÍREZ.</w:t>
      </w:r>
    </w:p>
    <w:p w14:paraId="5EFEA0CD" w14:textId="484F43CA" w:rsidR="00664420" w:rsidRPr="0008760E" w:rsidRDefault="00CE1DFB" w:rsidP="0008760E">
      <w:pPr>
        <w:ind w:right="-93"/>
        <w:rPr>
          <w:rFonts w:eastAsia="Calibri" w:cs="Tahoma"/>
          <w:szCs w:val="22"/>
          <w:lang w:val="es-ES"/>
        </w:rPr>
      </w:pPr>
      <w:r w:rsidRPr="0008760E">
        <w:rPr>
          <w:rFonts w:eastAsia="Palatino Linotype" w:cs="Palatino Linotype"/>
          <w:sz w:val="20"/>
        </w:rPr>
        <w:t>SCMM/AGZ/DEMF/RPG</w:t>
      </w:r>
    </w:p>
    <w:p w14:paraId="696BC976" w14:textId="77777777" w:rsidR="00664420" w:rsidRPr="0008760E" w:rsidRDefault="00664420" w:rsidP="0008760E">
      <w:pPr>
        <w:ind w:right="-93"/>
        <w:rPr>
          <w:rFonts w:eastAsia="Calibri" w:cs="Tahoma"/>
          <w:bCs/>
          <w:szCs w:val="22"/>
          <w:lang w:val="es-ES" w:eastAsia="en-US"/>
        </w:rPr>
      </w:pPr>
    </w:p>
    <w:p w14:paraId="671CB0C5" w14:textId="77777777" w:rsidR="00664420" w:rsidRPr="0008760E" w:rsidRDefault="00664420" w:rsidP="0008760E">
      <w:pPr>
        <w:ind w:right="-93"/>
        <w:rPr>
          <w:rFonts w:eastAsia="Calibri" w:cs="Tahoma"/>
          <w:bCs/>
          <w:szCs w:val="22"/>
          <w:lang w:val="es-ES_tradnl" w:eastAsia="en-US"/>
        </w:rPr>
      </w:pPr>
    </w:p>
    <w:p w14:paraId="52B66DE7" w14:textId="77777777" w:rsidR="00664420" w:rsidRPr="0008760E" w:rsidRDefault="00664420" w:rsidP="0008760E">
      <w:pPr>
        <w:ind w:right="-93"/>
        <w:rPr>
          <w:rFonts w:eastAsia="Calibri" w:cs="Tahoma"/>
          <w:bCs/>
          <w:szCs w:val="22"/>
          <w:lang w:val="es-ES_tradnl" w:eastAsia="en-US"/>
        </w:rPr>
      </w:pPr>
    </w:p>
    <w:p w14:paraId="3BA305D1" w14:textId="77777777" w:rsidR="00664420" w:rsidRPr="0008760E" w:rsidRDefault="00664420" w:rsidP="0008760E">
      <w:pPr>
        <w:ind w:right="-93"/>
        <w:rPr>
          <w:rFonts w:eastAsia="Calibri" w:cs="Tahoma"/>
          <w:bCs/>
          <w:szCs w:val="22"/>
          <w:lang w:val="es-ES_tradnl" w:eastAsia="en-US"/>
        </w:rPr>
      </w:pPr>
    </w:p>
    <w:p w14:paraId="78230707" w14:textId="77777777" w:rsidR="00664420" w:rsidRPr="0008760E" w:rsidRDefault="00664420" w:rsidP="0008760E">
      <w:pPr>
        <w:ind w:right="-93"/>
        <w:rPr>
          <w:rFonts w:eastAsia="Calibri" w:cs="Tahoma"/>
          <w:bCs/>
          <w:szCs w:val="22"/>
          <w:lang w:val="es-ES_tradnl" w:eastAsia="en-US"/>
        </w:rPr>
      </w:pPr>
    </w:p>
    <w:p w14:paraId="72D18B28" w14:textId="77777777" w:rsidR="00664420" w:rsidRPr="0008760E" w:rsidRDefault="00664420" w:rsidP="0008760E">
      <w:pPr>
        <w:ind w:right="-93"/>
        <w:rPr>
          <w:rFonts w:eastAsia="Calibri" w:cs="Tahoma"/>
          <w:bCs/>
          <w:szCs w:val="22"/>
          <w:lang w:val="es-ES_tradnl" w:eastAsia="en-US"/>
        </w:rPr>
      </w:pPr>
    </w:p>
    <w:p w14:paraId="6BD461DC" w14:textId="77777777" w:rsidR="00664420" w:rsidRPr="0008760E" w:rsidRDefault="00664420" w:rsidP="0008760E">
      <w:pPr>
        <w:tabs>
          <w:tab w:val="center" w:pos="4568"/>
        </w:tabs>
        <w:ind w:right="-93"/>
        <w:rPr>
          <w:rFonts w:eastAsia="Calibri" w:cs="Tahoma"/>
          <w:bCs/>
          <w:szCs w:val="22"/>
          <w:lang w:eastAsia="en-US"/>
        </w:rPr>
      </w:pPr>
    </w:p>
    <w:p w14:paraId="4DBB1727" w14:textId="77777777" w:rsidR="00664420" w:rsidRPr="0008760E" w:rsidRDefault="00664420" w:rsidP="0008760E">
      <w:pPr>
        <w:tabs>
          <w:tab w:val="center" w:pos="4568"/>
        </w:tabs>
        <w:ind w:right="-93"/>
        <w:rPr>
          <w:rFonts w:eastAsia="Calibri" w:cs="Tahoma"/>
          <w:bCs/>
          <w:szCs w:val="22"/>
          <w:lang w:eastAsia="en-US"/>
        </w:rPr>
      </w:pPr>
    </w:p>
    <w:p w14:paraId="1D74121B" w14:textId="77777777" w:rsidR="00664420" w:rsidRPr="0008760E" w:rsidRDefault="00664420" w:rsidP="0008760E">
      <w:pPr>
        <w:tabs>
          <w:tab w:val="center" w:pos="4568"/>
        </w:tabs>
        <w:ind w:right="-93"/>
        <w:rPr>
          <w:rFonts w:eastAsia="Calibri" w:cs="Tahoma"/>
          <w:bCs/>
          <w:szCs w:val="22"/>
          <w:lang w:eastAsia="en-US"/>
        </w:rPr>
      </w:pPr>
    </w:p>
    <w:p w14:paraId="08E74E9C" w14:textId="77777777" w:rsidR="00664420" w:rsidRPr="0008760E" w:rsidRDefault="00664420" w:rsidP="0008760E">
      <w:pPr>
        <w:tabs>
          <w:tab w:val="center" w:pos="4568"/>
        </w:tabs>
        <w:ind w:right="-93"/>
        <w:rPr>
          <w:rFonts w:eastAsia="Calibri" w:cs="Tahoma"/>
          <w:bCs/>
          <w:szCs w:val="22"/>
          <w:lang w:eastAsia="en-US"/>
        </w:rPr>
      </w:pPr>
    </w:p>
    <w:p w14:paraId="2CBF5E03" w14:textId="77777777" w:rsidR="00664420" w:rsidRPr="0008760E" w:rsidRDefault="00664420" w:rsidP="0008760E">
      <w:pPr>
        <w:tabs>
          <w:tab w:val="center" w:pos="4568"/>
        </w:tabs>
        <w:ind w:right="-93"/>
        <w:rPr>
          <w:rFonts w:eastAsia="Calibri" w:cs="Tahoma"/>
          <w:bCs/>
          <w:szCs w:val="22"/>
          <w:lang w:eastAsia="en-US"/>
        </w:rPr>
      </w:pPr>
    </w:p>
    <w:p w14:paraId="44865A6D" w14:textId="77777777" w:rsidR="00664420" w:rsidRPr="0008760E" w:rsidRDefault="00664420" w:rsidP="0008760E">
      <w:pPr>
        <w:tabs>
          <w:tab w:val="center" w:pos="4568"/>
        </w:tabs>
        <w:ind w:right="-93"/>
        <w:rPr>
          <w:rFonts w:eastAsia="Calibri" w:cs="Tahoma"/>
          <w:bCs/>
          <w:szCs w:val="22"/>
          <w:lang w:eastAsia="en-US"/>
        </w:rPr>
      </w:pPr>
    </w:p>
    <w:p w14:paraId="7147F06B" w14:textId="77777777" w:rsidR="00664420" w:rsidRPr="0008760E" w:rsidRDefault="00664420" w:rsidP="0008760E">
      <w:pPr>
        <w:tabs>
          <w:tab w:val="center" w:pos="4568"/>
        </w:tabs>
        <w:ind w:right="-93"/>
        <w:rPr>
          <w:rFonts w:eastAsia="Calibri" w:cs="Tahoma"/>
          <w:bCs/>
          <w:szCs w:val="22"/>
          <w:lang w:eastAsia="en-US"/>
        </w:rPr>
      </w:pPr>
    </w:p>
    <w:p w14:paraId="6FDF3D7E" w14:textId="77777777" w:rsidR="00664420" w:rsidRPr="0008760E" w:rsidRDefault="00664420" w:rsidP="0008760E">
      <w:pPr>
        <w:tabs>
          <w:tab w:val="center" w:pos="4568"/>
        </w:tabs>
        <w:ind w:right="-93"/>
        <w:rPr>
          <w:rFonts w:eastAsia="Calibri" w:cs="Tahoma"/>
          <w:bCs/>
          <w:szCs w:val="22"/>
          <w:lang w:eastAsia="en-US"/>
        </w:rPr>
      </w:pPr>
    </w:p>
    <w:p w14:paraId="6246F818" w14:textId="77777777" w:rsidR="00664420" w:rsidRPr="0008760E" w:rsidRDefault="00664420" w:rsidP="0008760E">
      <w:pPr>
        <w:tabs>
          <w:tab w:val="center" w:pos="4568"/>
        </w:tabs>
        <w:ind w:right="-93"/>
        <w:rPr>
          <w:rFonts w:eastAsia="Calibri" w:cs="Tahoma"/>
          <w:bCs/>
          <w:szCs w:val="22"/>
          <w:lang w:eastAsia="en-US"/>
        </w:rPr>
      </w:pPr>
    </w:p>
    <w:p w14:paraId="57A88B28" w14:textId="77777777" w:rsidR="00664420" w:rsidRPr="0008760E" w:rsidRDefault="00664420" w:rsidP="0008760E">
      <w:pPr>
        <w:tabs>
          <w:tab w:val="center" w:pos="4568"/>
        </w:tabs>
        <w:ind w:right="-93"/>
        <w:rPr>
          <w:rFonts w:eastAsia="Calibri" w:cs="Tahoma"/>
          <w:bCs/>
          <w:szCs w:val="22"/>
          <w:lang w:eastAsia="en-US"/>
        </w:rPr>
      </w:pPr>
    </w:p>
    <w:p w14:paraId="77EF6095" w14:textId="77777777" w:rsidR="00664420" w:rsidRPr="0008760E" w:rsidRDefault="00664420" w:rsidP="0008760E">
      <w:pPr>
        <w:tabs>
          <w:tab w:val="center" w:pos="4568"/>
        </w:tabs>
        <w:ind w:right="-93"/>
        <w:rPr>
          <w:rFonts w:eastAsia="Calibri" w:cs="Tahoma"/>
          <w:bCs/>
          <w:szCs w:val="22"/>
          <w:lang w:eastAsia="en-US"/>
        </w:rPr>
      </w:pPr>
    </w:p>
    <w:p w14:paraId="35593947" w14:textId="77777777" w:rsidR="00664420" w:rsidRPr="0008760E" w:rsidRDefault="00664420" w:rsidP="0008760E">
      <w:pPr>
        <w:tabs>
          <w:tab w:val="center" w:pos="4568"/>
        </w:tabs>
        <w:ind w:right="-93"/>
        <w:rPr>
          <w:rFonts w:eastAsia="Calibri" w:cs="Tahoma"/>
          <w:bCs/>
          <w:szCs w:val="22"/>
          <w:lang w:eastAsia="en-US"/>
        </w:rPr>
      </w:pPr>
    </w:p>
    <w:p w14:paraId="3AF72A17" w14:textId="77777777" w:rsidR="00664420" w:rsidRPr="0008760E" w:rsidRDefault="00664420" w:rsidP="0008760E">
      <w:pPr>
        <w:tabs>
          <w:tab w:val="center" w:pos="4568"/>
        </w:tabs>
        <w:ind w:right="-93"/>
        <w:rPr>
          <w:rFonts w:eastAsia="Calibri" w:cs="Tahoma"/>
          <w:bCs/>
          <w:szCs w:val="22"/>
          <w:lang w:eastAsia="en-US"/>
        </w:rPr>
      </w:pPr>
    </w:p>
    <w:p w14:paraId="37169144" w14:textId="77777777" w:rsidR="00664420" w:rsidRPr="0008760E" w:rsidRDefault="00664420" w:rsidP="0008760E">
      <w:pPr>
        <w:tabs>
          <w:tab w:val="center" w:pos="4568"/>
        </w:tabs>
        <w:ind w:right="-93"/>
        <w:rPr>
          <w:rFonts w:eastAsia="Calibri" w:cs="Tahoma"/>
          <w:bCs/>
          <w:szCs w:val="22"/>
          <w:lang w:eastAsia="en-US"/>
        </w:rPr>
      </w:pPr>
    </w:p>
    <w:p w14:paraId="77CFC088" w14:textId="77777777" w:rsidR="00664420" w:rsidRPr="0008760E" w:rsidRDefault="00664420" w:rsidP="0008760E">
      <w:pPr>
        <w:tabs>
          <w:tab w:val="center" w:pos="4568"/>
        </w:tabs>
        <w:ind w:right="-93"/>
        <w:rPr>
          <w:rFonts w:eastAsia="Calibri" w:cs="Tahoma"/>
          <w:bCs/>
          <w:szCs w:val="22"/>
          <w:lang w:eastAsia="en-US"/>
        </w:rPr>
      </w:pPr>
    </w:p>
    <w:p w14:paraId="781A11A5" w14:textId="77777777" w:rsidR="00664420" w:rsidRPr="0008760E" w:rsidRDefault="00664420" w:rsidP="0008760E">
      <w:pPr>
        <w:tabs>
          <w:tab w:val="center" w:pos="4568"/>
        </w:tabs>
        <w:ind w:right="-93"/>
        <w:rPr>
          <w:rFonts w:eastAsia="Calibri" w:cs="Tahoma"/>
          <w:bCs/>
          <w:szCs w:val="22"/>
          <w:lang w:eastAsia="en-US"/>
        </w:rPr>
      </w:pPr>
    </w:p>
    <w:p w14:paraId="5B4ADFF3" w14:textId="77777777" w:rsidR="00A131AC" w:rsidRPr="0008760E" w:rsidRDefault="00A131AC" w:rsidP="0008760E"/>
    <w:sectPr w:rsidR="00A131AC" w:rsidRPr="0008760E" w:rsidSect="00EE2AF2">
      <w:footerReference w:type="default" r:id="rId18"/>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7114A3" w14:textId="77777777" w:rsidR="00E97101" w:rsidRDefault="00E97101" w:rsidP="00664420">
      <w:pPr>
        <w:spacing w:line="240" w:lineRule="auto"/>
      </w:pPr>
      <w:r>
        <w:separator/>
      </w:r>
    </w:p>
  </w:endnote>
  <w:endnote w:type="continuationSeparator" w:id="0">
    <w:p w14:paraId="6EB2F29B" w14:textId="77777777" w:rsidR="00E97101" w:rsidRDefault="00E97101"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AF152D" w:rsidRDefault="00AF152D">
    <w:pPr>
      <w:tabs>
        <w:tab w:val="center" w:pos="4550"/>
        <w:tab w:val="left" w:pos="5818"/>
      </w:tabs>
      <w:ind w:right="260"/>
      <w:jc w:val="right"/>
      <w:rPr>
        <w:color w:val="071320" w:themeColor="text2" w:themeShade="80"/>
        <w:sz w:val="24"/>
        <w:szCs w:val="24"/>
      </w:rPr>
    </w:pPr>
  </w:p>
  <w:p w14:paraId="1BCA7F23" w14:textId="77777777" w:rsidR="00AF152D" w:rsidRDefault="00AF152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AF152D" w:rsidRDefault="00AF152D">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D14F18" w:rsidRPr="00D14F18">
      <w:rPr>
        <w:noProof/>
        <w:color w:val="0A1D30" w:themeColor="text2" w:themeShade="BF"/>
        <w:sz w:val="24"/>
        <w:szCs w:val="24"/>
        <w:lang w:val="es-ES"/>
      </w:rPr>
      <w:t>20</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D14F18" w:rsidRPr="00D14F18">
      <w:rPr>
        <w:noProof/>
        <w:color w:val="0A1D30" w:themeColor="text2" w:themeShade="BF"/>
        <w:sz w:val="24"/>
        <w:szCs w:val="24"/>
        <w:lang w:val="es-ES"/>
      </w:rPr>
      <w:t>33</w:t>
    </w:r>
    <w:r>
      <w:rPr>
        <w:color w:val="0A1D30" w:themeColor="text2" w:themeShade="BF"/>
        <w:sz w:val="24"/>
        <w:szCs w:val="24"/>
      </w:rPr>
      <w:fldChar w:fldCharType="end"/>
    </w:r>
  </w:p>
  <w:p w14:paraId="310E15C0" w14:textId="77777777" w:rsidR="00AF152D" w:rsidRDefault="00AF152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813DB9" w14:textId="77777777" w:rsidR="00E97101" w:rsidRDefault="00E97101" w:rsidP="00664420">
      <w:pPr>
        <w:spacing w:line="240" w:lineRule="auto"/>
      </w:pPr>
      <w:r>
        <w:separator/>
      </w:r>
    </w:p>
  </w:footnote>
  <w:footnote w:type="continuationSeparator" w:id="0">
    <w:p w14:paraId="0DD47F6F" w14:textId="77777777" w:rsidR="00E97101" w:rsidRDefault="00E97101" w:rsidP="00664420">
      <w:pPr>
        <w:spacing w:line="240" w:lineRule="auto"/>
      </w:pPr>
      <w:r>
        <w:continuationSeparator/>
      </w:r>
    </w:p>
  </w:footnote>
  <w:footnote w:id="1">
    <w:p w14:paraId="5D8357F0" w14:textId="77777777" w:rsidR="007B64D4" w:rsidRPr="00F71A54" w:rsidRDefault="007B64D4" w:rsidP="007B64D4">
      <w:pPr>
        <w:pStyle w:val="Textonotapie"/>
        <w:rPr>
          <w:lang w:val="es-419"/>
        </w:rPr>
      </w:pPr>
      <w:r>
        <w:rPr>
          <w:rStyle w:val="Refdenotaalpie"/>
          <w:rFonts w:eastAsiaTheme="majorEastAsia"/>
        </w:rPr>
        <w:footnoteRef/>
      </w:r>
      <w:r>
        <w:t xml:space="preserve"> </w:t>
      </w:r>
      <w:hyperlink r:id="rId1" w:history="1">
        <w:r w:rsidRPr="00687FDE">
          <w:rPr>
            <w:rStyle w:val="Hipervnculo"/>
            <w:rFonts w:eastAsiaTheme="majorEastAsia"/>
          </w:rPr>
          <w:t>https://dle.rae.es/negligencia</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AF152D" w:rsidRPr="00330DA7" w14:paraId="070A4B18" w14:textId="77777777" w:rsidTr="003F35FD">
      <w:trPr>
        <w:trHeight w:val="144"/>
        <w:jc w:val="right"/>
      </w:trPr>
      <w:tc>
        <w:tcPr>
          <w:tcW w:w="2727" w:type="dxa"/>
        </w:tcPr>
        <w:p w14:paraId="62B7493A" w14:textId="77777777" w:rsidR="00AF152D" w:rsidRPr="00330DA7" w:rsidRDefault="00AF152D"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27603D15" w:rsidR="00AF152D" w:rsidRPr="00A90C72" w:rsidRDefault="00AF152D" w:rsidP="00273AFD">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5837</w:t>
          </w:r>
          <w:r w:rsidRPr="004D0573">
            <w:rPr>
              <w:rFonts w:eastAsia="Calibri" w:cs="Tahoma"/>
              <w:szCs w:val="22"/>
              <w:lang w:eastAsia="en-US"/>
            </w:rPr>
            <w:t>/INFOEM/IP/RR/2024</w:t>
          </w:r>
        </w:p>
      </w:tc>
    </w:tr>
    <w:tr w:rsidR="00AF152D" w:rsidRPr="00330DA7" w14:paraId="4521E058" w14:textId="77777777" w:rsidTr="003F35FD">
      <w:trPr>
        <w:trHeight w:val="283"/>
        <w:jc w:val="right"/>
      </w:trPr>
      <w:tc>
        <w:tcPr>
          <w:tcW w:w="2727" w:type="dxa"/>
        </w:tcPr>
        <w:p w14:paraId="0B68C086" w14:textId="77777777" w:rsidR="00AF152D" w:rsidRPr="00330DA7" w:rsidRDefault="00AF152D"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7491B6EB" w:rsidR="00AF152D" w:rsidRPr="009233A1" w:rsidRDefault="00CC4F64" w:rsidP="009233A1">
          <w:pPr>
            <w:tabs>
              <w:tab w:val="right" w:pos="8838"/>
            </w:tabs>
            <w:spacing w:line="240" w:lineRule="auto"/>
            <w:ind w:left="-74" w:right="-105"/>
            <w:rPr>
              <w:rFonts w:eastAsia="Calibri" w:cs="Tahoma"/>
              <w:szCs w:val="22"/>
              <w:lang w:val="es-MX" w:eastAsia="en-US"/>
            </w:rPr>
          </w:pPr>
          <w:r w:rsidRPr="00273AFD">
            <w:rPr>
              <w:rFonts w:eastAsia="Calibri" w:cs="Tahoma"/>
              <w:szCs w:val="22"/>
              <w:lang w:eastAsia="en-US"/>
            </w:rPr>
            <w:t xml:space="preserve">Sindicato Único de Trabajadores de los Poderes, Municipios </w:t>
          </w:r>
          <w:r>
            <w:rPr>
              <w:rFonts w:eastAsia="Calibri" w:cs="Tahoma"/>
              <w:szCs w:val="22"/>
              <w:lang w:eastAsia="en-US"/>
            </w:rPr>
            <w:t>e</w:t>
          </w:r>
          <w:r w:rsidRPr="00273AFD">
            <w:rPr>
              <w:rFonts w:eastAsia="Calibri" w:cs="Tahoma"/>
              <w:szCs w:val="22"/>
              <w:lang w:eastAsia="en-US"/>
            </w:rPr>
            <w:t xml:space="preserve"> Instituciones Descentralizadas del Estado de México</w:t>
          </w:r>
        </w:p>
      </w:tc>
    </w:tr>
    <w:tr w:rsidR="00AF152D" w:rsidRPr="00330DA7" w14:paraId="6331D9B6" w14:textId="77777777" w:rsidTr="003F35FD">
      <w:trPr>
        <w:trHeight w:val="283"/>
        <w:jc w:val="right"/>
      </w:trPr>
      <w:tc>
        <w:tcPr>
          <w:tcW w:w="2727" w:type="dxa"/>
        </w:tcPr>
        <w:p w14:paraId="3FA86BAE" w14:textId="6568823B" w:rsidR="00AF152D" w:rsidRPr="00330DA7" w:rsidRDefault="00AF152D"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AF152D" w:rsidRPr="00EA66FC" w:rsidRDefault="00AF152D"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AF152D" w:rsidRPr="00443C6B" w:rsidRDefault="00AF152D"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AF152D" w:rsidRPr="00330DA7" w14:paraId="29CFF901" w14:textId="77777777" w:rsidTr="004D0573">
      <w:trPr>
        <w:trHeight w:val="1435"/>
      </w:trPr>
      <w:tc>
        <w:tcPr>
          <w:tcW w:w="283" w:type="dxa"/>
          <w:shd w:val="clear" w:color="auto" w:fill="auto"/>
        </w:tcPr>
        <w:p w14:paraId="046B9F8F" w14:textId="77777777" w:rsidR="00AF152D" w:rsidRPr="00330DA7" w:rsidRDefault="00AF152D" w:rsidP="004D05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AF152D" w:rsidRPr="00330DA7" w14:paraId="04F272D2" w14:textId="77777777" w:rsidTr="004D0573">
            <w:trPr>
              <w:trHeight w:val="144"/>
            </w:trPr>
            <w:tc>
              <w:tcPr>
                <w:tcW w:w="2727" w:type="dxa"/>
              </w:tcPr>
              <w:p w14:paraId="2FD4DBF6" w14:textId="77777777" w:rsidR="00AF152D" w:rsidRPr="00330DA7" w:rsidRDefault="00AF152D" w:rsidP="004D0573">
                <w:pPr>
                  <w:tabs>
                    <w:tab w:val="right" w:pos="8838"/>
                  </w:tabs>
                  <w:spacing w:line="240" w:lineRule="auto"/>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2B356BF8" w:rsidR="00AF152D" w:rsidRPr="004D0573" w:rsidRDefault="00AF152D" w:rsidP="00273AFD">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5837</w:t>
                </w:r>
                <w:r w:rsidRPr="004D0573">
                  <w:rPr>
                    <w:rFonts w:eastAsia="Calibri" w:cs="Tahoma"/>
                    <w:szCs w:val="22"/>
                    <w:lang w:eastAsia="en-US"/>
                  </w:rPr>
                  <w:t xml:space="preserve">/INFOEM/IP/RR/2024 </w:t>
                </w:r>
              </w:p>
            </w:tc>
            <w:tc>
              <w:tcPr>
                <w:tcW w:w="3402" w:type="dxa"/>
              </w:tcPr>
              <w:p w14:paraId="71DEA1CF" w14:textId="77777777" w:rsidR="00AF152D" w:rsidRDefault="00AF152D" w:rsidP="004D0573">
                <w:pPr>
                  <w:tabs>
                    <w:tab w:val="right" w:pos="8838"/>
                  </w:tabs>
                  <w:spacing w:line="240" w:lineRule="auto"/>
                  <w:ind w:left="-74" w:right="-105"/>
                  <w:rPr>
                    <w:rFonts w:eastAsia="Calibri" w:cs="Tahoma"/>
                    <w:szCs w:val="22"/>
                    <w:lang w:eastAsia="en-US"/>
                  </w:rPr>
                </w:pPr>
              </w:p>
            </w:tc>
          </w:tr>
          <w:tr w:rsidR="00AF152D" w:rsidRPr="00330DA7" w14:paraId="05C58951" w14:textId="77777777" w:rsidTr="004D0573">
            <w:trPr>
              <w:trHeight w:val="144"/>
            </w:trPr>
            <w:tc>
              <w:tcPr>
                <w:tcW w:w="2727" w:type="dxa"/>
              </w:tcPr>
              <w:p w14:paraId="642B9610" w14:textId="77777777" w:rsidR="00AF152D" w:rsidRPr="00330DA7" w:rsidRDefault="00AF152D" w:rsidP="004D0573">
                <w:pPr>
                  <w:tabs>
                    <w:tab w:val="right" w:pos="8838"/>
                  </w:tabs>
                  <w:spacing w:line="240" w:lineRule="auto"/>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7C49526E" w:rsidR="00AF152D" w:rsidRPr="004D0573" w:rsidRDefault="00C350B7" w:rsidP="00273AFD">
                <w:pPr>
                  <w:tabs>
                    <w:tab w:val="right" w:pos="8838"/>
                  </w:tabs>
                  <w:spacing w:line="240" w:lineRule="auto"/>
                  <w:ind w:left="-74" w:right="-105"/>
                  <w:rPr>
                    <w:rFonts w:eastAsia="Calibri" w:cs="Tahoma"/>
                    <w:szCs w:val="22"/>
                    <w:lang w:eastAsia="en-US"/>
                  </w:rPr>
                </w:pPr>
                <w:r>
                  <w:rPr>
                    <w:rFonts w:eastAsia="Calibri" w:cs="Tahoma"/>
                    <w:szCs w:val="22"/>
                    <w:lang w:eastAsia="en-US"/>
                  </w:rPr>
                  <w:t>XXXXXXXXX XXXXXXX XXXXXXXX</w:t>
                </w:r>
              </w:p>
            </w:tc>
            <w:tc>
              <w:tcPr>
                <w:tcW w:w="3402" w:type="dxa"/>
              </w:tcPr>
              <w:p w14:paraId="73F47F53" w14:textId="77777777" w:rsidR="00AF152D" w:rsidRPr="005F19B1" w:rsidRDefault="00AF152D" w:rsidP="004D0573">
                <w:pPr>
                  <w:tabs>
                    <w:tab w:val="left" w:pos="3122"/>
                    <w:tab w:val="right" w:pos="8838"/>
                  </w:tabs>
                  <w:spacing w:line="240" w:lineRule="auto"/>
                  <w:ind w:left="-105" w:right="-105"/>
                  <w:rPr>
                    <w:rFonts w:eastAsia="Calibri" w:cs="Tahoma"/>
                    <w:szCs w:val="22"/>
                    <w:lang w:eastAsia="en-US"/>
                  </w:rPr>
                </w:pPr>
              </w:p>
            </w:tc>
          </w:tr>
          <w:bookmarkEnd w:id="1"/>
          <w:tr w:rsidR="00AF152D" w:rsidRPr="00330DA7" w14:paraId="00E6CDC1" w14:textId="77777777" w:rsidTr="004D0573">
            <w:trPr>
              <w:trHeight w:val="283"/>
            </w:trPr>
            <w:tc>
              <w:tcPr>
                <w:tcW w:w="2727" w:type="dxa"/>
              </w:tcPr>
              <w:p w14:paraId="0631AD24" w14:textId="77777777" w:rsidR="00AF152D" w:rsidRPr="00330DA7" w:rsidRDefault="00AF152D"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502190E4" w:rsidR="00AF152D" w:rsidRPr="004D0573" w:rsidRDefault="00AF152D" w:rsidP="00273AFD">
                <w:pPr>
                  <w:tabs>
                    <w:tab w:val="right" w:pos="8838"/>
                  </w:tabs>
                  <w:spacing w:line="240" w:lineRule="auto"/>
                  <w:ind w:left="-74" w:right="-105"/>
                  <w:rPr>
                    <w:rFonts w:eastAsia="Calibri" w:cs="Tahoma"/>
                    <w:szCs w:val="22"/>
                    <w:lang w:eastAsia="en-US"/>
                  </w:rPr>
                </w:pPr>
                <w:r w:rsidRPr="00273AFD">
                  <w:rPr>
                    <w:rFonts w:eastAsia="Calibri" w:cs="Tahoma"/>
                    <w:szCs w:val="22"/>
                    <w:lang w:eastAsia="en-US"/>
                  </w:rPr>
                  <w:t xml:space="preserve">Sindicato Único de Trabajadores de </w:t>
                </w:r>
                <w:r w:rsidR="00CC4F64" w:rsidRPr="00273AFD">
                  <w:rPr>
                    <w:rFonts w:eastAsia="Calibri" w:cs="Tahoma"/>
                    <w:szCs w:val="22"/>
                    <w:lang w:eastAsia="en-US"/>
                  </w:rPr>
                  <w:t xml:space="preserve">los </w:t>
                </w:r>
                <w:r w:rsidRPr="00273AFD">
                  <w:rPr>
                    <w:rFonts w:eastAsia="Calibri" w:cs="Tahoma"/>
                    <w:szCs w:val="22"/>
                    <w:lang w:eastAsia="en-US"/>
                  </w:rPr>
                  <w:t xml:space="preserve">Poderes, Municipios </w:t>
                </w:r>
                <w:r w:rsidR="00CC4F64">
                  <w:rPr>
                    <w:rFonts w:eastAsia="Calibri" w:cs="Tahoma"/>
                    <w:szCs w:val="22"/>
                    <w:lang w:eastAsia="en-US"/>
                  </w:rPr>
                  <w:t>e</w:t>
                </w:r>
                <w:r w:rsidRPr="00273AFD">
                  <w:rPr>
                    <w:rFonts w:eastAsia="Calibri" w:cs="Tahoma"/>
                    <w:szCs w:val="22"/>
                    <w:lang w:eastAsia="en-US"/>
                  </w:rPr>
                  <w:t xml:space="preserve"> Instituciones Descentralizadas del Estado de México</w:t>
                </w:r>
              </w:p>
            </w:tc>
            <w:tc>
              <w:tcPr>
                <w:tcW w:w="3402" w:type="dxa"/>
              </w:tcPr>
              <w:p w14:paraId="3A7DA319" w14:textId="77777777" w:rsidR="00AF152D" w:rsidRPr="00A90C72" w:rsidRDefault="00AF152D" w:rsidP="004D0573">
                <w:pPr>
                  <w:tabs>
                    <w:tab w:val="left" w:pos="2834"/>
                    <w:tab w:val="right" w:pos="8838"/>
                  </w:tabs>
                  <w:spacing w:line="240" w:lineRule="auto"/>
                  <w:ind w:left="-108" w:right="-105"/>
                  <w:rPr>
                    <w:rFonts w:eastAsia="Calibri" w:cs="Tahoma"/>
                    <w:szCs w:val="22"/>
                    <w:lang w:eastAsia="en-US"/>
                  </w:rPr>
                </w:pPr>
              </w:p>
            </w:tc>
          </w:tr>
          <w:tr w:rsidR="00AF152D" w:rsidRPr="00330DA7" w14:paraId="0F6CD8D2" w14:textId="77777777" w:rsidTr="004D0573">
            <w:trPr>
              <w:trHeight w:val="283"/>
            </w:trPr>
            <w:tc>
              <w:tcPr>
                <w:tcW w:w="2727" w:type="dxa"/>
              </w:tcPr>
              <w:p w14:paraId="31700628" w14:textId="0565A62A" w:rsidR="00AF152D" w:rsidRPr="00330DA7" w:rsidRDefault="00AF152D"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AF152D" w:rsidRPr="00EA66FC" w:rsidRDefault="00AF152D"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AF152D" w:rsidRPr="00330DA7" w:rsidRDefault="00AF152D" w:rsidP="004D0573">
                <w:pPr>
                  <w:tabs>
                    <w:tab w:val="right" w:pos="8838"/>
                  </w:tabs>
                  <w:spacing w:line="240" w:lineRule="auto"/>
                  <w:ind w:left="-108" w:right="-105"/>
                  <w:rPr>
                    <w:rFonts w:eastAsia="Calibri" w:cs="Tahoma"/>
                    <w:szCs w:val="22"/>
                    <w:lang w:eastAsia="en-US"/>
                  </w:rPr>
                </w:pPr>
              </w:p>
            </w:tc>
          </w:tr>
        </w:tbl>
        <w:p w14:paraId="5DC6AC61" w14:textId="77777777" w:rsidR="00AF152D" w:rsidRPr="00330DA7" w:rsidRDefault="00AF152D" w:rsidP="004D0573">
          <w:pPr>
            <w:tabs>
              <w:tab w:val="right" w:pos="8838"/>
            </w:tabs>
            <w:ind w:left="-28"/>
            <w:rPr>
              <w:rFonts w:ascii="Arial" w:eastAsia="Calibri" w:hAnsi="Arial" w:cs="Arial"/>
              <w:b/>
              <w:szCs w:val="22"/>
              <w:lang w:eastAsia="en-US"/>
            </w:rPr>
          </w:pPr>
        </w:p>
      </w:tc>
    </w:tr>
  </w:tbl>
  <w:p w14:paraId="2A906731" w14:textId="77777777" w:rsidR="00AF152D" w:rsidRPr="00765661" w:rsidRDefault="00E97101" w:rsidP="004D05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77.9pt;margin-top:-159.85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55BEB"/>
    <w:multiLevelType w:val="hybridMultilevel"/>
    <w:tmpl w:val="5D42275A"/>
    <w:lvl w:ilvl="0" w:tplc="01709616">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 w15:restartNumberingAfterBreak="0">
    <w:nsid w:val="0692489E"/>
    <w:multiLevelType w:val="hybridMultilevel"/>
    <w:tmpl w:val="25FEE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E445EA"/>
    <w:multiLevelType w:val="hybridMultilevel"/>
    <w:tmpl w:val="FF0AB8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101085C"/>
    <w:multiLevelType w:val="hybridMultilevel"/>
    <w:tmpl w:val="E44A7E52"/>
    <w:lvl w:ilvl="0" w:tplc="76925A62">
      <w:start w:val="3"/>
      <w:numFmt w:val="bullet"/>
      <w:lvlText w:val="-"/>
      <w:lvlJc w:val="left"/>
      <w:pPr>
        <w:ind w:left="1080" w:hanging="360"/>
      </w:pPr>
      <w:rPr>
        <w:rFonts w:ascii="Palatino Linotype" w:eastAsia="Times New Roman" w:hAnsi="Palatino Linotype"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11A92D91"/>
    <w:multiLevelType w:val="hybridMultilevel"/>
    <w:tmpl w:val="5D42275A"/>
    <w:lvl w:ilvl="0" w:tplc="01709616">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9" w15:restartNumberingAfterBreak="0">
    <w:nsid w:val="1372416D"/>
    <w:multiLevelType w:val="hybridMultilevel"/>
    <w:tmpl w:val="630E9B1A"/>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17873997"/>
    <w:multiLevelType w:val="hybridMultilevel"/>
    <w:tmpl w:val="29DE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82576B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ED51460"/>
    <w:multiLevelType w:val="hybridMultilevel"/>
    <w:tmpl w:val="959E5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4B02222"/>
    <w:multiLevelType w:val="hybridMultilevel"/>
    <w:tmpl w:val="DD2469D6"/>
    <w:lvl w:ilvl="0" w:tplc="EC32D0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26F07FC8"/>
    <w:multiLevelType w:val="hybridMultilevel"/>
    <w:tmpl w:val="DC147C0C"/>
    <w:lvl w:ilvl="0" w:tplc="A11E9D8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2A676446"/>
    <w:multiLevelType w:val="hybridMultilevel"/>
    <w:tmpl w:val="4476C7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B0E740B"/>
    <w:multiLevelType w:val="hybridMultilevel"/>
    <w:tmpl w:val="455C61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B836BEB"/>
    <w:multiLevelType w:val="hybridMultilevel"/>
    <w:tmpl w:val="DB4689F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23" w15:restartNumberingAfterBreak="0">
    <w:nsid w:val="2FBC09D3"/>
    <w:multiLevelType w:val="hybridMultilevel"/>
    <w:tmpl w:val="273209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15:restartNumberingAfterBreak="0">
    <w:nsid w:val="3039272A"/>
    <w:multiLevelType w:val="hybridMultilevel"/>
    <w:tmpl w:val="FB1636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6505F52"/>
    <w:multiLevelType w:val="hybridMultilevel"/>
    <w:tmpl w:val="DF124E32"/>
    <w:lvl w:ilvl="0" w:tplc="55D64F7C">
      <w:start w:val="1"/>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6" w15:restartNumberingAfterBreak="0">
    <w:nsid w:val="368836B5"/>
    <w:multiLevelType w:val="hybridMultilevel"/>
    <w:tmpl w:val="FA5074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38F25A36"/>
    <w:multiLevelType w:val="hybridMultilevel"/>
    <w:tmpl w:val="230CC68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B6553D9"/>
    <w:multiLevelType w:val="hybridMultilevel"/>
    <w:tmpl w:val="F6CCA7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3392404"/>
    <w:multiLevelType w:val="hybridMultilevel"/>
    <w:tmpl w:val="CFAED85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A1A7A2B"/>
    <w:multiLevelType w:val="hybridMultilevel"/>
    <w:tmpl w:val="5C2A3934"/>
    <w:lvl w:ilvl="0" w:tplc="1E4EDDE0">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5"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4ECC2539"/>
    <w:multiLevelType w:val="hybridMultilevel"/>
    <w:tmpl w:val="4B5ED8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08A1054"/>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15E5374"/>
    <w:multiLevelType w:val="hybridMultilevel"/>
    <w:tmpl w:val="908E1A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5D5146A1"/>
    <w:multiLevelType w:val="hybridMultilevel"/>
    <w:tmpl w:val="C7267300"/>
    <w:lvl w:ilvl="0" w:tplc="080A0001">
      <w:start w:val="1"/>
      <w:numFmt w:val="bullet"/>
      <w:lvlText w:val=""/>
      <w:lvlJc w:val="left"/>
      <w:pPr>
        <w:ind w:left="771" w:hanging="360"/>
      </w:pPr>
      <w:rPr>
        <w:rFonts w:ascii="Symbol" w:hAnsi="Symbol" w:hint="default"/>
      </w:rPr>
    </w:lvl>
    <w:lvl w:ilvl="1" w:tplc="080A0003" w:tentative="1">
      <w:start w:val="1"/>
      <w:numFmt w:val="bullet"/>
      <w:lvlText w:val="o"/>
      <w:lvlJc w:val="left"/>
      <w:pPr>
        <w:ind w:left="1491" w:hanging="360"/>
      </w:pPr>
      <w:rPr>
        <w:rFonts w:ascii="Courier New" w:hAnsi="Courier New" w:cs="Courier New" w:hint="default"/>
      </w:rPr>
    </w:lvl>
    <w:lvl w:ilvl="2" w:tplc="080A0005" w:tentative="1">
      <w:start w:val="1"/>
      <w:numFmt w:val="bullet"/>
      <w:lvlText w:val=""/>
      <w:lvlJc w:val="left"/>
      <w:pPr>
        <w:ind w:left="2211" w:hanging="360"/>
      </w:pPr>
      <w:rPr>
        <w:rFonts w:ascii="Wingdings" w:hAnsi="Wingdings" w:hint="default"/>
      </w:rPr>
    </w:lvl>
    <w:lvl w:ilvl="3" w:tplc="080A0001" w:tentative="1">
      <w:start w:val="1"/>
      <w:numFmt w:val="bullet"/>
      <w:lvlText w:val=""/>
      <w:lvlJc w:val="left"/>
      <w:pPr>
        <w:ind w:left="2931" w:hanging="360"/>
      </w:pPr>
      <w:rPr>
        <w:rFonts w:ascii="Symbol" w:hAnsi="Symbol" w:hint="default"/>
      </w:rPr>
    </w:lvl>
    <w:lvl w:ilvl="4" w:tplc="080A0003" w:tentative="1">
      <w:start w:val="1"/>
      <w:numFmt w:val="bullet"/>
      <w:lvlText w:val="o"/>
      <w:lvlJc w:val="left"/>
      <w:pPr>
        <w:ind w:left="3651" w:hanging="360"/>
      </w:pPr>
      <w:rPr>
        <w:rFonts w:ascii="Courier New" w:hAnsi="Courier New" w:cs="Courier New" w:hint="default"/>
      </w:rPr>
    </w:lvl>
    <w:lvl w:ilvl="5" w:tplc="080A0005" w:tentative="1">
      <w:start w:val="1"/>
      <w:numFmt w:val="bullet"/>
      <w:lvlText w:val=""/>
      <w:lvlJc w:val="left"/>
      <w:pPr>
        <w:ind w:left="4371" w:hanging="360"/>
      </w:pPr>
      <w:rPr>
        <w:rFonts w:ascii="Wingdings" w:hAnsi="Wingdings" w:hint="default"/>
      </w:rPr>
    </w:lvl>
    <w:lvl w:ilvl="6" w:tplc="080A0001" w:tentative="1">
      <w:start w:val="1"/>
      <w:numFmt w:val="bullet"/>
      <w:lvlText w:val=""/>
      <w:lvlJc w:val="left"/>
      <w:pPr>
        <w:ind w:left="5091" w:hanging="360"/>
      </w:pPr>
      <w:rPr>
        <w:rFonts w:ascii="Symbol" w:hAnsi="Symbol" w:hint="default"/>
      </w:rPr>
    </w:lvl>
    <w:lvl w:ilvl="7" w:tplc="080A0003" w:tentative="1">
      <w:start w:val="1"/>
      <w:numFmt w:val="bullet"/>
      <w:lvlText w:val="o"/>
      <w:lvlJc w:val="left"/>
      <w:pPr>
        <w:ind w:left="5811" w:hanging="360"/>
      </w:pPr>
      <w:rPr>
        <w:rFonts w:ascii="Courier New" w:hAnsi="Courier New" w:cs="Courier New" w:hint="default"/>
      </w:rPr>
    </w:lvl>
    <w:lvl w:ilvl="8" w:tplc="080A0005" w:tentative="1">
      <w:start w:val="1"/>
      <w:numFmt w:val="bullet"/>
      <w:lvlText w:val=""/>
      <w:lvlJc w:val="left"/>
      <w:pPr>
        <w:ind w:left="6531" w:hanging="360"/>
      </w:pPr>
      <w:rPr>
        <w:rFonts w:ascii="Wingdings" w:hAnsi="Wingdings" w:hint="default"/>
      </w:rPr>
    </w:lvl>
  </w:abstractNum>
  <w:abstractNum w:abstractNumId="40" w15:restartNumberingAfterBreak="0">
    <w:nsid w:val="6000374B"/>
    <w:multiLevelType w:val="hybridMultilevel"/>
    <w:tmpl w:val="A134CC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07C313B"/>
    <w:multiLevelType w:val="hybridMultilevel"/>
    <w:tmpl w:val="B282C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5AC4A4F"/>
    <w:multiLevelType w:val="hybridMultilevel"/>
    <w:tmpl w:val="204A1D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CFC3F8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F89175E"/>
    <w:multiLevelType w:val="hybridMultilevel"/>
    <w:tmpl w:val="4E1602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714418C1"/>
    <w:multiLevelType w:val="hybridMultilevel"/>
    <w:tmpl w:val="8D8475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9BC6BB8"/>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0"/>
  </w:num>
  <w:num w:numId="2">
    <w:abstractNumId w:val="35"/>
  </w:num>
  <w:num w:numId="3">
    <w:abstractNumId w:val="45"/>
  </w:num>
  <w:num w:numId="4">
    <w:abstractNumId w:val="15"/>
  </w:num>
  <w:num w:numId="5">
    <w:abstractNumId w:val="6"/>
  </w:num>
  <w:num w:numId="6">
    <w:abstractNumId w:val="47"/>
  </w:num>
  <w:num w:numId="7">
    <w:abstractNumId w:val="32"/>
  </w:num>
  <w:num w:numId="8">
    <w:abstractNumId w:val="13"/>
  </w:num>
  <w:num w:numId="9">
    <w:abstractNumId w:val="31"/>
  </w:num>
  <w:num w:numId="10">
    <w:abstractNumId w:val="22"/>
    <w:lvlOverride w:ilvl="0">
      <w:startOverride w:val="1"/>
    </w:lvlOverride>
    <w:lvlOverride w:ilvl="1"/>
    <w:lvlOverride w:ilvl="2"/>
    <w:lvlOverride w:ilvl="3"/>
    <w:lvlOverride w:ilvl="4"/>
    <w:lvlOverride w:ilvl="5"/>
    <w:lvlOverride w:ilvl="6"/>
    <w:lvlOverride w:ilvl="7"/>
    <w:lvlOverride w:ilvl="8"/>
  </w:num>
  <w:num w:numId="11">
    <w:abstractNumId w:val="22"/>
  </w:num>
  <w:num w:numId="12">
    <w:abstractNumId w:val="19"/>
  </w:num>
  <w:num w:numId="13">
    <w:abstractNumId w:val="4"/>
  </w:num>
  <w:num w:numId="14">
    <w:abstractNumId w:val="12"/>
  </w:num>
  <w:num w:numId="15">
    <w:abstractNumId w:val="33"/>
  </w:num>
  <w:num w:numId="16">
    <w:abstractNumId w:val="42"/>
  </w:num>
  <w:num w:numId="17">
    <w:abstractNumId w:val="41"/>
  </w:num>
  <w:num w:numId="18">
    <w:abstractNumId w:val="10"/>
  </w:num>
  <w:num w:numId="19">
    <w:abstractNumId w:val="7"/>
  </w:num>
  <w:num w:numId="20">
    <w:abstractNumId w:val="48"/>
  </w:num>
  <w:num w:numId="21">
    <w:abstractNumId w:val="11"/>
  </w:num>
  <w:num w:numId="22">
    <w:abstractNumId w:val="37"/>
  </w:num>
  <w:num w:numId="23">
    <w:abstractNumId w:val="43"/>
  </w:num>
  <w:num w:numId="24">
    <w:abstractNumId w:val="16"/>
  </w:num>
  <w:num w:numId="25">
    <w:abstractNumId w:val="14"/>
  </w:num>
  <w:num w:numId="26">
    <w:abstractNumId w:val="1"/>
  </w:num>
  <w:num w:numId="27">
    <w:abstractNumId w:val="3"/>
  </w:num>
  <w:num w:numId="28">
    <w:abstractNumId w:val="23"/>
  </w:num>
  <w:num w:numId="29">
    <w:abstractNumId w:val="34"/>
  </w:num>
  <w:num w:numId="30">
    <w:abstractNumId w:val="9"/>
  </w:num>
  <w:num w:numId="31">
    <w:abstractNumId w:val="21"/>
  </w:num>
  <w:num w:numId="32">
    <w:abstractNumId w:val="17"/>
  </w:num>
  <w:num w:numId="33">
    <w:abstractNumId w:val="46"/>
  </w:num>
  <w:num w:numId="34">
    <w:abstractNumId w:val="40"/>
  </w:num>
  <w:num w:numId="35">
    <w:abstractNumId w:val="29"/>
  </w:num>
  <w:num w:numId="36">
    <w:abstractNumId w:val="25"/>
  </w:num>
  <w:num w:numId="37">
    <w:abstractNumId w:val="26"/>
  </w:num>
  <w:num w:numId="38">
    <w:abstractNumId w:val="38"/>
  </w:num>
  <w:num w:numId="39">
    <w:abstractNumId w:val="39"/>
  </w:num>
  <w:num w:numId="40">
    <w:abstractNumId w:val="8"/>
  </w:num>
  <w:num w:numId="41">
    <w:abstractNumId w:val="0"/>
  </w:num>
  <w:num w:numId="42">
    <w:abstractNumId w:val="27"/>
  </w:num>
  <w:num w:numId="43">
    <w:abstractNumId w:val="28"/>
  </w:num>
  <w:num w:numId="44">
    <w:abstractNumId w:val="18"/>
  </w:num>
  <w:num w:numId="45">
    <w:abstractNumId w:val="20"/>
  </w:num>
  <w:num w:numId="46">
    <w:abstractNumId w:val="36"/>
  </w:num>
  <w:num w:numId="47">
    <w:abstractNumId w:val="44"/>
  </w:num>
  <w:num w:numId="48">
    <w:abstractNumId w:val="5"/>
  </w:num>
  <w:num w:numId="49">
    <w:abstractNumId w:val="2"/>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3C0E"/>
    <w:rsid w:val="000318BC"/>
    <w:rsid w:val="00033156"/>
    <w:rsid w:val="00042FBB"/>
    <w:rsid w:val="00057B2D"/>
    <w:rsid w:val="00065518"/>
    <w:rsid w:val="00067FB9"/>
    <w:rsid w:val="000777E2"/>
    <w:rsid w:val="00080071"/>
    <w:rsid w:val="0008760E"/>
    <w:rsid w:val="000A0798"/>
    <w:rsid w:val="000A38FF"/>
    <w:rsid w:val="000C3BBA"/>
    <w:rsid w:val="000D0D67"/>
    <w:rsid w:val="000E09C4"/>
    <w:rsid w:val="000E23B9"/>
    <w:rsid w:val="000E72B3"/>
    <w:rsid w:val="00101093"/>
    <w:rsid w:val="00107F71"/>
    <w:rsid w:val="0011350D"/>
    <w:rsid w:val="001144FB"/>
    <w:rsid w:val="00117DDB"/>
    <w:rsid w:val="00127130"/>
    <w:rsid w:val="00135056"/>
    <w:rsid w:val="00141876"/>
    <w:rsid w:val="0014207B"/>
    <w:rsid w:val="00150C49"/>
    <w:rsid w:val="0015528C"/>
    <w:rsid w:val="001600F1"/>
    <w:rsid w:val="00185C7C"/>
    <w:rsid w:val="001A58B3"/>
    <w:rsid w:val="001C04A2"/>
    <w:rsid w:val="001C6BE2"/>
    <w:rsid w:val="001C7688"/>
    <w:rsid w:val="001D2464"/>
    <w:rsid w:val="001D2B47"/>
    <w:rsid w:val="001D5BAD"/>
    <w:rsid w:val="001E0CFD"/>
    <w:rsid w:val="001E7669"/>
    <w:rsid w:val="001F3515"/>
    <w:rsid w:val="001F4450"/>
    <w:rsid w:val="002015AE"/>
    <w:rsid w:val="002236B0"/>
    <w:rsid w:val="00230AE2"/>
    <w:rsid w:val="00233005"/>
    <w:rsid w:val="00233F17"/>
    <w:rsid w:val="00237120"/>
    <w:rsid w:val="00245D19"/>
    <w:rsid w:val="00262116"/>
    <w:rsid w:val="00273AFD"/>
    <w:rsid w:val="002958FA"/>
    <w:rsid w:val="002961A6"/>
    <w:rsid w:val="002961B5"/>
    <w:rsid w:val="0029641C"/>
    <w:rsid w:val="002A3601"/>
    <w:rsid w:val="002B1D44"/>
    <w:rsid w:val="002B7C6F"/>
    <w:rsid w:val="002C0F02"/>
    <w:rsid w:val="002D111C"/>
    <w:rsid w:val="002E18F0"/>
    <w:rsid w:val="002F6393"/>
    <w:rsid w:val="002F6F77"/>
    <w:rsid w:val="00302476"/>
    <w:rsid w:val="00304C8C"/>
    <w:rsid w:val="00331F35"/>
    <w:rsid w:val="00335CDF"/>
    <w:rsid w:val="00341E94"/>
    <w:rsid w:val="00346BC2"/>
    <w:rsid w:val="00350198"/>
    <w:rsid w:val="00362A11"/>
    <w:rsid w:val="003809A6"/>
    <w:rsid w:val="00386CD1"/>
    <w:rsid w:val="00393AF2"/>
    <w:rsid w:val="003A40C1"/>
    <w:rsid w:val="003A67CC"/>
    <w:rsid w:val="003B0255"/>
    <w:rsid w:val="003B0AEC"/>
    <w:rsid w:val="003B5D3E"/>
    <w:rsid w:val="003C5637"/>
    <w:rsid w:val="003F1147"/>
    <w:rsid w:val="003F35FD"/>
    <w:rsid w:val="003F72B0"/>
    <w:rsid w:val="0041385B"/>
    <w:rsid w:val="00416357"/>
    <w:rsid w:val="00441BFA"/>
    <w:rsid w:val="00454FBD"/>
    <w:rsid w:val="004565C2"/>
    <w:rsid w:val="004606B6"/>
    <w:rsid w:val="00475FF6"/>
    <w:rsid w:val="004A05F6"/>
    <w:rsid w:val="004B001B"/>
    <w:rsid w:val="004B2C64"/>
    <w:rsid w:val="004C43D3"/>
    <w:rsid w:val="004D0573"/>
    <w:rsid w:val="004D7CD8"/>
    <w:rsid w:val="004E2939"/>
    <w:rsid w:val="004E3051"/>
    <w:rsid w:val="004E5068"/>
    <w:rsid w:val="004F4BDB"/>
    <w:rsid w:val="004F7A00"/>
    <w:rsid w:val="005122DD"/>
    <w:rsid w:val="00523E60"/>
    <w:rsid w:val="00523F48"/>
    <w:rsid w:val="0053431C"/>
    <w:rsid w:val="005365FA"/>
    <w:rsid w:val="00536C50"/>
    <w:rsid w:val="005432B1"/>
    <w:rsid w:val="00550AB5"/>
    <w:rsid w:val="0055624C"/>
    <w:rsid w:val="005723CB"/>
    <w:rsid w:val="00575400"/>
    <w:rsid w:val="00580C45"/>
    <w:rsid w:val="00591A20"/>
    <w:rsid w:val="005A468E"/>
    <w:rsid w:val="005A5BF2"/>
    <w:rsid w:val="005B18AF"/>
    <w:rsid w:val="005C203C"/>
    <w:rsid w:val="005C4AB7"/>
    <w:rsid w:val="005D5A50"/>
    <w:rsid w:val="005F5301"/>
    <w:rsid w:val="005F65B7"/>
    <w:rsid w:val="00602B7B"/>
    <w:rsid w:val="00603D8C"/>
    <w:rsid w:val="006067C7"/>
    <w:rsid w:val="006159AD"/>
    <w:rsid w:val="0063170D"/>
    <w:rsid w:val="00646436"/>
    <w:rsid w:val="00657603"/>
    <w:rsid w:val="00664420"/>
    <w:rsid w:val="00690F2C"/>
    <w:rsid w:val="006A21FC"/>
    <w:rsid w:val="006A646A"/>
    <w:rsid w:val="006B10B0"/>
    <w:rsid w:val="006E13CF"/>
    <w:rsid w:val="006E1525"/>
    <w:rsid w:val="006E25BC"/>
    <w:rsid w:val="006E481A"/>
    <w:rsid w:val="006E6BBC"/>
    <w:rsid w:val="006F0A31"/>
    <w:rsid w:val="006F7768"/>
    <w:rsid w:val="00717E59"/>
    <w:rsid w:val="00724F22"/>
    <w:rsid w:val="007517BD"/>
    <w:rsid w:val="0075751F"/>
    <w:rsid w:val="00773DD6"/>
    <w:rsid w:val="00773EAB"/>
    <w:rsid w:val="00775BFC"/>
    <w:rsid w:val="00794BA5"/>
    <w:rsid w:val="007A2B8D"/>
    <w:rsid w:val="007A3459"/>
    <w:rsid w:val="007B4C31"/>
    <w:rsid w:val="007B6074"/>
    <w:rsid w:val="007B64D4"/>
    <w:rsid w:val="007C7C47"/>
    <w:rsid w:val="007D1C55"/>
    <w:rsid w:val="007D1C84"/>
    <w:rsid w:val="007D317F"/>
    <w:rsid w:val="007D5290"/>
    <w:rsid w:val="007E07E1"/>
    <w:rsid w:val="007F5144"/>
    <w:rsid w:val="007F5D06"/>
    <w:rsid w:val="00805A6E"/>
    <w:rsid w:val="00811211"/>
    <w:rsid w:val="00823BA5"/>
    <w:rsid w:val="00824D9A"/>
    <w:rsid w:val="00826C28"/>
    <w:rsid w:val="00831728"/>
    <w:rsid w:val="0085569B"/>
    <w:rsid w:val="00864CC1"/>
    <w:rsid w:val="00865CF4"/>
    <w:rsid w:val="00876DBC"/>
    <w:rsid w:val="00882589"/>
    <w:rsid w:val="008950DC"/>
    <w:rsid w:val="008A6003"/>
    <w:rsid w:val="008A6F88"/>
    <w:rsid w:val="008A7480"/>
    <w:rsid w:val="008B1E16"/>
    <w:rsid w:val="008E1316"/>
    <w:rsid w:val="008E6224"/>
    <w:rsid w:val="008E69A4"/>
    <w:rsid w:val="0090194A"/>
    <w:rsid w:val="00903DBE"/>
    <w:rsid w:val="00910FD2"/>
    <w:rsid w:val="009233A1"/>
    <w:rsid w:val="009246E8"/>
    <w:rsid w:val="00931437"/>
    <w:rsid w:val="00936B5A"/>
    <w:rsid w:val="00953430"/>
    <w:rsid w:val="00965890"/>
    <w:rsid w:val="0096709E"/>
    <w:rsid w:val="00970EB3"/>
    <w:rsid w:val="0097369C"/>
    <w:rsid w:val="00976247"/>
    <w:rsid w:val="009805E1"/>
    <w:rsid w:val="00982877"/>
    <w:rsid w:val="0098693C"/>
    <w:rsid w:val="00993ED0"/>
    <w:rsid w:val="009A19EA"/>
    <w:rsid w:val="009A2D78"/>
    <w:rsid w:val="009A2EDE"/>
    <w:rsid w:val="009A7C10"/>
    <w:rsid w:val="009B2945"/>
    <w:rsid w:val="009E2DEE"/>
    <w:rsid w:val="009E45F2"/>
    <w:rsid w:val="009E4644"/>
    <w:rsid w:val="009F797C"/>
    <w:rsid w:val="00A10B4F"/>
    <w:rsid w:val="00A131AC"/>
    <w:rsid w:val="00A15141"/>
    <w:rsid w:val="00A16D85"/>
    <w:rsid w:val="00A21A20"/>
    <w:rsid w:val="00A251A4"/>
    <w:rsid w:val="00A260E4"/>
    <w:rsid w:val="00A35DA7"/>
    <w:rsid w:val="00A36A99"/>
    <w:rsid w:val="00A41792"/>
    <w:rsid w:val="00A53315"/>
    <w:rsid w:val="00A6091A"/>
    <w:rsid w:val="00A63966"/>
    <w:rsid w:val="00A6415E"/>
    <w:rsid w:val="00A70EF0"/>
    <w:rsid w:val="00A76102"/>
    <w:rsid w:val="00A815EA"/>
    <w:rsid w:val="00A9208D"/>
    <w:rsid w:val="00A964CC"/>
    <w:rsid w:val="00AA6EA9"/>
    <w:rsid w:val="00AC25A6"/>
    <w:rsid w:val="00AC2DB8"/>
    <w:rsid w:val="00AC3CA0"/>
    <w:rsid w:val="00AD4855"/>
    <w:rsid w:val="00AE3DA7"/>
    <w:rsid w:val="00AE5AEF"/>
    <w:rsid w:val="00AF03C4"/>
    <w:rsid w:val="00AF152D"/>
    <w:rsid w:val="00B07A25"/>
    <w:rsid w:val="00B137E8"/>
    <w:rsid w:val="00B169A2"/>
    <w:rsid w:val="00B22A80"/>
    <w:rsid w:val="00B237A9"/>
    <w:rsid w:val="00B360F1"/>
    <w:rsid w:val="00B36848"/>
    <w:rsid w:val="00B65555"/>
    <w:rsid w:val="00B76159"/>
    <w:rsid w:val="00B82B5A"/>
    <w:rsid w:val="00BA1AB6"/>
    <w:rsid w:val="00BA55A8"/>
    <w:rsid w:val="00BB2ABF"/>
    <w:rsid w:val="00BB64F4"/>
    <w:rsid w:val="00BC62F8"/>
    <w:rsid w:val="00BD2738"/>
    <w:rsid w:val="00BD3F4F"/>
    <w:rsid w:val="00BD5A7C"/>
    <w:rsid w:val="00BE7A1B"/>
    <w:rsid w:val="00BF0221"/>
    <w:rsid w:val="00BF091A"/>
    <w:rsid w:val="00BF4EAD"/>
    <w:rsid w:val="00C00D03"/>
    <w:rsid w:val="00C02244"/>
    <w:rsid w:val="00C049E2"/>
    <w:rsid w:val="00C2224F"/>
    <w:rsid w:val="00C30616"/>
    <w:rsid w:val="00C350B7"/>
    <w:rsid w:val="00C351EC"/>
    <w:rsid w:val="00C36795"/>
    <w:rsid w:val="00C427FF"/>
    <w:rsid w:val="00C4456F"/>
    <w:rsid w:val="00C461EC"/>
    <w:rsid w:val="00C47525"/>
    <w:rsid w:val="00C507D4"/>
    <w:rsid w:val="00C71CEF"/>
    <w:rsid w:val="00C72DAA"/>
    <w:rsid w:val="00C7571D"/>
    <w:rsid w:val="00C80B14"/>
    <w:rsid w:val="00CA50B3"/>
    <w:rsid w:val="00CB7C31"/>
    <w:rsid w:val="00CB7E9A"/>
    <w:rsid w:val="00CC4F64"/>
    <w:rsid w:val="00CD0B92"/>
    <w:rsid w:val="00CD3244"/>
    <w:rsid w:val="00CD70E5"/>
    <w:rsid w:val="00CE1DFB"/>
    <w:rsid w:val="00CE29D3"/>
    <w:rsid w:val="00CE58F2"/>
    <w:rsid w:val="00CF2D8B"/>
    <w:rsid w:val="00CF7586"/>
    <w:rsid w:val="00CF7F0C"/>
    <w:rsid w:val="00D036D3"/>
    <w:rsid w:val="00D0562A"/>
    <w:rsid w:val="00D07C17"/>
    <w:rsid w:val="00D124B5"/>
    <w:rsid w:val="00D14F18"/>
    <w:rsid w:val="00D228A6"/>
    <w:rsid w:val="00D2790D"/>
    <w:rsid w:val="00D44B43"/>
    <w:rsid w:val="00D45259"/>
    <w:rsid w:val="00D51ECD"/>
    <w:rsid w:val="00D5461D"/>
    <w:rsid w:val="00D55FDA"/>
    <w:rsid w:val="00D6170E"/>
    <w:rsid w:val="00D91CB4"/>
    <w:rsid w:val="00DA54C1"/>
    <w:rsid w:val="00DB1C09"/>
    <w:rsid w:val="00DC30FA"/>
    <w:rsid w:val="00DC3210"/>
    <w:rsid w:val="00DC6730"/>
    <w:rsid w:val="00DE1133"/>
    <w:rsid w:val="00DE7108"/>
    <w:rsid w:val="00E02E1A"/>
    <w:rsid w:val="00E11AA0"/>
    <w:rsid w:val="00E16BF5"/>
    <w:rsid w:val="00E33233"/>
    <w:rsid w:val="00E37A3F"/>
    <w:rsid w:val="00E37D3C"/>
    <w:rsid w:val="00E62E6A"/>
    <w:rsid w:val="00E73A29"/>
    <w:rsid w:val="00E83EF5"/>
    <w:rsid w:val="00E9335C"/>
    <w:rsid w:val="00E97101"/>
    <w:rsid w:val="00EB0861"/>
    <w:rsid w:val="00EB3991"/>
    <w:rsid w:val="00EC2872"/>
    <w:rsid w:val="00ED1C1E"/>
    <w:rsid w:val="00ED45C7"/>
    <w:rsid w:val="00EE2AF2"/>
    <w:rsid w:val="00EE7028"/>
    <w:rsid w:val="00EE73FD"/>
    <w:rsid w:val="00EE77E9"/>
    <w:rsid w:val="00EF5F54"/>
    <w:rsid w:val="00F07EE6"/>
    <w:rsid w:val="00F32348"/>
    <w:rsid w:val="00F33CC8"/>
    <w:rsid w:val="00F3465D"/>
    <w:rsid w:val="00F4481C"/>
    <w:rsid w:val="00F45902"/>
    <w:rsid w:val="00F45EC7"/>
    <w:rsid w:val="00F52005"/>
    <w:rsid w:val="00F52089"/>
    <w:rsid w:val="00F75D23"/>
    <w:rsid w:val="00F86DF5"/>
    <w:rsid w:val="00F9701D"/>
    <w:rsid w:val="00FA5957"/>
    <w:rsid w:val="00FC3CE0"/>
    <w:rsid w:val="00FC709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aliases w:val="Hipervínculo1,Hipervínculo11,Hipervínculo12,Hipervínculo13,Hipervínculo14,Hipervínculo15"/>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E0CFD"/>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iPriority w:val="99"/>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14:ligatures w14:val="none"/>
    </w:rPr>
  </w:style>
  <w:style w:type="paragraph" w:customStyle="1" w:styleId="Default">
    <w:name w:val="Default"/>
    <w:rsid w:val="00C30616"/>
    <w:pPr>
      <w:autoSpaceDE w:val="0"/>
      <w:autoSpaceDN w:val="0"/>
      <w:adjustRightInd w:val="0"/>
      <w:spacing w:after="0" w:line="240" w:lineRule="auto"/>
    </w:pPr>
    <w:rPr>
      <w:rFonts w:ascii="Arial" w:hAnsi="Arial" w:cs="Arial"/>
      <w:color w:val="000000"/>
      <w:kern w:val="0"/>
      <w:sz w:val="24"/>
      <w:szCs w:val="24"/>
    </w:rPr>
  </w:style>
  <w:style w:type="character" w:customStyle="1" w:styleId="SinespaciadoCar">
    <w:name w:val="Sin espaciado Car"/>
    <w:aliases w:val="Francesa Car,INAI Car"/>
    <w:link w:val="Sinespaciado"/>
    <w:uiPriority w:val="1"/>
    <w:locked/>
    <w:rsid w:val="00C7571D"/>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33994">
      <w:bodyDiv w:val="1"/>
      <w:marLeft w:val="0"/>
      <w:marRight w:val="0"/>
      <w:marTop w:val="0"/>
      <w:marBottom w:val="0"/>
      <w:divBdr>
        <w:top w:val="none" w:sz="0" w:space="0" w:color="auto"/>
        <w:left w:val="none" w:sz="0" w:space="0" w:color="auto"/>
        <w:bottom w:val="none" w:sz="0" w:space="0" w:color="auto"/>
        <w:right w:val="none" w:sz="0" w:space="0" w:color="auto"/>
      </w:divBdr>
    </w:div>
    <w:div w:id="52318414">
      <w:bodyDiv w:val="1"/>
      <w:marLeft w:val="0"/>
      <w:marRight w:val="0"/>
      <w:marTop w:val="0"/>
      <w:marBottom w:val="0"/>
      <w:divBdr>
        <w:top w:val="none" w:sz="0" w:space="0" w:color="auto"/>
        <w:left w:val="none" w:sz="0" w:space="0" w:color="auto"/>
        <w:bottom w:val="none" w:sz="0" w:space="0" w:color="auto"/>
        <w:right w:val="none" w:sz="0" w:space="0" w:color="auto"/>
      </w:divBdr>
    </w:div>
    <w:div w:id="153647943">
      <w:bodyDiv w:val="1"/>
      <w:marLeft w:val="0"/>
      <w:marRight w:val="0"/>
      <w:marTop w:val="0"/>
      <w:marBottom w:val="0"/>
      <w:divBdr>
        <w:top w:val="none" w:sz="0" w:space="0" w:color="auto"/>
        <w:left w:val="none" w:sz="0" w:space="0" w:color="auto"/>
        <w:bottom w:val="none" w:sz="0" w:space="0" w:color="auto"/>
        <w:right w:val="none" w:sz="0" w:space="0" w:color="auto"/>
      </w:divBdr>
    </w:div>
    <w:div w:id="358052105">
      <w:bodyDiv w:val="1"/>
      <w:marLeft w:val="0"/>
      <w:marRight w:val="0"/>
      <w:marTop w:val="0"/>
      <w:marBottom w:val="0"/>
      <w:divBdr>
        <w:top w:val="none" w:sz="0" w:space="0" w:color="auto"/>
        <w:left w:val="none" w:sz="0" w:space="0" w:color="auto"/>
        <w:bottom w:val="none" w:sz="0" w:space="0" w:color="auto"/>
        <w:right w:val="none" w:sz="0" w:space="0" w:color="auto"/>
      </w:divBdr>
    </w:div>
    <w:div w:id="457991894">
      <w:bodyDiv w:val="1"/>
      <w:marLeft w:val="0"/>
      <w:marRight w:val="0"/>
      <w:marTop w:val="0"/>
      <w:marBottom w:val="0"/>
      <w:divBdr>
        <w:top w:val="none" w:sz="0" w:space="0" w:color="auto"/>
        <w:left w:val="none" w:sz="0" w:space="0" w:color="auto"/>
        <w:bottom w:val="none" w:sz="0" w:space="0" w:color="auto"/>
        <w:right w:val="none" w:sz="0" w:space="0" w:color="auto"/>
      </w:divBdr>
    </w:div>
    <w:div w:id="487552571">
      <w:bodyDiv w:val="1"/>
      <w:marLeft w:val="0"/>
      <w:marRight w:val="0"/>
      <w:marTop w:val="0"/>
      <w:marBottom w:val="0"/>
      <w:divBdr>
        <w:top w:val="none" w:sz="0" w:space="0" w:color="auto"/>
        <w:left w:val="none" w:sz="0" w:space="0" w:color="auto"/>
        <w:bottom w:val="none" w:sz="0" w:space="0" w:color="auto"/>
        <w:right w:val="none" w:sz="0" w:space="0" w:color="auto"/>
      </w:divBdr>
    </w:div>
    <w:div w:id="527186236">
      <w:bodyDiv w:val="1"/>
      <w:marLeft w:val="0"/>
      <w:marRight w:val="0"/>
      <w:marTop w:val="0"/>
      <w:marBottom w:val="0"/>
      <w:divBdr>
        <w:top w:val="none" w:sz="0" w:space="0" w:color="auto"/>
        <w:left w:val="none" w:sz="0" w:space="0" w:color="auto"/>
        <w:bottom w:val="none" w:sz="0" w:space="0" w:color="auto"/>
        <w:right w:val="none" w:sz="0" w:space="0" w:color="auto"/>
      </w:divBdr>
    </w:div>
    <w:div w:id="576792331">
      <w:bodyDiv w:val="1"/>
      <w:marLeft w:val="0"/>
      <w:marRight w:val="0"/>
      <w:marTop w:val="0"/>
      <w:marBottom w:val="0"/>
      <w:divBdr>
        <w:top w:val="none" w:sz="0" w:space="0" w:color="auto"/>
        <w:left w:val="none" w:sz="0" w:space="0" w:color="auto"/>
        <w:bottom w:val="none" w:sz="0" w:space="0" w:color="auto"/>
        <w:right w:val="none" w:sz="0" w:space="0" w:color="auto"/>
      </w:divBdr>
      <w:divsChild>
        <w:div w:id="1571115054">
          <w:marLeft w:val="0"/>
          <w:marRight w:val="0"/>
          <w:marTop w:val="0"/>
          <w:marBottom w:val="0"/>
          <w:divBdr>
            <w:top w:val="none" w:sz="0" w:space="0" w:color="auto"/>
            <w:left w:val="none" w:sz="0" w:space="0" w:color="auto"/>
            <w:bottom w:val="none" w:sz="0" w:space="0" w:color="auto"/>
            <w:right w:val="none" w:sz="0" w:space="0" w:color="auto"/>
          </w:divBdr>
        </w:div>
      </w:divsChild>
    </w:div>
    <w:div w:id="1019425939">
      <w:bodyDiv w:val="1"/>
      <w:marLeft w:val="0"/>
      <w:marRight w:val="0"/>
      <w:marTop w:val="0"/>
      <w:marBottom w:val="0"/>
      <w:divBdr>
        <w:top w:val="none" w:sz="0" w:space="0" w:color="auto"/>
        <w:left w:val="none" w:sz="0" w:space="0" w:color="auto"/>
        <w:bottom w:val="none" w:sz="0" w:space="0" w:color="auto"/>
        <w:right w:val="none" w:sz="0" w:space="0" w:color="auto"/>
      </w:divBdr>
      <w:divsChild>
        <w:div w:id="15497523">
          <w:marLeft w:val="0"/>
          <w:marRight w:val="0"/>
          <w:marTop w:val="0"/>
          <w:marBottom w:val="0"/>
          <w:divBdr>
            <w:top w:val="none" w:sz="0" w:space="0" w:color="auto"/>
            <w:left w:val="none" w:sz="0" w:space="0" w:color="auto"/>
            <w:bottom w:val="none" w:sz="0" w:space="0" w:color="auto"/>
            <w:right w:val="none" w:sz="0" w:space="0" w:color="auto"/>
          </w:divBdr>
        </w:div>
      </w:divsChild>
    </w:div>
    <w:div w:id="1129741652">
      <w:bodyDiv w:val="1"/>
      <w:marLeft w:val="0"/>
      <w:marRight w:val="0"/>
      <w:marTop w:val="0"/>
      <w:marBottom w:val="0"/>
      <w:divBdr>
        <w:top w:val="none" w:sz="0" w:space="0" w:color="auto"/>
        <w:left w:val="none" w:sz="0" w:space="0" w:color="auto"/>
        <w:bottom w:val="none" w:sz="0" w:space="0" w:color="auto"/>
        <w:right w:val="none" w:sz="0" w:space="0" w:color="auto"/>
      </w:divBdr>
    </w:div>
    <w:div w:id="1162743535">
      <w:bodyDiv w:val="1"/>
      <w:marLeft w:val="0"/>
      <w:marRight w:val="0"/>
      <w:marTop w:val="0"/>
      <w:marBottom w:val="0"/>
      <w:divBdr>
        <w:top w:val="none" w:sz="0" w:space="0" w:color="auto"/>
        <w:left w:val="none" w:sz="0" w:space="0" w:color="auto"/>
        <w:bottom w:val="none" w:sz="0" w:space="0" w:color="auto"/>
        <w:right w:val="none" w:sz="0" w:space="0" w:color="auto"/>
      </w:divBdr>
    </w:div>
    <w:div w:id="1182012252">
      <w:bodyDiv w:val="1"/>
      <w:marLeft w:val="0"/>
      <w:marRight w:val="0"/>
      <w:marTop w:val="0"/>
      <w:marBottom w:val="0"/>
      <w:divBdr>
        <w:top w:val="none" w:sz="0" w:space="0" w:color="auto"/>
        <w:left w:val="none" w:sz="0" w:space="0" w:color="auto"/>
        <w:bottom w:val="none" w:sz="0" w:space="0" w:color="auto"/>
        <w:right w:val="none" w:sz="0" w:space="0" w:color="auto"/>
      </w:divBdr>
      <w:divsChild>
        <w:div w:id="2094162619">
          <w:marLeft w:val="0"/>
          <w:marRight w:val="0"/>
          <w:marTop w:val="0"/>
          <w:marBottom w:val="0"/>
          <w:divBdr>
            <w:top w:val="none" w:sz="0" w:space="0" w:color="auto"/>
            <w:left w:val="none" w:sz="0" w:space="0" w:color="auto"/>
            <w:bottom w:val="none" w:sz="0" w:space="0" w:color="auto"/>
            <w:right w:val="none" w:sz="0" w:space="0" w:color="auto"/>
          </w:divBdr>
        </w:div>
      </w:divsChild>
    </w:div>
    <w:div w:id="1216115267">
      <w:bodyDiv w:val="1"/>
      <w:marLeft w:val="0"/>
      <w:marRight w:val="0"/>
      <w:marTop w:val="0"/>
      <w:marBottom w:val="0"/>
      <w:divBdr>
        <w:top w:val="none" w:sz="0" w:space="0" w:color="auto"/>
        <w:left w:val="none" w:sz="0" w:space="0" w:color="auto"/>
        <w:bottom w:val="none" w:sz="0" w:space="0" w:color="auto"/>
        <w:right w:val="none" w:sz="0" w:space="0" w:color="auto"/>
      </w:divBdr>
    </w:div>
    <w:div w:id="1228420352">
      <w:bodyDiv w:val="1"/>
      <w:marLeft w:val="0"/>
      <w:marRight w:val="0"/>
      <w:marTop w:val="0"/>
      <w:marBottom w:val="0"/>
      <w:divBdr>
        <w:top w:val="none" w:sz="0" w:space="0" w:color="auto"/>
        <w:left w:val="none" w:sz="0" w:space="0" w:color="auto"/>
        <w:bottom w:val="none" w:sz="0" w:space="0" w:color="auto"/>
        <w:right w:val="none" w:sz="0" w:space="0" w:color="auto"/>
      </w:divBdr>
    </w:div>
    <w:div w:id="1272469937">
      <w:bodyDiv w:val="1"/>
      <w:marLeft w:val="0"/>
      <w:marRight w:val="0"/>
      <w:marTop w:val="0"/>
      <w:marBottom w:val="0"/>
      <w:divBdr>
        <w:top w:val="none" w:sz="0" w:space="0" w:color="auto"/>
        <w:left w:val="none" w:sz="0" w:space="0" w:color="auto"/>
        <w:bottom w:val="none" w:sz="0" w:space="0" w:color="auto"/>
        <w:right w:val="none" w:sz="0" w:space="0" w:color="auto"/>
      </w:divBdr>
    </w:div>
    <w:div w:id="1415859842">
      <w:bodyDiv w:val="1"/>
      <w:marLeft w:val="0"/>
      <w:marRight w:val="0"/>
      <w:marTop w:val="0"/>
      <w:marBottom w:val="0"/>
      <w:divBdr>
        <w:top w:val="none" w:sz="0" w:space="0" w:color="auto"/>
        <w:left w:val="none" w:sz="0" w:space="0" w:color="auto"/>
        <w:bottom w:val="none" w:sz="0" w:space="0" w:color="auto"/>
        <w:right w:val="none" w:sz="0" w:space="0" w:color="auto"/>
      </w:divBdr>
    </w:div>
    <w:div w:id="1617642464">
      <w:bodyDiv w:val="1"/>
      <w:marLeft w:val="0"/>
      <w:marRight w:val="0"/>
      <w:marTop w:val="0"/>
      <w:marBottom w:val="0"/>
      <w:divBdr>
        <w:top w:val="none" w:sz="0" w:space="0" w:color="auto"/>
        <w:left w:val="none" w:sz="0" w:space="0" w:color="auto"/>
        <w:bottom w:val="none" w:sz="0" w:space="0" w:color="auto"/>
        <w:right w:val="none" w:sz="0" w:space="0" w:color="auto"/>
      </w:divBdr>
    </w:div>
    <w:div w:id="1838033326">
      <w:bodyDiv w:val="1"/>
      <w:marLeft w:val="0"/>
      <w:marRight w:val="0"/>
      <w:marTop w:val="0"/>
      <w:marBottom w:val="0"/>
      <w:divBdr>
        <w:top w:val="none" w:sz="0" w:space="0" w:color="auto"/>
        <w:left w:val="none" w:sz="0" w:space="0" w:color="auto"/>
        <w:bottom w:val="none" w:sz="0" w:space="0" w:color="auto"/>
        <w:right w:val="none" w:sz="0" w:space="0" w:color="auto"/>
      </w:divBdr>
      <w:divsChild>
        <w:div w:id="91972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dle.rae.es/negligenc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E9452E-7CFB-4517-B6A6-9A7A0A0B6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33</Pages>
  <Words>8018</Words>
  <Characters>44100</Characters>
  <Application>Microsoft Office Word</Application>
  <DocSecurity>0</DocSecurity>
  <Lines>367</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11</cp:revision>
  <cp:lastPrinted>2024-11-07T18:23:00Z</cp:lastPrinted>
  <dcterms:created xsi:type="dcterms:W3CDTF">2024-10-31T03:29:00Z</dcterms:created>
  <dcterms:modified xsi:type="dcterms:W3CDTF">2025-01-15T19:42:00Z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