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879C3" w14:textId="2BE82120" w:rsidR="00DB3C8C" w:rsidRPr="00D82D2E" w:rsidRDefault="00DB3C8C" w:rsidP="008448B3">
      <w:pP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w:t>
      </w:r>
      <w:r w:rsidR="005F081E" w:rsidRPr="00D82D2E">
        <w:rPr>
          <w:rFonts w:ascii="Palatino Linotype" w:eastAsia="Palatino Linotype" w:hAnsi="Palatino Linotype" w:cs="Palatino Linotype"/>
        </w:rPr>
        <w:t xml:space="preserve"> Estado de México, </w:t>
      </w:r>
      <w:r w:rsidR="003F5DF2" w:rsidRPr="00D82D2E">
        <w:rPr>
          <w:rFonts w:ascii="Palatino Linotype" w:eastAsia="Palatino Linotype" w:hAnsi="Palatino Linotype" w:cs="Palatino Linotype"/>
        </w:rPr>
        <w:t xml:space="preserve">de fecha </w:t>
      </w:r>
      <w:r w:rsidR="00F2017B" w:rsidRPr="00D82D2E">
        <w:rPr>
          <w:rFonts w:ascii="Palatino Linotype" w:eastAsia="Palatino Linotype" w:hAnsi="Palatino Linotype" w:cs="Palatino Linotype"/>
        </w:rPr>
        <w:t xml:space="preserve">cuatro de </w:t>
      </w:r>
      <w:r w:rsidR="008F09A3" w:rsidRPr="00D82D2E">
        <w:rPr>
          <w:rFonts w:ascii="Palatino Linotype" w:eastAsia="Palatino Linotype" w:hAnsi="Palatino Linotype" w:cs="Palatino Linotype"/>
        </w:rPr>
        <w:t>diciembre</w:t>
      </w:r>
      <w:r w:rsidRPr="00D82D2E">
        <w:rPr>
          <w:rFonts w:ascii="Palatino Linotype" w:eastAsia="Palatino Linotype" w:hAnsi="Palatino Linotype" w:cs="Palatino Linotype"/>
        </w:rPr>
        <w:t xml:space="preserve"> de dos mil veinticuatro. </w:t>
      </w:r>
    </w:p>
    <w:p w14:paraId="621C38F5" w14:textId="77777777" w:rsidR="008448B3" w:rsidRPr="00D82D2E" w:rsidRDefault="008448B3" w:rsidP="008448B3">
      <w:pPr>
        <w:spacing w:after="0" w:line="360" w:lineRule="auto"/>
        <w:ind w:right="49"/>
        <w:jc w:val="both"/>
        <w:rPr>
          <w:rFonts w:ascii="Palatino Linotype" w:eastAsia="Palatino Linotype" w:hAnsi="Palatino Linotype" w:cs="Palatino Linotype"/>
        </w:rPr>
      </w:pPr>
    </w:p>
    <w:p w14:paraId="33B27F4A" w14:textId="5C810790" w:rsidR="00DB3C8C" w:rsidRPr="00D82D2E" w:rsidRDefault="00DB3C8C" w:rsidP="008448B3">
      <w:pPr>
        <w:spacing w:after="0" w:line="360" w:lineRule="auto"/>
        <w:ind w:right="27"/>
        <w:jc w:val="both"/>
        <w:rPr>
          <w:rFonts w:ascii="Palatino Linotype" w:eastAsia="Palatino Linotype" w:hAnsi="Palatino Linotype" w:cs="Palatino Linotype"/>
          <w:b/>
        </w:rPr>
      </w:pPr>
      <w:r w:rsidRPr="00D82D2E">
        <w:rPr>
          <w:rFonts w:ascii="Palatino Linotype" w:eastAsia="Palatino Linotype" w:hAnsi="Palatino Linotype" w:cs="Palatino Linotype"/>
        </w:rPr>
        <w:t xml:space="preserve">Visto el expediente relativo al recurso de revisión </w:t>
      </w:r>
      <w:r w:rsidR="00F2017B" w:rsidRPr="00D82D2E">
        <w:rPr>
          <w:rFonts w:ascii="Palatino Linotype" w:eastAsia="Palatino Linotype" w:hAnsi="Palatino Linotype" w:cs="Palatino Linotype"/>
          <w:b/>
        </w:rPr>
        <w:t>07179</w:t>
      </w:r>
      <w:r w:rsidRPr="00D82D2E">
        <w:rPr>
          <w:rFonts w:ascii="Palatino Linotype" w:eastAsia="Palatino Linotype" w:hAnsi="Palatino Linotype" w:cs="Palatino Linotype"/>
          <w:b/>
        </w:rPr>
        <w:t>/INFOEM/IP/RR/2024</w:t>
      </w:r>
      <w:r w:rsidRPr="00D82D2E">
        <w:rPr>
          <w:rFonts w:ascii="Palatino Linotype" w:eastAsia="Palatino Linotype" w:hAnsi="Palatino Linotype" w:cs="Palatino Linotype"/>
        </w:rPr>
        <w:t>, interpuesto por</w:t>
      </w:r>
      <w:r w:rsidRPr="00D82D2E">
        <w:rPr>
          <w:rFonts w:ascii="Palatino Linotype" w:eastAsia="Palatino Linotype" w:hAnsi="Palatino Linotype" w:cs="Palatino Linotype"/>
          <w:b/>
        </w:rPr>
        <w:t xml:space="preserve"> </w:t>
      </w:r>
      <w:r w:rsidR="00F2017B" w:rsidRPr="00D82D2E">
        <w:rPr>
          <w:rFonts w:ascii="Palatino Linotype" w:eastAsia="Palatino Linotype" w:hAnsi="Palatino Linotype" w:cs="Palatino Linotype"/>
          <w:b/>
        </w:rPr>
        <w:t>una persona usuaria del Sistema de Acceso a la Información Mexiquense</w:t>
      </w:r>
      <w:r w:rsidRPr="00D82D2E">
        <w:rPr>
          <w:rFonts w:ascii="Palatino Linotype" w:eastAsia="Palatino Linotype" w:hAnsi="Palatino Linotype" w:cs="Palatino Linotype"/>
        </w:rPr>
        <w:t xml:space="preserve">, al cual en lo sucesivo se le denominará la parte </w:t>
      </w:r>
      <w:r w:rsidRPr="00D82D2E">
        <w:rPr>
          <w:rFonts w:ascii="Palatino Linotype" w:eastAsia="Palatino Linotype" w:hAnsi="Palatino Linotype" w:cs="Palatino Linotype"/>
          <w:b/>
        </w:rPr>
        <w:t>Recurrente</w:t>
      </w:r>
      <w:r w:rsidRPr="00D82D2E">
        <w:rPr>
          <w:rFonts w:ascii="Palatino Linotype" w:eastAsia="Palatino Linotype" w:hAnsi="Palatino Linotype" w:cs="Palatino Linotype"/>
        </w:rPr>
        <w:t xml:space="preserve">, en contra de la respuesta a su solicitud de información identificada con número de folio </w:t>
      </w:r>
      <w:r w:rsidR="00F2017B" w:rsidRPr="00D82D2E">
        <w:rPr>
          <w:rFonts w:ascii="Palatino Linotype" w:eastAsia="Palatino Linotype" w:hAnsi="Palatino Linotype" w:cs="Palatino Linotype"/>
          <w:b/>
        </w:rPr>
        <w:t>01087</w:t>
      </w:r>
      <w:r w:rsidR="007D64D4" w:rsidRPr="00D82D2E">
        <w:rPr>
          <w:rFonts w:ascii="Palatino Linotype" w:eastAsia="Palatino Linotype" w:hAnsi="Palatino Linotype" w:cs="Palatino Linotype"/>
          <w:b/>
        </w:rPr>
        <w:t>/</w:t>
      </w:r>
      <w:r w:rsidR="00F2017B" w:rsidRPr="00D82D2E">
        <w:rPr>
          <w:rFonts w:ascii="Palatino Linotype" w:eastAsia="Palatino Linotype" w:hAnsi="Palatino Linotype" w:cs="Palatino Linotype"/>
          <w:b/>
        </w:rPr>
        <w:t>UAEM</w:t>
      </w:r>
      <w:r w:rsidRPr="00D82D2E">
        <w:rPr>
          <w:rFonts w:ascii="Palatino Linotype" w:eastAsia="Palatino Linotype" w:hAnsi="Palatino Linotype" w:cs="Palatino Linotype"/>
          <w:b/>
        </w:rPr>
        <w:t xml:space="preserve">/IP/2024 </w:t>
      </w:r>
      <w:r w:rsidRPr="00D82D2E">
        <w:rPr>
          <w:rFonts w:ascii="Palatino Linotype" w:eastAsia="Palatino Linotype" w:hAnsi="Palatino Linotype" w:cs="Palatino Linotype"/>
        </w:rPr>
        <w:t>proporcionada por parte de</w:t>
      </w:r>
      <w:r w:rsidR="00F2017B" w:rsidRPr="00D82D2E">
        <w:rPr>
          <w:rFonts w:ascii="Palatino Linotype" w:eastAsia="Palatino Linotype" w:hAnsi="Palatino Linotype" w:cs="Palatino Linotype"/>
        </w:rPr>
        <w:t xml:space="preserve"> </w:t>
      </w:r>
      <w:r w:rsidRPr="00D82D2E">
        <w:rPr>
          <w:rFonts w:ascii="Palatino Linotype" w:eastAsia="Palatino Linotype" w:hAnsi="Palatino Linotype" w:cs="Palatino Linotype"/>
        </w:rPr>
        <w:t>l</w:t>
      </w:r>
      <w:r w:rsidR="00F2017B" w:rsidRPr="00D82D2E">
        <w:rPr>
          <w:rFonts w:ascii="Palatino Linotype" w:eastAsia="Palatino Linotype" w:hAnsi="Palatino Linotype" w:cs="Palatino Linotype"/>
        </w:rPr>
        <w:t>a</w:t>
      </w:r>
      <w:r w:rsidRPr="00D82D2E">
        <w:rPr>
          <w:rFonts w:ascii="Palatino Linotype" w:eastAsia="Palatino Linotype" w:hAnsi="Palatino Linotype" w:cs="Palatino Linotype"/>
        </w:rPr>
        <w:t xml:space="preserve"> </w:t>
      </w:r>
      <w:r w:rsidR="00F2017B" w:rsidRPr="00D82D2E">
        <w:rPr>
          <w:rFonts w:ascii="Palatino Linotype" w:eastAsia="Palatino Linotype" w:hAnsi="Palatino Linotype" w:cs="Palatino Linotype"/>
          <w:b/>
        </w:rPr>
        <w:t>Universidad Autónoma del Estado de México</w:t>
      </w:r>
      <w:r w:rsidRPr="00D82D2E">
        <w:rPr>
          <w:rFonts w:ascii="Palatino Linotype" w:eastAsia="Palatino Linotype" w:hAnsi="Palatino Linotype" w:cs="Palatino Linotype"/>
          <w:b/>
        </w:rPr>
        <w:t xml:space="preserve">, </w:t>
      </w:r>
      <w:r w:rsidRPr="00D82D2E">
        <w:rPr>
          <w:rFonts w:ascii="Palatino Linotype" w:eastAsia="Palatino Linotype" w:hAnsi="Palatino Linotype" w:cs="Palatino Linotype"/>
        </w:rPr>
        <w:t xml:space="preserve">en lo sucesivo el </w:t>
      </w:r>
      <w:r w:rsidRPr="00D82D2E">
        <w:rPr>
          <w:rFonts w:ascii="Palatino Linotype" w:eastAsia="Palatino Linotype" w:hAnsi="Palatino Linotype" w:cs="Palatino Linotype"/>
          <w:b/>
        </w:rPr>
        <w:t>Sujeto Obligado</w:t>
      </w:r>
      <w:r w:rsidRPr="00D82D2E">
        <w:rPr>
          <w:rFonts w:ascii="Palatino Linotype" w:eastAsia="Palatino Linotype" w:hAnsi="Palatino Linotype" w:cs="Palatino Linotype"/>
        </w:rPr>
        <w:t>; se procede a dictar la presente resolución, con base en los siguientes:</w:t>
      </w:r>
      <w:r w:rsidR="005E34A6" w:rsidRPr="00D82D2E">
        <w:rPr>
          <w:rFonts w:ascii="Palatino Linotype" w:eastAsia="Palatino Linotype" w:hAnsi="Palatino Linotype" w:cs="Palatino Linotype"/>
          <w:b/>
        </w:rPr>
        <w:t xml:space="preserve"> </w:t>
      </w:r>
    </w:p>
    <w:p w14:paraId="6FC1FF52" w14:textId="77777777" w:rsidR="008448B3" w:rsidRPr="00D82D2E" w:rsidRDefault="008448B3" w:rsidP="008448B3">
      <w:pPr>
        <w:spacing w:after="0" w:line="360" w:lineRule="auto"/>
        <w:ind w:right="27"/>
        <w:jc w:val="both"/>
        <w:rPr>
          <w:rFonts w:ascii="Palatino Linotype" w:eastAsia="Palatino Linotype" w:hAnsi="Palatino Linotype" w:cs="Palatino Linotype"/>
          <w:b/>
        </w:rPr>
      </w:pPr>
    </w:p>
    <w:p w14:paraId="2012F581" w14:textId="77777777" w:rsidR="00DB3C8C" w:rsidRPr="00D82D2E" w:rsidRDefault="00DB3C8C" w:rsidP="008448B3">
      <w:pPr>
        <w:numPr>
          <w:ilvl w:val="0"/>
          <w:numId w:val="4"/>
        </w:numPr>
        <w:pBdr>
          <w:top w:val="nil"/>
          <w:left w:val="nil"/>
          <w:bottom w:val="nil"/>
          <w:right w:val="nil"/>
          <w:between w:val="nil"/>
        </w:pBdr>
        <w:spacing w:after="0" w:line="360" w:lineRule="auto"/>
        <w:ind w:right="49"/>
        <w:jc w:val="center"/>
        <w:rPr>
          <w:rFonts w:ascii="Palatino Linotype" w:eastAsia="Palatino Linotype" w:hAnsi="Palatino Linotype" w:cs="Palatino Linotype"/>
          <w:b/>
          <w:color w:val="000000"/>
        </w:rPr>
      </w:pPr>
      <w:r w:rsidRPr="00D82D2E">
        <w:rPr>
          <w:rFonts w:ascii="Palatino Linotype" w:eastAsia="Palatino Linotype" w:hAnsi="Palatino Linotype" w:cs="Palatino Linotype"/>
          <w:b/>
          <w:color w:val="000000"/>
        </w:rPr>
        <w:t>A N T E C E D E N T E S</w:t>
      </w:r>
    </w:p>
    <w:p w14:paraId="006CD159" w14:textId="77777777" w:rsidR="008448B3" w:rsidRPr="00D82D2E" w:rsidRDefault="008448B3" w:rsidP="008448B3">
      <w:pPr>
        <w:pBdr>
          <w:top w:val="nil"/>
          <w:left w:val="nil"/>
          <w:bottom w:val="nil"/>
          <w:right w:val="nil"/>
          <w:between w:val="nil"/>
        </w:pBdr>
        <w:spacing w:after="0" w:line="360" w:lineRule="auto"/>
        <w:ind w:left="1080" w:right="49"/>
        <w:rPr>
          <w:rFonts w:ascii="Palatino Linotype" w:eastAsia="Palatino Linotype" w:hAnsi="Palatino Linotype" w:cs="Palatino Linotype"/>
          <w:b/>
          <w:color w:val="000000"/>
        </w:rPr>
      </w:pPr>
    </w:p>
    <w:p w14:paraId="417AC1E5" w14:textId="390C073D" w:rsidR="00DB3C8C" w:rsidRPr="00D82D2E" w:rsidRDefault="00DB3C8C" w:rsidP="008448B3">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82D2E">
        <w:rPr>
          <w:rFonts w:ascii="Palatino Linotype" w:eastAsia="Palatino Linotype" w:hAnsi="Palatino Linotype" w:cs="Palatino Linotype"/>
          <w:b/>
        </w:rPr>
        <w:t>Solicitud de acceso a la información.</w:t>
      </w:r>
      <w:r w:rsidRPr="00D82D2E">
        <w:rPr>
          <w:rFonts w:ascii="Palatino Linotype" w:eastAsia="Palatino Linotype" w:hAnsi="Palatino Linotype" w:cs="Palatino Linotype"/>
        </w:rPr>
        <w:t xml:space="preserve"> Con fecha</w:t>
      </w:r>
      <w:r w:rsidR="007F466F" w:rsidRPr="00D82D2E">
        <w:rPr>
          <w:rFonts w:ascii="Palatino Linotype" w:eastAsia="Palatino Linotype" w:hAnsi="Palatino Linotype" w:cs="Palatino Linotype"/>
          <w:b/>
        </w:rPr>
        <w:t xml:space="preserve"> </w:t>
      </w:r>
      <w:r w:rsidR="00F2017B" w:rsidRPr="00D82D2E">
        <w:rPr>
          <w:rFonts w:ascii="Palatino Linotype" w:eastAsia="Palatino Linotype" w:hAnsi="Palatino Linotype" w:cs="Palatino Linotype"/>
          <w:b/>
        </w:rPr>
        <w:t>dieciocho de octubre</w:t>
      </w:r>
      <w:r w:rsidR="007F466F" w:rsidRPr="00D82D2E">
        <w:rPr>
          <w:rFonts w:ascii="Palatino Linotype" w:eastAsia="Palatino Linotype" w:hAnsi="Palatino Linotype" w:cs="Palatino Linotype"/>
          <w:b/>
        </w:rPr>
        <w:t xml:space="preserve"> </w:t>
      </w:r>
      <w:r w:rsidRPr="00D82D2E">
        <w:rPr>
          <w:rFonts w:ascii="Palatino Linotype" w:eastAsia="Palatino Linotype" w:hAnsi="Palatino Linotype" w:cs="Palatino Linotype"/>
          <w:b/>
        </w:rPr>
        <w:t xml:space="preserve">de dos mil veinticuatro </w:t>
      </w:r>
      <w:r w:rsidRPr="00D82D2E">
        <w:rPr>
          <w:rFonts w:ascii="Palatino Linotype" w:eastAsia="Palatino Linotype" w:hAnsi="Palatino Linotype" w:cs="Palatino Linotype"/>
        </w:rPr>
        <w:t xml:space="preserve">la parte </w:t>
      </w:r>
      <w:r w:rsidRPr="00D82D2E">
        <w:rPr>
          <w:rFonts w:ascii="Palatino Linotype" w:eastAsia="Palatino Linotype" w:hAnsi="Palatino Linotype" w:cs="Palatino Linotype"/>
          <w:b/>
        </w:rPr>
        <w:t>Recurrente</w:t>
      </w:r>
      <w:r w:rsidRPr="00D82D2E">
        <w:rPr>
          <w:rFonts w:ascii="Palatino Linotype" w:eastAsia="Palatino Linotype" w:hAnsi="Palatino Linotype" w:cs="Palatino Linotype"/>
        </w:rPr>
        <w:t xml:space="preserve"> formuló solicitud de acceso a información pública al</w:t>
      </w:r>
      <w:r w:rsidRPr="00D82D2E">
        <w:rPr>
          <w:rFonts w:ascii="Palatino Linotype" w:eastAsia="Palatino Linotype" w:hAnsi="Palatino Linotype" w:cs="Palatino Linotype"/>
          <w:b/>
        </w:rPr>
        <w:t xml:space="preserve"> Sujeto Obligado</w:t>
      </w:r>
      <w:r w:rsidRPr="00D82D2E">
        <w:rPr>
          <w:rFonts w:ascii="Palatino Linotype" w:eastAsia="Palatino Linotype" w:hAnsi="Palatino Linotype" w:cs="Palatino Linotype"/>
        </w:rPr>
        <w:t xml:space="preserve"> a través del Sistema de Acceso a la Información Mexiquense, en adelante SAIMEX, en la que requirió lo siguiente: </w:t>
      </w:r>
    </w:p>
    <w:p w14:paraId="69A7EDD0" w14:textId="77777777" w:rsidR="008448B3" w:rsidRPr="00D82D2E" w:rsidRDefault="008448B3" w:rsidP="008448B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6ED2170" w14:textId="48B6E718" w:rsidR="00DB3C8C" w:rsidRPr="00D82D2E" w:rsidRDefault="007F466F" w:rsidP="007D64D4">
      <w:pPr>
        <w:spacing w:after="0" w:line="276" w:lineRule="auto"/>
        <w:ind w:left="567" w:right="616"/>
        <w:jc w:val="both"/>
        <w:rPr>
          <w:rFonts w:ascii="Palatino Linotype" w:eastAsia="Palatino Linotype" w:hAnsi="Palatino Linotype" w:cs="Palatino Linotype"/>
          <w:i/>
        </w:rPr>
      </w:pPr>
      <w:bookmarkStart w:id="0" w:name="_Hlk169777192"/>
      <w:r w:rsidRPr="00D82D2E">
        <w:rPr>
          <w:rFonts w:ascii="Palatino Linotype" w:eastAsia="Palatino Linotype" w:hAnsi="Palatino Linotype" w:cs="Palatino Linotype"/>
          <w:i/>
        </w:rPr>
        <w:t>“</w:t>
      </w:r>
      <w:bookmarkEnd w:id="0"/>
      <w:r w:rsidR="00F2017B" w:rsidRPr="00D82D2E">
        <w:rPr>
          <w:rFonts w:ascii="Palatino Linotype" w:eastAsia="Palatino Linotype" w:hAnsi="Palatino Linotype" w:cs="Palatino Linotype"/>
          <w:i/>
        </w:rPr>
        <w:t xml:space="preserve">Requiero conocer </w:t>
      </w:r>
      <w:proofErr w:type="gramStart"/>
      <w:r w:rsidR="00F2017B" w:rsidRPr="00D82D2E">
        <w:rPr>
          <w:rFonts w:ascii="Palatino Linotype" w:eastAsia="Palatino Linotype" w:hAnsi="Palatino Linotype" w:cs="Palatino Linotype"/>
          <w:i/>
        </w:rPr>
        <w:t>la personas registradas</w:t>
      </w:r>
      <w:proofErr w:type="gramEnd"/>
      <w:r w:rsidR="00F2017B" w:rsidRPr="00D82D2E">
        <w:rPr>
          <w:rFonts w:ascii="Palatino Linotype" w:eastAsia="Palatino Linotype" w:hAnsi="Palatino Linotype" w:cs="Palatino Linotype"/>
          <w:i/>
        </w:rPr>
        <w:t xml:space="preserve">, </w:t>
      </w:r>
      <w:proofErr w:type="spellStart"/>
      <w:r w:rsidR="00F2017B" w:rsidRPr="00D82D2E">
        <w:rPr>
          <w:rFonts w:ascii="Palatino Linotype" w:eastAsia="Palatino Linotype" w:hAnsi="Palatino Linotype" w:cs="Palatino Linotype"/>
          <w:i/>
        </w:rPr>
        <w:t>numero</w:t>
      </w:r>
      <w:proofErr w:type="spellEnd"/>
      <w:r w:rsidR="00F2017B" w:rsidRPr="00D82D2E">
        <w:rPr>
          <w:rFonts w:ascii="Palatino Linotype" w:eastAsia="Palatino Linotype" w:hAnsi="Palatino Linotype" w:cs="Palatino Linotype"/>
          <w:i/>
        </w:rPr>
        <w:t xml:space="preserve"> de cuenta, monto de cada una de sus aportaciones para el retiro de los trabajadores universitarios.</w:t>
      </w:r>
    </w:p>
    <w:p w14:paraId="6A5B4464" w14:textId="77777777" w:rsidR="008448B3" w:rsidRPr="00D82D2E" w:rsidRDefault="008448B3" w:rsidP="008448B3">
      <w:pPr>
        <w:spacing w:after="0" w:line="276" w:lineRule="auto"/>
        <w:ind w:left="567" w:right="616"/>
        <w:jc w:val="both"/>
        <w:rPr>
          <w:rFonts w:ascii="Palatino Linotype" w:eastAsia="Palatino Linotype" w:hAnsi="Palatino Linotype" w:cs="Palatino Linotype"/>
          <w:i/>
        </w:rPr>
      </w:pPr>
    </w:p>
    <w:p w14:paraId="522870B2" w14:textId="77777777" w:rsidR="00DB3C8C" w:rsidRPr="00D82D2E" w:rsidRDefault="00DB3C8C" w:rsidP="008448B3">
      <w:pPr>
        <w:spacing w:after="0"/>
        <w:ind w:right="1183"/>
        <w:jc w:val="both"/>
        <w:rPr>
          <w:rFonts w:ascii="Palatino Linotype" w:eastAsia="Palatino Linotype" w:hAnsi="Palatino Linotype" w:cs="Palatino Linotype"/>
        </w:rPr>
      </w:pPr>
      <w:r w:rsidRPr="00D82D2E">
        <w:rPr>
          <w:rFonts w:ascii="Palatino Linotype" w:eastAsia="Palatino Linotype" w:hAnsi="Palatino Linotype" w:cs="Palatino Linotype"/>
          <w:b/>
        </w:rPr>
        <w:t>Modalidad elegida para la entrega de la información:</w:t>
      </w:r>
      <w:r w:rsidRPr="00D82D2E">
        <w:rPr>
          <w:rFonts w:ascii="Palatino Linotype" w:eastAsia="Palatino Linotype" w:hAnsi="Palatino Linotype" w:cs="Palatino Linotype"/>
        </w:rPr>
        <w:t xml:space="preserve"> </w:t>
      </w:r>
      <w:r w:rsidRPr="00D82D2E">
        <w:rPr>
          <w:rFonts w:ascii="Palatino Linotype" w:eastAsia="Palatino Linotype" w:hAnsi="Palatino Linotype" w:cs="Palatino Linotype"/>
          <w:color w:val="000000"/>
        </w:rPr>
        <w:t xml:space="preserve">a través de </w:t>
      </w:r>
      <w:r w:rsidRPr="00D82D2E">
        <w:rPr>
          <w:rFonts w:ascii="Palatino Linotype" w:eastAsia="Palatino Linotype" w:hAnsi="Palatino Linotype" w:cs="Palatino Linotype"/>
        </w:rPr>
        <w:t>SAIMEX.</w:t>
      </w:r>
    </w:p>
    <w:p w14:paraId="07769744" w14:textId="77777777" w:rsidR="008448B3" w:rsidRPr="00D82D2E" w:rsidRDefault="008448B3" w:rsidP="008448B3">
      <w:pPr>
        <w:spacing w:after="0"/>
        <w:ind w:right="1183"/>
        <w:jc w:val="both"/>
        <w:rPr>
          <w:rFonts w:ascii="Palatino Linotype" w:eastAsia="Palatino Linotype" w:hAnsi="Palatino Linotype" w:cs="Palatino Linotype"/>
        </w:rPr>
      </w:pPr>
    </w:p>
    <w:p w14:paraId="4450F335" w14:textId="4BB656FF" w:rsidR="00DB3C8C" w:rsidRPr="00D82D2E" w:rsidRDefault="00DB3C8C" w:rsidP="008448B3">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i/>
        </w:rPr>
      </w:pPr>
      <w:r w:rsidRPr="00D82D2E">
        <w:rPr>
          <w:rFonts w:ascii="Palatino Linotype" w:eastAsia="Palatino Linotype" w:hAnsi="Palatino Linotype" w:cs="Palatino Linotype"/>
          <w:b/>
        </w:rPr>
        <w:t>Respuesta.</w:t>
      </w:r>
      <w:r w:rsidRPr="00D82D2E">
        <w:rPr>
          <w:rFonts w:ascii="Palatino Linotype" w:eastAsia="Palatino Linotype" w:hAnsi="Palatino Linotype" w:cs="Palatino Linotype"/>
        </w:rPr>
        <w:t xml:space="preserve"> </w:t>
      </w:r>
      <w:r w:rsidR="008448B3" w:rsidRPr="00D82D2E">
        <w:rPr>
          <w:rFonts w:ascii="Palatino Linotype" w:eastAsia="Palatino Linotype" w:hAnsi="Palatino Linotype" w:cs="Palatino Linotype"/>
        </w:rPr>
        <w:t xml:space="preserve">El </w:t>
      </w:r>
      <w:r w:rsidR="00F2017B" w:rsidRPr="00D82D2E">
        <w:rPr>
          <w:rFonts w:ascii="Palatino Linotype" w:eastAsia="Palatino Linotype" w:hAnsi="Palatino Linotype" w:cs="Palatino Linotype"/>
          <w:b/>
        </w:rPr>
        <w:t>once de noviembre</w:t>
      </w:r>
      <w:r w:rsidR="008448B3" w:rsidRPr="00D82D2E">
        <w:rPr>
          <w:rFonts w:ascii="Palatino Linotype" w:eastAsia="Palatino Linotype" w:hAnsi="Palatino Linotype" w:cs="Palatino Linotype"/>
          <w:b/>
        </w:rPr>
        <w:t xml:space="preserve"> de dos mil veinticuatro</w:t>
      </w:r>
      <w:r w:rsidR="008448B3" w:rsidRPr="00D82D2E">
        <w:rPr>
          <w:rFonts w:ascii="Palatino Linotype" w:eastAsia="Palatino Linotype" w:hAnsi="Palatino Linotype" w:cs="Palatino Linotype"/>
        </w:rPr>
        <w:t xml:space="preserve">, el </w:t>
      </w:r>
      <w:r w:rsidR="008448B3" w:rsidRPr="00D82D2E">
        <w:rPr>
          <w:rFonts w:ascii="Palatino Linotype" w:eastAsia="Palatino Linotype" w:hAnsi="Palatino Linotype" w:cs="Palatino Linotype"/>
          <w:b/>
        </w:rPr>
        <w:t xml:space="preserve">SUJETO OBLIGADO </w:t>
      </w:r>
      <w:r w:rsidR="008448B3" w:rsidRPr="00D82D2E">
        <w:rPr>
          <w:rFonts w:ascii="Palatino Linotype" w:eastAsia="Palatino Linotype" w:hAnsi="Palatino Linotype" w:cs="Palatino Linotype"/>
        </w:rPr>
        <w:t xml:space="preserve">emitió respuesta al tenor de lo siguiente: </w:t>
      </w:r>
    </w:p>
    <w:p w14:paraId="3FF1D426" w14:textId="77777777" w:rsidR="008448B3" w:rsidRPr="00D82D2E" w:rsidRDefault="008448B3" w:rsidP="008448B3">
      <w:pPr>
        <w:pBdr>
          <w:top w:val="nil"/>
          <w:left w:val="nil"/>
          <w:bottom w:val="nil"/>
          <w:right w:val="nil"/>
          <w:between w:val="nil"/>
        </w:pBdr>
        <w:spacing w:after="0" w:line="360" w:lineRule="auto"/>
        <w:ind w:right="49"/>
        <w:jc w:val="both"/>
        <w:rPr>
          <w:rFonts w:ascii="Palatino Linotype" w:eastAsia="Palatino Linotype" w:hAnsi="Palatino Linotype" w:cs="Palatino Linotype"/>
          <w:i/>
        </w:rPr>
      </w:pPr>
    </w:p>
    <w:p w14:paraId="45C7925B" w14:textId="77777777" w:rsidR="00EB5EE8" w:rsidRPr="00D82D2E" w:rsidRDefault="00EB5EE8" w:rsidP="00EB5EE8">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3B64878D" w14:textId="14468BFF" w:rsidR="008448B3" w:rsidRPr="00D82D2E" w:rsidRDefault="00EB5EE8" w:rsidP="00EB5EE8">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En respuesta a la solicitud de acceso a la información pública con número de folio 01087/UAEM/IP/2024,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w:t>
      </w:r>
      <w:r w:rsidRPr="00D82D2E">
        <w:rPr>
          <w:rFonts w:ascii="Palatino Linotype" w:eastAsia="Palatino Linotype" w:hAnsi="Palatino Linotype" w:cs="Palatino Linotype"/>
          <w:b/>
          <w:i/>
          <w:u w:val="single"/>
        </w:rPr>
        <w:t>hacemos de su conocimiento con base en la información proporcionada por la Dirección de Recursos Humanos que al tratarse de datos bancarios la información requerida se encuentra tutelada por la legislación en materia de protección de datos personales, por lo cual, no es posible proporcionarla.</w:t>
      </w:r>
      <w:r w:rsidRPr="00D82D2E">
        <w:rPr>
          <w:rFonts w:ascii="Palatino Linotype" w:eastAsia="Palatino Linotype" w:hAnsi="Palatino Linotype" w:cs="Palatino Linotype"/>
          <w:i/>
        </w:rPr>
        <w:t xml:space="preserve">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p w14:paraId="411A6606" w14:textId="77777777" w:rsidR="00EB5EE8" w:rsidRPr="00D82D2E" w:rsidRDefault="00EB5EE8" w:rsidP="003948E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693A4F1" w14:textId="1BE5561E" w:rsidR="00EB5EE8" w:rsidRPr="00D82D2E" w:rsidRDefault="00DB3C8C" w:rsidP="00EB5EE8">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i/>
        </w:rPr>
      </w:pPr>
      <w:r w:rsidRPr="00D82D2E">
        <w:rPr>
          <w:rFonts w:ascii="Palatino Linotype" w:eastAsia="Palatino Linotype" w:hAnsi="Palatino Linotype" w:cs="Palatino Linotype"/>
          <w:b/>
          <w:color w:val="000000"/>
        </w:rPr>
        <w:t xml:space="preserve">Recurso de Revisión.  </w:t>
      </w:r>
      <w:r w:rsidRPr="00D82D2E">
        <w:rPr>
          <w:rFonts w:ascii="Palatino Linotype" w:eastAsia="Palatino Linotype" w:hAnsi="Palatino Linotype" w:cs="Palatino Linotype"/>
        </w:rPr>
        <w:t xml:space="preserve">Inconforme la parte solicitante con la respuesta del </w:t>
      </w:r>
      <w:r w:rsidRPr="00D82D2E">
        <w:rPr>
          <w:rFonts w:ascii="Palatino Linotype" w:eastAsia="Palatino Linotype" w:hAnsi="Palatino Linotype" w:cs="Palatino Linotype"/>
          <w:b/>
        </w:rPr>
        <w:t>SUJETO OBLIGADO</w:t>
      </w:r>
      <w:r w:rsidRPr="00D82D2E">
        <w:rPr>
          <w:rFonts w:ascii="Palatino Linotype" w:eastAsia="Palatino Linotype" w:hAnsi="Palatino Linotype" w:cs="Palatino Linotype"/>
        </w:rPr>
        <w:t xml:space="preserve">, interpuso recurso de revisión a través del SAIMEX el </w:t>
      </w:r>
      <w:r w:rsidR="00EB5EE8" w:rsidRPr="00D82D2E">
        <w:rPr>
          <w:rFonts w:ascii="Palatino Linotype" w:eastAsia="Palatino Linotype" w:hAnsi="Palatino Linotype" w:cs="Palatino Linotype"/>
          <w:b/>
        </w:rPr>
        <w:t>trece de noviembre</w:t>
      </w:r>
      <w:r w:rsidR="00A3560C" w:rsidRPr="00D82D2E">
        <w:rPr>
          <w:rFonts w:ascii="Palatino Linotype" w:eastAsia="Palatino Linotype" w:hAnsi="Palatino Linotype" w:cs="Palatino Linotype"/>
          <w:b/>
        </w:rPr>
        <w:t xml:space="preserve"> de dos mil veinticuatro</w:t>
      </w:r>
      <w:r w:rsidRPr="00D82D2E">
        <w:rPr>
          <w:rFonts w:ascii="Palatino Linotype" w:eastAsia="Palatino Linotype" w:hAnsi="Palatino Linotype" w:cs="Palatino Linotype"/>
          <w:b/>
        </w:rPr>
        <w:t>,</w:t>
      </w:r>
      <w:r w:rsidRPr="00D82D2E">
        <w:rPr>
          <w:rFonts w:ascii="Palatino Linotype" w:eastAsia="Palatino Linotype" w:hAnsi="Palatino Linotype" w:cs="Palatino Linotype"/>
        </w:rPr>
        <w:t xml:space="preserve"> expresando lo siguiente:</w:t>
      </w:r>
    </w:p>
    <w:p w14:paraId="48257E3D" w14:textId="77777777" w:rsidR="00EB5EE8" w:rsidRPr="00D82D2E" w:rsidRDefault="00EB5EE8" w:rsidP="00EB5EE8">
      <w:pPr>
        <w:pBdr>
          <w:top w:val="nil"/>
          <w:left w:val="nil"/>
          <w:bottom w:val="nil"/>
          <w:right w:val="nil"/>
          <w:between w:val="nil"/>
        </w:pBdr>
        <w:spacing w:after="0" w:line="360" w:lineRule="auto"/>
        <w:ind w:right="49"/>
        <w:jc w:val="both"/>
        <w:rPr>
          <w:rFonts w:ascii="Palatino Linotype" w:eastAsia="Palatino Linotype" w:hAnsi="Palatino Linotype" w:cs="Palatino Linotype"/>
          <w:i/>
        </w:rPr>
      </w:pPr>
    </w:p>
    <w:p w14:paraId="2527454A" w14:textId="034B94C2" w:rsidR="00A3560C" w:rsidRPr="00D82D2E" w:rsidRDefault="00DB3C8C" w:rsidP="008F09A3">
      <w:pPr>
        <w:spacing w:after="0" w:line="360" w:lineRule="auto"/>
        <w:ind w:left="567"/>
        <w:jc w:val="both"/>
        <w:rPr>
          <w:rFonts w:ascii="Palatino Linotype" w:eastAsia="Palatino Linotype" w:hAnsi="Palatino Linotype" w:cs="Palatino Linotype"/>
          <w:i/>
        </w:rPr>
      </w:pPr>
      <w:r w:rsidRPr="00D82D2E">
        <w:rPr>
          <w:rFonts w:ascii="Palatino Linotype" w:eastAsia="Palatino Linotype" w:hAnsi="Palatino Linotype" w:cs="Palatino Linotype"/>
          <w:b/>
        </w:rPr>
        <w:t>Acto impugnado.</w:t>
      </w:r>
      <w:r w:rsidR="00A3560C" w:rsidRPr="00D82D2E">
        <w:t xml:space="preserve"> </w:t>
      </w:r>
      <w:r w:rsidR="00A3560C" w:rsidRPr="00D82D2E">
        <w:rPr>
          <w:rFonts w:ascii="Palatino Linotype" w:hAnsi="Palatino Linotype"/>
          <w:i/>
        </w:rPr>
        <w:t>“</w:t>
      </w:r>
      <w:r w:rsidR="00EB5EE8" w:rsidRPr="00D82D2E">
        <w:rPr>
          <w:rFonts w:ascii="Palatino Linotype" w:hAnsi="Palatino Linotype"/>
          <w:i/>
        </w:rPr>
        <w:t>La respuesta del Sujeto Obligado</w:t>
      </w:r>
      <w:r w:rsidR="004B21F5" w:rsidRPr="00D82D2E">
        <w:rPr>
          <w:rFonts w:ascii="Palatino Linotype" w:hAnsi="Palatino Linotype"/>
          <w:i/>
        </w:rPr>
        <w:t>.</w:t>
      </w:r>
      <w:r w:rsidR="00A3560C" w:rsidRPr="00D82D2E">
        <w:rPr>
          <w:rFonts w:ascii="Palatino Linotype" w:eastAsia="Palatino Linotype" w:hAnsi="Palatino Linotype" w:cs="Palatino Linotype"/>
          <w:i/>
        </w:rPr>
        <w:t>”</w:t>
      </w:r>
    </w:p>
    <w:p w14:paraId="511C8086" w14:textId="0DB6D833" w:rsidR="004B21F5" w:rsidRPr="00D82D2E" w:rsidRDefault="00DB3C8C" w:rsidP="00C8003E">
      <w:pPr>
        <w:spacing w:after="0" w:line="360" w:lineRule="auto"/>
        <w:ind w:left="567"/>
        <w:jc w:val="both"/>
        <w:rPr>
          <w:rFonts w:ascii="Palatino Linotype" w:eastAsia="Palatino Linotype" w:hAnsi="Palatino Linotype" w:cs="Palatino Linotype"/>
          <w:i/>
          <w:color w:val="000000"/>
        </w:rPr>
      </w:pPr>
      <w:r w:rsidRPr="00D82D2E">
        <w:rPr>
          <w:rFonts w:ascii="Palatino Linotype" w:eastAsia="Palatino Linotype" w:hAnsi="Palatino Linotype" w:cs="Palatino Linotype"/>
          <w:b/>
        </w:rPr>
        <w:lastRenderedPageBreak/>
        <w:t>Motivos de inconformidad.</w:t>
      </w:r>
      <w:r w:rsidR="00A3560C" w:rsidRPr="00D82D2E">
        <w:rPr>
          <w:rFonts w:ascii="Palatino Linotype" w:eastAsia="Palatino Linotype" w:hAnsi="Palatino Linotype" w:cs="Palatino Linotype"/>
          <w:b/>
        </w:rPr>
        <w:t xml:space="preserve"> </w:t>
      </w:r>
      <w:r w:rsidRPr="00D82D2E">
        <w:rPr>
          <w:rFonts w:ascii="Palatino Linotype" w:eastAsia="Palatino Linotype" w:hAnsi="Palatino Linotype" w:cs="Palatino Linotype"/>
          <w:i/>
          <w:color w:val="000000"/>
        </w:rPr>
        <w:t>“</w:t>
      </w:r>
      <w:r w:rsidR="00EB5EE8" w:rsidRPr="00D82D2E">
        <w:rPr>
          <w:rFonts w:ascii="Palatino Linotype" w:eastAsia="Palatino Linotype" w:hAnsi="Palatino Linotype" w:cs="Palatino Linotype"/>
          <w:i/>
          <w:color w:val="000000"/>
        </w:rPr>
        <w:t>No me entregaron lo solicitado.</w:t>
      </w:r>
      <w:r w:rsidRPr="00D82D2E">
        <w:rPr>
          <w:rFonts w:ascii="Palatino Linotype" w:eastAsia="Palatino Linotype" w:hAnsi="Palatino Linotype" w:cs="Palatino Linotype"/>
          <w:i/>
          <w:color w:val="000000"/>
        </w:rPr>
        <w:t>”</w:t>
      </w:r>
    </w:p>
    <w:p w14:paraId="7B5CDB32" w14:textId="4D7B7E67" w:rsidR="00DB3C8C" w:rsidRPr="00D82D2E" w:rsidRDefault="00A3560C" w:rsidP="00C8003E">
      <w:pPr>
        <w:spacing w:after="0" w:line="360" w:lineRule="auto"/>
        <w:ind w:left="567"/>
        <w:jc w:val="both"/>
        <w:rPr>
          <w:rFonts w:ascii="Palatino Linotype" w:eastAsia="Palatino Linotype" w:hAnsi="Palatino Linotype" w:cs="Palatino Linotype"/>
          <w:b/>
        </w:rPr>
      </w:pPr>
      <w:r w:rsidRPr="00D82D2E">
        <w:rPr>
          <w:rFonts w:ascii="Palatino Linotype" w:eastAsia="Palatino Linotype" w:hAnsi="Palatino Linotype" w:cs="Palatino Linotype"/>
          <w:i/>
          <w:color w:val="000000"/>
        </w:rPr>
        <w:t xml:space="preserve"> </w:t>
      </w:r>
    </w:p>
    <w:p w14:paraId="4C503007" w14:textId="4298D5F8" w:rsidR="00DB3C8C" w:rsidRPr="00D82D2E" w:rsidRDefault="00DB3C8C" w:rsidP="008448B3">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82D2E">
        <w:rPr>
          <w:rFonts w:ascii="Palatino Linotype" w:eastAsia="Palatino Linotype" w:hAnsi="Palatino Linotype" w:cs="Palatino Linotype"/>
          <w:b/>
        </w:rPr>
        <w:t>Turno.</w:t>
      </w:r>
      <w:r w:rsidRPr="00D82D2E">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00EB5EE8" w:rsidRPr="00D82D2E">
        <w:rPr>
          <w:rFonts w:ascii="Palatino Linotype" w:eastAsia="Palatino Linotype" w:hAnsi="Palatino Linotype" w:cs="Palatino Linotype"/>
          <w:b/>
        </w:rPr>
        <w:t>07179</w:t>
      </w:r>
      <w:r w:rsidRPr="00D82D2E">
        <w:rPr>
          <w:rFonts w:ascii="Palatino Linotype" w:eastAsia="Palatino Linotype" w:hAnsi="Palatino Linotype" w:cs="Palatino Linotype"/>
          <w:b/>
        </w:rPr>
        <w:t>/INFOEM/IP/RR/2024</w:t>
      </w:r>
      <w:r w:rsidRPr="00D82D2E">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3CF243F9" w14:textId="77777777" w:rsidR="00A3560C" w:rsidRPr="00D82D2E" w:rsidRDefault="00A3560C" w:rsidP="00A3560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F4CCCC7" w14:textId="608C02D1" w:rsidR="00DB3C8C" w:rsidRPr="00D82D2E" w:rsidRDefault="00DB3C8C" w:rsidP="008448B3">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82D2E">
        <w:rPr>
          <w:rFonts w:ascii="Palatino Linotype" w:eastAsia="Palatino Linotype" w:hAnsi="Palatino Linotype" w:cs="Palatino Linotype"/>
          <w:b/>
        </w:rPr>
        <w:t>Admisión del recurso de revisión</w:t>
      </w:r>
      <w:r w:rsidRPr="00D82D2E">
        <w:rPr>
          <w:rFonts w:ascii="Palatino Linotype" w:eastAsia="Palatino Linotype" w:hAnsi="Palatino Linotype" w:cs="Palatino Linotype"/>
        </w:rPr>
        <w:t>: En fecha</w:t>
      </w:r>
      <w:r w:rsidR="000E7D80" w:rsidRPr="00D82D2E">
        <w:rPr>
          <w:rFonts w:ascii="Palatino Linotype" w:eastAsia="Palatino Linotype" w:hAnsi="Palatino Linotype" w:cs="Palatino Linotype"/>
          <w:b/>
        </w:rPr>
        <w:t xml:space="preserve"> </w:t>
      </w:r>
      <w:r w:rsidR="00EB5EE8" w:rsidRPr="00D82D2E">
        <w:rPr>
          <w:rFonts w:ascii="Palatino Linotype" w:eastAsia="Palatino Linotype" w:hAnsi="Palatino Linotype" w:cs="Palatino Linotype"/>
          <w:b/>
        </w:rPr>
        <w:t>diecinueve de noviembre</w:t>
      </w:r>
      <w:r w:rsidRPr="00D82D2E">
        <w:rPr>
          <w:rFonts w:ascii="Palatino Linotype" w:eastAsia="Palatino Linotype" w:hAnsi="Palatino Linotype" w:cs="Palatino Linotype"/>
          <w:b/>
        </w:rPr>
        <w:t xml:space="preserve"> de dos mil veinticuatro</w:t>
      </w:r>
      <w:r w:rsidRPr="00D82D2E">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0AE1023B" w14:textId="77777777" w:rsidR="00A3560C" w:rsidRPr="00D82D2E" w:rsidRDefault="00A3560C" w:rsidP="00A3560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B295628" w14:textId="3909F0AA" w:rsidR="00BF4BF8" w:rsidRPr="00D82D2E" w:rsidRDefault="00BF4BF8" w:rsidP="00BF4BF8">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82D2E">
        <w:rPr>
          <w:rFonts w:ascii="Palatino Linotype" w:eastAsia="Palatino Linotype" w:hAnsi="Palatino Linotype" w:cs="Palatino Linotype"/>
          <w:b/>
        </w:rPr>
        <w:t xml:space="preserve">Informe Justificado. </w:t>
      </w:r>
      <w:r w:rsidRPr="00D82D2E">
        <w:rPr>
          <w:rFonts w:ascii="Palatino Linotype" w:eastAsia="Palatino Linotype" w:hAnsi="Palatino Linotype" w:cs="Palatino Linotype"/>
        </w:rPr>
        <w:t xml:space="preserve">En fecha </w:t>
      </w:r>
      <w:r w:rsidRPr="00D82D2E">
        <w:rPr>
          <w:rFonts w:ascii="Palatino Linotype" w:eastAsia="Palatino Linotype" w:hAnsi="Palatino Linotype" w:cs="Palatino Linotype"/>
          <w:b/>
        </w:rPr>
        <w:t>veintisiete de noviembre de dos mil veinticuatro</w:t>
      </w:r>
      <w:r w:rsidRPr="00D82D2E">
        <w:rPr>
          <w:rFonts w:ascii="Palatino Linotype" w:eastAsia="Palatino Linotype" w:hAnsi="Palatino Linotype" w:cs="Palatino Linotype"/>
        </w:rPr>
        <w:t xml:space="preserve">, el </w:t>
      </w:r>
      <w:r w:rsidRPr="00D82D2E">
        <w:rPr>
          <w:rFonts w:ascii="Palatino Linotype" w:eastAsia="Palatino Linotype" w:hAnsi="Palatino Linotype" w:cs="Palatino Linotype"/>
          <w:b/>
        </w:rPr>
        <w:t xml:space="preserve">SUJETO OBLIGADO </w:t>
      </w:r>
      <w:r w:rsidRPr="00D82D2E">
        <w:rPr>
          <w:rFonts w:ascii="Palatino Linotype" w:eastAsia="Palatino Linotype" w:hAnsi="Palatino Linotype" w:cs="Palatino Linotype"/>
        </w:rPr>
        <w:t>rindió su informe justificado al tenor de lo siguiente:</w:t>
      </w:r>
    </w:p>
    <w:p w14:paraId="4D6287F1" w14:textId="77777777" w:rsidR="00BF4BF8" w:rsidRPr="00D82D2E" w:rsidRDefault="00BF4BF8" w:rsidP="00BF4BF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8060EC0" w14:textId="5818C633" w:rsidR="00BF4BF8" w:rsidRPr="00D82D2E" w:rsidRDefault="00BF4BF8" w:rsidP="00BF4BF8">
      <w:pPr>
        <w:pStyle w:val="Prrafodelista"/>
        <w:numPr>
          <w:ilvl w:val="0"/>
          <w:numId w:val="40"/>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rPr>
        <w:t xml:space="preserve">Oficio de fecha veintiuno de noviembre de dos mil veinticuatro, signado por el Encargado del Despacho de la Dirección de Recursos Humanos, mediante el cual ratificó medularmente su respuesta. </w:t>
      </w:r>
    </w:p>
    <w:p w14:paraId="49787415" w14:textId="0AFAD37D" w:rsidR="00BF4BF8" w:rsidRPr="00D82D2E" w:rsidRDefault="00BF4BF8" w:rsidP="00BF4BF8">
      <w:pPr>
        <w:pStyle w:val="Prrafodelista"/>
        <w:numPr>
          <w:ilvl w:val="0"/>
          <w:numId w:val="40"/>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rPr>
        <w:t xml:space="preserve">Oficio de fecha veintisiete de noviembre de dos mil veinticuatro, signado por el </w:t>
      </w:r>
      <w:proofErr w:type="gramStart"/>
      <w:r w:rsidRPr="00D82D2E">
        <w:rPr>
          <w:rFonts w:ascii="Palatino Linotype" w:eastAsia="Palatino Linotype" w:hAnsi="Palatino Linotype" w:cs="Palatino Linotype"/>
        </w:rPr>
        <w:t>Director</w:t>
      </w:r>
      <w:proofErr w:type="gramEnd"/>
      <w:r w:rsidRPr="00D82D2E">
        <w:rPr>
          <w:rFonts w:ascii="Palatino Linotype" w:eastAsia="Palatino Linotype" w:hAnsi="Palatino Linotype" w:cs="Palatino Linotype"/>
        </w:rPr>
        <w:t xml:space="preserve"> de Transparencia, mediante el cual ratificó su respuesta inicial </w:t>
      </w:r>
    </w:p>
    <w:p w14:paraId="5390229F" w14:textId="77777777" w:rsidR="00BF4BF8" w:rsidRPr="00D82D2E" w:rsidRDefault="00BF4BF8" w:rsidP="00BF4BF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56435AB" w14:textId="3F879B3C" w:rsidR="00BF4BF8" w:rsidRPr="00D82D2E" w:rsidRDefault="00BF4BF8" w:rsidP="00BF4BF8">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D82D2E">
        <w:rPr>
          <w:rFonts w:ascii="Palatino Linotype" w:eastAsia="Palatino Linotype" w:hAnsi="Palatino Linotype" w:cs="Palatino Linotype"/>
        </w:rPr>
        <w:lastRenderedPageBreak/>
        <w:t xml:space="preserve">Documentos que se hicieron del conocimiento de la parte Recurrente en fecha </w:t>
      </w:r>
      <w:r w:rsidRPr="00D82D2E">
        <w:rPr>
          <w:rFonts w:ascii="Palatino Linotype" w:eastAsia="Palatino Linotype" w:hAnsi="Palatino Linotype" w:cs="Palatino Linotype"/>
          <w:b/>
        </w:rPr>
        <w:t xml:space="preserve">veintiocho de noviembre de dos mil veinticuatro. </w:t>
      </w:r>
    </w:p>
    <w:p w14:paraId="505B255D" w14:textId="77777777" w:rsidR="00BF4BF8" w:rsidRPr="00D82D2E" w:rsidRDefault="00BF4BF8" w:rsidP="00BF4BF8">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53B52F16" w14:textId="5B34F86D" w:rsidR="00BF4BF8" w:rsidRPr="00D82D2E" w:rsidRDefault="00BF4BF8" w:rsidP="00BF4BF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rPr>
        <w:t xml:space="preserve">La parte Recurrente fue omisa en rendir manifestaciones. </w:t>
      </w:r>
    </w:p>
    <w:p w14:paraId="416E45FB" w14:textId="77777777" w:rsidR="000B43E8" w:rsidRPr="00D82D2E" w:rsidRDefault="000B43E8" w:rsidP="000B43E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6ED4ECF" w14:textId="5F47428A" w:rsidR="00DB3C8C" w:rsidRPr="00D82D2E" w:rsidRDefault="00BF4BF8" w:rsidP="008448B3">
      <w:pPr>
        <w:spacing w:after="0" w:line="360" w:lineRule="auto"/>
        <w:jc w:val="both"/>
        <w:rPr>
          <w:rFonts w:ascii="Palatino Linotype" w:eastAsia="Palatino Linotype" w:hAnsi="Palatino Linotype" w:cs="Palatino Linotype"/>
        </w:rPr>
      </w:pPr>
      <w:r w:rsidRPr="00D82D2E">
        <w:rPr>
          <w:rFonts w:ascii="Palatino Linotype" w:eastAsia="Palatino Linotype" w:hAnsi="Palatino Linotype" w:cs="Palatino Linotype"/>
          <w:b/>
        </w:rPr>
        <w:t>7</w:t>
      </w:r>
      <w:r w:rsidR="00EE2815" w:rsidRPr="00D82D2E">
        <w:rPr>
          <w:rFonts w:ascii="Palatino Linotype" w:eastAsia="Palatino Linotype" w:hAnsi="Palatino Linotype" w:cs="Palatino Linotype"/>
          <w:b/>
        </w:rPr>
        <w:t xml:space="preserve">. </w:t>
      </w:r>
      <w:r w:rsidR="00DB3C8C" w:rsidRPr="00D82D2E">
        <w:rPr>
          <w:rFonts w:ascii="Palatino Linotype" w:eastAsia="Palatino Linotype" w:hAnsi="Palatino Linotype" w:cs="Palatino Linotype"/>
          <w:b/>
        </w:rPr>
        <w:t>Cierre de instrucción</w:t>
      </w:r>
      <w:r w:rsidR="009C38F4" w:rsidRPr="00D82D2E">
        <w:rPr>
          <w:rFonts w:ascii="Palatino Linotype" w:eastAsia="Palatino Linotype" w:hAnsi="Palatino Linotype" w:cs="Palatino Linotype"/>
        </w:rPr>
        <w:t xml:space="preserve">. En fecha </w:t>
      </w:r>
      <w:r w:rsidR="009C38F4" w:rsidRPr="00D82D2E">
        <w:rPr>
          <w:rFonts w:ascii="Palatino Linotype" w:eastAsia="Palatino Linotype" w:hAnsi="Palatino Linotype" w:cs="Palatino Linotype"/>
          <w:b/>
        </w:rPr>
        <w:t xml:space="preserve">cuatro de diciembre </w:t>
      </w:r>
      <w:r w:rsidR="00DB3C8C" w:rsidRPr="00D82D2E">
        <w:rPr>
          <w:rFonts w:ascii="Palatino Linotype" w:eastAsia="Palatino Linotype" w:hAnsi="Palatino Linotype" w:cs="Palatino Linotype"/>
          <w:b/>
        </w:rPr>
        <w:t>de dos mil veinticuatro</w:t>
      </w:r>
      <w:r w:rsidR="00DB3C8C" w:rsidRPr="00D82D2E">
        <w:rPr>
          <w:rFonts w:ascii="Palatino Linotype" w:eastAsia="Palatino Linotype" w:hAnsi="Palatino Linotype" w:cs="Palatino Linotype"/>
          <w:color w:val="FF0000"/>
        </w:rPr>
        <w:t xml:space="preserve"> </w:t>
      </w:r>
      <w:r w:rsidR="00DB3C8C" w:rsidRPr="00D82D2E">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p>
    <w:p w14:paraId="0ECCCF8C" w14:textId="77777777" w:rsidR="00EE2815" w:rsidRPr="00D82D2E" w:rsidRDefault="00EE2815" w:rsidP="008448B3">
      <w:pPr>
        <w:spacing w:after="0" w:line="360" w:lineRule="auto"/>
        <w:jc w:val="both"/>
        <w:rPr>
          <w:rFonts w:ascii="Palatino Linotype" w:eastAsia="Palatino Linotype" w:hAnsi="Palatino Linotype" w:cs="Palatino Linotype"/>
        </w:rPr>
      </w:pPr>
    </w:p>
    <w:p w14:paraId="6242E1A2" w14:textId="1E1C21D0" w:rsidR="00EE2815" w:rsidRPr="00D82D2E" w:rsidRDefault="00DB3C8C" w:rsidP="008448B3">
      <w:pP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rPr>
        <w:t>Debido a que fue debidamente sustanciado el expediente electrónico y no existe diligencia pendiente de desahogo, se emite la Resolución que conforme a Derecho proceda,</w:t>
      </w:r>
      <w:r w:rsidR="008F09A3" w:rsidRPr="00D82D2E">
        <w:rPr>
          <w:rFonts w:ascii="Palatino Linotype" w:eastAsia="Palatino Linotype" w:hAnsi="Palatino Linotype" w:cs="Palatino Linotype"/>
        </w:rPr>
        <w:t xml:space="preserve"> de acuerdo con los siguientes:</w:t>
      </w:r>
    </w:p>
    <w:p w14:paraId="0C03E6F9" w14:textId="77777777" w:rsidR="00BF4BF8" w:rsidRPr="00D82D2E" w:rsidRDefault="00BF4BF8" w:rsidP="008448B3">
      <w:pPr>
        <w:spacing w:after="0" w:line="360" w:lineRule="auto"/>
        <w:ind w:right="49"/>
        <w:jc w:val="both"/>
        <w:rPr>
          <w:rFonts w:ascii="Palatino Linotype" w:eastAsia="Palatino Linotype" w:hAnsi="Palatino Linotype" w:cs="Palatino Linotype"/>
        </w:rPr>
      </w:pPr>
    </w:p>
    <w:p w14:paraId="41FCB04C" w14:textId="77777777" w:rsidR="00C62FEB" w:rsidRPr="00D82D2E" w:rsidRDefault="00C62FEB" w:rsidP="008448B3">
      <w:pPr>
        <w:spacing w:after="0" w:line="360" w:lineRule="auto"/>
        <w:ind w:right="49"/>
        <w:jc w:val="center"/>
        <w:rPr>
          <w:rFonts w:ascii="Palatino Linotype" w:eastAsia="Palatino Linotype" w:hAnsi="Palatino Linotype" w:cs="Palatino Linotype"/>
          <w:b/>
        </w:rPr>
      </w:pPr>
      <w:r w:rsidRPr="00D82D2E">
        <w:rPr>
          <w:rFonts w:ascii="Palatino Linotype" w:eastAsia="Palatino Linotype" w:hAnsi="Palatino Linotype" w:cs="Palatino Linotype"/>
          <w:b/>
        </w:rPr>
        <w:t>II.</w:t>
      </w:r>
      <w:r w:rsidRPr="00D82D2E">
        <w:rPr>
          <w:rFonts w:ascii="Palatino Linotype" w:eastAsia="Palatino Linotype" w:hAnsi="Palatino Linotype" w:cs="Palatino Linotype"/>
          <w:b/>
        </w:rPr>
        <w:tab/>
        <w:t>C O N S I D E R A N D O:</w:t>
      </w:r>
    </w:p>
    <w:p w14:paraId="3AD6F166" w14:textId="77777777" w:rsidR="00EE2815" w:rsidRPr="00D82D2E" w:rsidRDefault="00EE2815" w:rsidP="008448B3">
      <w:pPr>
        <w:spacing w:after="0" w:line="360" w:lineRule="auto"/>
        <w:ind w:right="49"/>
        <w:jc w:val="center"/>
        <w:rPr>
          <w:rFonts w:ascii="Palatino Linotype" w:eastAsia="Palatino Linotype" w:hAnsi="Palatino Linotype" w:cs="Palatino Linotype"/>
          <w:b/>
        </w:rPr>
      </w:pPr>
    </w:p>
    <w:p w14:paraId="6556C0C9" w14:textId="1A2B590C" w:rsidR="007D7650" w:rsidRPr="00D82D2E" w:rsidRDefault="003948E2" w:rsidP="007D7650">
      <w:pPr>
        <w:spacing w:after="0" w:line="360" w:lineRule="auto"/>
        <w:jc w:val="both"/>
        <w:rPr>
          <w:rFonts w:ascii="Palatino Linotype" w:eastAsia="Palatino Linotype" w:hAnsi="Palatino Linotype" w:cs="Palatino Linotype"/>
          <w:b/>
        </w:rPr>
      </w:pPr>
      <w:bookmarkStart w:id="1" w:name="_heading=h.gjdgxs" w:colFirst="0" w:colLast="0"/>
      <w:bookmarkEnd w:id="1"/>
      <w:r w:rsidRPr="00D82D2E">
        <w:rPr>
          <w:rFonts w:ascii="Palatino Linotype" w:eastAsia="Palatino Linotype" w:hAnsi="Palatino Linotype" w:cs="Palatino Linotype"/>
          <w:b/>
          <w:bCs/>
        </w:rPr>
        <w:t>Primero. Competencia. </w:t>
      </w:r>
      <w:r w:rsidRPr="00D82D2E">
        <w:rPr>
          <w:rFonts w:ascii="Palatino Linotype" w:eastAsia="Palatino Linotype" w:hAnsi="Palatino Linotype" w:cs="Palatino Linotype"/>
          <w:bCs/>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w:t>
      </w:r>
      <w:r w:rsidRPr="00D82D2E">
        <w:rPr>
          <w:rFonts w:ascii="Palatino Linotype" w:eastAsia="Palatino Linotype" w:hAnsi="Palatino Linotype" w:cs="Palatino Linotype"/>
          <w:bCs/>
        </w:rPr>
        <w:lastRenderedPageBreak/>
        <w:t>fracciones I y XXIII y 11 del Reglamento Interior del Instituto de Transparencia, Acceso a la Información Pública y Protección de Datos Personales del Estado de México y Municipios.</w:t>
      </w:r>
    </w:p>
    <w:p w14:paraId="105AA824" w14:textId="4C2EB975" w:rsidR="00406DBE" w:rsidRPr="00D82D2E" w:rsidRDefault="00406DBE" w:rsidP="00406DBE">
      <w:pPr>
        <w:spacing w:after="0" w:line="360" w:lineRule="auto"/>
        <w:jc w:val="both"/>
        <w:rPr>
          <w:rFonts w:ascii="Palatino Linotype" w:eastAsia="Palatino Linotype" w:hAnsi="Palatino Linotype" w:cs="Palatino Linotype"/>
        </w:rPr>
      </w:pPr>
      <w:r w:rsidRPr="00D82D2E">
        <w:rPr>
          <w:rFonts w:ascii="Palatino Linotype" w:eastAsia="Palatino Linotype" w:hAnsi="Palatino Linotype" w:cs="Palatino Linotype"/>
          <w:b/>
        </w:rPr>
        <w:t>Segundo. Oportunidad y Procedibilidad del Recurso de Revisión</w:t>
      </w:r>
      <w:r w:rsidRPr="00D82D2E">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849FAC2" w14:textId="77777777" w:rsidR="008F09A3" w:rsidRPr="00D82D2E" w:rsidRDefault="008F09A3" w:rsidP="00406DBE">
      <w:pPr>
        <w:spacing w:after="0" w:line="360" w:lineRule="auto"/>
        <w:jc w:val="both"/>
        <w:rPr>
          <w:rFonts w:ascii="Palatino Linotype" w:eastAsia="Palatino Linotype" w:hAnsi="Palatino Linotype" w:cs="Palatino Linotype"/>
        </w:rPr>
      </w:pPr>
    </w:p>
    <w:p w14:paraId="098149E7" w14:textId="404B5A21" w:rsidR="008F09A3" w:rsidRPr="00D82D2E" w:rsidRDefault="00406DBE" w:rsidP="00406DBE">
      <w:pP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D82D2E">
        <w:rPr>
          <w:rFonts w:ascii="Palatino Linotype" w:eastAsia="Palatino Linotype" w:hAnsi="Palatino Linotype" w:cs="Palatino Linotype"/>
          <w:b/>
        </w:rPr>
        <w:t>Sujeto Obligado</w:t>
      </w:r>
      <w:r w:rsidRPr="00D82D2E">
        <w:rPr>
          <w:rFonts w:ascii="Palatino Linotype" w:eastAsia="Palatino Linotype" w:hAnsi="Palatino Linotype" w:cs="Palatino Linotype"/>
        </w:rPr>
        <w:t xml:space="preserve"> proporcionó su respuesta a la solicitud de información el </w:t>
      </w:r>
      <w:r w:rsidR="00EB5EE8" w:rsidRPr="00D82D2E">
        <w:rPr>
          <w:rFonts w:ascii="Palatino Linotype" w:eastAsia="Palatino Linotype" w:hAnsi="Palatino Linotype" w:cs="Palatino Linotype"/>
          <w:b/>
        </w:rPr>
        <w:t>once de noviembre</w:t>
      </w:r>
      <w:r w:rsidRPr="00D82D2E">
        <w:rPr>
          <w:rFonts w:ascii="Palatino Linotype" w:eastAsia="Palatino Linotype" w:hAnsi="Palatino Linotype" w:cs="Palatino Linotype"/>
          <w:b/>
        </w:rPr>
        <w:t xml:space="preserve"> de dos mil veinticuatro</w:t>
      </w:r>
      <w:r w:rsidRPr="00D82D2E">
        <w:rPr>
          <w:rFonts w:ascii="Palatino Linotype" w:eastAsia="Palatino Linotype" w:hAnsi="Palatino Linotype" w:cs="Palatino Linotype"/>
        </w:rPr>
        <w:t xml:space="preserve">, y la parte </w:t>
      </w:r>
      <w:r w:rsidRPr="00D82D2E">
        <w:rPr>
          <w:rFonts w:ascii="Palatino Linotype" w:eastAsia="Palatino Linotype" w:hAnsi="Palatino Linotype" w:cs="Palatino Linotype"/>
          <w:b/>
        </w:rPr>
        <w:t xml:space="preserve">Recurrente </w:t>
      </w:r>
      <w:r w:rsidRPr="00D82D2E">
        <w:rPr>
          <w:rFonts w:ascii="Palatino Linotype" w:eastAsia="Palatino Linotype" w:hAnsi="Palatino Linotype" w:cs="Palatino Linotype"/>
        </w:rPr>
        <w:t xml:space="preserve">presentó su Recurso de Revisión el </w:t>
      </w:r>
      <w:r w:rsidR="00EB5EE8" w:rsidRPr="00D82D2E">
        <w:rPr>
          <w:rFonts w:ascii="Palatino Linotype" w:eastAsia="Palatino Linotype" w:hAnsi="Palatino Linotype" w:cs="Palatino Linotype"/>
          <w:b/>
        </w:rPr>
        <w:t>trece de noviembre</w:t>
      </w:r>
      <w:r w:rsidR="000B43E8" w:rsidRPr="00D82D2E">
        <w:rPr>
          <w:rFonts w:ascii="Palatino Linotype" w:eastAsia="Palatino Linotype" w:hAnsi="Palatino Linotype" w:cs="Palatino Linotype"/>
          <w:b/>
        </w:rPr>
        <w:t xml:space="preserve"> de dos mil veinticuatro</w:t>
      </w:r>
      <w:r w:rsidR="008F09A3" w:rsidRPr="00D82D2E">
        <w:rPr>
          <w:rFonts w:ascii="Palatino Linotype" w:eastAsia="Palatino Linotype" w:hAnsi="Palatino Linotype" w:cs="Palatino Linotype"/>
        </w:rPr>
        <w:t xml:space="preserve">, esto a los dos días hábiles siguientes de tener conocimiento de la respuesta. </w:t>
      </w:r>
    </w:p>
    <w:p w14:paraId="6C6CD67F" w14:textId="77777777" w:rsidR="00285EAA" w:rsidRPr="00D82D2E" w:rsidRDefault="00285EAA" w:rsidP="00406DBE">
      <w:pPr>
        <w:spacing w:after="0" w:line="360" w:lineRule="auto"/>
        <w:jc w:val="both"/>
        <w:rPr>
          <w:rFonts w:ascii="Palatino Linotype" w:eastAsia="Times New Roman" w:hAnsi="Palatino Linotype" w:cs="Times New Roman"/>
          <w:color w:val="000000"/>
        </w:rPr>
      </w:pPr>
    </w:p>
    <w:p w14:paraId="47891C3F" w14:textId="5DB14203" w:rsidR="00406DBE" w:rsidRPr="00D82D2E" w:rsidRDefault="00406DBE" w:rsidP="00406DBE">
      <w:pPr>
        <w:spacing w:after="0" w:line="360" w:lineRule="auto"/>
        <w:jc w:val="both"/>
        <w:rPr>
          <w:rFonts w:ascii="Palatino Linotype" w:eastAsia="Palatino Linotype" w:hAnsi="Palatino Linotype" w:cs="Palatino Linotype"/>
        </w:rPr>
      </w:pPr>
      <w:r w:rsidRPr="00D82D2E">
        <w:rPr>
          <w:rFonts w:ascii="Palatino Linotype" w:eastAsia="Palatino Linotype" w:hAnsi="Palatino Linotype" w:cs="Palatino Linotype"/>
        </w:rPr>
        <w:t>Asimismo, resulta procedente la interposición del recurso de revisión al rubro anotado, toda vez que se actualizan las hipótesis previstas en el artículo 179, fracción I de la ley de la materia, que a la letra dice:</w:t>
      </w:r>
    </w:p>
    <w:p w14:paraId="720D6531" w14:textId="77777777" w:rsidR="00406DBE" w:rsidRPr="00D82D2E" w:rsidRDefault="00406DBE" w:rsidP="00406DBE">
      <w:pPr>
        <w:spacing w:after="0" w:line="360" w:lineRule="auto"/>
        <w:jc w:val="both"/>
        <w:rPr>
          <w:rFonts w:ascii="Palatino Linotype" w:eastAsia="Palatino Linotype" w:hAnsi="Palatino Linotype" w:cs="Palatino Linotype"/>
        </w:rPr>
      </w:pPr>
    </w:p>
    <w:p w14:paraId="06EFED82" w14:textId="77777777" w:rsidR="00406DBE" w:rsidRPr="00D82D2E" w:rsidRDefault="00406DBE" w:rsidP="00406DBE">
      <w:pPr>
        <w:spacing w:after="0" w:line="276" w:lineRule="auto"/>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w:t>
      </w:r>
      <w:r w:rsidRPr="00D82D2E">
        <w:rPr>
          <w:rFonts w:ascii="Palatino Linotype" w:eastAsia="Palatino Linotype" w:hAnsi="Palatino Linotype" w:cs="Palatino Linotype"/>
          <w:b/>
          <w:i/>
        </w:rPr>
        <w:t xml:space="preserve">Artículo 179. </w:t>
      </w:r>
      <w:r w:rsidRPr="00D82D2E">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3D774C80" w14:textId="77777777" w:rsidR="00406DBE" w:rsidRPr="00D82D2E" w:rsidRDefault="00406DBE" w:rsidP="00406DBE">
      <w:pPr>
        <w:spacing w:after="0" w:line="276" w:lineRule="auto"/>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w:t>
      </w:r>
    </w:p>
    <w:p w14:paraId="24BE8DCA" w14:textId="05816622" w:rsidR="00406DBE" w:rsidRPr="00D82D2E" w:rsidRDefault="00EB5EE8" w:rsidP="00406DBE">
      <w:pPr>
        <w:spacing w:after="0" w:line="360" w:lineRule="auto"/>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I. Negativa de entrega de la información; </w:t>
      </w:r>
    </w:p>
    <w:p w14:paraId="15F64F19" w14:textId="25CD71D7" w:rsidR="00406DBE" w:rsidRPr="00D82D2E" w:rsidRDefault="00406DBE" w:rsidP="008F09A3">
      <w:pPr>
        <w:spacing w:after="0" w:line="360" w:lineRule="auto"/>
        <w:ind w:left="567" w:right="616"/>
        <w:jc w:val="both"/>
        <w:rPr>
          <w:rFonts w:ascii="Palatino Linotype" w:eastAsia="Palatino Linotype" w:hAnsi="Palatino Linotype" w:cs="Palatino Linotype"/>
          <w:b/>
          <w:i/>
        </w:rPr>
      </w:pPr>
      <w:r w:rsidRPr="00D82D2E">
        <w:rPr>
          <w:rFonts w:ascii="Palatino Linotype" w:eastAsia="Palatino Linotype" w:hAnsi="Palatino Linotype" w:cs="Palatino Linotype"/>
          <w:i/>
        </w:rPr>
        <w:t xml:space="preserve">…” </w:t>
      </w:r>
    </w:p>
    <w:p w14:paraId="55951461" w14:textId="77777777" w:rsidR="008F09A3" w:rsidRPr="00D82D2E" w:rsidRDefault="008F09A3" w:rsidP="008F09A3">
      <w:pPr>
        <w:spacing w:after="0" w:line="360" w:lineRule="auto"/>
        <w:ind w:left="567" w:right="616"/>
        <w:jc w:val="both"/>
        <w:rPr>
          <w:rFonts w:ascii="Palatino Linotype" w:eastAsia="Palatino Linotype" w:hAnsi="Palatino Linotype" w:cs="Palatino Linotype"/>
          <w:b/>
          <w:i/>
        </w:rPr>
      </w:pPr>
    </w:p>
    <w:p w14:paraId="25451C45" w14:textId="7D60ECE7" w:rsidR="00406DBE" w:rsidRPr="00D82D2E" w:rsidRDefault="00406DBE" w:rsidP="00406DBE">
      <w:pP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b/>
        </w:rPr>
        <w:lastRenderedPageBreak/>
        <w:t>Tercero. Materia de la revisión</w:t>
      </w:r>
      <w:r w:rsidRPr="00D82D2E">
        <w:rPr>
          <w:rFonts w:ascii="Palatino Linotype" w:eastAsia="Palatino Linotype" w:hAnsi="Palatino Linotype" w:cs="Palatino Linotype"/>
        </w:rPr>
        <w:t xml:space="preserve">. De la revisión a las constancias y documentos que obran en el expediente electrónico se advierte, que el tema sobre el que este Organismo Garante de Transparencia y Acceso a la Información se pronunciará será en determinar, si se actualiza la hipótesis prevista en la fracción I del artículo 179 de la Ley en la materia. </w:t>
      </w:r>
    </w:p>
    <w:p w14:paraId="675A40A8" w14:textId="77777777" w:rsidR="00406DBE" w:rsidRPr="00D82D2E" w:rsidRDefault="00406DBE" w:rsidP="00406DBE">
      <w:pPr>
        <w:spacing w:after="0" w:line="360" w:lineRule="auto"/>
        <w:ind w:right="49"/>
        <w:jc w:val="both"/>
        <w:rPr>
          <w:rFonts w:ascii="Palatino Linotype" w:eastAsia="Palatino Linotype" w:hAnsi="Palatino Linotype" w:cs="Palatino Linotype"/>
        </w:rPr>
      </w:pPr>
    </w:p>
    <w:p w14:paraId="0C6F52B6" w14:textId="77777777" w:rsidR="00406DBE" w:rsidRPr="00D82D2E" w:rsidRDefault="00406DBE" w:rsidP="00406DBE">
      <w:pP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b/>
        </w:rPr>
        <w:t>Cuarto.</w:t>
      </w:r>
      <w:r w:rsidRPr="00D82D2E">
        <w:rPr>
          <w:rFonts w:ascii="Palatino Linotype" w:eastAsia="Palatino Linotype" w:hAnsi="Palatino Linotype" w:cs="Palatino Linotype"/>
        </w:rPr>
        <w:t xml:space="preserve"> </w:t>
      </w:r>
      <w:r w:rsidRPr="00D82D2E">
        <w:rPr>
          <w:rFonts w:ascii="Palatino Linotype" w:eastAsia="Palatino Linotype" w:hAnsi="Palatino Linotype" w:cs="Palatino Linotype"/>
          <w:b/>
        </w:rPr>
        <w:t>Estudio de fondo del asunto.</w:t>
      </w:r>
      <w:r w:rsidRPr="00D82D2E">
        <w:rPr>
          <w:rFonts w:ascii="Palatino Linotype" w:eastAsia="Palatino Linotype" w:hAnsi="Palatino Linotype" w:cs="Palatino Linotype"/>
        </w:rPr>
        <w:t xml:space="preserve">  En principio,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5C4D641" w14:textId="77777777" w:rsidR="00406DBE" w:rsidRPr="00D82D2E" w:rsidRDefault="00406DBE" w:rsidP="00406DBE">
      <w:pPr>
        <w:spacing w:after="0" w:line="360" w:lineRule="auto"/>
        <w:ind w:right="843"/>
        <w:jc w:val="both"/>
        <w:rPr>
          <w:rFonts w:ascii="Palatino Linotype" w:eastAsia="Palatino Linotype" w:hAnsi="Palatino Linotype" w:cs="Palatino Linotype"/>
        </w:rPr>
      </w:pPr>
    </w:p>
    <w:p w14:paraId="0B5C2FB1" w14:textId="77777777" w:rsidR="00406DBE" w:rsidRPr="00D82D2E" w:rsidRDefault="00406DBE" w:rsidP="00406DBE">
      <w:pPr>
        <w:spacing w:after="0" w:line="276" w:lineRule="auto"/>
        <w:ind w:left="567" w:right="843"/>
        <w:jc w:val="both"/>
        <w:rPr>
          <w:rFonts w:ascii="Palatino Linotype" w:eastAsia="Palatino Linotype" w:hAnsi="Palatino Linotype" w:cs="Palatino Linotype"/>
          <w:i/>
        </w:rPr>
      </w:pPr>
      <w:r w:rsidRPr="00D82D2E">
        <w:rPr>
          <w:rFonts w:ascii="Palatino Linotype" w:eastAsia="Palatino Linotype" w:hAnsi="Palatino Linotype" w:cs="Palatino Linotype"/>
          <w:b/>
          <w:i/>
        </w:rPr>
        <w:t>Artículo 1o.</w:t>
      </w:r>
      <w:r w:rsidRPr="00D82D2E">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A9E55FE" w14:textId="77777777" w:rsidR="00406DBE" w:rsidRPr="00D82D2E" w:rsidRDefault="00406DBE" w:rsidP="00406DBE">
      <w:pPr>
        <w:spacing w:after="0" w:line="276" w:lineRule="auto"/>
        <w:ind w:left="567" w:right="843"/>
        <w:jc w:val="both"/>
        <w:rPr>
          <w:rFonts w:ascii="Palatino Linotype" w:eastAsia="Palatino Linotype" w:hAnsi="Palatino Linotype" w:cs="Palatino Linotype"/>
          <w:i/>
        </w:rPr>
      </w:pPr>
      <w:r w:rsidRPr="00D82D2E">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5755D00E" w14:textId="77777777" w:rsidR="00406DBE" w:rsidRPr="00D82D2E" w:rsidRDefault="00406DBE" w:rsidP="00406DBE">
      <w:pPr>
        <w:spacing w:after="0" w:line="276" w:lineRule="auto"/>
        <w:ind w:left="567" w:right="843"/>
        <w:jc w:val="both"/>
        <w:rPr>
          <w:rFonts w:ascii="Palatino Linotype" w:eastAsia="Palatino Linotype" w:hAnsi="Palatino Linotype" w:cs="Palatino Linotype"/>
          <w:i/>
        </w:rPr>
      </w:pPr>
      <w:r w:rsidRPr="00D82D2E">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21BA0AD" w14:textId="77777777" w:rsidR="00406DBE" w:rsidRPr="00D82D2E" w:rsidRDefault="00406DBE" w:rsidP="00406DBE">
      <w:pPr>
        <w:spacing w:after="0" w:line="276" w:lineRule="auto"/>
        <w:ind w:left="567" w:right="843"/>
        <w:jc w:val="both"/>
        <w:rPr>
          <w:rFonts w:ascii="Palatino Linotype" w:eastAsia="Palatino Linotype" w:hAnsi="Palatino Linotype" w:cs="Palatino Linotype"/>
          <w:i/>
        </w:rPr>
      </w:pPr>
      <w:r w:rsidRPr="00D82D2E">
        <w:rPr>
          <w:rFonts w:ascii="Palatino Linotype" w:eastAsia="Palatino Linotype" w:hAnsi="Palatino Linotype" w:cs="Palatino Linotype"/>
          <w:i/>
        </w:rPr>
        <w:t>[…]</w:t>
      </w:r>
    </w:p>
    <w:p w14:paraId="48EFBC6D" w14:textId="77777777" w:rsidR="00406DBE" w:rsidRPr="00D82D2E" w:rsidRDefault="00406DBE" w:rsidP="00406DBE">
      <w:pPr>
        <w:spacing w:after="0" w:line="276" w:lineRule="auto"/>
        <w:ind w:left="567" w:right="843"/>
        <w:jc w:val="both"/>
        <w:rPr>
          <w:rFonts w:ascii="Palatino Linotype" w:eastAsia="Palatino Linotype" w:hAnsi="Palatino Linotype" w:cs="Palatino Linotype"/>
          <w:b/>
          <w:i/>
        </w:rPr>
      </w:pPr>
      <w:r w:rsidRPr="00D82D2E">
        <w:rPr>
          <w:rFonts w:ascii="Palatino Linotype" w:eastAsia="Palatino Linotype" w:hAnsi="Palatino Linotype" w:cs="Palatino Linotype"/>
          <w:b/>
          <w:i/>
        </w:rPr>
        <w:t>“Artículo 6o.</w:t>
      </w:r>
    </w:p>
    <w:p w14:paraId="301C888D" w14:textId="77777777" w:rsidR="00406DBE" w:rsidRPr="00D82D2E" w:rsidRDefault="00406DBE" w:rsidP="00406DBE">
      <w:pPr>
        <w:spacing w:after="0" w:line="276" w:lineRule="auto"/>
        <w:ind w:left="567" w:right="843"/>
        <w:jc w:val="both"/>
        <w:rPr>
          <w:rFonts w:ascii="Palatino Linotype" w:eastAsia="Palatino Linotype" w:hAnsi="Palatino Linotype" w:cs="Palatino Linotype"/>
          <w:i/>
        </w:rPr>
      </w:pPr>
      <w:r w:rsidRPr="00D82D2E">
        <w:rPr>
          <w:rFonts w:ascii="Palatino Linotype" w:eastAsia="Palatino Linotype" w:hAnsi="Palatino Linotype" w:cs="Palatino Linotype"/>
          <w:i/>
        </w:rPr>
        <w:t>[...]</w:t>
      </w:r>
    </w:p>
    <w:p w14:paraId="51AF52BA" w14:textId="77777777" w:rsidR="00406DBE" w:rsidRPr="00D82D2E" w:rsidRDefault="00406DBE" w:rsidP="00406DBE">
      <w:pPr>
        <w:spacing w:after="0" w:line="276" w:lineRule="auto"/>
        <w:ind w:left="567" w:right="843"/>
        <w:jc w:val="both"/>
        <w:rPr>
          <w:rFonts w:ascii="Palatino Linotype" w:eastAsia="Palatino Linotype" w:hAnsi="Palatino Linotype" w:cs="Palatino Linotype"/>
          <w:i/>
        </w:rPr>
      </w:pPr>
      <w:r w:rsidRPr="00D82D2E">
        <w:rPr>
          <w:rFonts w:ascii="Palatino Linotype" w:eastAsia="Palatino Linotype" w:hAnsi="Palatino Linotype" w:cs="Palatino Linotype"/>
          <w:i/>
        </w:rPr>
        <w:lastRenderedPageBreak/>
        <w:t>A. Para el ejercicio del derecho de acceso a la información, la Federación y las entidades federativas, en el ámbito de sus respectivas competencias, se regirán por los siguientes principios y bases:</w:t>
      </w:r>
    </w:p>
    <w:p w14:paraId="4E058AAD" w14:textId="77777777" w:rsidR="00406DBE" w:rsidRPr="00D82D2E" w:rsidRDefault="00406DBE" w:rsidP="00406DBE">
      <w:pPr>
        <w:spacing w:after="0" w:line="276" w:lineRule="auto"/>
        <w:ind w:left="567" w:right="843"/>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5A5F846" w14:textId="77777777" w:rsidR="00406DBE" w:rsidRPr="00D82D2E" w:rsidRDefault="00406DBE" w:rsidP="00406DBE">
      <w:pPr>
        <w:spacing w:after="0" w:line="276" w:lineRule="auto"/>
        <w:ind w:left="567" w:right="843"/>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0B325EB7" w14:textId="77777777" w:rsidR="00406DBE" w:rsidRPr="00D82D2E" w:rsidRDefault="00406DBE" w:rsidP="00406DBE">
      <w:pPr>
        <w:spacing w:after="0" w:line="276" w:lineRule="auto"/>
        <w:ind w:left="567" w:right="843"/>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26683852" w14:textId="77777777" w:rsidR="00406DBE" w:rsidRPr="00D82D2E" w:rsidRDefault="00406DBE" w:rsidP="00406DBE">
      <w:pPr>
        <w:spacing w:after="0" w:line="276" w:lineRule="auto"/>
        <w:ind w:left="567" w:right="843"/>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07457138" w14:textId="77777777" w:rsidR="00406DBE" w:rsidRPr="00D82D2E" w:rsidRDefault="00406DBE" w:rsidP="00406DBE">
      <w:pPr>
        <w:spacing w:after="0" w:line="276" w:lineRule="auto"/>
        <w:ind w:left="567" w:right="843"/>
        <w:jc w:val="both"/>
        <w:rPr>
          <w:rFonts w:ascii="Palatino Linotype" w:eastAsia="Palatino Linotype" w:hAnsi="Palatino Linotype" w:cs="Palatino Linotype"/>
          <w:i/>
        </w:rPr>
      </w:pPr>
      <w:r w:rsidRPr="00D82D2E">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E151324" w14:textId="77777777" w:rsidR="00406DBE" w:rsidRPr="00D82D2E" w:rsidRDefault="00406DBE" w:rsidP="00406DBE">
      <w:pPr>
        <w:spacing w:after="0" w:line="276" w:lineRule="auto"/>
        <w:ind w:left="567" w:right="843"/>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6A61E18F" w14:textId="0CC0881F" w:rsidR="00406DBE" w:rsidRPr="00D82D2E" w:rsidRDefault="00406DBE" w:rsidP="00BF4BF8">
      <w:pPr>
        <w:spacing w:after="0" w:line="276" w:lineRule="auto"/>
        <w:ind w:left="567" w:right="843"/>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481713D9" w14:textId="77777777" w:rsidR="00406DBE" w:rsidRPr="00D82D2E" w:rsidRDefault="00406DBE" w:rsidP="00406DBE">
      <w:pP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rPr>
        <w:lastRenderedPageBreak/>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w:t>
      </w:r>
    </w:p>
    <w:p w14:paraId="38615110" w14:textId="77777777" w:rsidR="00406DBE" w:rsidRPr="00D82D2E" w:rsidRDefault="00406DBE" w:rsidP="00406DBE">
      <w:pPr>
        <w:spacing w:after="0" w:line="360" w:lineRule="auto"/>
        <w:ind w:right="49"/>
        <w:jc w:val="both"/>
        <w:rPr>
          <w:rFonts w:ascii="Palatino Linotype" w:eastAsia="Palatino Linotype" w:hAnsi="Palatino Linotype" w:cs="Palatino Linotype"/>
        </w:rPr>
      </w:pPr>
    </w:p>
    <w:p w14:paraId="086F9581" w14:textId="77777777" w:rsidR="00406DBE" w:rsidRPr="00D82D2E" w:rsidRDefault="00406DBE" w:rsidP="00406DBE">
      <w:pP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rPr>
        <w:t xml:space="preserve">Del mismo modo, es de mencionar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w:t>
      </w:r>
    </w:p>
    <w:p w14:paraId="3BC71C4D" w14:textId="77777777" w:rsidR="00406DBE" w:rsidRPr="00D82D2E" w:rsidRDefault="00406DBE" w:rsidP="00406DBE">
      <w:pPr>
        <w:spacing w:after="0" w:line="360" w:lineRule="auto"/>
        <w:ind w:right="49"/>
        <w:jc w:val="both"/>
        <w:rPr>
          <w:rFonts w:ascii="Palatino Linotype" w:eastAsia="Palatino Linotype" w:hAnsi="Palatino Linotype" w:cs="Palatino Linotype"/>
        </w:rPr>
      </w:pPr>
    </w:p>
    <w:p w14:paraId="609596C7" w14:textId="77777777" w:rsidR="00406DBE" w:rsidRPr="00D82D2E" w:rsidRDefault="00406DBE" w:rsidP="00406DBE">
      <w:pPr>
        <w:spacing w:after="0" w:line="360" w:lineRule="auto"/>
        <w:ind w:right="49"/>
        <w:jc w:val="both"/>
        <w:rPr>
          <w:rFonts w:ascii="Palatino Linotype" w:eastAsia="Palatino Linotype" w:hAnsi="Palatino Linotype" w:cs="Palatino Linotype"/>
          <w:b/>
          <w:i/>
        </w:rPr>
      </w:pPr>
      <w:r w:rsidRPr="00D82D2E">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w:t>
      </w:r>
    </w:p>
    <w:p w14:paraId="65C64434" w14:textId="77777777" w:rsidR="00406DBE" w:rsidRPr="00D82D2E" w:rsidRDefault="00406DBE" w:rsidP="00406DBE">
      <w:pPr>
        <w:spacing w:after="0" w:line="360" w:lineRule="auto"/>
        <w:ind w:left="567" w:right="560"/>
        <w:jc w:val="both"/>
        <w:rPr>
          <w:rFonts w:ascii="Palatino Linotype" w:eastAsia="Palatino Linotype" w:hAnsi="Palatino Linotype" w:cs="Palatino Linotype"/>
          <w:b/>
          <w:i/>
        </w:rPr>
      </w:pPr>
    </w:p>
    <w:p w14:paraId="02337F06" w14:textId="77777777" w:rsidR="00406DBE" w:rsidRPr="00D82D2E" w:rsidRDefault="00406DBE" w:rsidP="00406DBE">
      <w:pP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rPr>
        <w:t xml:space="preserve">Por otra parte, y aunado a lo antepuesto, el último párrafo del artículo 24 de la Ley de la materia, dispone que los Sujetos Obligados sólo proporcionarán la información pública que generen, administren o posean en el ejercicio de sus atribuciones; por consiguiente, la </w:t>
      </w:r>
      <w:r w:rsidRPr="00D82D2E">
        <w:rPr>
          <w:rFonts w:ascii="Palatino Linotype" w:eastAsia="Palatino Linotype" w:hAnsi="Palatino Linotype" w:cs="Palatino Linotype"/>
        </w:rPr>
        <w:lastRenderedPageBreak/>
        <w:t>información pública se encuentra a disposición de cualquier persona, lo que implica que es deber de los Sujetos Obligados, garantizar el Derecho de Acceso a la Información Pública.</w:t>
      </w:r>
    </w:p>
    <w:p w14:paraId="0C9CAD86" w14:textId="77777777" w:rsidR="00406DBE" w:rsidRPr="00D82D2E" w:rsidRDefault="00406DBE" w:rsidP="00406DBE">
      <w:pPr>
        <w:spacing w:after="0" w:line="360" w:lineRule="auto"/>
        <w:ind w:right="49"/>
        <w:jc w:val="both"/>
        <w:rPr>
          <w:rFonts w:ascii="Palatino Linotype" w:eastAsia="Palatino Linotype" w:hAnsi="Palatino Linotype" w:cs="Palatino Linotype"/>
          <w:i/>
        </w:rPr>
      </w:pPr>
      <w:r w:rsidRPr="00D82D2E">
        <w:rPr>
          <w:rFonts w:ascii="Palatino Linotype" w:eastAsia="Palatino Linotype" w:hAnsi="Palatino Linotype" w:cs="Palatino Linotype"/>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w:t>
      </w:r>
      <w:r w:rsidRPr="00D82D2E">
        <w:rPr>
          <w:rFonts w:ascii="Palatino Linotype" w:eastAsia="Palatino Linotype" w:hAnsi="Palatino Linotype" w:cs="Palatino Linotype"/>
          <w:i/>
        </w:rPr>
        <w:t xml:space="preserve"> </w:t>
      </w:r>
    </w:p>
    <w:p w14:paraId="71B9A4D4" w14:textId="77777777" w:rsidR="00406DBE" w:rsidRPr="00D82D2E" w:rsidRDefault="00406DBE" w:rsidP="00406DBE">
      <w:pPr>
        <w:spacing w:after="0" w:line="360" w:lineRule="auto"/>
        <w:ind w:right="49"/>
        <w:jc w:val="both"/>
        <w:rPr>
          <w:rFonts w:ascii="Palatino Linotype" w:eastAsia="Palatino Linotype" w:hAnsi="Palatino Linotype" w:cs="Palatino Linotype"/>
          <w:i/>
        </w:rPr>
      </w:pPr>
    </w:p>
    <w:p w14:paraId="79F53DDB" w14:textId="77777777" w:rsidR="00406DBE" w:rsidRPr="00D82D2E" w:rsidRDefault="00406DBE" w:rsidP="00406DBE">
      <w:pP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052FE5B" w14:textId="77777777" w:rsidR="00406DBE" w:rsidRPr="00D82D2E" w:rsidRDefault="00406DBE" w:rsidP="00406DBE">
      <w:pPr>
        <w:spacing w:after="0" w:line="360" w:lineRule="auto"/>
        <w:ind w:right="49"/>
        <w:jc w:val="both"/>
        <w:rPr>
          <w:rFonts w:ascii="Palatino Linotype" w:eastAsia="Palatino Linotype" w:hAnsi="Palatino Linotype" w:cs="Palatino Linotype"/>
        </w:rPr>
      </w:pPr>
    </w:p>
    <w:p w14:paraId="1AF4D662" w14:textId="77777777" w:rsidR="00406DBE" w:rsidRPr="00D82D2E" w:rsidRDefault="00406DBE" w:rsidP="00406DBE">
      <w:pPr>
        <w:spacing w:after="0" w:line="276" w:lineRule="auto"/>
        <w:ind w:left="567" w:right="560"/>
        <w:jc w:val="both"/>
        <w:rPr>
          <w:rFonts w:ascii="Palatino Linotype" w:eastAsia="Palatino Linotype" w:hAnsi="Palatino Linotype" w:cs="Palatino Linotype"/>
          <w:b/>
          <w:i/>
        </w:rPr>
      </w:pPr>
      <w:r w:rsidRPr="00D82D2E">
        <w:rPr>
          <w:rFonts w:ascii="Palatino Linotype" w:eastAsia="Palatino Linotype" w:hAnsi="Palatino Linotype" w:cs="Palatino Linotype"/>
          <w:i/>
        </w:rPr>
        <w:t>“</w:t>
      </w:r>
      <w:r w:rsidRPr="00D82D2E">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D82D2E">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DD1219A" w14:textId="77777777" w:rsidR="00406DBE" w:rsidRPr="00D82D2E" w:rsidRDefault="00406DBE" w:rsidP="00406DBE">
      <w:pPr>
        <w:spacing w:after="0" w:line="276" w:lineRule="auto"/>
        <w:ind w:left="567" w:right="560"/>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En </w:t>
      </w:r>
      <w:proofErr w:type="gramStart"/>
      <w:r w:rsidRPr="00D82D2E">
        <w:rPr>
          <w:rFonts w:ascii="Palatino Linotype" w:eastAsia="Palatino Linotype" w:hAnsi="Palatino Linotype" w:cs="Palatino Linotype"/>
          <w:i/>
        </w:rPr>
        <w:t>consecuencia</w:t>
      </w:r>
      <w:proofErr w:type="gramEnd"/>
      <w:r w:rsidRPr="00D82D2E">
        <w:rPr>
          <w:rFonts w:ascii="Palatino Linotype" w:eastAsia="Palatino Linotype" w:hAnsi="Palatino Linotype" w:cs="Palatino Linotype"/>
          <w:i/>
        </w:rPr>
        <w:t xml:space="preserve"> el acceso a la información se refiere a que se cumplan cualquiera de los siguientes tres supuestos:</w:t>
      </w:r>
    </w:p>
    <w:p w14:paraId="1B02ED09" w14:textId="77777777" w:rsidR="00406DBE" w:rsidRPr="00D82D2E" w:rsidRDefault="00406DBE" w:rsidP="00406DBE">
      <w:pPr>
        <w:spacing w:after="0" w:line="276" w:lineRule="auto"/>
        <w:ind w:left="567" w:right="560"/>
        <w:jc w:val="both"/>
        <w:rPr>
          <w:rFonts w:ascii="Palatino Linotype" w:eastAsia="Palatino Linotype" w:hAnsi="Palatino Linotype" w:cs="Palatino Linotype"/>
          <w:i/>
        </w:rPr>
      </w:pPr>
      <w:r w:rsidRPr="00D82D2E">
        <w:rPr>
          <w:rFonts w:ascii="Palatino Linotype" w:eastAsia="Palatino Linotype" w:hAnsi="Palatino Linotype" w:cs="Palatino Linotype"/>
          <w:i/>
        </w:rPr>
        <w:lastRenderedPageBreak/>
        <w:t>1)</w:t>
      </w:r>
      <w:r w:rsidRPr="00D82D2E">
        <w:rPr>
          <w:rFonts w:ascii="Palatino Linotype" w:eastAsia="Palatino Linotype" w:hAnsi="Palatino Linotype" w:cs="Palatino Linotype"/>
          <w:i/>
        </w:rPr>
        <w:tab/>
        <w:t xml:space="preserve">Que se trate de información registrada en cualquier soporte documental, </w:t>
      </w:r>
      <w:proofErr w:type="gramStart"/>
      <w:r w:rsidRPr="00D82D2E">
        <w:rPr>
          <w:rFonts w:ascii="Palatino Linotype" w:eastAsia="Palatino Linotype" w:hAnsi="Palatino Linotype" w:cs="Palatino Linotype"/>
          <w:i/>
        </w:rPr>
        <w:t>que</w:t>
      </w:r>
      <w:proofErr w:type="gramEnd"/>
      <w:r w:rsidRPr="00D82D2E">
        <w:rPr>
          <w:rFonts w:ascii="Palatino Linotype" w:eastAsia="Palatino Linotype" w:hAnsi="Palatino Linotype" w:cs="Palatino Linotype"/>
          <w:i/>
        </w:rPr>
        <w:t xml:space="preserve"> en ejercicio de las atribuciones conferidas, sea generada por los Sujetos Obligados;</w:t>
      </w:r>
    </w:p>
    <w:p w14:paraId="5A4C2ECF" w14:textId="77777777" w:rsidR="00406DBE" w:rsidRPr="00D82D2E" w:rsidRDefault="00406DBE" w:rsidP="00406DBE">
      <w:pPr>
        <w:spacing w:after="0" w:line="276" w:lineRule="auto"/>
        <w:ind w:left="567" w:right="560"/>
        <w:jc w:val="both"/>
        <w:rPr>
          <w:rFonts w:ascii="Palatino Linotype" w:eastAsia="Palatino Linotype" w:hAnsi="Palatino Linotype" w:cs="Palatino Linotype"/>
          <w:i/>
        </w:rPr>
      </w:pPr>
      <w:r w:rsidRPr="00D82D2E">
        <w:rPr>
          <w:rFonts w:ascii="Palatino Linotype" w:eastAsia="Palatino Linotype" w:hAnsi="Palatino Linotype" w:cs="Palatino Linotype"/>
          <w:i/>
        </w:rPr>
        <w:t>2)</w:t>
      </w:r>
      <w:r w:rsidRPr="00D82D2E">
        <w:rPr>
          <w:rFonts w:ascii="Palatino Linotype" w:eastAsia="Palatino Linotype" w:hAnsi="Palatino Linotype" w:cs="Palatino Linotype"/>
          <w:i/>
        </w:rPr>
        <w:tab/>
        <w:t xml:space="preserve">Que se trate de información registrada en cualquier soporte documental, </w:t>
      </w:r>
      <w:proofErr w:type="gramStart"/>
      <w:r w:rsidRPr="00D82D2E">
        <w:rPr>
          <w:rFonts w:ascii="Palatino Linotype" w:eastAsia="Palatino Linotype" w:hAnsi="Palatino Linotype" w:cs="Palatino Linotype"/>
          <w:i/>
        </w:rPr>
        <w:t>que</w:t>
      </w:r>
      <w:proofErr w:type="gramEnd"/>
      <w:r w:rsidRPr="00D82D2E">
        <w:rPr>
          <w:rFonts w:ascii="Palatino Linotype" w:eastAsia="Palatino Linotype" w:hAnsi="Palatino Linotype" w:cs="Palatino Linotype"/>
          <w:i/>
        </w:rPr>
        <w:t xml:space="preserve"> en ejercicio de las atribuciones conferidas, sea administrada por los Sujetos Obligados, y</w:t>
      </w:r>
    </w:p>
    <w:p w14:paraId="37ACB269" w14:textId="77777777" w:rsidR="00406DBE" w:rsidRPr="00D82D2E" w:rsidRDefault="00406DBE" w:rsidP="00406DBE">
      <w:pPr>
        <w:spacing w:after="0" w:line="276" w:lineRule="auto"/>
        <w:ind w:left="567" w:right="560"/>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3) Que se trate de información registrada en cualquier soporte documental, </w:t>
      </w:r>
      <w:proofErr w:type="gramStart"/>
      <w:r w:rsidRPr="00D82D2E">
        <w:rPr>
          <w:rFonts w:ascii="Palatino Linotype" w:eastAsia="Palatino Linotype" w:hAnsi="Palatino Linotype" w:cs="Palatino Linotype"/>
          <w:i/>
        </w:rPr>
        <w:t>que</w:t>
      </w:r>
      <w:proofErr w:type="gramEnd"/>
      <w:r w:rsidRPr="00D82D2E">
        <w:rPr>
          <w:rFonts w:ascii="Palatino Linotype" w:eastAsia="Palatino Linotype" w:hAnsi="Palatino Linotype" w:cs="Palatino Linotype"/>
          <w:i/>
        </w:rPr>
        <w:t xml:space="preserve"> en ejercicio de las atribuciones conferidas, se encuentre en posesión de los Sujetos Obligados.” </w:t>
      </w:r>
    </w:p>
    <w:p w14:paraId="77453F9B" w14:textId="77777777" w:rsidR="00406DBE" w:rsidRPr="00D82D2E" w:rsidRDefault="00406DBE" w:rsidP="00406DBE">
      <w:pPr>
        <w:spacing w:after="0" w:line="360" w:lineRule="auto"/>
        <w:ind w:left="567" w:right="560"/>
        <w:jc w:val="both"/>
        <w:rPr>
          <w:rFonts w:ascii="Palatino Linotype" w:eastAsia="Palatino Linotype" w:hAnsi="Palatino Linotype" w:cs="Palatino Linotype"/>
          <w:i/>
        </w:rPr>
      </w:pPr>
    </w:p>
    <w:p w14:paraId="473E247A" w14:textId="533BADD2" w:rsidR="00406DBE" w:rsidRPr="00D82D2E" w:rsidRDefault="00406DBE" w:rsidP="00406DBE">
      <w:pP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5132C070" w14:textId="77777777" w:rsidR="00BF4BF8" w:rsidRPr="00D82D2E" w:rsidRDefault="00BF4BF8" w:rsidP="00406DBE">
      <w:pPr>
        <w:spacing w:after="0" w:line="360" w:lineRule="auto"/>
        <w:ind w:right="49"/>
        <w:jc w:val="both"/>
        <w:rPr>
          <w:rFonts w:ascii="Palatino Linotype" w:eastAsia="Palatino Linotype" w:hAnsi="Palatino Linotype" w:cs="Palatino Linotype"/>
        </w:rPr>
      </w:pPr>
    </w:p>
    <w:p w14:paraId="54D3CD63" w14:textId="61655FF9" w:rsidR="00285EAA" w:rsidRPr="00D82D2E" w:rsidRDefault="00406DBE" w:rsidP="00285EAA">
      <w:pP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rPr>
        <w:t>Para ello, es de recordar que la parte Recurrente,</w:t>
      </w:r>
      <w:r w:rsidR="00285EAA" w:rsidRPr="00D82D2E">
        <w:rPr>
          <w:rFonts w:ascii="Palatino Linotype" w:eastAsia="Palatino Linotype" w:hAnsi="Palatino Linotype" w:cs="Palatino Linotype"/>
        </w:rPr>
        <w:t xml:space="preserve"> solicitó</w:t>
      </w:r>
      <w:r w:rsidR="007F2FE0" w:rsidRPr="00D82D2E">
        <w:rPr>
          <w:rFonts w:ascii="Palatino Linotype" w:eastAsia="Palatino Linotype" w:hAnsi="Palatino Linotype" w:cs="Palatino Linotype"/>
        </w:rPr>
        <w:t xml:space="preserve"> conocer el nombre de las personas registradas, número de cuenta y monto de cada una de las aportaciones para el retiro de los trabajadores universitarios. </w:t>
      </w:r>
    </w:p>
    <w:p w14:paraId="7E79DA3E" w14:textId="77777777" w:rsidR="00285EAA" w:rsidRPr="00D82D2E" w:rsidRDefault="00285EAA" w:rsidP="00285EA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09BE76F" w14:textId="1AB4FEC1" w:rsidR="003948E2" w:rsidRPr="00D82D2E" w:rsidRDefault="00285EAA" w:rsidP="007F2FE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rPr>
        <w:t>En respuesta, el Sujeto Obligado r</w:t>
      </w:r>
      <w:r w:rsidR="007F2FE0" w:rsidRPr="00D82D2E">
        <w:rPr>
          <w:rFonts w:ascii="Palatino Linotype" w:eastAsia="Palatino Linotype" w:hAnsi="Palatino Linotype" w:cs="Palatino Linotype"/>
        </w:rPr>
        <w:t xml:space="preserve">efirió que, </w:t>
      </w:r>
      <w:r w:rsidR="00340164" w:rsidRPr="00D82D2E">
        <w:rPr>
          <w:rFonts w:ascii="Palatino Linotype" w:eastAsia="Palatino Linotype" w:hAnsi="Palatino Linotype" w:cs="Palatino Linotype"/>
        </w:rPr>
        <w:t xml:space="preserve">con base a la información proporcionada por la Dirección de Recursos Humanos, al tratarse de datos bancarios, la información requerida se encuentra tutelada por la legislación en materia de protección de datos personales, por lo que, no es posible proporcionarla. </w:t>
      </w:r>
    </w:p>
    <w:p w14:paraId="59E78FF1" w14:textId="77777777" w:rsidR="00285EAA" w:rsidRPr="00D82D2E" w:rsidRDefault="00285EAA" w:rsidP="00285EA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389E7B2" w14:textId="6E48B9E9" w:rsidR="00285EAA" w:rsidRPr="00D82D2E" w:rsidRDefault="00285EAA" w:rsidP="00285EA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rPr>
        <w:lastRenderedPageBreak/>
        <w:t xml:space="preserve">Derivado de ello, la parte Recurrente se inconformó </w:t>
      </w:r>
      <w:r w:rsidR="00340164" w:rsidRPr="00D82D2E">
        <w:rPr>
          <w:rFonts w:ascii="Palatino Linotype" w:eastAsia="Palatino Linotype" w:hAnsi="Palatino Linotype" w:cs="Palatino Linotype"/>
        </w:rPr>
        <w:t xml:space="preserve">arguyendo que no se le había entregado lo solicitado. </w:t>
      </w:r>
    </w:p>
    <w:p w14:paraId="2BCD128D" w14:textId="77777777" w:rsidR="00B41858" w:rsidRPr="00D82D2E" w:rsidRDefault="00B41858" w:rsidP="008448B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9E6A1E8" w14:textId="25F7499B" w:rsidR="00340164" w:rsidRPr="00D82D2E" w:rsidRDefault="00BF4BF8" w:rsidP="00980393">
      <w:pP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rPr>
        <w:t xml:space="preserve">Es así que, mediante informe justificado, el Sujeto Obligado medularmente ratificó su respuesta inicial. </w:t>
      </w:r>
    </w:p>
    <w:p w14:paraId="1A2D1E9F" w14:textId="77777777" w:rsidR="00340164" w:rsidRPr="00D82D2E" w:rsidRDefault="00340164" w:rsidP="00980393">
      <w:pPr>
        <w:spacing w:after="0" w:line="360" w:lineRule="auto"/>
        <w:ind w:right="49"/>
        <w:jc w:val="both"/>
        <w:rPr>
          <w:rFonts w:ascii="Palatino Linotype" w:eastAsia="Palatino Linotype" w:hAnsi="Palatino Linotype" w:cs="Palatino Linotype"/>
        </w:rPr>
      </w:pPr>
    </w:p>
    <w:p w14:paraId="11DC6BBF" w14:textId="6B20FE88" w:rsidR="00340164" w:rsidRPr="00D82D2E" w:rsidRDefault="00340164" w:rsidP="00980393">
      <w:pP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rPr>
        <w:t>Dicho esto, se procede a contextualizar la información solicitada, para ello, de la búsqueda realizada a diversos medios de información, se encontró una noticia de fecha treinta de enero de dos mil nueve</w:t>
      </w:r>
      <w:r w:rsidR="009F72B4" w:rsidRPr="00D82D2E">
        <w:rPr>
          <w:rFonts w:ascii="Palatino Linotype" w:eastAsia="Palatino Linotype" w:hAnsi="Palatino Linotype" w:cs="Palatino Linotype"/>
        </w:rPr>
        <w:t xml:space="preserve"> (consultable en </w:t>
      </w:r>
      <w:hyperlink r:id="rId7" w:history="1">
        <w:r w:rsidR="009F72B4" w:rsidRPr="00D82D2E">
          <w:rPr>
            <w:rStyle w:val="Hipervnculo"/>
            <w:rFonts w:ascii="Palatino Linotype" w:eastAsia="Palatino Linotype" w:hAnsi="Palatino Linotype" w:cs="Palatino Linotype"/>
          </w:rPr>
          <w:t>https://mvt.com.mx/crean-fondo-de-retiro-para-trabajadores-universitarios/</w:t>
        </w:r>
      </w:hyperlink>
      <w:r w:rsidR="009F72B4" w:rsidRPr="00D82D2E">
        <w:rPr>
          <w:rFonts w:ascii="Palatino Linotype" w:eastAsia="Palatino Linotype" w:hAnsi="Palatino Linotype" w:cs="Palatino Linotype"/>
        </w:rPr>
        <w:t>)</w:t>
      </w:r>
      <w:r w:rsidRPr="00D82D2E">
        <w:rPr>
          <w:rFonts w:ascii="Palatino Linotype" w:eastAsia="Palatino Linotype" w:hAnsi="Palatino Linotype" w:cs="Palatino Linotype"/>
        </w:rPr>
        <w:t xml:space="preserve">, </w:t>
      </w:r>
      <w:proofErr w:type="spellStart"/>
      <w:r w:rsidRPr="00D82D2E">
        <w:rPr>
          <w:rFonts w:ascii="Palatino Linotype" w:eastAsia="Palatino Linotype" w:hAnsi="Palatino Linotype" w:cs="Palatino Linotype"/>
        </w:rPr>
        <w:t>en</w:t>
      </w:r>
      <w:proofErr w:type="spellEnd"/>
      <w:r w:rsidRPr="00D82D2E">
        <w:rPr>
          <w:rFonts w:ascii="Palatino Linotype" w:eastAsia="Palatino Linotype" w:hAnsi="Palatino Linotype" w:cs="Palatino Linotype"/>
        </w:rPr>
        <w:t xml:space="preserve"> la que se señala que el entonces Rector de la Universidad Autónoma del Estado de México anunció la creación de un Fondo de Retiro para el Trabajador Académico y Administrativo de la UAEM, al que se canalizaría de manera inicial </w:t>
      </w:r>
      <w:r w:rsidR="005A7C68" w:rsidRPr="00D82D2E">
        <w:rPr>
          <w:rFonts w:ascii="Palatino Linotype" w:eastAsia="Palatino Linotype" w:hAnsi="Palatino Linotype" w:cs="Palatino Linotype"/>
        </w:rPr>
        <w:t xml:space="preserve">cincuenta y cinco millones de pesos para garantizar una vida digna más allá de su conclusión laboral. </w:t>
      </w:r>
    </w:p>
    <w:p w14:paraId="6BD194F3" w14:textId="77777777" w:rsidR="009F72B4" w:rsidRPr="00D82D2E" w:rsidRDefault="009F72B4" w:rsidP="00980393">
      <w:pPr>
        <w:spacing w:after="0" w:line="360" w:lineRule="auto"/>
        <w:ind w:right="49"/>
        <w:jc w:val="both"/>
        <w:rPr>
          <w:rFonts w:ascii="Palatino Linotype" w:eastAsia="Palatino Linotype" w:hAnsi="Palatino Linotype" w:cs="Palatino Linotype"/>
        </w:rPr>
      </w:pPr>
    </w:p>
    <w:p w14:paraId="08895ACD" w14:textId="46564F77" w:rsidR="005A7C68" w:rsidRPr="00D82D2E" w:rsidRDefault="005A7C68" w:rsidP="00980393">
      <w:pP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rPr>
        <w:t xml:space="preserve">Asimismo, la nota periodística refiere que, este fondo de retiró es mediante una </w:t>
      </w:r>
      <w:r w:rsidRPr="00D82D2E">
        <w:rPr>
          <w:rFonts w:ascii="Palatino Linotype" w:eastAsia="Palatino Linotype" w:hAnsi="Palatino Linotype" w:cs="Palatino Linotype"/>
          <w:b/>
        </w:rPr>
        <w:t xml:space="preserve">cuenta individualizada </w:t>
      </w:r>
      <w:r w:rsidRPr="00D82D2E">
        <w:rPr>
          <w:rFonts w:ascii="Palatino Linotype" w:eastAsia="Palatino Linotype" w:hAnsi="Palatino Linotype" w:cs="Palatino Linotype"/>
        </w:rPr>
        <w:t xml:space="preserve">a cada trabajador universitario, tanto académicos como administrativos, en la que se aportará una cantidad inicial y se irá incrementando a partir de una cantidad que tendrá como base de fijación la antigüedad laboral y la categoría de cada empleado. </w:t>
      </w:r>
    </w:p>
    <w:p w14:paraId="78335C39" w14:textId="77777777" w:rsidR="005A7C68" w:rsidRPr="00D82D2E" w:rsidRDefault="005A7C68" w:rsidP="00980393">
      <w:pPr>
        <w:spacing w:after="0" w:line="360" w:lineRule="auto"/>
        <w:ind w:right="49"/>
        <w:jc w:val="both"/>
        <w:rPr>
          <w:rFonts w:ascii="Palatino Linotype" w:eastAsia="Palatino Linotype" w:hAnsi="Palatino Linotype" w:cs="Palatino Linotype"/>
        </w:rPr>
      </w:pPr>
    </w:p>
    <w:p w14:paraId="624C1DB2" w14:textId="6B701F86" w:rsidR="009F72B4" w:rsidRPr="00D82D2E" w:rsidRDefault="00E14328" w:rsidP="00980393">
      <w:pP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rPr>
        <w:t xml:space="preserve">Del mismo modo, se encontró que en los Contractos Colectivos de Trabajo de la Universidad Autónoma del Estado de México de diversos periodos se establecen las retenciones, descuentos o deducciones de salario a los trabajadores, tal como se puede apreciar en el Contrato Colectivo 2019-2021 similar al del 2023-2024: </w:t>
      </w:r>
    </w:p>
    <w:p w14:paraId="47765675" w14:textId="77777777" w:rsidR="00E14328" w:rsidRPr="00D82D2E" w:rsidRDefault="00E14328" w:rsidP="00980393">
      <w:pPr>
        <w:spacing w:after="0" w:line="360" w:lineRule="auto"/>
        <w:ind w:right="49"/>
        <w:jc w:val="both"/>
        <w:rPr>
          <w:rFonts w:ascii="Palatino Linotype" w:eastAsia="Palatino Linotype" w:hAnsi="Palatino Linotype" w:cs="Palatino Linotype"/>
        </w:rPr>
      </w:pPr>
    </w:p>
    <w:p w14:paraId="1DA8DFFD" w14:textId="1DEF1985" w:rsidR="00E14328" w:rsidRPr="00D82D2E" w:rsidRDefault="00E14328" w:rsidP="00E14328">
      <w:pPr>
        <w:spacing w:after="0" w:line="276" w:lineRule="auto"/>
        <w:ind w:left="567" w:right="616"/>
        <w:jc w:val="center"/>
        <w:rPr>
          <w:rFonts w:ascii="Palatino Linotype" w:hAnsi="Palatino Linotype"/>
          <w:b/>
          <w:i/>
        </w:rPr>
      </w:pPr>
      <w:r w:rsidRPr="00D82D2E">
        <w:rPr>
          <w:rFonts w:ascii="Palatino Linotype" w:hAnsi="Palatino Linotype"/>
          <w:b/>
          <w:i/>
        </w:rPr>
        <w:lastRenderedPageBreak/>
        <w:t>DE LAS RETENCIONES, DESCUENTOS O DEDUCCIONES DE SALARIO</w:t>
      </w:r>
    </w:p>
    <w:p w14:paraId="59E98666" w14:textId="77777777" w:rsidR="00E14328" w:rsidRPr="00D82D2E" w:rsidRDefault="00E14328" w:rsidP="00E14328">
      <w:pPr>
        <w:spacing w:after="0" w:line="276" w:lineRule="auto"/>
        <w:ind w:left="567" w:right="616"/>
        <w:jc w:val="both"/>
        <w:rPr>
          <w:rFonts w:ascii="Palatino Linotype" w:hAnsi="Palatino Linotype"/>
          <w:i/>
        </w:rPr>
      </w:pPr>
    </w:p>
    <w:p w14:paraId="21DFAD3C" w14:textId="72A5B3A4" w:rsidR="00E14328" w:rsidRPr="00D82D2E" w:rsidRDefault="00E14328" w:rsidP="00E14328">
      <w:pPr>
        <w:spacing w:after="0" w:line="276" w:lineRule="auto"/>
        <w:ind w:left="567" w:right="616"/>
        <w:jc w:val="both"/>
        <w:rPr>
          <w:rFonts w:ascii="Palatino Linotype" w:hAnsi="Palatino Linotype"/>
          <w:i/>
        </w:rPr>
      </w:pPr>
      <w:r w:rsidRPr="00D82D2E">
        <w:rPr>
          <w:rFonts w:ascii="Palatino Linotype" w:hAnsi="Palatino Linotype"/>
          <w:b/>
          <w:i/>
        </w:rPr>
        <w:t>CLÁUSULA No. 47.</w:t>
      </w:r>
      <w:r w:rsidRPr="00D82D2E">
        <w:rPr>
          <w:rFonts w:ascii="Palatino Linotype" w:hAnsi="Palatino Linotype"/>
          <w:i/>
        </w:rPr>
        <w:t xml:space="preserve"> Sólo podrán hacerse retenciones, descuentos o deducciones al salario de los integrantes del personal académico, en los casos siguientes:</w:t>
      </w:r>
    </w:p>
    <w:p w14:paraId="564BAB79" w14:textId="50D312F4" w:rsidR="00E14328" w:rsidRPr="00D82D2E" w:rsidRDefault="00E14328" w:rsidP="00E14328">
      <w:pPr>
        <w:spacing w:after="0" w:line="276" w:lineRule="auto"/>
        <w:ind w:left="567" w:right="616"/>
        <w:jc w:val="both"/>
        <w:rPr>
          <w:rFonts w:ascii="Palatino Linotype" w:hAnsi="Palatino Linotype"/>
          <w:i/>
        </w:rPr>
      </w:pPr>
      <w:r w:rsidRPr="00D82D2E">
        <w:rPr>
          <w:rFonts w:ascii="Palatino Linotype" w:hAnsi="Palatino Linotype"/>
          <w:i/>
        </w:rPr>
        <w:t>…</w:t>
      </w:r>
    </w:p>
    <w:p w14:paraId="2FFE20DE" w14:textId="77653AFB" w:rsidR="00E14328" w:rsidRPr="00D82D2E" w:rsidRDefault="00E14328" w:rsidP="00E14328">
      <w:pPr>
        <w:spacing w:after="0" w:line="276" w:lineRule="auto"/>
        <w:ind w:left="567" w:right="616"/>
        <w:jc w:val="both"/>
        <w:rPr>
          <w:rFonts w:ascii="Palatino Linotype" w:hAnsi="Palatino Linotype"/>
          <w:i/>
        </w:rPr>
      </w:pPr>
      <w:r w:rsidRPr="00D82D2E">
        <w:rPr>
          <w:rFonts w:ascii="Palatino Linotype" w:hAnsi="Palatino Linotype"/>
          <w:i/>
        </w:rPr>
        <w:t xml:space="preserve">III. Para fondos de ahorro del personal </w:t>
      </w:r>
      <w:r w:rsidRPr="00D82D2E">
        <w:rPr>
          <w:rFonts w:ascii="Palatino Linotype" w:hAnsi="Palatino Linotype"/>
          <w:b/>
          <w:i/>
        </w:rPr>
        <w:t>académico a los que voluntaria y expresamente se haya adherido</w:t>
      </w:r>
      <w:r w:rsidRPr="00D82D2E">
        <w:rPr>
          <w:rFonts w:ascii="Palatino Linotype" w:hAnsi="Palatino Linotype"/>
          <w:i/>
        </w:rPr>
        <w:t xml:space="preserve"> el integrante y que se comunique por escrito a la Universidad Autónoma del Estado de México.</w:t>
      </w:r>
    </w:p>
    <w:p w14:paraId="47B39BEB" w14:textId="00F4A082" w:rsidR="00E14328" w:rsidRPr="00D82D2E" w:rsidRDefault="00E14328" w:rsidP="00E14328">
      <w:pPr>
        <w:spacing w:after="0" w:line="276" w:lineRule="auto"/>
        <w:ind w:left="567" w:right="616"/>
        <w:jc w:val="both"/>
        <w:rPr>
          <w:rFonts w:ascii="Palatino Linotype" w:eastAsia="Palatino Linotype" w:hAnsi="Palatino Linotype" w:cs="Palatino Linotype"/>
          <w:i/>
        </w:rPr>
      </w:pPr>
      <w:r w:rsidRPr="00D82D2E">
        <w:rPr>
          <w:rFonts w:ascii="Palatino Linotype" w:hAnsi="Palatino Linotype"/>
          <w:i/>
        </w:rPr>
        <w:t>…</w:t>
      </w:r>
    </w:p>
    <w:p w14:paraId="6565E84C" w14:textId="77777777" w:rsidR="005A7C68" w:rsidRPr="00D82D2E" w:rsidRDefault="005A7C68" w:rsidP="00980393">
      <w:pPr>
        <w:spacing w:after="0" w:line="360" w:lineRule="auto"/>
        <w:ind w:right="49"/>
        <w:jc w:val="both"/>
        <w:rPr>
          <w:rFonts w:ascii="Palatino Linotype" w:eastAsia="Palatino Linotype" w:hAnsi="Palatino Linotype" w:cs="Palatino Linotype"/>
        </w:rPr>
      </w:pPr>
    </w:p>
    <w:p w14:paraId="78B2B464" w14:textId="6A641E73" w:rsidR="00E14328" w:rsidRPr="00D82D2E" w:rsidRDefault="00E14328" w:rsidP="00980393">
      <w:pPr>
        <w:spacing w:after="0" w:line="360" w:lineRule="auto"/>
        <w:ind w:right="49"/>
        <w:jc w:val="both"/>
        <w:rPr>
          <w:rFonts w:ascii="Palatino Linotype" w:eastAsia="Palatino Linotype" w:hAnsi="Palatino Linotype" w:cs="Palatino Linotype"/>
          <w:b/>
        </w:rPr>
      </w:pPr>
      <w:r w:rsidRPr="00D82D2E">
        <w:rPr>
          <w:rFonts w:ascii="Palatino Linotype" w:eastAsia="Palatino Linotype" w:hAnsi="Palatino Linotype" w:cs="Palatino Linotype"/>
        </w:rPr>
        <w:t>De lo anterior, se aprecia que, el fondo al que hace mención el particular</w:t>
      </w:r>
      <w:r w:rsidR="00D377C4" w:rsidRPr="00D82D2E">
        <w:rPr>
          <w:rFonts w:ascii="Palatino Linotype" w:eastAsia="Palatino Linotype" w:hAnsi="Palatino Linotype" w:cs="Palatino Linotype"/>
        </w:rPr>
        <w:t xml:space="preserve"> tiene como finalidad el retiro digno </w:t>
      </w:r>
      <w:r w:rsidR="00D377C4" w:rsidRPr="00D82D2E">
        <w:rPr>
          <w:rFonts w:ascii="Palatino Linotype" w:eastAsia="Palatino Linotype" w:hAnsi="Palatino Linotype" w:cs="Palatino Linotype"/>
          <w:b/>
        </w:rPr>
        <w:t xml:space="preserve">de los trabajadores (académicos como administrativos) </w:t>
      </w:r>
      <w:r w:rsidR="00D377C4" w:rsidRPr="00D82D2E">
        <w:rPr>
          <w:rFonts w:ascii="Palatino Linotype" w:eastAsia="Palatino Linotype" w:hAnsi="Palatino Linotype" w:cs="Palatino Linotype"/>
        </w:rPr>
        <w:t xml:space="preserve">de la Universidad Autónoma del Estado de México, siendo que para este ahorro se </w:t>
      </w:r>
      <w:r w:rsidR="00D377C4" w:rsidRPr="00D82D2E">
        <w:rPr>
          <w:rFonts w:ascii="Palatino Linotype" w:eastAsia="Palatino Linotype" w:hAnsi="Palatino Linotype" w:cs="Palatino Linotype"/>
          <w:b/>
        </w:rPr>
        <w:t xml:space="preserve">generará una cuenta individualizada </w:t>
      </w:r>
      <w:r w:rsidR="00D377C4" w:rsidRPr="00D82D2E">
        <w:rPr>
          <w:rFonts w:ascii="Palatino Linotype" w:eastAsia="Palatino Linotype" w:hAnsi="Palatino Linotype" w:cs="Palatino Linotype"/>
        </w:rPr>
        <w:t xml:space="preserve">en la cual se realizarán aportaciones </w:t>
      </w:r>
      <w:r w:rsidR="00D377C4" w:rsidRPr="00D82D2E">
        <w:rPr>
          <w:rFonts w:ascii="Palatino Linotype" w:eastAsia="Palatino Linotype" w:hAnsi="Palatino Linotype" w:cs="Palatino Linotype"/>
          <w:b/>
        </w:rPr>
        <w:t xml:space="preserve">voluntarias. </w:t>
      </w:r>
    </w:p>
    <w:p w14:paraId="287E7B6E" w14:textId="14F7B26E" w:rsidR="00D377C4" w:rsidRPr="00D82D2E" w:rsidRDefault="00D377C4" w:rsidP="00980393">
      <w:pP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rPr>
        <w:t>Dicho esto, en relación con lo solicitado por la parte Recurrente, se procede a analizar</w:t>
      </w:r>
      <w:r w:rsidR="00635297" w:rsidRPr="00D82D2E">
        <w:rPr>
          <w:rFonts w:ascii="Palatino Linotype" w:eastAsia="Palatino Linotype" w:hAnsi="Palatino Linotype" w:cs="Palatino Linotype"/>
        </w:rPr>
        <w:t xml:space="preserve"> lo siguiente: </w:t>
      </w:r>
    </w:p>
    <w:p w14:paraId="6ED5DF94" w14:textId="77777777" w:rsidR="00E14328" w:rsidRPr="00D82D2E" w:rsidRDefault="00E14328" w:rsidP="00980393">
      <w:pPr>
        <w:spacing w:after="0" w:line="360" w:lineRule="auto"/>
        <w:ind w:right="49"/>
        <w:jc w:val="both"/>
        <w:rPr>
          <w:rFonts w:ascii="Palatino Linotype" w:eastAsia="Palatino Linotype" w:hAnsi="Palatino Linotype" w:cs="Palatino Linotype"/>
        </w:rPr>
      </w:pPr>
    </w:p>
    <w:p w14:paraId="0705803E" w14:textId="6A2452DB" w:rsidR="00635297" w:rsidRPr="00D82D2E" w:rsidRDefault="00A2078F" w:rsidP="00E8227D">
      <w:pPr>
        <w:pStyle w:val="Prrafodelista"/>
        <w:numPr>
          <w:ilvl w:val="0"/>
          <w:numId w:val="34"/>
        </w:numPr>
        <w:spacing w:after="0" w:line="360" w:lineRule="auto"/>
        <w:ind w:left="567"/>
        <w:jc w:val="both"/>
        <w:rPr>
          <w:rFonts w:ascii="Palatino Linotype" w:eastAsia="Calibri" w:hAnsi="Palatino Linotype" w:cs="Tahoma"/>
          <w:b/>
          <w:bCs/>
          <w:lang w:eastAsia="en-US"/>
        </w:rPr>
      </w:pPr>
      <w:r w:rsidRPr="00D82D2E">
        <w:rPr>
          <w:rFonts w:ascii="Palatino Linotype" w:eastAsia="Calibri" w:hAnsi="Palatino Linotype" w:cs="Tahoma"/>
          <w:b/>
          <w:bCs/>
          <w:lang w:eastAsia="en-US"/>
        </w:rPr>
        <w:t xml:space="preserve">Nombre de </w:t>
      </w:r>
      <w:r w:rsidR="00635297" w:rsidRPr="00D82D2E">
        <w:rPr>
          <w:rFonts w:ascii="Palatino Linotype" w:eastAsia="Calibri" w:hAnsi="Palatino Linotype" w:cs="Tahoma"/>
          <w:b/>
          <w:bCs/>
          <w:lang w:eastAsia="en-US"/>
        </w:rPr>
        <w:t>servidores públicos</w:t>
      </w:r>
      <w:r w:rsidRPr="00D82D2E">
        <w:rPr>
          <w:rFonts w:ascii="Palatino Linotype" w:eastAsia="Calibri" w:hAnsi="Palatino Linotype" w:cs="Tahoma"/>
          <w:b/>
          <w:bCs/>
          <w:lang w:eastAsia="en-US"/>
        </w:rPr>
        <w:t xml:space="preserve">. </w:t>
      </w:r>
      <w:r w:rsidRPr="00D82D2E">
        <w:rPr>
          <w:rFonts w:ascii="Palatino Linotype" w:eastAsia="Calibri" w:hAnsi="Palatino Linotype" w:cs="Tahoma"/>
          <w:bCs/>
          <w:lang w:eastAsia="en-US"/>
        </w:rPr>
        <w:t>E</w:t>
      </w:r>
      <w:r w:rsidR="00635297" w:rsidRPr="00D82D2E">
        <w:rPr>
          <w:rFonts w:ascii="Palatino Linotype" w:eastAsia="Calibri" w:hAnsi="Palatino Linotype" w:cs="Tahoma"/>
          <w:bCs/>
          <w:lang w:eastAsia="en-US"/>
        </w:rPr>
        <w:t>s de mencionar que e</w:t>
      </w:r>
      <w:r w:rsidRPr="00D82D2E">
        <w:rPr>
          <w:rFonts w:ascii="Palatino Linotype" w:eastAsia="Calibri" w:hAnsi="Palatino Linotype" w:cs="Tahoma"/>
          <w:bCs/>
          <w:lang w:eastAsia="en-US"/>
        </w:rPr>
        <w:t>n términos de los artículos 2.3, 2.13 y 2.14 del Código civil del Estado de México, el nombre es un atributo de la personalidad que designa e individualiza a una persona, conformado por el sustantivo propio y el primer apellido del padre y el primer apellido de la madre, en el orden que, de común acuerdo determinen. En ese sentido el nombre permite identificar a una persona y conocer su filiación, ya que mediante los apellidos puede det</w:t>
      </w:r>
      <w:r w:rsidR="00635297" w:rsidRPr="00D82D2E">
        <w:rPr>
          <w:rFonts w:ascii="Palatino Linotype" w:eastAsia="Calibri" w:hAnsi="Palatino Linotype" w:cs="Tahoma"/>
          <w:bCs/>
          <w:lang w:eastAsia="en-US"/>
        </w:rPr>
        <w:t xml:space="preserve">erminarse su parentesco, es así que, en términos generales, este dato </w:t>
      </w:r>
      <w:r w:rsidRPr="00D82D2E">
        <w:rPr>
          <w:rFonts w:ascii="Palatino Linotype" w:eastAsia="Calibri" w:hAnsi="Palatino Linotype" w:cs="Tahoma"/>
          <w:bCs/>
          <w:lang w:eastAsia="en-US"/>
        </w:rPr>
        <w:t>se considera susceptible de clasificarse como dato personal en términos del artículo 143, fracción I, de la Ley de Transparencia y Acceso a la Información Pública del Estado de México y Munici</w:t>
      </w:r>
      <w:r w:rsidR="00635297" w:rsidRPr="00D82D2E">
        <w:rPr>
          <w:rFonts w:ascii="Palatino Linotype" w:eastAsia="Calibri" w:hAnsi="Palatino Linotype" w:cs="Tahoma"/>
          <w:bCs/>
          <w:lang w:eastAsia="en-US"/>
        </w:rPr>
        <w:t xml:space="preserve">pios, sin embargo, cuando una persona ostenta una calidad de </w:t>
      </w:r>
      <w:r w:rsidR="00635297" w:rsidRPr="00D82D2E">
        <w:rPr>
          <w:rFonts w:ascii="Palatino Linotype" w:eastAsia="Calibri" w:hAnsi="Palatino Linotype" w:cs="Tahoma"/>
          <w:b/>
          <w:bCs/>
          <w:lang w:eastAsia="en-US"/>
        </w:rPr>
        <w:t xml:space="preserve">servidor </w:t>
      </w:r>
      <w:r w:rsidR="00635297" w:rsidRPr="00D82D2E">
        <w:rPr>
          <w:rFonts w:ascii="Palatino Linotype" w:eastAsia="Calibri" w:hAnsi="Palatino Linotype" w:cs="Tahoma"/>
          <w:b/>
          <w:bCs/>
          <w:lang w:eastAsia="en-US"/>
        </w:rPr>
        <w:lastRenderedPageBreak/>
        <w:t>público</w:t>
      </w:r>
      <w:r w:rsidR="00635297" w:rsidRPr="00D82D2E">
        <w:rPr>
          <w:rFonts w:ascii="Palatino Linotype" w:eastAsia="Calibri" w:hAnsi="Palatino Linotype" w:cs="Tahoma"/>
          <w:bCs/>
          <w:lang w:eastAsia="en-US"/>
        </w:rPr>
        <w:t xml:space="preserve">, por regla general,  </w:t>
      </w:r>
      <w:r w:rsidR="00635297" w:rsidRPr="00D82D2E">
        <w:rPr>
          <w:rFonts w:ascii="Palatino Linotype" w:hAnsi="Palatino Linotype" w:cs="Tahoma"/>
          <w:b/>
          <w:u w:val="single"/>
        </w:rPr>
        <w:t>es información de naturaleza pública</w:t>
      </w:r>
      <w:r w:rsidR="00635297" w:rsidRPr="00D82D2E">
        <w:rPr>
          <w:rFonts w:ascii="Palatino Linotype" w:hAnsi="Palatino Linotype" w:cs="Tahoma"/>
        </w:rPr>
        <w:t xml:space="preserve">, esto de acuerdo con lo que establecen la fracción VII  del artículo 92 de la Ley de Transparencia y Acceso a la Información Pública del Estado de México y Municipios. </w:t>
      </w:r>
    </w:p>
    <w:p w14:paraId="51EF5135" w14:textId="2C96E4AB" w:rsidR="00635297" w:rsidRPr="00D82D2E" w:rsidRDefault="00635297" w:rsidP="004C57E1">
      <w:pPr>
        <w:pStyle w:val="Prrafodelista"/>
        <w:numPr>
          <w:ilvl w:val="0"/>
          <w:numId w:val="34"/>
        </w:numPr>
        <w:spacing w:after="0" w:line="360" w:lineRule="auto"/>
        <w:ind w:left="567"/>
        <w:jc w:val="both"/>
        <w:rPr>
          <w:rFonts w:ascii="Palatino Linotype" w:eastAsia="Calibri" w:hAnsi="Palatino Linotype" w:cs="Tahoma"/>
          <w:b/>
          <w:bCs/>
          <w:lang w:eastAsia="en-US"/>
        </w:rPr>
      </w:pPr>
      <w:r w:rsidRPr="00D82D2E">
        <w:rPr>
          <w:rFonts w:ascii="Palatino Linotype" w:eastAsia="Calibri" w:hAnsi="Palatino Linotype" w:cs="Tahoma"/>
          <w:b/>
          <w:bCs/>
          <w:lang w:eastAsia="en-US"/>
        </w:rPr>
        <w:t>Número de cuenta bancaria.</w:t>
      </w:r>
      <w:r w:rsidR="004C57E1" w:rsidRPr="00D82D2E">
        <w:rPr>
          <w:rFonts w:ascii="Palatino Linotype" w:eastAsia="Calibri" w:hAnsi="Palatino Linotype" w:cs="Tahoma"/>
          <w:b/>
          <w:bCs/>
          <w:lang w:eastAsia="en-US"/>
        </w:rPr>
        <w:t xml:space="preserve"> </w:t>
      </w:r>
      <w:r w:rsidR="004C57E1" w:rsidRPr="00D82D2E">
        <w:rPr>
          <w:rFonts w:ascii="Palatino Linotype" w:eastAsia="Calibri" w:hAnsi="Palatino Linotype" w:cs="Tahoma"/>
          <w:bCs/>
          <w:lang w:eastAsia="en-US"/>
        </w:rPr>
        <w:t xml:space="preserve">Resulta </w:t>
      </w:r>
      <w:r w:rsidRPr="00D82D2E">
        <w:rPr>
          <w:rFonts w:ascii="Palatino Linotype" w:eastAsia="Palatino Linotype" w:hAnsi="Palatino Linotype" w:cs="Palatino Linotype"/>
        </w:rPr>
        <w:t xml:space="preserve">importante destacar que el </w:t>
      </w:r>
      <w:r w:rsidRPr="00D82D2E">
        <w:rPr>
          <w:rFonts w:ascii="Palatino Linotype" w:eastAsia="Palatino Linotype" w:hAnsi="Palatino Linotype" w:cs="Palatino Linotype"/>
          <w:i/>
        </w:rPr>
        <w:t>número de cuenta bancaria</w:t>
      </w:r>
      <w:r w:rsidRPr="00D82D2E">
        <w:rPr>
          <w:rFonts w:ascii="Palatino Linotype" w:eastAsia="Palatino Linotype" w:hAnsi="Palatino Linotype" w:cs="Palatino Linotype"/>
        </w:rPr>
        <w:t xml:space="preserve">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r w:rsidR="004C57E1" w:rsidRPr="00D82D2E">
        <w:rPr>
          <w:rFonts w:ascii="Palatino Linotype" w:eastAsia="Palatino Linotype" w:hAnsi="Palatino Linotype" w:cs="Palatino Linotype"/>
        </w:rPr>
        <w:t xml:space="preserve"> </w:t>
      </w:r>
      <w:r w:rsidRPr="00D82D2E">
        <w:rPr>
          <w:rFonts w:ascii="Palatino Linotype" w:eastAsia="Palatino Linotype" w:hAnsi="Palatino Linotype" w:cs="Palatino Linotype"/>
          <w:szCs w:val="24"/>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05507B62" w14:textId="07115A7A" w:rsidR="009E79D2" w:rsidRPr="00D82D2E" w:rsidRDefault="009E79D2" w:rsidP="009E79D2">
      <w:pPr>
        <w:pStyle w:val="Prrafodelista"/>
        <w:numPr>
          <w:ilvl w:val="0"/>
          <w:numId w:val="34"/>
        </w:numPr>
        <w:spacing w:after="0" w:line="360" w:lineRule="auto"/>
        <w:ind w:left="567"/>
        <w:jc w:val="both"/>
        <w:rPr>
          <w:rFonts w:ascii="Palatino Linotype" w:hAnsi="Palatino Linotype" w:cs="Tahoma"/>
          <w:bCs/>
          <w:lang w:eastAsia="en-US"/>
        </w:rPr>
      </w:pPr>
      <w:r w:rsidRPr="00D82D2E">
        <w:rPr>
          <w:rFonts w:ascii="Palatino Linotype" w:eastAsia="Calibri" w:hAnsi="Palatino Linotype" w:cs="Tahoma"/>
          <w:b/>
          <w:bCs/>
          <w:lang w:eastAsia="en-US"/>
        </w:rPr>
        <w:t xml:space="preserve">Monto de las aportaciones. </w:t>
      </w:r>
      <w:r w:rsidRPr="00D82D2E">
        <w:rPr>
          <w:rFonts w:ascii="Palatino Linotype" w:eastAsia="Calibri" w:hAnsi="Palatino Linotype" w:cs="Tahoma"/>
          <w:bCs/>
          <w:lang w:eastAsia="en-US"/>
        </w:rPr>
        <w:t xml:space="preserve">El monto de las </w:t>
      </w:r>
      <w:r w:rsidRPr="00D82D2E">
        <w:rPr>
          <w:rFonts w:ascii="Palatino Linotype" w:hAnsi="Palatino Linotype" w:cs="Tahoma"/>
          <w:bCs/>
          <w:lang w:eastAsia="en-US"/>
        </w:rPr>
        <w:t xml:space="preserve">deducciones del fondo al que se refiere la parte Recurrente, se </w:t>
      </w:r>
      <w:proofErr w:type="gramStart"/>
      <w:r w:rsidRPr="00D82D2E">
        <w:rPr>
          <w:rFonts w:ascii="Palatino Linotype" w:hAnsi="Palatino Linotype" w:cs="Tahoma"/>
          <w:bCs/>
          <w:lang w:eastAsia="en-US"/>
        </w:rPr>
        <w:t>generan</w:t>
      </w:r>
      <w:proofErr w:type="gramEnd"/>
      <w:r w:rsidRPr="00D82D2E">
        <w:rPr>
          <w:rFonts w:ascii="Palatino Linotype" w:hAnsi="Palatino Linotype" w:cs="Tahoma"/>
          <w:bCs/>
          <w:lang w:eastAsia="en-US"/>
        </w:rPr>
        <w:t xml:space="preserve"> con motivo de una decisión libre y voluntaria de los servidores públicos. En ese sentido,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Así, dichas deducciones reflejan el destino que un servidor público da a su patrimonio </w:t>
      </w:r>
      <w:proofErr w:type="gramStart"/>
      <w:r w:rsidRPr="00D82D2E">
        <w:rPr>
          <w:rFonts w:ascii="Palatino Linotype" w:hAnsi="Palatino Linotype" w:cs="Tahoma"/>
          <w:bCs/>
          <w:lang w:eastAsia="en-US"/>
        </w:rPr>
        <w:t>y</w:t>
      </w:r>
      <w:proofErr w:type="gramEnd"/>
      <w:r w:rsidRPr="00D82D2E">
        <w:rPr>
          <w:rFonts w:ascii="Palatino Linotype" w:hAnsi="Palatino Linotype" w:cs="Tahoma"/>
          <w:bCs/>
          <w:lang w:eastAsia="en-US"/>
        </w:rPr>
        <w:t xml:space="preserve"> por lo tanto, resulta procedente clasificar dichos datos, en el caso, que obren, en el documento que dé cuenta de lo requerido, en términos del artículo 143, fracción I de la Ley de Transparencia y Acceso a la Información Pública del Estado de México y Municipios</w:t>
      </w:r>
      <w:r w:rsidR="00E8227D" w:rsidRPr="00D82D2E">
        <w:rPr>
          <w:rFonts w:ascii="Palatino Linotype" w:hAnsi="Palatino Linotype" w:cs="Tahoma"/>
          <w:bCs/>
          <w:lang w:eastAsia="en-US"/>
        </w:rPr>
        <w:t>.</w:t>
      </w:r>
    </w:p>
    <w:p w14:paraId="1CCDB83C" w14:textId="6DED7FA7" w:rsidR="009E79D2" w:rsidRPr="00D82D2E" w:rsidRDefault="009E79D2" w:rsidP="00340164">
      <w:pPr>
        <w:spacing w:after="0" w:line="360" w:lineRule="auto"/>
        <w:ind w:right="49"/>
        <w:jc w:val="both"/>
        <w:rPr>
          <w:rFonts w:ascii="Palatino Linotype" w:hAnsi="Palatino Linotype" w:cs="Tahoma"/>
          <w:b/>
          <w:bCs/>
          <w:lang w:eastAsia="en-US"/>
        </w:rPr>
      </w:pPr>
    </w:p>
    <w:p w14:paraId="4B47223A" w14:textId="39A35D92" w:rsidR="009E79D2" w:rsidRPr="00D82D2E" w:rsidRDefault="009E79D2" w:rsidP="00340164">
      <w:pPr>
        <w:spacing w:after="0" w:line="360" w:lineRule="auto"/>
        <w:ind w:right="49"/>
        <w:jc w:val="both"/>
        <w:rPr>
          <w:rFonts w:ascii="Palatino Linotype" w:hAnsi="Palatino Linotype" w:cs="Tahoma"/>
          <w:b/>
          <w:bCs/>
          <w:lang w:eastAsia="en-US"/>
        </w:rPr>
      </w:pPr>
      <w:r w:rsidRPr="00D82D2E">
        <w:rPr>
          <w:rFonts w:ascii="Palatino Linotype" w:hAnsi="Palatino Linotype" w:cs="Tahoma"/>
          <w:bCs/>
          <w:lang w:eastAsia="en-US"/>
        </w:rPr>
        <w:lastRenderedPageBreak/>
        <w:t>En conclusión, se tiene que la</w:t>
      </w:r>
      <w:r w:rsidR="00E8227D" w:rsidRPr="00D82D2E">
        <w:rPr>
          <w:rFonts w:ascii="Palatino Linotype" w:hAnsi="Palatino Linotype" w:cs="Tahoma"/>
          <w:bCs/>
          <w:lang w:eastAsia="en-US"/>
        </w:rPr>
        <w:t xml:space="preserve"> parte Recurrente, solicitó información susceptible de ser clasificada como confidencial, en términos de la fracción I del artículo 143 de la</w:t>
      </w:r>
      <w:r w:rsidRPr="00D82D2E">
        <w:rPr>
          <w:rFonts w:ascii="Palatino Linotype" w:hAnsi="Palatino Linotype" w:cs="Tahoma"/>
          <w:bCs/>
          <w:lang w:eastAsia="en-US"/>
        </w:rPr>
        <w:t xml:space="preserve"> </w:t>
      </w:r>
      <w:r w:rsidR="00E8227D" w:rsidRPr="00D82D2E">
        <w:rPr>
          <w:rFonts w:ascii="Palatino Linotype" w:hAnsi="Palatino Linotype" w:cs="Tahoma"/>
          <w:bCs/>
          <w:lang w:eastAsia="en-US"/>
        </w:rPr>
        <w:t xml:space="preserve">Ley de Transparencia y Acceso a la Información Pública del Estado de México y Municipios, a saber, información relativa al </w:t>
      </w:r>
      <w:r w:rsidR="00E8227D" w:rsidRPr="00D82D2E">
        <w:rPr>
          <w:rFonts w:ascii="Palatino Linotype" w:hAnsi="Palatino Linotype" w:cs="Tahoma"/>
          <w:b/>
          <w:bCs/>
          <w:lang w:eastAsia="en-US"/>
        </w:rPr>
        <w:t xml:space="preserve">número de cuenta y monto de las aportaciones al Fondo para el Retiro de los Trabajadores Universitarios. </w:t>
      </w:r>
    </w:p>
    <w:p w14:paraId="4B497E09" w14:textId="77777777" w:rsidR="00E8227D" w:rsidRPr="00D82D2E" w:rsidRDefault="00E8227D" w:rsidP="00340164">
      <w:pPr>
        <w:spacing w:after="0" w:line="360" w:lineRule="auto"/>
        <w:ind w:right="49"/>
        <w:jc w:val="both"/>
        <w:rPr>
          <w:rFonts w:ascii="Palatino Linotype" w:hAnsi="Palatino Linotype" w:cs="Tahoma"/>
          <w:b/>
          <w:bCs/>
          <w:lang w:eastAsia="en-US"/>
        </w:rPr>
      </w:pPr>
    </w:p>
    <w:p w14:paraId="5D74EA7F" w14:textId="40299E9A" w:rsidR="00E8227D" w:rsidRPr="00D82D2E" w:rsidRDefault="00E8227D" w:rsidP="00340164">
      <w:pPr>
        <w:spacing w:after="0" w:line="360" w:lineRule="auto"/>
        <w:ind w:right="49"/>
        <w:jc w:val="both"/>
        <w:rPr>
          <w:rFonts w:ascii="Palatino Linotype" w:hAnsi="Palatino Linotype" w:cs="Tahoma"/>
          <w:bCs/>
          <w:lang w:eastAsia="en-US"/>
        </w:rPr>
      </w:pPr>
      <w:r w:rsidRPr="00D82D2E">
        <w:rPr>
          <w:rFonts w:ascii="Palatino Linotype" w:hAnsi="Palatino Linotype" w:cs="Tahoma"/>
          <w:bCs/>
          <w:lang w:eastAsia="en-US"/>
        </w:rPr>
        <w:t xml:space="preserve">No obstante, la parte Recurrente, también requirió información de naturaleza pública, como lo es el </w:t>
      </w:r>
      <w:r w:rsidRPr="00D82D2E">
        <w:rPr>
          <w:rFonts w:ascii="Palatino Linotype" w:hAnsi="Palatino Linotype" w:cs="Tahoma"/>
          <w:b/>
          <w:bCs/>
          <w:lang w:eastAsia="en-US"/>
        </w:rPr>
        <w:t xml:space="preserve">nombre de los trabajadores </w:t>
      </w:r>
      <w:r w:rsidRPr="00D82D2E">
        <w:rPr>
          <w:rFonts w:ascii="Palatino Linotype" w:hAnsi="Palatino Linotype" w:cs="Tahoma"/>
          <w:bCs/>
          <w:lang w:eastAsia="en-US"/>
        </w:rPr>
        <w:t xml:space="preserve">que hacen uso de dicho fondo, debido a que, estos cuentan con calidad de servidores públicos y, como se mencionó su nombre es público. </w:t>
      </w:r>
    </w:p>
    <w:p w14:paraId="4BD086B1" w14:textId="77777777" w:rsidR="009C38F4" w:rsidRPr="00D82D2E" w:rsidRDefault="009C38F4" w:rsidP="00340164">
      <w:pPr>
        <w:spacing w:after="0" w:line="360" w:lineRule="auto"/>
        <w:ind w:right="49"/>
        <w:jc w:val="both"/>
        <w:rPr>
          <w:rFonts w:ascii="Palatino Linotype" w:hAnsi="Palatino Linotype" w:cs="Tahoma"/>
          <w:bCs/>
          <w:lang w:eastAsia="en-US"/>
        </w:rPr>
      </w:pPr>
    </w:p>
    <w:p w14:paraId="4B8BBC81" w14:textId="77777777" w:rsidR="009C38F4" w:rsidRPr="00D82D2E" w:rsidRDefault="009C38F4" w:rsidP="009C38F4">
      <w:pPr>
        <w:spacing w:after="0" w:line="360" w:lineRule="auto"/>
        <w:ind w:right="49"/>
        <w:jc w:val="both"/>
        <w:rPr>
          <w:rFonts w:ascii="Palatino Linotype" w:eastAsia="Palatino Linotype" w:hAnsi="Palatino Linotype" w:cs="Palatino Linotype"/>
        </w:rPr>
      </w:pPr>
      <w:r w:rsidRPr="00D82D2E">
        <w:rPr>
          <w:rFonts w:ascii="Palatino Linotype" w:hAnsi="Palatino Linotype" w:cs="Tahoma"/>
          <w:bCs/>
          <w:lang w:eastAsia="en-US"/>
        </w:rPr>
        <w:t>Ahora bien, como se mencionó el número de cuenta y monto de las aportaciones, son datos susceptibles de ser clasificados, en términos de la fracción I del artículo 143 de la Ley de Transparencia y Acceso a la Información Pública del Estado de México y Municipios, situación que debe</w:t>
      </w:r>
      <w:r w:rsidRPr="00D82D2E">
        <w:rPr>
          <w:rFonts w:ascii="Palatino Linotype" w:eastAsia="Palatino Linotype" w:hAnsi="Palatino Linotype" w:cs="Palatino Linotype"/>
        </w:rPr>
        <w:t xml:space="preserve"> estar debidamente fundada y motivada y, deberá exponer los fundamentos y razonamientos que llevaron al Sujeto Obligado clasificar dicha información. </w:t>
      </w:r>
    </w:p>
    <w:p w14:paraId="7E56A26E" w14:textId="77777777" w:rsidR="009C38F4" w:rsidRPr="00D82D2E" w:rsidRDefault="009C38F4" w:rsidP="009C38F4">
      <w:pPr>
        <w:spacing w:after="0" w:line="360" w:lineRule="auto"/>
        <w:ind w:right="49"/>
        <w:jc w:val="both"/>
        <w:rPr>
          <w:rFonts w:ascii="Palatino Linotype" w:hAnsi="Palatino Linotype" w:cs="Tahoma"/>
          <w:bCs/>
          <w:lang w:eastAsia="en-US"/>
        </w:rPr>
      </w:pPr>
    </w:p>
    <w:p w14:paraId="5189272B" w14:textId="77777777" w:rsidR="009C38F4" w:rsidRPr="00D82D2E" w:rsidRDefault="009C38F4" w:rsidP="009C38F4">
      <w:pP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rPr>
        <w:t>En ese sentido, el Acuerdo de Clasificación deberá estar debidamente fundado y motivado, observando lo dispuesto por los artículos 49, fracción VIII, 122, 130, 132, fracciones I, II y III, 143 en su fracción primera y 149 de la Ley de Transparencia y Acceso a la Información Pública del Estado de México y Municipios en vigor Lineamientos Cuarto al Octavo, Décimo, Décimo Primero, Quincuagésimo y Quincuagésimo Tercero de los Lineamientos Generales en materia de Clasificación y Desclasificación de la Información, así como para la elaboración de Versiones Públicas, que literalmente expresan:</w:t>
      </w:r>
    </w:p>
    <w:p w14:paraId="15B07F74" w14:textId="77777777" w:rsidR="009C38F4" w:rsidRPr="00D82D2E" w:rsidRDefault="009C38F4" w:rsidP="009C38F4">
      <w:pPr>
        <w:spacing w:after="0" w:line="360" w:lineRule="auto"/>
        <w:ind w:right="49"/>
        <w:jc w:val="both"/>
        <w:rPr>
          <w:rFonts w:ascii="Palatino Linotype" w:eastAsia="Palatino Linotype" w:hAnsi="Palatino Linotype" w:cs="Palatino Linotype"/>
        </w:rPr>
      </w:pPr>
    </w:p>
    <w:p w14:paraId="2F164F05" w14:textId="77777777" w:rsidR="009C38F4" w:rsidRPr="00D82D2E" w:rsidRDefault="009C38F4" w:rsidP="009C38F4">
      <w:pPr>
        <w:spacing w:after="0" w:line="276" w:lineRule="auto"/>
        <w:ind w:left="567" w:right="851"/>
        <w:jc w:val="center"/>
        <w:rPr>
          <w:rFonts w:ascii="Palatino Linotype" w:eastAsia="Palatino Linotype" w:hAnsi="Palatino Linotype" w:cs="Palatino Linotype"/>
          <w:b/>
          <w:i/>
        </w:rPr>
      </w:pPr>
      <w:r w:rsidRPr="00D82D2E">
        <w:rPr>
          <w:rFonts w:ascii="Palatino Linotype" w:eastAsia="Palatino Linotype" w:hAnsi="Palatino Linotype" w:cs="Palatino Linotype"/>
          <w:b/>
          <w:i/>
        </w:rPr>
        <w:lastRenderedPageBreak/>
        <w:t>Ley de Transparencia y Acceso a la Información Pública del Estado de México y Municipios</w:t>
      </w:r>
    </w:p>
    <w:p w14:paraId="05E25068"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rPr>
      </w:pPr>
    </w:p>
    <w:p w14:paraId="5633543C"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“Artículo 49. Los Comités de Transparencia tendrán las siguientes atribuciones:</w:t>
      </w:r>
    </w:p>
    <w:p w14:paraId="0A337351"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VIII. Aprobar, modificar o revocar la clasificación de la información;</w:t>
      </w:r>
    </w:p>
    <w:p w14:paraId="72DBA504"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w:t>
      </w:r>
    </w:p>
    <w:p w14:paraId="6F568C4D"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Artículo 122. La clasificación es el proceso mediante el cual el sujeto obligado determina que la información en su poder </w:t>
      </w:r>
      <w:proofErr w:type="spellStart"/>
      <w:r w:rsidRPr="00D82D2E">
        <w:rPr>
          <w:rFonts w:ascii="Palatino Linotype" w:eastAsia="Palatino Linotype" w:hAnsi="Palatino Linotype" w:cs="Palatino Linotype"/>
          <w:i/>
        </w:rPr>
        <w:t>actualiza</w:t>
      </w:r>
      <w:proofErr w:type="spellEnd"/>
      <w:r w:rsidRPr="00D82D2E">
        <w:rPr>
          <w:rFonts w:ascii="Palatino Linotype" w:eastAsia="Palatino Linotype" w:hAnsi="Palatino Linotype" w:cs="Palatino Linotype"/>
          <w:i/>
        </w:rPr>
        <w:t xml:space="preserve"> alguno de los supuestos de reserva o confidencialidad, de conformidad con lo dispuesto en el presente título.</w:t>
      </w:r>
    </w:p>
    <w:p w14:paraId="66515DEE"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Los supuestos de reserva o confidencialidad previstos en las leyes deberán ser acordes con las bases, principios y disposiciones establecidos en la Ley General y, en ningún caso, podrán contravenirla.</w:t>
      </w:r>
    </w:p>
    <w:p w14:paraId="5A8D6C52"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Los titulares de las áreas de los sujetos obligados serán los responsables de clasificar la información, de conformidad con lo dispuesto en la presente Ley y demás disposiciones jurídicas aplicables.</w:t>
      </w:r>
    </w:p>
    <w:p w14:paraId="7E815F1A"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w:t>
      </w:r>
    </w:p>
    <w:p w14:paraId="442A5611"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Artículo 130. Los sujetos obligados deberán aplicar, de manera restrictiva y limitada, las excepciones al derecho de acceso a la información y sólo podrán invocarlas cuando acrediten su procedencia, sin ampliar las excepciones o supuestos de reserva o confidencialidad previstos en la Ley General y la presente Ley, aduciendo analogía o mayoría de razón.</w:t>
      </w:r>
    </w:p>
    <w:p w14:paraId="27349A20"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Artículo 132. La clasificación de la información se llevará a cabo en el momento en que:</w:t>
      </w:r>
    </w:p>
    <w:p w14:paraId="28099033"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I. Se reciba una solicitud de acceso a la información;</w:t>
      </w:r>
    </w:p>
    <w:p w14:paraId="11EDAE73"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II. Se determine mediante resolución de autoridad competente; o</w:t>
      </w:r>
    </w:p>
    <w:p w14:paraId="664A34E9"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III. Se generen versiones públicas para dar cumplimiento a las obligaciones de transparencia previstas en esta Ley.</w:t>
      </w:r>
    </w:p>
    <w:p w14:paraId="47DCC542"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w:t>
      </w:r>
    </w:p>
    <w:p w14:paraId="7B883D0E"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Artículo 143. Para los efectos de esta Ley se considera información confidencial, la clasificada como tal, de manera permanente, por su naturaleza, cuando:</w:t>
      </w:r>
    </w:p>
    <w:p w14:paraId="349B3840"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41C9B3F6"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lastRenderedPageBreak/>
        <w:t>…</w:t>
      </w:r>
    </w:p>
    <w:p w14:paraId="7209AD7F"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Artículo 149. El acuerdo que clasifique la información como confidencial deberá contener un razonamiento lógico en el que demuestre que la información se encuentra en alguna o algunas de las hipótesis previstas en la presente Ley.”</w:t>
      </w:r>
    </w:p>
    <w:p w14:paraId="7851C5C3"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rPr>
      </w:pPr>
      <w:r w:rsidRPr="00D82D2E">
        <w:rPr>
          <w:rFonts w:ascii="Palatino Linotype" w:eastAsia="Palatino Linotype" w:hAnsi="Palatino Linotype" w:cs="Palatino Linotype"/>
        </w:rPr>
        <w:t>Lineamientos Generales en materia de Clasificación y Desclasificación de la Información, así como para la elaboración de Versiones Públicas</w:t>
      </w:r>
    </w:p>
    <w:p w14:paraId="741CC7F1"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p>
    <w:p w14:paraId="0F2F5D5E"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Cuarto.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71D9985"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359749E6"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p>
    <w:p w14:paraId="07FADA72"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Quinto.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D9AEB61"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w:t>
      </w:r>
    </w:p>
    <w:p w14:paraId="7B44C944"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Séptimo. La clasificación de la información se llevará a cabo en el momento en que:</w:t>
      </w:r>
    </w:p>
    <w:p w14:paraId="18EA3E86"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I. Se reciba una solicitud de acceso a la información;</w:t>
      </w:r>
    </w:p>
    <w:p w14:paraId="6D6D683A"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II. Se determine mediante resolución de autoridad competente, o</w:t>
      </w:r>
    </w:p>
    <w:p w14:paraId="19447933"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III. Se generen versiones públicas para dar cumplimiento a las obligaciones de transparencia previstas en la Ley General, la Ley Federal y las correspondientes de las entidades federativas.</w:t>
      </w:r>
    </w:p>
    <w:p w14:paraId="72EA6461"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lastRenderedPageBreak/>
        <w:t>Los titulares de las áreas deberán revisar la clasificación al momento de la recepción de una solicitud de acceso a la información, para verificar si encuadra en una causal de reserva o de confidencialidad.</w:t>
      </w:r>
    </w:p>
    <w:p w14:paraId="2519C8B0"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p>
    <w:p w14:paraId="6934CDB2"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Octavo. Para fundar la clasificación de la información se debe señalar el artículo, fracción, inciso, párrafo o numeral de la ley o tratado internacional suscrito por el Estado mexicano que expresamente le otorga el carácter de reservada o confidencial.</w:t>
      </w:r>
    </w:p>
    <w:p w14:paraId="29C403A0"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p>
    <w:p w14:paraId="5FCBE26C"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2BBA2626"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p>
    <w:p w14:paraId="1F563C46"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En caso de referirse a información reservada, la motivación de la clasificación también deberá comprender las circunstancias que justifican el establecimiento de determinado plazo de reserva.</w:t>
      </w:r>
    </w:p>
    <w:p w14:paraId="4A53134F"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p>
    <w:p w14:paraId="70189B48"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Tratándose de información clasificada como confidencial respecto de la cual se haya determinado su conservación permanente por tener valor histórico, ésta conservará tal carácter de conformidad con la normativa aplicable en materia de archivos.</w:t>
      </w:r>
    </w:p>
    <w:p w14:paraId="7B0A1456"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p>
    <w:p w14:paraId="4CBB18C2"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Los documentos contenidos en los archivos históricos y los identificados como históricos confidenciales no serán susceptibles de clasificación como reservados.</w:t>
      </w:r>
    </w:p>
    <w:p w14:paraId="40B1AB82"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B0D7CAE"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Décimo.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w:t>
      </w:r>
      <w:r w:rsidRPr="00D82D2E">
        <w:rPr>
          <w:rFonts w:ascii="Palatino Linotype" w:eastAsia="Palatino Linotype" w:hAnsi="Palatino Linotype" w:cs="Palatino Linotype"/>
          <w:i/>
        </w:rPr>
        <w:lastRenderedPageBreak/>
        <w:t>información clasificada, en los términos de los Lineamientos para la Organización y Conservación de Archivos.</w:t>
      </w:r>
    </w:p>
    <w:p w14:paraId="4F7512F9"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5965CCB9"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Décimo primero.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316BAF1F" w14:textId="77777777" w:rsidR="009C38F4" w:rsidRPr="00D82D2E" w:rsidRDefault="009C38F4" w:rsidP="009C38F4">
      <w:pPr>
        <w:spacing w:after="0" w:line="360" w:lineRule="auto"/>
        <w:ind w:left="567" w:right="851"/>
        <w:jc w:val="both"/>
        <w:rPr>
          <w:rFonts w:ascii="Palatino Linotype" w:eastAsia="Palatino Linotype" w:hAnsi="Palatino Linotype" w:cs="Palatino Linotype"/>
          <w:i/>
        </w:rPr>
      </w:pPr>
    </w:p>
    <w:p w14:paraId="0B2A10E8" w14:textId="77777777" w:rsidR="009C38F4" w:rsidRPr="00D82D2E" w:rsidRDefault="009C38F4" w:rsidP="009C38F4">
      <w:pPr>
        <w:spacing w:after="0" w:line="360" w:lineRule="auto"/>
        <w:jc w:val="both"/>
        <w:rPr>
          <w:rFonts w:ascii="Palatino Linotype" w:eastAsia="Palatino Linotype" w:hAnsi="Palatino Linotype" w:cs="Palatino Linotype"/>
        </w:rPr>
      </w:pPr>
      <w:r w:rsidRPr="00D82D2E">
        <w:rPr>
          <w:rFonts w:ascii="Palatino Linotype" w:eastAsia="Palatino Linotype" w:hAnsi="Palatino Linotype" w:cs="Palatino Linotype"/>
        </w:rPr>
        <w:t>Como se advierte dicho Acuerdo debe exponer de manera clara las razones por las que se encuadra en los supuestos de clasificación de la información, de conformidad con en el artículo 135 de la Ley de Transparencia y Acceso a la Información del Estado de México y Municipios en relación con el Numeral Octavo de los Lineamientos Generales en Materia de Clasificación y Desclasificación de la información, así como para la elaboración de Versiones Públicas,  los cuales para mayor referencia en la parte que nos interesa, señalan:</w:t>
      </w:r>
    </w:p>
    <w:p w14:paraId="67D7432F" w14:textId="77777777" w:rsidR="009C38F4" w:rsidRPr="00D82D2E" w:rsidRDefault="009C38F4" w:rsidP="009C38F4">
      <w:pPr>
        <w:spacing w:after="0" w:line="360" w:lineRule="auto"/>
        <w:jc w:val="both"/>
        <w:rPr>
          <w:rFonts w:ascii="Palatino Linotype" w:eastAsia="Palatino Linotype" w:hAnsi="Palatino Linotype" w:cs="Palatino Linotype"/>
        </w:rPr>
      </w:pPr>
    </w:p>
    <w:p w14:paraId="48395709"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r w:rsidRPr="00D82D2E">
        <w:rPr>
          <w:rFonts w:ascii="Palatino Linotype" w:eastAsia="Palatino Linotype" w:hAnsi="Palatino Linotype" w:cs="Palatino Linotype"/>
          <w:i/>
        </w:rPr>
        <w:t>“Artículo 135. Los lineamientos generales que se emitan al respecto en materia de clasificación de la información reservada y confidencial y, para la elaboración de versiones públicas, serán de observancia obligatoria para los sujetos obligados…”</w:t>
      </w:r>
    </w:p>
    <w:p w14:paraId="5ACCE2DD" w14:textId="77777777" w:rsidR="009C38F4" w:rsidRPr="00D82D2E" w:rsidRDefault="009C38F4" w:rsidP="009C38F4">
      <w:pPr>
        <w:spacing w:after="0" w:line="276" w:lineRule="auto"/>
        <w:ind w:left="567" w:right="851"/>
        <w:jc w:val="both"/>
        <w:rPr>
          <w:rFonts w:ascii="Palatino Linotype" w:eastAsia="Palatino Linotype" w:hAnsi="Palatino Linotype" w:cs="Palatino Linotype"/>
          <w:i/>
        </w:rPr>
      </w:pPr>
    </w:p>
    <w:p w14:paraId="01281606" w14:textId="77777777" w:rsidR="009C38F4" w:rsidRPr="00D82D2E" w:rsidRDefault="009C38F4" w:rsidP="009C38F4">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D82D2E">
        <w:rPr>
          <w:rFonts w:ascii="Palatino Linotype" w:eastAsia="Palatino Linotype" w:hAnsi="Palatino Linotype" w:cs="Palatino Linotype"/>
          <w:color w:val="000000"/>
        </w:rPr>
        <w:t xml:space="preserve">En tal virtud, el acuerdo emitido por el Comité de Transparencia, en términos de los artículos 122, 132  y 143 fracción I  de la  Ley de Transparencia y Acceso a la Información Pública del Estado de México y Municipios, deberá contener un razonamiento lógico, acorde a lo previsto  en los ordenamientos jurídicos en la Materia, que permita conocer al particular las condiciones y circunstancias que determinaron negar el acceso a la información; a través de la adecuada fundamentación y motivación, en el entendido de que, todo acto que la </w:t>
      </w:r>
      <w:r w:rsidRPr="00D82D2E">
        <w:rPr>
          <w:rFonts w:ascii="Palatino Linotype" w:eastAsia="Palatino Linotype" w:hAnsi="Palatino Linotype" w:cs="Palatino Linotype"/>
          <w:color w:val="000000"/>
        </w:rPr>
        <w:lastRenderedPageBreak/>
        <w:t>autoridad pronuncie en el ejercicio de sus atribuciones, debe expresar los fundamentos legales que le dieron origen y las razones por las que se deben aplicar al caso concreto.</w:t>
      </w:r>
    </w:p>
    <w:p w14:paraId="79E1A092" w14:textId="77777777" w:rsidR="009C38F4" w:rsidRPr="00D82D2E" w:rsidRDefault="009C38F4" w:rsidP="009C38F4">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14:paraId="5FD9EA50" w14:textId="77777777" w:rsidR="009C38F4" w:rsidRPr="00D82D2E" w:rsidRDefault="009C38F4" w:rsidP="009C38F4">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D82D2E">
        <w:rPr>
          <w:rFonts w:ascii="Palatino Linotype" w:eastAsia="Palatino Linotype" w:hAnsi="Palatino Linotype" w:cs="Palatino Linotype"/>
          <w:color w:val="000000"/>
        </w:rPr>
        <w:t>Es decir, el acuerdo deberá contener un razonamiento lógico con el que se demuestre que la información solicitada por la parte Recurrente se encuentra en alguna de las hipótesis que contempla la misma ley; toda vez que de acuerdo con la referida Ley la carga de la prueba para justificar toda negativa de acceso a la información por actualizarse cualquiera de los supuestos previstos en la Ley, corresponde a los Sujetos Obligados fundando y motivando debidamente la clasificación.</w:t>
      </w:r>
    </w:p>
    <w:p w14:paraId="45FEEC62" w14:textId="77777777" w:rsidR="009C38F4" w:rsidRPr="00D82D2E" w:rsidRDefault="009C38F4" w:rsidP="009C38F4">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14:paraId="5FBF45F7" w14:textId="77777777" w:rsidR="009C38F4" w:rsidRPr="00D82D2E" w:rsidRDefault="009C38F4" w:rsidP="009C38F4">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D82D2E">
        <w:rPr>
          <w:rFonts w:ascii="Palatino Linotype" w:eastAsia="Palatino Linotype" w:hAnsi="Palatino Linotype" w:cs="Palatino Linotype"/>
          <w:color w:val="000000"/>
        </w:rPr>
        <w:t>Respecto de la fundamentación y motivación, debe recordarse que la primera de ellas consiste en la expresión de los dispositivos jurídicos en los que se sustenten los supuestos propios del asunto; y por motivación el señalamiento de las causas inmediatas, las razones específicas y los motivos particulares que se tomaron en consideración para llegar a la determinación obtenida, debiendo existir además una correspondencia lógica entre ambos supuestos.</w:t>
      </w:r>
    </w:p>
    <w:p w14:paraId="47EBF0D1" w14:textId="77777777" w:rsidR="009C38F4" w:rsidRPr="00D82D2E" w:rsidRDefault="009C38F4" w:rsidP="009C38F4">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14:paraId="418264D5" w14:textId="77777777" w:rsidR="009C38F4" w:rsidRPr="00D82D2E" w:rsidRDefault="009C38F4" w:rsidP="009C38F4">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D82D2E">
        <w:rPr>
          <w:rFonts w:ascii="Palatino Linotype" w:eastAsia="Palatino Linotype" w:hAnsi="Palatino Linotype" w:cs="Palatino Linotype"/>
          <w:color w:val="000000"/>
        </w:rPr>
        <w:t>Sirven de sustento a lo anterior las tesis jurisprudenciales número I.</w:t>
      </w:r>
      <w:proofErr w:type="gramStart"/>
      <w:r w:rsidRPr="00D82D2E">
        <w:rPr>
          <w:rFonts w:ascii="Palatino Linotype" w:eastAsia="Palatino Linotype" w:hAnsi="Palatino Linotype" w:cs="Palatino Linotype"/>
          <w:color w:val="000000"/>
        </w:rPr>
        <w:t>4º.A.</w:t>
      </w:r>
      <w:proofErr w:type="gramEnd"/>
      <w:r w:rsidRPr="00D82D2E">
        <w:rPr>
          <w:rFonts w:ascii="Palatino Linotype" w:eastAsia="Palatino Linotype" w:hAnsi="Palatino Linotype" w:cs="Palatino Linotype"/>
          <w:color w:val="000000"/>
        </w:rPr>
        <w:t xml:space="preserve"> J/43 y VI. 2º. J/43, publicadas en el Semanario Judicial de la Federación y su Gaceta, bajo el número de registro 175,082 y 203,143, respectivamente, cuyo texto y sentido literal es el siguiente:</w:t>
      </w:r>
    </w:p>
    <w:p w14:paraId="4263103A" w14:textId="77777777" w:rsidR="009C38F4" w:rsidRPr="00D82D2E" w:rsidRDefault="009C38F4" w:rsidP="009C38F4">
      <w:pPr>
        <w:pBdr>
          <w:top w:val="nil"/>
          <w:left w:val="nil"/>
          <w:bottom w:val="nil"/>
          <w:right w:val="nil"/>
          <w:between w:val="nil"/>
        </w:pBdr>
        <w:spacing w:after="0" w:line="360" w:lineRule="auto"/>
        <w:ind w:left="851" w:right="902"/>
        <w:jc w:val="both"/>
        <w:rPr>
          <w:rFonts w:ascii="Palatino Linotype" w:eastAsia="Palatino Linotype" w:hAnsi="Palatino Linotype" w:cs="Palatino Linotype"/>
          <w:i/>
          <w:color w:val="000000"/>
        </w:rPr>
      </w:pPr>
    </w:p>
    <w:p w14:paraId="6D725A88" w14:textId="77777777" w:rsidR="009C38F4" w:rsidRPr="00D82D2E" w:rsidRDefault="009C38F4" w:rsidP="009C38F4">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color w:val="000000"/>
        </w:rPr>
      </w:pPr>
      <w:r w:rsidRPr="00D82D2E">
        <w:rPr>
          <w:rFonts w:ascii="Palatino Linotype" w:eastAsia="Palatino Linotype" w:hAnsi="Palatino Linotype" w:cs="Palatino Linotype"/>
          <w:i/>
          <w:color w:val="000000"/>
        </w:rPr>
        <w:t xml:space="preserve">“FUNDAMENTACIÓN Y MOTIVACIÓN. EL ASPECTO FORMAL DE LA GARANTÍA Y SU FINALIDAD SE TRADUCEN EN EXPLICAR, JUSTIFICAR, POSIBILITAR LA DEFENSA Y COMUNICAR LA DECISIÓN. El contenido formal de la garantía de legalidad prevista en el artículo 16 constitucional relativa a la fundamentación y motivación tiene como propósito primordial y ratio que el </w:t>
      </w:r>
      <w:r w:rsidRPr="00D82D2E">
        <w:rPr>
          <w:rFonts w:ascii="Palatino Linotype" w:eastAsia="Palatino Linotype" w:hAnsi="Palatino Linotype" w:cs="Palatino Linotype"/>
          <w:i/>
          <w:color w:val="000000"/>
        </w:rPr>
        <w:lastRenderedPageBreak/>
        <w:t>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57080EF6" w14:textId="77777777" w:rsidR="009C38F4" w:rsidRPr="00D82D2E" w:rsidRDefault="009C38F4" w:rsidP="009C38F4">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color w:val="000000"/>
        </w:rPr>
      </w:pPr>
    </w:p>
    <w:p w14:paraId="6B32E16F" w14:textId="77777777" w:rsidR="009C38F4" w:rsidRPr="00D82D2E" w:rsidRDefault="009C38F4" w:rsidP="009C38F4">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color w:val="000000"/>
        </w:rPr>
      </w:pPr>
      <w:r w:rsidRPr="00D82D2E">
        <w:rPr>
          <w:rFonts w:ascii="Palatino Linotype" w:eastAsia="Palatino Linotype" w:hAnsi="Palatino Linotype" w:cs="Palatino Linotype"/>
          <w:i/>
          <w:color w:val="000000"/>
        </w:rPr>
        <w:t xml:space="preserve">“FUNDAMENTACION Y MOTIVACION.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p>
    <w:p w14:paraId="1C76E532" w14:textId="77777777" w:rsidR="009C38F4" w:rsidRPr="00D82D2E" w:rsidRDefault="009C38F4" w:rsidP="00340164">
      <w:pPr>
        <w:spacing w:after="0" w:line="360" w:lineRule="auto"/>
        <w:ind w:right="49"/>
        <w:jc w:val="both"/>
        <w:rPr>
          <w:rFonts w:ascii="Palatino Linotype" w:hAnsi="Palatino Linotype" w:cs="Tahoma"/>
          <w:bCs/>
          <w:lang w:eastAsia="en-US"/>
        </w:rPr>
      </w:pPr>
    </w:p>
    <w:p w14:paraId="480613FC" w14:textId="2764A217" w:rsidR="00E8227D" w:rsidRPr="00D82D2E" w:rsidRDefault="00E8227D" w:rsidP="00E8227D">
      <w:pPr>
        <w:spacing w:after="0" w:line="360" w:lineRule="auto"/>
        <w:ind w:right="-93"/>
        <w:jc w:val="both"/>
        <w:rPr>
          <w:rFonts w:ascii="Palatino Linotype" w:eastAsia="Palatino Linotype" w:hAnsi="Palatino Linotype" w:cs="Palatino Linotype"/>
          <w:color w:val="000000"/>
        </w:rPr>
      </w:pPr>
      <w:r w:rsidRPr="00D82D2E">
        <w:rPr>
          <w:rFonts w:ascii="Palatino Linotype" w:eastAsia="Palatino Linotype" w:hAnsi="Palatino Linotype" w:cs="Palatino Linotype"/>
          <w:color w:val="000000"/>
        </w:rPr>
        <w:t>Por otro lado, es necesario precisar que de las constancias que obran en el expediente se logra vislumbrar que quien dio atención a la solicitud fue el Director de Recursos Humanos,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2C39800B" w14:textId="77777777" w:rsidR="00E8227D" w:rsidRPr="00D82D2E" w:rsidRDefault="00E8227D" w:rsidP="00E8227D">
      <w:pPr>
        <w:spacing w:after="0" w:line="360" w:lineRule="auto"/>
        <w:ind w:right="560"/>
        <w:jc w:val="both"/>
        <w:rPr>
          <w:rFonts w:ascii="Palatino Linotype" w:eastAsia="Palatino Linotype" w:hAnsi="Palatino Linotype" w:cs="Palatino Linotype"/>
          <w:color w:val="000000"/>
        </w:rPr>
      </w:pPr>
    </w:p>
    <w:p w14:paraId="34F1E323" w14:textId="77777777" w:rsidR="00E8227D" w:rsidRPr="00D82D2E" w:rsidRDefault="00E8227D" w:rsidP="00E8227D">
      <w:pPr>
        <w:pStyle w:val="Prrafodelista"/>
        <w:numPr>
          <w:ilvl w:val="3"/>
          <w:numId w:val="39"/>
        </w:numPr>
        <w:spacing w:after="0" w:line="360" w:lineRule="auto"/>
        <w:ind w:left="567" w:right="560"/>
        <w:jc w:val="both"/>
        <w:rPr>
          <w:rFonts w:ascii="Palatino Linotype" w:eastAsia="Palatino Linotype" w:hAnsi="Palatino Linotype" w:cs="Palatino Linotype"/>
          <w:color w:val="000000"/>
        </w:rPr>
      </w:pPr>
      <w:r w:rsidRPr="00D82D2E">
        <w:rPr>
          <w:rFonts w:ascii="Palatino Linotype" w:eastAsia="Palatino Linotype" w:hAnsi="Palatino Linotype" w:cs="Palatino Linotype"/>
          <w:color w:val="000000"/>
        </w:rPr>
        <w:lastRenderedPageBreak/>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EA397F2" w14:textId="77777777" w:rsidR="00E8227D" w:rsidRPr="00D82D2E" w:rsidRDefault="00E8227D" w:rsidP="00E8227D">
      <w:pPr>
        <w:spacing w:after="0" w:line="360" w:lineRule="auto"/>
        <w:ind w:left="567" w:right="560"/>
        <w:jc w:val="both"/>
        <w:rPr>
          <w:rFonts w:ascii="Palatino Linotype" w:eastAsia="Palatino Linotype" w:hAnsi="Palatino Linotype" w:cs="Palatino Linotype"/>
          <w:color w:val="000000"/>
        </w:rPr>
      </w:pPr>
    </w:p>
    <w:p w14:paraId="2508FDC6" w14:textId="77777777" w:rsidR="00E8227D" w:rsidRPr="00D82D2E" w:rsidRDefault="00E8227D" w:rsidP="00E8227D">
      <w:pPr>
        <w:pStyle w:val="Prrafodelista"/>
        <w:numPr>
          <w:ilvl w:val="3"/>
          <w:numId w:val="39"/>
        </w:numPr>
        <w:spacing w:after="0" w:line="360" w:lineRule="auto"/>
        <w:ind w:left="567" w:right="560"/>
        <w:jc w:val="both"/>
        <w:rPr>
          <w:rFonts w:ascii="Palatino Linotype" w:eastAsia="Palatino Linotype" w:hAnsi="Palatino Linotype" w:cs="Palatino Linotype"/>
          <w:color w:val="000000"/>
        </w:rPr>
      </w:pPr>
      <w:r w:rsidRPr="00D82D2E">
        <w:rPr>
          <w:rFonts w:ascii="Palatino Linotype" w:eastAsia="Palatino Linotype" w:hAnsi="Palatino Linotype" w:cs="Palatino Linotype"/>
          <w:color w:val="000000"/>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64FC6D1E" w14:textId="77777777" w:rsidR="00E8227D" w:rsidRPr="00D82D2E" w:rsidRDefault="00E8227D" w:rsidP="00E8227D">
      <w:pPr>
        <w:spacing w:after="0" w:line="360" w:lineRule="auto"/>
        <w:ind w:right="560"/>
        <w:jc w:val="both"/>
        <w:rPr>
          <w:rFonts w:ascii="Palatino Linotype" w:eastAsia="Palatino Linotype" w:hAnsi="Palatino Linotype" w:cs="Palatino Linotype"/>
          <w:color w:val="000000"/>
        </w:rPr>
      </w:pPr>
    </w:p>
    <w:p w14:paraId="6F570053" w14:textId="69B6B122" w:rsidR="00982AE6" w:rsidRPr="00D82D2E" w:rsidRDefault="00E8227D" w:rsidP="00340164">
      <w:pPr>
        <w:spacing w:after="0" w:line="360" w:lineRule="auto"/>
        <w:ind w:right="49"/>
        <w:jc w:val="both"/>
        <w:rPr>
          <w:rFonts w:ascii="Palatino Linotype" w:eastAsia="Palatino Linotype" w:hAnsi="Palatino Linotype" w:cs="Palatino Linotype"/>
          <w:color w:val="000000"/>
        </w:rPr>
      </w:pPr>
      <w:r w:rsidRPr="00D82D2E">
        <w:rPr>
          <w:rFonts w:ascii="Palatino Linotype" w:eastAsia="Palatino Linotype" w:hAnsi="Palatino Linotype" w:cs="Palatino Linotype"/>
          <w:color w:val="000000"/>
        </w:rPr>
        <w:t xml:space="preserve">Así y conforme a lo establecido en párrafos anteriores, el Sujeto Obligado cumplió con el procedimiento de búsqueda establecido en el artículo 162 de la Ley de Transparencia y Acceso a la Información Pública del Estado de México y Municipios, al gestionar el requerimiento de información al área competente para conocer de lo peticionado, </w:t>
      </w:r>
      <w:r w:rsidR="00982AE6" w:rsidRPr="00D82D2E">
        <w:rPr>
          <w:rFonts w:ascii="Palatino Linotype" w:eastAsia="Palatino Linotype" w:hAnsi="Palatino Linotype" w:cs="Palatino Linotype"/>
          <w:color w:val="000000"/>
        </w:rPr>
        <w:t xml:space="preserve">tal como se aprecia en el organigrama de la Dirección de Recursos Humanos, en el que se advierte el Departamento de Nóminas y Control de Personal, </w:t>
      </w:r>
      <w:r w:rsidRPr="00D82D2E">
        <w:rPr>
          <w:rFonts w:ascii="Palatino Linotype" w:eastAsia="Palatino Linotype" w:hAnsi="Palatino Linotype" w:cs="Palatino Linotype"/>
          <w:color w:val="000000"/>
        </w:rPr>
        <w:t>tal como se aprecia a continuación:</w:t>
      </w:r>
    </w:p>
    <w:p w14:paraId="6841AA23" w14:textId="706DD7BE" w:rsidR="00982AE6" w:rsidRPr="00D82D2E" w:rsidRDefault="00982AE6" w:rsidP="009C38F4">
      <w:pPr>
        <w:spacing w:after="0" w:line="360" w:lineRule="auto"/>
        <w:ind w:right="49"/>
        <w:jc w:val="center"/>
        <w:rPr>
          <w:rFonts w:ascii="Palatino Linotype" w:hAnsi="Palatino Linotype" w:cs="Tahoma"/>
          <w:bCs/>
          <w:lang w:eastAsia="en-US"/>
        </w:rPr>
      </w:pPr>
      <w:r w:rsidRPr="00D82D2E">
        <w:rPr>
          <w:rFonts w:ascii="Palatino Linotype" w:hAnsi="Palatino Linotype" w:cs="Tahoma"/>
          <w:bCs/>
          <w:noProof/>
        </w:rPr>
        <w:drawing>
          <wp:inline distT="0" distB="0" distL="0" distR="0" wp14:anchorId="2A701149" wp14:editId="4A3F77A9">
            <wp:extent cx="4250055" cy="19905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91074" cy="2009783"/>
                    </a:xfrm>
                    <a:prstGeom prst="rect">
                      <a:avLst/>
                    </a:prstGeom>
                  </pic:spPr>
                </pic:pic>
              </a:graphicData>
            </a:graphic>
          </wp:inline>
        </w:drawing>
      </w:r>
    </w:p>
    <w:p w14:paraId="6951EC5A" w14:textId="1E456BB4" w:rsidR="00E8227D" w:rsidRPr="00D82D2E" w:rsidRDefault="00E8227D" w:rsidP="00E8227D">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D82D2E">
        <w:rPr>
          <w:rFonts w:ascii="Palatino Linotype" w:eastAsia="Palatino Linotype" w:hAnsi="Palatino Linotype" w:cs="Palatino Linotype"/>
        </w:rPr>
        <w:lastRenderedPageBreak/>
        <w:t xml:space="preserve">Derivado de lo anterior, debido a que, el Sujeto Obligado </w:t>
      </w:r>
      <w:r w:rsidR="00982AE6" w:rsidRPr="00D82D2E">
        <w:rPr>
          <w:rFonts w:ascii="Palatino Linotype" w:eastAsia="Palatino Linotype" w:hAnsi="Palatino Linotype" w:cs="Palatino Linotype"/>
        </w:rPr>
        <w:t xml:space="preserve">no dio cabal atención al requerimiento de información de la parte Recurrente, </w:t>
      </w:r>
      <w:r w:rsidRPr="00D82D2E">
        <w:rPr>
          <w:rFonts w:ascii="Palatino Linotype" w:eastAsia="Palatino Linotype" w:hAnsi="Palatino Linotype" w:cs="Palatino Linotype"/>
        </w:rPr>
        <w:t xml:space="preserve">se consideran que los agravios hechos valer por la parte Recurrente devienen </w:t>
      </w:r>
      <w:r w:rsidR="00982AE6" w:rsidRPr="00D82D2E">
        <w:rPr>
          <w:rFonts w:ascii="Palatino Linotype" w:eastAsia="Palatino Linotype" w:hAnsi="Palatino Linotype" w:cs="Palatino Linotype"/>
          <w:b/>
        </w:rPr>
        <w:t>PARCIALMENTE F</w:t>
      </w:r>
      <w:r w:rsidRPr="00D82D2E">
        <w:rPr>
          <w:rFonts w:ascii="Palatino Linotype" w:eastAsia="Palatino Linotype" w:hAnsi="Palatino Linotype" w:cs="Palatino Linotype"/>
          <w:b/>
        </w:rPr>
        <w:t xml:space="preserve">UNDADOS. </w:t>
      </w:r>
    </w:p>
    <w:p w14:paraId="49D7728A" w14:textId="77777777" w:rsidR="00E8227D" w:rsidRPr="00D82D2E" w:rsidRDefault="00E8227D" w:rsidP="00340164">
      <w:pPr>
        <w:spacing w:after="0" w:line="360" w:lineRule="auto"/>
        <w:ind w:right="49"/>
        <w:jc w:val="both"/>
        <w:rPr>
          <w:rFonts w:ascii="Palatino Linotype" w:hAnsi="Palatino Linotype" w:cs="Tahoma"/>
          <w:bCs/>
          <w:lang w:eastAsia="en-US"/>
        </w:rPr>
      </w:pPr>
    </w:p>
    <w:p w14:paraId="46E364B7" w14:textId="169D99B3" w:rsidR="00E8227D" w:rsidRPr="00D82D2E" w:rsidRDefault="00E8227D" w:rsidP="00E8227D">
      <w:pP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rPr>
        <w:t xml:space="preserve">Es así como, en mérito de lo expuesto en líneas anteriores, resulta procedente </w:t>
      </w:r>
      <w:r w:rsidR="00982AE6" w:rsidRPr="00D82D2E">
        <w:rPr>
          <w:rFonts w:ascii="Palatino Linotype" w:eastAsia="Palatino Linotype" w:hAnsi="Palatino Linotype" w:cs="Palatino Linotype"/>
          <w:b/>
        </w:rPr>
        <w:t>MODIFICAR</w:t>
      </w:r>
      <w:r w:rsidRPr="00D82D2E">
        <w:rPr>
          <w:rFonts w:ascii="Palatino Linotype" w:eastAsia="Palatino Linotype" w:hAnsi="Palatino Linotype" w:cs="Palatino Linotype"/>
        </w:rPr>
        <w:t xml:space="preserve"> la respuesta del </w:t>
      </w:r>
      <w:r w:rsidRPr="00D82D2E">
        <w:rPr>
          <w:rFonts w:ascii="Palatino Linotype" w:eastAsia="Palatino Linotype" w:hAnsi="Palatino Linotype" w:cs="Palatino Linotype"/>
          <w:b/>
        </w:rPr>
        <w:t xml:space="preserve">Sujeto Obligado </w:t>
      </w:r>
      <w:r w:rsidRPr="00D82D2E">
        <w:rPr>
          <w:rFonts w:ascii="Palatino Linotype" w:eastAsia="Palatino Linotype" w:hAnsi="Palatino Linotype" w:cs="Palatino Linotype"/>
        </w:rPr>
        <w:t xml:space="preserve">y </w:t>
      </w:r>
      <w:r w:rsidRPr="00D82D2E">
        <w:rPr>
          <w:rFonts w:ascii="Palatino Linotype" w:eastAsia="Palatino Linotype" w:hAnsi="Palatino Linotype" w:cs="Palatino Linotype"/>
          <w:b/>
        </w:rPr>
        <w:t>ORDENAR</w:t>
      </w:r>
      <w:r w:rsidRPr="00D82D2E">
        <w:rPr>
          <w:rFonts w:ascii="Palatino Linotype" w:eastAsia="Palatino Linotype" w:hAnsi="Palatino Linotype" w:cs="Palatino Linotype"/>
        </w:rPr>
        <w:t xml:space="preserve"> la entrega, vía Sistema de Acceso a la Información Mexiquense, de ser el caso, en versión pública, lo siguiente:</w:t>
      </w:r>
    </w:p>
    <w:p w14:paraId="1C9B95FA" w14:textId="77777777" w:rsidR="00E8227D" w:rsidRPr="00D82D2E" w:rsidRDefault="00E8227D" w:rsidP="00E8227D">
      <w:pPr>
        <w:spacing w:after="0" w:line="360" w:lineRule="auto"/>
        <w:ind w:right="560"/>
        <w:jc w:val="both"/>
        <w:rPr>
          <w:rFonts w:ascii="Palatino Linotype" w:eastAsia="Palatino Linotype" w:hAnsi="Palatino Linotype" w:cs="Palatino Linotype"/>
        </w:rPr>
      </w:pPr>
    </w:p>
    <w:p w14:paraId="03D84933" w14:textId="010D2E17" w:rsidR="00487A43" w:rsidRPr="00D82D2E" w:rsidRDefault="00487A43" w:rsidP="008F09A3">
      <w:pPr>
        <w:numPr>
          <w:ilvl w:val="0"/>
          <w:numId w:val="37"/>
        </w:numPr>
        <w:pBdr>
          <w:top w:val="nil"/>
          <w:left w:val="nil"/>
          <w:bottom w:val="nil"/>
          <w:right w:val="nil"/>
          <w:between w:val="nil"/>
        </w:pBdr>
        <w:spacing w:after="0" w:line="360" w:lineRule="auto"/>
        <w:ind w:right="560"/>
        <w:jc w:val="both"/>
        <w:rPr>
          <w:rFonts w:ascii="Palatino Linotype" w:eastAsia="Palatino Linotype" w:hAnsi="Palatino Linotype" w:cs="Palatino Linotype"/>
          <w:color w:val="000000"/>
        </w:rPr>
      </w:pPr>
      <w:r w:rsidRPr="00D82D2E">
        <w:rPr>
          <w:rFonts w:ascii="Palatino Linotype" w:eastAsia="Palatino Linotype" w:hAnsi="Palatino Linotype" w:cs="Palatino Linotype"/>
          <w:color w:val="000000"/>
        </w:rPr>
        <w:t>Documento</w:t>
      </w:r>
      <w:r w:rsidR="00E8227D" w:rsidRPr="00D82D2E">
        <w:rPr>
          <w:rFonts w:ascii="Palatino Linotype" w:eastAsia="Palatino Linotype" w:hAnsi="Palatino Linotype" w:cs="Palatino Linotype"/>
          <w:color w:val="000000"/>
        </w:rPr>
        <w:t xml:space="preserve"> donde conste</w:t>
      </w:r>
      <w:r w:rsidRPr="00D82D2E">
        <w:rPr>
          <w:rFonts w:ascii="Palatino Linotype" w:eastAsia="Palatino Linotype" w:hAnsi="Palatino Linotype" w:cs="Palatino Linotype"/>
          <w:color w:val="000000"/>
        </w:rPr>
        <w:t xml:space="preserve">n los nombres de los servidores públicos que aportan al fondo de retiro referido en la solicitud de información, actualizado al dieciocho de octubre de dos mil veinticuatro. </w:t>
      </w:r>
    </w:p>
    <w:p w14:paraId="6391BACE" w14:textId="11CADF19" w:rsidR="009C38F4" w:rsidRPr="00D82D2E" w:rsidRDefault="009C38F4" w:rsidP="009C38F4">
      <w:pPr>
        <w:numPr>
          <w:ilvl w:val="0"/>
          <w:numId w:val="37"/>
        </w:numPr>
        <w:pBdr>
          <w:top w:val="nil"/>
          <w:left w:val="nil"/>
          <w:bottom w:val="nil"/>
          <w:right w:val="nil"/>
          <w:between w:val="nil"/>
        </w:pBdr>
        <w:tabs>
          <w:tab w:val="left" w:pos="4962"/>
        </w:tabs>
        <w:spacing w:after="0" w:line="360" w:lineRule="auto"/>
        <w:ind w:right="616"/>
        <w:jc w:val="both"/>
        <w:rPr>
          <w:rFonts w:ascii="Palatino Linotype" w:eastAsia="Palatino Linotype" w:hAnsi="Palatino Linotype" w:cs="Palatino Linotype"/>
          <w:color w:val="000000"/>
        </w:rPr>
      </w:pPr>
      <w:r w:rsidRPr="00D82D2E">
        <w:rPr>
          <w:rFonts w:ascii="Palatino Linotype" w:eastAsia="Palatino Linotype" w:hAnsi="Palatino Linotype" w:cs="Palatino Linotype"/>
          <w:color w:val="000000"/>
        </w:rPr>
        <w:t xml:space="preserve">El Acuerdo emitido por el Comité de Transparencia </w:t>
      </w:r>
      <w:r w:rsidRPr="00D82D2E">
        <w:rPr>
          <w:rFonts w:ascii="Palatino Linotype" w:eastAsia="Palatino Linotype" w:hAnsi="Palatino Linotype" w:cs="Palatino Linotype"/>
        </w:rPr>
        <w:t>donde confirme la clasificación, de manera fundada y motivada</w:t>
      </w:r>
      <w:r w:rsidRPr="00D82D2E">
        <w:rPr>
          <w:rFonts w:ascii="Palatino Linotype" w:eastAsia="Palatino Linotype" w:hAnsi="Palatino Linotype" w:cs="Palatino Linotype"/>
          <w:color w:val="000000"/>
        </w:rPr>
        <w:t xml:space="preserve"> del </w:t>
      </w:r>
      <w:r w:rsidRPr="00D82D2E">
        <w:rPr>
          <w:rFonts w:ascii="Palatino Linotype" w:hAnsi="Palatino Linotype" w:cs="Tahoma"/>
          <w:bCs/>
          <w:lang w:eastAsia="en-US"/>
        </w:rPr>
        <w:t xml:space="preserve">número de cuenta y monto de las aportaciones al Fondo para el Retiro de los Trabajadores Universitarios, </w:t>
      </w:r>
      <w:r w:rsidRPr="00D82D2E">
        <w:rPr>
          <w:rFonts w:ascii="Palatino Linotype" w:eastAsia="Palatino Linotype" w:hAnsi="Palatino Linotype" w:cs="Palatino Linotype"/>
        </w:rPr>
        <w:t xml:space="preserve">en términos del artículo 143, fracción I, de la Ley de Transparencia y Acceso a la Información Pública del Estado de México y Municipios. </w:t>
      </w:r>
    </w:p>
    <w:p w14:paraId="30EF0727" w14:textId="77777777" w:rsidR="00BF4BF8" w:rsidRPr="00D82D2E" w:rsidRDefault="00BF4BF8" w:rsidP="00BF4BF8">
      <w:pPr>
        <w:pBdr>
          <w:top w:val="nil"/>
          <w:left w:val="nil"/>
          <w:bottom w:val="nil"/>
          <w:right w:val="nil"/>
          <w:between w:val="nil"/>
        </w:pBdr>
        <w:spacing w:after="0" w:line="360" w:lineRule="auto"/>
        <w:ind w:right="560"/>
        <w:jc w:val="both"/>
        <w:rPr>
          <w:rFonts w:ascii="Palatino Linotype" w:eastAsia="Palatino Linotype" w:hAnsi="Palatino Linotype" w:cs="Palatino Linotype"/>
          <w:color w:val="000000"/>
        </w:rPr>
      </w:pPr>
    </w:p>
    <w:p w14:paraId="40132371" w14:textId="5CF21EE2" w:rsidR="00E8227D" w:rsidRPr="00D82D2E" w:rsidRDefault="00E8227D" w:rsidP="00BF4BF8">
      <w:pPr>
        <w:tabs>
          <w:tab w:val="left" w:pos="8080"/>
        </w:tabs>
        <w:spacing w:after="0"/>
        <w:ind w:left="567" w:right="560"/>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D82D2E">
        <w:rPr>
          <w:rFonts w:ascii="Palatino Linotype" w:eastAsia="Palatino Linotype" w:hAnsi="Palatino Linotype" w:cs="Palatino Linotype"/>
          <w:b/>
          <w:i/>
        </w:rPr>
        <w:t>la parte Recurrente</w:t>
      </w:r>
      <w:r w:rsidRPr="00D82D2E">
        <w:rPr>
          <w:rFonts w:ascii="Palatino Linotype" w:eastAsia="Palatino Linotype" w:hAnsi="Palatino Linotype" w:cs="Palatino Linotype"/>
          <w:i/>
        </w:rPr>
        <w:t>.</w:t>
      </w:r>
    </w:p>
    <w:p w14:paraId="39437E64" w14:textId="77777777" w:rsidR="00E8227D" w:rsidRPr="00D82D2E" w:rsidRDefault="00E8227D" w:rsidP="00E8227D">
      <w:pPr>
        <w:spacing w:after="0" w:line="360" w:lineRule="auto"/>
        <w:ind w:right="49"/>
        <w:jc w:val="both"/>
        <w:rPr>
          <w:rFonts w:ascii="Palatino Linotype" w:eastAsia="Palatino Linotype" w:hAnsi="Palatino Linotype" w:cs="Palatino Linotype"/>
        </w:rPr>
      </w:pPr>
    </w:p>
    <w:p w14:paraId="6D54A216" w14:textId="77777777" w:rsidR="00E8227D" w:rsidRPr="00D82D2E" w:rsidRDefault="00E8227D" w:rsidP="00E8227D">
      <w:pPr>
        <w:spacing w:after="0" w:line="360" w:lineRule="auto"/>
        <w:jc w:val="both"/>
        <w:rPr>
          <w:rFonts w:ascii="Palatino Linotype" w:eastAsia="Palatino Linotype" w:hAnsi="Palatino Linotype" w:cs="Palatino Linotype"/>
        </w:rPr>
      </w:pPr>
      <w:r w:rsidRPr="00D82D2E">
        <w:rPr>
          <w:rFonts w:ascii="Palatino Linotype" w:eastAsia="Palatino Linotype" w:hAnsi="Palatino Linotype" w:cs="Palatino Linotype"/>
          <w:b/>
        </w:rPr>
        <w:t xml:space="preserve">Quinto. Versión Pública. </w:t>
      </w:r>
      <w:r w:rsidRPr="00D82D2E">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62DB0513" w14:textId="77777777" w:rsidR="00E8227D" w:rsidRPr="00D82D2E" w:rsidRDefault="00E8227D" w:rsidP="00E8227D">
      <w:pPr>
        <w:spacing w:after="0" w:line="360" w:lineRule="auto"/>
        <w:jc w:val="both"/>
        <w:rPr>
          <w:rFonts w:ascii="Palatino Linotype" w:eastAsia="Palatino Linotype" w:hAnsi="Palatino Linotype" w:cs="Palatino Linotype"/>
        </w:rPr>
      </w:pPr>
    </w:p>
    <w:p w14:paraId="075E9714" w14:textId="77777777" w:rsidR="00E8227D" w:rsidRPr="00D82D2E" w:rsidRDefault="00E8227D" w:rsidP="00E8227D">
      <w:pPr>
        <w:spacing w:after="0" w:line="360" w:lineRule="auto"/>
        <w:jc w:val="both"/>
        <w:rPr>
          <w:rFonts w:ascii="Palatino Linotype" w:eastAsia="Palatino Linotype" w:hAnsi="Palatino Linotype" w:cs="Palatino Linotype"/>
        </w:rPr>
      </w:pPr>
      <w:r w:rsidRPr="00D82D2E">
        <w:rPr>
          <w:rFonts w:ascii="Palatino Linotype" w:eastAsia="Palatino Linotype" w:hAnsi="Palatino Linotype" w:cs="Palatino Linotype"/>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52D68054" w14:textId="77777777" w:rsidR="00E8227D" w:rsidRPr="00D82D2E" w:rsidRDefault="00E8227D" w:rsidP="00E8227D">
      <w:pPr>
        <w:spacing w:after="0" w:line="360" w:lineRule="auto"/>
        <w:jc w:val="both"/>
        <w:rPr>
          <w:rFonts w:ascii="Palatino Linotype" w:eastAsia="Palatino Linotype" w:hAnsi="Palatino Linotype" w:cs="Palatino Linotype"/>
        </w:rPr>
      </w:pPr>
    </w:p>
    <w:p w14:paraId="0A05FAD9" w14:textId="77777777" w:rsidR="00E8227D" w:rsidRPr="00D82D2E" w:rsidRDefault="00E8227D" w:rsidP="00E8227D">
      <w:pPr>
        <w:spacing w:after="0" w:line="360" w:lineRule="auto"/>
        <w:ind w:right="50"/>
        <w:jc w:val="both"/>
        <w:rPr>
          <w:rFonts w:ascii="Palatino Linotype" w:eastAsia="Palatino Linotype" w:hAnsi="Palatino Linotype" w:cs="Palatino Linotype"/>
        </w:rPr>
      </w:pPr>
      <w:r w:rsidRPr="00D82D2E">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227512A0" w14:textId="77777777" w:rsidR="00E8227D" w:rsidRPr="00D82D2E" w:rsidRDefault="00E8227D" w:rsidP="00E8227D">
      <w:pPr>
        <w:spacing w:after="0" w:line="360" w:lineRule="auto"/>
        <w:ind w:right="50"/>
        <w:jc w:val="both"/>
        <w:rPr>
          <w:rFonts w:ascii="Palatino Linotype" w:eastAsia="Palatino Linotype" w:hAnsi="Palatino Linotype" w:cs="Palatino Linotype"/>
        </w:rPr>
      </w:pPr>
    </w:p>
    <w:p w14:paraId="00585C05"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w:t>
      </w:r>
      <w:r w:rsidRPr="00D82D2E">
        <w:rPr>
          <w:rFonts w:ascii="Palatino Linotype" w:eastAsia="Palatino Linotype" w:hAnsi="Palatino Linotype" w:cs="Palatino Linotype"/>
          <w:b/>
          <w:i/>
        </w:rPr>
        <w:t>Artículo 3.</w:t>
      </w:r>
      <w:r w:rsidRPr="00D82D2E">
        <w:rPr>
          <w:rFonts w:ascii="Palatino Linotype" w:eastAsia="Palatino Linotype" w:hAnsi="Palatino Linotype" w:cs="Palatino Linotype"/>
          <w:i/>
        </w:rPr>
        <w:t xml:space="preserve"> Para los efectos de la presente Ley se entenderá por:</w:t>
      </w:r>
    </w:p>
    <w:p w14:paraId="58CEE1C3"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w:t>
      </w:r>
    </w:p>
    <w:p w14:paraId="13B7EDA8"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1224F28B"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XX. Información clasificada: Aquella considerada por la presente Ley como reservada o confidencial;</w:t>
      </w:r>
    </w:p>
    <w:p w14:paraId="2E796DED"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37AF61E"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1F408849"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w:t>
      </w:r>
    </w:p>
    <w:p w14:paraId="09B91285"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b/>
          <w:i/>
        </w:rPr>
        <w:t>Artículo 91.</w:t>
      </w:r>
      <w:r w:rsidRPr="00D82D2E">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1C081C0F"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b/>
          <w:i/>
        </w:rPr>
        <w:t>Artículo 132.</w:t>
      </w:r>
      <w:r w:rsidRPr="00D82D2E">
        <w:rPr>
          <w:rFonts w:ascii="Palatino Linotype" w:eastAsia="Palatino Linotype" w:hAnsi="Palatino Linotype" w:cs="Palatino Linotype"/>
          <w:i/>
        </w:rPr>
        <w:t xml:space="preserve"> La clasificación de la información se llevará a cabo en el momento en que:</w:t>
      </w:r>
    </w:p>
    <w:p w14:paraId="7E293793" w14:textId="77777777" w:rsidR="00E8227D" w:rsidRPr="00D82D2E" w:rsidRDefault="00E8227D" w:rsidP="00E8227D">
      <w:pPr>
        <w:tabs>
          <w:tab w:val="left" w:pos="1134"/>
        </w:tabs>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I. Se reciba una solicitud de acceso a la información;</w:t>
      </w:r>
    </w:p>
    <w:p w14:paraId="0E45F13A" w14:textId="77777777" w:rsidR="00E8227D" w:rsidRPr="00D82D2E" w:rsidRDefault="00E8227D" w:rsidP="00E8227D">
      <w:pPr>
        <w:tabs>
          <w:tab w:val="left" w:pos="1134"/>
        </w:tabs>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II. Se determine mediante resolución de autoridad competente; o</w:t>
      </w:r>
    </w:p>
    <w:p w14:paraId="2C43E40F" w14:textId="77777777" w:rsidR="00E8227D" w:rsidRPr="00D82D2E" w:rsidRDefault="00E8227D" w:rsidP="00E8227D">
      <w:pPr>
        <w:tabs>
          <w:tab w:val="left" w:pos="1134"/>
        </w:tabs>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lastRenderedPageBreak/>
        <w:t>III. Se generen versiones públicas para dar cumplimiento a las obligaciones de transparencia previstas en esta Ley.</w:t>
      </w:r>
    </w:p>
    <w:p w14:paraId="4390F0CF"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w:t>
      </w:r>
    </w:p>
    <w:p w14:paraId="2A731B7A"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b/>
          <w:i/>
        </w:rPr>
        <w:t>Artículo 143</w:t>
      </w:r>
      <w:r w:rsidRPr="00D82D2E">
        <w:rPr>
          <w:rFonts w:ascii="Palatino Linotype" w:eastAsia="Palatino Linotype" w:hAnsi="Palatino Linotype" w:cs="Palatino Linotype"/>
          <w:i/>
        </w:rPr>
        <w:t>. Para los efectos de esta Ley se considera información confidencial, la clasificada como tal, de manera permanente, por su naturaleza, cuando:</w:t>
      </w:r>
    </w:p>
    <w:p w14:paraId="1CF1EED7"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08646794"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0EE65875"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III. La que presenten los particulares a los sujetos obligados, de conformidad con lo dispuesto por las leyes o los tratados internacionales.</w:t>
      </w:r>
    </w:p>
    <w:p w14:paraId="35DC431E"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5E079BBB"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64EE39DC" w14:textId="77777777" w:rsidR="00E8227D" w:rsidRPr="00D82D2E" w:rsidRDefault="00E8227D" w:rsidP="00E8227D">
      <w:pPr>
        <w:spacing w:after="0"/>
        <w:ind w:left="567" w:right="616"/>
        <w:jc w:val="both"/>
        <w:rPr>
          <w:rFonts w:ascii="Palatino Linotype" w:eastAsia="Palatino Linotype" w:hAnsi="Palatino Linotype" w:cs="Palatino Linotype"/>
          <w:i/>
        </w:rPr>
      </w:pPr>
    </w:p>
    <w:p w14:paraId="222EA077" w14:textId="77777777" w:rsidR="00E8227D" w:rsidRPr="00D82D2E" w:rsidRDefault="00E8227D" w:rsidP="00E8227D">
      <w:pPr>
        <w:spacing w:after="0" w:line="360" w:lineRule="auto"/>
        <w:jc w:val="both"/>
        <w:rPr>
          <w:rFonts w:ascii="Palatino Linotype" w:eastAsia="Palatino Linotype" w:hAnsi="Palatino Linotype" w:cs="Palatino Linotype"/>
        </w:rPr>
      </w:pPr>
      <w:r w:rsidRPr="00D82D2E">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1CEAC26" w14:textId="77777777" w:rsidR="00E8227D" w:rsidRPr="00D82D2E" w:rsidRDefault="00E8227D" w:rsidP="00E8227D">
      <w:pPr>
        <w:spacing w:after="0" w:line="360" w:lineRule="auto"/>
        <w:jc w:val="both"/>
        <w:rPr>
          <w:rFonts w:ascii="Palatino Linotype" w:eastAsia="Palatino Linotype" w:hAnsi="Palatino Linotype" w:cs="Palatino Linotype"/>
        </w:rPr>
      </w:pPr>
    </w:p>
    <w:p w14:paraId="20AF337B" w14:textId="77777777" w:rsidR="00E8227D" w:rsidRPr="00D82D2E" w:rsidRDefault="00E8227D" w:rsidP="00E8227D">
      <w:pPr>
        <w:spacing w:after="0" w:line="360" w:lineRule="auto"/>
        <w:jc w:val="both"/>
        <w:rPr>
          <w:rFonts w:ascii="Palatino Linotype" w:eastAsia="Palatino Linotype" w:hAnsi="Palatino Linotype" w:cs="Palatino Linotype"/>
        </w:rPr>
      </w:pPr>
      <w:r w:rsidRPr="00D82D2E">
        <w:rPr>
          <w:rFonts w:ascii="Palatino Linotype" w:eastAsia="Palatino Linotype" w:hAnsi="Palatino Linotype" w:cs="Palatino Linotype"/>
        </w:rPr>
        <w:t xml:space="preserve">Por otro lado, es de destacar que los artículos Quincuagésimo, Quincuagésimo primero, Quincuagésimo segundo, de los Lineamientos Generales en Materia de Clasificación y Desclasificación de la Información, así como para la Elaboración de Versiones Públicas </w:t>
      </w:r>
      <w:r w:rsidRPr="00D82D2E">
        <w:rPr>
          <w:rFonts w:ascii="Palatino Linotype" w:eastAsia="Palatino Linotype" w:hAnsi="Palatino Linotype" w:cs="Palatino Linotype"/>
        </w:rPr>
        <w:lastRenderedPageBreak/>
        <w:t>señalan las formalidades que deberá llevar el acuerdo de clasificación que deberá emitir el Sujeto Obligado, siendo estas las siguientes:</w:t>
      </w:r>
    </w:p>
    <w:p w14:paraId="7C56AAF4" w14:textId="77777777" w:rsidR="00E8227D" w:rsidRPr="00D82D2E" w:rsidRDefault="00E8227D" w:rsidP="00E8227D">
      <w:pPr>
        <w:spacing w:after="0" w:line="360" w:lineRule="auto"/>
        <w:jc w:val="both"/>
        <w:rPr>
          <w:rFonts w:ascii="Palatino Linotype" w:eastAsia="Palatino Linotype" w:hAnsi="Palatino Linotype" w:cs="Palatino Linotype"/>
        </w:rPr>
      </w:pPr>
    </w:p>
    <w:p w14:paraId="23E95877"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 “</w:t>
      </w:r>
      <w:r w:rsidRPr="00D82D2E">
        <w:rPr>
          <w:rFonts w:ascii="Palatino Linotype" w:eastAsia="Palatino Linotype" w:hAnsi="Palatino Linotype" w:cs="Palatino Linotype"/>
          <w:b/>
          <w:i/>
        </w:rPr>
        <w:t>Quincuagésimo</w:t>
      </w:r>
      <w:r w:rsidRPr="00D82D2E">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9F39097" w14:textId="77777777" w:rsidR="00E8227D" w:rsidRPr="00D82D2E" w:rsidRDefault="00E8227D" w:rsidP="00E8227D">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b/>
          <w:i/>
        </w:rPr>
        <w:t>Quincuagésimo primero.</w:t>
      </w:r>
      <w:r w:rsidRPr="00D82D2E">
        <w:rPr>
          <w:rFonts w:ascii="Palatino Linotype" w:eastAsia="Palatino Linotype" w:hAnsi="Palatino Linotype" w:cs="Palatino Linotype"/>
          <w:i/>
        </w:rPr>
        <w:t xml:space="preserve"> Toda acta del Comité de Transparencia deberá contener: </w:t>
      </w:r>
    </w:p>
    <w:p w14:paraId="1FFED603" w14:textId="77777777" w:rsidR="00E8227D" w:rsidRPr="00D82D2E" w:rsidRDefault="00E8227D" w:rsidP="00E8227D">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I. El número de sesión y fecha; </w:t>
      </w:r>
    </w:p>
    <w:p w14:paraId="0E64ECD0" w14:textId="77777777" w:rsidR="00E8227D" w:rsidRPr="00D82D2E" w:rsidRDefault="00E8227D" w:rsidP="00E8227D">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II. El nombre del área que solicitó la clasificación de información; </w:t>
      </w:r>
    </w:p>
    <w:p w14:paraId="50DD921F" w14:textId="77777777" w:rsidR="00E8227D" w:rsidRPr="00D82D2E" w:rsidRDefault="00E8227D" w:rsidP="00E8227D">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III. La fundamentación legal y motivación correspondiente; </w:t>
      </w:r>
    </w:p>
    <w:p w14:paraId="5F3B8FB1" w14:textId="77777777" w:rsidR="00E8227D" w:rsidRPr="00D82D2E" w:rsidRDefault="00E8227D" w:rsidP="00E8227D">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IV. La resolución o resoluciones aprobadas; y </w:t>
      </w:r>
    </w:p>
    <w:p w14:paraId="0B0470BD" w14:textId="77777777" w:rsidR="00E8227D" w:rsidRPr="00D82D2E" w:rsidRDefault="00E8227D" w:rsidP="00E8227D">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V. La rúbrica o firma digital de cada integrante del Comité de Transparencia. </w:t>
      </w:r>
    </w:p>
    <w:p w14:paraId="4465CAAB" w14:textId="77777777" w:rsidR="00E8227D" w:rsidRPr="00D82D2E" w:rsidRDefault="00E8227D" w:rsidP="00E8227D">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101CCAF4" w14:textId="77777777" w:rsidR="00E8227D" w:rsidRPr="00D82D2E" w:rsidRDefault="00E8227D" w:rsidP="00E8227D">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I. Los motivos y razonamientos que sustenten la confirmación o modificación de la prueba de daño;</w:t>
      </w:r>
    </w:p>
    <w:p w14:paraId="3BA2BB66" w14:textId="77777777" w:rsidR="00E8227D" w:rsidRPr="00D82D2E" w:rsidRDefault="00E8227D" w:rsidP="00E8227D">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II. Descripción de las partes o secciones reservadas, en caso de clasificación parcial; </w:t>
      </w:r>
    </w:p>
    <w:p w14:paraId="6CFBF9D7" w14:textId="77777777" w:rsidR="00E8227D" w:rsidRPr="00D82D2E" w:rsidRDefault="00E8227D" w:rsidP="00E8227D">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III. El periodo por el que mantendrá su clasificación y fecha de expiración; y </w:t>
      </w:r>
    </w:p>
    <w:p w14:paraId="19AC9961" w14:textId="77777777" w:rsidR="00E8227D" w:rsidRPr="00D82D2E" w:rsidRDefault="00E8227D" w:rsidP="00E8227D">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IV. El nombre del titular y área encargada de realizar la versión pública del documento, en su caso. </w:t>
      </w:r>
    </w:p>
    <w:p w14:paraId="0D84E3DA" w14:textId="77777777" w:rsidR="00E8227D" w:rsidRPr="00D82D2E" w:rsidRDefault="00E8227D" w:rsidP="00E8227D">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3E25CBDB" w14:textId="77777777" w:rsidR="00E8227D" w:rsidRPr="00D82D2E" w:rsidRDefault="00E8227D" w:rsidP="00E8227D">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4B0A6A19"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b/>
          <w:i/>
        </w:rPr>
        <w:t>Quincuagésimo segundo.</w:t>
      </w:r>
      <w:r w:rsidRPr="00D82D2E">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9951D3E"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lastRenderedPageBreak/>
        <w:t xml:space="preserve">En el caso específico de la clasificación y elaboración de versiones públicas de documentos que contengan información confidencial, las áreas de los sujetos obligados deberán: </w:t>
      </w:r>
    </w:p>
    <w:p w14:paraId="188FBD66"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I. Fijar la fecha en que se elaboró la versión pública y la fecha en la cual el Comité de Transparencia confirmó dicha versión;</w:t>
      </w:r>
    </w:p>
    <w:p w14:paraId="5D61BEC8"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09E0D880"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III. Señalar las personas o instancias autorizadas a acceder a la información clasificada.</w:t>
      </w:r>
    </w:p>
    <w:p w14:paraId="11DE51D0"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18F54B97" w14:textId="77777777" w:rsidR="00E8227D" w:rsidRPr="00D82D2E" w:rsidRDefault="00E8227D" w:rsidP="00E8227D">
      <w:pPr>
        <w:spacing w:after="0"/>
        <w:ind w:left="567" w:right="616"/>
        <w:jc w:val="both"/>
        <w:rPr>
          <w:rFonts w:ascii="Palatino Linotype" w:eastAsia="Palatino Linotype" w:hAnsi="Palatino Linotype" w:cs="Palatino Linotype"/>
          <w:i/>
        </w:rPr>
      </w:pPr>
    </w:p>
    <w:p w14:paraId="1561AE15" w14:textId="77777777" w:rsidR="00E8227D" w:rsidRPr="00D82D2E" w:rsidRDefault="00E8227D" w:rsidP="00E8227D">
      <w:pPr>
        <w:spacing w:after="0" w:line="360" w:lineRule="auto"/>
        <w:jc w:val="both"/>
        <w:rPr>
          <w:rFonts w:ascii="Palatino Linotype" w:eastAsia="Palatino Linotype" w:hAnsi="Palatino Linotype" w:cs="Palatino Linotype"/>
        </w:rPr>
      </w:pPr>
      <w:r w:rsidRPr="00D82D2E">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5F602761" w14:textId="77777777" w:rsidR="00E8227D" w:rsidRPr="00D82D2E" w:rsidRDefault="00E8227D" w:rsidP="00E8227D">
      <w:pPr>
        <w:spacing w:after="0" w:line="360" w:lineRule="auto"/>
        <w:jc w:val="both"/>
        <w:rPr>
          <w:rFonts w:ascii="Palatino Linotype" w:eastAsia="Palatino Linotype" w:hAnsi="Palatino Linotype" w:cs="Palatino Linotype"/>
        </w:rPr>
      </w:pPr>
    </w:p>
    <w:p w14:paraId="06D3A695" w14:textId="77777777" w:rsidR="00E8227D" w:rsidRPr="00D82D2E" w:rsidRDefault="00E8227D" w:rsidP="00E8227D">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w:t>
      </w:r>
      <w:r w:rsidRPr="00D82D2E">
        <w:rPr>
          <w:rFonts w:ascii="Palatino Linotype" w:eastAsia="Palatino Linotype" w:hAnsi="Palatino Linotype" w:cs="Palatino Linotype"/>
          <w:b/>
          <w:i/>
        </w:rPr>
        <w:t>Quincuagésimo cuarto.</w:t>
      </w:r>
      <w:r w:rsidRPr="00D82D2E">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00AA5CA7"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b/>
          <w:i/>
        </w:rPr>
        <w:t>Quincuagésimo quinto.</w:t>
      </w:r>
      <w:r w:rsidRPr="00D82D2E">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D82D2E">
        <w:rPr>
          <w:rFonts w:ascii="Palatino Linotype" w:eastAsia="Palatino Linotype" w:hAnsi="Palatino Linotype" w:cs="Palatino Linotype"/>
          <w:i/>
        </w:rPr>
        <w:t>testado</w:t>
      </w:r>
      <w:proofErr w:type="spellEnd"/>
      <w:r w:rsidRPr="00D82D2E">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22B120D3"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w:t>
      </w:r>
    </w:p>
    <w:p w14:paraId="0045144D"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b/>
          <w:i/>
        </w:rPr>
        <w:t>Quincuagésimo séptimo.</w:t>
      </w:r>
      <w:r w:rsidRPr="00D82D2E">
        <w:rPr>
          <w:rFonts w:ascii="Palatino Linotype" w:eastAsia="Palatino Linotype" w:hAnsi="Palatino Linotype" w:cs="Palatino Linotype"/>
          <w:i/>
        </w:rPr>
        <w:t xml:space="preserve"> Se considera, en principio, como información pública y no podrá omitirse de las versiones públicas la siguiente: </w:t>
      </w:r>
    </w:p>
    <w:p w14:paraId="75287E30"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2D7DE014"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lastRenderedPageBreak/>
        <w:t>II. El nombre de los integrantes de los sujetos obligados en los documentos, y sus firmas autógrafas o digitales, cuando sean utilizados en el ejercicio de las facultades conferidas para el desempeño del servicio público, y</w:t>
      </w:r>
    </w:p>
    <w:p w14:paraId="510A276C"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D973101"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7C3FB3E0" w14:textId="77777777" w:rsidR="00E8227D" w:rsidRPr="00D82D2E" w:rsidRDefault="00E8227D" w:rsidP="00E8227D">
      <w:pPr>
        <w:spacing w:after="0"/>
        <w:ind w:left="567" w:right="616"/>
        <w:jc w:val="both"/>
        <w:rPr>
          <w:rFonts w:ascii="Palatino Linotype" w:eastAsia="Palatino Linotype" w:hAnsi="Palatino Linotype" w:cs="Palatino Linotype"/>
          <w:i/>
        </w:rPr>
      </w:pPr>
      <w:r w:rsidRPr="00D82D2E">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32E48147" w14:textId="77777777" w:rsidR="00E8227D" w:rsidRPr="00D82D2E" w:rsidRDefault="00E8227D" w:rsidP="00E8227D">
      <w:pPr>
        <w:spacing w:after="0" w:line="360" w:lineRule="auto"/>
        <w:ind w:left="567" w:right="616"/>
        <w:jc w:val="both"/>
        <w:rPr>
          <w:rFonts w:ascii="Palatino Linotype" w:eastAsia="Palatino Linotype" w:hAnsi="Palatino Linotype" w:cs="Palatino Linotype"/>
          <w:i/>
        </w:rPr>
      </w:pPr>
    </w:p>
    <w:p w14:paraId="03403FA9" w14:textId="77777777" w:rsidR="00E8227D" w:rsidRPr="00D82D2E" w:rsidRDefault="00E8227D" w:rsidP="00E8227D">
      <w:pPr>
        <w:spacing w:after="0" w:line="360" w:lineRule="auto"/>
        <w:jc w:val="both"/>
        <w:rPr>
          <w:rFonts w:ascii="Palatino Linotype" w:eastAsia="Palatino Linotype" w:hAnsi="Palatino Linotype" w:cs="Palatino Linotype"/>
        </w:rPr>
      </w:pPr>
      <w:r w:rsidRPr="00D82D2E">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52D6F914" w14:textId="77777777" w:rsidR="00E8227D" w:rsidRPr="00D82D2E" w:rsidRDefault="00E8227D" w:rsidP="00E8227D">
      <w:pPr>
        <w:pBdr>
          <w:top w:val="nil"/>
          <w:left w:val="nil"/>
          <w:bottom w:val="nil"/>
          <w:right w:val="nil"/>
          <w:between w:val="nil"/>
        </w:pBdr>
        <w:spacing w:after="0"/>
        <w:ind w:left="567" w:right="900"/>
        <w:jc w:val="both"/>
        <w:rPr>
          <w:color w:val="000000"/>
        </w:rPr>
      </w:pPr>
    </w:p>
    <w:p w14:paraId="5572DEC5" w14:textId="4F07F095" w:rsidR="00E8227D" w:rsidRPr="00D82D2E" w:rsidRDefault="00E8227D" w:rsidP="00E8227D">
      <w:pPr>
        <w:spacing w:after="0" w:line="360" w:lineRule="auto"/>
        <w:ind w:right="49"/>
        <w:jc w:val="both"/>
        <w:rPr>
          <w:rFonts w:ascii="Palatino Linotype" w:eastAsia="Palatino Linotype" w:hAnsi="Palatino Linotype" w:cs="Palatino Linotype"/>
          <w:b/>
        </w:rPr>
      </w:pPr>
      <w:r w:rsidRPr="00D82D2E">
        <w:rPr>
          <w:rFonts w:ascii="Palatino Linotype" w:eastAsia="Palatino Linotype" w:hAnsi="Palatino Linotype" w:cs="Palatino Linotype"/>
        </w:rPr>
        <w:t>Es así como, en mérito de lo expuesto en líneas anteriores, resultan</w:t>
      </w:r>
      <w:r w:rsidR="00487A43" w:rsidRPr="00D82D2E">
        <w:rPr>
          <w:rFonts w:ascii="Palatino Linotype" w:eastAsia="Palatino Linotype" w:hAnsi="Palatino Linotype" w:cs="Palatino Linotype"/>
        </w:rPr>
        <w:t xml:space="preserve"> parcialmente</w:t>
      </w:r>
      <w:r w:rsidRPr="00D82D2E">
        <w:rPr>
          <w:rFonts w:ascii="Palatino Linotype" w:eastAsia="Palatino Linotype" w:hAnsi="Palatino Linotype" w:cs="Palatino Linotype"/>
        </w:rPr>
        <w:t xml:space="preserve"> fundadas las razones o motivos de inconformidad hechos valer por </w:t>
      </w:r>
      <w:r w:rsidRPr="00D82D2E">
        <w:rPr>
          <w:rFonts w:ascii="Palatino Linotype" w:eastAsia="Palatino Linotype" w:hAnsi="Palatino Linotype" w:cs="Palatino Linotype"/>
          <w:b/>
        </w:rPr>
        <w:t>la parte</w:t>
      </w:r>
      <w:r w:rsidRPr="00D82D2E">
        <w:rPr>
          <w:rFonts w:ascii="Palatino Linotype" w:eastAsia="Palatino Linotype" w:hAnsi="Palatino Linotype" w:cs="Palatino Linotype"/>
        </w:rPr>
        <w:t xml:space="preserve"> </w:t>
      </w:r>
      <w:r w:rsidRPr="00D82D2E">
        <w:rPr>
          <w:rFonts w:ascii="Palatino Linotype" w:eastAsia="Palatino Linotype" w:hAnsi="Palatino Linotype" w:cs="Palatino Linotype"/>
          <w:b/>
        </w:rPr>
        <w:t>Recurrente</w:t>
      </w:r>
      <w:r w:rsidRPr="00D82D2E">
        <w:rPr>
          <w:rFonts w:ascii="Palatino Linotype" w:eastAsia="Palatino Linotype" w:hAnsi="Palatino Linotype" w:cs="Palatino Linotype"/>
        </w:rPr>
        <w:t xml:space="preserve"> dentro del recurso de revisión </w:t>
      </w:r>
      <w:r w:rsidR="00487A43" w:rsidRPr="00D82D2E">
        <w:rPr>
          <w:rFonts w:ascii="Palatino Linotype" w:eastAsia="Palatino Linotype" w:hAnsi="Palatino Linotype" w:cs="Palatino Linotype"/>
          <w:b/>
        </w:rPr>
        <w:t>07179</w:t>
      </w:r>
      <w:r w:rsidRPr="00D82D2E">
        <w:rPr>
          <w:rFonts w:ascii="Palatino Linotype" w:eastAsia="Palatino Linotype" w:hAnsi="Palatino Linotype" w:cs="Palatino Linotype"/>
          <w:b/>
        </w:rPr>
        <w:t>/INFOEM/IP/RR/2024</w:t>
      </w:r>
      <w:r w:rsidRPr="00D82D2E">
        <w:rPr>
          <w:rFonts w:ascii="Palatino Linotype" w:eastAsia="Palatino Linotype" w:hAnsi="Palatino Linotype" w:cs="Palatino Linotype"/>
        </w:rPr>
        <w:t>; por ello, y con fundamento en la fracción III del numeral 186 de la Ley de Transparencia y Acceso a la Información Pública del Estado de México y Municipios, se</w:t>
      </w:r>
      <w:r w:rsidRPr="00D82D2E">
        <w:rPr>
          <w:rFonts w:ascii="Palatino Linotype" w:eastAsia="Palatino Linotype" w:hAnsi="Palatino Linotype" w:cs="Palatino Linotype"/>
          <w:b/>
        </w:rPr>
        <w:t xml:space="preserve"> </w:t>
      </w:r>
      <w:r w:rsidR="00487A43" w:rsidRPr="00D82D2E">
        <w:rPr>
          <w:rFonts w:ascii="Palatino Linotype" w:eastAsia="Palatino Linotype" w:hAnsi="Palatino Linotype" w:cs="Palatino Linotype"/>
          <w:b/>
        </w:rPr>
        <w:t>MODIFICA</w:t>
      </w:r>
      <w:r w:rsidRPr="00D82D2E">
        <w:rPr>
          <w:rFonts w:ascii="Palatino Linotype" w:eastAsia="Palatino Linotype" w:hAnsi="Palatino Linotype" w:cs="Palatino Linotype"/>
          <w:b/>
        </w:rPr>
        <w:t xml:space="preserve"> </w:t>
      </w:r>
      <w:r w:rsidRPr="00D82D2E">
        <w:rPr>
          <w:rFonts w:ascii="Palatino Linotype" w:eastAsia="Palatino Linotype" w:hAnsi="Palatino Linotype" w:cs="Palatino Linotype"/>
        </w:rPr>
        <w:t xml:space="preserve">la respuesta a la solicitud de información número </w:t>
      </w:r>
      <w:r w:rsidR="008F09A3" w:rsidRPr="00D82D2E">
        <w:rPr>
          <w:rFonts w:ascii="Palatino Linotype" w:eastAsia="Palatino Linotype" w:hAnsi="Palatino Linotype" w:cs="Palatino Linotype"/>
          <w:b/>
        </w:rPr>
        <w:t>01087</w:t>
      </w:r>
      <w:r w:rsidRPr="00D82D2E">
        <w:rPr>
          <w:rFonts w:ascii="Palatino Linotype" w:eastAsia="Palatino Linotype" w:hAnsi="Palatino Linotype" w:cs="Palatino Linotype"/>
          <w:b/>
        </w:rPr>
        <w:t>/</w:t>
      </w:r>
      <w:r w:rsidR="008F09A3" w:rsidRPr="00D82D2E">
        <w:rPr>
          <w:rFonts w:ascii="Palatino Linotype" w:eastAsia="Palatino Linotype" w:hAnsi="Palatino Linotype" w:cs="Palatino Linotype"/>
          <w:b/>
        </w:rPr>
        <w:t>UAEM</w:t>
      </w:r>
      <w:r w:rsidRPr="00D82D2E">
        <w:rPr>
          <w:rFonts w:ascii="Palatino Linotype" w:eastAsia="Palatino Linotype" w:hAnsi="Palatino Linotype" w:cs="Palatino Linotype"/>
          <w:b/>
        </w:rPr>
        <w:t xml:space="preserve">/IP/2024. </w:t>
      </w:r>
    </w:p>
    <w:p w14:paraId="2206B4A9" w14:textId="5D3C5673" w:rsidR="00E8227D" w:rsidRPr="00D82D2E" w:rsidRDefault="00E8227D" w:rsidP="00E8227D">
      <w:pP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rPr>
        <w:lastRenderedPageBreak/>
        <w:t xml:space="preserve">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w:t>
      </w:r>
      <w:r w:rsidR="00BF4BF8" w:rsidRPr="00D82D2E">
        <w:rPr>
          <w:rFonts w:ascii="Palatino Linotype" w:eastAsia="Palatino Linotype" w:hAnsi="Palatino Linotype" w:cs="Palatino Linotype"/>
        </w:rPr>
        <w:t>México y Municipios, este Pleno:</w:t>
      </w:r>
    </w:p>
    <w:p w14:paraId="36C48EA6" w14:textId="764D895D" w:rsidR="00411C4B" w:rsidRPr="00D82D2E" w:rsidRDefault="00411C4B" w:rsidP="00487A43">
      <w:pPr>
        <w:spacing w:after="0" w:line="360" w:lineRule="auto"/>
        <w:ind w:right="49"/>
        <w:jc w:val="center"/>
        <w:rPr>
          <w:rFonts w:ascii="Palatino Linotype" w:eastAsia="Palatino Linotype" w:hAnsi="Palatino Linotype" w:cs="Palatino Linotype"/>
          <w:iCs/>
          <w:color w:val="000000"/>
        </w:rPr>
      </w:pPr>
      <w:r w:rsidRPr="00D82D2E">
        <w:rPr>
          <w:rFonts w:ascii="Palatino Linotype" w:eastAsia="Palatino Linotype" w:hAnsi="Palatino Linotype" w:cs="Palatino Linotype"/>
          <w:b/>
        </w:rPr>
        <w:t>III. R E S U E L V E:</w:t>
      </w:r>
    </w:p>
    <w:p w14:paraId="2590AB66" w14:textId="77777777" w:rsidR="00FA0481" w:rsidRPr="00D82D2E" w:rsidRDefault="00FA0481" w:rsidP="008448B3">
      <w:pPr>
        <w:pBdr>
          <w:top w:val="nil"/>
          <w:left w:val="nil"/>
          <w:bottom w:val="nil"/>
          <w:right w:val="nil"/>
          <w:between w:val="nil"/>
        </w:pBdr>
        <w:spacing w:after="0" w:line="360" w:lineRule="auto"/>
        <w:jc w:val="center"/>
        <w:rPr>
          <w:rFonts w:ascii="Palatino Linotype" w:eastAsia="Palatino Linotype" w:hAnsi="Palatino Linotype" w:cs="Palatino Linotype"/>
          <w:b/>
        </w:rPr>
      </w:pPr>
    </w:p>
    <w:p w14:paraId="245CE79F" w14:textId="604604C2" w:rsidR="00FA0481" w:rsidRPr="00D82D2E" w:rsidRDefault="00B578F5" w:rsidP="008448B3">
      <w:pPr>
        <w:spacing w:after="0"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b/>
        </w:rPr>
        <w:t xml:space="preserve">PRIMERO. </w:t>
      </w:r>
      <w:r w:rsidRPr="00D82D2E">
        <w:rPr>
          <w:rFonts w:ascii="Palatino Linotype" w:eastAsia="Palatino Linotype" w:hAnsi="Palatino Linotype" w:cs="Palatino Linotype"/>
        </w:rPr>
        <w:t>Se</w:t>
      </w:r>
      <w:r w:rsidR="001B43B4" w:rsidRPr="00D82D2E">
        <w:rPr>
          <w:rFonts w:ascii="Palatino Linotype" w:eastAsia="Palatino Linotype" w:hAnsi="Palatino Linotype" w:cs="Palatino Linotype"/>
          <w:b/>
        </w:rPr>
        <w:t xml:space="preserve"> MODIFICA</w:t>
      </w:r>
      <w:r w:rsidRPr="00D82D2E">
        <w:rPr>
          <w:rFonts w:ascii="Palatino Linotype" w:eastAsia="Palatino Linotype" w:hAnsi="Palatino Linotype" w:cs="Palatino Linotype"/>
          <w:b/>
        </w:rPr>
        <w:t xml:space="preserve"> </w:t>
      </w:r>
      <w:r w:rsidRPr="00D82D2E">
        <w:rPr>
          <w:rFonts w:ascii="Palatino Linotype" w:eastAsia="Palatino Linotype" w:hAnsi="Palatino Linotype" w:cs="Palatino Linotype"/>
        </w:rPr>
        <w:t xml:space="preserve">la respuesta entregada por </w:t>
      </w:r>
      <w:r w:rsidRPr="00D82D2E">
        <w:rPr>
          <w:rFonts w:ascii="Palatino Linotype" w:eastAsia="Palatino Linotype" w:hAnsi="Palatino Linotype" w:cs="Palatino Linotype"/>
          <w:b/>
        </w:rPr>
        <w:t xml:space="preserve">EL SUJETO OBLIGADO </w:t>
      </w:r>
      <w:r w:rsidRPr="00D82D2E">
        <w:rPr>
          <w:rFonts w:ascii="Palatino Linotype" w:eastAsia="Palatino Linotype" w:hAnsi="Palatino Linotype" w:cs="Palatino Linotype"/>
        </w:rPr>
        <w:t xml:space="preserve">a la solicitud de información </w:t>
      </w:r>
      <w:r w:rsidR="00487A43" w:rsidRPr="00D82D2E">
        <w:rPr>
          <w:rFonts w:ascii="Palatino Linotype" w:eastAsia="Palatino Linotype" w:hAnsi="Palatino Linotype" w:cs="Palatino Linotype"/>
          <w:b/>
        </w:rPr>
        <w:t>01087</w:t>
      </w:r>
      <w:r w:rsidRPr="00D82D2E">
        <w:rPr>
          <w:rFonts w:ascii="Palatino Linotype" w:eastAsia="Palatino Linotype" w:hAnsi="Palatino Linotype" w:cs="Palatino Linotype"/>
          <w:b/>
        </w:rPr>
        <w:t>/</w:t>
      </w:r>
      <w:r w:rsidR="00487A43" w:rsidRPr="00D82D2E">
        <w:rPr>
          <w:rFonts w:ascii="Palatino Linotype" w:eastAsia="Palatino Linotype" w:hAnsi="Palatino Linotype" w:cs="Palatino Linotype"/>
          <w:b/>
        </w:rPr>
        <w:t>UAEM</w:t>
      </w:r>
      <w:r w:rsidRPr="00D82D2E">
        <w:rPr>
          <w:rFonts w:ascii="Palatino Linotype" w:eastAsia="Palatino Linotype" w:hAnsi="Palatino Linotype" w:cs="Palatino Linotype"/>
          <w:b/>
        </w:rPr>
        <w:t xml:space="preserve">/IP/2024, </w:t>
      </w:r>
      <w:r w:rsidRPr="00D82D2E">
        <w:rPr>
          <w:rFonts w:ascii="Palatino Linotype" w:eastAsia="Palatino Linotype" w:hAnsi="Palatino Linotype" w:cs="Palatino Linotype"/>
        </w:rPr>
        <w:t xml:space="preserve">por resultar </w:t>
      </w:r>
      <w:r w:rsidR="00487A43" w:rsidRPr="00D82D2E">
        <w:rPr>
          <w:rFonts w:ascii="Palatino Linotype" w:eastAsia="Palatino Linotype" w:hAnsi="Palatino Linotype" w:cs="Palatino Linotype"/>
        </w:rPr>
        <w:t xml:space="preserve">parcialmente </w:t>
      </w:r>
      <w:r w:rsidRPr="00D82D2E">
        <w:rPr>
          <w:rFonts w:ascii="Palatino Linotype" w:eastAsia="Palatino Linotype" w:hAnsi="Palatino Linotype" w:cs="Palatino Linotype"/>
        </w:rPr>
        <w:t xml:space="preserve">fundadas las razones o motivos de inconformidad hechos valer por la parte </w:t>
      </w:r>
      <w:r w:rsidRPr="00D82D2E">
        <w:rPr>
          <w:rFonts w:ascii="Palatino Linotype" w:eastAsia="Palatino Linotype" w:hAnsi="Palatino Linotype" w:cs="Palatino Linotype"/>
          <w:b/>
        </w:rPr>
        <w:t xml:space="preserve">RECURRENTE, </w:t>
      </w:r>
      <w:r w:rsidRPr="00D82D2E">
        <w:rPr>
          <w:rFonts w:ascii="Palatino Linotype" w:eastAsia="Palatino Linotype" w:hAnsi="Palatino Linotype" w:cs="Palatino Linotype"/>
        </w:rPr>
        <w:t xml:space="preserve">en el Recurso de Revisión </w:t>
      </w:r>
      <w:r w:rsidR="00487A43" w:rsidRPr="00D82D2E">
        <w:rPr>
          <w:rFonts w:ascii="Palatino Linotype" w:eastAsia="Palatino Linotype" w:hAnsi="Palatino Linotype" w:cs="Palatino Linotype"/>
          <w:b/>
        </w:rPr>
        <w:t>07179</w:t>
      </w:r>
      <w:r w:rsidRPr="00D82D2E">
        <w:rPr>
          <w:rFonts w:ascii="Palatino Linotype" w:eastAsia="Palatino Linotype" w:hAnsi="Palatino Linotype" w:cs="Palatino Linotype"/>
          <w:b/>
        </w:rPr>
        <w:t>/INFOEM/IP/RR/2024,</w:t>
      </w:r>
      <w:r w:rsidRPr="00D82D2E">
        <w:rPr>
          <w:rFonts w:ascii="Palatino Linotype" w:eastAsia="Palatino Linotype" w:hAnsi="Palatino Linotype" w:cs="Palatino Linotype"/>
        </w:rPr>
        <w:t xml:space="preserve"> en términos del considerando </w:t>
      </w:r>
      <w:r w:rsidRPr="00D82D2E">
        <w:rPr>
          <w:rFonts w:ascii="Palatino Linotype" w:eastAsia="Palatino Linotype" w:hAnsi="Palatino Linotype" w:cs="Palatino Linotype"/>
          <w:b/>
        </w:rPr>
        <w:t>Cuarto</w:t>
      </w:r>
      <w:r w:rsidRPr="00D82D2E">
        <w:rPr>
          <w:rFonts w:ascii="Palatino Linotype" w:eastAsia="Palatino Linotype" w:hAnsi="Palatino Linotype" w:cs="Palatino Linotype"/>
        </w:rPr>
        <w:t xml:space="preserve"> de la presente Resolución.</w:t>
      </w:r>
      <w:bookmarkStart w:id="2" w:name="_heading=h.3dy6vkm" w:colFirst="0" w:colLast="0"/>
      <w:bookmarkEnd w:id="2"/>
    </w:p>
    <w:p w14:paraId="06CCB577" w14:textId="77777777" w:rsidR="00B578F5" w:rsidRPr="00D82D2E" w:rsidRDefault="00B578F5" w:rsidP="008448B3">
      <w:pPr>
        <w:spacing w:after="0" w:line="360" w:lineRule="auto"/>
        <w:ind w:right="49"/>
        <w:jc w:val="both"/>
        <w:rPr>
          <w:rFonts w:ascii="Palatino Linotype" w:eastAsia="Palatino Linotype" w:hAnsi="Palatino Linotype" w:cs="Palatino Linotype"/>
        </w:rPr>
      </w:pPr>
    </w:p>
    <w:p w14:paraId="705D8D63" w14:textId="607534C6" w:rsidR="00FA0481" w:rsidRPr="00D82D2E" w:rsidRDefault="00FA0481" w:rsidP="00FA0481">
      <w:pPr>
        <w:pBdr>
          <w:top w:val="nil"/>
          <w:left w:val="nil"/>
          <w:bottom w:val="nil"/>
          <w:right w:val="nil"/>
          <w:between w:val="nil"/>
        </w:pBdr>
        <w:spacing w:after="0" w:line="360" w:lineRule="auto"/>
        <w:jc w:val="both"/>
        <w:rPr>
          <w:rFonts w:ascii="Palatino Linotype" w:eastAsia="Palatino Linotype" w:hAnsi="Palatino Linotype" w:cs="Palatino Linotype"/>
        </w:rPr>
      </w:pPr>
      <w:r w:rsidRPr="00D82D2E">
        <w:rPr>
          <w:rFonts w:ascii="Palatino Linotype" w:eastAsia="Palatino Linotype" w:hAnsi="Palatino Linotype" w:cs="Palatino Linotype"/>
          <w:b/>
        </w:rPr>
        <w:t xml:space="preserve">SEGUNDO. </w:t>
      </w:r>
      <w:r w:rsidRPr="00D82D2E">
        <w:rPr>
          <w:rFonts w:ascii="Palatino Linotype" w:eastAsia="Palatino Linotype" w:hAnsi="Palatino Linotype" w:cs="Palatino Linotype"/>
        </w:rPr>
        <w:t>Se</w:t>
      </w:r>
      <w:r w:rsidRPr="00D82D2E">
        <w:rPr>
          <w:rFonts w:ascii="Palatino Linotype" w:eastAsia="Palatino Linotype" w:hAnsi="Palatino Linotype" w:cs="Palatino Linotype"/>
          <w:b/>
        </w:rPr>
        <w:t xml:space="preserve"> ORDENA </w:t>
      </w:r>
      <w:r w:rsidRPr="00D82D2E">
        <w:rPr>
          <w:rFonts w:ascii="Palatino Linotype" w:eastAsia="Palatino Linotype" w:hAnsi="Palatino Linotype" w:cs="Palatino Linotype"/>
        </w:rPr>
        <w:t xml:space="preserve">al </w:t>
      </w:r>
      <w:r w:rsidRPr="00D82D2E">
        <w:rPr>
          <w:rFonts w:ascii="Palatino Linotype" w:eastAsia="Palatino Linotype" w:hAnsi="Palatino Linotype" w:cs="Palatino Linotype"/>
          <w:b/>
        </w:rPr>
        <w:t>SUJETO OBLIGADO</w:t>
      </w:r>
      <w:r w:rsidRPr="00D82D2E">
        <w:rPr>
          <w:rFonts w:ascii="Palatino Linotype" w:eastAsia="Palatino Linotype" w:hAnsi="Palatino Linotype" w:cs="Palatino Linotype"/>
        </w:rPr>
        <w:t xml:space="preserve"> a que,</w:t>
      </w:r>
      <w:r w:rsidRPr="00D82D2E">
        <w:rPr>
          <w:rFonts w:ascii="Palatino Linotype" w:eastAsia="Palatino Linotype" w:hAnsi="Palatino Linotype" w:cs="Palatino Linotype"/>
          <w:b/>
        </w:rPr>
        <w:t xml:space="preserve"> </w:t>
      </w:r>
      <w:r w:rsidRPr="00D82D2E">
        <w:rPr>
          <w:rFonts w:ascii="Palatino Linotype" w:eastAsia="Palatino Linotype" w:hAnsi="Palatino Linotype" w:cs="Palatino Linotype"/>
        </w:rPr>
        <w:t>en términos del Considerando Cuarto</w:t>
      </w:r>
      <w:r w:rsidR="001B43B4" w:rsidRPr="00D82D2E">
        <w:rPr>
          <w:rFonts w:ascii="Palatino Linotype" w:eastAsia="Palatino Linotype" w:hAnsi="Palatino Linotype" w:cs="Palatino Linotype"/>
        </w:rPr>
        <w:t xml:space="preserve">, </w:t>
      </w:r>
      <w:r w:rsidRPr="00D82D2E">
        <w:rPr>
          <w:rFonts w:ascii="Palatino Linotype" w:eastAsia="Palatino Linotype" w:hAnsi="Palatino Linotype" w:cs="Palatino Linotype"/>
        </w:rPr>
        <w:t xml:space="preserve">haga entrega, vía Sistema de Acceso a la Información Mexiquense (SAIMEX), </w:t>
      </w:r>
      <w:r w:rsidR="00487A43" w:rsidRPr="00D82D2E">
        <w:rPr>
          <w:rFonts w:ascii="Palatino Linotype" w:eastAsia="Palatino Linotype" w:hAnsi="Palatino Linotype" w:cs="Palatino Linotype"/>
        </w:rPr>
        <w:t xml:space="preserve">de ser el caso en versión pública, </w:t>
      </w:r>
      <w:r w:rsidRPr="00D82D2E">
        <w:rPr>
          <w:rFonts w:ascii="Palatino Linotype" w:eastAsia="Palatino Linotype" w:hAnsi="Palatino Linotype" w:cs="Palatino Linotype"/>
        </w:rPr>
        <w:t xml:space="preserve">de lo siguiente: </w:t>
      </w:r>
    </w:p>
    <w:p w14:paraId="07D68130" w14:textId="77777777" w:rsidR="00FA0481" w:rsidRPr="00D82D2E" w:rsidRDefault="00FA0481" w:rsidP="00FA0481">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7EA560A9" w14:textId="77777777" w:rsidR="009C38F4" w:rsidRPr="00D82D2E" w:rsidRDefault="009C38F4" w:rsidP="009C38F4">
      <w:pPr>
        <w:numPr>
          <w:ilvl w:val="0"/>
          <w:numId w:val="37"/>
        </w:numPr>
        <w:pBdr>
          <w:top w:val="nil"/>
          <w:left w:val="nil"/>
          <w:bottom w:val="nil"/>
          <w:right w:val="nil"/>
          <w:between w:val="nil"/>
        </w:pBdr>
        <w:spacing w:after="0" w:line="360" w:lineRule="auto"/>
        <w:ind w:right="560"/>
        <w:jc w:val="both"/>
        <w:rPr>
          <w:rFonts w:ascii="Palatino Linotype" w:eastAsia="Palatino Linotype" w:hAnsi="Palatino Linotype" w:cs="Palatino Linotype"/>
          <w:color w:val="000000"/>
        </w:rPr>
      </w:pPr>
      <w:r w:rsidRPr="00D82D2E">
        <w:rPr>
          <w:rFonts w:ascii="Palatino Linotype" w:eastAsia="Palatino Linotype" w:hAnsi="Palatino Linotype" w:cs="Palatino Linotype"/>
          <w:color w:val="000000"/>
        </w:rPr>
        <w:t xml:space="preserve">Documento donde consten los nombres de los servidores públicos que aportan al fondo de retiro referido en la solicitud de información, actualizado al dieciocho de octubre de dos mil veinticuatro. </w:t>
      </w:r>
    </w:p>
    <w:p w14:paraId="45A0E754" w14:textId="1EDB7F3E" w:rsidR="00235AB2" w:rsidRPr="00D82D2E" w:rsidRDefault="009C38F4" w:rsidP="009C38F4">
      <w:pPr>
        <w:numPr>
          <w:ilvl w:val="0"/>
          <w:numId w:val="37"/>
        </w:numPr>
        <w:pBdr>
          <w:top w:val="nil"/>
          <w:left w:val="nil"/>
          <w:bottom w:val="nil"/>
          <w:right w:val="nil"/>
          <w:between w:val="nil"/>
        </w:pBdr>
        <w:tabs>
          <w:tab w:val="left" w:pos="4962"/>
        </w:tabs>
        <w:spacing w:after="0" w:line="360" w:lineRule="auto"/>
        <w:ind w:right="616"/>
        <w:jc w:val="both"/>
        <w:rPr>
          <w:rFonts w:ascii="Palatino Linotype" w:eastAsia="Palatino Linotype" w:hAnsi="Palatino Linotype" w:cs="Palatino Linotype"/>
          <w:color w:val="000000"/>
        </w:rPr>
      </w:pPr>
      <w:r w:rsidRPr="00D82D2E">
        <w:rPr>
          <w:rFonts w:ascii="Palatino Linotype" w:eastAsia="Palatino Linotype" w:hAnsi="Palatino Linotype" w:cs="Palatino Linotype"/>
          <w:color w:val="000000"/>
        </w:rPr>
        <w:t xml:space="preserve">El Acuerdo emitido por el Comité de Transparencia </w:t>
      </w:r>
      <w:r w:rsidRPr="00D82D2E">
        <w:rPr>
          <w:rFonts w:ascii="Palatino Linotype" w:eastAsia="Palatino Linotype" w:hAnsi="Palatino Linotype" w:cs="Palatino Linotype"/>
        </w:rPr>
        <w:t>donde confirme la clasificación, de manera fundada y motivada</w:t>
      </w:r>
      <w:r w:rsidRPr="00D82D2E">
        <w:rPr>
          <w:rFonts w:ascii="Palatino Linotype" w:eastAsia="Palatino Linotype" w:hAnsi="Palatino Linotype" w:cs="Palatino Linotype"/>
          <w:color w:val="000000"/>
        </w:rPr>
        <w:t xml:space="preserve"> del </w:t>
      </w:r>
      <w:r w:rsidRPr="00D82D2E">
        <w:rPr>
          <w:rFonts w:ascii="Palatino Linotype" w:hAnsi="Palatino Linotype" w:cs="Tahoma"/>
          <w:bCs/>
          <w:lang w:eastAsia="en-US"/>
        </w:rPr>
        <w:t>número de cuenta y monto de las aportaciones al fondo referido en la solicitud de información,</w:t>
      </w:r>
      <w:r w:rsidRPr="00D82D2E">
        <w:rPr>
          <w:rFonts w:ascii="Palatino Linotype" w:eastAsia="Palatino Linotype" w:hAnsi="Palatino Linotype" w:cs="Palatino Linotype"/>
        </w:rPr>
        <w:t xml:space="preserve"> en términos del artículo 143, fracción I, de la Ley de Transparencia y Acceso a la Información Pública del Estado de México y Municipios. </w:t>
      </w:r>
    </w:p>
    <w:p w14:paraId="1CF77007" w14:textId="0ABCAE7B" w:rsidR="00487A43" w:rsidRPr="00D82D2E" w:rsidRDefault="009C38F4" w:rsidP="00487A43">
      <w:pPr>
        <w:tabs>
          <w:tab w:val="left" w:pos="8080"/>
        </w:tabs>
        <w:spacing w:after="0"/>
        <w:ind w:left="567" w:right="560"/>
        <w:jc w:val="both"/>
        <w:rPr>
          <w:rFonts w:ascii="Palatino Linotype" w:eastAsia="Palatino Linotype" w:hAnsi="Palatino Linotype" w:cs="Palatino Linotype"/>
          <w:b/>
          <w:i/>
        </w:rPr>
      </w:pPr>
      <w:r w:rsidRPr="00D82D2E">
        <w:rPr>
          <w:rFonts w:ascii="Palatino Linotype" w:eastAsia="Palatino Linotype" w:hAnsi="Palatino Linotype" w:cs="Palatino Linotype"/>
          <w:i/>
        </w:rPr>
        <w:lastRenderedPageBreak/>
        <w:t>De ser el caso, d</w:t>
      </w:r>
      <w:r w:rsidR="00487A43" w:rsidRPr="00D82D2E">
        <w:rPr>
          <w:rFonts w:ascii="Palatino Linotype" w:eastAsia="Palatino Linotype" w:hAnsi="Palatino Linotype" w:cs="Palatino Linotype"/>
          <w:i/>
        </w:rPr>
        <w:t xml:space="preserve">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00487A43" w:rsidRPr="00D82D2E">
        <w:rPr>
          <w:rFonts w:ascii="Palatino Linotype" w:eastAsia="Palatino Linotype" w:hAnsi="Palatino Linotype" w:cs="Palatino Linotype"/>
          <w:b/>
          <w:i/>
        </w:rPr>
        <w:t>la parte Recurrente</w:t>
      </w:r>
      <w:r w:rsidR="00487A43" w:rsidRPr="00D82D2E">
        <w:rPr>
          <w:rFonts w:ascii="Palatino Linotype" w:eastAsia="Palatino Linotype" w:hAnsi="Palatino Linotype" w:cs="Palatino Linotype"/>
          <w:i/>
        </w:rPr>
        <w:t>.</w:t>
      </w:r>
    </w:p>
    <w:p w14:paraId="55A45901" w14:textId="77777777" w:rsidR="00487A43" w:rsidRPr="00D82D2E" w:rsidRDefault="00487A43" w:rsidP="001B43B4">
      <w:pPr>
        <w:pStyle w:val="Prrafodelista"/>
        <w:spacing w:after="0" w:line="360" w:lineRule="auto"/>
        <w:ind w:left="567" w:right="560"/>
        <w:jc w:val="both"/>
        <w:rPr>
          <w:rFonts w:ascii="Palatino Linotype" w:eastAsia="Palatino Linotype" w:hAnsi="Palatino Linotype" w:cs="Palatino Linotype"/>
          <w:i/>
        </w:rPr>
      </w:pPr>
    </w:p>
    <w:p w14:paraId="46C1E01F" w14:textId="0B768798" w:rsidR="00411C4B" w:rsidRPr="00D82D2E" w:rsidRDefault="00411C4B" w:rsidP="00487A43">
      <w:pPr>
        <w:spacing w:after="0" w:line="360" w:lineRule="auto"/>
        <w:ind w:right="49"/>
        <w:jc w:val="both"/>
        <w:rPr>
          <w:rFonts w:ascii="Palatino Linotype" w:eastAsia="Palatino Linotype" w:hAnsi="Palatino Linotype" w:cs="Palatino Linotype"/>
        </w:rPr>
      </w:pPr>
      <w:bookmarkStart w:id="3" w:name="_heading=h.3znysh7" w:colFirst="0" w:colLast="0"/>
      <w:bookmarkEnd w:id="3"/>
      <w:r w:rsidRPr="00D82D2E">
        <w:rPr>
          <w:rFonts w:ascii="Palatino Linotype" w:eastAsia="Palatino Linotype" w:hAnsi="Palatino Linotype" w:cs="Palatino Linotype"/>
          <w:b/>
        </w:rPr>
        <w:t xml:space="preserve">TERCERO. </w:t>
      </w:r>
      <w:r w:rsidR="00FA0481" w:rsidRPr="00D82D2E">
        <w:rPr>
          <w:rFonts w:ascii="Palatino Linotype" w:eastAsia="Palatino Linotype" w:hAnsi="Palatino Linotype" w:cs="Palatino Linotype"/>
          <w:b/>
        </w:rPr>
        <w:t xml:space="preserve">Notifíquese </w:t>
      </w:r>
      <w:r w:rsidRPr="00D82D2E">
        <w:rPr>
          <w:rFonts w:ascii="Palatino Linotype" w:eastAsia="Palatino Linotype" w:hAnsi="Palatino Linotype" w:cs="Palatino Linotype"/>
        </w:rPr>
        <w:t>vía SAIMEX,</w:t>
      </w:r>
      <w:r w:rsidRPr="00D82D2E">
        <w:rPr>
          <w:rFonts w:ascii="Palatino Linotype" w:eastAsia="Palatino Linotype" w:hAnsi="Palatino Linotype" w:cs="Palatino Linotype"/>
          <w:b/>
        </w:rPr>
        <w:t xml:space="preserve"> </w:t>
      </w:r>
      <w:r w:rsidRPr="00D82D2E">
        <w:rPr>
          <w:rFonts w:ascii="Palatino Linotype" w:eastAsia="Palatino Linotype" w:hAnsi="Palatino Linotype" w:cs="Palatino Linotype"/>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A361C3" w14:textId="77777777" w:rsidR="009C38F4" w:rsidRPr="00D82D2E" w:rsidRDefault="009C38F4" w:rsidP="00487A43">
      <w:pPr>
        <w:spacing w:after="0" w:line="360" w:lineRule="auto"/>
        <w:ind w:right="49"/>
        <w:jc w:val="both"/>
        <w:rPr>
          <w:rFonts w:ascii="Palatino Linotype" w:eastAsia="Palatino Linotype" w:hAnsi="Palatino Linotype" w:cs="Palatino Linotype"/>
        </w:rPr>
      </w:pPr>
    </w:p>
    <w:p w14:paraId="68C95A8A" w14:textId="026923CB" w:rsidR="009C38F4" w:rsidRPr="00D82D2E" w:rsidRDefault="009C38F4" w:rsidP="009C38F4">
      <w:pPr>
        <w:spacing w:line="360" w:lineRule="auto"/>
        <w:ind w:right="49"/>
        <w:jc w:val="both"/>
        <w:rPr>
          <w:rFonts w:ascii="Palatino Linotype" w:eastAsia="Palatino Linotype" w:hAnsi="Palatino Linotype" w:cs="Palatino Linotype"/>
          <w:b/>
        </w:rPr>
      </w:pPr>
      <w:r w:rsidRPr="00D82D2E">
        <w:rPr>
          <w:rFonts w:ascii="Palatino Linotype" w:eastAsia="Palatino Linotype" w:hAnsi="Palatino Linotype" w:cs="Palatino Linotype"/>
          <w:b/>
        </w:rPr>
        <w:t>CUARTO.</w:t>
      </w:r>
      <w:r w:rsidRPr="00D82D2E">
        <w:rPr>
          <w:rFonts w:ascii="Palatino Linotype" w:eastAsia="Palatino Linotype" w:hAnsi="Palatino Linotype" w:cs="Palatino Linotype"/>
        </w:rPr>
        <w:t xml:space="preserve"> </w:t>
      </w:r>
      <w:r w:rsidRPr="00D82D2E">
        <w:rPr>
          <w:rFonts w:ascii="Palatino Linotype" w:eastAsia="Palatino Linotype" w:hAnsi="Palatino Linotype" w:cs="Palatino Linotype"/>
          <w:b/>
        </w:rPr>
        <w:t xml:space="preserve">Notifíquese </w:t>
      </w:r>
      <w:r w:rsidRPr="00D82D2E">
        <w:rPr>
          <w:rFonts w:ascii="Palatino Linotype" w:eastAsia="Palatino Linotype" w:hAnsi="Palatino Linotype" w:cs="Palatino Linotype"/>
        </w:rPr>
        <w:t>vía SAIMEX a la persona Recurrente la presente Resolución,</w:t>
      </w:r>
      <w:r w:rsidRPr="00D82D2E">
        <w:rPr>
          <w:rFonts w:ascii="Palatino Linotype" w:eastAsia="Palatino Linotype" w:hAnsi="Palatino Linotype" w:cs="Palatino Linotype"/>
          <w:b/>
        </w:rPr>
        <w:t xml:space="preserve"> </w:t>
      </w:r>
      <w:r w:rsidRPr="00D82D2E">
        <w:rPr>
          <w:rFonts w:ascii="Palatino Linotype" w:eastAsia="Palatino Linotype" w:hAnsi="Palatino Linotype" w:cs="Palatino Linotype"/>
        </w:rPr>
        <w:t>asimismo, se hace de su conocimiento que de conformidad con lo establecido en el artículo</w:t>
      </w:r>
      <w:r w:rsidRPr="00D82D2E">
        <w:rPr>
          <w:rFonts w:ascii="Palatino Linotype" w:eastAsia="Palatino Linotype" w:hAnsi="Palatino Linotype" w:cs="Palatino Linotype"/>
          <w:b/>
        </w:rPr>
        <w:t xml:space="preserve"> </w:t>
      </w:r>
      <w:r w:rsidRPr="00D82D2E">
        <w:rPr>
          <w:rFonts w:ascii="Palatino Linotype" w:eastAsia="Palatino Linotype" w:hAnsi="Palatino Linotype" w:cs="Palatino Linotype"/>
        </w:rPr>
        <w:t>196 de la Ley de Transparencia y Acceso a la Información Pública del Estado de México y</w:t>
      </w:r>
      <w:r w:rsidRPr="00D82D2E">
        <w:rPr>
          <w:rFonts w:ascii="Palatino Linotype" w:eastAsia="Palatino Linotype" w:hAnsi="Palatino Linotype" w:cs="Palatino Linotype"/>
          <w:b/>
        </w:rPr>
        <w:t xml:space="preserve"> </w:t>
      </w:r>
      <w:r w:rsidRPr="00D82D2E">
        <w:rPr>
          <w:rFonts w:ascii="Palatino Linotype" w:eastAsia="Palatino Linotype" w:hAnsi="Palatino Linotype" w:cs="Palatino Linotype"/>
        </w:rPr>
        <w:t>Municipios podrá promover el Juicio de Amparo en los términos de las leyes aplicables, o,</w:t>
      </w:r>
      <w:r w:rsidRPr="00D82D2E">
        <w:rPr>
          <w:rFonts w:ascii="Palatino Linotype" w:eastAsia="Palatino Linotype" w:hAnsi="Palatino Linotype" w:cs="Palatino Linotype"/>
          <w:b/>
        </w:rPr>
        <w:t xml:space="preserve"> </w:t>
      </w:r>
      <w:r w:rsidRPr="00D82D2E">
        <w:rPr>
          <w:rFonts w:ascii="Palatino Linotype" w:eastAsia="Palatino Linotype" w:hAnsi="Palatino Linotype" w:cs="Palatino Linotype"/>
        </w:rPr>
        <w:t>promover Recurso de Inconformidad, en términos de los artículos 159 y 160 de</w:t>
      </w:r>
      <w:r w:rsidRPr="00D82D2E">
        <w:rPr>
          <w:rFonts w:ascii="Palatino Linotype" w:eastAsia="Palatino Linotype" w:hAnsi="Palatino Linotype" w:cs="Palatino Linotype"/>
          <w:b/>
        </w:rPr>
        <w:t xml:space="preserve"> </w:t>
      </w:r>
      <w:r w:rsidRPr="00D82D2E">
        <w:rPr>
          <w:rFonts w:ascii="Palatino Linotype" w:eastAsia="Palatino Linotype" w:hAnsi="Palatino Linotype" w:cs="Palatino Linotype"/>
        </w:rPr>
        <w:t>la Ley General de Transparencia y Acceso a la Información Pública.</w:t>
      </w:r>
    </w:p>
    <w:p w14:paraId="64497429" w14:textId="77777777" w:rsidR="001B43B4" w:rsidRPr="00D82D2E" w:rsidRDefault="001B43B4" w:rsidP="008448B3">
      <w:pPr>
        <w:spacing w:after="0" w:line="360" w:lineRule="auto"/>
        <w:jc w:val="both"/>
        <w:rPr>
          <w:rFonts w:ascii="Palatino Linotype" w:eastAsia="Palatino Linotype" w:hAnsi="Palatino Linotype" w:cs="Palatino Linotype"/>
        </w:rPr>
      </w:pPr>
    </w:p>
    <w:p w14:paraId="5548CA1B" w14:textId="511F18A3" w:rsidR="00FA0481" w:rsidRPr="00D82D2E" w:rsidRDefault="00FA0481" w:rsidP="00FA0481">
      <w:pPr>
        <w:spacing w:line="360" w:lineRule="auto"/>
        <w:ind w:right="49"/>
        <w:jc w:val="both"/>
        <w:rPr>
          <w:rFonts w:ascii="Palatino Linotype" w:eastAsia="Palatino Linotype" w:hAnsi="Palatino Linotype" w:cs="Palatino Linotype"/>
        </w:rPr>
      </w:pPr>
      <w:r w:rsidRPr="00D82D2E">
        <w:rPr>
          <w:rFonts w:ascii="Palatino Linotype" w:eastAsia="Palatino Linotype" w:hAnsi="Palatino Linotype" w:cs="Palatino Linotype"/>
          <w:b/>
        </w:rPr>
        <w:t>QUINTO.</w:t>
      </w:r>
      <w:r w:rsidRPr="00D82D2E">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D82D2E">
        <w:rPr>
          <w:rFonts w:ascii="Palatino Linotype" w:eastAsia="Palatino Linotype" w:hAnsi="Palatino Linotype" w:cs="Palatino Linotype"/>
          <w:b/>
        </w:rPr>
        <w:lastRenderedPageBreak/>
        <w:t>SUJETO OBLIGADO</w:t>
      </w:r>
      <w:r w:rsidRPr="00D82D2E">
        <w:rPr>
          <w:rFonts w:ascii="Palatino Linotype" w:eastAsia="Palatino Linotype" w:hAnsi="Palatino Linotype" w:cs="Palatino Linotype"/>
        </w:rPr>
        <w:t xml:space="preserve"> de manera fundada y motivada, podrá solicitar una ampliación de plazo para el cumplimiento de la presente resolución.</w:t>
      </w:r>
    </w:p>
    <w:p w14:paraId="4B26BAF2" w14:textId="77777777" w:rsidR="00FA0481" w:rsidRPr="00D82D2E" w:rsidRDefault="00FA0481" w:rsidP="008448B3">
      <w:pPr>
        <w:spacing w:after="0" w:line="360" w:lineRule="auto"/>
        <w:jc w:val="both"/>
        <w:rPr>
          <w:rFonts w:ascii="Palatino Linotype" w:eastAsia="Palatino Linotype" w:hAnsi="Palatino Linotype" w:cs="Palatino Linotype"/>
        </w:rPr>
      </w:pPr>
    </w:p>
    <w:p w14:paraId="4E929E3D" w14:textId="168EDD58" w:rsidR="00411C4B" w:rsidRPr="004257BE" w:rsidRDefault="00411C4B" w:rsidP="008448B3">
      <w:pPr>
        <w:spacing w:after="0" w:line="360" w:lineRule="auto"/>
        <w:jc w:val="both"/>
        <w:rPr>
          <w:rFonts w:ascii="Palatino Linotype" w:eastAsia="Palatino Linotype" w:hAnsi="Palatino Linotype" w:cs="Palatino Linotype"/>
        </w:rPr>
        <w:sectPr w:rsidR="00411C4B" w:rsidRPr="004257BE">
          <w:headerReference w:type="default" r:id="rId9"/>
          <w:footerReference w:type="default" r:id="rId10"/>
          <w:headerReference w:type="first" r:id="rId11"/>
          <w:footerReference w:type="first" r:id="rId12"/>
          <w:pgSz w:w="12240" w:h="15840"/>
          <w:pgMar w:top="2041" w:right="1701" w:bottom="1701" w:left="1701" w:header="709" w:footer="709" w:gutter="0"/>
          <w:pgNumType w:start="1"/>
          <w:cols w:space="720"/>
          <w:titlePg/>
        </w:sectPr>
      </w:pPr>
      <w:r w:rsidRPr="00D82D2E">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w:t>
      </w:r>
      <w:r w:rsidR="008E5568" w:rsidRPr="00D82D2E">
        <w:rPr>
          <w:rFonts w:ascii="Palatino Linotype" w:eastAsia="Palatino Linotype" w:hAnsi="Palatino Linotype" w:cs="Palatino Linotype"/>
        </w:rPr>
        <w:t xml:space="preserve">ÍREZ PEÑA; EN LA </w:t>
      </w:r>
      <w:r w:rsidR="00487A43" w:rsidRPr="00D82D2E">
        <w:rPr>
          <w:rFonts w:ascii="Palatino Linotype" w:eastAsia="Palatino Linotype" w:hAnsi="Palatino Linotype" w:cs="Palatino Linotype"/>
        </w:rPr>
        <w:t>CUADRAGÉSIMA SEGUNDA</w:t>
      </w:r>
      <w:r w:rsidRPr="00D82D2E">
        <w:rPr>
          <w:rFonts w:ascii="Palatino Linotype" w:eastAsia="Palatino Linotype" w:hAnsi="Palatino Linotype" w:cs="Palatino Linotype"/>
        </w:rPr>
        <w:t xml:space="preserve"> SE</w:t>
      </w:r>
      <w:r w:rsidR="008E5568" w:rsidRPr="00D82D2E">
        <w:rPr>
          <w:rFonts w:ascii="Palatino Linotype" w:eastAsia="Palatino Linotype" w:hAnsi="Palatino Linotype" w:cs="Palatino Linotype"/>
        </w:rPr>
        <w:t xml:space="preserve">SIÓN ORDINARIA CELEBRADA EL </w:t>
      </w:r>
      <w:r w:rsidR="00487A43" w:rsidRPr="00D82D2E">
        <w:rPr>
          <w:rFonts w:ascii="Palatino Linotype" w:eastAsia="Palatino Linotype" w:hAnsi="Palatino Linotype" w:cs="Palatino Linotype"/>
        </w:rPr>
        <w:t xml:space="preserve">CUATRO DE DICIEMBRE </w:t>
      </w:r>
      <w:r w:rsidRPr="00D82D2E">
        <w:rPr>
          <w:rFonts w:ascii="Palatino Linotype" w:eastAsia="Palatino Linotype" w:hAnsi="Palatino Linotype" w:cs="Palatino Linotype"/>
        </w:rPr>
        <w:t>DE DOS MIL VEINTICUATRO, ANTE EL SECRETARIO TÉCNICO</w:t>
      </w:r>
      <w:r w:rsidR="00CC57ED" w:rsidRPr="00D82D2E">
        <w:rPr>
          <w:rFonts w:ascii="Palatino Linotype" w:eastAsia="Palatino Linotype" w:hAnsi="Palatino Linotype" w:cs="Palatino Linotype"/>
        </w:rPr>
        <w:t xml:space="preserve"> DEL PLENO ALEXIS TAPIA RAMÍREZ</w:t>
      </w:r>
      <w:r w:rsidR="009C38F4" w:rsidRPr="00D82D2E">
        <w:rPr>
          <w:rFonts w:ascii="Palatino Linotype" w:eastAsia="Palatino Linotype" w:hAnsi="Palatino Linotype" w:cs="Palatino Linotype"/>
        </w:rPr>
        <w:t>.</w:t>
      </w:r>
    </w:p>
    <w:p w14:paraId="77D1520E" w14:textId="77777777" w:rsidR="00A64B87" w:rsidRPr="004257BE" w:rsidRDefault="00A64B87" w:rsidP="008448B3">
      <w:pPr>
        <w:spacing w:after="0" w:line="360" w:lineRule="auto"/>
        <w:ind w:right="60"/>
        <w:jc w:val="both"/>
        <w:rPr>
          <w:rFonts w:ascii="Palatino Linotype" w:eastAsia="Palatino Linotype" w:hAnsi="Palatino Linotype" w:cs="Palatino Linotype"/>
          <w:b/>
        </w:rPr>
      </w:pPr>
    </w:p>
    <w:sectPr w:rsidR="00A64B87" w:rsidRPr="004257BE">
      <w:headerReference w:type="default" r:id="rId13"/>
      <w:headerReference w:type="first" r:id="rId14"/>
      <w:pgSz w:w="12240" w:h="15840"/>
      <w:pgMar w:top="1417" w:right="1701" w:bottom="1417"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B3A6A" w14:textId="77777777" w:rsidR="00775254" w:rsidRDefault="00775254" w:rsidP="00DB3C8C">
      <w:pPr>
        <w:spacing w:after="0" w:line="240" w:lineRule="auto"/>
      </w:pPr>
      <w:r>
        <w:separator/>
      </w:r>
    </w:p>
  </w:endnote>
  <w:endnote w:type="continuationSeparator" w:id="0">
    <w:p w14:paraId="2CEDE87C" w14:textId="77777777" w:rsidR="00775254" w:rsidRDefault="00775254" w:rsidP="00DB3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B730" w14:textId="77777777" w:rsidR="00BF4BF8" w:rsidRDefault="00BF4BF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3D5DB8">
      <w:rPr>
        <w:rFonts w:ascii="Arial" w:eastAsia="Arial" w:hAnsi="Arial" w:cs="Arial"/>
        <w:b/>
        <w:noProof/>
        <w:color w:val="000000"/>
        <w:sz w:val="20"/>
        <w:szCs w:val="20"/>
      </w:rPr>
      <w:t>30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3D5DB8">
      <w:rPr>
        <w:rFonts w:ascii="Arial" w:eastAsia="Arial" w:hAnsi="Arial" w:cs="Arial"/>
        <w:b/>
        <w:noProof/>
        <w:color w:val="000000"/>
        <w:sz w:val="20"/>
        <w:szCs w:val="20"/>
      </w:rPr>
      <w:t>31</w:t>
    </w:r>
    <w:r>
      <w:rPr>
        <w:rFonts w:ascii="Arial" w:eastAsia="Arial" w:hAnsi="Arial" w:cs="Arial"/>
        <w:b/>
        <w:color w:val="000000"/>
        <w:sz w:val="20"/>
        <w:szCs w:val="20"/>
      </w:rPr>
      <w:fldChar w:fldCharType="end"/>
    </w:r>
  </w:p>
  <w:p w14:paraId="5F7B94E3" w14:textId="77777777" w:rsidR="00BF4BF8" w:rsidRDefault="00BF4BF8">
    <w:pPr>
      <w:pBdr>
        <w:top w:val="nil"/>
        <w:left w:val="nil"/>
        <w:bottom w:val="nil"/>
        <w:right w:val="nil"/>
        <w:between w:val="nil"/>
      </w:pBdr>
      <w:tabs>
        <w:tab w:val="center" w:pos="4252"/>
        <w:tab w:val="right" w:pos="8504"/>
      </w:tabs>
      <w:rPr>
        <w:color w:val="000000"/>
      </w:rPr>
    </w:pPr>
  </w:p>
  <w:p w14:paraId="230BAA40" w14:textId="77777777" w:rsidR="00BF4BF8" w:rsidRDefault="00BF4BF8">
    <w:pPr>
      <w:pBdr>
        <w:top w:val="nil"/>
        <w:left w:val="nil"/>
        <w:bottom w:val="nil"/>
        <w:right w:val="nil"/>
        <w:between w:val="nil"/>
      </w:pBdr>
      <w:tabs>
        <w:tab w:val="center" w:pos="4252"/>
        <w:tab w:val="right" w:pos="8504"/>
      </w:tabs>
      <w:ind w:firstLine="708"/>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28D4" w14:textId="77777777" w:rsidR="00BF4BF8" w:rsidRDefault="00BF4BF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3D5DB8">
      <w:rPr>
        <w:rFonts w:ascii="Arial" w:eastAsia="Arial" w:hAnsi="Arial" w:cs="Arial"/>
        <w:b/>
        <w:noProof/>
        <w:color w:val="000000"/>
        <w:sz w:val="20"/>
        <w:szCs w:val="20"/>
      </w:rPr>
      <w:t>31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3D5DB8">
      <w:rPr>
        <w:rFonts w:ascii="Arial" w:eastAsia="Arial" w:hAnsi="Arial" w:cs="Arial"/>
        <w:b/>
        <w:noProof/>
        <w:color w:val="000000"/>
        <w:sz w:val="20"/>
        <w:szCs w:val="20"/>
      </w:rPr>
      <w:t>31</w:t>
    </w:r>
    <w:r>
      <w:rPr>
        <w:rFonts w:ascii="Arial" w:eastAsia="Arial" w:hAnsi="Arial" w:cs="Arial"/>
        <w:b/>
        <w:color w:val="000000"/>
        <w:sz w:val="20"/>
        <w:szCs w:val="20"/>
      </w:rPr>
      <w:fldChar w:fldCharType="end"/>
    </w:r>
  </w:p>
  <w:p w14:paraId="153F402F" w14:textId="77777777" w:rsidR="00BF4BF8" w:rsidRDefault="00BF4BF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CE82D" w14:textId="77777777" w:rsidR="00775254" w:rsidRDefault="00775254" w:rsidP="00DB3C8C">
      <w:pPr>
        <w:spacing w:after="0" w:line="240" w:lineRule="auto"/>
      </w:pPr>
      <w:r>
        <w:separator/>
      </w:r>
    </w:p>
  </w:footnote>
  <w:footnote w:type="continuationSeparator" w:id="0">
    <w:p w14:paraId="6FB0377C" w14:textId="77777777" w:rsidR="00775254" w:rsidRDefault="00775254" w:rsidP="00DB3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DA38" w14:textId="77777777" w:rsidR="00BF4BF8" w:rsidRDefault="00BF4BF8">
    <w:pPr>
      <w:widowControl w:val="0"/>
      <w:pBdr>
        <w:top w:val="nil"/>
        <w:left w:val="nil"/>
        <w:bottom w:val="nil"/>
        <w:right w:val="nil"/>
        <w:between w:val="nil"/>
      </w:pBdr>
      <w:rPr>
        <w:color w:val="000000"/>
      </w:rPr>
    </w:pPr>
    <w:r>
      <w:rPr>
        <w:noProof/>
      </w:rPr>
      <w:drawing>
        <wp:anchor distT="0" distB="0" distL="0" distR="0" simplePos="0" relativeHeight="251664384" behindDoc="1" locked="0" layoutInCell="1" hidden="0" allowOverlap="1" wp14:anchorId="6986D5DC" wp14:editId="5289E2C0">
          <wp:simplePos x="0" y="0"/>
          <wp:positionH relativeFrom="page">
            <wp:posOffset>361950</wp:posOffset>
          </wp:positionH>
          <wp:positionV relativeFrom="paragraph">
            <wp:posOffset>-269875</wp:posOffset>
          </wp:positionV>
          <wp:extent cx="7809876" cy="10165823"/>
          <wp:effectExtent l="0" t="0" r="635" b="6985"/>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W w:w="7229" w:type="dxa"/>
      <w:tblInd w:w="3309" w:type="dxa"/>
      <w:tblLayout w:type="fixed"/>
      <w:tblLook w:val="0400" w:firstRow="0" w:lastRow="0" w:firstColumn="0" w:lastColumn="0" w:noHBand="0" w:noVBand="1"/>
    </w:tblPr>
    <w:tblGrid>
      <w:gridCol w:w="2551"/>
      <w:gridCol w:w="4678"/>
    </w:tblGrid>
    <w:tr w:rsidR="00BF4BF8" w14:paraId="2BD0A429" w14:textId="77777777" w:rsidTr="008448B3">
      <w:tc>
        <w:tcPr>
          <w:tcW w:w="2551" w:type="dxa"/>
          <w:shd w:val="clear" w:color="auto" w:fill="auto"/>
          <w:vAlign w:val="center"/>
        </w:tcPr>
        <w:p w14:paraId="6C7B4FD0" w14:textId="77777777" w:rsidR="00BF4BF8" w:rsidRDefault="00BF4BF8" w:rsidP="008448B3">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678" w:type="dxa"/>
          <w:shd w:val="clear" w:color="auto" w:fill="auto"/>
          <w:vAlign w:val="center"/>
        </w:tcPr>
        <w:p w14:paraId="51B1C49D" w14:textId="63C3C8C4" w:rsidR="00BF4BF8" w:rsidRDefault="00BF4BF8" w:rsidP="008448B3">
          <w:pPr>
            <w:tabs>
              <w:tab w:val="left" w:pos="3153"/>
            </w:tabs>
            <w:spacing w:after="0" w:line="240" w:lineRule="auto"/>
            <w:ind w:left="-45" w:right="1758"/>
            <w:jc w:val="both"/>
            <w:rPr>
              <w:rFonts w:ascii="Palatino Linotype" w:eastAsia="Palatino Linotype" w:hAnsi="Palatino Linotype" w:cs="Palatino Linotype"/>
              <w:b/>
            </w:rPr>
          </w:pPr>
          <w:r>
            <w:rPr>
              <w:rFonts w:ascii="Palatino Linotype" w:eastAsia="Palatino Linotype" w:hAnsi="Palatino Linotype" w:cs="Palatino Linotype"/>
              <w:b/>
            </w:rPr>
            <w:t>07179/INFOEM/IP/RR/2024</w:t>
          </w:r>
        </w:p>
      </w:tc>
    </w:tr>
    <w:tr w:rsidR="00BF4BF8" w14:paraId="7AFF0D69" w14:textId="77777777" w:rsidTr="008448B3">
      <w:trPr>
        <w:trHeight w:val="228"/>
      </w:trPr>
      <w:tc>
        <w:tcPr>
          <w:tcW w:w="2551" w:type="dxa"/>
          <w:shd w:val="clear" w:color="auto" w:fill="auto"/>
          <w:vAlign w:val="center"/>
        </w:tcPr>
        <w:p w14:paraId="0DEB8D23" w14:textId="77777777" w:rsidR="00BF4BF8" w:rsidRDefault="00BF4BF8" w:rsidP="008448B3">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p w14:paraId="7E368CA9" w14:textId="05BF9768" w:rsidR="00BF4BF8" w:rsidRDefault="00BF4BF8" w:rsidP="008448B3">
          <w:pPr>
            <w:spacing w:after="0" w:line="240" w:lineRule="auto"/>
            <w:rPr>
              <w:rFonts w:ascii="Palatino Linotype" w:eastAsia="Palatino Linotype" w:hAnsi="Palatino Linotype" w:cs="Palatino Linotype"/>
              <w:b/>
            </w:rPr>
          </w:pPr>
        </w:p>
      </w:tc>
      <w:tc>
        <w:tcPr>
          <w:tcW w:w="4678" w:type="dxa"/>
          <w:shd w:val="clear" w:color="auto" w:fill="auto"/>
          <w:vAlign w:val="center"/>
        </w:tcPr>
        <w:p w14:paraId="0DBF3273" w14:textId="592C2746" w:rsidR="00BF4BF8" w:rsidRDefault="00BF4BF8" w:rsidP="007D64D4">
          <w:pPr>
            <w:spacing w:after="0" w:line="240" w:lineRule="auto"/>
            <w:ind w:left="-45" w:right="1758"/>
            <w:jc w:val="both"/>
            <w:rPr>
              <w:rFonts w:ascii="Palatino Linotype" w:eastAsia="Palatino Linotype" w:hAnsi="Palatino Linotype" w:cs="Palatino Linotype"/>
              <w:b/>
            </w:rPr>
          </w:pPr>
          <w:r>
            <w:rPr>
              <w:rFonts w:ascii="Palatino Linotype" w:eastAsia="Palatino Linotype" w:hAnsi="Palatino Linotype" w:cs="Palatino Linotype"/>
              <w:b/>
            </w:rPr>
            <w:t>Universidad Autónoma del Estado de México</w:t>
          </w:r>
        </w:p>
      </w:tc>
    </w:tr>
    <w:tr w:rsidR="00BF4BF8" w14:paraId="5C5D01D5" w14:textId="77777777" w:rsidTr="008448B3">
      <w:tc>
        <w:tcPr>
          <w:tcW w:w="2551" w:type="dxa"/>
          <w:shd w:val="clear" w:color="auto" w:fill="auto"/>
          <w:vAlign w:val="center"/>
        </w:tcPr>
        <w:p w14:paraId="25B278B8" w14:textId="77777777" w:rsidR="00BF4BF8" w:rsidRDefault="00BF4BF8" w:rsidP="008448B3">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678" w:type="dxa"/>
          <w:shd w:val="clear" w:color="auto" w:fill="auto"/>
          <w:vAlign w:val="center"/>
        </w:tcPr>
        <w:p w14:paraId="4ACE032F" w14:textId="77777777" w:rsidR="00BF4BF8" w:rsidRDefault="00BF4BF8" w:rsidP="008448B3">
          <w:pPr>
            <w:spacing w:after="0" w:line="240" w:lineRule="auto"/>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771C2776" w14:textId="77777777" w:rsidR="00BF4BF8" w:rsidRDefault="00BF4BF8">
    <w:pPr>
      <w:pBdr>
        <w:top w:val="nil"/>
        <w:left w:val="nil"/>
        <w:bottom w:val="nil"/>
        <w:right w:val="nil"/>
        <w:between w:val="nil"/>
      </w:pBdr>
      <w:tabs>
        <w:tab w:val="center" w:pos="4252"/>
        <w:tab w:val="right" w:pos="8504"/>
        <w:tab w:val="left" w:pos="2326"/>
      </w:tabs>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6A87" w14:textId="0425A67E" w:rsidR="00BF4BF8" w:rsidRDefault="00BF4BF8">
    <w:pPr>
      <w:widowControl w:val="0"/>
      <w:pBdr>
        <w:top w:val="nil"/>
        <w:left w:val="nil"/>
        <w:bottom w:val="nil"/>
        <w:right w:val="nil"/>
        <w:between w:val="nil"/>
      </w:pBdr>
      <w:spacing w:after="0" w:line="276" w:lineRule="auto"/>
      <w:rPr>
        <w:rFonts w:ascii="Cambria" w:eastAsia="Cambria" w:hAnsi="Cambria" w:cs="Cambria"/>
        <w:color w:val="000000"/>
        <w:sz w:val="16"/>
        <w:szCs w:val="16"/>
      </w:rPr>
    </w:pPr>
    <w:r>
      <w:rPr>
        <w:noProof/>
      </w:rPr>
      <w:drawing>
        <wp:anchor distT="0" distB="0" distL="0" distR="0" simplePos="0" relativeHeight="251665408" behindDoc="1" locked="0" layoutInCell="1" hidden="0" allowOverlap="1" wp14:anchorId="1A1E2710" wp14:editId="6973CE2B">
          <wp:simplePos x="0" y="0"/>
          <wp:positionH relativeFrom="column">
            <wp:posOffset>-663575</wp:posOffset>
          </wp:positionH>
          <wp:positionV relativeFrom="paragraph">
            <wp:posOffset>-290195</wp:posOffset>
          </wp:positionV>
          <wp:extent cx="7809876" cy="10165823"/>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W w:w="5872" w:type="dxa"/>
      <w:tblInd w:w="2952" w:type="dxa"/>
      <w:tblLayout w:type="fixed"/>
      <w:tblLook w:val="0400" w:firstRow="0" w:lastRow="0" w:firstColumn="0" w:lastColumn="0" w:noHBand="0" w:noVBand="1"/>
    </w:tblPr>
    <w:tblGrid>
      <w:gridCol w:w="2551"/>
      <w:gridCol w:w="3321"/>
    </w:tblGrid>
    <w:tr w:rsidR="00BF4BF8" w14:paraId="73AE334C" w14:textId="77777777" w:rsidTr="00FA0481">
      <w:tc>
        <w:tcPr>
          <w:tcW w:w="2551" w:type="dxa"/>
          <w:shd w:val="clear" w:color="auto" w:fill="auto"/>
          <w:vAlign w:val="center"/>
        </w:tcPr>
        <w:p w14:paraId="68178C9D" w14:textId="77777777" w:rsidR="00BF4BF8" w:rsidRDefault="00BF4BF8" w:rsidP="008448B3">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21" w:type="dxa"/>
          <w:shd w:val="clear" w:color="auto" w:fill="auto"/>
          <w:vAlign w:val="center"/>
        </w:tcPr>
        <w:p w14:paraId="6A7A5F7D" w14:textId="50FA33E2" w:rsidR="00BF4BF8" w:rsidRDefault="00BF4BF8" w:rsidP="008448B3">
          <w:pPr>
            <w:tabs>
              <w:tab w:val="left" w:pos="3153"/>
            </w:tabs>
            <w:spacing w:after="0" w:line="240" w:lineRule="auto"/>
            <w:ind w:left="-45"/>
            <w:jc w:val="both"/>
            <w:rPr>
              <w:rFonts w:ascii="Palatino Linotype" w:eastAsia="Palatino Linotype" w:hAnsi="Palatino Linotype" w:cs="Palatino Linotype"/>
              <w:b/>
            </w:rPr>
          </w:pPr>
          <w:r>
            <w:rPr>
              <w:rFonts w:ascii="Palatino Linotype" w:eastAsia="Palatino Linotype" w:hAnsi="Palatino Linotype" w:cs="Palatino Linotype"/>
              <w:b/>
            </w:rPr>
            <w:t>07179/INFOEM/IP/RR/2024</w:t>
          </w:r>
        </w:p>
      </w:tc>
    </w:tr>
    <w:tr w:rsidR="00BF4BF8" w14:paraId="3EE5ADFF" w14:textId="77777777" w:rsidTr="00FA0481">
      <w:trPr>
        <w:trHeight w:val="130"/>
      </w:trPr>
      <w:tc>
        <w:tcPr>
          <w:tcW w:w="2551" w:type="dxa"/>
          <w:shd w:val="clear" w:color="auto" w:fill="auto"/>
          <w:vAlign w:val="center"/>
        </w:tcPr>
        <w:p w14:paraId="7CF2D23B" w14:textId="77777777" w:rsidR="00BF4BF8" w:rsidRDefault="00BF4BF8" w:rsidP="008448B3">
          <w:pPr>
            <w:spacing w:after="0" w:line="240" w:lineRule="auto"/>
            <w:rPr>
              <w:rFonts w:ascii="Palatino Linotype" w:eastAsia="Palatino Linotype" w:hAnsi="Palatino Linotype" w:cs="Palatino Linotype"/>
              <w:b/>
            </w:rPr>
          </w:pPr>
          <w:bookmarkStart w:id="4" w:name="_heading=h.30j0zll" w:colFirst="0" w:colLast="0"/>
          <w:bookmarkEnd w:id="4"/>
          <w:r>
            <w:rPr>
              <w:rFonts w:ascii="Palatino Linotype" w:eastAsia="Palatino Linotype" w:hAnsi="Palatino Linotype" w:cs="Palatino Linotype"/>
              <w:b/>
            </w:rPr>
            <w:t>Recurrente:</w:t>
          </w:r>
        </w:p>
      </w:tc>
      <w:tc>
        <w:tcPr>
          <w:tcW w:w="3321" w:type="dxa"/>
          <w:shd w:val="clear" w:color="auto" w:fill="auto"/>
          <w:vAlign w:val="center"/>
        </w:tcPr>
        <w:p w14:paraId="0A7829BB" w14:textId="0558D01E" w:rsidR="00BF4BF8" w:rsidRDefault="00BF4BF8" w:rsidP="007D7650">
          <w:pPr>
            <w:spacing w:after="0" w:line="240" w:lineRule="auto"/>
            <w:ind w:left="-45" w:right="62"/>
            <w:jc w:val="both"/>
            <w:rPr>
              <w:rFonts w:ascii="Palatino Linotype" w:eastAsia="Palatino Linotype" w:hAnsi="Palatino Linotype" w:cs="Palatino Linotype"/>
              <w:b/>
            </w:rPr>
          </w:pPr>
        </w:p>
      </w:tc>
    </w:tr>
    <w:tr w:rsidR="00BF4BF8" w14:paraId="1EF785D4" w14:textId="77777777" w:rsidTr="00FA0481">
      <w:trPr>
        <w:trHeight w:val="228"/>
      </w:trPr>
      <w:tc>
        <w:tcPr>
          <w:tcW w:w="2551" w:type="dxa"/>
          <w:shd w:val="clear" w:color="auto" w:fill="auto"/>
          <w:vAlign w:val="center"/>
        </w:tcPr>
        <w:p w14:paraId="17A272F9" w14:textId="77777777" w:rsidR="00BF4BF8" w:rsidRDefault="00BF4BF8" w:rsidP="008448B3">
          <w:pPr>
            <w:spacing w:after="0" w:line="240" w:lineRule="auto"/>
            <w:rPr>
              <w:rFonts w:ascii="Palatino Linotype" w:eastAsia="Palatino Linotype" w:hAnsi="Palatino Linotype" w:cs="Palatino Linotype"/>
              <w:b/>
            </w:rPr>
          </w:pPr>
          <w:r w:rsidRPr="00920715">
            <w:rPr>
              <w:rFonts w:ascii="Palatino Linotype" w:eastAsia="Palatino Linotype" w:hAnsi="Palatino Linotype" w:cs="Palatino Linotype"/>
              <w:b/>
            </w:rPr>
            <w:t>Sujeto Obligado:</w:t>
          </w:r>
        </w:p>
        <w:p w14:paraId="0C50D8EC" w14:textId="3800E8A4" w:rsidR="00BF4BF8" w:rsidRPr="00920715" w:rsidRDefault="00BF4BF8" w:rsidP="008448B3">
          <w:pPr>
            <w:spacing w:after="0" w:line="240" w:lineRule="auto"/>
            <w:rPr>
              <w:rFonts w:ascii="Palatino Linotype" w:eastAsia="Palatino Linotype" w:hAnsi="Palatino Linotype" w:cs="Palatino Linotype"/>
              <w:b/>
            </w:rPr>
          </w:pPr>
        </w:p>
      </w:tc>
      <w:tc>
        <w:tcPr>
          <w:tcW w:w="3321" w:type="dxa"/>
          <w:shd w:val="clear" w:color="auto" w:fill="auto"/>
          <w:vAlign w:val="center"/>
        </w:tcPr>
        <w:p w14:paraId="149E7B93" w14:textId="7267EAAA" w:rsidR="00BF4BF8" w:rsidRPr="00920715" w:rsidRDefault="00BF4BF8" w:rsidP="00FA0481">
          <w:pPr>
            <w:spacing w:after="0" w:line="240" w:lineRule="auto"/>
            <w:ind w:left="-45" w:right="34"/>
            <w:jc w:val="both"/>
            <w:rPr>
              <w:rFonts w:ascii="Palatino Linotype" w:eastAsia="Palatino Linotype" w:hAnsi="Palatino Linotype" w:cs="Palatino Linotype"/>
              <w:b/>
            </w:rPr>
          </w:pPr>
          <w:r>
            <w:rPr>
              <w:rFonts w:ascii="Palatino Linotype" w:eastAsia="Palatino Linotype" w:hAnsi="Palatino Linotype" w:cs="Palatino Linotype"/>
              <w:b/>
            </w:rPr>
            <w:t>Universidad Autónoma del Estado de México</w:t>
          </w:r>
        </w:p>
      </w:tc>
    </w:tr>
    <w:tr w:rsidR="00BF4BF8" w14:paraId="5A5DF0A0" w14:textId="77777777" w:rsidTr="00FA0481">
      <w:tc>
        <w:tcPr>
          <w:tcW w:w="2551" w:type="dxa"/>
          <w:shd w:val="clear" w:color="auto" w:fill="auto"/>
          <w:vAlign w:val="center"/>
        </w:tcPr>
        <w:p w14:paraId="4E216DA2" w14:textId="77777777" w:rsidR="00BF4BF8" w:rsidRDefault="00BF4BF8" w:rsidP="008448B3">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p w14:paraId="18D5DE2D" w14:textId="77777777" w:rsidR="00BF4BF8" w:rsidRDefault="00BF4BF8" w:rsidP="008448B3">
          <w:pPr>
            <w:spacing w:after="0" w:line="240" w:lineRule="auto"/>
            <w:rPr>
              <w:rFonts w:ascii="Palatino Linotype" w:eastAsia="Palatino Linotype" w:hAnsi="Palatino Linotype" w:cs="Palatino Linotype"/>
              <w:b/>
            </w:rPr>
          </w:pPr>
        </w:p>
      </w:tc>
      <w:tc>
        <w:tcPr>
          <w:tcW w:w="3321" w:type="dxa"/>
          <w:shd w:val="clear" w:color="auto" w:fill="auto"/>
          <w:vAlign w:val="center"/>
        </w:tcPr>
        <w:p w14:paraId="620225C0" w14:textId="77777777" w:rsidR="00BF4BF8" w:rsidRDefault="00BF4BF8" w:rsidP="00F2017B">
          <w:pPr>
            <w:spacing w:after="0" w:line="240" w:lineRule="auto"/>
            <w:ind w:left="-45" w:right="69"/>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p w14:paraId="5FB914C0" w14:textId="77777777" w:rsidR="00BF4BF8" w:rsidRDefault="00BF4BF8" w:rsidP="00F2017B">
          <w:pPr>
            <w:spacing w:after="0" w:line="240" w:lineRule="auto"/>
            <w:ind w:left="-45" w:right="69"/>
            <w:jc w:val="both"/>
            <w:rPr>
              <w:rFonts w:ascii="Palatino Linotype" w:eastAsia="Palatino Linotype" w:hAnsi="Palatino Linotype" w:cs="Palatino Linotype"/>
              <w:b/>
            </w:rPr>
          </w:pPr>
        </w:p>
      </w:tc>
    </w:tr>
  </w:tbl>
  <w:p w14:paraId="60E51306" w14:textId="4C3764DF" w:rsidR="00BF4BF8" w:rsidRDefault="00BF4BF8">
    <w:pPr>
      <w:pBdr>
        <w:top w:val="nil"/>
        <w:left w:val="nil"/>
        <w:bottom w:val="nil"/>
        <w:right w:val="nil"/>
        <w:between w:val="nil"/>
      </w:pBdr>
      <w:tabs>
        <w:tab w:val="left" w:pos="3240"/>
      </w:tabs>
      <w:jc w:val="both"/>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8CDF" w14:textId="77777777" w:rsidR="00BF4BF8" w:rsidRDefault="00BF4BF8">
    <w:pPr>
      <w:widowControl w:val="0"/>
      <w:pBdr>
        <w:top w:val="nil"/>
        <w:left w:val="nil"/>
        <w:bottom w:val="nil"/>
        <w:right w:val="nil"/>
        <w:between w:val="nil"/>
      </w:pBdr>
      <w:spacing w:after="0" w:line="276" w:lineRule="auto"/>
      <w:rPr>
        <w:color w:val="000000"/>
      </w:rPr>
    </w:pPr>
  </w:p>
  <w:tbl>
    <w:tblPr>
      <w:tblW w:w="6099" w:type="dxa"/>
      <w:tblInd w:w="2950" w:type="dxa"/>
      <w:tblLayout w:type="fixed"/>
      <w:tblLook w:val="0400" w:firstRow="0" w:lastRow="0" w:firstColumn="0" w:lastColumn="0" w:noHBand="0" w:noVBand="1"/>
    </w:tblPr>
    <w:tblGrid>
      <w:gridCol w:w="2541"/>
      <w:gridCol w:w="3558"/>
    </w:tblGrid>
    <w:tr w:rsidR="00BF4BF8" w14:paraId="043A2399" w14:textId="77777777">
      <w:trPr>
        <w:trHeight w:val="496"/>
      </w:trPr>
      <w:tc>
        <w:tcPr>
          <w:tcW w:w="2541" w:type="dxa"/>
        </w:tcPr>
        <w:p w14:paraId="3C06FA6A" w14:textId="77777777" w:rsidR="00BF4BF8" w:rsidRDefault="00BF4BF8">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558" w:type="dxa"/>
        </w:tcPr>
        <w:p w14:paraId="72C17F36" w14:textId="77777777" w:rsidR="00BF4BF8" w:rsidRDefault="00BF4BF8">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00154/INFOEM/IP/RR/2024</w:t>
          </w:r>
        </w:p>
      </w:tc>
    </w:tr>
    <w:tr w:rsidR="00BF4BF8" w14:paraId="4BFA087F" w14:textId="77777777">
      <w:trPr>
        <w:trHeight w:val="223"/>
      </w:trPr>
      <w:tc>
        <w:tcPr>
          <w:tcW w:w="2541" w:type="dxa"/>
          <w:vAlign w:val="center"/>
        </w:tcPr>
        <w:p w14:paraId="45744420" w14:textId="77777777" w:rsidR="00BF4BF8" w:rsidRDefault="00BF4BF8">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p w14:paraId="18666B86" w14:textId="77777777" w:rsidR="00BF4BF8" w:rsidRDefault="00BF4BF8">
          <w:pPr>
            <w:spacing w:after="0" w:line="240" w:lineRule="auto"/>
            <w:rPr>
              <w:rFonts w:ascii="Palatino Linotype" w:eastAsia="Palatino Linotype" w:hAnsi="Palatino Linotype" w:cs="Palatino Linotype"/>
              <w:b/>
            </w:rPr>
          </w:pPr>
        </w:p>
        <w:p w14:paraId="2C37BCBC" w14:textId="77777777" w:rsidR="00BF4BF8" w:rsidRDefault="00BF4BF8">
          <w:pPr>
            <w:spacing w:after="0" w:line="240" w:lineRule="auto"/>
            <w:rPr>
              <w:rFonts w:ascii="Palatino Linotype" w:eastAsia="Palatino Linotype" w:hAnsi="Palatino Linotype" w:cs="Palatino Linotype"/>
              <w:b/>
            </w:rPr>
          </w:pPr>
        </w:p>
        <w:p w14:paraId="715055F4" w14:textId="77777777" w:rsidR="00BF4BF8" w:rsidRDefault="00BF4BF8">
          <w:pPr>
            <w:spacing w:after="0" w:line="240" w:lineRule="auto"/>
            <w:rPr>
              <w:rFonts w:ascii="Palatino Linotype" w:eastAsia="Palatino Linotype" w:hAnsi="Palatino Linotype" w:cs="Palatino Linotype"/>
              <w:b/>
            </w:rPr>
          </w:pPr>
        </w:p>
        <w:p w14:paraId="31FE73CB" w14:textId="77777777" w:rsidR="00BF4BF8" w:rsidRDefault="00BF4BF8">
          <w:pPr>
            <w:spacing w:after="0" w:line="240" w:lineRule="auto"/>
            <w:rPr>
              <w:rFonts w:ascii="Palatino Linotype" w:eastAsia="Palatino Linotype" w:hAnsi="Palatino Linotype" w:cs="Palatino Linotype"/>
              <w:b/>
            </w:rPr>
          </w:pPr>
        </w:p>
      </w:tc>
      <w:tc>
        <w:tcPr>
          <w:tcW w:w="3558" w:type="dxa"/>
          <w:vAlign w:val="center"/>
        </w:tcPr>
        <w:p w14:paraId="09ACF9DB" w14:textId="77777777" w:rsidR="00BF4BF8" w:rsidRDefault="00BF4BF8">
          <w:pPr>
            <w:spacing w:after="0" w:line="240" w:lineRule="auto"/>
            <w:ind w:right="10"/>
            <w:jc w:val="both"/>
            <w:rPr>
              <w:rFonts w:ascii="Palatino Linotype" w:eastAsia="Palatino Linotype" w:hAnsi="Palatino Linotype" w:cs="Palatino Linotype"/>
              <w:b/>
            </w:rPr>
          </w:pPr>
          <w:r>
            <w:rPr>
              <w:rFonts w:ascii="Palatino Linotype" w:eastAsia="Palatino Linotype" w:hAnsi="Palatino Linotype" w:cs="Palatino Linotype"/>
              <w:b/>
            </w:rPr>
            <w:t>Ayuntamiento de Toluca</w:t>
          </w:r>
        </w:p>
      </w:tc>
    </w:tr>
    <w:tr w:rsidR="00BF4BF8" w14:paraId="1B599CEA" w14:textId="77777777">
      <w:trPr>
        <w:trHeight w:val="249"/>
      </w:trPr>
      <w:tc>
        <w:tcPr>
          <w:tcW w:w="2541" w:type="dxa"/>
          <w:vAlign w:val="center"/>
        </w:tcPr>
        <w:p w14:paraId="5224C3FB" w14:textId="77777777" w:rsidR="00BF4BF8" w:rsidRDefault="00BF4BF8">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58" w:type="dxa"/>
          <w:vAlign w:val="center"/>
        </w:tcPr>
        <w:p w14:paraId="677F57D6" w14:textId="77777777" w:rsidR="00BF4BF8" w:rsidRDefault="00BF4BF8">
          <w:pPr>
            <w:spacing w:after="0" w:line="240" w:lineRule="auto"/>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57E56D43" w14:textId="77777777" w:rsidR="00BF4BF8" w:rsidRDefault="00BF4BF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7216" behindDoc="1" locked="0" layoutInCell="1" hidden="0" allowOverlap="1" wp14:anchorId="0F78E63E" wp14:editId="2C25870E">
          <wp:simplePos x="0" y="0"/>
          <wp:positionH relativeFrom="column">
            <wp:posOffset>-669288</wp:posOffset>
          </wp:positionH>
          <wp:positionV relativeFrom="paragraph">
            <wp:posOffset>-1515743</wp:posOffset>
          </wp:positionV>
          <wp:extent cx="7809865" cy="10165715"/>
          <wp:effectExtent l="0" t="0" r="0" b="0"/>
          <wp:wrapNone/>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892" w:type="dxa"/>
      <w:tblInd w:w="3834" w:type="dxa"/>
      <w:tblLayout w:type="fixed"/>
      <w:tblLook w:val="0400" w:firstRow="0" w:lastRow="0" w:firstColumn="0" w:lastColumn="0" w:noHBand="0" w:noVBand="1"/>
    </w:tblPr>
    <w:tblGrid>
      <w:gridCol w:w="2551"/>
      <w:gridCol w:w="3341"/>
    </w:tblGrid>
    <w:tr w:rsidR="00BF4BF8" w14:paraId="0ADD9F41" w14:textId="77777777" w:rsidTr="003B59A0">
      <w:tc>
        <w:tcPr>
          <w:tcW w:w="2551" w:type="dxa"/>
          <w:shd w:val="clear" w:color="auto" w:fill="auto"/>
          <w:vAlign w:val="center"/>
        </w:tcPr>
        <w:p w14:paraId="1423819A" w14:textId="77777777" w:rsidR="00BF4BF8" w:rsidRDefault="00BF4BF8" w:rsidP="00C8003E">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41" w:type="dxa"/>
          <w:shd w:val="clear" w:color="auto" w:fill="auto"/>
          <w:vAlign w:val="center"/>
        </w:tcPr>
        <w:p w14:paraId="312F9E6E" w14:textId="77777777" w:rsidR="00BF4BF8" w:rsidRDefault="00BF4BF8" w:rsidP="003B59A0">
          <w:pPr>
            <w:tabs>
              <w:tab w:val="left" w:pos="3153"/>
            </w:tabs>
            <w:spacing w:after="0" w:line="240" w:lineRule="auto"/>
            <w:ind w:left="-45" w:right="175"/>
            <w:jc w:val="both"/>
            <w:rPr>
              <w:rFonts w:ascii="Palatino Linotype" w:eastAsia="Palatino Linotype" w:hAnsi="Palatino Linotype" w:cs="Palatino Linotype"/>
              <w:b/>
            </w:rPr>
          </w:pPr>
          <w:r>
            <w:rPr>
              <w:rFonts w:ascii="Palatino Linotype" w:eastAsia="Palatino Linotype" w:hAnsi="Palatino Linotype" w:cs="Palatino Linotype"/>
              <w:b/>
            </w:rPr>
            <w:t>02429/INFOEM/IP/RR/2024</w:t>
          </w:r>
        </w:p>
      </w:tc>
    </w:tr>
    <w:tr w:rsidR="00BF4BF8" w14:paraId="70A99479" w14:textId="77777777" w:rsidTr="003B59A0">
      <w:trPr>
        <w:trHeight w:val="228"/>
      </w:trPr>
      <w:tc>
        <w:tcPr>
          <w:tcW w:w="2551" w:type="dxa"/>
          <w:shd w:val="clear" w:color="auto" w:fill="auto"/>
          <w:vAlign w:val="center"/>
        </w:tcPr>
        <w:p w14:paraId="73334A6A" w14:textId="77777777" w:rsidR="00BF4BF8" w:rsidRDefault="00BF4BF8" w:rsidP="00C8003E">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p w14:paraId="11BAC17E" w14:textId="77777777" w:rsidR="00BF4BF8" w:rsidRDefault="00BF4BF8" w:rsidP="00C8003E">
          <w:pPr>
            <w:spacing w:after="0" w:line="240" w:lineRule="auto"/>
            <w:rPr>
              <w:rFonts w:ascii="Palatino Linotype" w:eastAsia="Palatino Linotype" w:hAnsi="Palatino Linotype" w:cs="Palatino Linotype"/>
              <w:b/>
            </w:rPr>
          </w:pPr>
        </w:p>
      </w:tc>
      <w:tc>
        <w:tcPr>
          <w:tcW w:w="3341" w:type="dxa"/>
          <w:shd w:val="clear" w:color="auto" w:fill="auto"/>
          <w:vAlign w:val="center"/>
        </w:tcPr>
        <w:p w14:paraId="449DB15A" w14:textId="77777777" w:rsidR="00BF4BF8" w:rsidRDefault="00BF4BF8" w:rsidP="003B59A0">
          <w:pPr>
            <w:spacing w:after="0" w:line="240" w:lineRule="auto"/>
            <w:ind w:left="-45" w:right="175"/>
            <w:jc w:val="both"/>
            <w:rPr>
              <w:rFonts w:ascii="Palatino Linotype" w:eastAsia="Palatino Linotype" w:hAnsi="Palatino Linotype" w:cs="Palatino Linotype"/>
              <w:b/>
            </w:rPr>
          </w:pPr>
          <w:r w:rsidRPr="00920715">
            <w:rPr>
              <w:rFonts w:ascii="Palatino Linotype" w:eastAsia="Palatino Linotype" w:hAnsi="Palatino Linotype" w:cs="Palatino Linotype"/>
              <w:b/>
            </w:rPr>
            <w:t>Ayuntamiento de Ecatepec de Morelos.</w:t>
          </w:r>
        </w:p>
      </w:tc>
    </w:tr>
    <w:tr w:rsidR="00BF4BF8" w14:paraId="30435C64" w14:textId="77777777" w:rsidTr="003B59A0">
      <w:tc>
        <w:tcPr>
          <w:tcW w:w="2551" w:type="dxa"/>
          <w:shd w:val="clear" w:color="auto" w:fill="auto"/>
          <w:vAlign w:val="center"/>
        </w:tcPr>
        <w:p w14:paraId="34B1CA70" w14:textId="77777777" w:rsidR="00BF4BF8" w:rsidRDefault="00BF4BF8" w:rsidP="00C8003E">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41" w:type="dxa"/>
          <w:shd w:val="clear" w:color="auto" w:fill="auto"/>
          <w:vAlign w:val="center"/>
        </w:tcPr>
        <w:p w14:paraId="23AFF47E" w14:textId="77777777" w:rsidR="00BF4BF8" w:rsidRDefault="00BF4BF8" w:rsidP="003B59A0">
          <w:pPr>
            <w:spacing w:after="0" w:line="240" w:lineRule="auto"/>
            <w:ind w:left="-45"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0FB5A0F0" w14:textId="77777777" w:rsidR="00BF4BF8" w:rsidRDefault="00BF4BF8">
    <w:pPr>
      <w:widowControl w:val="0"/>
      <w:pBdr>
        <w:top w:val="nil"/>
        <w:left w:val="nil"/>
        <w:bottom w:val="nil"/>
        <w:right w:val="nil"/>
        <w:between w:val="nil"/>
      </w:pBdr>
      <w:rPr>
        <w:color w:val="000000"/>
      </w:rPr>
    </w:pPr>
    <w:r>
      <w:rPr>
        <w:noProof/>
      </w:rPr>
      <w:drawing>
        <wp:anchor distT="0" distB="0" distL="0" distR="0" simplePos="0" relativeHeight="251659264" behindDoc="1" locked="0" layoutInCell="1" hidden="0" allowOverlap="1" wp14:anchorId="36BAF635" wp14:editId="7A069B32">
          <wp:simplePos x="0" y="0"/>
          <wp:positionH relativeFrom="column">
            <wp:posOffset>-713105</wp:posOffset>
          </wp:positionH>
          <wp:positionV relativeFrom="paragraph">
            <wp:posOffset>-1203325</wp:posOffset>
          </wp:positionV>
          <wp:extent cx="7809876" cy="10165823"/>
          <wp:effectExtent l="0" t="0" r="0" b="0"/>
          <wp:wrapNone/>
          <wp:docPr id="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p w14:paraId="2299A9B7" w14:textId="77777777" w:rsidR="00BF4BF8" w:rsidRDefault="00BF4BF8">
    <w:pPr>
      <w:pBdr>
        <w:top w:val="nil"/>
        <w:left w:val="nil"/>
        <w:bottom w:val="nil"/>
        <w:right w:val="nil"/>
        <w:between w:val="nil"/>
      </w:pBdr>
      <w:tabs>
        <w:tab w:val="center" w:pos="4252"/>
        <w:tab w:val="right" w:pos="8504"/>
        <w:tab w:val="left" w:pos="2326"/>
      </w:tabs>
      <w:rPr>
        <w:color w:val="000000"/>
      </w:rPr>
    </w:pPr>
    <w:r>
      <w:rPr>
        <w:color w:val="000000"/>
      </w:rPr>
      <w:tab/>
    </w:r>
  </w:p>
  <w:p w14:paraId="7C10A027" w14:textId="77777777" w:rsidR="00BF4BF8" w:rsidRDefault="00BF4BF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66DE"/>
    <w:multiLevelType w:val="multilevel"/>
    <w:tmpl w:val="4CB08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7C62B0"/>
    <w:multiLevelType w:val="hybridMultilevel"/>
    <w:tmpl w:val="365CC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8A103A"/>
    <w:multiLevelType w:val="multilevel"/>
    <w:tmpl w:val="81FAB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917A67"/>
    <w:multiLevelType w:val="multilevel"/>
    <w:tmpl w:val="0EAE95B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624F1A"/>
    <w:multiLevelType w:val="hybridMultilevel"/>
    <w:tmpl w:val="B678B578"/>
    <w:lvl w:ilvl="0" w:tplc="228EED36">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9C54F1"/>
    <w:multiLevelType w:val="multilevel"/>
    <w:tmpl w:val="C6D21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8D570A"/>
    <w:multiLevelType w:val="multilevel"/>
    <w:tmpl w:val="BB6A780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43B4FE8"/>
    <w:multiLevelType w:val="hybridMultilevel"/>
    <w:tmpl w:val="69149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A931EC"/>
    <w:multiLevelType w:val="multilevel"/>
    <w:tmpl w:val="CDC2368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1A8F0709"/>
    <w:multiLevelType w:val="multilevel"/>
    <w:tmpl w:val="198A41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5422EF"/>
    <w:multiLevelType w:val="multilevel"/>
    <w:tmpl w:val="E7A42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5C0BCD"/>
    <w:multiLevelType w:val="hybridMultilevel"/>
    <w:tmpl w:val="C624CA22"/>
    <w:lvl w:ilvl="0" w:tplc="63422F6C">
      <w:start w:val="14"/>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5E4D97"/>
    <w:multiLevelType w:val="multilevel"/>
    <w:tmpl w:val="C88411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86570C"/>
    <w:multiLevelType w:val="hybridMultilevel"/>
    <w:tmpl w:val="53DA48C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DB5891"/>
    <w:multiLevelType w:val="multilevel"/>
    <w:tmpl w:val="FB2200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11084C"/>
    <w:multiLevelType w:val="multilevel"/>
    <w:tmpl w:val="0B58B32E"/>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E81E1D"/>
    <w:multiLevelType w:val="multilevel"/>
    <w:tmpl w:val="F47CD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55079E9"/>
    <w:multiLevelType w:val="hybridMultilevel"/>
    <w:tmpl w:val="A2029A7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36BA299D"/>
    <w:multiLevelType w:val="multilevel"/>
    <w:tmpl w:val="198A41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995281"/>
    <w:multiLevelType w:val="hybridMultilevel"/>
    <w:tmpl w:val="634E189A"/>
    <w:lvl w:ilvl="0" w:tplc="0A42C2C4">
      <w:start w:val="100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1F6FA0"/>
    <w:multiLevelType w:val="multilevel"/>
    <w:tmpl w:val="1A441892"/>
    <w:lvl w:ilvl="0">
      <w:start w:val="7"/>
      <w:numFmt w:val="upperRoman"/>
      <w:pStyle w:val="Listaconvietas3"/>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C12EAA"/>
    <w:multiLevelType w:val="multilevel"/>
    <w:tmpl w:val="C07ABC1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2" w15:restartNumberingAfterBreak="0">
    <w:nsid w:val="42E33FE9"/>
    <w:multiLevelType w:val="multilevel"/>
    <w:tmpl w:val="284A1632"/>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3AF4395"/>
    <w:multiLevelType w:val="multilevel"/>
    <w:tmpl w:val="198A41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7726BD"/>
    <w:multiLevelType w:val="multilevel"/>
    <w:tmpl w:val="CE345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7B77F28"/>
    <w:multiLevelType w:val="multilevel"/>
    <w:tmpl w:val="CD82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BD6B88"/>
    <w:multiLevelType w:val="multilevel"/>
    <w:tmpl w:val="02AA705C"/>
    <w:lvl w:ilvl="0">
      <w:start w:val="1"/>
      <w:numFmt w:val="decimal"/>
      <w:lvlText w:val="%1."/>
      <w:lvlJc w:val="left"/>
      <w:pPr>
        <w:ind w:left="2062"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C04DA2"/>
    <w:multiLevelType w:val="multilevel"/>
    <w:tmpl w:val="0C94D2C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E4F6DB0"/>
    <w:multiLevelType w:val="multilevel"/>
    <w:tmpl w:val="8610B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21D5BB9"/>
    <w:multiLevelType w:val="multilevel"/>
    <w:tmpl w:val="21A4F75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F8F396A"/>
    <w:multiLevelType w:val="multilevel"/>
    <w:tmpl w:val="A9943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4EF70EA"/>
    <w:multiLevelType w:val="multilevel"/>
    <w:tmpl w:val="2174D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6CC74EA"/>
    <w:multiLevelType w:val="multilevel"/>
    <w:tmpl w:val="1520D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7AF684D"/>
    <w:multiLevelType w:val="hybridMultilevel"/>
    <w:tmpl w:val="264A49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C08396D"/>
    <w:multiLevelType w:val="multilevel"/>
    <w:tmpl w:val="9D60E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DB04030"/>
    <w:multiLevelType w:val="multilevel"/>
    <w:tmpl w:val="4F60A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14D56F6"/>
    <w:multiLevelType w:val="multilevel"/>
    <w:tmpl w:val="CABC36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2226009"/>
    <w:multiLevelType w:val="hybridMultilevel"/>
    <w:tmpl w:val="F9060668"/>
    <w:lvl w:ilvl="0" w:tplc="E4DC8E60">
      <w:numFmt w:val="bullet"/>
      <w:lvlText w:val="•"/>
      <w:lvlJc w:val="left"/>
      <w:pPr>
        <w:ind w:left="1080" w:hanging="72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2977D2"/>
    <w:multiLevelType w:val="multilevel"/>
    <w:tmpl w:val="1EBA079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BEC60CE"/>
    <w:multiLevelType w:val="multilevel"/>
    <w:tmpl w:val="1696F48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39"/>
  </w:num>
  <w:num w:numId="3">
    <w:abstractNumId w:val="37"/>
  </w:num>
  <w:num w:numId="4">
    <w:abstractNumId w:val="12"/>
  </w:num>
  <w:num w:numId="5">
    <w:abstractNumId w:val="26"/>
  </w:num>
  <w:num w:numId="6">
    <w:abstractNumId w:val="17"/>
  </w:num>
  <w:num w:numId="7">
    <w:abstractNumId w:val="36"/>
  </w:num>
  <w:num w:numId="8">
    <w:abstractNumId w:val="1"/>
  </w:num>
  <w:num w:numId="9">
    <w:abstractNumId w:val="6"/>
  </w:num>
  <w:num w:numId="10">
    <w:abstractNumId w:val="21"/>
  </w:num>
  <w:num w:numId="11">
    <w:abstractNumId w:val="32"/>
  </w:num>
  <w:num w:numId="12">
    <w:abstractNumId w:val="20"/>
  </w:num>
  <w:num w:numId="13">
    <w:abstractNumId w:val="2"/>
  </w:num>
  <w:num w:numId="14">
    <w:abstractNumId w:val="11"/>
  </w:num>
  <w:num w:numId="15">
    <w:abstractNumId w:val="30"/>
  </w:num>
  <w:num w:numId="16">
    <w:abstractNumId w:val="3"/>
  </w:num>
  <w:num w:numId="17">
    <w:abstractNumId w:val="0"/>
  </w:num>
  <w:num w:numId="18">
    <w:abstractNumId w:val="33"/>
  </w:num>
  <w:num w:numId="19">
    <w:abstractNumId w:val="29"/>
  </w:num>
  <w:num w:numId="20">
    <w:abstractNumId w:val="40"/>
  </w:num>
  <w:num w:numId="21">
    <w:abstractNumId w:val="18"/>
  </w:num>
  <w:num w:numId="22">
    <w:abstractNumId w:val="10"/>
  </w:num>
  <w:num w:numId="23">
    <w:abstractNumId w:val="5"/>
  </w:num>
  <w:num w:numId="24">
    <w:abstractNumId w:val="14"/>
  </w:num>
  <w:num w:numId="25">
    <w:abstractNumId w:val="27"/>
  </w:num>
  <w:num w:numId="26">
    <w:abstractNumId w:val="31"/>
  </w:num>
  <w:num w:numId="27">
    <w:abstractNumId w:val="22"/>
  </w:num>
  <w:num w:numId="28">
    <w:abstractNumId w:val="25"/>
  </w:num>
  <w:num w:numId="29">
    <w:abstractNumId w:val="23"/>
  </w:num>
  <w:num w:numId="30">
    <w:abstractNumId w:val="19"/>
  </w:num>
  <w:num w:numId="31">
    <w:abstractNumId w:val="8"/>
  </w:num>
  <w:num w:numId="32">
    <w:abstractNumId w:val="34"/>
  </w:num>
  <w:num w:numId="33">
    <w:abstractNumId w:val="9"/>
  </w:num>
  <w:num w:numId="34">
    <w:abstractNumId w:val="7"/>
  </w:num>
  <w:num w:numId="35">
    <w:abstractNumId w:val="28"/>
  </w:num>
  <w:num w:numId="36">
    <w:abstractNumId w:val="13"/>
  </w:num>
  <w:num w:numId="37">
    <w:abstractNumId w:val="15"/>
  </w:num>
  <w:num w:numId="38">
    <w:abstractNumId w:val="24"/>
  </w:num>
  <w:num w:numId="39">
    <w:abstractNumId w:val="38"/>
  </w:num>
  <w:num w:numId="40">
    <w:abstractNumId w:val="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8C"/>
    <w:rsid w:val="000062FA"/>
    <w:rsid w:val="00010640"/>
    <w:rsid w:val="0001756D"/>
    <w:rsid w:val="000217E5"/>
    <w:rsid w:val="00037066"/>
    <w:rsid w:val="00055EA3"/>
    <w:rsid w:val="000632A7"/>
    <w:rsid w:val="0007680C"/>
    <w:rsid w:val="000A45FE"/>
    <w:rsid w:val="000B43E8"/>
    <w:rsid w:val="000B623E"/>
    <w:rsid w:val="000E239A"/>
    <w:rsid w:val="000E7D80"/>
    <w:rsid w:val="000F74BD"/>
    <w:rsid w:val="001008B3"/>
    <w:rsid w:val="00125D15"/>
    <w:rsid w:val="00130700"/>
    <w:rsid w:val="00162FE4"/>
    <w:rsid w:val="001719C0"/>
    <w:rsid w:val="00176DCF"/>
    <w:rsid w:val="001A21AC"/>
    <w:rsid w:val="001B43B4"/>
    <w:rsid w:val="001D6C2D"/>
    <w:rsid w:val="001E75D8"/>
    <w:rsid w:val="002170E7"/>
    <w:rsid w:val="00223ED8"/>
    <w:rsid w:val="00235AB2"/>
    <w:rsid w:val="00257BEA"/>
    <w:rsid w:val="00285EAA"/>
    <w:rsid w:val="002A46CC"/>
    <w:rsid w:val="002E48ED"/>
    <w:rsid w:val="002F248D"/>
    <w:rsid w:val="00326F33"/>
    <w:rsid w:val="00335AC3"/>
    <w:rsid w:val="00340164"/>
    <w:rsid w:val="00373B2A"/>
    <w:rsid w:val="00376797"/>
    <w:rsid w:val="00383EF0"/>
    <w:rsid w:val="0038420F"/>
    <w:rsid w:val="003948E2"/>
    <w:rsid w:val="003A4D10"/>
    <w:rsid w:val="003B59A0"/>
    <w:rsid w:val="003D5DB8"/>
    <w:rsid w:val="003D6C56"/>
    <w:rsid w:val="003F4628"/>
    <w:rsid w:val="003F5DF2"/>
    <w:rsid w:val="00406DBE"/>
    <w:rsid w:val="00411C4B"/>
    <w:rsid w:val="004257BE"/>
    <w:rsid w:val="00487A43"/>
    <w:rsid w:val="004A63FD"/>
    <w:rsid w:val="004B21F5"/>
    <w:rsid w:val="004C57E1"/>
    <w:rsid w:val="004C5B2B"/>
    <w:rsid w:val="004D7683"/>
    <w:rsid w:val="004E3C0E"/>
    <w:rsid w:val="005405AD"/>
    <w:rsid w:val="00545085"/>
    <w:rsid w:val="00573169"/>
    <w:rsid w:val="005858D8"/>
    <w:rsid w:val="005935A8"/>
    <w:rsid w:val="00596CE6"/>
    <w:rsid w:val="005A7C68"/>
    <w:rsid w:val="005B608F"/>
    <w:rsid w:val="005C2B2A"/>
    <w:rsid w:val="005D33D0"/>
    <w:rsid w:val="005E34A6"/>
    <w:rsid w:val="005E3B46"/>
    <w:rsid w:val="005F081E"/>
    <w:rsid w:val="006049BA"/>
    <w:rsid w:val="00617832"/>
    <w:rsid w:val="00625A3F"/>
    <w:rsid w:val="00635297"/>
    <w:rsid w:val="0066281A"/>
    <w:rsid w:val="00680FCB"/>
    <w:rsid w:val="0068177F"/>
    <w:rsid w:val="00683973"/>
    <w:rsid w:val="0071717C"/>
    <w:rsid w:val="00775254"/>
    <w:rsid w:val="00780D7D"/>
    <w:rsid w:val="007A696A"/>
    <w:rsid w:val="007A784A"/>
    <w:rsid w:val="007D64D4"/>
    <w:rsid w:val="007D7650"/>
    <w:rsid w:val="007F2FE0"/>
    <w:rsid w:val="007F466F"/>
    <w:rsid w:val="0080295D"/>
    <w:rsid w:val="008448B3"/>
    <w:rsid w:val="00852CC8"/>
    <w:rsid w:val="0085696C"/>
    <w:rsid w:val="00874330"/>
    <w:rsid w:val="0088076C"/>
    <w:rsid w:val="008C4A8F"/>
    <w:rsid w:val="008E02DA"/>
    <w:rsid w:val="008E171B"/>
    <w:rsid w:val="008E1B77"/>
    <w:rsid w:val="008E3A13"/>
    <w:rsid w:val="008E5568"/>
    <w:rsid w:val="008F09A3"/>
    <w:rsid w:val="008F0BEA"/>
    <w:rsid w:val="008F234E"/>
    <w:rsid w:val="008F6DEC"/>
    <w:rsid w:val="00901137"/>
    <w:rsid w:val="009039A9"/>
    <w:rsid w:val="00920715"/>
    <w:rsid w:val="0094743D"/>
    <w:rsid w:val="00947DCE"/>
    <w:rsid w:val="00954428"/>
    <w:rsid w:val="00956A65"/>
    <w:rsid w:val="00964678"/>
    <w:rsid w:val="00972F23"/>
    <w:rsid w:val="00976CE3"/>
    <w:rsid w:val="00980393"/>
    <w:rsid w:val="00982AE6"/>
    <w:rsid w:val="009B5BA3"/>
    <w:rsid w:val="009C38F4"/>
    <w:rsid w:val="009C4A91"/>
    <w:rsid w:val="009D65BE"/>
    <w:rsid w:val="009E79D2"/>
    <w:rsid w:val="009F0021"/>
    <w:rsid w:val="009F72B4"/>
    <w:rsid w:val="00A2078F"/>
    <w:rsid w:val="00A238EB"/>
    <w:rsid w:val="00A3560C"/>
    <w:rsid w:val="00A46251"/>
    <w:rsid w:val="00A64B87"/>
    <w:rsid w:val="00A73E85"/>
    <w:rsid w:val="00A8547E"/>
    <w:rsid w:val="00A86E89"/>
    <w:rsid w:val="00AA327B"/>
    <w:rsid w:val="00AB240B"/>
    <w:rsid w:val="00AB4073"/>
    <w:rsid w:val="00AC6C86"/>
    <w:rsid w:val="00AD56A7"/>
    <w:rsid w:val="00AD63A1"/>
    <w:rsid w:val="00AF7516"/>
    <w:rsid w:val="00AF7ED0"/>
    <w:rsid w:val="00B0712A"/>
    <w:rsid w:val="00B21C69"/>
    <w:rsid w:val="00B41858"/>
    <w:rsid w:val="00B43616"/>
    <w:rsid w:val="00B578F5"/>
    <w:rsid w:val="00B716A5"/>
    <w:rsid w:val="00B852D0"/>
    <w:rsid w:val="00BA2418"/>
    <w:rsid w:val="00BE7689"/>
    <w:rsid w:val="00BF4BF8"/>
    <w:rsid w:val="00C02A98"/>
    <w:rsid w:val="00C42A89"/>
    <w:rsid w:val="00C62FEB"/>
    <w:rsid w:val="00C8003E"/>
    <w:rsid w:val="00C844EE"/>
    <w:rsid w:val="00C9542D"/>
    <w:rsid w:val="00CA0EE0"/>
    <w:rsid w:val="00CB31FD"/>
    <w:rsid w:val="00CC57ED"/>
    <w:rsid w:val="00CE1EAA"/>
    <w:rsid w:val="00CF2AA1"/>
    <w:rsid w:val="00D14C96"/>
    <w:rsid w:val="00D15AD4"/>
    <w:rsid w:val="00D22B2E"/>
    <w:rsid w:val="00D33BB5"/>
    <w:rsid w:val="00D372B1"/>
    <w:rsid w:val="00D377C4"/>
    <w:rsid w:val="00D62E6A"/>
    <w:rsid w:val="00D70AE1"/>
    <w:rsid w:val="00D82D2E"/>
    <w:rsid w:val="00D82D5B"/>
    <w:rsid w:val="00DB3C8C"/>
    <w:rsid w:val="00DC70DB"/>
    <w:rsid w:val="00DF6EC1"/>
    <w:rsid w:val="00E0387A"/>
    <w:rsid w:val="00E14328"/>
    <w:rsid w:val="00E23D37"/>
    <w:rsid w:val="00E53FC0"/>
    <w:rsid w:val="00E74D19"/>
    <w:rsid w:val="00E8227D"/>
    <w:rsid w:val="00E95B18"/>
    <w:rsid w:val="00EA76A7"/>
    <w:rsid w:val="00EB5EE8"/>
    <w:rsid w:val="00EC0088"/>
    <w:rsid w:val="00ED5CE1"/>
    <w:rsid w:val="00EE2815"/>
    <w:rsid w:val="00F2017B"/>
    <w:rsid w:val="00F3684F"/>
    <w:rsid w:val="00F72B1C"/>
    <w:rsid w:val="00FA0481"/>
    <w:rsid w:val="00FC6BC0"/>
    <w:rsid w:val="00FE6D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EEB90A"/>
  <w15:chartTrackingRefBased/>
  <w15:docId w15:val="{41F6AF09-7666-42A0-AE7A-E687E5B7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C8C"/>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C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C8C"/>
    <w:rPr>
      <w:rFonts w:ascii="Calibri" w:eastAsia="Calibri" w:hAnsi="Calibri" w:cs="Calibri"/>
      <w:lang w:eastAsia="es-MX"/>
    </w:rPr>
  </w:style>
  <w:style w:type="paragraph" w:styleId="Piedepgina">
    <w:name w:val="footer"/>
    <w:basedOn w:val="Normal"/>
    <w:link w:val="PiedepginaCar"/>
    <w:uiPriority w:val="99"/>
    <w:unhideWhenUsed/>
    <w:rsid w:val="00DB3C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C8C"/>
    <w:rPr>
      <w:rFonts w:ascii="Calibri" w:eastAsia="Calibri" w:hAnsi="Calibri" w:cs="Calibri"/>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D6C2D"/>
    <w:pPr>
      <w:spacing w:after="200" w:line="276" w:lineRule="auto"/>
      <w:ind w:left="720"/>
      <w:contextualSpacing/>
    </w:pPr>
    <w:rPr>
      <w:rFonts w:eastAsia="Times New Roman" w:cs="Times New Roman"/>
    </w:rPr>
  </w:style>
  <w:style w:type="character" w:styleId="Hipervnculo">
    <w:name w:val="Hyperlink"/>
    <w:basedOn w:val="Fuentedeprrafopredeter"/>
    <w:uiPriority w:val="99"/>
    <w:unhideWhenUsed/>
    <w:rsid w:val="001D6C2D"/>
    <w:rPr>
      <w:color w:val="0000FF"/>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D6C2D"/>
    <w:rPr>
      <w:rFonts w:ascii="Calibri" w:eastAsia="Times New Roman" w:hAnsi="Calibri" w:cs="Times New Roman"/>
      <w:lang w:eastAsia="es-MX"/>
    </w:rPr>
  </w:style>
  <w:style w:type="paragraph" w:styleId="Listaconvietas3">
    <w:name w:val="List Bullet 3"/>
    <w:basedOn w:val="Normal"/>
    <w:uiPriority w:val="99"/>
    <w:unhideWhenUsed/>
    <w:rsid w:val="00C62FEB"/>
    <w:pPr>
      <w:numPr>
        <w:numId w:val="12"/>
      </w:numPr>
      <w:spacing w:after="0" w:line="240" w:lineRule="auto"/>
      <w:contextualSpacing/>
    </w:pPr>
    <w:rPr>
      <w:rFonts w:ascii="Times New Roman" w:eastAsia="Times New Roman" w:hAnsi="Times New Roman" w:cs="Times New Roman"/>
      <w:sz w:val="24"/>
      <w:szCs w:val="24"/>
      <w:lang w:val="es-ES"/>
    </w:rPr>
  </w:style>
  <w:style w:type="paragraph" w:styleId="NormalWeb">
    <w:name w:val="Normal (Web)"/>
    <w:basedOn w:val="Normal"/>
    <w:uiPriority w:val="99"/>
    <w:semiHidden/>
    <w:unhideWhenUsed/>
    <w:rsid w:val="00D82D5B"/>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6049BA"/>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630">
      <w:bodyDiv w:val="1"/>
      <w:marLeft w:val="0"/>
      <w:marRight w:val="0"/>
      <w:marTop w:val="0"/>
      <w:marBottom w:val="0"/>
      <w:divBdr>
        <w:top w:val="none" w:sz="0" w:space="0" w:color="auto"/>
        <w:left w:val="none" w:sz="0" w:space="0" w:color="auto"/>
        <w:bottom w:val="none" w:sz="0" w:space="0" w:color="auto"/>
        <w:right w:val="none" w:sz="0" w:space="0" w:color="auto"/>
      </w:divBdr>
    </w:div>
    <w:div w:id="195387924">
      <w:bodyDiv w:val="1"/>
      <w:marLeft w:val="0"/>
      <w:marRight w:val="0"/>
      <w:marTop w:val="0"/>
      <w:marBottom w:val="0"/>
      <w:divBdr>
        <w:top w:val="none" w:sz="0" w:space="0" w:color="auto"/>
        <w:left w:val="none" w:sz="0" w:space="0" w:color="auto"/>
        <w:bottom w:val="none" w:sz="0" w:space="0" w:color="auto"/>
        <w:right w:val="none" w:sz="0" w:space="0" w:color="auto"/>
      </w:divBdr>
    </w:div>
    <w:div w:id="286468723">
      <w:bodyDiv w:val="1"/>
      <w:marLeft w:val="0"/>
      <w:marRight w:val="0"/>
      <w:marTop w:val="0"/>
      <w:marBottom w:val="0"/>
      <w:divBdr>
        <w:top w:val="none" w:sz="0" w:space="0" w:color="auto"/>
        <w:left w:val="none" w:sz="0" w:space="0" w:color="auto"/>
        <w:bottom w:val="none" w:sz="0" w:space="0" w:color="auto"/>
        <w:right w:val="none" w:sz="0" w:space="0" w:color="auto"/>
      </w:divBdr>
    </w:div>
    <w:div w:id="328754107">
      <w:bodyDiv w:val="1"/>
      <w:marLeft w:val="0"/>
      <w:marRight w:val="0"/>
      <w:marTop w:val="0"/>
      <w:marBottom w:val="0"/>
      <w:divBdr>
        <w:top w:val="none" w:sz="0" w:space="0" w:color="auto"/>
        <w:left w:val="none" w:sz="0" w:space="0" w:color="auto"/>
        <w:bottom w:val="none" w:sz="0" w:space="0" w:color="auto"/>
        <w:right w:val="none" w:sz="0" w:space="0" w:color="auto"/>
      </w:divBdr>
    </w:div>
    <w:div w:id="329912577">
      <w:bodyDiv w:val="1"/>
      <w:marLeft w:val="0"/>
      <w:marRight w:val="0"/>
      <w:marTop w:val="0"/>
      <w:marBottom w:val="0"/>
      <w:divBdr>
        <w:top w:val="none" w:sz="0" w:space="0" w:color="auto"/>
        <w:left w:val="none" w:sz="0" w:space="0" w:color="auto"/>
        <w:bottom w:val="none" w:sz="0" w:space="0" w:color="auto"/>
        <w:right w:val="none" w:sz="0" w:space="0" w:color="auto"/>
      </w:divBdr>
    </w:div>
    <w:div w:id="400445108">
      <w:bodyDiv w:val="1"/>
      <w:marLeft w:val="0"/>
      <w:marRight w:val="0"/>
      <w:marTop w:val="0"/>
      <w:marBottom w:val="0"/>
      <w:divBdr>
        <w:top w:val="none" w:sz="0" w:space="0" w:color="auto"/>
        <w:left w:val="none" w:sz="0" w:space="0" w:color="auto"/>
        <w:bottom w:val="none" w:sz="0" w:space="0" w:color="auto"/>
        <w:right w:val="none" w:sz="0" w:space="0" w:color="auto"/>
      </w:divBdr>
    </w:div>
    <w:div w:id="797453155">
      <w:bodyDiv w:val="1"/>
      <w:marLeft w:val="0"/>
      <w:marRight w:val="0"/>
      <w:marTop w:val="0"/>
      <w:marBottom w:val="0"/>
      <w:divBdr>
        <w:top w:val="none" w:sz="0" w:space="0" w:color="auto"/>
        <w:left w:val="none" w:sz="0" w:space="0" w:color="auto"/>
        <w:bottom w:val="none" w:sz="0" w:space="0" w:color="auto"/>
        <w:right w:val="none" w:sz="0" w:space="0" w:color="auto"/>
      </w:divBdr>
    </w:div>
    <w:div w:id="951475263">
      <w:bodyDiv w:val="1"/>
      <w:marLeft w:val="0"/>
      <w:marRight w:val="0"/>
      <w:marTop w:val="0"/>
      <w:marBottom w:val="0"/>
      <w:divBdr>
        <w:top w:val="none" w:sz="0" w:space="0" w:color="auto"/>
        <w:left w:val="none" w:sz="0" w:space="0" w:color="auto"/>
        <w:bottom w:val="none" w:sz="0" w:space="0" w:color="auto"/>
        <w:right w:val="none" w:sz="0" w:space="0" w:color="auto"/>
      </w:divBdr>
    </w:div>
    <w:div w:id="974216310">
      <w:bodyDiv w:val="1"/>
      <w:marLeft w:val="0"/>
      <w:marRight w:val="0"/>
      <w:marTop w:val="0"/>
      <w:marBottom w:val="0"/>
      <w:divBdr>
        <w:top w:val="none" w:sz="0" w:space="0" w:color="auto"/>
        <w:left w:val="none" w:sz="0" w:space="0" w:color="auto"/>
        <w:bottom w:val="none" w:sz="0" w:space="0" w:color="auto"/>
        <w:right w:val="none" w:sz="0" w:space="0" w:color="auto"/>
      </w:divBdr>
    </w:div>
    <w:div w:id="1080055167">
      <w:bodyDiv w:val="1"/>
      <w:marLeft w:val="0"/>
      <w:marRight w:val="0"/>
      <w:marTop w:val="0"/>
      <w:marBottom w:val="0"/>
      <w:divBdr>
        <w:top w:val="none" w:sz="0" w:space="0" w:color="auto"/>
        <w:left w:val="none" w:sz="0" w:space="0" w:color="auto"/>
        <w:bottom w:val="none" w:sz="0" w:space="0" w:color="auto"/>
        <w:right w:val="none" w:sz="0" w:space="0" w:color="auto"/>
      </w:divBdr>
    </w:div>
    <w:div w:id="1168404425">
      <w:bodyDiv w:val="1"/>
      <w:marLeft w:val="0"/>
      <w:marRight w:val="0"/>
      <w:marTop w:val="0"/>
      <w:marBottom w:val="0"/>
      <w:divBdr>
        <w:top w:val="none" w:sz="0" w:space="0" w:color="auto"/>
        <w:left w:val="none" w:sz="0" w:space="0" w:color="auto"/>
        <w:bottom w:val="none" w:sz="0" w:space="0" w:color="auto"/>
        <w:right w:val="none" w:sz="0" w:space="0" w:color="auto"/>
      </w:divBdr>
    </w:div>
    <w:div w:id="1168598943">
      <w:bodyDiv w:val="1"/>
      <w:marLeft w:val="0"/>
      <w:marRight w:val="0"/>
      <w:marTop w:val="0"/>
      <w:marBottom w:val="0"/>
      <w:divBdr>
        <w:top w:val="none" w:sz="0" w:space="0" w:color="auto"/>
        <w:left w:val="none" w:sz="0" w:space="0" w:color="auto"/>
        <w:bottom w:val="none" w:sz="0" w:space="0" w:color="auto"/>
        <w:right w:val="none" w:sz="0" w:space="0" w:color="auto"/>
      </w:divBdr>
    </w:div>
    <w:div w:id="1373655518">
      <w:bodyDiv w:val="1"/>
      <w:marLeft w:val="0"/>
      <w:marRight w:val="0"/>
      <w:marTop w:val="0"/>
      <w:marBottom w:val="0"/>
      <w:divBdr>
        <w:top w:val="none" w:sz="0" w:space="0" w:color="auto"/>
        <w:left w:val="none" w:sz="0" w:space="0" w:color="auto"/>
        <w:bottom w:val="none" w:sz="0" w:space="0" w:color="auto"/>
        <w:right w:val="none" w:sz="0" w:space="0" w:color="auto"/>
      </w:divBdr>
    </w:div>
    <w:div w:id="1568882598">
      <w:bodyDiv w:val="1"/>
      <w:marLeft w:val="0"/>
      <w:marRight w:val="0"/>
      <w:marTop w:val="0"/>
      <w:marBottom w:val="0"/>
      <w:divBdr>
        <w:top w:val="none" w:sz="0" w:space="0" w:color="auto"/>
        <w:left w:val="none" w:sz="0" w:space="0" w:color="auto"/>
        <w:bottom w:val="none" w:sz="0" w:space="0" w:color="auto"/>
        <w:right w:val="none" w:sz="0" w:space="0" w:color="auto"/>
      </w:divBdr>
    </w:div>
    <w:div w:id="1572079421">
      <w:bodyDiv w:val="1"/>
      <w:marLeft w:val="0"/>
      <w:marRight w:val="0"/>
      <w:marTop w:val="0"/>
      <w:marBottom w:val="0"/>
      <w:divBdr>
        <w:top w:val="none" w:sz="0" w:space="0" w:color="auto"/>
        <w:left w:val="none" w:sz="0" w:space="0" w:color="auto"/>
        <w:bottom w:val="none" w:sz="0" w:space="0" w:color="auto"/>
        <w:right w:val="none" w:sz="0" w:space="0" w:color="auto"/>
      </w:divBdr>
    </w:div>
    <w:div w:id="1667896567">
      <w:bodyDiv w:val="1"/>
      <w:marLeft w:val="0"/>
      <w:marRight w:val="0"/>
      <w:marTop w:val="0"/>
      <w:marBottom w:val="0"/>
      <w:divBdr>
        <w:top w:val="none" w:sz="0" w:space="0" w:color="auto"/>
        <w:left w:val="none" w:sz="0" w:space="0" w:color="auto"/>
        <w:bottom w:val="none" w:sz="0" w:space="0" w:color="auto"/>
        <w:right w:val="none" w:sz="0" w:space="0" w:color="auto"/>
      </w:divBdr>
    </w:div>
    <w:div w:id="1681856298">
      <w:bodyDiv w:val="1"/>
      <w:marLeft w:val="0"/>
      <w:marRight w:val="0"/>
      <w:marTop w:val="0"/>
      <w:marBottom w:val="0"/>
      <w:divBdr>
        <w:top w:val="none" w:sz="0" w:space="0" w:color="auto"/>
        <w:left w:val="none" w:sz="0" w:space="0" w:color="auto"/>
        <w:bottom w:val="none" w:sz="0" w:space="0" w:color="auto"/>
        <w:right w:val="none" w:sz="0" w:space="0" w:color="auto"/>
      </w:divBdr>
    </w:div>
    <w:div w:id="1731735176">
      <w:bodyDiv w:val="1"/>
      <w:marLeft w:val="0"/>
      <w:marRight w:val="0"/>
      <w:marTop w:val="0"/>
      <w:marBottom w:val="0"/>
      <w:divBdr>
        <w:top w:val="none" w:sz="0" w:space="0" w:color="auto"/>
        <w:left w:val="none" w:sz="0" w:space="0" w:color="auto"/>
        <w:bottom w:val="none" w:sz="0" w:space="0" w:color="auto"/>
        <w:right w:val="none" w:sz="0" w:space="0" w:color="auto"/>
      </w:divBdr>
    </w:div>
    <w:div w:id="1780295338">
      <w:bodyDiv w:val="1"/>
      <w:marLeft w:val="0"/>
      <w:marRight w:val="0"/>
      <w:marTop w:val="0"/>
      <w:marBottom w:val="0"/>
      <w:divBdr>
        <w:top w:val="none" w:sz="0" w:space="0" w:color="auto"/>
        <w:left w:val="none" w:sz="0" w:space="0" w:color="auto"/>
        <w:bottom w:val="none" w:sz="0" w:space="0" w:color="auto"/>
        <w:right w:val="none" w:sz="0" w:space="0" w:color="auto"/>
      </w:divBdr>
    </w:div>
    <w:div w:id="1978992384">
      <w:bodyDiv w:val="1"/>
      <w:marLeft w:val="0"/>
      <w:marRight w:val="0"/>
      <w:marTop w:val="0"/>
      <w:marBottom w:val="0"/>
      <w:divBdr>
        <w:top w:val="none" w:sz="0" w:space="0" w:color="auto"/>
        <w:left w:val="none" w:sz="0" w:space="0" w:color="auto"/>
        <w:bottom w:val="none" w:sz="0" w:space="0" w:color="auto"/>
        <w:right w:val="none" w:sz="0" w:space="0" w:color="auto"/>
      </w:divBdr>
    </w:div>
    <w:div w:id="2053728474">
      <w:bodyDiv w:val="1"/>
      <w:marLeft w:val="0"/>
      <w:marRight w:val="0"/>
      <w:marTop w:val="0"/>
      <w:marBottom w:val="0"/>
      <w:divBdr>
        <w:top w:val="none" w:sz="0" w:space="0" w:color="auto"/>
        <w:left w:val="none" w:sz="0" w:space="0" w:color="auto"/>
        <w:bottom w:val="none" w:sz="0" w:space="0" w:color="auto"/>
        <w:right w:val="none" w:sz="0" w:space="0" w:color="auto"/>
      </w:divBdr>
    </w:div>
    <w:div w:id="21167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vt.com.mx/crean-fondo-de-retiro-para-trabajadores-universitario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8143</Words>
  <Characters>44789</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Maricela Villagómez Martínez</cp:lastModifiedBy>
  <cp:revision>2</cp:revision>
  <cp:lastPrinted>2024-12-06T19:33:00Z</cp:lastPrinted>
  <dcterms:created xsi:type="dcterms:W3CDTF">2025-01-15T18:29:00Z</dcterms:created>
  <dcterms:modified xsi:type="dcterms:W3CDTF">2025-01-15T18:29:00Z</dcterms:modified>
</cp:coreProperties>
</file>