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F009E" w:rsidRDefault="00AE3DA7" w:rsidP="00FF009E">
          <w:pPr>
            <w:pStyle w:val="TtulodeTDC"/>
            <w:spacing w:before="0" w:line="240" w:lineRule="auto"/>
            <w:rPr>
              <w:rFonts w:ascii="Palatino Linotype" w:hAnsi="Palatino Linotype"/>
              <w:color w:val="auto"/>
              <w:sz w:val="24"/>
              <w:szCs w:val="24"/>
              <w:lang w:val="es-ES"/>
            </w:rPr>
          </w:pPr>
          <w:r w:rsidRPr="00FF009E">
            <w:rPr>
              <w:rFonts w:ascii="Palatino Linotype" w:hAnsi="Palatino Linotype"/>
              <w:color w:val="auto"/>
              <w:sz w:val="24"/>
              <w:szCs w:val="24"/>
              <w:lang w:val="es-ES"/>
            </w:rPr>
            <w:t>Contenido</w:t>
          </w:r>
        </w:p>
        <w:p w14:paraId="3EB312A7" w14:textId="77777777" w:rsidR="00AA6EA9" w:rsidRPr="00FF009E" w:rsidRDefault="00AA6EA9" w:rsidP="00FF009E">
          <w:pPr>
            <w:spacing w:line="240" w:lineRule="auto"/>
            <w:rPr>
              <w:sz w:val="16"/>
              <w:szCs w:val="16"/>
              <w:lang w:val="es-ES" w:eastAsia="es-MX"/>
            </w:rPr>
          </w:pPr>
        </w:p>
        <w:p w14:paraId="68C832CC" w14:textId="77777777" w:rsidR="00FF009E" w:rsidRPr="00FF009E" w:rsidRDefault="00AE3DA7" w:rsidP="00FF009E">
          <w:pPr>
            <w:pStyle w:val="TDC1"/>
            <w:tabs>
              <w:tab w:val="right" w:leader="dot" w:pos="9034"/>
            </w:tabs>
            <w:rPr>
              <w:rFonts w:asciiTheme="minorHAnsi" w:eastAsiaTheme="minorEastAsia" w:hAnsiTheme="minorHAnsi" w:cstheme="minorBidi"/>
              <w:noProof/>
              <w:szCs w:val="22"/>
              <w:lang w:eastAsia="es-MX"/>
            </w:rPr>
          </w:pPr>
          <w:r w:rsidRPr="00FF009E">
            <w:rPr>
              <w:sz w:val="16"/>
              <w:szCs w:val="16"/>
            </w:rPr>
            <w:fldChar w:fldCharType="begin"/>
          </w:r>
          <w:r w:rsidRPr="00FF009E">
            <w:rPr>
              <w:sz w:val="16"/>
              <w:szCs w:val="16"/>
            </w:rPr>
            <w:instrText xml:space="preserve"> TOC \o "1-3" \h \z \u </w:instrText>
          </w:r>
          <w:r w:rsidRPr="00FF009E">
            <w:rPr>
              <w:sz w:val="16"/>
              <w:szCs w:val="16"/>
            </w:rPr>
            <w:fldChar w:fldCharType="separate"/>
          </w:r>
          <w:hyperlink w:anchor="_Toc181795298" w:history="1">
            <w:r w:rsidR="00FF009E" w:rsidRPr="00FF009E">
              <w:rPr>
                <w:rStyle w:val="Hipervnculo"/>
                <w:noProof/>
                <w:color w:val="auto"/>
              </w:rPr>
              <w:t>ANTECEDENTES</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_Toc181795298 \h </w:instrText>
            </w:r>
            <w:r w:rsidR="00FF009E" w:rsidRPr="00FF009E">
              <w:rPr>
                <w:noProof/>
                <w:webHidden/>
              </w:rPr>
            </w:r>
            <w:r w:rsidR="00FF009E" w:rsidRPr="00FF009E">
              <w:rPr>
                <w:noProof/>
                <w:webHidden/>
              </w:rPr>
              <w:fldChar w:fldCharType="separate"/>
            </w:r>
            <w:r w:rsidR="00D71C8B">
              <w:rPr>
                <w:noProof/>
                <w:webHidden/>
              </w:rPr>
              <w:t>1</w:t>
            </w:r>
            <w:r w:rsidR="00FF009E" w:rsidRPr="00FF009E">
              <w:rPr>
                <w:noProof/>
                <w:webHidden/>
              </w:rPr>
              <w:fldChar w:fldCharType="end"/>
            </w:r>
          </w:hyperlink>
        </w:p>
        <w:p w14:paraId="6351A562" w14:textId="77777777" w:rsidR="00FF009E" w:rsidRPr="00FF009E" w:rsidRDefault="00A06AD8" w:rsidP="00FF009E">
          <w:pPr>
            <w:pStyle w:val="TDC2"/>
            <w:rPr>
              <w:rFonts w:asciiTheme="minorHAnsi" w:eastAsiaTheme="minorEastAsia" w:hAnsiTheme="minorHAnsi" w:cstheme="minorBidi"/>
              <w:noProof/>
              <w:szCs w:val="22"/>
              <w:lang w:eastAsia="es-MX"/>
            </w:rPr>
          </w:pPr>
          <w:hyperlink w:anchor="_Toc181795299" w:history="1">
            <w:r w:rsidR="00FF009E" w:rsidRPr="00FF009E">
              <w:rPr>
                <w:rStyle w:val="Hipervnculo"/>
                <w:noProof/>
                <w:color w:val="auto"/>
              </w:rPr>
              <w:t>DE LA SOLICITUD DE INFORMACIÓN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_Toc181795299 \h </w:instrText>
            </w:r>
            <w:r w:rsidR="00FF009E" w:rsidRPr="00FF009E">
              <w:rPr>
                <w:noProof/>
                <w:webHidden/>
              </w:rPr>
            </w:r>
            <w:r w:rsidR="00FF009E" w:rsidRPr="00FF009E">
              <w:rPr>
                <w:noProof/>
                <w:webHidden/>
              </w:rPr>
              <w:fldChar w:fldCharType="separate"/>
            </w:r>
            <w:r w:rsidR="00D71C8B">
              <w:rPr>
                <w:noProof/>
                <w:webHidden/>
              </w:rPr>
              <w:t>1</w:t>
            </w:r>
            <w:r w:rsidR="00FF009E" w:rsidRPr="00FF009E">
              <w:rPr>
                <w:noProof/>
                <w:webHidden/>
              </w:rPr>
              <w:fldChar w:fldCharType="end"/>
            </w:r>
          </w:hyperlink>
        </w:p>
        <w:p w14:paraId="4E42994F"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0" w:history="1">
            <w:r w:rsidR="00FF009E" w:rsidRPr="00FF009E">
              <w:rPr>
                <w:rStyle w:val="Hipervnculo"/>
                <w:noProof/>
                <w:color w:val="auto"/>
              </w:rPr>
              <w:t>a) Solicitud de información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_Toc181795300 \h </w:instrText>
            </w:r>
            <w:r w:rsidR="00FF009E" w:rsidRPr="00FF009E">
              <w:rPr>
                <w:noProof/>
                <w:webHidden/>
              </w:rPr>
            </w:r>
            <w:r w:rsidR="00FF009E" w:rsidRPr="00FF009E">
              <w:rPr>
                <w:noProof/>
                <w:webHidden/>
              </w:rPr>
              <w:fldChar w:fldCharType="separate"/>
            </w:r>
            <w:r w:rsidR="00D71C8B">
              <w:rPr>
                <w:noProof/>
                <w:webHidden/>
              </w:rPr>
              <w:t>1</w:t>
            </w:r>
            <w:r w:rsidR="00FF009E" w:rsidRPr="00FF009E">
              <w:rPr>
                <w:noProof/>
                <w:webHidden/>
              </w:rPr>
              <w:fldChar w:fldCharType="end"/>
            </w:r>
          </w:hyperlink>
        </w:p>
        <w:p w14:paraId="6C005D70"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1" w:history="1">
            <w:r w:rsidR="00FF009E" w:rsidRPr="00FF009E">
              <w:rPr>
                <w:rStyle w:val="Hipervnculo"/>
                <w:noProof/>
                <w:color w:val="auto"/>
              </w:rPr>
              <w:t>b) Declaración de Incompetencia.</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_Toc181795301 \h </w:instrText>
            </w:r>
            <w:r w:rsidR="00FF009E" w:rsidRPr="00FF009E">
              <w:rPr>
                <w:noProof/>
                <w:webHidden/>
              </w:rPr>
            </w:r>
            <w:r w:rsidR="00FF009E" w:rsidRPr="00FF009E">
              <w:rPr>
                <w:noProof/>
                <w:webHidden/>
              </w:rPr>
              <w:fldChar w:fldCharType="separate"/>
            </w:r>
            <w:r w:rsidR="00D71C8B">
              <w:rPr>
                <w:noProof/>
                <w:webHidden/>
              </w:rPr>
              <w:t>2</w:t>
            </w:r>
            <w:r w:rsidR="00FF009E" w:rsidRPr="00FF009E">
              <w:rPr>
                <w:noProof/>
                <w:webHidden/>
              </w:rPr>
              <w:fldChar w:fldCharType="end"/>
            </w:r>
          </w:hyperlink>
        </w:p>
        <w:p w14:paraId="650D878C"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2" w:history="1">
            <w:r w:rsidR="00FF009E" w:rsidRPr="00FF009E">
              <w:rPr>
                <w:rStyle w:val="Hipervnculo"/>
                <w:noProof/>
                <w:color w:val="auto"/>
              </w:rPr>
              <w:t>c) Turno de la solicitud de información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_Toc181795302 \h </w:instrText>
            </w:r>
            <w:r w:rsidR="00FF009E" w:rsidRPr="00FF009E">
              <w:rPr>
                <w:noProof/>
                <w:webHidden/>
              </w:rPr>
            </w:r>
            <w:r w:rsidR="00FF009E" w:rsidRPr="00FF009E">
              <w:rPr>
                <w:noProof/>
                <w:webHidden/>
              </w:rPr>
              <w:fldChar w:fldCharType="separate"/>
            </w:r>
            <w:r w:rsidR="00D71C8B">
              <w:rPr>
                <w:noProof/>
                <w:webHidden/>
              </w:rPr>
              <w:t>3</w:t>
            </w:r>
            <w:r w:rsidR="00FF009E" w:rsidRPr="00FF009E">
              <w:rPr>
                <w:noProof/>
                <w:webHidden/>
              </w:rPr>
              <w:fldChar w:fldCharType="end"/>
            </w:r>
          </w:hyperlink>
        </w:p>
        <w:p w14:paraId="5315FB6C"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3" w:history="1">
            <w:r w:rsidR="00FF009E" w:rsidRPr="00FF009E">
              <w:rPr>
                <w:rStyle w:val="Hipervnculo"/>
                <w:noProof/>
                <w:color w:val="auto"/>
                <w:lang w:val="es-ES"/>
              </w:rPr>
              <w:t xml:space="preserve">d) Respuesta </w:t>
            </w:r>
            <w:r w:rsidR="00FF009E" w:rsidRPr="00FF009E">
              <w:rPr>
                <w:rStyle w:val="Hipervnculo"/>
                <w:rFonts w:eastAsia="Calibri"/>
                <w:noProof/>
                <w:color w:val="auto"/>
                <w:lang w:eastAsia="en-US"/>
              </w:rPr>
              <w:t>del Sujeto Obligado</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_Toc181795303 \h </w:instrText>
            </w:r>
            <w:r w:rsidR="00FF009E" w:rsidRPr="00FF009E">
              <w:rPr>
                <w:noProof/>
                <w:webHidden/>
              </w:rPr>
            </w:r>
            <w:r w:rsidR="00FF009E" w:rsidRPr="00FF009E">
              <w:rPr>
                <w:noProof/>
                <w:webHidden/>
              </w:rPr>
              <w:fldChar w:fldCharType="separate"/>
            </w:r>
            <w:r w:rsidR="00D71C8B">
              <w:rPr>
                <w:noProof/>
                <w:webHidden/>
              </w:rPr>
              <w:t>4</w:t>
            </w:r>
            <w:r w:rsidR="00FF009E" w:rsidRPr="00FF009E">
              <w:rPr>
                <w:noProof/>
                <w:webHidden/>
              </w:rPr>
              <w:fldChar w:fldCharType="end"/>
            </w:r>
          </w:hyperlink>
        </w:p>
        <w:p w14:paraId="0D5B37DA" w14:textId="77777777" w:rsidR="00FF009E" w:rsidRPr="00FF009E" w:rsidRDefault="00A06AD8" w:rsidP="00FF009E">
          <w:pPr>
            <w:pStyle w:val="TDC2"/>
            <w:rPr>
              <w:rFonts w:asciiTheme="minorHAnsi" w:eastAsiaTheme="minorEastAsia" w:hAnsiTheme="minorHAnsi" w:cstheme="minorBidi"/>
              <w:noProof/>
              <w:szCs w:val="22"/>
              <w:lang w:eastAsia="es-MX"/>
            </w:rPr>
          </w:pPr>
          <w:hyperlink w:anchor="_Toc181795304" w:history="1">
            <w:r w:rsidR="00FF009E" w:rsidRPr="00FF009E">
              <w:rPr>
                <w:rStyle w:val="Hipervnculo"/>
                <w:noProof/>
                <w:color w:val="auto"/>
              </w:rPr>
              <w:t>DEL RECURSO DE REVISIÓN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_Toc181795304 \h </w:instrText>
            </w:r>
            <w:r w:rsidR="00FF009E" w:rsidRPr="00FF009E">
              <w:rPr>
                <w:noProof/>
                <w:webHidden/>
              </w:rPr>
            </w:r>
            <w:r w:rsidR="00FF009E" w:rsidRPr="00FF009E">
              <w:rPr>
                <w:noProof/>
                <w:webHidden/>
              </w:rPr>
              <w:fldChar w:fldCharType="separate"/>
            </w:r>
            <w:r w:rsidR="00D71C8B">
              <w:rPr>
                <w:noProof/>
                <w:webHidden/>
              </w:rPr>
              <w:t>5</w:t>
            </w:r>
            <w:r w:rsidR="00FF009E" w:rsidRPr="00FF009E">
              <w:rPr>
                <w:noProof/>
                <w:webHidden/>
              </w:rPr>
              <w:fldChar w:fldCharType="end"/>
            </w:r>
          </w:hyperlink>
        </w:p>
        <w:p w14:paraId="7F7A62F5"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5" w:history="1">
            <w:r w:rsidR="00FF009E" w:rsidRPr="00FF009E">
              <w:rPr>
                <w:rStyle w:val="Hipervnculo"/>
                <w:noProof/>
                <w:color w:val="auto"/>
              </w:rPr>
              <w:t>a) Interposición del Recurso de Revisión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_Toc181795305 \h </w:instrText>
            </w:r>
            <w:r w:rsidR="00FF009E" w:rsidRPr="00FF009E">
              <w:rPr>
                <w:noProof/>
                <w:webHidden/>
              </w:rPr>
            </w:r>
            <w:r w:rsidR="00FF009E" w:rsidRPr="00FF009E">
              <w:rPr>
                <w:noProof/>
                <w:webHidden/>
              </w:rPr>
              <w:fldChar w:fldCharType="separate"/>
            </w:r>
            <w:r w:rsidR="00D71C8B">
              <w:rPr>
                <w:noProof/>
                <w:webHidden/>
              </w:rPr>
              <w:t>5</w:t>
            </w:r>
            <w:r w:rsidR="00FF009E" w:rsidRPr="00FF009E">
              <w:rPr>
                <w:noProof/>
                <w:webHidden/>
              </w:rPr>
              <w:fldChar w:fldCharType="end"/>
            </w:r>
          </w:hyperlink>
        </w:p>
        <w:p w14:paraId="15335D1F"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6" w:history="1">
            <w:r w:rsidR="00FF009E" w:rsidRPr="00FF009E">
              <w:rPr>
                <w:rStyle w:val="Hipervnculo"/>
                <w:noProof/>
                <w:color w:val="auto"/>
              </w:rPr>
              <w:t>b) Turno del Recurso de Revisión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_Toc181795306 \h </w:instrText>
            </w:r>
            <w:r w:rsidR="00FF009E" w:rsidRPr="00FF009E">
              <w:rPr>
                <w:noProof/>
                <w:webHidden/>
              </w:rPr>
            </w:r>
            <w:r w:rsidR="00FF009E" w:rsidRPr="00FF009E">
              <w:rPr>
                <w:noProof/>
                <w:webHidden/>
              </w:rPr>
              <w:fldChar w:fldCharType="separate"/>
            </w:r>
            <w:r w:rsidR="00D71C8B">
              <w:rPr>
                <w:noProof/>
                <w:webHidden/>
              </w:rPr>
              <w:t>6</w:t>
            </w:r>
            <w:r w:rsidR="00FF009E" w:rsidRPr="00FF009E">
              <w:rPr>
                <w:noProof/>
                <w:webHidden/>
              </w:rPr>
              <w:fldChar w:fldCharType="end"/>
            </w:r>
          </w:hyperlink>
        </w:p>
        <w:p w14:paraId="6E883B83"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7" w:history="1">
            <w:r w:rsidR="00FF009E" w:rsidRPr="00FF009E">
              <w:rPr>
                <w:rStyle w:val="Hipervnculo"/>
                <w:noProof/>
                <w:color w:val="auto"/>
              </w:rPr>
              <w:t>c) Admisión del Recurso de Revisión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_Toc181795307 \h </w:instrText>
            </w:r>
            <w:r w:rsidR="00FF009E" w:rsidRPr="00FF009E">
              <w:rPr>
                <w:noProof/>
                <w:webHidden/>
              </w:rPr>
            </w:r>
            <w:r w:rsidR="00FF009E" w:rsidRPr="00FF009E">
              <w:rPr>
                <w:noProof/>
                <w:webHidden/>
              </w:rPr>
              <w:fldChar w:fldCharType="separate"/>
            </w:r>
            <w:r w:rsidR="00D71C8B">
              <w:rPr>
                <w:noProof/>
                <w:webHidden/>
              </w:rPr>
              <w:t>6</w:t>
            </w:r>
            <w:r w:rsidR="00FF009E" w:rsidRPr="00FF009E">
              <w:rPr>
                <w:noProof/>
                <w:webHidden/>
              </w:rPr>
              <w:fldChar w:fldCharType="end"/>
            </w:r>
          </w:hyperlink>
        </w:p>
        <w:p w14:paraId="7B5FF4D7"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8" w:history="1">
            <w:r w:rsidR="00FF009E" w:rsidRPr="00FF009E">
              <w:rPr>
                <w:rStyle w:val="Hipervnculo"/>
                <w:noProof/>
                <w:color w:val="auto"/>
              </w:rPr>
              <w:t>d) Informe Justificado del Sujeto Obligado</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_Toc181795308 \h </w:instrText>
            </w:r>
            <w:r w:rsidR="00FF009E" w:rsidRPr="00FF009E">
              <w:rPr>
                <w:noProof/>
                <w:webHidden/>
              </w:rPr>
            </w:r>
            <w:r w:rsidR="00FF009E" w:rsidRPr="00FF009E">
              <w:rPr>
                <w:noProof/>
                <w:webHidden/>
              </w:rPr>
              <w:fldChar w:fldCharType="separate"/>
            </w:r>
            <w:r w:rsidR="00D71C8B">
              <w:rPr>
                <w:noProof/>
                <w:webHidden/>
              </w:rPr>
              <w:t>6</w:t>
            </w:r>
            <w:r w:rsidR="00FF009E" w:rsidRPr="00FF009E">
              <w:rPr>
                <w:noProof/>
                <w:webHidden/>
              </w:rPr>
              <w:fldChar w:fldCharType="end"/>
            </w:r>
          </w:hyperlink>
        </w:p>
        <w:p w14:paraId="2B40DDCF"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09" w:history="1">
            <w:r w:rsidR="00FF009E" w:rsidRPr="00FF009E">
              <w:rPr>
                <w:rStyle w:val="Hipervnculo"/>
                <w:rFonts w:eastAsia="Calibri"/>
                <w:bCs/>
                <w:noProof/>
                <w:color w:val="auto"/>
                <w:lang w:eastAsia="en-US"/>
              </w:rPr>
              <w:t>e)</w:t>
            </w:r>
            <w:r w:rsidR="00FF009E" w:rsidRPr="00FF009E">
              <w:rPr>
                <w:rStyle w:val="Hipervnculo"/>
                <w:noProof/>
                <w:color w:val="auto"/>
              </w:rPr>
              <w:t xml:space="preserve"> </w:t>
            </w:r>
            <w:r w:rsidR="00FF009E" w:rsidRPr="00FF009E">
              <w:rPr>
                <w:rStyle w:val="Hipervnculo"/>
                <w:noProof/>
                <w:color w:val="auto"/>
                <w:lang w:val="es-ES"/>
              </w:rPr>
              <w:t>Manifestaciones de la Parte Recurrente</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_Toc181795309 \h </w:instrText>
            </w:r>
            <w:r w:rsidR="00FF009E" w:rsidRPr="00FF009E">
              <w:rPr>
                <w:noProof/>
                <w:webHidden/>
              </w:rPr>
            </w:r>
            <w:r w:rsidR="00FF009E" w:rsidRPr="00FF009E">
              <w:rPr>
                <w:noProof/>
                <w:webHidden/>
              </w:rPr>
              <w:fldChar w:fldCharType="separate"/>
            </w:r>
            <w:r w:rsidR="00D71C8B">
              <w:rPr>
                <w:noProof/>
                <w:webHidden/>
              </w:rPr>
              <w:t>7</w:t>
            </w:r>
            <w:r w:rsidR="00FF009E" w:rsidRPr="00FF009E">
              <w:rPr>
                <w:noProof/>
                <w:webHidden/>
              </w:rPr>
              <w:fldChar w:fldCharType="end"/>
            </w:r>
          </w:hyperlink>
        </w:p>
        <w:p w14:paraId="728A11DB"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10" w:history="1">
            <w:r w:rsidR="00FF009E" w:rsidRPr="00FF009E">
              <w:rPr>
                <w:rStyle w:val="Hipervnculo"/>
                <w:noProof/>
                <w:color w:val="auto"/>
              </w:rPr>
              <w:t>f) Cierre de instrucción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_Toc181795310 \h </w:instrText>
            </w:r>
            <w:r w:rsidR="00FF009E" w:rsidRPr="00FF009E">
              <w:rPr>
                <w:noProof/>
                <w:webHidden/>
              </w:rPr>
            </w:r>
            <w:r w:rsidR="00FF009E" w:rsidRPr="00FF009E">
              <w:rPr>
                <w:noProof/>
                <w:webHidden/>
              </w:rPr>
              <w:fldChar w:fldCharType="separate"/>
            </w:r>
            <w:r w:rsidR="00D71C8B">
              <w:rPr>
                <w:noProof/>
                <w:webHidden/>
              </w:rPr>
              <w:t>7</w:t>
            </w:r>
            <w:r w:rsidR="00FF009E" w:rsidRPr="00FF009E">
              <w:rPr>
                <w:noProof/>
                <w:webHidden/>
              </w:rPr>
              <w:fldChar w:fldCharType="end"/>
            </w:r>
          </w:hyperlink>
        </w:p>
        <w:p w14:paraId="35DBFF96" w14:textId="77777777" w:rsidR="00FF009E" w:rsidRPr="00FF009E" w:rsidRDefault="00A06AD8" w:rsidP="00FF009E">
          <w:pPr>
            <w:pStyle w:val="TDC1"/>
            <w:tabs>
              <w:tab w:val="right" w:leader="dot" w:pos="9034"/>
            </w:tabs>
            <w:rPr>
              <w:rFonts w:asciiTheme="minorHAnsi" w:eastAsiaTheme="minorEastAsia" w:hAnsiTheme="minorHAnsi" w:cstheme="minorBidi"/>
              <w:noProof/>
              <w:szCs w:val="22"/>
              <w:lang w:eastAsia="es-MX"/>
            </w:rPr>
          </w:pPr>
          <w:hyperlink w:anchor="_Toc181795311" w:history="1">
            <w:r w:rsidR="00FF009E" w:rsidRPr="00FF009E">
              <w:rPr>
                <w:rStyle w:val="Hipervnculo"/>
                <w:rFonts w:eastAsiaTheme="minorHAnsi"/>
                <w:noProof/>
                <w:color w:val="auto"/>
                <w:lang w:eastAsia="en-US"/>
              </w:rPr>
              <w:t>CONSIDERANDOS</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_Toc181795311 \h </w:instrText>
            </w:r>
            <w:r w:rsidR="00FF009E" w:rsidRPr="00FF009E">
              <w:rPr>
                <w:noProof/>
                <w:webHidden/>
              </w:rPr>
            </w:r>
            <w:r w:rsidR="00FF009E" w:rsidRPr="00FF009E">
              <w:rPr>
                <w:noProof/>
                <w:webHidden/>
              </w:rPr>
              <w:fldChar w:fldCharType="separate"/>
            </w:r>
            <w:r w:rsidR="00D71C8B">
              <w:rPr>
                <w:noProof/>
                <w:webHidden/>
              </w:rPr>
              <w:t>7</w:t>
            </w:r>
            <w:r w:rsidR="00FF009E" w:rsidRPr="00FF009E">
              <w:rPr>
                <w:noProof/>
                <w:webHidden/>
              </w:rPr>
              <w:fldChar w:fldCharType="end"/>
            </w:r>
          </w:hyperlink>
        </w:p>
        <w:p w14:paraId="53E8EF3D" w14:textId="77777777" w:rsidR="00FF009E" w:rsidRPr="00FF009E" w:rsidRDefault="00A06AD8" w:rsidP="00FF009E">
          <w:pPr>
            <w:pStyle w:val="TDC2"/>
            <w:rPr>
              <w:rFonts w:asciiTheme="minorHAnsi" w:eastAsiaTheme="minorEastAsia" w:hAnsiTheme="minorHAnsi" w:cstheme="minorBidi"/>
              <w:noProof/>
              <w:szCs w:val="22"/>
              <w:lang w:eastAsia="es-MX"/>
            </w:rPr>
          </w:pPr>
          <w:hyperlink w:anchor="_Toc181795312" w:history="1">
            <w:r w:rsidR="00FF009E" w:rsidRPr="00FF009E">
              <w:rPr>
                <w:rStyle w:val="Hipervnculo"/>
                <w:rFonts w:eastAsia="Batang"/>
                <w:noProof/>
                <w:color w:val="auto"/>
              </w:rPr>
              <w:t>PRIMERO. Procedibilidad</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_Toc181795312 \h </w:instrText>
            </w:r>
            <w:r w:rsidR="00FF009E" w:rsidRPr="00FF009E">
              <w:rPr>
                <w:noProof/>
                <w:webHidden/>
              </w:rPr>
            </w:r>
            <w:r w:rsidR="00FF009E" w:rsidRPr="00FF009E">
              <w:rPr>
                <w:noProof/>
                <w:webHidden/>
              </w:rPr>
              <w:fldChar w:fldCharType="separate"/>
            </w:r>
            <w:r w:rsidR="00D71C8B">
              <w:rPr>
                <w:noProof/>
                <w:webHidden/>
              </w:rPr>
              <w:t>7</w:t>
            </w:r>
            <w:r w:rsidR="00FF009E" w:rsidRPr="00FF009E">
              <w:rPr>
                <w:noProof/>
                <w:webHidden/>
              </w:rPr>
              <w:fldChar w:fldCharType="end"/>
            </w:r>
          </w:hyperlink>
        </w:p>
        <w:p w14:paraId="2A2ED785"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13" w:history="1">
            <w:r w:rsidR="00FF009E" w:rsidRPr="00FF009E">
              <w:rPr>
                <w:rStyle w:val="Hipervnculo"/>
                <w:noProof/>
                <w:color w:val="auto"/>
              </w:rPr>
              <w:t>a) Competencia del Instituto</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_Toc181795313 \h </w:instrText>
            </w:r>
            <w:r w:rsidR="00FF009E" w:rsidRPr="00FF009E">
              <w:rPr>
                <w:noProof/>
                <w:webHidden/>
              </w:rPr>
            </w:r>
            <w:r w:rsidR="00FF009E" w:rsidRPr="00FF009E">
              <w:rPr>
                <w:noProof/>
                <w:webHidden/>
              </w:rPr>
              <w:fldChar w:fldCharType="separate"/>
            </w:r>
            <w:r w:rsidR="00D71C8B">
              <w:rPr>
                <w:noProof/>
                <w:webHidden/>
              </w:rPr>
              <w:t>7</w:t>
            </w:r>
            <w:r w:rsidR="00FF009E" w:rsidRPr="00FF009E">
              <w:rPr>
                <w:noProof/>
                <w:webHidden/>
              </w:rPr>
              <w:fldChar w:fldCharType="end"/>
            </w:r>
          </w:hyperlink>
        </w:p>
        <w:p w14:paraId="620ED36B"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14" w:history="1">
            <w:r w:rsidR="00FF009E" w:rsidRPr="00FF009E">
              <w:rPr>
                <w:rStyle w:val="Hipervnculo"/>
                <w:noProof/>
                <w:color w:val="auto"/>
              </w:rPr>
              <w:t>b) Legitimidad de la parte recurrente</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_Toc181795314 \h </w:instrText>
            </w:r>
            <w:r w:rsidR="00FF009E" w:rsidRPr="00FF009E">
              <w:rPr>
                <w:noProof/>
                <w:webHidden/>
              </w:rPr>
            </w:r>
            <w:r w:rsidR="00FF009E" w:rsidRPr="00FF009E">
              <w:rPr>
                <w:noProof/>
                <w:webHidden/>
              </w:rPr>
              <w:fldChar w:fldCharType="separate"/>
            </w:r>
            <w:r w:rsidR="00D71C8B">
              <w:rPr>
                <w:noProof/>
                <w:webHidden/>
              </w:rPr>
              <w:t>8</w:t>
            </w:r>
            <w:r w:rsidR="00FF009E" w:rsidRPr="00FF009E">
              <w:rPr>
                <w:noProof/>
                <w:webHidden/>
              </w:rPr>
              <w:fldChar w:fldCharType="end"/>
            </w:r>
          </w:hyperlink>
        </w:p>
        <w:p w14:paraId="6DD1A25C"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15" w:history="1">
            <w:r w:rsidR="00FF009E" w:rsidRPr="00FF009E">
              <w:rPr>
                <w:rStyle w:val="Hipervnculo"/>
                <w:rFonts w:eastAsia="Calibri"/>
                <w:noProof/>
                <w:color w:val="auto"/>
                <w:lang w:eastAsia="es-ES_tradnl"/>
              </w:rPr>
              <w:t>c) Plazo para interponer el recurso</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_Toc181795315 \h </w:instrText>
            </w:r>
            <w:r w:rsidR="00FF009E" w:rsidRPr="00FF009E">
              <w:rPr>
                <w:noProof/>
                <w:webHidden/>
              </w:rPr>
            </w:r>
            <w:r w:rsidR="00FF009E" w:rsidRPr="00FF009E">
              <w:rPr>
                <w:noProof/>
                <w:webHidden/>
              </w:rPr>
              <w:fldChar w:fldCharType="separate"/>
            </w:r>
            <w:r w:rsidR="00D71C8B">
              <w:rPr>
                <w:noProof/>
                <w:webHidden/>
              </w:rPr>
              <w:t>8</w:t>
            </w:r>
            <w:r w:rsidR="00FF009E" w:rsidRPr="00FF009E">
              <w:rPr>
                <w:noProof/>
                <w:webHidden/>
              </w:rPr>
              <w:fldChar w:fldCharType="end"/>
            </w:r>
          </w:hyperlink>
        </w:p>
        <w:p w14:paraId="1E4E923E"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16" w:history="1">
            <w:r w:rsidR="00FF009E" w:rsidRPr="00FF009E">
              <w:rPr>
                <w:rStyle w:val="Hipervnculo"/>
                <w:rFonts w:eastAsia="Calibri"/>
                <w:noProof/>
                <w:color w:val="auto"/>
                <w:lang w:eastAsia="es-ES_tradnl"/>
              </w:rPr>
              <w:t>d) Causal de procedencia.</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_Toc181795316 \h </w:instrText>
            </w:r>
            <w:r w:rsidR="00FF009E" w:rsidRPr="00FF009E">
              <w:rPr>
                <w:noProof/>
                <w:webHidden/>
              </w:rPr>
            </w:r>
            <w:r w:rsidR="00FF009E" w:rsidRPr="00FF009E">
              <w:rPr>
                <w:noProof/>
                <w:webHidden/>
              </w:rPr>
              <w:fldChar w:fldCharType="separate"/>
            </w:r>
            <w:r w:rsidR="00D71C8B">
              <w:rPr>
                <w:noProof/>
                <w:webHidden/>
              </w:rPr>
              <w:t>8</w:t>
            </w:r>
            <w:r w:rsidR="00FF009E" w:rsidRPr="00FF009E">
              <w:rPr>
                <w:noProof/>
                <w:webHidden/>
              </w:rPr>
              <w:fldChar w:fldCharType="end"/>
            </w:r>
          </w:hyperlink>
        </w:p>
        <w:p w14:paraId="474D20E0"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17" w:history="1">
            <w:r w:rsidR="00FF009E" w:rsidRPr="00FF009E">
              <w:rPr>
                <w:rStyle w:val="Hipervnculo"/>
                <w:noProof/>
                <w:color w:val="auto"/>
              </w:rPr>
              <w:t>e) Requisitos formales para la interposición del recurso</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_Toc181795317 \h </w:instrText>
            </w:r>
            <w:r w:rsidR="00FF009E" w:rsidRPr="00FF009E">
              <w:rPr>
                <w:noProof/>
                <w:webHidden/>
              </w:rPr>
            </w:r>
            <w:r w:rsidR="00FF009E" w:rsidRPr="00FF009E">
              <w:rPr>
                <w:noProof/>
                <w:webHidden/>
              </w:rPr>
              <w:fldChar w:fldCharType="separate"/>
            </w:r>
            <w:r w:rsidR="00D71C8B">
              <w:rPr>
                <w:noProof/>
                <w:webHidden/>
              </w:rPr>
              <w:t>8</w:t>
            </w:r>
            <w:r w:rsidR="00FF009E" w:rsidRPr="00FF009E">
              <w:rPr>
                <w:noProof/>
                <w:webHidden/>
              </w:rPr>
              <w:fldChar w:fldCharType="end"/>
            </w:r>
          </w:hyperlink>
        </w:p>
        <w:p w14:paraId="74F30EBC" w14:textId="77777777" w:rsidR="00FF009E" w:rsidRPr="00FF009E" w:rsidRDefault="00A06AD8" w:rsidP="00FF009E">
          <w:pPr>
            <w:pStyle w:val="TDC2"/>
            <w:rPr>
              <w:rFonts w:asciiTheme="minorHAnsi" w:eastAsiaTheme="minorEastAsia" w:hAnsiTheme="minorHAnsi" w:cstheme="minorBidi"/>
              <w:noProof/>
              <w:szCs w:val="22"/>
              <w:lang w:eastAsia="es-MX"/>
            </w:rPr>
          </w:pPr>
          <w:hyperlink w:anchor="_Toc181795318" w:history="1">
            <w:r w:rsidR="00FF009E" w:rsidRPr="00FF009E">
              <w:rPr>
                <w:rStyle w:val="Hipervnculo"/>
                <w:noProof/>
                <w:color w:val="auto"/>
              </w:rPr>
              <w:t>SEGUNDO. Estudio de Fondo</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_Toc181795318 \h </w:instrText>
            </w:r>
            <w:r w:rsidR="00FF009E" w:rsidRPr="00FF009E">
              <w:rPr>
                <w:noProof/>
                <w:webHidden/>
              </w:rPr>
            </w:r>
            <w:r w:rsidR="00FF009E" w:rsidRPr="00FF009E">
              <w:rPr>
                <w:noProof/>
                <w:webHidden/>
              </w:rPr>
              <w:fldChar w:fldCharType="separate"/>
            </w:r>
            <w:r w:rsidR="00D71C8B">
              <w:rPr>
                <w:noProof/>
                <w:webHidden/>
              </w:rPr>
              <w:t>9</w:t>
            </w:r>
            <w:r w:rsidR="00FF009E" w:rsidRPr="00FF009E">
              <w:rPr>
                <w:noProof/>
                <w:webHidden/>
              </w:rPr>
              <w:fldChar w:fldCharType="end"/>
            </w:r>
          </w:hyperlink>
        </w:p>
        <w:p w14:paraId="2B892893"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19" w:history="1">
            <w:r w:rsidR="00FF009E" w:rsidRPr="00FF009E">
              <w:rPr>
                <w:rStyle w:val="Hipervnculo"/>
                <w:noProof/>
                <w:color w:val="auto"/>
              </w:rPr>
              <w:t>a) Mandato de transparencia y responsabilidad del Sujeto Obligado</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_Toc181795319 \h </w:instrText>
            </w:r>
            <w:r w:rsidR="00FF009E" w:rsidRPr="00FF009E">
              <w:rPr>
                <w:noProof/>
                <w:webHidden/>
              </w:rPr>
            </w:r>
            <w:r w:rsidR="00FF009E" w:rsidRPr="00FF009E">
              <w:rPr>
                <w:noProof/>
                <w:webHidden/>
              </w:rPr>
              <w:fldChar w:fldCharType="separate"/>
            </w:r>
            <w:r w:rsidR="00D71C8B">
              <w:rPr>
                <w:noProof/>
                <w:webHidden/>
              </w:rPr>
              <w:t>9</w:t>
            </w:r>
            <w:r w:rsidR="00FF009E" w:rsidRPr="00FF009E">
              <w:rPr>
                <w:noProof/>
                <w:webHidden/>
              </w:rPr>
              <w:fldChar w:fldCharType="end"/>
            </w:r>
          </w:hyperlink>
        </w:p>
        <w:p w14:paraId="47E666FE"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20" w:history="1">
            <w:r w:rsidR="00FF009E" w:rsidRPr="00FF009E">
              <w:rPr>
                <w:rStyle w:val="Hipervnculo"/>
                <w:rFonts w:eastAsia="Calibri"/>
                <w:noProof/>
                <w:color w:val="auto"/>
                <w:lang w:eastAsia="es-ES_tradnl"/>
              </w:rPr>
              <w:t>b) Controversia a resolver</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_Toc181795320 \h </w:instrText>
            </w:r>
            <w:r w:rsidR="00FF009E" w:rsidRPr="00FF009E">
              <w:rPr>
                <w:noProof/>
                <w:webHidden/>
              </w:rPr>
            </w:r>
            <w:r w:rsidR="00FF009E" w:rsidRPr="00FF009E">
              <w:rPr>
                <w:noProof/>
                <w:webHidden/>
              </w:rPr>
              <w:fldChar w:fldCharType="separate"/>
            </w:r>
            <w:r w:rsidR="00D71C8B">
              <w:rPr>
                <w:noProof/>
                <w:webHidden/>
              </w:rPr>
              <w:t>12</w:t>
            </w:r>
            <w:r w:rsidR="00FF009E" w:rsidRPr="00FF009E">
              <w:rPr>
                <w:noProof/>
                <w:webHidden/>
              </w:rPr>
              <w:fldChar w:fldCharType="end"/>
            </w:r>
          </w:hyperlink>
        </w:p>
        <w:p w14:paraId="6D0A0513"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21" w:history="1">
            <w:r w:rsidR="00FF009E" w:rsidRPr="00FF009E">
              <w:rPr>
                <w:rStyle w:val="Hipervnculo"/>
                <w:noProof/>
                <w:color w:val="auto"/>
              </w:rPr>
              <w:t>c) Estudio de la controversia</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_Toc181795321 \h </w:instrText>
            </w:r>
            <w:r w:rsidR="00FF009E" w:rsidRPr="00FF009E">
              <w:rPr>
                <w:noProof/>
                <w:webHidden/>
              </w:rPr>
            </w:r>
            <w:r w:rsidR="00FF009E" w:rsidRPr="00FF009E">
              <w:rPr>
                <w:noProof/>
                <w:webHidden/>
              </w:rPr>
              <w:fldChar w:fldCharType="separate"/>
            </w:r>
            <w:r w:rsidR="00D71C8B">
              <w:rPr>
                <w:noProof/>
                <w:webHidden/>
              </w:rPr>
              <w:t>13</w:t>
            </w:r>
            <w:r w:rsidR="00FF009E" w:rsidRPr="00FF009E">
              <w:rPr>
                <w:noProof/>
                <w:webHidden/>
              </w:rPr>
              <w:fldChar w:fldCharType="end"/>
            </w:r>
          </w:hyperlink>
        </w:p>
        <w:p w14:paraId="34718BD6"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22" w:history="1">
            <w:r w:rsidR="00FF009E" w:rsidRPr="00FF009E">
              <w:rPr>
                <w:rStyle w:val="Hipervnculo"/>
                <w:noProof/>
                <w:color w:val="auto"/>
              </w:rPr>
              <w:t>d) Versión pública</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_Toc181795322 \h </w:instrText>
            </w:r>
            <w:r w:rsidR="00FF009E" w:rsidRPr="00FF009E">
              <w:rPr>
                <w:noProof/>
                <w:webHidden/>
              </w:rPr>
            </w:r>
            <w:r w:rsidR="00FF009E" w:rsidRPr="00FF009E">
              <w:rPr>
                <w:noProof/>
                <w:webHidden/>
              </w:rPr>
              <w:fldChar w:fldCharType="separate"/>
            </w:r>
            <w:r w:rsidR="00D71C8B">
              <w:rPr>
                <w:noProof/>
                <w:webHidden/>
              </w:rPr>
              <w:t>25</w:t>
            </w:r>
            <w:r w:rsidR="00FF009E" w:rsidRPr="00FF009E">
              <w:rPr>
                <w:noProof/>
                <w:webHidden/>
              </w:rPr>
              <w:fldChar w:fldCharType="end"/>
            </w:r>
          </w:hyperlink>
        </w:p>
        <w:p w14:paraId="030E53CF" w14:textId="77777777" w:rsidR="00FF009E" w:rsidRPr="00FF009E" w:rsidRDefault="00A06AD8" w:rsidP="00FF009E">
          <w:pPr>
            <w:pStyle w:val="TDC3"/>
            <w:rPr>
              <w:rFonts w:asciiTheme="minorHAnsi" w:eastAsiaTheme="minorEastAsia" w:hAnsiTheme="minorHAnsi" w:cstheme="minorBidi"/>
              <w:noProof/>
              <w:szCs w:val="22"/>
              <w:lang w:eastAsia="es-MX"/>
            </w:rPr>
          </w:pPr>
          <w:hyperlink w:anchor="_Toc181795323" w:history="1">
            <w:r w:rsidR="00FF009E" w:rsidRPr="00FF009E">
              <w:rPr>
                <w:rStyle w:val="Hipervnculo"/>
                <w:noProof/>
                <w:color w:val="auto"/>
              </w:rPr>
              <w:t>e) Conclusión</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_Toc181795323 \h </w:instrText>
            </w:r>
            <w:r w:rsidR="00FF009E" w:rsidRPr="00FF009E">
              <w:rPr>
                <w:noProof/>
                <w:webHidden/>
              </w:rPr>
            </w:r>
            <w:r w:rsidR="00FF009E" w:rsidRPr="00FF009E">
              <w:rPr>
                <w:noProof/>
                <w:webHidden/>
              </w:rPr>
              <w:fldChar w:fldCharType="separate"/>
            </w:r>
            <w:r w:rsidR="00D71C8B">
              <w:rPr>
                <w:noProof/>
                <w:webHidden/>
              </w:rPr>
              <w:t>36</w:t>
            </w:r>
            <w:r w:rsidR="00FF009E" w:rsidRPr="00FF009E">
              <w:rPr>
                <w:noProof/>
                <w:webHidden/>
              </w:rPr>
              <w:fldChar w:fldCharType="end"/>
            </w:r>
          </w:hyperlink>
        </w:p>
        <w:p w14:paraId="57B1CF1D" w14:textId="77777777" w:rsidR="00FF009E" w:rsidRPr="00FF009E" w:rsidRDefault="00A06AD8" w:rsidP="00FF009E">
          <w:pPr>
            <w:pStyle w:val="TDC1"/>
            <w:tabs>
              <w:tab w:val="right" w:leader="dot" w:pos="9034"/>
            </w:tabs>
            <w:rPr>
              <w:rFonts w:asciiTheme="minorHAnsi" w:eastAsiaTheme="minorEastAsia" w:hAnsiTheme="minorHAnsi" w:cstheme="minorBidi"/>
              <w:noProof/>
              <w:szCs w:val="22"/>
              <w:lang w:eastAsia="es-MX"/>
            </w:rPr>
          </w:pPr>
          <w:hyperlink w:anchor="_Toc181795324" w:history="1">
            <w:r w:rsidR="00FF009E" w:rsidRPr="00FF009E">
              <w:rPr>
                <w:rStyle w:val="Hipervnculo"/>
                <w:noProof/>
                <w:color w:val="auto"/>
              </w:rPr>
              <w:t>RESUELVE</w:t>
            </w:r>
            <w:r w:rsidR="00FF009E" w:rsidRPr="00FF009E">
              <w:rPr>
                <w:noProof/>
                <w:webHidden/>
              </w:rPr>
              <w:tab/>
            </w:r>
            <w:r w:rsidR="00FF009E" w:rsidRPr="00FF009E">
              <w:rPr>
                <w:noProof/>
                <w:webHidden/>
              </w:rPr>
              <w:fldChar w:fldCharType="begin"/>
            </w:r>
            <w:r w:rsidR="00FF009E" w:rsidRPr="00FF009E">
              <w:rPr>
                <w:noProof/>
                <w:webHidden/>
              </w:rPr>
              <w:instrText xml:space="preserve"> PAGEREF _Toc181795324 \h </w:instrText>
            </w:r>
            <w:r w:rsidR="00FF009E" w:rsidRPr="00FF009E">
              <w:rPr>
                <w:noProof/>
                <w:webHidden/>
              </w:rPr>
            </w:r>
            <w:r w:rsidR="00FF009E" w:rsidRPr="00FF009E">
              <w:rPr>
                <w:noProof/>
                <w:webHidden/>
              </w:rPr>
              <w:fldChar w:fldCharType="separate"/>
            </w:r>
            <w:r w:rsidR="00D71C8B">
              <w:rPr>
                <w:noProof/>
                <w:webHidden/>
              </w:rPr>
              <w:t>37</w:t>
            </w:r>
            <w:r w:rsidR="00FF009E" w:rsidRPr="00FF009E">
              <w:rPr>
                <w:noProof/>
                <w:webHidden/>
              </w:rPr>
              <w:fldChar w:fldCharType="end"/>
            </w:r>
          </w:hyperlink>
        </w:p>
        <w:p w14:paraId="0C82FD7A" w14:textId="56536608" w:rsidR="009B2945" w:rsidRPr="00FF009E" w:rsidRDefault="00AE3DA7" w:rsidP="00FF009E">
          <w:pPr>
            <w:spacing w:line="240" w:lineRule="auto"/>
            <w:rPr>
              <w:b/>
              <w:bCs/>
              <w:lang w:val="es-ES"/>
            </w:rPr>
          </w:pPr>
          <w:r w:rsidRPr="00FF009E">
            <w:rPr>
              <w:b/>
              <w:bCs/>
              <w:sz w:val="16"/>
              <w:szCs w:val="16"/>
              <w:lang w:val="es-ES"/>
            </w:rPr>
            <w:fldChar w:fldCharType="end"/>
          </w:r>
        </w:p>
      </w:sdtContent>
    </w:sdt>
    <w:p w14:paraId="603A07E2" w14:textId="77777777" w:rsidR="00646436" w:rsidRPr="00FF009E" w:rsidRDefault="00646436" w:rsidP="00FF009E">
      <w:pPr>
        <w:rPr>
          <w:rFonts w:cs="Tahoma"/>
          <w:szCs w:val="22"/>
        </w:rPr>
        <w:sectPr w:rsidR="00646436" w:rsidRPr="00FF009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2F4CAEC" w:rsidR="00775BFC" w:rsidRPr="00FF009E" w:rsidRDefault="00775BFC" w:rsidP="00FF009E">
      <w:pPr>
        <w:rPr>
          <w:b/>
        </w:rPr>
      </w:pPr>
      <w:r w:rsidRPr="00FF009E">
        <w:lastRenderedPageBreak/>
        <w:t xml:space="preserve">Resolución del Pleno del Instituto de Transparencia, Acceso a la Información Pública y Protección de Datos Personales del Estado de México y Municipios, con domicilio en Metepec, Estado de México, de </w:t>
      </w:r>
      <w:r w:rsidR="00FE73A4" w:rsidRPr="00FF009E">
        <w:rPr>
          <w:b/>
        </w:rPr>
        <w:t>seis de noviembre</w:t>
      </w:r>
      <w:r w:rsidR="00E85A73" w:rsidRPr="00FF009E">
        <w:rPr>
          <w:b/>
        </w:rPr>
        <w:t xml:space="preserve"> de dos mil veinticuatro</w:t>
      </w:r>
      <w:r w:rsidR="004D2924" w:rsidRPr="00FF009E">
        <w:rPr>
          <w:b/>
        </w:rPr>
        <w:t>.</w:t>
      </w:r>
    </w:p>
    <w:p w14:paraId="0AF3AAC4" w14:textId="77777777" w:rsidR="00775BFC" w:rsidRPr="00FF009E" w:rsidRDefault="00775BFC" w:rsidP="00FF009E"/>
    <w:p w14:paraId="40EAE038" w14:textId="74AAC20B" w:rsidR="00775BFC" w:rsidRPr="00FF009E" w:rsidRDefault="00775BFC" w:rsidP="00FF009E">
      <w:r w:rsidRPr="00FF009E">
        <w:rPr>
          <w:b/>
        </w:rPr>
        <w:t xml:space="preserve">VISTO </w:t>
      </w:r>
      <w:r w:rsidRPr="00FF009E">
        <w:t xml:space="preserve">el expediente formado con motivo del Recurso de Revisión </w:t>
      </w:r>
      <w:r w:rsidR="00FE73A4" w:rsidRPr="00FF009E">
        <w:rPr>
          <w:rFonts w:eastAsia="Calibri"/>
          <w:b/>
          <w:lang w:eastAsia="en-US"/>
        </w:rPr>
        <w:t>05972/INFOEM/IP/RR/2024</w:t>
      </w:r>
      <w:r w:rsidR="00E85A73" w:rsidRPr="00FF009E">
        <w:rPr>
          <w:rFonts w:eastAsia="Calibri"/>
          <w:b/>
          <w:lang w:eastAsia="en-US"/>
        </w:rPr>
        <w:t xml:space="preserve"> </w:t>
      </w:r>
      <w:r w:rsidRPr="00FF009E">
        <w:t xml:space="preserve">interpuesto </w:t>
      </w:r>
      <w:r w:rsidR="00FE73A4" w:rsidRPr="00FF009E">
        <w:t>de manera anónima</w:t>
      </w:r>
      <w:r w:rsidRPr="00FF009E">
        <w:t xml:space="preserve">, a quien en lo subsecuente se le denominará </w:t>
      </w:r>
      <w:r w:rsidRPr="00FF009E">
        <w:rPr>
          <w:b/>
          <w:bCs/>
        </w:rPr>
        <w:t>LA PARTE RECURRENTE</w:t>
      </w:r>
      <w:r w:rsidRPr="00FF009E">
        <w:t xml:space="preserve">, en contra de la respuesta emitida por </w:t>
      </w:r>
      <w:r w:rsidR="00AA3C92" w:rsidRPr="00FF009E">
        <w:t xml:space="preserve">el </w:t>
      </w:r>
      <w:r w:rsidR="00FE73A4" w:rsidRPr="00FF009E">
        <w:rPr>
          <w:b/>
          <w:bCs/>
        </w:rPr>
        <w:t>Secretaría de la Contraloría</w:t>
      </w:r>
      <w:r w:rsidRPr="00FF009E">
        <w:t xml:space="preserve">, en adelante </w:t>
      </w:r>
      <w:r w:rsidRPr="00FF009E">
        <w:rPr>
          <w:b/>
          <w:bCs/>
        </w:rPr>
        <w:t>EL SUJETO OBLIGADO</w:t>
      </w:r>
      <w:r w:rsidRPr="00FF009E">
        <w:rPr>
          <w:rFonts w:eastAsia="Calibri"/>
          <w:lang w:eastAsia="en-US"/>
        </w:rPr>
        <w:t xml:space="preserve">, </w:t>
      </w:r>
      <w:r w:rsidRPr="00FF009E">
        <w:t>se emite la presente Resolución con base en los Antecedentes y Considerandos que se exponen a continuación:</w:t>
      </w:r>
    </w:p>
    <w:p w14:paraId="2116968C" w14:textId="77777777" w:rsidR="00775BFC" w:rsidRPr="00FF009E" w:rsidRDefault="00775BFC" w:rsidP="00FF009E"/>
    <w:p w14:paraId="5A444FB6" w14:textId="639D3567" w:rsidR="00664420" w:rsidRPr="00FF009E" w:rsidRDefault="00664420" w:rsidP="00FF009E">
      <w:pPr>
        <w:pStyle w:val="Ttulo1"/>
      </w:pPr>
      <w:bookmarkStart w:id="3" w:name="_Toc181795298"/>
      <w:r w:rsidRPr="00FF009E">
        <w:t>ANTECEDENTES</w:t>
      </w:r>
      <w:bookmarkEnd w:id="3"/>
    </w:p>
    <w:p w14:paraId="5CB5034E" w14:textId="77777777" w:rsidR="00AC2DB8" w:rsidRPr="00FF009E" w:rsidRDefault="00AC2DB8" w:rsidP="00FF009E"/>
    <w:p w14:paraId="09B2D38F" w14:textId="6E49D146" w:rsidR="00664420" w:rsidRPr="00FF009E" w:rsidRDefault="00E37A3F" w:rsidP="00FF009E">
      <w:pPr>
        <w:pStyle w:val="Ttulo2"/>
      </w:pPr>
      <w:bookmarkStart w:id="4" w:name="_Toc181795299"/>
      <w:r w:rsidRPr="00FF009E">
        <w:t>DE LA SOLICITUD DE INFORMACIÓN</w:t>
      </w:r>
      <w:bookmarkEnd w:id="4"/>
    </w:p>
    <w:p w14:paraId="2C6AD1A5" w14:textId="0405B3CD" w:rsidR="00664420" w:rsidRPr="00FF009E" w:rsidRDefault="00E37A3F" w:rsidP="00FF009E">
      <w:pPr>
        <w:pStyle w:val="Ttulo3"/>
      </w:pPr>
      <w:bookmarkStart w:id="5" w:name="_Toc181795300"/>
      <w:r w:rsidRPr="00FF009E">
        <w:t xml:space="preserve">a) </w:t>
      </w:r>
      <w:r w:rsidR="006B10B0" w:rsidRPr="00FF009E">
        <w:t>S</w:t>
      </w:r>
      <w:r w:rsidR="00664420" w:rsidRPr="00FF009E">
        <w:t xml:space="preserve">olicitud de </w:t>
      </w:r>
      <w:r w:rsidR="006B10B0" w:rsidRPr="00FF009E">
        <w:t>i</w:t>
      </w:r>
      <w:r w:rsidR="00664420" w:rsidRPr="00FF009E">
        <w:t>nformación</w:t>
      </w:r>
      <w:bookmarkEnd w:id="5"/>
    </w:p>
    <w:p w14:paraId="06DCD29D" w14:textId="004A3C80" w:rsidR="009A2D78" w:rsidRPr="00FF009E" w:rsidRDefault="006B10B0" w:rsidP="00FF009E">
      <w:pPr>
        <w:pStyle w:val="Prrafodelista"/>
        <w:tabs>
          <w:tab w:val="left" w:pos="0"/>
        </w:tabs>
        <w:ind w:left="0"/>
        <w:contextualSpacing w:val="0"/>
        <w:rPr>
          <w:rFonts w:cs="Tahoma"/>
        </w:rPr>
      </w:pPr>
      <w:r w:rsidRPr="00FF009E">
        <w:rPr>
          <w:rFonts w:cs="Tahoma"/>
        </w:rPr>
        <w:t>El</w:t>
      </w:r>
      <w:r w:rsidR="00664420" w:rsidRPr="00FF009E">
        <w:rPr>
          <w:rFonts w:cs="Tahoma"/>
        </w:rPr>
        <w:t xml:space="preserve"> </w:t>
      </w:r>
      <w:r w:rsidR="00FE73A4" w:rsidRPr="00FF009E">
        <w:rPr>
          <w:rFonts w:cs="Tahoma"/>
          <w:b/>
          <w:bCs/>
        </w:rPr>
        <w:t>treinta de agosto</w:t>
      </w:r>
      <w:r w:rsidR="00E85A73" w:rsidRPr="00FF009E">
        <w:rPr>
          <w:rFonts w:cs="Tahoma"/>
          <w:b/>
          <w:bCs/>
        </w:rPr>
        <w:t xml:space="preserve"> de dos mil veinticuatro</w:t>
      </w:r>
      <w:r w:rsidR="00664420" w:rsidRPr="00FF009E">
        <w:rPr>
          <w:rFonts w:cs="Tahoma"/>
        </w:rPr>
        <w:t xml:space="preserve">, </w:t>
      </w:r>
      <w:r w:rsidRPr="00FF009E">
        <w:rPr>
          <w:b/>
          <w:bCs/>
        </w:rPr>
        <w:t>LA PARTE RECURRENTE</w:t>
      </w:r>
      <w:r w:rsidR="00664420" w:rsidRPr="00FF009E">
        <w:rPr>
          <w:rFonts w:cs="Tahoma"/>
        </w:rPr>
        <w:t xml:space="preserve"> presentó una solicitud de acceso a la información pública </w:t>
      </w:r>
      <w:r w:rsidR="001F3515" w:rsidRPr="00FF009E">
        <w:rPr>
          <w:rFonts w:cs="Tahoma"/>
        </w:rPr>
        <w:t xml:space="preserve">ante el </w:t>
      </w:r>
      <w:r w:rsidR="001F3515" w:rsidRPr="00FF009E">
        <w:rPr>
          <w:rFonts w:cs="Tahoma"/>
          <w:b/>
          <w:bCs/>
        </w:rPr>
        <w:t>SUJETO OBLIGADO</w:t>
      </w:r>
      <w:r w:rsidR="001F3515" w:rsidRPr="00FF009E">
        <w:rPr>
          <w:rFonts w:cs="Tahoma"/>
        </w:rPr>
        <w:t xml:space="preserve">, </w:t>
      </w:r>
      <w:r w:rsidR="00E85A73" w:rsidRPr="00FF009E">
        <w:rPr>
          <w:rFonts w:cs="Tahoma"/>
        </w:rPr>
        <w:t xml:space="preserve">a través </w:t>
      </w:r>
      <w:r w:rsidRPr="00FF009E">
        <w:rPr>
          <w:rFonts w:cs="Tahoma"/>
        </w:rPr>
        <w:t>de</w:t>
      </w:r>
      <w:r w:rsidR="009565E8" w:rsidRPr="00FF009E">
        <w:rPr>
          <w:rFonts w:cs="Tahoma"/>
        </w:rPr>
        <w:t>l</w:t>
      </w:r>
      <w:r w:rsidRPr="00FF009E">
        <w:rPr>
          <w:rFonts w:cs="Tahoma"/>
        </w:rPr>
        <w:t xml:space="preserve"> Sistema de Acceso a la Información Mexiquense</w:t>
      </w:r>
      <w:r w:rsidR="009A2D78" w:rsidRPr="00FF009E">
        <w:rPr>
          <w:rFonts w:cs="Tahoma"/>
        </w:rPr>
        <w:t xml:space="preserve"> (</w:t>
      </w:r>
      <w:r w:rsidRPr="00FF009E">
        <w:rPr>
          <w:rFonts w:cs="Tahoma"/>
        </w:rPr>
        <w:t>SAIMEX</w:t>
      </w:r>
      <w:r w:rsidR="009A2D78" w:rsidRPr="00FF009E">
        <w:rPr>
          <w:rFonts w:cs="Tahoma"/>
        </w:rPr>
        <w:t>). Dicha solicitud quedó</w:t>
      </w:r>
      <w:r w:rsidRPr="00FF009E">
        <w:rPr>
          <w:rFonts w:cs="Tahoma"/>
        </w:rPr>
        <w:t xml:space="preserve"> registrada c</w:t>
      </w:r>
      <w:r w:rsidR="00664420" w:rsidRPr="00FF009E">
        <w:rPr>
          <w:rFonts w:cs="Tahoma"/>
        </w:rPr>
        <w:t>on el número de folio</w:t>
      </w:r>
      <w:r w:rsidR="00664420" w:rsidRPr="00FF009E">
        <w:rPr>
          <w:rFonts w:cs="Tahoma"/>
          <w:b/>
          <w:bCs/>
        </w:rPr>
        <w:t xml:space="preserve"> </w:t>
      </w:r>
      <w:r w:rsidR="00FE73A4" w:rsidRPr="00FF009E">
        <w:rPr>
          <w:rFonts w:cs="Tahoma"/>
          <w:b/>
          <w:bCs/>
        </w:rPr>
        <w:t>00322/SECOGEM/IP/2024</w:t>
      </w:r>
      <w:r w:rsidR="002A3601" w:rsidRPr="00FF009E">
        <w:rPr>
          <w:rFonts w:cs="Tahoma"/>
        </w:rPr>
        <w:t xml:space="preserve"> y en ella </w:t>
      </w:r>
      <w:r w:rsidR="009A2D78" w:rsidRPr="00FF009E">
        <w:rPr>
          <w:rFonts w:cs="Tahoma"/>
        </w:rPr>
        <w:t>se requirió la siguiente información:</w:t>
      </w:r>
    </w:p>
    <w:p w14:paraId="0459D6AC" w14:textId="77777777" w:rsidR="00664420" w:rsidRPr="00FF009E" w:rsidRDefault="00664420" w:rsidP="00FF009E">
      <w:pPr>
        <w:tabs>
          <w:tab w:val="left" w:pos="4667"/>
        </w:tabs>
        <w:ind w:left="567" w:right="567"/>
        <w:rPr>
          <w:rFonts w:cs="Tahoma"/>
          <w:b/>
          <w:bCs/>
        </w:rPr>
      </w:pPr>
    </w:p>
    <w:p w14:paraId="179FB369" w14:textId="32729E49" w:rsidR="00664420" w:rsidRPr="00FF009E" w:rsidRDefault="009565E8" w:rsidP="00FF009E">
      <w:pPr>
        <w:pStyle w:val="Puesto"/>
        <w:ind w:left="851" w:right="822"/>
      </w:pPr>
      <w:r w:rsidRPr="00FF009E">
        <w:t>“</w:t>
      </w:r>
      <w:r w:rsidR="00FE73A4" w:rsidRPr="00FF009E">
        <w:rPr>
          <w:szCs w:val="14"/>
        </w:rPr>
        <w:t xml:space="preserve">Órgano Interno de Control de la Comisión del Agua del Estado de México Asunto: Solicitud de Actas de Entrega y Oficios de Cambios y Nombramientos, Plantilla de Personal y Detalles de Servidores Públicos Estimados funcionarios, Por medio de la presente, solicito de manera formal y transparente el acceso a los siguientes documentos oficiales correspondientes a los últimos 6 meses en la Comisión del Agua del Estado de México: 1. Actas de Entrega y Recepción de todos los servidores Públicos de la comisión del Agua del estado de México del 16 de Septiembre del 2023 a la fecha y el de la Vocalía Ejecutiva la pido con todos sus anexos del Secretario del Agua y de la secretaria derivado de la reforma a la Ley orgánica del estado de </w:t>
      </w:r>
      <w:proofErr w:type="spellStart"/>
      <w:r w:rsidR="00FE73A4" w:rsidRPr="00FF009E">
        <w:rPr>
          <w:szCs w:val="14"/>
        </w:rPr>
        <w:t>Mexico</w:t>
      </w:r>
      <w:proofErr w:type="spellEnd"/>
      <w:r w:rsidR="00FE73A4" w:rsidRPr="00FF009E">
        <w:rPr>
          <w:szCs w:val="14"/>
        </w:rPr>
        <w:t xml:space="preserve"> : Requerimos las actas de entrega y recepción de los servidores públicos que han </w:t>
      </w:r>
      <w:r w:rsidR="00FE73A4" w:rsidRPr="00FF009E">
        <w:rPr>
          <w:szCs w:val="14"/>
        </w:rPr>
        <w:lastRenderedPageBreak/>
        <w:t>dejado o asumido cargos en la institución durante el período mencionado. Estas actas deben incluir detalles sobre los recursos asignados, responsabilidades y cualquier otro aspecto relevante. 2. Oficios de Cambios y Nombramientos: Solicitamos todos los oficios generados en relación con cambios de personal, nombramientos y designaciones. Esto incluye comunicaciones oficiales sobre nuevas designaciones, transferencias, promociones o cambios de funciones. 3. Plantilla de Personal Asignado y/o Comisionado: Requerimos un desglose completo de todo el personal asignado y/o comisionado en la Comisión del Agua. Esto debe incluir los rangos, funciones y contrataciones de cada individuo. Además, solicitamos que esta información esté disponible en formato electrónico y sea accesible al público. 4. Currículums Vitae (</w:t>
      </w:r>
      <w:proofErr w:type="spellStart"/>
      <w:r w:rsidR="00FE73A4" w:rsidRPr="00FF009E">
        <w:rPr>
          <w:szCs w:val="14"/>
        </w:rPr>
        <w:t>CVs</w:t>
      </w:r>
      <w:proofErr w:type="spellEnd"/>
      <w:r w:rsidR="00FE73A4" w:rsidRPr="00FF009E">
        <w:rPr>
          <w:szCs w:val="14"/>
        </w:rPr>
        <w:t xml:space="preserve">) y Títulos: Para garantizar la transparencia, solicitamos que se publiquen los </w:t>
      </w:r>
      <w:proofErr w:type="spellStart"/>
      <w:r w:rsidR="00FE73A4" w:rsidRPr="00FF009E">
        <w:rPr>
          <w:szCs w:val="14"/>
        </w:rPr>
        <w:t>CVs</w:t>
      </w:r>
      <w:proofErr w:type="spellEnd"/>
      <w:r w:rsidR="00FE73A4" w:rsidRPr="00FF009E">
        <w:rPr>
          <w:szCs w:val="14"/>
        </w:rPr>
        <w:t xml:space="preserve"> y títulos académicos de los servidores públicos. Esto permitirá a los ciudadanos conocer la formación y experiencia de quienes desempeñan funciones en la institución. Fundamento Legal: Nuestra solicitud se basa en el derecho de acceso a la información pública, consagrado en la legislación vigente. En particular, nos amparamos en las disposiciones aplicables en el Estado de México que garantizan la transparencia y rendición de cuentas. Plazo de Respuesta: Solicitamos que se nos proporcione la información solicitada dentro de un plazo razonable, no superior a 15 días hábiles a partir de la fecha de recepción de esta solicitud. Agradecemos su atención y compromiso con la transparencia y rendición de cuentas</w:t>
      </w:r>
      <w:r w:rsidR="00AA3C92" w:rsidRPr="00FF009E">
        <w:t>.</w:t>
      </w:r>
      <w:r w:rsidRPr="00FF009E">
        <w:t>”</w:t>
      </w:r>
    </w:p>
    <w:p w14:paraId="6E5E44DA" w14:textId="77777777" w:rsidR="00B15FAE" w:rsidRPr="00FF009E" w:rsidRDefault="00B15FAE" w:rsidP="00FF009E">
      <w:pPr>
        <w:tabs>
          <w:tab w:val="left" w:pos="4667"/>
        </w:tabs>
        <w:ind w:right="567"/>
        <w:rPr>
          <w:rFonts w:cs="Tahoma"/>
          <w:b/>
          <w:bCs/>
          <w:szCs w:val="22"/>
        </w:rPr>
      </w:pPr>
    </w:p>
    <w:p w14:paraId="0BD6321D" w14:textId="0EC6F607" w:rsidR="00664420" w:rsidRPr="00FF009E" w:rsidRDefault="009A2D78" w:rsidP="00FF009E">
      <w:pPr>
        <w:tabs>
          <w:tab w:val="left" w:pos="4667"/>
        </w:tabs>
        <w:ind w:left="567" w:right="567"/>
        <w:rPr>
          <w:rFonts w:cs="Tahoma"/>
          <w:b/>
          <w:bCs/>
          <w:szCs w:val="22"/>
        </w:rPr>
      </w:pPr>
      <w:r w:rsidRPr="00FF009E">
        <w:rPr>
          <w:rFonts w:cs="Tahoma"/>
          <w:b/>
          <w:bCs/>
          <w:szCs w:val="22"/>
        </w:rPr>
        <w:t>Modalidad de entrega</w:t>
      </w:r>
      <w:r w:rsidRPr="00FF009E">
        <w:rPr>
          <w:rFonts w:cs="Tahoma"/>
          <w:bCs/>
          <w:szCs w:val="22"/>
        </w:rPr>
        <w:t xml:space="preserve">: </w:t>
      </w:r>
      <w:r w:rsidR="004D2924" w:rsidRPr="00FF009E">
        <w:rPr>
          <w:rFonts w:cs="Tahoma"/>
          <w:bCs/>
          <w:szCs w:val="22"/>
        </w:rPr>
        <w:t xml:space="preserve">Vía </w:t>
      </w:r>
      <w:r w:rsidR="004D2924" w:rsidRPr="00FF009E">
        <w:rPr>
          <w:rFonts w:cs="Tahoma"/>
          <w:b/>
          <w:bCs/>
          <w:szCs w:val="22"/>
        </w:rPr>
        <w:t xml:space="preserve">SAIMEX. </w:t>
      </w:r>
    </w:p>
    <w:p w14:paraId="5F54AB05" w14:textId="77777777" w:rsidR="00AA3C92" w:rsidRPr="00FF009E" w:rsidRDefault="00AA3C92" w:rsidP="00FF009E">
      <w:pPr>
        <w:tabs>
          <w:tab w:val="left" w:pos="4667"/>
        </w:tabs>
        <w:ind w:left="567" w:right="567"/>
        <w:rPr>
          <w:rFonts w:cs="Tahoma"/>
          <w:b/>
          <w:bCs/>
          <w:szCs w:val="22"/>
        </w:rPr>
      </w:pPr>
    </w:p>
    <w:p w14:paraId="722F3201" w14:textId="42543EAA" w:rsidR="00FE73A4" w:rsidRPr="00FF009E" w:rsidRDefault="00FC1BA2" w:rsidP="00FF009E">
      <w:pPr>
        <w:pStyle w:val="Ttulo3"/>
      </w:pPr>
      <w:bookmarkStart w:id="6" w:name="_Toc181795301"/>
      <w:bookmarkStart w:id="7" w:name="_Toc165402856"/>
      <w:r w:rsidRPr="00FF009E">
        <w:t xml:space="preserve">b) </w:t>
      </w:r>
      <w:r w:rsidR="00FE73A4" w:rsidRPr="00FF009E">
        <w:t>Declaración de Incompetencia.</w:t>
      </w:r>
      <w:bookmarkEnd w:id="6"/>
    </w:p>
    <w:p w14:paraId="6CD29697" w14:textId="481EC3A6" w:rsidR="00FE73A4" w:rsidRPr="00FF009E" w:rsidRDefault="00FE73A4" w:rsidP="00FF009E">
      <w:r w:rsidRPr="00FF009E">
        <w:t xml:space="preserve">El </w:t>
      </w:r>
      <w:r w:rsidRPr="00FF009E">
        <w:rPr>
          <w:rFonts w:eastAsia="Palatino Linotype" w:cs="Palatino Linotype"/>
          <w:b/>
        </w:rPr>
        <w:t>tres de septiembre de dos mil veinticuatro,</w:t>
      </w:r>
      <w:r w:rsidRPr="00FF009E">
        <w:t xml:space="preserve"> el Titular de la Unidad de Transparencia del </w:t>
      </w:r>
      <w:r w:rsidRPr="00FF009E">
        <w:rPr>
          <w:b/>
        </w:rPr>
        <w:t>SUJETO OBLIGADO</w:t>
      </w:r>
      <w:r w:rsidRPr="00FF009E">
        <w:t xml:space="preserve"> notifico la declaración de incompetencia parcial para dar atención a los requerimientos inmersos en la solicitud de información, argumentando lo siguiente:</w:t>
      </w:r>
    </w:p>
    <w:p w14:paraId="5F449CD5" w14:textId="77777777" w:rsidR="00FE73A4" w:rsidRPr="00FF009E" w:rsidRDefault="00FE73A4" w:rsidP="00FF009E"/>
    <w:p w14:paraId="778C0BB7" w14:textId="3165A685" w:rsidR="00FE73A4" w:rsidRPr="00FF009E" w:rsidRDefault="00FE73A4" w:rsidP="00FF009E">
      <w:pPr>
        <w:spacing w:line="240" w:lineRule="auto"/>
        <w:ind w:left="851" w:right="822"/>
        <w:rPr>
          <w:i/>
        </w:rPr>
      </w:pPr>
      <w:r w:rsidRPr="00FF009E">
        <w:rPr>
          <w:i/>
        </w:rPr>
        <w:t xml:space="preserve">“Estimado solicitante. Espero se encuentre de maravilla, le informo que de conformidad con el artículo 167 de la Ley de Transparencia y Acceso a la Información Pública del Estado de México y Municipios, en archivos adjuntos, encontrará el acuerdo de orientación parcial y el oficio de respuesta firmado por el Encargado de </w:t>
      </w:r>
      <w:r w:rsidRPr="00FF009E">
        <w:rPr>
          <w:i/>
        </w:rPr>
        <w:lastRenderedPageBreak/>
        <w:t>Despacho de la Unidad de Prevención de la Corrupción y Responsable de la Unidad de Transparencia. ¡Que tenga una excelente tarde!</w:t>
      </w:r>
    </w:p>
    <w:p w14:paraId="52AA658A" w14:textId="77777777" w:rsidR="00FE73A4" w:rsidRPr="00FF009E" w:rsidRDefault="00FE73A4" w:rsidP="00FF009E">
      <w:pPr>
        <w:spacing w:line="240" w:lineRule="auto"/>
        <w:ind w:left="851" w:right="822"/>
        <w:rPr>
          <w:i/>
        </w:rPr>
      </w:pPr>
      <w:r w:rsidRPr="00FF009E">
        <w:rPr>
          <w:i/>
        </w:rPr>
        <w:t>ATENTAMENTE</w:t>
      </w:r>
    </w:p>
    <w:p w14:paraId="78565ADD" w14:textId="28C25E58" w:rsidR="00FE73A4" w:rsidRPr="00FF009E" w:rsidRDefault="00FE73A4" w:rsidP="00FF009E">
      <w:pPr>
        <w:spacing w:line="240" w:lineRule="auto"/>
        <w:ind w:left="851" w:right="822"/>
      </w:pPr>
      <w:r w:rsidRPr="00FF009E">
        <w:rPr>
          <w:i/>
        </w:rPr>
        <w:t>LIC. OSCAR FILIBERTO GALICIA ESTRADA”</w:t>
      </w:r>
    </w:p>
    <w:p w14:paraId="2C95C676" w14:textId="77777777" w:rsidR="00FE73A4" w:rsidRPr="00FF009E" w:rsidRDefault="00FE73A4" w:rsidP="00FF009E"/>
    <w:p w14:paraId="43AA31AF" w14:textId="30BA9F5F" w:rsidR="00FE73A4" w:rsidRPr="00FF009E" w:rsidRDefault="00FE73A4" w:rsidP="00FF009E">
      <w:r w:rsidRPr="00FF009E">
        <w:t>Asimismo dicha autoridad adjunto los siguientes archivos digitales:</w:t>
      </w:r>
    </w:p>
    <w:p w14:paraId="0280CFB0" w14:textId="77777777" w:rsidR="00FE73A4" w:rsidRPr="00FF009E" w:rsidRDefault="00FE73A4" w:rsidP="00FF009E"/>
    <w:p w14:paraId="22AC540D" w14:textId="749323EE" w:rsidR="00FE73A4" w:rsidRPr="00FF009E" w:rsidRDefault="00FE73A4" w:rsidP="00FF009E">
      <w:pPr>
        <w:pStyle w:val="Prrafodelista"/>
        <w:numPr>
          <w:ilvl w:val="0"/>
          <w:numId w:val="31"/>
        </w:numPr>
      </w:pPr>
      <w:r w:rsidRPr="00FF009E">
        <w:rPr>
          <w:b/>
        </w:rPr>
        <w:t>AO 32209-04-2024-012803.pdf</w:t>
      </w:r>
      <w:r w:rsidRPr="00FF009E">
        <w:t xml:space="preserve">: </w:t>
      </w:r>
      <w:r w:rsidR="00726286" w:rsidRPr="00FF009E">
        <w:t xml:space="preserve">Contiene un escrito signado por el Encargado de Despacho de la Unidad de Prevención de la Corrupción y Responsable de la Unidad de Transparencia en donde </w:t>
      </w:r>
      <w:r w:rsidR="00FC1BA2" w:rsidRPr="00FF009E">
        <w:t>medularmente manifiesta la incompetencia para atender los requerimientos inmersos en la solicitud de información e informa al particular el hecho de que la información solicitada puede encontrarse en poder de la Secretaría del Agua del Estado de México, asimismo en dicho escrito se informa que la solicitud de información fue turnada al servidor público habilitado competente para que dentro de sus atribuciones en lo que respecta a la Secretaría de la Contraloría realice una búsqueda exhaustiva de la información que obre en sus archivos.</w:t>
      </w:r>
    </w:p>
    <w:p w14:paraId="4BD65B4B" w14:textId="17D7FB5C" w:rsidR="00FC1BA2" w:rsidRPr="00FF009E" w:rsidRDefault="00FC1BA2" w:rsidP="00FF009E">
      <w:pPr>
        <w:pStyle w:val="Prrafodelista"/>
        <w:numPr>
          <w:ilvl w:val="0"/>
          <w:numId w:val="31"/>
        </w:numPr>
        <w:rPr>
          <w:b/>
        </w:rPr>
      </w:pPr>
      <w:r w:rsidRPr="00FF009E">
        <w:rPr>
          <w:b/>
        </w:rPr>
        <w:t xml:space="preserve">OS 32209-04-2024-012744.pdf: </w:t>
      </w:r>
      <w:r w:rsidRPr="00FF009E">
        <w:t>Contiene un escrito signado por el Encargado de Despacho de la Unidad de Prevención de la Corrupción y Responsable de la Unidad de Transparencia en donde señala que, se notifica el acuerdo de orientación parcial de fecha dos de septiembre de dos mil veinticuatro.</w:t>
      </w:r>
    </w:p>
    <w:p w14:paraId="3B1DB60A" w14:textId="77777777" w:rsidR="00FE73A4" w:rsidRPr="00FF009E" w:rsidRDefault="00FE73A4" w:rsidP="00FF009E"/>
    <w:p w14:paraId="5FAF826A" w14:textId="3188C607" w:rsidR="00AA3C92" w:rsidRPr="00FF009E" w:rsidRDefault="00FC1BA2" w:rsidP="00FF009E">
      <w:pPr>
        <w:pStyle w:val="Ttulo3"/>
      </w:pPr>
      <w:bookmarkStart w:id="8" w:name="_Toc181795302"/>
      <w:r w:rsidRPr="00FF009E">
        <w:t>c</w:t>
      </w:r>
      <w:r w:rsidR="00AA3C92" w:rsidRPr="00FF009E">
        <w:t xml:space="preserve">) </w:t>
      </w:r>
      <w:bookmarkEnd w:id="7"/>
      <w:r w:rsidR="00B70D11" w:rsidRPr="00FF009E">
        <w:t>Turno de la solicitud de información</w:t>
      </w:r>
      <w:bookmarkEnd w:id="8"/>
    </w:p>
    <w:p w14:paraId="6B2B10B8" w14:textId="0F121A35" w:rsidR="00AA3C92" w:rsidRPr="00FF009E" w:rsidRDefault="00B70D11" w:rsidP="00FF009E">
      <w:r w:rsidRPr="00FF009E">
        <w:t xml:space="preserve">En cumplimiento al artículo 162 de la Ley de Transparencia y Acceso a la Información Pública del Estado de México y Municipios, el </w:t>
      </w:r>
      <w:r w:rsidR="00FC1BA2" w:rsidRPr="00FF009E">
        <w:rPr>
          <w:rFonts w:eastAsia="Palatino Linotype" w:cs="Palatino Linotype"/>
          <w:b/>
        </w:rPr>
        <w:t>tres de septiembre</w:t>
      </w:r>
      <w:r w:rsidRPr="00FF009E">
        <w:rPr>
          <w:rFonts w:eastAsia="Palatino Linotype" w:cs="Palatino Linotype"/>
          <w:b/>
        </w:rPr>
        <w:t xml:space="preserve"> de dos mil veinticuatro,</w:t>
      </w:r>
      <w:r w:rsidRPr="00FF009E">
        <w:t xml:space="preserve"> el Titular de la Unidad de Transparencia del </w:t>
      </w:r>
      <w:r w:rsidRPr="00FF009E">
        <w:rPr>
          <w:b/>
        </w:rPr>
        <w:t>SUJETO OBLIGADO</w:t>
      </w:r>
      <w:r w:rsidRPr="00FF009E">
        <w:t xml:space="preserve"> turnó la solicitud de información a los servidores públicos habilitados que estimó pertinente.</w:t>
      </w:r>
    </w:p>
    <w:p w14:paraId="38A75220" w14:textId="77777777" w:rsidR="00AA3C92" w:rsidRPr="00FF009E" w:rsidRDefault="00AA3C92" w:rsidP="00FF009E">
      <w:pPr>
        <w:rPr>
          <w:lang w:val="es-ES"/>
        </w:rPr>
      </w:pPr>
    </w:p>
    <w:p w14:paraId="3212BA4D" w14:textId="73865964" w:rsidR="00664420" w:rsidRPr="00FF009E" w:rsidRDefault="00FC1BA2" w:rsidP="00FF009E">
      <w:pPr>
        <w:pStyle w:val="Ttulo3"/>
        <w:rPr>
          <w:rFonts w:eastAsia="Calibri"/>
          <w:lang w:eastAsia="en-US"/>
        </w:rPr>
      </w:pPr>
      <w:bookmarkStart w:id="9" w:name="_Toc181795303"/>
      <w:r w:rsidRPr="00FF009E">
        <w:rPr>
          <w:lang w:val="es-ES"/>
        </w:rPr>
        <w:lastRenderedPageBreak/>
        <w:t>d</w:t>
      </w:r>
      <w:r w:rsidR="00E37A3F" w:rsidRPr="00FF009E">
        <w:rPr>
          <w:lang w:val="es-ES"/>
        </w:rPr>
        <w:t xml:space="preserve">) </w:t>
      </w:r>
      <w:r w:rsidR="00664420" w:rsidRPr="00FF009E">
        <w:rPr>
          <w:lang w:val="es-ES"/>
        </w:rPr>
        <w:t xml:space="preserve">Respuesta </w:t>
      </w:r>
      <w:r w:rsidR="00664420" w:rsidRPr="00FF009E">
        <w:rPr>
          <w:rFonts w:eastAsia="Calibri"/>
          <w:lang w:eastAsia="en-US"/>
        </w:rPr>
        <w:t>del Sujeto Obligado</w:t>
      </w:r>
      <w:bookmarkEnd w:id="9"/>
    </w:p>
    <w:p w14:paraId="79199CC1" w14:textId="6E332DBC" w:rsidR="00664420" w:rsidRPr="00FF009E" w:rsidRDefault="00664420" w:rsidP="00FF009E">
      <w:pPr>
        <w:pStyle w:val="Sinespaciado"/>
        <w:spacing w:line="360" w:lineRule="auto"/>
        <w:rPr>
          <w:lang w:val="es-ES"/>
        </w:rPr>
      </w:pPr>
      <w:r w:rsidRPr="00FF009E">
        <w:rPr>
          <w:lang w:val="es-ES"/>
        </w:rPr>
        <w:t xml:space="preserve">El </w:t>
      </w:r>
      <w:r w:rsidR="00FC1BA2" w:rsidRPr="00FF009E">
        <w:rPr>
          <w:b/>
          <w:bCs/>
          <w:lang w:val="es-ES"/>
        </w:rPr>
        <w:t>dieciocho de septiembre</w:t>
      </w:r>
      <w:r w:rsidR="00773AD0" w:rsidRPr="00FF009E">
        <w:rPr>
          <w:b/>
          <w:bCs/>
          <w:lang w:val="es-ES"/>
        </w:rPr>
        <w:t xml:space="preserve"> de dos mil veinticuatro</w:t>
      </w:r>
      <w:r w:rsidRPr="00FF009E">
        <w:rPr>
          <w:lang w:val="es-ES"/>
        </w:rPr>
        <w:t xml:space="preserve"> </w:t>
      </w:r>
      <w:r w:rsidR="00F07EE6" w:rsidRPr="00FF009E">
        <w:rPr>
          <w:lang w:val="es-ES"/>
        </w:rPr>
        <w:t xml:space="preserve">el Titular de la Unidad de Transparencia del </w:t>
      </w:r>
      <w:r w:rsidR="00F07EE6" w:rsidRPr="00FF009E">
        <w:rPr>
          <w:b/>
          <w:lang w:val="es-ES"/>
        </w:rPr>
        <w:t>SUJETO OBLIGADO</w:t>
      </w:r>
      <w:r w:rsidR="00F07EE6" w:rsidRPr="00FF009E">
        <w:rPr>
          <w:lang w:val="es-ES"/>
        </w:rPr>
        <w:t xml:space="preserve"> notificó la siguiente respuesta a través del </w:t>
      </w:r>
      <w:r w:rsidRPr="00FF009E">
        <w:rPr>
          <w:lang w:val="es-ES"/>
        </w:rPr>
        <w:t>SAIMEX</w:t>
      </w:r>
      <w:r w:rsidR="00F07EE6" w:rsidRPr="00FF009E">
        <w:rPr>
          <w:lang w:val="es-ES"/>
        </w:rPr>
        <w:t>:</w:t>
      </w:r>
    </w:p>
    <w:p w14:paraId="669F7EFD" w14:textId="77777777" w:rsidR="00664420" w:rsidRPr="00FF009E" w:rsidRDefault="00664420" w:rsidP="00FF009E">
      <w:pPr>
        <w:tabs>
          <w:tab w:val="left" w:pos="4667"/>
        </w:tabs>
        <w:ind w:left="567" w:right="567"/>
        <w:rPr>
          <w:rFonts w:cs="Tahoma"/>
          <w:b/>
          <w:bCs/>
        </w:rPr>
      </w:pPr>
    </w:p>
    <w:p w14:paraId="2977DF0D" w14:textId="77777777" w:rsidR="00FC1BA2" w:rsidRPr="00FF009E" w:rsidRDefault="00FC1BA2" w:rsidP="00FF009E">
      <w:pPr>
        <w:pStyle w:val="Puesto"/>
      </w:pPr>
      <w:r w:rsidRPr="00FF009E">
        <w:t>Estimado solicitante. Espero se encuentre de maravilla, le informo que en archivos adjuntos encontrará el oficio del servidor público habilitado que atendió su solicitud, el anexo, el oficio firmado por el Encargado de Despacho de la Unidad de Prevención de la Corrupción; y, Responsable de la Unidad de Transparencia de la Secretaría de la Contraloría, la resolución del Comité de Transparencia de la Secretaría de la Contraloría derivada del Acuerdo ACT/SECOGEM/EXT/COMT/15ª/2024/CUARTO; y, el Acta de la Décima Quinta Sesión Extraordinaria del Comité de Transparencia de la Secretaría de la Contraloría en la que obra en Acuerdo referido. ¡Que tenga una excelente tarde!</w:t>
      </w:r>
    </w:p>
    <w:p w14:paraId="76B4C9B7" w14:textId="77777777" w:rsidR="00FC1BA2" w:rsidRPr="00FF009E" w:rsidRDefault="00FC1BA2" w:rsidP="00FF009E">
      <w:pPr>
        <w:pStyle w:val="Puesto"/>
      </w:pPr>
      <w:r w:rsidRPr="00FF009E">
        <w:t>ATENTAMENTE</w:t>
      </w:r>
    </w:p>
    <w:p w14:paraId="5D11024C" w14:textId="10AB6313" w:rsidR="00664420" w:rsidRPr="00FF009E" w:rsidRDefault="00FC1BA2" w:rsidP="00FF009E">
      <w:pPr>
        <w:pStyle w:val="Puesto"/>
      </w:pPr>
      <w:r w:rsidRPr="00FF009E">
        <w:t>LIC. OSCAR FILIBERTO GALICIA ESTRADA</w:t>
      </w:r>
    </w:p>
    <w:p w14:paraId="7FE019C6" w14:textId="77777777" w:rsidR="00475248" w:rsidRPr="00FF009E" w:rsidRDefault="00475248" w:rsidP="00FF009E">
      <w:pPr>
        <w:autoSpaceDE w:val="0"/>
        <w:autoSpaceDN w:val="0"/>
        <w:adjustRightInd w:val="0"/>
        <w:ind w:right="-28"/>
        <w:rPr>
          <w:rFonts w:cs="Tahoma"/>
          <w:bCs/>
          <w:szCs w:val="22"/>
        </w:rPr>
      </w:pPr>
    </w:p>
    <w:p w14:paraId="70920289" w14:textId="7D458795" w:rsidR="00664420" w:rsidRPr="00FF009E" w:rsidRDefault="00F07EE6" w:rsidP="00FF009E">
      <w:pPr>
        <w:autoSpaceDE w:val="0"/>
        <w:autoSpaceDN w:val="0"/>
        <w:adjustRightInd w:val="0"/>
        <w:ind w:right="-28"/>
        <w:rPr>
          <w:rFonts w:cs="Tahoma"/>
          <w:bCs/>
          <w:szCs w:val="22"/>
          <w:lang w:val="es-ES"/>
        </w:rPr>
      </w:pPr>
      <w:r w:rsidRPr="00FF009E">
        <w:rPr>
          <w:rFonts w:cs="Tahoma"/>
          <w:bCs/>
          <w:szCs w:val="22"/>
          <w:lang w:val="es-ES"/>
        </w:rPr>
        <w:t xml:space="preserve">Asimismo, </w:t>
      </w:r>
      <w:r w:rsidRPr="00FF009E">
        <w:rPr>
          <w:rFonts w:cs="Tahoma"/>
          <w:b/>
          <w:szCs w:val="22"/>
          <w:lang w:val="es-ES"/>
        </w:rPr>
        <w:t xml:space="preserve">EL SUJETO OBLIGADO </w:t>
      </w:r>
      <w:r w:rsidRPr="00FF009E">
        <w:rPr>
          <w:rFonts w:cs="Tahoma"/>
          <w:bCs/>
          <w:szCs w:val="22"/>
          <w:lang w:val="es-ES"/>
        </w:rPr>
        <w:t xml:space="preserve">adjuntó a su respuesta </w:t>
      </w:r>
      <w:r w:rsidR="00AA3C92" w:rsidRPr="00FF009E">
        <w:rPr>
          <w:rFonts w:cs="Tahoma"/>
          <w:bCs/>
          <w:szCs w:val="22"/>
          <w:lang w:val="es-ES"/>
        </w:rPr>
        <w:t>los</w:t>
      </w:r>
      <w:r w:rsidR="009565E8" w:rsidRPr="00FF009E">
        <w:rPr>
          <w:rFonts w:cs="Tahoma"/>
          <w:bCs/>
          <w:szCs w:val="22"/>
          <w:lang w:val="es-ES"/>
        </w:rPr>
        <w:t xml:space="preserve"> archivo</w:t>
      </w:r>
      <w:r w:rsidR="00AA3C92" w:rsidRPr="00FF009E">
        <w:rPr>
          <w:rFonts w:cs="Tahoma"/>
          <w:bCs/>
          <w:szCs w:val="22"/>
          <w:lang w:val="es-ES"/>
        </w:rPr>
        <w:t>s</w:t>
      </w:r>
      <w:r w:rsidR="009565E8" w:rsidRPr="00FF009E">
        <w:rPr>
          <w:rFonts w:cs="Tahoma"/>
          <w:bCs/>
          <w:szCs w:val="22"/>
          <w:lang w:val="es-ES"/>
        </w:rPr>
        <w:t xml:space="preserve"> electrónico</w:t>
      </w:r>
      <w:r w:rsidR="00AA3C92" w:rsidRPr="00FF009E">
        <w:rPr>
          <w:rFonts w:cs="Tahoma"/>
          <w:bCs/>
          <w:szCs w:val="22"/>
          <w:lang w:val="es-ES"/>
        </w:rPr>
        <w:t>s</w:t>
      </w:r>
      <w:r w:rsidRPr="00FF009E">
        <w:rPr>
          <w:rFonts w:cs="Tahoma"/>
          <w:bCs/>
          <w:szCs w:val="22"/>
          <w:lang w:val="es-ES"/>
        </w:rPr>
        <w:t xml:space="preserve"> que se describen a continuación</w:t>
      </w:r>
      <w:r w:rsidR="00664420" w:rsidRPr="00FF009E">
        <w:rPr>
          <w:rFonts w:cs="Tahoma"/>
          <w:bCs/>
          <w:szCs w:val="22"/>
          <w:lang w:val="es-ES"/>
        </w:rPr>
        <w:t>:</w:t>
      </w:r>
    </w:p>
    <w:p w14:paraId="2C78354F" w14:textId="77777777" w:rsidR="00664420" w:rsidRPr="00FF009E" w:rsidRDefault="00664420" w:rsidP="00FF009E">
      <w:pPr>
        <w:autoSpaceDE w:val="0"/>
        <w:autoSpaceDN w:val="0"/>
        <w:adjustRightInd w:val="0"/>
        <w:ind w:right="-28"/>
        <w:rPr>
          <w:rFonts w:cs="Tahoma"/>
          <w:bCs/>
          <w:szCs w:val="22"/>
          <w:lang w:val="es-ES"/>
        </w:rPr>
      </w:pPr>
    </w:p>
    <w:p w14:paraId="48EA7203" w14:textId="5FA136FE" w:rsidR="00A930A7" w:rsidRPr="00FF009E" w:rsidRDefault="00A930A7" w:rsidP="00FF009E">
      <w:pPr>
        <w:pStyle w:val="Prrafodelista"/>
        <w:numPr>
          <w:ilvl w:val="0"/>
          <w:numId w:val="16"/>
        </w:numPr>
        <w:autoSpaceDE w:val="0"/>
        <w:autoSpaceDN w:val="0"/>
        <w:adjustRightInd w:val="0"/>
        <w:ind w:right="-28"/>
        <w:rPr>
          <w:rFonts w:cs="Tahoma"/>
          <w:bCs/>
          <w:szCs w:val="22"/>
          <w:lang w:val="es-ES"/>
        </w:rPr>
      </w:pPr>
      <w:r w:rsidRPr="00FF009E">
        <w:rPr>
          <w:rFonts w:cs="Tahoma"/>
          <w:b/>
          <w:bCs/>
          <w:szCs w:val="22"/>
          <w:lang w:val="es-ES"/>
        </w:rPr>
        <w:t>OFICIO SOLICITANTE UT.pdf</w:t>
      </w:r>
      <w:r w:rsidRPr="00FF009E">
        <w:rPr>
          <w:rFonts w:cs="Tahoma"/>
          <w:bCs/>
          <w:szCs w:val="22"/>
          <w:lang w:val="es-ES"/>
        </w:rPr>
        <w:t xml:space="preserve">: Contiene el oficio de respuesta del </w:t>
      </w:r>
      <w:r w:rsidRPr="00FF009E">
        <w:t>Encargado de Despacho de la Unidad de Prevención de la Corrupción y Responsable de la Unidad de Transparencia en donde manifiesta adjuntar el acta de la décima quinta sesión extraordinaria del Comité de Transparencia de la Secretaría de la Contraloría, el oficio de respuesta del servidor público habilitado, así como la resolución que deriva del acuerdo ACT/SECOGEM/EXT/COMT/15/2024/CUARTO.</w:t>
      </w:r>
    </w:p>
    <w:p w14:paraId="57C8FA3A" w14:textId="7C58E8C8" w:rsidR="006B3969" w:rsidRPr="00FF009E" w:rsidRDefault="00043C4C" w:rsidP="00FF009E">
      <w:pPr>
        <w:pStyle w:val="Prrafodelista"/>
        <w:numPr>
          <w:ilvl w:val="0"/>
          <w:numId w:val="16"/>
        </w:numPr>
        <w:autoSpaceDE w:val="0"/>
        <w:autoSpaceDN w:val="0"/>
        <w:adjustRightInd w:val="0"/>
        <w:ind w:right="-28"/>
        <w:rPr>
          <w:rFonts w:cs="Tahoma"/>
          <w:bCs/>
          <w:szCs w:val="22"/>
          <w:lang w:val="es-ES"/>
        </w:rPr>
      </w:pPr>
      <w:r w:rsidRPr="00FF009E">
        <w:rPr>
          <w:rFonts w:cs="Tahoma"/>
          <w:b/>
          <w:bCs/>
          <w:szCs w:val="22"/>
          <w:lang w:val="es-ES"/>
        </w:rPr>
        <w:t>RESPUESTA SPH OIC.pdf</w:t>
      </w:r>
      <w:r w:rsidR="00475248" w:rsidRPr="00FF009E">
        <w:rPr>
          <w:rFonts w:cs="Tahoma"/>
          <w:b/>
          <w:bCs/>
          <w:szCs w:val="22"/>
          <w:lang w:val="es-ES"/>
        </w:rPr>
        <w:t xml:space="preserve">: </w:t>
      </w:r>
      <w:r w:rsidR="00B70D11" w:rsidRPr="00FF009E">
        <w:rPr>
          <w:rFonts w:cs="Tahoma"/>
          <w:bCs/>
          <w:szCs w:val="22"/>
          <w:lang w:val="es-ES"/>
        </w:rPr>
        <w:t xml:space="preserve">Oficio emitido por el </w:t>
      </w:r>
      <w:r w:rsidR="00137821" w:rsidRPr="00FF009E">
        <w:rPr>
          <w:rFonts w:cs="Tahoma"/>
          <w:bCs/>
          <w:szCs w:val="22"/>
          <w:lang w:val="es-ES"/>
        </w:rPr>
        <w:t>Titular del Órgano Interno de Control el cual manifiesta enviar la respuesta correspondiente al acta de entrega y recepción del Titular del Órgano Interno de Control en la Comisión del Agua del Estado de México, así como su nombramiento y designación.</w:t>
      </w:r>
    </w:p>
    <w:p w14:paraId="29EF9743" w14:textId="7E3EEDA9" w:rsidR="00B70D11" w:rsidRPr="00FF009E" w:rsidRDefault="00137821" w:rsidP="00FF009E">
      <w:pPr>
        <w:pStyle w:val="Prrafodelista"/>
        <w:numPr>
          <w:ilvl w:val="0"/>
          <w:numId w:val="16"/>
        </w:numPr>
        <w:autoSpaceDE w:val="0"/>
        <w:autoSpaceDN w:val="0"/>
        <w:adjustRightInd w:val="0"/>
        <w:ind w:right="-28"/>
        <w:rPr>
          <w:rFonts w:cs="Tahoma"/>
          <w:bCs/>
          <w:szCs w:val="22"/>
          <w:lang w:val="es-ES"/>
        </w:rPr>
      </w:pPr>
      <w:r w:rsidRPr="00FF009E">
        <w:rPr>
          <w:rFonts w:cs="Tahoma"/>
          <w:b/>
          <w:bCs/>
          <w:szCs w:val="22"/>
          <w:lang w:val="es-ES"/>
        </w:rPr>
        <w:lastRenderedPageBreak/>
        <w:t>RESPUESTA SUBSECRETARÍA CONTROL Y AUDITORÍA.pdf</w:t>
      </w:r>
      <w:r w:rsidR="00B70D11" w:rsidRPr="00FF009E">
        <w:rPr>
          <w:rFonts w:cs="Tahoma"/>
          <w:bCs/>
          <w:szCs w:val="22"/>
          <w:lang w:val="es-ES"/>
        </w:rPr>
        <w:t xml:space="preserve">: </w:t>
      </w:r>
      <w:r w:rsidRPr="00FF009E">
        <w:rPr>
          <w:rFonts w:cs="Tahoma"/>
          <w:bCs/>
          <w:szCs w:val="22"/>
          <w:lang w:val="es-ES"/>
        </w:rPr>
        <w:t>Oficio signado por el Subsecretario de Control y Auditoria el cual refiere que, conforme a las atribuciones que le contiene el Reglamento Intern</w:t>
      </w:r>
      <w:r w:rsidR="00385D5F" w:rsidRPr="00FF009E">
        <w:rPr>
          <w:rFonts w:cs="Tahoma"/>
          <w:bCs/>
          <w:szCs w:val="22"/>
          <w:lang w:val="es-ES"/>
        </w:rPr>
        <w:t>o</w:t>
      </w:r>
      <w:r w:rsidRPr="00FF009E">
        <w:rPr>
          <w:rFonts w:cs="Tahoma"/>
          <w:bCs/>
          <w:szCs w:val="22"/>
          <w:lang w:val="es-ES"/>
        </w:rPr>
        <w:t xml:space="preserve"> de la Secretaría de la Contraloría, en estas no se encuentra alguna relacionada con el requerimiento contenido en la solicitud de información.</w:t>
      </w:r>
    </w:p>
    <w:p w14:paraId="2804F8B4" w14:textId="372D66F5" w:rsidR="001112C7" w:rsidRPr="00FF009E" w:rsidRDefault="00A930A7" w:rsidP="00FF009E">
      <w:pPr>
        <w:pStyle w:val="Prrafodelista"/>
        <w:numPr>
          <w:ilvl w:val="0"/>
          <w:numId w:val="16"/>
        </w:numPr>
        <w:autoSpaceDE w:val="0"/>
        <w:autoSpaceDN w:val="0"/>
        <w:adjustRightInd w:val="0"/>
        <w:ind w:right="-28"/>
        <w:rPr>
          <w:rFonts w:cs="Tahoma"/>
          <w:bCs/>
          <w:szCs w:val="22"/>
          <w:lang w:val="es-ES"/>
        </w:rPr>
      </w:pPr>
      <w:r w:rsidRPr="00FF009E">
        <w:rPr>
          <w:rFonts w:cs="Tahoma"/>
          <w:b/>
          <w:bCs/>
          <w:szCs w:val="22"/>
          <w:lang w:val="es-ES"/>
        </w:rPr>
        <w:t>ANEXO OIC 00322-2024.pdf</w:t>
      </w:r>
      <w:r w:rsidR="001112C7" w:rsidRPr="00FF009E">
        <w:rPr>
          <w:rFonts w:cs="Tahoma"/>
          <w:bCs/>
          <w:szCs w:val="22"/>
          <w:lang w:val="es-ES"/>
        </w:rPr>
        <w:t xml:space="preserve">: </w:t>
      </w:r>
      <w:r w:rsidRPr="00FF009E">
        <w:rPr>
          <w:rFonts w:cs="Tahoma"/>
          <w:bCs/>
          <w:szCs w:val="22"/>
          <w:lang w:val="es-ES"/>
        </w:rPr>
        <w:t>Contiene el acta de entrega y recepción en versión pública del Órgano Interno de Control de la Comisión del Agua del Estado de México d</w:t>
      </w:r>
      <w:r w:rsidR="002C2835" w:rsidRPr="00FF009E">
        <w:rPr>
          <w:rFonts w:cs="Tahoma"/>
          <w:bCs/>
          <w:szCs w:val="22"/>
          <w:lang w:val="es-ES"/>
        </w:rPr>
        <w:t>e fecha 18 de diciembre de 2023, así como el nombramiento en donde se designa al Titular del Órgano Interno de Control de la Comisión del Agua del Estado de México y el oficio dirigido al Vocal Ejecutivo de la Comisión del Agua del Estado de México, signado por la Secretaría de la Contraloría en donde le hace del conocimiento la designación al Lic. En Derecho Cutberto Armando Ayala López como Titular del Órgano Interno de Control.</w:t>
      </w:r>
    </w:p>
    <w:p w14:paraId="254842E9" w14:textId="35CD7379" w:rsidR="001112C7" w:rsidRPr="00FF009E" w:rsidRDefault="00A930A7" w:rsidP="00FF009E">
      <w:pPr>
        <w:pStyle w:val="Prrafodelista"/>
        <w:numPr>
          <w:ilvl w:val="0"/>
          <w:numId w:val="16"/>
        </w:numPr>
        <w:autoSpaceDE w:val="0"/>
        <w:autoSpaceDN w:val="0"/>
        <w:adjustRightInd w:val="0"/>
        <w:ind w:right="-28"/>
        <w:rPr>
          <w:rFonts w:cs="Tahoma"/>
          <w:b/>
          <w:bCs/>
          <w:szCs w:val="22"/>
          <w:lang w:val="es-ES"/>
        </w:rPr>
      </w:pPr>
      <w:r w:rsidRPr="00FF009E">
        <w:rPr>
          <w:rFonts w:cs="Tahoma"/>
          <w:b/>
          <w:bCs/>
          <w:szCs w:val="22"/>
          <w:lang w:val="es-ES"/>
        </w:rPr>
        <w:t>C.T. RESOLUCIÓN 00322-2024.pdf</w:t>
      </w:r>
      <w:r w:rsidR="001112C7" w:rsidRPr="00FF009E">
        <w:rPr>
          <w:rFonts w:cs="Tahoma"/>
          <w:b/>
          <w:bCs/>
          <w:szCs w:val="22"/>
          <w:lang w:val="es-ES"/>
        </w:rPr>
        <w:t xml:space="preserve">: </w:t>
      </w:r>
      <w:r w:rsidRPr="00FF009E">
        <w:rPr>
          <w:rFonts w:cs="Arial"/>
        </w:rPr>
        <w:t>Contiene una resolución en la que se aprueba la clasificación de la información contenida en el acta de entrega y recepción como confidencial, ello a través de los integrantes del Comité de Transparencia</w:t>
      </w:r>
      <w:r w:rsidR="007E4DFF" w:rsidRPr="00FF009E">
        <w:rPr>
          <w:rFonts w:cs="Tahoma"/>
          <w:bCs/>
          <w:szCs w:val="22"/>
          <w:lang w:val="es-ES"/>
        </w:rPr>
        <w:t>.</w:t>
      </w:r>
    </w:p>
    <w:p w14:paraId="46C786B0" w14:textId="095873DD" w:rsidR="00A930A7" w:rsidRPr="00FF009E" w:rsidRDefault="00A930A7" w:rsidP="00FF009E">
      <w:pPr>
        <w:pStyle w:val="Prrafodelista"/>
        <w:numPr>
          <w:ilvl w:val="0"/>
          <w:numId w:val="16"/>
        </w:numPr>
        <w:autoSpaceDE w:val="0"/>
        <w:autoSpaceDN w:val="0"/>
        <w:adjustRightInd w:val="0"/>
        <w:ind w:right="-28"/>
        <w:rPr>
          <w:rFonts w:cs="Tahoma"/>
          <w:b/>
          <w:bCs/>
          <w:szCs w:val="22"/>
          <w:lang w:val="es-ES"/>
        </w:rPr>
      </w:pPr>
      <w:r w:rsidRPr="00FF009E">
        <w:rPr>
          <w:rFonts w:cs="Tahoma"/>
          <w:b/>
          <w:bCs/>
          <w:szCs w:val="22"/>
          <w:lang w:val="es-ES"/>
        </w:rPr>
        <w:t xml:space="preserve">Acta 15a Sesión Extraordinaria C.T. 2024.pdf: </w:t>
      </w:r>
      <w:r w:rsidR="002C2835" w:rsidRPr="00FF009E">
        <w:rPr>
          <w:rFonts w:cs="Arial"/>
        </w:rPr>
        <w:t>Contiene la digitalización de la Décima Quinta Sesión Extraordinaria del Comité de Transparencia en donde se aprueba el acuerdo referido en el punto inmediato anterior.</w:t>
      </w:r>
    </w:p>
    <w:p w14:paraId="057A6DEB" w14:textId="77777777" w:rsidR="00846AE4" w:rsidRPr="00FF009E" w:rsidRDefault="00846AE4" w:rsidP="00FF009E">
      <w:pPr>
        <w:pStyle w:val="Prrafodelista"/>
        <w:autoSpaceDE w:val="0"/>
        <w:autoSpaceDN w:val="0"/>
        <w:adjustRightInd w:val="0"/>
        <w:ind w:right="-28"/>
        <w:rPr>
          <w:rFonts w:cs="Tahoma"/>
          <w:bCs/>
          <w:szCs w:val="22"/>
          <w:lang w:val="es-ES"/>
        </w:rPr>
      </w:pPr>
    </w:p>
    <w:p w14:paraId="5A5DAB9E" w14:textId="77777777" w:rsidR="00E37A3F" w:rsidRPr="00FF009E" w:rsidRDefault="00E37A3F" w:rsidP="00FF009E">
      <w:pPr>
        <w:pStyle w:val="Ttulo2"/>
        <w:jc w:val="left"/>
      </w:pPr>
      <w:bookmarkStart w:id="10" w:name="_Toc181795304"/>
      <w:r w:rsidRPr="00FF009E">
        <w:t>DEL RECURSO DE REVISIÓN</w:t>
      </w:r>
      <w:bookmarkEnd w:id="10"/>
    </w:p>
    <w:p w14:paraId="2B216813" w14:textId="61ADBB2B" w:rsidR="00664420" w:rsidRPr="00FF009E" w:rsidRDefault="006E25BC" w:rsidP="00FF009E">
      <w:pPr>
        <w:pStyle w:val="Ttulo3"/>
      </w:pPr>
      <w:bookmarkStart w:id="11" w:name="_Toc181795305"/>
      <w:r w:rsidRPr="00FF009E">
        <w:rPr>
          <w:szCs w:val="32"/>
        </w:rPr>
        <w:t>a)</w:t>
      </w:r>
      <w:r w:rsidRPr="00FF009E">
        <w:t xml:space="preserve"> </w:t>
      </w:r>
      <w:r w:rsidR="00664420" w:rsidRPr="00FF009E">
        <w:t>Interposición del Recurso de Revisión</w:t>
      </w:r>
      <w:bookmarkEnd w:id="11"/>
    </w:p>
    <w:p w14:paraId="6279C622" w14:textId="56E533AD" w:rsidR="00664420" w:rsidRPr="00FF009E" w:rsidRDefault="00664420" w:rsidP="00FF009E">
      <w:pPr>
        <w:autoSpaceDE w:val="0"/>
        <w:autoSpaceDN w:val="0"/>
        <w:adjustRightInd w:val="0"/>
        <w:ind w:right="-28"/>
        <w:rPr>
          <w:rFonts w:cs="Tahoma"/>
          <w:szCs w:val="22"/>
        </w:rPr>
      </w:pPr>
      <w:r w:rsidRPr="00FF009E">
        <w:rPr>
          <w:rFonts w:cs="Tahoma"/>
          <w:szCs w:val="22"/>
        </w:rPr>
        <w:t xml:space="preserve">El </w:t>
      </w:r>
      <w:r w:rsidR="002C2835" w:rsidRPr="00FF009E">
        <w:rPr>
          <w:rFonts w:cs="Tahoma"/>
          <w:b/>
          <w:bCs/>
          <w:szCs w:val="22"/>
        </w:rPr>
        <w:t>dos de octubre</w:t>
      </w:r>
      <w:r w:rsidR="000C47C5" w:rsidRPr="00FF009E">
        <w:rPr>
          <w:rFonts w:cs="Tahoma"/>
          <w:b/>
          <w:bCs/>
          <w:szCs w:val="22"/>
        </w:rPr>
        <w:t xml:space="preserve"> de dos mil veinticuatro</w:t>
      </w:r>
      <w:r w:rsidRPr="00FF009E">
        <w:rPr>
          <w:rFonts w:cs="Tahoma"/>
          <w:szCs w:val="22"/>
        </w:rPr>
        <w:t xml:space="preserve"> </w:t>
      </w:r>
      <w:r w:rsidR="00F75D23" w:rsidRPr="00FF009E">
        <w:rPr>
          <w:rFonts w:cs="Tahoma"/>
          <w:b/>
          <w:bCs/>
          <w:szCs w:val="22"/>
        </w:rPr>
        <w:t>LA PARTE RECURRENTE</w:t>
      </w:r>
      <w:r w:rsidR="00F75D23" w:rsidRPr="00FF009E">
        <w:rPr>
          <w:rFonts w:cs="Tahoma"/>
          <w:szCs w:val="22"/>
        </w:rPr>
        <w:t xml:space="preserve"> interpuso el recurso de revisión en contra de la respuesta emitida por el </w:t>
      </w:r>
      <w:r w:rsidR="00F75D23" w:rsidRPr="00FF009E">
        <w:rPr>
          <w:rFonts w:cs="Tahoma"/>
          <w:b/>
          <w:bCs/>
          <w:szCs w:val="22"/>
        </w:rPr>
        <w:t>SUJETO OBLIGADO</w:t>
      </w:r>
      <w:r w:rsidR="00953430" w:rsidRPr="00FF009E">
        <w:rPr>
          <w:rFonts w:cs="Tahoma"/>
          <w:szCs w:val="22"/>
        </w:rPr>
        <w:t xml:space="preserve">, mismo que fue registrado en el SAIMEX con el número de expediente </w:t>
      </w:r>
      <w:r w:rsidR="002C2835" w:rsidRPr="00FF009E">
        <w:rPr>
          <w:rFonts w:cs="Tahoma"/>
          <w:b/>
          <w:bCs/>
          <w:szCs w:val="22"/>
        </w:rPr>
        <w:t>05972/INFOEM/IP/RR/2024</w:t>
      </w:r>
      <w:r w:rsidR="00953430" w:rsidRPr="00FF009E">
        <w:rPr>
          <w:rFonts w:cs="Tahoma"/>
          <w:szCs w:val="22"/>
        </w:rPr>
        <w:t>, y en el cual manifiesta lo siguiente</w:t>
      </w:r>
      <w:r w:rsidRPr="00FF009E">
        <w:rPr>
          <w:rFonts w:cs="Tahoma"/>
          <w:szCs w:val="22"/>
        </w:rPr>
        <w:t>:</w:t>
      </w:r>
    </w:p>
    <w:p w14:paraId="74B30008" w14:textId="77777777" w:rsidR="00664420" w:rsidRPr="00FF009E" w:rsidRDefault="00664420" w:rsidP="00FF009E">
      <w:pPr>
        <w:tabs>
          <w:tab w:val="left" w:pos="4667"/>
        </w:tabs>
        <w:ind w:right="539"/>
        <w:rPr>
          <w:rFonts w:cs="Tahoma"/>
          <w:szCs w:val="22"/>
        </w:rPr>
      </w:pPr>
    </w:p>
    <w:p w14:paraId="12153283" w14:textId="30EEB748" w:rsidR="00664420" w:rsidRPr="00FF009E" w:rsidRDefault="00664420" w:rsidP="00FF009E">
      <w:pPr>
        <w:tabs>
          <w:tab w:val="left" w:pos="4667"/>
        </w:tabs>
        <w:ind w:left="567" w:right="539"/>
        <w:rPr>
          <w:rFonts w:cs="Tahoma"/>
          <w:b/>
          <w:iCs/>
        </w:rPr>
      </w:pPr>
      <w:r w:rsidRPr="00FF009E">
        <w:rPr>
          <w:rFonts w:cs="Tahoma"/>
          <w:b/>
          <w:iCs/>
        </w:rPr>
        <w:t>ACTO IMPUGNADO</w:t>
      </w:r>
      <w:r w:rsidRPr="00FF009E">
        <w:rPr>
          <w:rFonts w:cs="Tahoma"/>
          <w:b/>
          <w:iCs/>
        </w:rPr>
        <w:tab/>
      </w:r>
    </w:p>
    <w:p w14:paraId="523F8BF4" w14:textId="5C6B31E2" w:rsidR="00664420" w:rsidRPr="00FF009E" w:rsidRDefault="00E82927" w:rsidP="00FF009E">
      <w:pPr>
        <w:pStyle w:val="Puesto"/>
      </w:pPr>
      <w:r w:rsidRPr="00FF009E">
        <w:t>“</w:t>
      </w:r>
      <w:r w:rsidR="002C2835" w:rsidRPr="00FF009E">
        <w:t xml:space="preserve">se niega a dar la </w:t>
      </w:r>
      <w:proofErr w:type="spellStart"/>
      <w:r w:rsidR="002C2835" w:rsidRPr="00FF009E">
        <w:t>informacion</w:t>
      </w:r>
      <w:proofErr w:type="spellEnd"/>
      <w:r w:rsidR="00B93F1E" w:rsidRPr="00FF009E">
        <w:t>.</w:t>
      </w:r>
      <w:r w:rsidRPr="00FF009E">
        <w:t>”</w:t>
      </w:r>
    </w:p>
    <w:p w14:paraId="24A64C18" w14:textId="77777777" w:rsidR="00E82927" w:rsidRPr="00FF009E" w:rsidRDefault="00E82927" w:rsidP="00FF009E">
      <w:pPr>
        <w:tabs>
          <w:tab w:val="left" w:pos="4667"/>
        </w:tabs>
        <w:ind w:right="539"/>
        <w:rPr>
          <w:rFonts w:cs="Tahoma"/>
          <w:b/>
          <w:iCs/>
        </w:rPr>
      </w:pPr>
    </w:p>
    <w:p w14:paraId="41AC2642" w14:textId="1AC1E859" w:rsidR="00E82927" w:rsidRPr="00FF009E" w:rsidRDefault="00E82927" w:rsidP="00FF009E">
      <w:pPr>
        <w:tabs>
          <w:tab w:val="left" w:pos="4667"/>
        </w:tabs>
        <w:ind w:left="567" w:right="539"/>
        <w:rPr>
          <w:rFonts w:cs="Tahoma"/>
          <w:b/>
          <w:iCs/>
        </w:rPr>
      </w:pPr>
      <w:r w:rsidRPr="00FF009E">
        <w:rPr>
          <w:rFonts w:cs="Tahoma"/>
          <w:b/>
          <w:iCs/>
        </w:rPr>
        <w:t>RAZONES O MOTIVOS DE LA INCONFORMIDAD</w:t>
      </w:r>
      <w:r w:rsidRPr="00FF009E">
        <w:rPr>
          <w:rFonts w:cs="Tahoma"/>
          <w:b/>
          <w:iCs/>
        </w:rPr>
        <w:tab/>
      </w:r>
    </w:p>
    <w:p w14:paraId="1B2A5283" w14:textId="6A088D81" w:rsidR="00E82927" w:rsidRPr="00FF009E" w:rsidRDefault="00E82927" w:rsidP="00FF009E">
      <w:pPr>
        <w:pStyle w:val="Puesto"/>
      </w:pPr>
      <w:r w:rsidRPr="00FF009E">
        <w:t>“</w:t>
      </w:r>
      <w:r w:rsidR="002C2835" w:rsidRPr="00FF009E">
        <w:t xml:space="preserve">se niega a dar la </w:t>
      </w:r>
      <w:proofErr w:type="spellStart"/>
      <w:r w:rsidR="002C2835" w:rsidRPr="00FF009E">
        <w:t>informacion</w:t>
      </w:r>
      <w:proofErr w:type="spellEnd"/>
      <w:r w:rsidR="00277D09" w:rsidRPr="00FF009E">
        <w:t>.</w:t>
      </w:r>
      <w:r w:rsidR="00CE75BD" w:rsidRPr="00FF009E">
        <w:t>”</w:t>
      </w:r>
    </w:p>
    <w:p w14:paraId="27436410" w14:textId="77777777" w:rsidR="000C47C5" w:rsidRPr="00FF009E" w:rsidRDefault="000C47C5" w:rsidP="00FF009E">
      <w:pPr>
        <w:tabs>
          <w:tab w:val="left" w:pos="4667"/>
        </w:tabs>
        <w:ind w:right="567"/>
        <w:rPr>
          <w:rFonts w:cs="Tahoma"/>
          <w:b/>
          <w:bCs/>
        </w:rPr>
      </w:pPr>
    </w:p>
    <w:p w14:paraId="6804DEF1" w14:textId="3C4F6CB5" w:rsidR="00664420" w:rsidRPr="00FF009E" w:rsidRDefault="006E25BC" w:rsidP="00FF009E">
      <w:pPr>
        <w:pStyle w:val="Ttulo3"/>
      </w:pPr>
      <w:bookmarkStart w:id="12" w:name="_Toc181795306"/>
      <w:r w:rsidRPr="00FF009E">
        <w:t>b</w:t>
      </w:r>
      <w:r w:rsidR="00664420" w:rsidRPr="00FF009E">
        <w:t>) Turno del Recurso de Revisión</w:t>
      </w:r>
      <w:bookmarkEnd w:id="12"/>
    </w:p>
    <w:p w14:paraId="1173671B" w14:textId="5EAB1CF8" w:rsidR="00C72DAA" w:rsidRPr="00FF009E" w:rsidRDefault="00C72DAA" w:rsidP="00FF009E">
      <w:r w:rsidRPr="00FF009E">
        <w:t>Con fundamento en el artículo 185, fracción I de la Ley de Transparencia y Acceso a la Información Pública del Estado de México y Municipios, el</w:t>
      </w:r>
      <w:r w:rsidRPr="00FF009E">
        <w:rPr>
          <w:b/>
          <w:bCs/>
        </w:rPr>
        <w:t xml:space="preserve"> </w:t>
      </w:r>
      <w:r w:rsidR="002C2835" w:rsidRPr="00FF009E">
        <w:rPr>
          <w:rFonts w:eastAsia="Palatino Linotype" w:cs="Palatino Linotype"/>
          <w:b/>
        </w:rPr>
        <w:t>dos de octubre</w:t>
      </w:r>
      <w:r w:rsidR="002A3D44" w:rsidRPr="00FF009E">
        <w:rPr>
          <w:rFonts w:eastAsia="Palatino Linotype" w:cs="Palatino Linotype"/>
          <w:b/>
        </w:rPr>
        <w:t xml:space="preserve"> de dos mil veinticuatro</w:t>
      </w:r>
      <w:r w:rsidRPr="00FF009E">
        <w:t xml:space="preserve"> se turnó el recurso de revisión a través del</w:t>
      </w:r>
      <w:r w:rsidRPr="00FF009E">
        <w:rPr>
          <w:rFonts w:eastAsia="Arial Unicode MS"/>
        </w:rPr>
        <w:t xml:space="preserve"> </w:t>
      </w:r>
      <w:r w:rsidRPr="00FF009E">
        <w:rPr>
          <w:rFonts w:eastAsia="Arial Unicode MS"/>
          <w:bCs/>
        </w:rPr>
        <w:t>SAIMEX</w:t>
      </w:r>
      <w:r w:rsidRPr="00FF009E">
        <w:t xml:space="preserve"> a la </w:t>
      </w:r>
      <w:r w:rsidRPr="00FF009E">
        <w:rPr>
          <w:b/>
        </w:rPr>
        <w:t>Comisionada Sharon Cristina Morales Martínez</w:t>
      </w:r>
      <w:r w:rsidRPr="00FF009E">
        <w:rPr>
          <w:bCs/>
        </w:rPr>
        <w:t xml:space="preserve">, </w:t>
      </w:r>
      <w:r w:rsidRPr="00FF009E">
        <w:t xml:space="preserve">a efecto de decretar su admisión o </w:t>
      </w:r>
      <w:proofErr w:type="spellStart"/>
      <w:r w:rsidRPr="00FF009E">
        <w:t>desechamiento</w:t>
      </w:r>
      <w:proofErr w:type="spellEnd"/>
      <w:r w:rsidRPr="00FF009E">
        <w:t xml:space="preserve">. </w:t>
      </w:r>
    </w:p>
    <w:p w14:paraId="18F305CB" w14:textId="77777777" w:rsidR="00664420" w:rsidRPr="00FF009E" w:rsidRDefault="00664420" w:rsidP="00FF009E">
      <w:pPr>
        <w:rPr>
          <w:rFonts w:eastAsia="Batang" w:cs="Tahoma"/>
          <w:bCs/>
          <w:szCs w:val="22"/>
        </w:rPr>
      </w:pPr>
    </w:p>
    <w:p w14:paraId="3E31EC2D" w14:textId="295256A1" w:rsidR="00664420" w:rsidRPr="00FF009E" w:rsidRDefault="006E25BC" w:rsidP="00FF009E">
      <w:pPr>
        <w:pStyle w:val="Ttulo3"/>
      </w:pPr>
      <w:bookmarkStart w:id="13" w:name="_Toc181795307"/>
      <w:r w:rsidRPr="00FF009E">
        <w:t>c</w:t>
      </w:r>
      <w:r w:rsidR="00664420" w:rsidRPr="00FF009E">
        <w:t>) Admisión del Recurso de Revisión</w:t>
      </w:r>
      <w:bookmarkEnd w:id="13"/>
    </w:p>
    <w:p w14:paraId="240447D5" w14:textId="5A416B10" w:rsidR="000E09C4" w:rsidRPr="00FF009E" w:rsidRDefault="000E09C4" w:rsidP="00FF009E">
      <w:pPr>
        <w:rPr>
          <w:rFonts w:cs="Arial"/>
        </w:rPr>
      </w:pPr>
      <w:r w:rsidRPr="00FF009E">
        <w:rPr>
          <w:rFonts w:cs="Arial"/>
        </w:rPr>
        <w:t xml:space="preserve">El </w:t>
      </w:r>
      <w:r w:rsidR="002C2835" w:rsidRPr="00FF009E">
        <w:rPr>
          <w:rFonts w:eastAsia="Palatino Linotype" w:cs="Palatino Linotype"/>
          <w:b/>
        </w:rPr>
        <w:t>tres de octubre</w:t>
      </w:r>
      <w:r w:rsidR="002A3D44" w:rsidRPr="00FF009E">
        <w:rPr>
          <w:rFonts w:eastAsia="Palatino Linotype" w:cs="Palatino Linotype"/>
          <w:b/>
        </w:rPr>
        <w:t xml:space="preserve"> de dos mil veinticuatro</w:t>
      </w:r>
      <w:r w:rsidRPr="00FF009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F009E">
        <w:rPr>
          <w:rFonts w:cs="Arial"/>
        </w:rPr>
        <w:t>, fracción II</w:t>
      </w:r>
      <w:r w:rsidRPr="00FF009E">
        <w:rPr>
          <w:rFonts w:cs="Arial"/>
        </w:rPr>
        <w:t xml:space="preserve"> de la Ley de Transparencia y Acceso a la Información Pública del Estado de México y Municipios.</w:t>
      </w:r>
    </w:p>
    <w:p w14:paraId="09B589C5" w14:textId="77777777" w:rsidR="00664420" w:rsidRPr="00FF009E" w:rsidRDefault="00664420" w:rsidP="00FF009E">
      <w:pPr>
        <w:rPr>
          <w:rFonts w:cs="Tahoma"/>
          <w:b/>
          <w:szCs w:val="22"/>
        </w:rPr>
      </w:pPr>
    </w:p>
    <w:p w14:paraId="3B820F58" w14:textId="31B2FA39" w:rsidR="00865CF4" w:rsidRPr="00FF009E" w:rsidRDefault="002A3D44" w:rsidP="00FF009E">
      <w:pPr>
        <w:pStyle w:val="Ttulo3"/>
      </w:pPr>
      <w:bookmarkStart w:id="14" w:name="_Toc181795308"/>
      <w:r w:rsidRPr="00FF009E">
        <w:t>d</w:t>
      </w:r>
      <w:r w:rsidR="00664420" w:rsidRPr="00FF009E">
        <w:t xml:space="preserve">) </w:t>
      </w:r>
      <w:r w:rsidR="00865CF4" w:rsidRPr="00FF009E">
        <w:t>Informe Justificado del Sujeto Obligado</w:t>
      </w:r>
      <w:bookmarkEnd w:id="14"/>
    </w:p>
    <w:p w14:paraId="5C2FB9D9" w14:textId="7D8155C6" w:rsidR="00061AE4" w:rsidRPr="00FF009E" w:rsidRDefault="002C2835" w:rsidP="00FF009E">
      <w:pPr>
        <w:rPr>
          <w:rFonts w:eastAsia="Arial Unicode MS" w:cs="Arial"/>
        </w:rPr>
      </w:pPr>
      <w:bookmarkStart w:id="15" w:name="_Hlk165379932"/>
      <w:r w:rsidRPr="00FF009E">
        <w:rPr>
          <w:rFonts w:cs="Tahoma"/>
          <w:bCs/>
          <w:szCs w:val="24"/>
        </w:rPr>
        <w:t xml:space="preserve">El </w:t>
      </w:r>
      <w:r w:rsidRPr="00FF009E">
        <w:rPr>
          <w:rFonts w:cs="Tahoma"/>
          <w:b/>
          <w:szCs w:val="24"/>
        </w:rPr>
        <w:t>once de octubre de dos mil veinticuatro EL SUJETO OBLIGADO</w:t>
      </w:r>
      <w:r w:rsidRPr="00FF009E">
        <w:rPr>
          <w:rFonts w:cs="Tahoma"/>
          <w:bCs/>
          <w:szCs w:val="24"/>
        </w:rPr>
        <w:t xml:space="preserve"> rindió su informe justificado a través del SAIMEX, </w:t>
      </w:r>
      <w:r w:rsidRPr="00FF009E">
        <w:rPr>
          <w:rFonts w:eastAsia="Calibri" w:cs="Tahoma"/>
          <w:szCs w:val="22"/>
          <w:lang w:eastAsia="en-US"/>
        </w:rPr>
        <w:t>en el cual expresó lo siguiente</w:t>
      </w:r>
      <w:r w:rsidRPr="00FF009E">
        <w:rPr>
          <w:rFonts w:eastAsia="Arial Unicode MS" w:cs="Arial"/>
        </w:rPr>
        <w:t>:</w:t>
      </w:r>
    </w:p>
    <w:p w14:paraId="65C47694" w14:textId="77777777" w:rsidR="002C2835" w:rsidRPr="00FF009E" w:rsidRDefault="002C2835" w:rsidP="00FF009E">
      <w:pPr>
        <w:rPr>
          <w:rFonts w:eastAsia="Arial Unicode MS" w:cs="Arial"/>
        </w:rPr>
      </w:pPr>
    </w:p>
    <w:p w14:paraId="6B4F9BCB" w14:textId="42C1D42C" w:rsidR="002C2835" w:rsidRPr="00FF009E" w:rsidRDefault="002C2835" w:rsidP="00FF009E">
      <w:pPr>
        <w:pStyle w:val="Prrafodelista"/>
        <w:numPr>
          <w:ilvl w:val="0"/>
          <w:numId w:val="32"/>
        </w:numPr>
        <w:rPr>
          <w:rFonts w:cs="Tahoma"/>
          <w:bCs/>
          <w:szCs w:val="24"/>
        </w:rPr>
      </w:pPr>
      <w:r w:rsidRPr="00FF009E">
        <w:rPr>
          <w:rFonts w:cs="Tahoma"/>
          <w:bCs/>
          <w:szCs w:val="24"/>
        </w:rPr>
        <w:t>Informe Justificado RR. 05972.pdf: Informe justificado rendido por el Titular de la Unidad de Transparencia en donde medularmente ratifica la respuesta primigenia</w:t>
      </w:r>
    </w:p>
    <w:bookmarkEnd w:id="15"/>
    <w:p w14:paraId="24F87764" w14:textId="77777777" w:rsidR="00664420" w:rsidRPr="00FF009E" w:rsidRDefault="00664420" w:rsidP="00FF009E">
      <w:pPr>
        <w:rPr>
          <w:rFonts w:cs="Tahoma"/>
          <w:bCs/>
          <w:szCs w:val="24"/>
        </w:rPr>
      </w:pPr>
    </w:p>
    <w:p w14:paraId="1F631C0A" w14:textId="7193ECC6" w:rsidR="004D2924" w:rsidRPr="00FF009E" w:rsidRDefault="004D2924" w:rsidP="00FF009E">
      <w:pPr>
        <w:pStyle w:val="Ttulo3"/>
        <w:rPr>
          <w:lang w:val="es-ES"/>
        </w:rPr>
      </w:pPr>
      <w:bookmarkStart w:id="16" w:name="_Toc165402867"/>
      <w:bookmarkStart w:id="17" w:name="_Toc181795309"/>
      <w:r w:rsidRPr="00FF009E">
        <w:rPr>
          <w:rFonts w:eastAsia="Calibri"/>
          <w:bCs/>
          <w:lang w:eastAsia="en-US"/>
        </w:rPr>
        <w:t>e)</w:t>
      </w:r>
      <w:r w:rsidRPr="00FF009E">
        <w:t xml:space="preserve"> </w:t>
      </w:r>
      <w:r w:rsidRPr="00FF009E">
        <w:rPr>
          <w:lang w:val="es-ES"/>
        </w:rPr>
        <w:t>Manifestaciones de la Parte Recurrente</w:t>
      </w:r>
      <w:bookmarkEnd w:id="16"/>
      <w:bookmarkEnd w:id="17"/>
    </w:p>
    <w:p w14:paraId="2E937EBA" w14:textId="78E80F98" w:rsidR="000E08A5" w:rsidRPr="00FF009E" w:rsidRDefault="00AC3F4F" w:rsidP="00FF009E">
      <w:pPr>
        <w:rPr>
          <w:rFonts w:cs="Tahoma"/>
          <w:bCs/>
          <w:szCs w:val="24"/>
        </w:rPr>
      </w:pPr>
      <w:r w:rsidRPr="00FF009E">
        <w:rPr>
          <w:rFonts w:cs="Tahoma"/>
          <w:b/>
          <w:szCs w:val="24"/>
        </w:rPr>
        <w:t xml:space="preserve">LA PARTE RECURRENTE </w:t>
      </w:r>
      <w:r w:rsidRPr="00FF009E">
        <w:rPr>
          <w:rFonts w:eastAsia="Arial Unicode MS" w:cs="Arial"/>
        </w:rPr>
        <w:t>no realizó manifestación alguna dentro del término legalmente concedido para tal efecto, ni presentó pruebas o alegatos.</w:t>
      </w:r>
    </w:p>
    <w:p w14:paraId="6FF82205" w14:textId="77777777" w:rsidR="00551383" w:rsidRPr="00FF009E" w:rsidRDefault="00551383" w:rsidP="00FF009E">
      <w:pPr>
        <w:rPr>
          <w:rFonts w:eastAsia="Arial Unicode MS" w:cs="Arial"/>
        </w:rPr>
      </w:pPr>
    </w:p>
    <w:p w14:paraId="0E651988" w14:textId="00E2F04B" w:rsidR="00664420" w:rsidRPr="00FF009E" w:rsidRDefault="004C5FA2" w:rsidP="00FF009E">
      <w:pPr>
        <w:pStyle w:val="Ttulo3"/>
      </w:pPr>
      <w:bookmarkStart w:id="18" w:name="_Toc181795310"/>
      <w:r w:rsidRPr="00FF009E">
        <w:t>f</w:t>
      </w:r>
      <w:r w:rsidR="00664420" w:rsidRPr="00FF009E">
        <w:t>) Cierre de instrucción</w:t>
      </w:r>
      <w:bookmarkEnd w:id="18"/>
    </w:p>
    <w:p w14:paraId="79AF95DC" w14:textId="16CBFE38" w:rsidR="00664420" w:rsidRPr="00FF009E" w:rsidRDefault="00BF091A" w:rsidP="00FF009E">
      <w:pPr>
        <w:rPr>
          <w:rFonts w:cs="Tahoma"/>
          <w:szCs w:val="22"/>
        </w:rPr>
      </w:pPr>
      <w:r w:rsidRPr="00FF009E">
        <w:rPr>
          <w:rFonts w:cs="Tahoma"/>
          <w:szCs w:val="22"/>
        </w:rPr>
        <w:t>Al no existir diligencias pendientes por desahogar</w:t>
      </w:r>
      <w:r w:rsidRPr="00FF009E">
        <w:rPr>
          <w:rFonts w:cs="Arial"/>
        </w:rPr>
        <w:t xml:space="preserve">, el </w:t>
      </w:r>
      <w:r w:rsidR="002C2835" w:rsidRPr="00FF009E">
        <w:rPr>
          <w:rFonts w:cs="Arial"/>
          <w:b/>
        </w:rPr>
        <w:t xml:space="preserve">treinta </w:t>
      </w:r>
      <w:r w:rsidR="00FC7CA8" w:rsidRPr="00FF009E">
        <w:rPr>
          <w:rFonts w:cs="Arial"/>
          <w:b/>
        </w:rPr>
        <w:t xml:space="preserve">y uno </w:t>
      </w:r>
      <w:r w:rsidR="002C2835" w:rsidRPr="00FF009E">
        <w:rPr>
          <w:rFonts w:cs="Arial"/>
          <w:b/>
        </w:rPr>
        <w:t>de octubre</w:t>
      </w:r>
      <w:r w:rsidR="006B498E" w:rsidRPr="00FF009E">
        <w:rPr>
          <w:rFonts w:cs="Arial"/>
          <w:b/>
        </w:rPr>
        <w:t xml:space="preserve"> de dos mil veinticuatro</w:t>
      </w:r>
      <w:r w:rsidRPr="00FF009E">
        <w:rPr>
          <w:rFonts w:cs="Arial"/>
        </w:rPr>
        <w:t xml:space="preserve"> la </w:t>
      </w:r>
      <w:r w:rsidRPr="00FF009E">
        <w:rPr>
          <w:rFonts w:cs="Arial"/>
          <w:b/>
          <w:bCs/>
        </w:rPr>
        <w:t xml:space="preserve">Comisionada </w:t>
      </w:r>
      <w:r w:rsidRPr="00FF009E">
        <w:rPr>
          <w:b/>
        </w:rPr>
        <w:t xml:space="preserve">Sharon Cristina Morales Martínez </w:t>
      </w:r>
      <w:r w:rsidRPr="00FF009E">
        <w:rPr>
          <w:rFonts w:cs="Arial"/>
        </w:rPr>
        <w:t>acordó el cierre de instrucción</w:t>
      </w:r>
      <w:r w:rsidR="0011350D" w:rsidRPr="00FF009E">
        <w:rPr>
          <w:rFonts w:cs="Arial"/>
        </w:rPr>
        <w:t xml:space="preserve"> y</w:t>
      </w:r>
      <w:r w:rsidRPr="00FF009E">
        <w:rPr>
          <w:rFonts w:cs="Arial"/>
        </w:rPr>
        <w:t xml:space="preserve"> </w:t>
      </w:r>
      <w:r w:rsidR="0011350D" w:rsidRPr="00FF009E">
        <w:rPr>
          <w:rFonts w:cs="Arial"/>
        </w:rPr>
        <w:t xml:space="preserve">la </w:t>
      </w:r>
      <w:r w:rsidRPr="00FF009E">
        <w:rPr>
          <w:rFonts w:cs="Arial"/>
        </w:rPr>
        <w:t>remisión del expediente a efecto de ser resuelto, de conformidad con lo establecido en el artículo 185 fracciones VI y VIII de la Ley de Transparencia y Acceso a la Información Pública del Estado de México y Municipios</w:t>
      </w:r>
      <w:r w:rsidRPr="00FF009E">
        <w:t>.</w:t>
      </w:r>
      <w:r w:rsidR="0011350D" w:rsidRPr="00FF009E">
        <w:t xml:space="preserve"> Dicho acuerdo </w:t>
      </w:r>
      <w:r w:rsidR="00664420" w:rsidRPr="00FF009E">
        <w:rPr>
          <w:rFonts w:cs="Tahoma"/>
          <w:szCs w:val="22"/>
        </w:rPr>
        <w:t xml:space="preserve">fue notificado a las partes el mismo día a través del </w:t>
      </w:r>
      <w:r w:rsidR="00664420" w:rsidRPr="00FF009E">
        <w:rPr>
          <w:rFonts w:cs="Tahoma"/>
          <w:szCs w:val="22"/>
          <w:lang w:val="es-ES"/>
        </w:rPr>
        <w:t>SAIMEX</w:t>
      </w:r>
      <w:r w:rsidR="00664420" w:rsidRPr="00FF009E">
        <w:rPr>
          <w:rFonts w:cs="Tahoma"/>
          <w:szCs w:val="22"/>
        </w:rPr>
        <w:t>.</w:t>
      </w:r>
    </w:p>
    <w:p w14:paraId="14FF007F" w14:textId="77777777" w:rsidR="008E14DB" w:rsidRPr="00FF009E" w:rsidRDefault="008E14DB" w:rsidP="00FF009E">
      <w:pPr>
        <w:rPr>
          <w:rFonts w:cs="Tahoma"/>
          <w:szCs w:val="22"/>
        </w:rPr>
      </w:pPr>
    </w:p>
    <w:p w14:paraId="7A9629DE" w14:textId="77777777" w:rsidR="00664420" w:rsidRPr="00FF009E" w:rsidRDefault="00664420" w:rsidP="00FF009E">
      <w:pPr>
        <w:pStyle w:val="Ttulo1"/>
        <w:rPr>
          <w:rFonts w:eastAsiaTheme="minorHAnsi"/>
          <w:lang w:eastAsia="en-US"/>
        </w:rPr>
      </w:pPr>
      <w:bookmarkStart w:id="19" w:name="_Toc181795311"/>
      <w:r w:rsidRPr="00FF009E">
        <w:rPr>
          <w:rFonts w:eastAsiaTheme="minorHAnsi"/>
          <w:lang w:eastAsia="en-US"/>
        </w:rPr>
        <w:t>CONSIDERANDOS</w:t>
      </w:r>
      <w:bookmarkEnd w:id="19"/>
    </w:p>
    <w:p w14:paraId="6DD1243B" w14:textId="77777777" w:rsidR="00664420" w:rsidRPr="00FF009E" w:rsidRDefault="00664420" w:rsidP="00FF009E">
      <w:pPr>
        <w:contextualSpacing/>
        <w:jc w:val="center"/>
        <w:rPr>
          <w:rFonts w:eastAsiaTheme="minorHAnsi" w:cs="Tahoma"/>
          <w:b/>
          <w:szCs w:val="22"/>
          <w:lang w:eastAsia="en-US"/>
        </w:rPr>
      </w:pPr>
    </w:p>
    <w:p w14:paraId="0B67CB92" w14:textId="2E307D3B" w:rsidR="00664420" w:rsidRPr="00FF009E" w:rsidRDefault="00664420" w:rsidP="00FF009E">
      <w:pPr>
        <w:pStyle w:val="Ttulo2"/>
        <w:rPr>
          <w:rFonts w:eastAsia="Batang"/>
        </w:rPr>
      </w:pPr>
      <w:bookmarkStart w:id="20" w:name="_Toc181795312"/>
      <w:r w:rsidRPr="00FF009E">
        <w:rPr>
          <w:rFonts w:eastAsia="Batang"/>
        </w:rPr>
        <w:t xml:space="preserve">PRIMERO. </w:t>
      </w:r>
      <w:proofErr w:type="spellStart"/>
      <w:r w:rsidR="00BA55A8" w:rsidRPr="00FF009E">
        <w:rPr>
          <w:rFonts w:eastAsia="Batang"/>
        </w:rPr>
        <w:t>Procedibilidad</w:t>
      </w:r>
      <w:bookmarkEnd w:id="20"/>
      <w:proofErr w:type="spellEnd"/>
    </w:p>
    <w:p w14:paraId="39C52BC1" w14:textId="56FCC20D" w:rsidR="00BA55A8" w:rsidRPr="00FF009E" w:rsidRDefault="00BA55A8" w:rsidP="00FF009E">
      <w:pPr>
        <w:pStyle w:val="Ttulo3"/>
      </w:pPr>
      <w:bookmarkStart w:id="21" w:name="_Toc181795313"/>
      <w:r w:rsidRPr="00FF009E">
        <w:t>a) Competencia</w:t>
      </w:r>
      <w:r w:rsidR="00150C49" w:rsidRPr="00FF009E">
        <w:t xml:space="preserve"> del Instituto</w:t>
      </w:r>
      <w:bookmarkEnd w:id="21"/>
    </w:p>
    <w:p w14:paraId="56E64942" w14:textId="6572EDF7" w:rsidR="0011350D" w:rsidRPr="00FF009E" w:rsidRDefault="0011350D" w:rsidP="00FF009E">
      <w:pPr>
        <w:rPr>
          <w:rFonts w:cs="Arial"/>
        </w:rPr>
      </w:pPr>
      <w:r w:rsidRPr="00FF009E">
        <w:t xml:space="preserve">Este Instituto de Transparencia, Acceso a la Información Pública y Protección de Datos Personales del Estado de México y Municipios es competente para conocer y resolver </w:t>
      </w:r>
      <w:r w:rsidR="005F65B7" w:rsidRPr="00FF009E">
        <w:t xml:space="preserve">el </w:t>
      </w:r>
      <w:r w:rsidRPr="00FF009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F009E">
        <w:rPr>
          <w:rFonts w:cs="Arial"/>
        </w:rPr>
        <w:t xml:space="preserve">; y 9, fracciones I y XXIII y 11 del Reglamento Interior del Instituto de </w:t>
      </w:r>
      <w:r w:rsidRPr="00FF009E">
        <w:rPr>
          <w:rFonts w:cs="Arial"/>
        </w:rPr>
        <w:lastRenderedPageBreak/>
        <w:t>Transparencia, Acceso a la Información Pública y Protección de Datos Personales del Estado de México y Municipios.</w:t>
      </w:r>
    </w:p>
    <w:p w14:paraId="6C36A399" w14:textId="77777777" w:rsidR="00DB1C09" w:rsidRPr="00FF009E" w:rsidRDefault="00DB1C09" w:rsidP="00FF009E">
      <w:pPr>
        <w:rPr>
          <w:rFonts w:cs="Arial"/>
        </w:rPr>
      </w:pPr>
    </w:p>
    <w:p w14:paraId="517A2DD6" w14:textId="4169BE4D" w:rsidR="00664420" w:rsidRPr="00FF009E" w:rsidRDefault="00BA55A8" w:rsidP="00FF009E">
      <w:pPr>
        <w:pStyle w:val="Ttulo3"/>
      </w:pPr>
      <w:bookmarkStart w:id="22" w:name="_Toc181795314"/>
      <w:r w:rsidRPr="00FF009E">
        <w:t>b)</w:t>
      </w:r>
      <w:r w:rsidR="00664420" w:rsidRPr="00FF009E">
        <w:t xml:space="preserve"> </w:t>
      </w:r>
      <w:r w:rsidR="00D91CB4" w:rsidRPr="00FF009E">
        <w:t>Legitimidad</w:t>
      </w:r>
      <w:r w:rsidRPr="00FF009E">
        <w:t xml:space="preserve"> de la parte recurrente</w:t>
      </w:r>
      <w:bookmarkEnd w:id="22"/>
    </w:p>
    <w:p w14:paraId="26FEA382" w14:textId="0B06695C" w:rsidR="00D91CB4" w:rsidRPr="00FF009E" w:rsidRDefault="00D91CB4" w:rsidP="00FF009E">
      <w:pPr>
        <w:rPr>
          <w:rFonts w:cs="Arial"/>
          <w:bCs/>
        </w:rPr>
      </w:pPr>
      <w:r w:rsidRPr="00FF009E">
        <w:rPr>
          <w:rFonts w:cs="Arial"/>
          <w:bCs/>
        </w:rPr>
        <w:t>El recurso de revisión fue interpuesto por parte legítima, ya que se presentó por la misma persona que formuló la solicitud de acceso a la Información Pública,</w:t>
      </w:r>
      <w:r w:rsidRPr="00FF009E">
        <w:rPr>
          <w:rFonts w:cs="Arial"/>
          <w:b/>
          <w:bCs/>
        </w:rPr>
        <w:t xml:space="preserve"> </w:t>
      </w:r>
      <w:r w:rsidRPr="00FF009E">
        <w:rPr>
          <w:rFonts w:cs="Arial"/>
        </w:rPr>
        <w:t>debido a que los datos de acceso</w:t>
      </w:r>
      <w:r w:rsidRPr="00FF009E">
        <w:rPr>
          <w:rFonts w:cs="Arial"/>
          <w:b/>
          <w:bCs/>
        </w:rPr>
        <w:t xml:space="preserve"> </w:t>
      </w:r>
      <w:r w:rsidRPr="00FF009E">
        <w:rPr>
          <w:rFonts w:cs="Arial"/>
        </w:rPr>
        <w:t>SAIMEX</w:t>
      </w:r>
      <w:r w:rsidRPr="00FF009E">
        <w:rPr>
          <w:rFonts w:eastAsia="Calibri" w:cs="Arial"/>
          <w:lang w:eastAsia="en-US"/>
        </w:rPr>
        <w:t xml:space="preserve"> son personales e irrepetibles.</w:t>
      </w:r>
    </w:p>
    <w:p w14:paraId="2C367810" w14:textId="77777777" w:rsidR="00D91CB4" w:rsidRPr="00FF009E" w:rsidRDefault="00D91CB4" w:rsidP="00FF009E"/>
    <w:p w14:paraId="496490FC" w14:textId="1A5F3FDB" w:rsidR="00D91CB4" w:rsidRPr="00FF009E" w:rsidRDefault="00BA55A8" w:rsidP="00FF009E">
      <w:pPr>
        <w:pStyle w:val="Ttulo3"/>
        <w:rPr>
          <w:rFonts w:eastAsia="Calibri"/>
          <w:lang w:eastAsia="es-ES_tradnl"/>
        </w:rPr>
      </w:pPr>
      <w:bookmarkStart w:id="23" w:name="_Toc181795315"/>
      <w:r w:rsidRPr="00FF009E">
        <w:rPr>
          <w:rFonts w:eastAsia="Calibri"/>
          <w:lang w:eastAsia="es-ES_tradnl"/>
        </w:rPr>
        <w:t>c)</w:t>
      </w:r>
      <w:r w:rsidR="00664420" w:rsidRPr="00FF009E">
        <w:rPr>
          <w:rFonts w:eastAsia="Calibri"/>
          <w:lang w:eastAsia="es-ES_tradnl"/>
        </w:rPr>
        <w:t xml:space="preserve"> </w:t>
      </w:r>
      <w:r w:rsidR="00D91CB4" w:rsidRPr="00FF009E">
        <w:rPr>
          <w:rFonts w:eastAsia="Calibri"/>
          <w:lang w:eastAsia="es-ES_tradnl"/>
        </w:rPr>
        <w:t>Plazo para interponer el recurso</w:t>
      </w:r>
      <w:bookmarkEnd w:id="23"/>
    </w:p>
    <w:p w14:paraId="106D37EE" w14:textId="7966DFC8" w:rsidR="00D91CB4" w:rsidRPr="00FF009E" w:rsidRDefault="00D91CB4" w:rsidP="00FF009E">
      <w:pPr>
        <w:rPr>
          <w:rFonts w:eastAsiaTheme="minorEastAsia" w:cs="Arial"/>
          <w:lang w:val="es-ES_tradnl"/>
        </w:rPr>
      </w:pPr>
      <w:r w:rsidRPr="00FF009E">
        <w:rPr>
          <w:rFonts w:cs="Arial"/>
          <w:b/>
        </w:rPr>
        <w:t>EL SUJETO OBLIGADO</w:t>
      </w:r>
      <w:r w:rsidRPr="00FF009E">
        <w:rPr>
          <w:rFonts w:cs="Arial"/>
        </w:rPr>
        <w:t xml:space="preserve"> notificó la respuesta a la solicitud de acceso a la Información Pública el </w:t>
      </w:r>
      <w:r w:rsidR="002C2835" w:rsidRPr="00FF009E">
        <w:rPr>
          <w:rFonts w:eastAsia="Palatino Linotype" w:cs="Palatino Linotype"/>
          <w:b/>
        </w:rPr>
        <w:t>dieciocho de septiembre</w:t>
      </w:r>
      <w:r w:rsidR="006B498E" w:rsidRPr="00FF009E">
        <w:rPr>
          <w:rFonts w:eastAsia="Palatino Linotype" w:cs="Palatino Linotype"/>
          <w:b/>
        </w:rPr>
        <w:t xml:space="preserve"> de dos mil veinticuatro</w:t>
      </w:r>
      <w:r w:rsidRPr="00FF009E">
        <w:rPr>
          <w:rFonts w:cs="Arial"/>
        </w:rPr>
        <w:t xml:space="preserve"> </w:t>
      </w:r>
      <w:r w:rsidR="00A53315" w:rsidRPr="00FF009E">
        <w:rPr>
          <w:rFonts w:cs="Arial"/>
        </w:rPr>
        <w:t xml:space="preserve">y el recurso </w:t>
      </w:r>
      <w:r w:rsidR="00A53315" w:rsidRPr="00FF009E">
        <w:rPr>
          <w:rFonts w:eastAsia="Palatino Linotype" w:cs="Palatino Linotype"/>
        </w:rPr>
        <w:t xml:space="preserve">que nos ocupa se interpuso el </w:t>
      </w:r>
      <w:r w:rsidR="002C2835" w:rsidRPr="00FF009E">
        <w:rPr>
          <w:rFonts w:eastAsia="Palatino Linotype" w:cs="Palatino Linotype"/>
          <w:b/>
        </w:rPr>
        <w:t>dos de octubre</w:t>
      </w:r>
      <w:r w:rsidR="006B498E" w:rsidRPr="00FF009E">
        <w:rPr>
          <w:rFonts w:eastAsia="Palatino Linotype" w:cs="Palatino Linotype"/>
          <w:b/>
        </w:rPr>
        <w:t xml:space="preserve"> de dos mil veinticuatro</w:t>
      </w:r>
      <w:r w:rsidR="00A53315" w:rsidRPr="00FF009E">
        <w:rPr>
          <w:rFonts w:eastAsia="Palatino Linotype" w:cs="Palatino Linotype"/>
          <w:bCs/>
        </w:rPr>
        <w:t>;</w:t>
      </w:r>
      <w:r w:rsidR="00A53315" w:rsidRPr="00FF009E">
        <w:rPr>
          <w:rFonts w:eastAsia="Palatino Linotype" w:cs="Palatino Linotype"/>
        </w:rPr>
        <w:t xml:space="preserve"> por lo tanto, éste se encuentra dentro del margen temporal previsto en el artículo 178 de la </w:t>
      </w:r>
      <w:r w:rsidR="00A53315" w:rsidRPr="00FF009E">
        <w:rPr>
          <w:rFonts w:cs="Arial"/>
        </w:rPr>
        <w:t xml:space="preserve">Ley de Transparencia y Acceso a la Información Pública del Estado de México y Municipios, </w:t>
      </w:r>
      <w:bookmarkStart w:id="24" w:name="_Hlk62134391"/>
      <w:r w:rsidRPr="00FF009E">
        <w:rPr>
          <w:rFonts w:eastAsiaTheme="minorEastAsia" w:cs="Arial"/>
          <w:lang w:val="es-ES_tradnl"/>
        </w:rPr>
        <w:t xml:space="preserve">en términos del </w:t>
      </w:r>
      <w:bookmarkEnd w:id="24"/>
      <w:r w:rsidRPr="00FF009E">
        <w:rPr>
          <w:rFonts w:eastAsiaTheme="minorEastAsia" w:cs="Arial"/>
          <w:lang w:val="es-ES_tradnl"/>
        </w:rPr>
        <w:t>Calendario oficia</w:t>
      </w:r>
      <w:r w:rsidR="00CB7E9A" w:rsidRPr="00FF009E">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FF009E" w:rsidRDefault="00D91CB4" w:rsidP="00FF009E">
      <w:pPr>
        <w:rPr>
          <w:rFonts w:eastAsia="Palatino Linotype" w:cs="Palatino Linotype"/>
        </w:rPr>
      </w:pPr>
    </w:p>
    <w:p w14:paraId="46C0EB3A" w14:textId="6A82E2BB" w:rsidR="00A53315" w:rsidRPr="00FF009E" w:rsidRDefault="00BA55A8" w:rsidP="00FF009E">
      <w:pPr>
        <w:pStyle w:val="Ttulo3"/>
        <w:rPr>
          <w:rFonts w:eastAsia="Calibri"/>
          <w:lang w:eastAsia="es-ES_tradnl"/>
        </w:rPr>
      </w:pPr>
      <w:bookmarkStart w:id="25" w:name="_Toc181795316"/>
      <w:r w:rsidRPr="00FF009E">
        <w:rPr>
          <w:rFonts w:eastAsia="Calibri"/>
          <w:lang w:eastAsia="es-ES_tradnl"/>
        </w:rPr>
        <w:t>d)</w:t>
      </w:r>
      <w:r w:rsidR="00D91CB4" w:rsidRPr="00FF009E">
        <w:rPr>
          <w:rFonts w:eastAsia="Calibri"/>
          <w:lang w:eastAsia="es-ES_tradnl"/>
        </w:rPr>
        <w:t xml:space="preserve"> </w:t>
      </w:r>
      <w:r w:rsidR="00987005" w:rsidRPr="00FF009E">
        <w:rPr>
          <w:rFonts w:eastAsia="Calibri"/>
          <w:lang w:eastAsia="es-ES_tradnl"/>
        </w:rPr>
        <w:t>Causal de procedencia.</w:t>
      </w:r>
      <w:bookmarkEnd w:id="25"/>
    </w:p>
    <w:p w14:paraId="190404A6" w14:textId="206F2F8E" w:rsidR="00BA55A8" w:rsidRPr="00FF009E" w:rsidRDefault="00BA55A8" w:rsidP="00FF009E">
      <w:r w:rsidRPr="00FF009E">
        <w:rPr>
          <w:rFonts w:cs="Arial"/>
        </w:rPr>
        <w:t xml:space="preserve">Resulta procedente la interposición del recurso de revisión, ya que </w:t>
      </w:r>
      <w:r w:rsidRPr="00FF009E">
        <w:rPr>
          <w:rFonts w:eastAsia="Calibri" w:cs="Tahoma"/>
          <w:szCs w:val="22"/>
          <w:lang w:eastAsia="es-MX"/>
        </w:rPr>
        <w:t xml:space="preserve">se actualiza la causal de procedencia señalada en el artículo 179, fracción </w:t>
      </w:r>
      <w:r w:rsidR="004C2ADA" w:rsidRPr="00FF009E">
        <w:rPr>
          <w:rFonts w:eastAsia="Calibri" w:cs="Tahoma"/>
          <w:szCs w:val="22"/>
          <w:lang w:eastAsia="es-MX"/>
        </w:rPr>
        <w:t>I</w:t>
      </w:r>
      <w:r w:rsidR="003A71F3" w:rsidRPr="00FF009E">
        <w:rPr>
          <w:rFonts w:eastAsia="Calibri" w:cs="Tahoma"/>
          <w:szCs w:val="22"/>
          <w:lang w:eastAsia="es-MX"/>
        </w:rPr>
        <w:t xml:space="preserve"> </w:t>
      </w:r>
      <w:r w:rsidRPr="00FF009E">
        <w:rPr>
          <w:rFonts w:cs="Arial"/>
        </w:rPr>
        <w:t xml:space="preserve">de la </w:t>
      </w:r>
      <w:r w:rsidRPr="00FF009E">
        <w:t>Ley de Transparencia y Acceso a la Información Pública del Estado de México y Municipios.</w:t>
      </w:r>
    </w:p>
    <w:p w14:paraId="0EFF7141" w14:textId="77777777" w:rsidR="00362A11" w:rsidRPr="00FF009E" w:rsidRDefault="00362A11" w:rsidP="00FF009E"/>
    <w:p w14:paraId="2284D7EB" w14:textId="3EE1D036" w:rsidR="00BA55A8" w:rsidRPr="00FF009E" w:rsidRDefault="00362A11" w:rsidP="00FF009E">
      <w:pPr>
        <w:pStyle w:val="Ttulo3"/>
      </w:pPr>
      <w:bookmarkStart w:id="26" w:name="_Toc181795317"/>
      <w:r w:rsidRPr="00FF009E">
        <w:t>e) Requisitos formales para la interposición del recurso</w:t>
      </w:r>
      <w:bookmarkEnd w:id="26"/>
    </w:p>
    <w:p w14:paraId="5224DF75" w14:textId="08A67C5A" w:rsidR="00664942" w:rsidRPr="00FF009E" w:rsidRDefault="00BA55A8" w:rsidP="00FF009E">
      <w:pPr>
        <w:rPr>
          <w:rFonts w:cs="Arial"/>
        </w:rPr>
      </w:pPr>
      <w:r w:rsidRPr="00FF009E">
        <w:rPr>
          <w:rFonts w:cs="Arial"/>
          <w:b/>
          <w:bCs/>
        </w:rPr>
        <w:t xml:space="preserve">LA PARTE RECURRENTE </w:t>
      </w:r>
      <w:r w:rsidRPr="00FF009E">
        <w:rPr>
          <w:rFonts w:cs="Arial"/>
        </w:rPr>
        <w:t>acreditó todos y cada uno de los elementos formales exigidos por el artículo 180 de la mism</w:t>
      </w:r>
      <w:r w:rsidR="00904F86" w:rsidRPr="00FF009E">
        <w:rPr>
          <w:rFonts w:cs="Arial"/>
        </w:rPr>
        <w:t>a normatividad.</w:t>
      </w:r>
    </w:p>
    <w:p w14:paraId="099C25BB" w14:textId="77777777" w:rsidR="00B3411B" w:rsidRPr="00FF009E" w:rsidRDefault="00B3411B" w:rsidP="00FF009E">
      <w:pPr>
        <w:rPr>
          <w:rFonts w:cs="Arial"/>
        </w:rPr>
      </w:pPr>
    </w:p>
    <w:p w14:paraId="73F9DC49" w14:textId="77777777" w:rsidR="00B3411B" w:rsidRPr="00FF009E" w:rsidRDefault="00B3411B" w:rsidP="00FF009E">
      <w:pPr>
        <w:rPr>
          <w:rFonts w:cs="Arial"/>
          <w:lang w:val="es-ES"/>
        </w:rPr>
      </w:pPr>
      <w:r w:rsidRPr="00FF009E">
        <w:rPr>
          <w:lang w:val="es-ES"/>
        </w:rPr>
        <w:t xml:space="preserve">Es importante mencionar que, de la revisión del expediente electrónico del </w:t>
      </w:r>
      <w:r w:rsidRPr="00FF009E">
        <w:rPr>
          <w:bCs/>
          <w:lang w:val="es-ES"/>
        </w:rPr>
        <w:t>SAIMEX,</w:t>
      </w:r>
      <w:r w:rsidRPr="00FF009E">
        <w:rPr>
          <w:lang w:val="es-ES"/>
        </w:rPr>
        <w:t xml:space="preserve"> se observa que </w:t>
      </w:r>
      <w:r w:rsidRPr="00FF009E">
        <w:rPr>
          <w:b/>
          <w:bCs/>
          <w:lang w:val="es-ES"/>
        </w:rPr>
        <w:t>LA PARTE RECURRENTE</w:t>
      </w:r>
      <w:r w:rsidRPr="00FF009E">
        <w:rPr>
          <w:lang w:val="es-ES"/>
        </w:rPr>
        <w:t xml:space="preserve"> no proporcionó su nombre para ser identificado, lo que en estricto sentido provoca que </w:t>
      </w:r>
      <w:r w:rsidRPr="00FF009E">
        <w:rPr>
          <w:rFonts w:cs="Arial"/>
          <w:lang w:val="es-ES"/>
        </w:rPr>
        <w:t>no</w:t>
      </w:r>
      <w:r w:rsidRPr="00FF009E">
        <w:rPr>
          <w:lang w:val="es-ES"/>
        </w:rPr>
        <w:t xml:space="preserve"> se colmen los requisitos establecidos en el artículo 180 de la Ley de Transparencia; sin embargo, el artículo 15 de </w:t>
      </w:r>
      <w:r w:rsidRPr="00FF009E">
        <w:rPr>
          <w:rFonts w:cs="Arial"/>
          <w:lang w:val="es-ES" w:eastAsia="es-MX"/>
        </w:rPr>
        <w:t xml:space="preserve">Ley de Transparencia y Acceso a la </w:t>
      </w:r>
      <w:r w:rsidRPr="00FF009E">
        <w:rPr>
          <w:rFonts w:cs="Arial"/>
          <w:lang w:val="es-ES"/>
        </w:rPr>
        <w:t>Información</w:t>
      </w:r>
      <w:r w:rsidRPr="00FF009E">
        <w:rPr>
          <w:rFonts w:cs="Arial"/>
          <w:lang w:val="es-ES" w:eastAsia="es-MX"/>
        </w:rPr>
        <w:t xml:space="preserve"> Pública del Estado de México y Municipios </w:t>
      </w:r>
      <w:r w:rsidRPr="00FF009E">
        <w:rPr>
          <w:rFonts w:cs="Arial"/>
          <w:iCs/>
          <w:lang w:val="es-ES"/>
        </w:rPr>
        <w:t xml:space="preserve">prevé que </w:t>
      </w:r>
      <w:r w:rsidRPr="00FF009E">
        <w:rPr>
          <w:lang w:val="es-ES"/>
        </w:rPr>
        <w:t xml:space="preserve">toda persona tendrá acceso a la información </w:t>
      </w:r>
      <w:r w:rsidRPr="00FF009E">
        <w:rPr>
          <w:rFonts w:cs="Arial"/>
          <w:lang w:val="es-ES"/>
        </w:rPr>
        <w:t xml:space="preserve">sin necesidad de acreditar interés alguno o justificar su utilización, de lo que se infiere que </w:t>
      </w:r>
      <w:r w:rsidRPr="00FF009E">
        <w:rPr>
          <w:rFonts w:cs="Arial"/>
          <w:b/>
          <w:u w:val="single"/>
          <w:lang w:val="es-ES"/>
        </w:rPr>
        <w:t xml:space="preserve">el nombre no es un requisito </w:t>
      </w:r>
      <w:r w:rsidRPr="00FF009E">
        <w:rPr>
          <w:rFonts w:cs="Arial"/>
          <w:b/>
          <w:iCs/>
          <w:u w:val="single"/>
          <w:lang w:val="es-ES"/>
        </w:rPr>
        <w:t>indispensable</w:t>
      </w:r>
      <w:r w:rsidRPr="00FF009E">
        <w:rPr>
          <w:rFonts w:cs="Arial"/>
          <w:lang w:val="es-ES"/>
        </w:rPr>
        <w:t xml:space="preserve"> para que las y los ciudadanos ejerzan el derecho de acceso a la información pública. </w:t>
      </w:r>
    </w:p>
    <w:p w14:paraId="5384D3CE" w14:textId="77777777" w:rsidR="00B3411B" w:rsidRPr="00FF009E" w:rsidRDefault="00B3411B" w:rsidP="00FF009E">
      <w:pPr>
        <w:rPr>
          <w:rFonts w:cs="Arial"/>
          <w:lang w:val="es-ES"/>
        </w:rPr>
      </w:pPr>
    </w:p>
    <w:p w14:paraId="466035B9" w14:textId="29BE6645" w:rsidR="00B3411B" w:rsidRPr="00FF009E" w:rsidRDefault="00B3411B" w:rsidP="00FF009E">
      <w:pPr>
        <w:rPr>
          <w:rFonts w:cs="Arial"/>
        </w:rPr>
      </w:pPr>
      <w:r w:rsidRPr="00FF009E">
        <w:rPr>
          <w:rFonts w:cs="Arial"/>
          <w:lang w:val="es-ES"/>
        </w:rPr>
        <w:t>Asimismo, la Ley de la materia prevé en su artículo 155, párrafo segundo la posibilidad de que las solicitudes de información sean anónimas, al utilizar un nombre incompleto o, inclusive un seudónimo.</w:t>
      </w:r>
      <w:r w:rsidRPr="00FF009E">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FF009E">
        <w:rPr>
          <w:b/>
          <w:bCs/>
          <w:lang w:val="es-ES"/>
        </w:rPr>
        <w:t>LA PARTE RECURRENTE</w:t>
      </w:r>
      <w:r w:rsidRPr="00FF009E">
        <w:rPr>
          <w:rFonts w:cs="Arial"/>
          <w:b/>
          <w:lang w:val="es-ES"/>
        </w:rPr>
        <w:t>;</w:t>
      </w:r>
      <w:r w:rsidRPr="00FF009E">
        <w:rPr>
          <w:lang w:val="es-ES"/>
        </w:rPr>
        <w:t xml:space="preserve"> por lo que, en el presente caso, al haber sido presentado el recurso de revisión vía </w:t>
      </w:r>
      <w:r w:rsidRPr="00FF009E">
        <w:rPr>
          <w:bCs/>
          <w:lang w:val="es-ES"/>
        </w:rPr>
        <w:t>SAIMEX</w:t>
      </w:r>
      <w:r w:rsidRPr="00FF009E">
        <w:rPr>
          <w:lang w:val="es-ES"/>
        </w:rPr>
        <w:t>, dicho requisito resulta innecesario.</w:t>
      </w:r>
    </w:p>
    <w:p w14:paraId="629B93E1" w14:textId="77777777" w:rsidR="00987005" w:rsidRPr="00FF009E" w:rsidRDefault="00987005" w:rsidP="00FF009E">
      <w:pPr>
        <w:rPr>
          <w:rFonts w:cs="Arial"/>
        </w:rPr>
      </w:pPr>
    </w:p>
    <w:p w14:paraId="457548E9" w14:textId="3F7AF03B" w:rsidR="00C71CEF" w:rsidRPr="00FF009E" w:rsidRDefault="00C71CEF" w:rsidP="00FF009E">
      <w:pPr>
        <w:pStyle w:val="Ttulo2"/>
      </w:pPr>
      <w:bookmarkStart w:id="27" w:name="_Toc181795318"/>
      <w:r w:rsidRPr="00FF009E">
        <w:t>SEGUNDO. Estudio de Fondo</w:t>
      </w:r>
      <w:bookmarkEnd w:id="27"/>
    </w:p>
    <w:p w14:paraId="2A308F59" w14:textId="0FF373F0" w:rsidR="00C049E2" w:rsidRPr="00FF009E" w:rsidRDefault="00C71CEF" w:rsidP="00FF009E">
      <w:pPr>
        <w:pStyle w:val="Ttulo3"/>
      </w:pPr>
      <w:bookmarkStart w:id="28" w:name="_Toc181795319"/>
      <w:r w:rsidRPr="00FF009E">
        <w:t>a</w:t>
      </w:r>
      <w:r w:rsidR="00C049E2" w:rsidRPr="00FF009E">
        <w:t>) Mandato de transparencia y responsabilidad del Sujeto Obligado</w:t>
      </w:r>
      <w:bookmarkEnd w:id="28"/>
    </w:p>
    <w:p w14:paraId="6901A889" w14:textId="59EEDAE1" w:rsidR="00C049E2" w:rsidRPr="00FF009E" w:rsidRDefault="00C049E2" w:rsidP="00FF009E">
      <w:pPr>
        <w:rPr>
          <w:rFonts w:eastAsia="Palatino Linotype"/>
        </w:rPr>
      </w:pPr>
      <w:r w:rsidRPr="00FF009E">
        <w:rPr>
          <w:rFonts w:eastAsia="Palatino Linotype"/>
        </w:rPr>
        <w:t xml:space="preserve">El </w:t>
      </w:r>
      <w:r w:rsidR="00717E59" w:rsidRPr="00FF009E">
        <w:rPr>
          <w:rFonts w:eastAsia="Palatino Linotype"/>
        </w:rPr>
        <w:t>d</w:t>
      </w:r>
      <w:r w:rsidRPr="00FF009E">
        <w:rPr>
          <w:rFonts w:eastAsia="Palatino Linotype"/>
        </w:rPr>
        <w:t xml:space="preserve">erecho de </w:t>
      </w:r>
      <w:r w:rsidR="00717E59" w:rsidRPr="00FF009E">
        <w:rPr>
          <w:rFonts w:eastAsia="Palatino Linotype"/>
        </w:rPr>
        <w:t>a</w:t>
      </w:r>
      <w:r w:rsidRPr="00FF009E">
        <w:rPr>
          <w:rFonts w:eastAsia="Palatino Linotype"/>
        </w:rPr>
        <w:t xml:space="preserve">cceso a la </w:t>
      </w:r>
      <w:r w:rsidR="00717E59" w:rsidRPr="00FF009E">
        <w:rPr>
          <w:rFonts w:eastAsia="Palatino Linotype"/>
        </w:rPr>
        <w:t>i</w:t>
      </w:r>
      <w:r w:rsidRPr="00FF009E">
        <w:rPr>
          <w:rFonts w:eastAsia="Palatino Linotype"/>
        </w:rPr>
        <w:t xml:space="preserve">nformación </w:t>
      </w:r>
      <w:r w:rsidR="00717E59" w:rsidRPr="00FF009E">
        <w:rPr>
          <w:rFonts w:eastAsia="Palatino Linotype"/>
        </w:rPr>
        <w:t>p</w:t>
      </w:r>
      <w:r w:rsidRPr="00FF009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F009E">
        <w:rPr>
          <w:rFonts w:eastAsia="Palatino Linotype"/>
        </w:rPr>
        <w:t>:</w:t>
      </w:r>
    </w:p>
    <w:p w14:paraId="7FAB8D32" w14:textId="77777777" w:rsidR="00C049E2" w:rsidRPr="00FF009E" w:rsidRDefault="00C049E2" w:rsidP="00FF009E">
      <w:pPr>
        <w:rPr>
          <w:rFonts w:eastAsia="Palatino Linotype"/>
        </w:rPr>
      </w:pPr>
    </w:p>
    <w:p w14:paraId="05320813" w14:textId="77777777" w:rsidR="00C049E2" w:rsidRPr="00FF009E" w:rsidRDefault="00C049E2" w:rsidP="00FF009E">
      <w:pPr>
        <w:spacing w:line="240" w:lineRule="auto"/>
        <w:ind w:left="567" w:right="539"/>
        <w:rPr>
          <w:rFonts w:eastAsia="Palatino Linotype"/>
          <w:b/>
          <w:i/>
        </w:rPr>
      </w:pPr>
      <w:r w:rsidRPr="00FF009E">
        <w:rPr>
          <w:rFonts w:eastAsia="Palatino Linotype"/>
          <w:b/>
          <w:i/>
        </w:rPr>
        <w:t>Constitución Política de los Estados Unidos Mexicanos</w:t>
      </w:r>
    </w:p>
    <w:p w14:paraId="6B6C67B6" w14:textId="77777777" w:rsidR="00C049E2" w:rsidRPr="00FF009E" w:rsidRDefault="00C049E2" w:rsidP="00FF009E">
      <w:pPr>
        <w:spacing w:line="240" w:lineRule="auto"/>
        <w:ind w:left="567" w:right="539"/>
        <w:rPr>
          <w:rFonts w:eastAsia="Palatino Linotype"/>
          <w:b/>
          <w:i/>
        </w:rPr>
      </w:pPr>
      <w:r w:rsidRPr="00FF009E">
        <w:rPr>
          <w:rFonts w:eastAsia="Palatino Linotype"/>
          <w:b/>
          <w:i/>
        </w:rPr>
        <w:t>“Artículo 6.</w:t>
      </w:r>
    </w:p>
    <w:p w14:paraId="38D3B4C4" w14:textId="77777777" w:rsidR="00C049E2" w:rsidRPr="00FF009E" w:rsidRDefault="00C049E2" w:rsidP="00FF009E">
      <w:pPr>
        <w:spacing w:line="240" w:lineRule="auto"/>
        <w:ind w:left="567" w:right="539"/>
        <w:rPr>
          <w:rFonts w:eastAsia="Palatino Linotype"/>
          <w:i/>
        </w:rPr>
      </w:pPr>
      <w:r w:rsidRPr="00FF009E">
        <w:rPr>
          <w:rFonts w:eastAsia="Palatino Linotype"/>
          <w:i/>
        </w:rPr>
        <w:lastRenderedPageBreak/>
        <w:t>(…)</w:t>
      </w:r>
    </w:p>
    <w:p w14:paraId="2CCAA297" w14:textId="6602827B" w:rsidR="00C049E2" w:rsidRPr="00FF009E" w:rsidRDefault="00C049E2" w:rsidP="00FF009E">
      <w:pPr>
        <w:spacing w:line="240" w:lineRule="auto"/>
        <w:ind w:left="567" w:right="539"/>
        <w:rPr>
          <w:rFonts w:eastAsia="Palatino Linotype"/>
          <w:i/>
        </w:rPr>
      </w:pPr>
      <w:r w:rsidRPr="00FF009E">
        <w:rPr>
          <w:rFonts w:eastAsia="Palatino Linotype"/>
          <w:i/>
        </w:rPr>
        <w:t>Para efectos de lo dispuesto en el presente artículo se observará lo siguiente:</w:t>
      </w:r>
    </w:p>
    <w:p w14:paraId="74CC3718" w14:textId="77777777" w:rsidR="00C049E2" w:rsidRPr="00FF009E" w:rsidRDefault="00C049E2" w:rsidP="00FF009E">
      <w:pPr>
        <w:spacing w:line="240" w:lineRule="auto"/>
        <w:ind w:left="567" w:right="539"/>
        <w:rPr>
          <w:rFonts w:eastAsia="Palatino Linotype"/>
          <w:b/>
          <w:i/>
        </w:rPr>
      </w:pPr>
      <w:r w:rsidRPr="00FF009E">
        <w:rPr>
          <w:rFonts w:eastAsia="Palatino Linotype"/>
          <w:b/>
          <w:i/>
        </w:rPr>
        <w:t>A</w:t>
      </w:r>
      <w:r w:rsidRPr="00FF009E">
        <w:rPr>
          <w:rFonts w:eastAsia="Palatino Linotype"/>
          <w:i/>
        </w:rPr>
        <w:t xml:space="preserve">. </w:t>
      </w:r>
      <w:r w:rsidRPr="00FF009E">
        <w:rPr>
          <w:rFonts w:eastAsia="Palatino Linotype"/>
          <w:b/>
          <w:i/>
        </w:rPr>
        <w:t>Para el ejercicio del derecho de acceso a la información</w:t>
      </w:r>
      <w:r w:rsidRPr="00FF009E">
        <w:rPr>
          <w:rFonts w:eastAsia="Palatino Linotype"/>
          <w:i/>
        </w:rPr>
        <w:t xml:space="preserve">, la Federación y </w:t>
      </w:r>
      <w:r w:rsidRPr="00FF009E">
        <w:rPr>
          <w:rFonts w:eastAsia="Palatino Linotype"/>
          <w:b/>
          <w:i/>
        </w:rPr>
        <w:t>las entidades federativas, en el ámbito de sus respectivas competencias, se regirán por los siguientes principios y bases:</w:t>
      </w:r>
    </w:p>
    <w:p w14:paraId="596A956B" w14:textId="77777777" w:rsidR="00C049E2" w:rsidRPr="00FF009E" w:rsidRDefault="00C049E2" w:rsidP="00FF009E">
      <w:pPr>
        <w:spacing w:line="240" w:lineRule="auto"/>
        <w:ind w:left="567" w:right="539"/>
        <w:rPr>
          <w:rFonts w:eastAsia="Palatino Linotype"/>
          <w:i/>
        </w:rPr>
      </w:pPr>
      <w:r w:rsidRPr="00FF009E">
        <w:rPr>
          <w:rFonts w:eastAsia="Palatino Linotype"/>
          <w:b/>
          <w:i/>
        </w:rPr>
        <w:t xml:space="preserve">I. </w:t>
      </w:r>
      <w:r w:rsidRPr="00FF009E">
        <w:rPr>
          <w:rFonts w:eastAsia="Palatino Linotype"/>
          <w:b/>
          <w:i/>
        </w:rPr>
        <w:tab/>
        <w:t>Toda la información en posesión de cualquier</w:t>
      </w:r>
      <w:r w:rsidRPr="00FF009E">
        <w:rPr>
          <w:rFonts w:eastAsia="Palatino Linotype"/>
          <w:i/>
        </w:rPr>
        <w:t xml:space="preserve"> </w:t>
      </w:r>
      <w:r w:rsidRPr="00FF009E">
        <w:rPr>
          <w:rFonts w:eastAsia="Palatino Linotype"/>
          <w:b/>
          <w:i/>
        </w:rPr>
        <w:t>autoridad</w:t>
      </w:r>
      <w:r w:rsidRPr="00FF009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F009E">
        <w:rPr>
          <w:rFonts w:eastAsia="Palatino Linotype"/>
          <w:b/>
          <w:i/>
        </w:rPr>
        <w:t>municipal</w:t>
      </w:r>
      <w:r w:rsidRPr="00FF009E">
        <w:rPr>
          <w:rFonts w:eastAsia="Palatino Linotype"/>
          <w:i/>
        </w:rPr>
        <w:t xml:space="preserve">, </w:t>
      </w:r>
      <w:r w:rsidRPr="00FF009E">
        <w:rPr>
          <w:rFonts w:eastAsia="Palatino Linotype"/>
          <w:b/>
          <w:i/>
        </w:rPr>
        <w:t>es pública</w:t>
      </w:r>
      <w:r w:rsidRPr="00FF009E">
        <w:rPr>
          <w:rFonts w:eastAsia="Palatino Linotype"/>
          <w:i/>
        </w:rPr>
        <w:t xml:space="preserve"> y sólo podrá ser reservada temporalmente por razones de interés público y seguridad nacional, en los términos que fijen las leyes. </w:t>
      </w:r>
      <w:r w:rsidRPr="00FF009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F009E">
        <w:rPr>
          <w:rFonts w:eastAsia="Palatino Linotype"/>
          <w:i/>
        </w:rPr>
        <w:t>, la ley determinará los supuestos específicos bajo los cuales procederá la declaración de inexistencia de la información.”</w:t>
      </w:r>
    </w:p>
    <w:p w14:paraId="68F313E4" w14:textId="77777777" w:rsidR="00C049E2" w:rsidRPr="00FF009E" w:rsidRDefault="00C049E2" w:rsidP="00FF009E">
      <w:pPr>
        <w:spacing w:line="240" w:lineRule="auto"/>
        <w:ind w:left="567" w:right="539"/>
        <w:rPr>
          <w:rFonts w:eastAsia="Palatino Linotype"/>
          <w:b/>
          <w:i/>
        </w:rPr>
      </w:pPr>
    </w:p>
    <w:p w14:paraId="504F12DB" w14:textId="77777777" w:rsidR="00C049E2" w:rsidRPr="00FF009E" w:rsidRDefault="00C049E2" w:rsidP="00FF009E">
      <w:pPr>
        <w:spacing w:line="240" w:lineRule="auto"/>
        <w:ind w:left="567" w:right="539"/>
        <w:rPr>
          <w:rFonts w:eastAsia="Palatino Linotype"/>
          <w:b/>
          <w:i/>
        </w:rPr>
      </w:pPr>
      <w:r w:rsidRPr="00FF009E">
        <w:rPr>
          <w:rFonts w:eastAsia="Palatino Linotype"/>
          <w:b/>
          <w:i/>
        </w:rPr>
        <w:t>Constitución Política del Estado Libre y Soberano de México</w:t>
      </w:r>
    </w:p>
    <w:p w14:paraId="04932D29" w14:textId="77777777" w:rsidR="00C049E2" w:rsidRPr="00FF009E" w:rsidRDefault="00C049E2" w:rsidP="00FF009E">
      <w:pPr>
        <w:spacing w:line="240" w:lineRule="auto"/>
        <w:ind w:left="567" w:right="539"/>
        <w:rPr>
          <w:rFonts w:eastAsia="Palatino Linotype"/>
          <w:i/>
        </w:rPr>
      </w:pPr>
      <w:r w:rsidRPr="00FF009E">
        <w:rPr>
          <w:rFonts w:eastAsia="Palatino Linotype"/>
          <w:b/>
          <w:i/>
        </w:rPr>
        <w:t>“Artículo 5</w:t>
      </w:r>
      <w:r w:rsidRPr="00FF009E">
        <w:rPr>
          <w:rFonts w:eastAsia="Palatino Linotype"/>
          <w:i/>
        </w:rPr>
        <w:t xml:space="preserve">.- </w:t>
      </w:r>
    </w:p>
    <w:p w14:paraId="1D3829F4" w14:textId="77777777" w:rsidR="00C049E2" w:rsidRPr="00FF009E" w:rsidRDefault="00C049E2" w:rsidP="00FF009E">
      <w:pPr>
        <w:spacing w:line="240" w:lineRule="auto"/>
        <w:ind w:left="567" w:right="539"/>
        <w:rPr>
          <w:rFonts w:eastAsia="Palatino Linotype"/>
          <w:i/>
        </w:rPr>
      </w:pPr>
      <w:r w:rsidRPr="00FF009E">
        <w:rPr>
          <w:rFonts w:eastAsia="Palatino Linotype"/>
          <w:i/>
        </w:rPr>
        <w:t>(…)</w:t>
      </w:r>
    </w:p>
    <w:p w14:paraId="0EAE47FD" w14:textId="77777777" w:rsidR="00C049E2" w:rsidRPr="00FF009E" w:rsidRDefault="00C049E2" w:rsidP="00FF009E">
      <w:pPr>
        <w:spacing w:line="240" w:lineRule="auto"/>
        <w:ind w:left="567" w:right="539"/>
        <w:rPr>
          <w:rFonts w:eastAsia="Palatino Linotype"/>
          <w:i/>
        </w:rPr>
      </w:pPr>
      <w:r w:rsidRPr="00FF009E">
        <w:rPr>
          <w:rFonts w:eastAsia="Palatino Linotype"/>
          <w:b/>
          <w:i/>
        </w:rPr>
        <w:t>El derecho a la información será garantizado por el Estado. La ley establecerá las previsiones que permitan asegurar la protección, el respeto y la difusión de este derecho</w:t>
      </w:r>
      <w:r w:rsidRPr="00FF009E">
        <w:rPr>
          <w:rFonts w:eastAsia="Palatino Linotype"/>
          <w:i/>
        </w:rPr>
        <w:t>.</w:t>
      </w:r>
    </w:p>
    <w:p w14:paraId="4F0C804A" w14:textId="77777777" w:rsidR="00C049E2" w:rsidRPr="00FF009E" w:rsidRDefault="00C049E2" w:rsidP="00FF009E">
      <w:pPr>
        <w:spacing w:line="240" w:lineRule="auto"/>
        <w:ind w:left="567" w:right="539"/>
        <w:rPr>
          <w:rFonts w:eastAsia="Palatino Linotype"/>
          <w:i/>
        </w:rPr>
      </w:pPr>
      <w:r w:rsidRPr="00FF009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F009E" w:rsidRDefault="00C049E2" w:rsidP="00FF009E">
      <w:pPr>
        <w:spacing w:line="240" w:lineRule="auto"/>
        <w:ind w:left="567" w:right="539"/>
        <w:rPr>
          <w:rFonts w:eastAsia="Palatino Linotype"/>
          <w:i/>
        </w:rPr>
      </w:pPr>
      <w:r w:rsidRPr="00FF009E">
        <w:rPr>
          <w:rFonts w:eastAsia="Palatino Linotype"/>
          <w:b/>
          <w:i/>
        </w:rPr>
        <w:t>Este derecho se regirá por los principios y bases siguientes</w:t>
      </w:r>
      <w:r w:rsidRPr="00FF009E">
        <w:rPr>
          <w:rFonts w:eastAsia="Palatino Linotype"/>
          <w:i/>
        </w:rPr>
        <w:t>:</w:t>
      </w:r>
    </w:p>
    <w:p w14:paraId="4A3E8CBA" w14:textId="77777777" w:rsidR="00C049E2" w:rsidRPr="00FF009E" w:rsidRDefault="00C049E2" w:rsidP="00FF009E">
      <w:pPr>
        <w:spacing w:line="240" w:lineRule="auto"/>
        <w:ind w:left="567" w:right="539"/>
        <w:rPr>
          <w:rFonts w:eastAsia="Palatino Linotype"/>
          <w:i/>
        </w:rPr>
      </w:pPr>
      <w:r w:rsidRPr="00FF009E">
        <w:rPr>
          <w:rFonts w:eastAsia="Palatino Linotype"/>
          <w:b/>
          <w:i/>
        </w:rPr>
        <w:t>I. Toda la información en posesión de cualquier autoridad, entidad, órgano y organismos de los</w:t>
      </w:r>
      <w:r w:rsidRPr="00FF009E">
        <w:rPr>
          <w:rFonts w:eastAsia="Palatino Linotype"/>
          <w:i/>
        </w:rPr>
        <w:t xml:space="preserve"> Poderes Ejecutivo, Legislativo y Judicial, órganos autónomos, partidos políticos, fideicomisos y fondos públicos estatales y </w:t>
      </w:r>
      <w:r w:rsidRPr="00FF009E">
        <w:rPr>
          <w:rFonts w:eastAsia="Palatino Linotype"/>
          <w:b/>
          <w:i/>
        </w:rPr>
        <w:t>municipales</w:t>
      </w:r>
      <w:r w:rsidRPr="00FF009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F009E">
        <w:rPr>
          <w:rFonts w:eastAsia="Palatino Linotype"/>
          <w:b/>
          <w:i/>
        </w:rPr>
        <w:t>es pública</w:t>
      </w:r>
      <w:r w:rsidRPr="00FF009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F009E">
        <w:rPr>
          <w:rFonts w:eastAsia="Palatino Linotype"/>
          <w:b/>
          <w:i/>
        </w:rPr>
        <w:t>En la interpretación de este derecho deberá prevalecer el principio de máxima publicidad</w:t>
      </w:r>
      <w:r w:rsidRPr="00FF009E">
        <w:rPr>
          <w:rFonts w:eastAsia="Palatino Linotype"/>
          <w:i/>
        </w:rPr>
        <w:t xml:space="preserve">. </w:t>
      </w:r>
      <w:r w:rsidRPr="00FF009E">
        <w:rPr>
          <w:rFonts w:eastAsia="Palatino Linotype"/>
          <w:b/>
          <w:i/>
        </w:rPr>
        <w:t>Los sujetos obligados deberán documentar todo acto que derive del ejercicio de sus facultades, competencias o funciones</w:t>
      </w:r>
      <w:r w:rsidRPr="00FF009E">
        <w:rPr>
          <w:rFonts w:eastAsia="Palatino Linotype"/>
          <w:i/>
        </w:rPr>
        <w:t>, la ley determinará los supuestos específicos bajo los cuales procederá la declaración de inexistencia de la información.”</w:t>
      </w:r>
    </w:p>
    <w:p w14:paraId="5CA98E37" w14:textId="77777777" w:rsidR="00C049E2" w:rsidRPr="00FF009E" w:rsidRDefault="00C049E2" w:rsidP="00FF009E">
      <w:pPr>
        <w:rPr>
          <w:rFonts w:eastAsia="Palatino Linotype"/>
          <w:b/>
          <w:i/>
        </w:rPr>
      </w:pPr>
    </w:p>
    <w:p w14:paraId="6FC1BB3B" w14:textId="3BF4A33D" w:rsidR="00C049E2" w:rsidRPr="00FF009E" w:rsidRDefault="00717E59" w:rsidP="00FF009E">
      <w:pPr>
        <w:rPr>
          <w:rFonts w:eastAsia="Palatino Linotype"/>
          <w:i/>
        </w:rPr>
      </w:pPr>
      <w:r w:rsidRPr="00FF009E">
        <w:rPr>
          <w:rFonts w:eastAsia="Palatino Linotype"/>
        </w:rPr>
        <w:t xml:space="preserve">Asimismo, </w:t>
      </w:r>
      <w:r w:rsidR="00C049E2" w:rsidRPr="00FF009E">
        <w:rPr>
          <w:rFonts w:eastAsia="Palatino Linotype"/>
        </w:rPr>
        <w:t>el artículo 150 de la Ley de Transparencia y Acceso a la Información Pública del Estado de México y Municipios</w:t>
      </w:r>
      <w:r w:rsidR="00057B2D" w:rsidRPr="00FF009E">
        <w:rPr>
          <w:rFonts w:eastAsia="Palatino Linotype"/>
        </w:rPr>
        <w:t xml:space="preserve"> </w:t>
      </w:r>
      <w:r w:rsidR="00E9335C" w:rsidRPr="00FF009E">
        <w:rPr>
          <w:rFonts w:eastAsia="Palatino Linotype"/>
        </w:rPr>
        <w:t xml:space="preserve">indica </w:t>
      </w:r>
      <w:r w:rsidR="00057B2D" w:rsidRPr="00FF009E">
        <w:rPr>
          <w:rFonts w:eastAsia="Palatino Linotype"/>
        </w:rPr>
        <w:t>que</w:t>
      </w:r>
      <w:r w:rsidR="00C049E2" w:rsidRPr="00FF009E">
        <w:rPr>
          <w:rFonts w:eastAsia="Palatino Linotype"/>
        </w:rPr>
        <w:t xml:space="preserve"> la solicitud es la garantía primaria del Derecho de Acceso a la Información, además, establece que se regirá </w:t>
      </w:r>
      <w:r w:rsidR="00C049E2" w:rsidRPr="00FF009E">
        <w:rPr>
          <w:rFonts w:eastAsia="Palatino Linotype"/>
          <w:i/>
        </w:rPr>
        <w:t>por los principios de simplicidad, rapidez</w:t>
      </w:r>
      <w:r w:rsidR="005F65B7" w:rsidRPr="00FF009E">
        <w:rPr>
          <w:rFonts w:eastAsia="Palatino Linotype"/>
          <w:i/>
        </w:rPr>
        <w:t>,</w:t>
      </w:r>
      <w:r w:rsidR="00C049E2" w:rsidRPr="00FF009E">
        <w:rPr>
          <w:rFonts w:eastAsia="Palatino Linotype"/>
          <w:i/>
        </w:rPr>
        <w:t xml:space="preserve"> gratuidad del procedimiento, auxilio y orientación a los particulare</w:t>
      </w:r>
      <w:r w:rsidR="001A58B3" w:rsidRPr="00FF009E">
        <w:rPr>
          <w:rFonts w:eastAsia="Palatino Linotype"/>
          <w:i/>
        </w:rPr>
        <w:t>s.</w:t>
      </w:r>
    </w:p>
    <w:p w14:paraId="033466A6" w14:textId="77777777" w:rsidR="001A58B3" w:rsidRPr="00FF009E" w:rsidRDefault="001A58B3" w:rsidP="00FF009E">
      <w:pPr>
        <w:rPr>
          <w:rFonts w:eastAsia="Palatino Linotype"/>
          <w:i/>
        </w:rPr>
      </w:pPr>
    </w:p>
    <w:p w14:paraId="04ADA10B" w14:textId="574A944A" w:rsidR="001A58B3" w:rsidRPr="00FF009E" w:rsidRDefault="00233F17" w:rsidP="00FF009E">
      <w:pPr>
        <w:rPr>
          <w:rFonts w:eastAsia="Palatino Linotype" w:cs="Palatino Linotype"/>
          <w:i/>
          <w:szCs w:val="22"/>
        </w:rPr>
      </w:pPr>
      <w:r w:rsidRPr="00FF009E">
        <w:rPr>
          <w:rFonts w:eastAsia="Palatino Linotype" w:cs="Palatino Linotype"/>
        </w:rPr>
        <w:t xml:space="preserve">Por su parte, el artículo 4 de </w:t>
      </w:r>
      <w:r w:rsidR="001A58B3" w:rsidRPr="00FF009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F009E">
        <w:rPr>
          <w:rFonts w:eastAsia="Palatino Linotype" w:cs="Palatino Linotype"/>
        </w:rPr>
        <w:t>.</w:t>
      </w:r>
    </w:p>
    <w:p w14:paraId="1407DBB8" w14:textId="77777777" w:rsidR="001A58B3" w:rsidRPr="00FF009E" w:rsidRDefault="001A58B3" w:rsidP="00FF009E">
      <w:pPr>
        <w:rPr>
          <w:rFonts w:eastAsia="Palatino Linotype" w:cs="Palatino Linotype"/>
        </w:rPr>
      </w:pPr>
    </w:p>
    <w:p w14:paraId="7552AA79" w14:textId="5C52E4A4" w:rsidR="001A58B3" w:rsidRPr="00FF009E" w:rsidRDefault="001A58B3" w:rsidP="00FF009E">
      <w:pPr>
        <w:rPr>
          <w:rFonts w:eastAsia="Palatino Linotype" w:cs="Palatino Linotype"/>
        </w:rPr>
      </w:pPr>
      <w:r w:rsidRPr="00FF009E">
        <w:rPr>
          <w:rFonts w:eastAsia="Palatino Linotype" w:cs="Palatino Linotype"/>
        </w:rPr>
        <w:t xml:space="preserve">Esto es, que los Sujetos Obligados </w:t>
      </w:r>
      <w:r w:rsidR="00FA5957" w:rsidRPr="00FF009E">
        <w:rPr>
          <w:rFonts w:eastAsia="Palatino Linotype" w:cs="Palatino Linotype"/>
        </w:rPr>
        <w:t>deben</w:t>
      </w:r>
      <w:r w:rsidRPr="00FF009E">
        <w:rPr>
          <w:rFonts w:eastAsia="Palatino Linotype" w:cs="Palatino Linotype"/>
        </w:rPr>
        <w:t xml:space="preserve"> atender las solicitudes de acceso a la información pública que se les </w:t>
      </w:r>
      <w:r w:rsidR="00FA5957" w:rsidRPr="00FF009E">
        <w:rPr>
          <w:rFonts w:eastAsia="Palatino Linotype" w:cs="Palatino Linotype"/>
        </w:rPr>
        <w:t>sean realizadas,</w:t>
      </w:r>
      <w:r w:rsidRPr="00FF009E">
        <w:rPr>
          <w:rFonts w:eastAsia="Palatino Linotype" w:cs="Palatino Linotype"/>
        </w:rPr>
        <w:t xml:space="preserve"> y proporcionar la información pública que obre en su poder</w:t>
      </w:r>
      <w:r w:rsidR="00FA5957" w:rsidRPr="00FF009E">
        <w:rPr>
          <w:rFonts w:eastAsia="Palatino Linotype" w:cs="Palatino Linotype"/>
        </w:rPr>
        <w:t>,</w:t>
      </w:r>
      <w:r w:rsidRPr="00FF009E">
        <w:rPr>
          <w:rFonts w:eastAsia="Palatino Linotype" w:cs="Palatino Linotype"/>
        </w:rPr>
        <w:t xml:space="preserve"> conforme </w:t>
      </w:r>
      <w:r w:rsidR="00FA5957" w:rsidRPr="00FF009E">
        <w:rPr>
          <w:rFonts w:eastAsia="Palatino Linotype" w:cs="Palatino Linotype"/>
        </w:rPr>
        <w:t>a</w:t>
      </w:r>
      <w:r w:rsidRPr="00FF009E">
        <w:rPr>
          <w:rFonts w:eastAsia="Palatino Linotype" w:cs="Palatino Linotype"/>
        </w:rPr>
        <w:t xml:space="preserve">l estado </w:t>
      </w:r>
      <w:r w:rsidR="00FA5957" w:rsidRPr="00FF009E">
        <w:rPr>
          <w:rFonts w:eastAsia="Palatino Linotype" w:cs="Palatino Linotype"/>
        </w:rPr>
        <w:t xml:space="preserve">en </w:t>
      </w:r>
      <w:r w:rsidRPr="00FF009E">
        <w:rPr>
          <w:rFonts w:eastAsia="Palatino Linotype" w:cs="Palatino Linotype"/>
        </w:rPr>
        <w:t>que se encuentr</w:t>
      </w:r>
      <w:r w:rsidR="00FA5957" w:rsidRPr="00FF009E">
        <w:rPr>
          <w:rFonts w:eastAsia="Palatino Linotype" w:cs="Palatino Linotype"/>
        </w:rPr>
        <w:t>e, sin que sea necesario</w:t>
      </w:r>
      <w:r w:rsidRPr="00FF009E">
        <w:rPr>
          <w:rFonts w:eastAsia="Palatino Linotype" w:cs="Palatino Linotype"/>
        </w:rPr>
        <w:t xml:space="preserve"> </w:t>
      </w:r>
      <w:r w:rsidR="00FA5957" w:rsidRPr="00FF009E">
        <w:rPr>
          <w:rFonts w:eastAsia="Palatino Linotype" w:cs="Palatino Linotype"/>
        </w:rPr>
        <w:t>procesar</w:t>
      </w:r>
      <w:r w:rsidRPr="00FF009E">
        <w:rPr>
          <w:rFonts w:eastAsia="Palatino Linotype" w:cs="Palatino Linotype"/>
        </w:rPr>
        <w:t xml:space="preserve"> la misma, ni presentarla conforme al interés del solicitante; </w:t>
      </w:r>
      <w:r w:rsidR="00FA5957" w:rsidRPr="00FF009E">
        <w:rPr>
          <w:rFonts w:eastAsia="Palatino Linotype" w:cs="Palatino Linotype"/>
        </w:rPr>
        <w:t>tal y como</w:t>
      </w:r>
      <w:r w:rsidRPr="00FF009E">
        <w:rPr>
          <w:rFonts w:eastAsia="Palatino Linotype" w:cs="Palatino Linotype"/>
        </w:rPr>
        <w:t xml:space="preserve"> lo establece el artículo 12 de la Ley de Transparencia y Acceso a la Información Pública del Estado de México y Municipios</w:t>
      </w:r>
      <w:r w:rsidR="00970EB3" w:rsidRPr="00FF009E">
        <w:rPr>
          <w:rFonts w:eastAsia="Palatino Linotype" w:cs="Palatino Linotype"/>
        </w:rPr>
        <w:t>.</w:t>
      </w:r>
    </w:p>
    <w:p w14:paraId="73245195" w14:textId="77777777" w:rsidR="00970EB3" w:rsidRPr="00FF009E" w:rsidRDefault="00970EB3" w:rsidP="00FF009E">
      <w:pPr>
        <w:rPr>
          <w:rFonts w:eastAsia="Palatino Linotype" w:cs="Palatino Linotype"/>
        </w:rPr>
      </w:pPr>
    </w:p>
    <w:p w14:paraId="7F62D4DF" w14:textId="775730E1" w:rsidR="001A58B3" w:rsidRPr="00FF009E" w:rsidRDefault="001A58B3" w:rsidP="00FF009E">
      <w:pPr>
        <w:rPr>
          <w:rFonts w:eastAsia="Palatino Linotype" w:cs="Palatino Linotype"/>
        </w:rPr>
      </w:pPr>
      <w:r w:rsidRPr="00FF009E">
        <w:rPr>
          <w:rFonts w:eastAsia="Palatino Linotype" w:cs="Palatino Linotype"/>
        </w:rPr>
        <w:t>Es decir, que todo sujeto obligado que genere, recopile, administre, procese, archive, posea o conserven, son responsables de la misma</w:t>
      </w:r>
      <w:r w:rsidR="00970EB3" w:rsidRPr="00FF009E">
        <w:rPr>
          <w:rFonts w:eastAsia="Palatino Linotype" w:cs="Palatino Linotype"/>
        </w:rPr>
        <w:t>,</w:t>
      </w:r>
      <w:r w:rsidRPr="00FF009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F009E">
        <w:rPr>
          <w:rFonts w:eastAsia="Palatino Linotype" w:cs="Palatino Linotype"/>
        </w:rPr>
        <w:t>o</w:t>
      </w:r>
      <w:r w:rsidRPr="00FF009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F009E" w:rsidRDefault="001A58B3" w:rsidP="00FF009E">
      <w:pPr>
        <w:rPr>
          <w:rFonts w:eastAsia="Palatino Linotype" w:cs="Palatino Linotype"/>
        </w:rPr>
      </w:pPr>
    </w:p>
    <w:p w14:paraId="04E42DFE" w14:textId="573F1198" w:rsidR="001A58B3" w:rsidRPr="00FF009E" w:rsidRDefault="001A58B3" w:rsidP="00FF009E">
      <w:pPr>
        <w:rPr>
          <w:rFonts w:eastAsia="Palatino Linotype" w:cs="Palatino Linotype"/>
        </w:rPr>
      </w:pPr>
      <w:r w:rsidRPr="00FF009E">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F009E">
        <w:rPr>
          <w:rFonts w:eastAsia="Palatino Linotype" w:cs="Palatino Linotype"/>
        </w:rPr>
        <w:t>, s</w:t>
      </w:r>
      <w:r w:rsidRPr="00FF009E">
        <w:rPr>
          <w:rFonts w:eastAsia="Palatino Linotype" w:cs="Palatino Linotype"/>
        </w:rPr>
        <w:t xml:space="preserve">iempre y cuando no se trate de información reservada o </w:t>
      </w:r>
      <w:r w:rsidR="00331F35" w:rsidRPr="00FF009E">
        <w:rPr>
          <w:rFonts w:eastAsia="Palatino Linotype" w:cs="Palatino Linotype"/>
        </w:rPr>
        <w:t>confidencial.</w:t>
      </w:r>
    </w:p>
    <w:p w14:paraId="40C5219F" w14:textId="77777777" w:rsidR="001A58B3" w:rsidRPr="00FF009E" w:rsidRDefault="001A58B3" w:rsidP="00FF009E">
      <w:pPr>
        <w:rPr>
          <w:rFonts w:eastAsia="Palatino Linotype" w:cs="Palatino Linotype"/>
        </w:rPr>
      </w:pPr>
    </w:p>
    <w:p w14:paraId="2E629608" w14:textId="6E6C2ECB" w:rsidR="00C049E2" w:rsidRPr="00FF009E" w:rsidRDefault="006067C7" w:rsidP="00FF009E">
      <w:pPr>
        <w:rPr>
          <w:rFonts w:eastAsia="Palatino Linotype"/>
        </w:rPr>
      </w:pPr>
      <w:bookmarkStart w:id="29" w:name="_heading=h.2s8eyo1" w:colFirst="0" w:colLast="0"/>
      <w:bookmarkEnd w:id="29"/>
      <w:r w:rsidRPr="00FF009E">
        <w:rPr>
          <w:rFonts w:eastAsia="Palatino Linotype"/>
        </w:rPr>
        <w:t>Con base en lo anterior</w:t>
      </w:r>
      <w:r w:rsidR="00B22A80" w:rsidRPr="00FF009E">
        <w:rPr>
          <w:rFonts w:eastAsia="Palatino Linotype"/>
        </w:rPr>
        <w:t>, se considera que</w:t>
      </w:r>
      <w:r w:rsidR="00C049E2" w:rsidRPr="00FF009E">
        <w:rPr>
          <w:rFonts w:eastAsia="Palatino Linotype"/>
        </w:rPr>
        <w:t xml:space="preserve"> </w:t>
      </w:r>
      <w:r w:rsidR="00845423" w:rsidRPr="00FF009E">
        <w:rPr>
          <w:rFonts w:eastAsia="Palatino Linotype"/>
          <w:b/>
          <w:bCs/>
        </w:rPr>
        <w:t>la autoridad</w:t>
      </w:r>
      <w:r w:rsidR="00C049E2" w:rsidRPr="00FF009E">
        <w:rPr>
          <w:rFonts w:eastAsia="Palatino Linotype"/>
        </w:rPr>
        <w:t xml:space="preserve"> </w:t>
      </w:r>
      <w:r w:rsidR="00B22A80" w:rsidRPr="00FF009E">
        <w:rPr>
          <w:rFonts w:eastAsia="Palatino Linotype"/>
        </w:rPr>
        <w:t xml:space="preserve">se </w:t>
      </w:r>
      <w:r w:rsidR="00717E59" w:rsidRPr="00FF009E">
        <w:rPr>
          <w:rFonts w:eastAsia="Palatino Linotype"/>
        </w:rPr>
        <w:t>encontraba</w:t>
      </w:r>
      <w:r w:rsidR="00B22A80" w:rsidRPr="00FF009E">
        <w:rPr>
          <w:rFonts w:eastAsia="Palatino Linotype"/>
        </w:rPr>
        <w:t xml:space="preserve"> </w:t>
      </w:r>
      <w:r w:rsidR="00845423" w:rsidRPr="00FF009E">
        <w:rPr>
          <w:rFonts w:eastAsia="Palatino Linotype"/>
        </w:rPr>
        <w:t>obligada</w:t>
      </w:r>
      <w:r w:rsidR="00B22A80" w:rsidRPr="00FF009E">
        <w:rPr>
          <w:rFonts w:eastAsia="Palatino Linotype"/>
        </w:rPr>
        <w:t xml:space="preserve"> a</w:t>
      </w:r>
      <w:r w:rsidR="00C049E2" w:rsidRPr="00FF009E">
        <w:rPr>
          <w:rFonts w:eastAsia="Palatino Linotype"/>
        </w:rPr>
        <w:t xml:space="preserve"> atender la solicitud de acceso a la información </w:t>
      </w:r>
      <w:r w:rsidR="00B22A80" w:rsidRPr="00FF009E">
        <w:rPr>
          <w:rFonts w:eastAsia="Palatino Linotype"/>
        </w:rPr>
        <w:t xml:space="preserve">realizada por </w:t>
      </w:r>
      <w:r w:rsidR="00B22A80" w:rsidRPr="00FF009E">
        <w:rPr>
          <w:rFonts w:eastAsia="Palatino Linotype"/>
          <w:b/>
          <w:bCs/>
        </w:rPr>
        <w:t>LA PARTE RECURRENTE</w:t>
      </w:r>
      <w:r w:rsidR="00331F35" w:rsidRPr="00FF009E">
        <w:rPr>
          <w:rFonts w:eastAsia="Palatino Linotype"/>
        </w:rPr>
        <w:t>.</w:t>
      </w:r>
    </w:p>
    <w:p w14:paraId="1611F147" w14:textId="77777777" w:rsidR="00BD5A7C" w:rsidRPr="00FF009E" w:rsidRDefault="00BD5A7C" w:rsidP="00FF009E">
      <w:pPr>
        <w:rPr>
          <w:rFonts w:eastAsia="Palatino Linotype"/>
        </w:rPr>
      </w:pPr>
    </w:p>
    <w:p w14:paraId="51A0E8B4" w14:textId="676DCA47" w:rsidR="00664420" w:rsidRPr="00FF009E" w:rsidRDefault="00C71CEF" w:rsidP="00FF009E">
      <w:pPr>
        <w:pStyle w:val="Ttulo3"/>
        <w:rPr>
          <w:rFonts w:eastAsia="Calibri"/>
          <w:lang w:eastAsia="es-ES_tradnl"/>
        </w:rPr>
      </w:pPr>
      <w:bookmarkStart w:id="30" w:name="_Toc181795320"/>
      <w:r w:rsidRPr="00FF009E">
        <w:rPr>
          <w:rFonts w:eastAsia="Calibri"/>
          <w:lang w:eastAsia="es-ES_tradnl"/>
        </w:rPr>
        <w:t>b)</w:t>
      </w:r>
      <w:r w:rsidR="00A53315" w:rsidRPr="00FF009E">
        <w:rPr>
          <w:rFonts w:eastAsia="Calibri"/>
          <w:lang w:eastAsia="es-ES_tradnl"/>
        </w:rPr>
        <w:t xml:space="preserve"> </w:t>
      </w:r>
      <w:r w:rsidR="00A21A20" w:rsidRPr="00FF009E">
        <w:rPr>
          <w:rFonts w:eastAsia="Calibri"/>
          <w:lang w:eastAsia="es-ES_tradnl"/>
        </w:rPr>
        <w:t>Controversia a resolver</w:t>
      </w:r>
      <w:bookmarkEnd w:id="30"/>
    </w:p>
    <w:p w14:paraId="5DAE2A65" w14:textId="382C31A9" w:rsidR="00664420" w:rsidRPr="00FF009E" w:rsidRDefault="00664420" w:rsidP="00FF009E">
      <w:pPr>
        <w:rPr>
          <w:rFonts w:eastAsia="Calibri"/>
          <w:lang w:eastAsia="es-ES_tradnl"/>
        </w:rPr>
      </w:pPr>
      <w:r w:rsidRPr="00FF009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F009E">
        <w:rPr>
          <w:rFonts w:eastAsia="Calibri"/>
          <w:b/>
          <w:bCs/>
          <w:lang w:eastAsia="es-ES_tradnl"/>
        </w:rPr>
        <w:t>LA PARTE RECURRENTE</w:t>
      </w:r>
      <w:r w:rsidRPr="00FF009E">
        <w:rPr>
          <w:rFonts w:eastAsia="Calibri"/>
          <w:lang w:eastAsia="es-ES_tradnl"/>
        </w:rPr>
        <w:t xml:space="preserve"> solicitó lo siguiente:</w:t>
      </w:r>
    </w:p>
    <w:p w14:paraId="433A89EE" w14:textId="77777777" w:rsidR="00B30DBC" w:rsidRPr="00FF009E" w:rsidRDefault="00B30DBC" w:rsidP="00FF009E">
      <w:pPr>
        <w:rPr>
          <w:rFonts w:eastAsia="Calibri"/>
          <w:lang w:eastAsia="es-ES_tradnl"/>
        </w:rPr>
      </w:pPr>
    </w:p>
    <w:p w14:paraId="1F2FD5B1" w14:textId="7FEFD4BC" w:rsidR="001B1A10" w:rsidRPr="00FF009E" w:rsidRDefault="001B1A10" w:rsidP="00FF009E">
      <w:pPr>
        <w:rPr>
          <w:rFonts w:eastAsia="Calibri"/>
          <w:lang w:eastAsia="es-ES_tradnl"/>
        </w:rPr>
      </w:pPr>
      <w:r w:rsidRPr="00FF009E">
        <w:rPr>
          <w:rFonts w:eastAsia="Calibri"/>
          <w:lang w:eastAsia="es-ES_tradnl"/>
        </w:rPr>
        <w:t>Del periodo comprendido del 16 de septiembre a la fecha de la solicitud (30 de septiembre de 2024):</w:t>
      </w:r>
    </w:p>
    <w:p w14:paraId="2EC12184" w14:textId="77777777" w:rsidR="001B1A10" w:rsidRPr="00FF009E" w:rsidRDefault="001B1A10" w:rsidP="00FF009E">
      <w:pPr>
        <w:rPr>
          <w:rFonts w:eastAsia="Calibri"/>
          <w:lang w:eastAsia="es-ES_tradnl"/>
        </w:rPr>
      </w:pPr>
    </w:p>
    <w:p w14:paraId="4A41D22B" w14:textId="79239817" w:rsidR="00C46F5C" w:rsidRPr="00FF009E" w:rsidRDefault="001B1A10" w:rsidP="00FF009E">
      <w:pPr>
        <w:pStyle w:val="Prrafodelista"/>
        <w:numPr>
          <w:ilvl w:val="0"/>
          <w:numId w:val="25"/>
        </w:numPr>
        <w:tabs>
          <w:tab w:val="left" w:pos="4962"/>
        </w:tabs>
        <w:rPr>
          <w:rFonts w:eastAsia="Calibri" w:cs="Tahoma"/>
          <w:iCs/>
          <w:szCs w:val="22"/>
          <w:lang w:eastAsia="es-ES_tradnl"/>
        </w:rPr>
      </w:pPr>
      <w:r w:rsidRPr="00FF009E">
        <w:t xml:space="preserve">Actas de entrega y recepción de todos los servidores públicos adscritos a la Comisión del Agua del Estado de México junto con los anexos. </w:t>
      </w:r>
    </w:p>
    <w:p w14:paraId="658EB39F" w14:textId="17033FEB" w:rsidR="001B1A10" w:rsidRPr="00FF009E" w:rsidRDefault="001B1A10" w:rsidP="00FF009E">
      <w:pPr>
        <w:pStyle w:val="Prrafodelista"/>
        <w:numPr>
          <w:ilvl w:val="0"/>
          <w:numId w:val="25"/>
        </w:numPr>
        <w:tabs>
          <w:tab w:val="left" w:pos="4962"/>
        </w:tabs>
        <w:rPr>
          <w:rFonts w:eastAsia="Calibri" w:cs="Tahoma"/>
          <w:iCs/>
          <w:szCs w:val="22"/>
          <w:lang w:eastAsia="es-ES_tradnl"/>
        </w:rPr>
      </w:pPr>
      <w:r w:rsidRPr="00FF009E">
        <w:t xml:space="preserve">Oficios y nombramientos derivados de los cambios de personal. </w:t>
      </w:r>
    </w:p>
    <w:p w14:paraId="72B7EAC4" w14:textId="0415A02B" w:rsidR="001B1A10" w:rsidRPr="00FF009E" w:rsidRDefault="001B1A10" w:rsidP="00FF009E">
      <w:pPr>
        <w:pStyle w:val="Prrafodelista"/>
        <w:numPr>
          <w:ilvl w:val="0"/>
          <w:numId w:val="25"/>
        </w:numPr>
        <w:tabs>
          <w:tab w:val="left" w:pos="4962"/>
        </w:tabs>
        <w:rPr>
          <w:rFonts w:eastAsia="Calibri" w:cs="Tahoma"/>
          <w:iCs/>
          <w:szCs w:val="22"/>
          <w:lang w:eastAsia="es-ES_tradnl"/>
        </w:rPr>
      </w:pPr>
      <w:r w:rsidRPr="00FF009E">
        <w:t xml:space="preserve">Plantilla de personal de la Comisión del Agua del Estado de México. </w:t>
      </w:r>
    </w:p>
    <w:p w14:paraId="4CAE514F" w14:textId="72A5A8C2" w:rsidR="001B1A10" w:rsidRPr="00FF009E" w:rsidRDefault="001B1A10" w:rsidP="00FF009E">
      <w:pPr>
        <w:pStyle w:val="Prrafodelista"/>
        <w:numPr>
          <w:ilvl w:val="0"/>
          <w:numId w:val="25"/>
        </w:numPr>
        <w:tabs>
          <w:tab w:val="left" w:pos="4962"/>
        </w:tabs>
        <w:rPr>
          <w:rFonts w:eastAsia="Calibri" w:cs="Tahoma"/>
          <w:iCs/>
          <w:szCs w:val="22"/>
          <w:lang w:eastAsia="es-ES_tradnl"/>
        </w:rPr>
      </w:pPr>
      <w:r w:rsidRPr="00FF009E">
        <w:t>Curr</w:t>
      </w:r>
      <w:r w:rsidR="00CC304B" w:rsidRPr="00FF009E">
        <w:t>í</w:t>
      </w:r>
      <w:r w:rsidRPr="00FF009E">
        <w:t xml:space="preserve">culum Vitae y Títulos profesionales de los servidores públicos adscritos a la Comisión del Agua del Estado de México. </w:t>
      </w:r>
    </w:p>
    <w:p w14:paraId="39B7AF9C" w14:textId="77777777" w:rsidR="00C46F5C" w:rsidRPr="00FF009E" w:rsidRDefault="00C46F5C" w:rsidP="00FF009E">
      <w:pPr>
        <w:tabs>
          <w:tab w:val="left" w:pos="4962"/>
        </w:tabs>
        <w:contextualSpacing/>
        <w:rPr>
          <w:rFonts w:eastAsia="Calibri" w:cs="Tahoma"/>
          <w:iCs/>
          <w:szCs w:val="22"/>
          <w:lang w:eastAsia="es-ES_tradnl"/>
        </w:rPr>
      </w:pPr>
    </w:p>
    <w:p w14:paraId="31BBEBCD" w14:textId="283FCA3F" w:rsidR="00A73AAD" w:rsidRPr="00FF009E" w:rsidRDefault="00664420" w:rsidP="00FF009E">
      <w:pPr>
        <w:tabs>
          <w:tab w:val="left" w:pos="4962"/>
        </w:tabs>
        <w:contextualSpacing/>
        <w:rPr>
          <w:rFonts w:eastAsiaTheme="minorHAnsi" w:cs="Tahoma"/>
          <w:bCs/>
          <w:iCs/>
          <w:szCs w:val="22"/>
          <w:lang w:eastAsia="en-US"/>
        </w:rPr>
      </w:pPr>
      <w:r w:rsidRPr="00FF009E">
        <w:rPr>
          <w:rFonts w:eastAsiaTheme="minorHAnsi" w:cs="Tahoma"/>
          <w:bCs/>
          <w:iCs/>
          <w:szCs w:val="22"/>
          <w:lang w:eastAsia="en-US"/>
        </w:rPr>
        <w:lastRenderedPageBreak/>
        <w:t xml:space="preserve">En respuesta, </w:t>
      </w:r>
      <w:r w:rsidR="005D5A50" w:rsidRPr="00FF009E">
        <w:rPr>
          <w:rFonts w:eastAsiaTheme="minorHAnsi" w:cs="Tahoma"/>
          <w:b/>
          <w:iCs/>
          <w:szCs w:val="22"/>
          <w:lang w:eastAsia="en-US"/>
        </w:rPr>
        <w:t>EL SUJETO OBLIGADO</w:t>
      </w:r>
      <w:r w:rsidRPr="00FF009E">
        <w:rPr>
          <w:rFonts w:eastAsiaTheme="minorHAnsi" w:cs="Tahoma"/>
          <w:bCs/>
          <w:iCs/>
          <w:szCs w:val="22"/>
          <w:lang w:eastAsia="en-US"/>
        </w:rPr>
        <w:t xml:space="preserve"> se pronunció </w:t>
      </w:r>
      <w:r w:rsidR="00B30DBC" w:rsidRPr="00FF009E">
        <w:rPr>
          <w:rFonts w:eastAsiaTheme="minorHAnsi" w:cs="Tahoma"/>
          <w:bCs/>
          <w:iCs/>
          <w:szCs w:val="22"/>
          <w:lang w:eastAsia="en-US"/>
        </w:rPr>
        <w:t>a través</w:t>
      </w:r>
      <w:r w:rsidR="00A73AAD" w:rsidRPr="00FF009E">
        <w:rPr>
          <w:rFonts w:eastAsiaTheme="minorHAnsi" w:cs="Tahoma"/>
          <w:bCs/>
          <w:iCs/>
          <w:szCs w:val="22"/>
          <w:lang w:eastAsia="en-US"/>
        </w:rPr>
        <w:t xml:space="preserve"> del Titular de la Unidad de Transparencia</w:t>
      </w:r>
      <w:r w:rsidR="00393FDF" w:rsidRPr="00FF009E">
        <w:rPr>
          <w:rFonts w:eastAsiaTheme="minorHAnsi" w:cs="Tahoma"/>
          <w:bCs/>
          <w:iCs/>
          <w:szCs w:val="22"/>
          <w:lang w:eastAsia="en-US"/>
        </w:rPr>
        <w:t xml:space="preserve"> </w:t>
      </w:r>
      <w:r w:rsidR="000B0446" w:rsidRPr="00FF009E">
        <w:rPr>
          <w:rFonts w:cs="Tahoma"/>
          <w:bCs/>
          <w:szCs w:val="22"/>
          <w:lang w:val="es-ES"/>
        </w:rPr>
        <w:t>mismo que medularmente manifestó la incompetencia para dar atención a los requerimientos inmersos en las solicitudes de información</w:t>
      </w:r>
      <w:r w:rsidR="008F66C0" w:rsidRPr="00FF009E">
        <w:rPr>
          <w:rFonts w:eastAsiaTheme="minorHAnsi" w:cs="Tahoma"/>
          <w:bCs/>
          <w:iCs/>
          <w:szCs w:val="22"/>
          <w:lang w:eastAsia="en-US"/>
        </w:rPr>
        <w:t xml:space="preserve">. </w:t>
      </w:r>
    </w:p>
    <w:p w14:paraId="323E8A1C" w14:textId="77777777" w:rsidR="000B0446" w:rsidRPr="00FF009E" w:rsidRDefault="000B0446" w:rsidP="00FF009E">
      <w:pPr>
        <w:tabs>
          <w:tab w:val="left" w:pos="4962"/>
        </w:tabs>
        <w:contextualSpacing/>
        <w:rPr>
          <w:rFonts w:eastAsiaTheme="minorHAnsi" w:cs="Tahoma"/>
          <w:bCs/>
          <w:iCs/>
          <w:szCs w:val="22"/>
          <w:lang w:eastAsia="en-US"/>
        </w:rPr>
      </w:pPr>
    </w:p>
    <w:p w14:paraId="244528FE" w14:textId="2D3506E5" w:rsidR="000B0446" w:rsidRPr="00FF009E" w:rsidRDefault="000B0446" w:rsidP="00FF009E">
      <w:pPr>
        <w:tabs>
          <w:tab w:val="left" w:pos="4962"/>
        </w:tabs>
        <w:contextualSpacing/>
        <w:rPr>
          <w:rFonts w:eastAsiaTheme="minorHAnsi" w:cs="Tahoma"/>
          <w:bCs/>
          <w:iCs/>
          <w:szCs w:val="22"/>
          <w:lang w:eastAsia="en-US"/>
        </w:rPr>
      </w:pPr>
      <w:r w:rsidRPr="00FF009E">
        <w:rPr>
          <w:rFonts w:eastAsiaTheme="minorHAnsi" w:cs="Tahoma"/>
          <w:bCs/>
          <w:iCs/>
          <w:szCs w:val="22"/>
          <w:lang w:eastAsia="en-US"/>
        </w:rPr>
        <w:t xml:space="preserve">Aunado a lo anterior, se proporcionó el acta de la entrega-recepción del Órgano Interno de Control de la Comisión del Agua del Estado de México en </w:t>
      </w:r>
      <w:r w:rsidRPr="00FF009E">
        <w:rPr>
          <w:rFonts w:eastAsiaTheme="minorHAnsi" w:cs="Tahoma"/>
          <w:b/>
          <w:bCs/>
          <w:iCs/>
          <w:szCs w:val="22"/>
          <w:lang w:eastAsia="en-US"/>
        </w:rPr>
        <w:t>versión pública</w:t>
      </w:r>
      <w:r w:rsidRPr="00FF009E">
        <w:rPr>
          <w:rFonts w:eastAsiaTheme="minorHAnsi" w:cs="Tahoma"/>
          <w:bCs/>
          <w:iCs/>
          <w:szCs w:val="22"/>
          <w:lang w:eastAsia="en-US"/>
        </w:rPr>
        <w:t>, junto con el acta del Comité de Transparencia que aprueba la clasificación de la información confidencial, de igual forma se remitió a través de la respuesta el nombramiento del Titular del Órgano Interno de Control y el oficio de designación del mismo cargo.</w:t>
      </w:r>
    </w:p>
    <w:p w14:paraId="180AD558" w14:textId="24A67674" w:rsidR="00C46F5C" w:rsidRPr="00FF009E" w:rsidRDefault="00C46F5C" w:rsidP="00FF009E">
      <w:pPr>
        <w:tabs>
          <w:tab w:val="left" w:pos="4962"/>
        </w:tabs>
        <w:contextualSpacing/>
        <w:rPr>
          <w:rFonts w:cs="Tahoma"/>
          <w:bCs/>
          <w:szCs w:val="22"/>
          <w:lang w:val="es-ES"/>
        </w:rPr>
      </w:pPr>
    </w:p>
    <w:p w14:paraId="698DEF5C" w14:textId="77777777" w:rsidR="000B0446" w:rsidRPr="00FF009E" w:rsidRDefault="00CF7586" w:rsidP="00FF009E">
      <w:pPr>
        <w:tabs>
          <w:tab w:val="left" w:pos="4962"/>
        </w:tabs>
        <w:contextualSpacing/>
        <w:rPr>
          <w:rFonts w:eastAsiaTheme="minorHAnsi" w:cs="Tahoma"/>
          <w:bCs/>
          <w:iCs/>
          <w:szCs w:val="22"/>
          <w:lang w:eastAsia="en-US"/>
        </w:rPr>
      </w:pPr>
      <w:r w:rsidRPr="00FF009E">
        <w:rPr>
          <w:rFonts w:eastAsiaTheme="minorHAnsi" w:cs="Tahoma"/>
          <w:bCs/>
          <w:iCs/>
          <w:szCs w:val="22"/>
          <w:lang w:eastAsia="en-US"/>
        </w:rPr>
        <w:t xml:space="preserve">Ahora bien, en la interposición del presente recurso </w:t>
      </w:r>
      <w:r w:rsidRPr="00FF009E">
        <w:rPr>
          <w:rFonts w:eastAsiaTheme="minorHAnsi" w:cs="Tahoma"/>
          <w:b/>
          <w:iCs/>
          <w:szCs w:val="22"/>
          <w:lang w:eastAsia="en-US"/>
        </w:rPr>
        <w:t>LA PARTE RECURRENTE</w:t>
      </w:r>
      <w:r w:rsidR="00081B94" w:rsidRPr="00FF009E">
        <w:rPr>
          <w:rFonts w:eastAsiaTheme="minorHAnsi" w:cs="Tahoma"/>
          <w:bCs/>
          <w:iCs/>
          <w:szCs w:val="22"/>
          <w:lang w:eastAsia="en-US"/>
        </w:rPr>
        <w:t xml:space="preserve"> se inconformó </w:t>
      </w:r>
      <w:r w:rsidR="000A1808" w:rsidRPr="00FF009E">
        <w:rPr>
          <w:rFonts w:eastAsiaTheme="minorHAnsi" w:cs="Tahoma"/>
          <w:bCs/>
          <w:iCs/>
          <w:szCs w:val="22"/>
          <w:lang w:eastAsia="en-US"/>
        </w:rPr>
        <w:t xml:space="preserve">de </w:t>
      </w:r>
      <w:r w:rsidR="008F66C0" w:rsidRPr="00FF009E">
        <w:rPr>
          <w:rFonts w:eastAsiaTheme="minorHAnsi" w:cs="Tahoma"/>
          <w:bCs/>
          <w:iCs/>
          <w:szCs w:val="22"/>
          <w:lang w:eastAsia="en-US"/>
        </w:rPr>
        <w:t>la negati</w:t>
      </w:r>
      <w:r w:rsidR="000B0446" w:rsidRPr="00FF009E">
        <w:rPr>
          <w:rFonts w:eastAsiaTheme="minorHAnsi" w:cs="Tahoma"/>
          <w:bCs/>
          <w:iCs/>
          <w:szCs w:val="22"/>
          <w:lang w:eastAsia="en-US"/>
        </w:rPr>
        <w:t>va de la información requerida.</w:t>
      </w:r>
    </w:p>
    <w:p w14:paraId="64D962FD" w14:textId="77777777" w:rsidR="000B0446" w:rsidRPr="00FF009E" w:rsidRDefault="000B0446" w:rsidP="00FF009E">
      <w:pPr>
        <w:tabs>
          <w:tab w:val="left" w:pos="4962"/>
        </w:tabs>
        <w:contextualSpacing/>
        <w:rPr>
          <w:rFonts w:eastAsiaTheme="minorHAnsi" w:cs="Tahoma"/>
          <w:bCs/>
          <w:iCs/>
          <w:szCs w:val="22"/>
          <w:lang w:eastAsia="en-US"/>
        </w:rPr>
      </w:pPr>
    </w:p>
    <w:p w14:paraId="196DF4BB" w14:textId="77777777" w:rsidR="000B0446" w:rsidRPr="00FF009E" w:rsidRDefault="000B0446" w:rsidP="00FF009E">
      <w:pPr>
        <w:tabs>
          <w:tab w:val="left" w:pos="4962"/>
        </w:tabs>
        <w:contextualSpacing/>
        <w:rPr>
          <w:rFonts w:cs="Arial"/>
        </w:rPr>
      </w:pPr>
      <w:r w:rsidRPr="00FF009E">
        <w:rPr>
          <w:szCs w:val="22"/>
          <w:lang w:val="es-ES"/>
        </w:rPr>
        <w:t xml:space="preserve">Abierta la etapa de instrucción, </w:t>
      </w:r>
      <w:r w:rsidRPr="00FF009E">
        <w:rPr>
          <w:b/>
          <w:szCs w:val="22"/>
          <w:lang w:val="es-ES"/>
        </w:rPr>
        <w:t>EL SUJETO OBLIGADO</w:t>
      </w:r>
      <w:r w:rsidRPr="00FF009E">
        <w:rPr>
          <w:szCs w:val="22"/>
          <w:lang w:val="es-ES"/>
        </w:rPr>
        <w:t xml:space="preserve"> rindió su Informe Justificado en donde medularmente se ratifica la respuesta primigenia</w:t>
      </w:r>
      <w:r w:rsidRPr="00FF009E">
        <w:rPr>
          <w:rFonts w:cs="Arial"/>
        </w:rPr>
        <w:t>.</w:t>
      </w:r>
    </w:p>
    <w:p w14:paraId="39234549" w14:textId="77777777" w:rsidR="000B0446" w:rsidRPr="00FF009E" w:rsidRDefault="000B0446" w:rsidP="00FF009E">
      <w:pPr>
        <w:tabs>
          <w:tab w:val="left" w:pos="4962"/>
        </w:tabs>
        <w:contextualSpacing/>
        <w:rPr>
          <w:rFonts w:cs="Arial"/>
        </w:rPr>
      </w:pPr>
    </w:p>
    <w:p w14:paraId="31DD81D7" w14:textId="7F91A460" w:rsidR="00664420" w:rsidRPr="00FF009E" w:rsidRDefault="000B0446" w:rsidP="00FF009E">
      <w:pPr>
        <w:tabs>
          <w:tab w:val="left" w:pos="4962"/>
        </w:tabs>
        <w:contextualSpacing/>
        <w:rPr>
          <w:rFonts w:eastAsiaTheme="minorHAnsi" w:cs="Tahoma"/>
          <w:b/>
          <w:bCs/>
          <w:iCs/>
          <w:szCs w:val="22"/>
          <w:lang w:eastAsia="en-US"/>
        </w:rPr>
      </w:pPr>
      <w:r w:rsidRPr="00FF009E">
        <w:rPr>
          <w:rFonts w:eastAsia="Palatino Linotype" w:cs="Palatino Linotype"/>
          <w:szCs w:val="22"/>
        </w:rPr>
        <w:t xml:space="preserve">Bajo las premisas anteriores, se concluye que la controversia a dilucidar en el presente medio de impugnación será </w:t>
      </w:r>
      <w:r w:rsidRPr="00FF009E">
        <w:rPr>
          <w:rFonts w:eastAsia="Palatino Linotype" w:cs="Palatino Linotype"/>
          <w:b/>
          <w:szCs w:val="22"/>
        </w:rPr>
        <w:t xml:space="preserve">verificar si la información proporcionada en respuesta e informe justificado por EL SUJETO OBLIGADO es adecuada y suficiente para satisfacer el derecho de acceso a la información pública </w:t>
      </w:r>
      <w:r w:rsidRPr="00FF009E">
        <w:rPr>
          <w:rFonts w:eastAsia="Palatino Linotype" w:cs="Palatino Linotype"/>
          <w:szCs w:val="22"/>
        </w:rPr>
        <w:t xml:space="preserve">de </w:t>
      </w:r>
      <w:r w:rsidRPr="00FF009E">
        <w:rPr>
          <w:rFonts w:eastAsia="Palatino Linotype" w:cs="Palatino Linotype"/>
          <w:b/>
          <w:szCs w:val="22"/>
        </w:rPr>
        <w:t>LA PARTE RECURRENTE.</w:t>
      </w:r>
      <w:r w:rsidR="000A1808" w:rsidRPr="00FF009E">
        <w:rPr>
          <w:rFonts w:eastAsiaTheme="minorHAnsi" w:cs="Tahoma"/>
          <w:b/>
          <w:bCs/>
          <w:iCs/>
          <w:szCs w:val="22"/>
          <w:lang w:eastAsia="en-US"/>
        </w:rPr>
        <w:t xml:space="preserve"> </w:t>
      </w:r>
    </w:p>
    <w:p w14:paraId="69916E4B" w14:textId="77777777" w:rsidR="004E1875" w:rsidRPr="00FF009E" w:rsidRDefault="004E1875" w:rsidP="00FF009E">
      <w:pPr>
        <w:tabs>
          <w:tab w:val="left" w:pos="4962"/>
        </w:tabs>
        <w:contextualSpacing/>
        <w:rPr>
          <w:rFonts w:eastAsiaTheme="minorHAnsi" w:cs="Tahoma"/>
          <w:bCs/>
          <w:iCs/>
          <w:szCs w:val="22"/>
          <w:lang w:eastAsia="en-US"/>
        </w:rPr>
      </w:pPr>
    </w:p>
    <w:p w14:paraId="72A3518D" w14:textId="03680224" w:rsidR="00DF0012" w:rsidRPr="00FF009E" w:rsidRDefault="00A21A20" w:rsidP="00FF009E">
      <w:pPr>
        <w:pStyle w:val="Ttulo3"/>
      </w:pPr>
      <w:bookmarkStart w:id="31" w:name="_Toc181795321"/>
      <w:r w:rsidRPr="00FF009E">
        <w:t>c)</w:t>
      </w:r>
      <w:r w:rsidR="00664420" w:rsidRPr="00FF009E">
        <w:t xml:space="preserve"> </w:t>
      </w:r>
      <w:r w:rsidRPr="00FF009E">
        <w:t>Estudio de la controversia</w:t>
      </w:r>
      <w:bookmarkEnd w:id="31"/>
    </w:p>
    <w:p w14:paraId="78806120" w14:textId="77777777" w:rsidR="000B0446" w:rsidRPr="00FF009E" w:rsidRDefault="000B0446" w:rsidP="00FF009E">
      <w:pPr>
        <w:contextualSpacing/>
        <w:rPr>
          <w:rFonts w:eastAsia="Palatino Linotype" w:cs="Palatino Linotype"/>
          <w:szCs w:val="22"/>
          <w:lang w:val="es-ES"/>
        </w:rPr>
      </w:pPr>
      <w:r w:rsidRPr="00FF009E">
        <w:rPr>
          <w:rFonts w:eastAsia="Palatino Linotype" w:cs="Palatino Linotype"/>
          <w:szCs w:val="22"/>
          <w:lang w:val="es-ES"/>
        </w:rPr>
        <w:t xml:space="preserve">Por principio es importante enfatizar que el Derecho de Acceso a la Información Pública consiste en que la </w:t>
      </w:r>
      <w:r w:rsidRPr="00FF009E">
        <w:rPr>
          <w:rFonts w:eastAsia="Palatino Linotype" w:cs="Palatino Linotype"/>
          <w:b/>
          <w:szCs w:val="22"/>
          <w:u w:val="single"/>
          <w:lang w:val="es-ES"/>
        </w:rPr>
        <w:t>información solicitada conste en un soporte documental</w:t>
      </w:r>
      <w:r w:rsidRPr="00FF009E">
        <w:rPr>
          <w:rFonts w:eastAsia="Palatino Linotype" w:cs="Palatino Linotype"/>
          <w:szCs w:val="22"/>
          <w:lang w:val="es-ES"/>
        </w:rPr>
        <w:t xml:space="preserve"> en cualquiera de sus formas, a saber: expedientes, reportes, estudios, actas</w:t>
      </w:r>
      <w:r w:rsidRPr="00FF009E">
        <w:rPr>
          <w:rFonts w:eastAsia="Palatino Linotype" w:cs="Palatino Linotype"/>
          <w:b/>
          <w:szCs w:val="22"/>
          <w:lang w:val="es-ES"/>
        </w:rPr>
        <w:t>,</w:t>
      </w:r>
      <w:r w:rsidRPr="00FF009E">
        <w:rPr>
          <w:rFonts w:eastAsia="Palatino Linotype" w:cs="Palatino Linotype"/>
          <w:szCs w:val="22"/>
          <w:lang w:val="es-ES"/>
        </w:rPr>
        <w:t xml:space="preserve"> resoluciones, oficios, correspondencia, acuerdos, directivas, directrices, circulares, contratos, convenios, </w:t>
      </w:r>
      <w:r w:rsidRPr="00FF009E">
        <w:rPr>
          <w:rFonts w:eastAsia="Palatino Linotype" w:cs="Palatino Linotype"/>
          <w:szCs w:val="22"/>
          <w:lang w:val="es-ES"/>
        </w:rPr>
        <w:lastRenderedPageBreak/>
        <w:t>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01AEE00" w14:textId="77777777" w:rsidR="000B0446" w:rsidRPr="00FF009E" w:rsidRDefault="000B0446" w:rsidP="00FF009E">
      <w:pPr>
        <w:contextualSpacing/>
        <w:rPr>
          <w:rFonts w:eastAsia="Palatino Linotype" w:cs="Palatino Linotype"/>
          <w:szCs w:val="22"/>
          <w:lang w:val="es-ES"/>
        </w:rPr>
      </w:pPr>
    </w:p>
    <w:p w14:paraId="54296D0F" w14:textId="77777777" w:rsidR="000B0446" w:rsidRPr="00FF009E" w:rsidRDefault="000B0446" w:rsidP="00FF009E">
      <w:pPr>
        <w:pStyle w:val="Puesto"/>
        <w:ind w:left="851" w:right="822"/>
        <w:rPr>
          <w:rFonts w:eastAsia="Palatino Linotype"/>
          <w:szCs w:val="22"/>
          <w:lang w:val="es-ES"/>
        </w:rPr>
      </w:pPr>
      <w:r w:rsidRPr="00FF009E">
        <w:rPr>
          <w:rFonts w:eastAsia="Palatino Linotype"/>
          <w:szCs w:val="22"/>
          <w:lang w:val="es-ES"/>
        </w:rPr>
        <w:t>“</w:t>
      </w:r>
      <w:r w:rsidRPr="00FF009E">
        <w:rPr>
          <w:rFonts w:eastAsia="Palatino Linotype"/>
          <w:b/>
          <w:szCs w:val="22"/>
          <w:lang w:val="es-ES"/>
        </w:rPr>
        <w:t xml:space="preserve">Artículo 3. </w:t>
      </w:r>
      <w:r w:rsidRPr="00FF009E">
        <w:rPr>
          <w:rFonts w:eastAsia="Palatino Linotype"/>
          <w:szCs w:val="22"/>
          <w:lang w:val="es-ES"/>
        </w:rPr>
        <w:t>Para los efectos de la presente Ley se entenderá por:</w:t>
      </w:r>
    </w:p>
    <w:p w14:paraId="5449CA6A" w14:textId="77777777" w:rsidR="000B0446" w:rsidRPr="00FF009E" w:rsidRDefault="000B0446" w:rsidP="00FF009E">
      <w:pPr>
        <w:pStyle w:val="Puesto"/>
        <w:ind w:left="851" w:right="822"/>
        <w:rPr>
          <w:rFonts w:eastAsia="Palatino Linotype"/>
          <w:szCs w:val="22"/>
          <w:lang w:val="es-ES"/>
        </w:rPr>
      </w:pPr>
      <w:r w:rsidRPr="00FF009E">
        <w:rPr>
          <w:rFonts w:eastAsia="Palatino Linotype"/>
          <w:szCs w:val="22"/>
          <w:lang w:val="es-ES"/>
        </w:rPr>
        <w:t>…</w:t>
      </w:r>
    </w:p>
    <w:p w14:paraId="2DE728EA" w14:textId="77777777" w:rsidR="000B0446" w:rsidRPr="00FF009E" w:rsidRDefault="000B0446" w:rsidP="00FF009E">
      <w:pPr>
        <w:spacing w:line="240" w:lineRule="auto"/>
        <w:ind w:left="851" w:right="822"/>
        <w:contextualSpacing/>
        <w:rPr>
          <w:rFonts w:eastAsia="Calibri" w:cs="Tahoma"/>
          <w:b/>
          <w:bCs/>
          <w:szCs w:val="22"/>
        </w:rPr>
      </w:pPr>
      <w:r w:rsidRPr="00FF009E">
        <w:rPr>
          <w:rFonts w:eastAsia="Palatino Linotype"/>
          <w:b/>
          <w:i/>
          <w:szCs w:val="22"/>
          <w:lang w:val="es-ES"/>
        </w:rPr>
        <w:t>XI. Documento:</w:t>
      </w:r>
      <w:r w:rsidRPr="00FF009E">
        <w:rPr>
          <w:rFonts w:eastAsia="Palatino Linotype"/>
          <w:i/>
          <w:szCs w:val="22"/>
          <w:lang w:val="es-ES"/>
        </w:rPr>
        <w:t xml:space="preserve"> Los expedientes, reportes, estudios, actas, resoluciones,</w:t>
      </w:r>
      <w:r w:rsidRPr="00FF009E">
        <w:rPr>
          <w:rFonts w:eastAsia="Palatino Linotype"/>
          <w:b/>
          <w:i/>
          <w:szCs w:val="22"/>
          <w:lang w:val="es-ES"/>
        </w:rPr>
        <w:t xml:space="preserve"> </w:t>
      </w:r>
      <w:r w:rsidRPr="00FF009E">
        <w:rPr>
          <w:rFonts w:eastAsia="Palatino Linotype"/>
          <w:i/>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FF009E">
        <w:rPr>
          <w:rFonts w:eastAsia="Palatino Linotype"/>
          <w:szCs w:val="22"/>
          <w:lang w:val="es-ES"/>
        </w:rPr>
        <w:t>;”</w:t>
      </w:r>
    </w:p>
    <w:p w14:paraId="18195BC6" w14:textId="77777777" w:rsidR="000B0446" w:rsidRPr="00FF009E" w:rsidRDefault="000B0446" w:rsidP="00FF009E">
      <w:pPr>
        <w:contextualSpacing/>
        <w:rPr>
          <w:rFonts w:eastAsia="Calibri" w:cs="Tahoma"/>
          <w:b/>
          <w:bCs/>
          <w:szCs w:val="22"/>
        </w:rPr>
      </w:pPr>
    </w:p>
    <w:p w14:paraId="1FE26857" w14:textId="77777777" w:rsidR="000B0446" w:rsidRPr="00FF009E" w:rsidRDefault="000B0446" w:rsidP="00FF009E">
      <w:pPr>
        <w:contextualSpacing/>
        <w:rPr>
          <w:rFonts w:eastAsia="Palatino Linotype" w:cs="Palatino Linotype"/>
          <w:szCs w:val="22"/>
          <w:lang w:val="es-ES"/>
        </w:rPr>
      </w:pPr>
      <w:r w:rsidRPr="00FF009E">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BC987EE" w14:textId="77777777" w:rsidR="000B0446" w:rsidRPr="00FF009E" w:rsidRDefault="000B0446" w:rsidP="00FF009E">
      <w:pPr>
        <w:contextualSpacing/>
        <w:rPr>
          <w:rFonts w:eastAsia="Palatino Linotype" w:cs="Palatino Linotype"/>
          <w:szCs w:val="22"/>
          <w:lang w:val="es-ES"/>
        </w:rPr>
      </w:pPr>
    </w:p>
    <w:p w14:paraId="0D708364" w14:textId="77777777" w:rsidR="000B0446" w:rsidRPr="00FF009E" w:rsidRDefault="000B0446" w:rsidP="00FF009E">
      <w:pPr>
        <w:pStyle w:val="Puesto"/>
        <w:ind w:left="851" w:right="822"/>
        <w:jc w:val="center"/>
        <w:rPr>
          <w:rFonts w:eastAsia="Palatino Linotype"/>
          <w:b/>
          <w:bCs/>
          <w:szCs w:val="22"/>
          <w:lang w:val="es-ES"/>
        </w:rPr>
      </w:pPr>
      <w:r w:rsidRPr="00FF009E">
        <w:rPr>
          <w:rFonts w:eastAsia="Palatino Linotype"/>
          <w:szCs w:val="22"/>
          <w:lang w:val="es-ES"/>
        </w:rPr>
        <w:t>“</w:t>
      </w:r>
      <w:r w:rsidRPr="00FF009E">
        <w:rPr>
          <w:rFonts w:eastAsia="Palatino Linotype"/>
          <w:b/>
          <w:bCs/>
          <w:szCs w:val="22"/>
          <w:lang w:val="es-ES"/>
        </w:rPr>
        <w:t>CRITERIO 0002-11</w:t>
      </w:r>
    </w:p>
    <w:p w14:paraId="306D4335" w14:textId="77777777" w:rsidR="000B0446" w:rsidRPr="00FF009E" w:rsidRDefault="000B0446" w:rsidP="00FF009E">
      <w:pPr>
        <w:pStyle w:val="Puesto"/>
        <w:ind w:left="851" w:right="822"/>
        <w:rPr>
          <w:rFonts w:eastAsia="Palatino Linotype"/>
          <w:szCs w:val="22"/>
          <w:lang w:val="es-ES"/>
        </w:rPr>
      </w:pPr>
      <w:r w:rsidRPr="00FF009E">
        <w:rPr>
          <w:rFonts w:eastAsia="Palatino Linotype"/>
          <w:b/>
          <w:bCs/>
          <w:szCs w:val="22"/>
          <w:u w:val="single"/>
          <w:lang w:val="es-ES"/>
        </w:rPr>
        <w:t>INFORMACIÓN PÚBLICA, CONCEPTO DE, EN MATERIA DE TRANSPARENCIA. INTERPRETACIÓN SISTEMÁTICA DE LOS ARTÍCULOS 2°, FRACCIÓN V, XV, Y XVI, 3°, 4°, 11 Y 41.</w:t>
      </w:r>
      <w:r w:rsidRPr="00FF009E">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B824B7" w14:textId="77777777" w:rsidR="000B0446" w:rsidRPr="00FF009E" w:rsidRDefault="000B0446" w:rsidP="00FF009E">
      <w:pPr>
        <w:pStyle w:val="Puesto"/>
        <w:ind w:left="851" w:right="822"/>
        <w:rPr>
          <w:rFonts w:eastAsia="Palatino Linotype"/>
          <w:szCs w:val="22"/>
          <w:lang w:val="es-ES"/>
        </w:rPr>
      </w:pPr>
      <w:r w:rsidRPr="00FF009E">
        <w:rPr>
          <w:rFonts w:eastAsia="Palatino Linotype"/>
          <w:szCs w:val="22"/>
          <w:lang w:val="es-ES"/>
        </w:rPr>
        <w:lastRenderedPageBreak/>
        <w:t>En consecuencia el acceso a la información se refiere a que se cumplan cualquiera de los siguientes tres supuestos:</w:t>
      </w:r>
    </w:p>
    <w:p w14:paraId="35655FDD" w14:textId="77777777" w:rsidR="000B0446" w:rsidRPr="00FF009E" w:rsidRDefault="000B0446" w:rsidP="00FF009E">
      <w:pPr>
        <w:pStyle w:val="Puesto"/>
        <w:ind w:left="851" w:right="822"/>
        <w:rPr>
          <w:rFonts w:eastAsia="Palatino Linotype"/>
          <w:szCs w:val="22"/>
          <w:lang w:val="es-ES"/>
        </w:rPr>
      </w:pPr>
      <w:r w:rsidRPr="00FF009E">
        <w:rPr>
          <w:rFonts w:eastAsia="Palatino Linotype"/>
          <w:szCs w:val="22"/>
          <w:lang w:val="es-ES"/>
        </w:rPr>
        <w:t xml:space="preserve">1) Que se trate de información </w:t>
      </w:r>
      <w:r w:rsidRPr="00FF009E">
        <w:rPr>
          <w:rFonts w:eastAsia="Palatino Linotype"/>
          <w:szCs w:val="22"/>
          <w:u w:val="single"/>
          <w:lang w:val="es-ES"/>
        </w:rPr>
        <w:t>registrada en cualquier soporte documental</w:t>
      </w:r>
      <w:r w:rsidRPr="00FF009E">
        <w:rPr>
          <w:rFonts w:eastAsia="Palatino Linotype"/>
          <w:szCs w:val="22"/>
          <w:lang w:val="es-ES"/>
        </w:rPr>
        <w:t>, que en ejercicio de las atribuciones conferidas, sea generada por los Sujetos Obligados;</w:t>
      </w:r>
    </w:p>
    <w:p w14:paraId="0D1B83E5" w14:textId="77777777" w:rsidR="000B0446" w:rsidRPr="00FF009E" w:rsidRDefault="000B0446" w:rsidP="00FF009E">
      <w:pPr>
        <w:pStyle w:val="Puesto"/>
        <w:ind w:left="851" w:right="822"/>
        <w:rPr>
          <w:rFonts w:eastAsia="Palatino Linotype"/>
          <w:szCs w:val="22"/>
          <w:lang w:val="es-ES"/>
        </w:rPr>
      </w:pPr>
      <w:r w:rsidRPr="00FF009E">
        <w:rPr>
          <w:rFonts w:eastAsia="Palatino Linotype"/>
          <w:szCs w:val="22"/>
          <w:lang w:val="es-ES"/>
        </w:rPr>
        <w:t xml:space="preserve">2) Que se trate de información </w:t>
      </w:r>
      <w:r w:rsidRPr="00FF009E">
        <w:rPr>
          <w:rFonts w:eastAsia="Palatino Linotype"/>
          <w:szCs w:val="22"/>
          <w:u w:val="single"/>
          <w:lang w:val="es-ES"/>
        </w:rPr>
        <w:t>registrada en cualquier soporte documental</w:t>
      </w:r>
      <w:r w:rsidRPr="00FF009E">
        <w:rPr>
          <w:rFonts w:eastAsia="Palatino Linotype"/>
          <w:szCs w:val="22"/>
          <w:lang w:val="es-ES"/>
        </w:rPr>
        <w:t>, que en ejercicio de las atribuciones conferidas, sea administrada por los Sujetos Obligados, y</w:t>
      </w:r>
    </w:p>
    <w:p w14:paraId="739F9D2A" w14:textId="77777777" w:rsidR="000B0446" w:rsidRPr="00FF009E" w:rsidRDefault="000B0446" w:rsidP="00FF009E">
      <w:pPr>
        <w:spacing w:line="240" w:lineRule="auto"/>
        <w:ind w:left="851" w:right="822"/>
        <w:contextualSpacing/>
        <w:rPr>
          <w:rFonts w:eastAsia="Calibri" w:cs="Tahoma"/>
          <w:b/>
          <w:bCs/>
          <w:szCs w:val="22"/>
        </w:rPr>
      </w:pPr>
      <w:r w:rsidRPr="00FF009E">
        <w:rPr>
          <w:rFonts w:eastAsia="Palatino Linotype"/>
          <w:i/>
          <w:szCs w:val="22"/>
          <w:lang w:val="es-ES"/>
        </w:rPr>
        <w:t xml:space="preserve">3) Que se trate de información </w:t>
      </w:r>
      <w:r w:rsidRPr="00FF009E">
        <w:rPr>
          <w:rFonts w:eastAsia="Palatino Linotype"/>
          <w:i/>
          <w:szCs w:val="22"/>
          <w:u w:val="single"/>
          <w:lang w:val="es-ES"/>
        </w:rPr>
        <w:t>registrada en cualquier soporte documental</w:t>
      </w:r>
      <w:r w:rsidRPr="00FF009E">
        <w:rPr>
          <w:rFonts w:eastAsia="Palatino Linotype"/>
          <w:i/>
          <w:szCs w:val="22"/>
          <w:lang w:val="es-ES"/>
        </w:rPr>
        <w:t>, que en ejercicio de las atribuciones conferidas, se encuentre en posesión de los Sujetos Obligados.” (Sic)</w:t>
      </w:r>
    </w:p>
    <w:p w14:paraId="4D5D3E35" w14:textId="77777777" w:rsidR="000B0446" w:rsidRPr="00FF009E" w:rsidRDefault="000B0446" w:rsidP="00FF009E">
      <w:pPr>
        <w:contextualSpacing/>
        <w:rPr>
          <w:rFonts w:eastAsia="Calibri" w:cs="Tahoma"/>
          <w:b/>
          <w:bCs/>
          <w:szCs w:val="22"/>
        </w:rPr>
      </w:pPr>
    </w:p>
    <w:p w14:paraId="0D284B1A" w14:textId="77777777" w:rsidR="000B0446" w:rsidRPr="00FF009E" w:rsidRDefault="000B0446" w:rsidP="00FF009E">
      <w:pPr>
        <w:contextualSpacing/>
        <w:rPr>
          <w:rFonts w:eastAsia="Palatino Linotype" w:cs="Palatino Linotype"/>
          <w:szCs w:val="22"/>
          <w:lang w:val="es-ES"/>
        </w:rPr>
      </w:pPr>
      <w:r w:rsidRPr="00FF009E">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FF009E">
        <w:rPr>
          <w:rFonts w:eastAsia="Palatino Linotype" w:cs="Palatino Linotype"/>
          <w:b/>
          <w:szCs w:val="22"/>
          <w:lang w:val="es-ES"/>
        </w:rPr>
        <w:t>EL SUJETO OBLIGADO</w:t>
      </w:r>
      <w:r w:rsidRPr="00FF009E">
        <w:rPr>
          <w:rFonts w:eastAsia="Palatino Linotype" w:cs="Palatino Linotype"/>
          <w:szCs w:val="22"/>
          <w:lang w:val="es-ES"/>
        </w:rPr>
        <w:t xml:space="preserve"> la generó o porque como parte del ejercicio de sus funciones la recibió y por consiguiente, la administra y posee.</w:t>
      </w:r>
    </w:p>
    <w:p w14:paraId="5DD5E1BC" w14:textId="77777777" w:rsidR="000B0446" w:rsidRPr="00FF009E" w:rsidRDefault="000B0446" w:rsidP="00FF009E">
      <w:pPr>
        <w:contextualSpacing/>
        <w:rPr>
          <w:rFonts w:eastAsia="Palatino Linotype" w:cs="Palatino Linotype"/>
          <w:szCs w:val="22"/>
          <w:lang w:val="es-ES"/>
        </w:rPr>
      </w:pPr>
    </w:p>
    <w:p w14:paraId="7141D976" w14:textId="77777777" w:rsidR="000B0446" w:rsidRPr="00FF009E" w:rsidRDefault="000B0446" w:rsidP="00FF009E">
      <w:pPr>
        <w:contextualSpacing/>
        <w:rPr>
          <w:rFonts w:eastAsia="Palatino Linotype" w:cs="Palatino Linotype"/>
          <w:szCs w:val="22"/>
        </w:rPr>
      </w:pPr>
      <w:r w:rsidRPr="00FF009E">
        <w:rPr>
          <w:rFonts w:eastAsia="Palatino Linotype" w:cs="Palatino Linotype"/>
          <w:szCs w:val="22"/>
        </w:rPr>
        <w:t>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w:t>
      </w:r>
    </w:p>
    <w:p w14:paraId="064080DA" w14:textId="77777777" w:rsidR="000B0446" w:rsidRPr="00FF009E" w:rsidRDefault="000B0446" w:rsidP="00FF009E">
      <w:pPr>
        <w:contextualSpacing/>
        <w:rPr>
          <w:rFonts w:eastAsia="Palatino Linotype" w:cs="Palatino Linotype"/>
          <w:szCs w:val="22"/>
        </w:rPr>
      </w:pPr>
    </w:p>
    <w:p w14:paraId="739BDDC5" w14:textId="77777777" w:rsidR="000B0446" w:rsidRPr="00FF009E" w:rsidRDefault="000B0446" w:rsidP="00FF009E">
      <w:pPr>
        <w:rPr>
          <w:rFonts w:eastAsia="Palatino Linotype" w:cs="Palatino Linotype"/>
          <w:szCs w:val="22"/>
        </w:rPr>
      </w:pPr>
      <w:r w:rsidRPr="00FF009E">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3D97BFB5" w14:textId="77777777" w:rsidR="000B0446" w:rsidRPr="00FF009E" w:rsidRDefault="000B0446" w:rsidP="00FF009E">
      <w:pPr>
        <w:rPr>
          <w:rFonts w:eastAsia="Palatino Linotype" w:cs="Palatino Linotype"/>
          <w:szCs w:val="22"/>
        </w:rPr>
      </w:pPr>
    </w:p>
    <w:p w14:paraId="10BD87B6" w14:textId="01A26763" w:rsidR="001A6D7F" w:rsidRPr="00FF009E" w:rsidRDefault="000B0446" w:rsidP="00FF009E">
      <w:pPr>
        <w:spacing w:line="240" w:lineRule="auto"/>
        <w:ind w:left="851" w:right="822"/>
        <w:rPr>
          <w:rFonts w:cs="Tahoma"/>
          <w:bCs/>
          <w:szCs w:val="22"/>
        </w:rPr>
      </w:pPr>
      <w:r w:rsidRPr="00FF009E">
        <w:rPr>
          <w:rFonts w:eastAsia="Palatino Linotype"/>
          <w:i/>
          <w:szCs w:val="22"/>
        </w:rPr>
        <w:t>“</w:t>
      </w:r>
      <w:r w:rsidRPr="00FF009E">
        <w:rPr>
          <w:rFonts w:eastAsia="Palatino Linotype"/>
          <w:b/>
          <w:i/>
          <w:szCs w:val="22"/>
        </w:rPr>
        <w:t xml:space="preserve">No existe obligación de elaborar documentos ad hoc para atender las solicitudes de acceso a la información. </w:t>
      </w:r>
      <w:r w:rsidRPr="00FF009E">
        <w:rPr>
          <w:rFonts w:eastAsia="Palatino Linotype"/>
          <w:i/>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w:t>
      </w:r>
      <w:r w:rsidRPr="00FF009E">
        <w:rPr>
          <w:rFonts w:eastAsia="Palatino Linotype"/>
          <w:i/>
          <w:szCs w:val="22"/>
        </w:rPr>
        <w:lastRenderedPageBreak/>
        <w:t>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B2D98DA" w14:textId="77777777" w:rsidR="001A6D7F" w:rsidRPr="00FF009E" w:rsidRDefault="001A6D7F" w:rsidP="00FF009E">
      <w:pPr>
        <w:ind w:right="-93"/>
        <w:rPr>
          <w:rFonts w:cs="Tahoma"/>
          <w:bCs/>
          <w:szCs w:val="22"/>
        </w:rPr>
      </w:pPr>
    </w:p>
    <w:p w14:paraId="6CFB96F0" w14:textId="77777777" w:rsidR="00C76549" w:rsidRPr="00FF009E" w:rsidRDefault="00C76549" w:rsidP="00FF009E">
      <w:pPr>
        <w:ind w:right="-93"/>
      </w:pPr>
      <w:r w:rsidRPr="00FF009E">
        <w:t>En ese orden de ideas, la Ley del Agua para el Estado de México y Municipios, contempla dentro del precepto normativo 17 la denominación de la Comisión del Agua del Estado de México, el cual a la letra señala lo siguiente:</w:t>
      </w:r>
    </w:p>
    <w:p w14:paraId="58481A01" w14:textId="77777777" w:rsidR="00CC304B" w:rsidRPr="00FF009E" w:rsidRDefault="00CC304B" w:rsidP="00FF009E">
      <w:pPr>
        <w:ind w:right="-93"/>
      </w:pPr>
    </w:p>
    <w:p w14:paraId="0ADA7911" w14:textId="77777777" w:rsidR="00C76549" w:rsidRPr="00FF009E" w:rsidRDefault="00C76549" w:rsidP="00FF009E">
      <w:pPr>
        <w:spacing w:line="240" w:lineRule="auto"/>
        <w:ind w:left="851" w:right="822"/>
        <w:jc w:val="center"/>
        <w:rPr>
          <w:b/>
          <w:i/>
        </w:rPr>
      </w:pPr>
      <w:r w:rsidRPr="00FF009E">
        <w:rPr>
          <w:b/>
          <w:i/>
        </w:rPr>
        <w:t>SECCIÓN TERCERA</w:t>
      </w:r>
    </w:p>
    <w:p w14:paraId="7A6328A9" w14:textId="77777777" w:rsidR="00C76549" w:rsidRPr="00FF009E" w:rsidRDefault="00C76549" w:rsidP="00FF009E">
      <w:pPr>
        <w:spacing w:line="240" w:lineRule="auto"/>
        <w:ind w:left="851" w:right="822"/>
        <w:jc w:val="center"/>
        <w:rPr>
          <w:i/>
        </w:rPr>
      </w:pPr>
      <w:r w:rsidRPr="00FF009E">
        <w:rPr>
          <w:b/>
          <w:i/>
        </w:rPr>
        <w:t>DE LA COMISIÓN DEL AGUA DEL ESTADO DE MÉXICO</w:t>
      </w:r>
    </w:p>
    <w:p w14:paraId="491BD108" w14:textId="77777777" w:rsidR="00C76549" w:rsidRPr="00FF009E" w:rsidRDefault="00C76549" w:rsidP="00FF009E">
      <w:pPr>
        <w:spacing w:line="240" w:lineRule="auto"/>
        <w:ind w:left="851" w:right="822"/>
        <w:rPr>
          <w:i/>
        </w:rPr>
      </w:pPr>
      <w:r w:rsidRPr="00FF009E">
        <w:rPr>
          <w:i/>
        </w:rPr>
        <w:t xml:space="preserve">Artículo 17.- La Comisión es un organismo público descentralizado, con personalidad jurídica y patrimonio propios, sectorizado a la Secretaría, con carácter de autoridad fiscal. </w:t>
      </w:r>
    </w:p>
    <w:p w14:paraId="77A03751" w14:textId="4B2F00A3" w:rsidR="00C76549" w:rsidRPr="00FF009E" w:rsidRDefault="00C76549" w:rsidP="00FF009E">
      <w:pPr>
        <w:spacing w:line="240" w:lineRule="auto"/>
        <w:ind w:left="851" w:right="822"/>
        <w:rPr>
          <w:rFonts w:cs="Tahoma"/>
          <w:bCs/>
          <w:szCs w:val="22"/>
        </w:rPr>
      </w:pPr>
      <w:r w:rsidRPr="00FF009E">
        <w:rPr>
          <w:i/>
        </w:rPr>
        <w:t xml:space="preserve">La Comisión tiene por objeto planear, programar, presupuestar, diseñar, construir, conservar, mantener, operar y administrar sistemas de suministro de agua potable, desinfección, drenaje, alcantarillado, saneamiento, tratamiento y </w:t>
      </w:r>
      <w:proofErr w:type="spellStart"/>
      <w:r w:rsidRPr="00FF009E">
        <w:rPr>
          <w:i/>
        </w:rPr>
        <w:t>reuso</w:t>
      </w:r>
      <w:proofErr w:type="spellEnd"/>
      <w:r w:rsidRPr="00FF009E">
        <w:rPr>
          <w:i/>
        </w:rPr>
        <w:t xml:space="preserve"> de aguas tratadas, así como la disposición final de sus productos resultantes, e imponer las sanciones que correspondan en caso de incumplimiento de la normatividad en la materia.</w:t>
      </w:r>
    </w:p>
    <w:p w14:paraId="58771F60" w14:textId="77777777" w:rsidR="00C76549" w:rsidRPr="00FF009E" w:rsidRDefault="00C76549" w:rsidP="00FF009E">
      <w:pPr>
        <w:ind w:right="-93"/>
        <w:rPr>
          <w:rFonts w:cs="Tahoma"/>
          <w:bCs/>
          <w:szCs w:val="22"/>
        </w:rPr>
      </w:pPr>
    </w:p>
    <w:p w14:paraId="37910E00" w14:textId="410FE5DD" w:rsidR="000B0446" w:rsidRPr="00FF009E" w:rsidRDefault="003429D5" w:rsidP="00FF009E">
      <w:pPr>
        <w:ind w:right="-93"/>
        <w:rPr>
          <w:iCs/>
          <w:noProof/>
        </w:rPr>
      </w:pPr>
      <w:r w:rsidRPr="00FF009E">
        <w:rPr>
          <w:rFonts w:cs="Tahoma"/>
          <w:bCs/>
          <w:szCs w:val="22"/>
        </w:rPr>
        <w:t xml:space="preserve">Ahora bien, toda vez que </w:t>
      </w:r>
      <w:r w:rsidRPr="00FF009E">
        <w:rPr>
          <w:rFonts w:cs="Tahoma"/>
          <w:b/>
          <w:bCs/>
          <w:szCs w:val="22"/>
        </w:rPr>
        <w:t xml:space="preserve">LA PARTE RECURRENTE </w:t>
      </w:r>
      <w:r w:rsidRPr="00FF009E">
        <w:rPr>
          <w:rFonts w:cs="Tahoma"/>
          <w:bCs/>
          <w:szCs w:val="22"/>
        </w:rPr>
        <w:t xml:space="preserve">solicitó las actas de entrega y recepción de todos los servidores públicos adscritos a la Comisión del Agua del Estado de México, resulta conveniente invocar lo que establece </w:t>
      </w:r>
      <w:r w:rsidRPr="00FF009E">
        <w:rPr>
          <w:noProof/>
        </w:rPr>
        <w:t xml:space="preserve">el </w:t>
      </w:r>
      <w:r w:rsidRPr="00FF009E">
        <w:rPr>
          <w:i/>
          <w:iCs/>
          <w:noProof/>
        </w:rPr>
        <w:t>Reglamento para los Procesos de Entrega y Recepción y de Rendición de Cuentas de la Administración Pública del Estado de México,</w:t>
      </w:r>
      <w:r w:rsidRPr="00FF009E">
        <w:rPr>
          <w:rStyle w:val="Refdenotaalpie"/>
          <w:i/>
          <w:iCs/>
          <w:noProof/>
        </w:rPr>
        <w:footnoteReference w:id="1"/>
      </w:r>
      <w:r w:rsidRPr="00FF009E">
        <w:rPr>
          <w:i/>
          <w:iCs/>
          <w:noProof/>
        </w:rPr>
        <w:t xml:space="preserve"> </w:t>
      </w:r>
      <w:r w:rsidRPr="00FF009E">
        <w:rPr>
          <w:iCs/>
          <w:noProof/>
        </w:rPr>
        <w:t>el cual textualmente refiere lo siguiente:</w:t>
      </w:r>
    </w:p>
    <w:p w14:paraId="19F23544" w14:textId="77777777" w:rsidR="003429D5" w:rsidRPr="00FF009E" w:rsidRDefault="003429D5" w:rsidP="00FF009E">
      <w:pPr>
        <w:ind w:right="-93"/>
        <w:rPr>
          <w:iCs/>
          <w:noProof/>
        </w:rPr>
      </w:pPr>
    </w:p>
    <w:p w14:paraId="38119E01" w14:textId="77777777" w:rsidR="003429D5" w:rsidRPr="00FF009E" w:rsidRDefault="003429D5" w:rsidP="00FF009E">
      <w:pPr>
        <w:pStyle w:val="Puesto"/>
        <w:ind w:left="851" w:right="822"/>
      </w:pPr>
      <w:r w:rsidRPr="00FF009E">
        <w:rPr>
          <w:b/>
          <w:bCs/>
        </w:rPr>
        <w:lastRenderedPageBreak/>
        <w:t>Artículo 1</w:t>
      </w:r>
      <w:r w:rsidRPr="00FF009E">
        <w:t>. El presente Reglamento tiene por objeto regular los procesos de Entrega y Recepción de recursos, programas, proyectos, acciones, asuntos, compromisos e información a cargo de las personas servidoras públicas adscritas a las Unidades Administrativas de las Dependencias y Organismos Auxiliares, así como de la rendición de cuentas institucionales por el término del periodo constitucional de la gestión de gobierno de la persona titular del Poder Ejecutivo del Estado de México.</w:t>
      </w:r>
    </w:p>
    <w:p w14:paraId="16E75E1D" w14:textId="77777777" w:rsidR="003429D5" w:rsidRPr="00FF009E" w:rsidRDefault="003429D5" w:rsidP="00FF009E">
      <w:pPr>
        <w:pStyle w:val="Puesto"/>
        <w:ind w:left="851" w:right="822"/>
      </w:pPr>
    </w:p>
    <w:p w14:paraId="45123888" w14:textId="77777777" w:rsidR="003429D5" w:rsidRPr="00FF009E" w:rsidRDefault="003429D5" w:rsidP="00FF009E">
      <w:pPr>
        <w:pStyle w:val="Puesto"/>
        <w:ind w:left="851" w:right="822"/>
      </w:pPr>
      <w:r w:rsidRPr="00FF009E">
        <w:rPr>
          <w:b/>
          <w:bCs/>
        </w:rPr>
        <w:t>Artículo 3.</w:t>
      </w:r>
      <w:r w:rsidRPr="00FF009E">
        <w:t xml:space="preserve"> Para efectos del presente Reglamento, se entiende por: </w:t>
      </w:r>
    </w:p>
    <w:p w14:paraId="670F8382" w14:textId="77777777" w:rsidR="003429D5" w:rsidRPr="00FF009E" w:rsidRDefault="003429D5" w:rsidP="00FF009E">
      <w:pPr>
        <w:pStyle w:val="Puesto"/>
        <w:ind w:left="851" w:right="822"/>
      </w:pPr>
    </w:p>
    <w:p w14:paraId="593504B7" w14:textId="77777777" w:rsidR="003429D5" w:rsidRPr="00FF009E" w:rsidRDefault="003429D5" w:rsidP="00FF009E">
      <w:pPr>
        <w:pStyle w:val="Puesto"/>
        <w:ind w:left="851" w:right="822"/>
      </w:pPr>
      <w:r w:rsidRPr="00FF009E">
        <w:t xml:space="preserve">I. </w:t>
      </w:r>
      <w:r w:rsidRPr="00FF009E">
        <w:rPr>
          <w:b/>
          <w:bCs/>
        </w:rPr>
        <w:t>Acta Administrativa:</w:t>
      </w:r>
      <w:r w:rsidRPr="00FF009E">
        <w:t xml:space="preserve"> Al 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para su validación;</w:t>
      </w:r>
    </w:p>
    <w:p w14:paraId="6202CF4C" w14:textId="77777777" w:rsidR="003429D5" w:rsidRPr="00FF009E" w:rsidRDefault="003429D5" w:rsidP="00FF009E">
      <w:pPr>
        <w:pStyle w:val="Puesto"/>
        <w:ind w:left="851" w:right="822"/>
      </w:pPr>
      <w:r w:rsidRPr="00FF009E">
        <w:t>…</w:t>
      </w:r>
    </w:p>
    <w:p w14:paraId="20D78940" w14:textId="77777777" w:rsidR="003429D5" w:rsidRPr="00FF009E" w:rsidRDefault="003429D5" w:rsidP="00FF009E">
      <w:pPr>
        <w:pStyle w:val="Puesto"/>
        <w:ind w:left="851" w:right="822"/>
      </w:pPr>
    </w:p>
    <w:p w14:paraId="07B932A5" w14:textId="77777777" w:rsidR="003429D5" w:rsidRPr="00FF009E" w:rsidRDefault="003429D5" w:rsidP="00FF009E">
      <w:pPr>
        <w:pStyle w:val="Puesto"/>
        <w:ind w:left="851" w:right="822"/>
      </w:pPr>
      <w:r w:rsidRPr="00FF009E">
        <w:t xml:space="preserve">VII. </w:t>
      </w:r>
      <w:r w:rsidRPr="00FF009E">
        <w:rPr>
          <w:b/>
          <w:bCs/>
        </w:rPr>
        <w:t>Dependencias</w:t>
      </w:r>
      <w:r w:rsidRPr="00FF009E">
        <w:t>: A las Dependencias del Poder Ejecutivo del Estado de México previstas en la Ley Orgánica de la Administración Pública del Estado de México, y sus órganos desconcentrados;</w:t>
      </w:r>
    </w:p>
    <w:p w14:paraId="66D8A7F9" w14:textId="77777777" w:rsidR="003429D5" w:rsidRPr="00FF009E" w:rsidRDefault="003429D5" w:rsidP="00FF009E">
      <w:pPr>
        <w:pStyle w:val="Puesto"/>
        <w:ind w:left="851" w:right="822"/>
      </w:pPr>
    </w:p>
    <w:p w14:paraId="20B0F8F7" w14:textId="77777777" w:rsidR="003429D5" w:rsidRPr="00FF009E" w:rsidRDefault="003429D5" w:rsidP="00FF009E">
      <w:pPr>
        <w:pStyle w:val="Puesto"/>
        <w:ind w:left="851" w:right="822"/>
      </w:pPr>
      <w:r w:rsidRPr="00FF009E">
        <w:t>…</w:t>
      </w:r>
    </w:p>
    <w:p w14:paraId="404BD8B9" w14:textId="77777777" w:rsidR="003429D5" w:rsidRPr="00FF009E" w:rsidRDefault="003429D5" w:rsidP="00FF009E">
      <w:pPr>
        <w:pStyle w:val="Puesto"/>
        <w:ind w:left="851" w:right="822"/>
      </w:pPr>
      <w:r w:rsidRPr="00FF009E">
        <w:t xml:space="preserve">IX. </w:t>
      </w:r>
      <w:r w:rsidRPr="00FF009E">
        <w:rPr>
          <w:b/>
          <w:bCs/>
        </w:rPr>
        <w:t>Entrega y Recepción</w:t>
      </w:r>
      <w:r w:rsidRPr="00FF009E">
        <w:t xml:space="preserve">: Al proceso administrativo por el que una persona servidora pública que concluye su empleo, cargo o comisión hace entrega y rinde cuentas de los Recursos asignados; de los programas, proyectos, asuntos y acciones a su cargo y del estado que guardan; así como de la información documental que tenga a su disposición de manera directa, a quien reciba legalmente para sustituirle o a la persona que su superior jerárquico designe como encargada o encargado, o responsable para tales efectos; </w:t>
      </w:r>
    </w:p>
    <w:p w14:paraId="38C60581" w14:textId="77777777" w:rsidR="003429D5" w:rsidRPr="00FF009E" w:rsidRDefault="003429D5" w:rsidP="00FF009E">
      <w:pPr>
        <w:pStyle w:val="Puesto"/>
        <w:ind w:left="851" w:right="822"/>
      </w:pPr>
    </w:p>
    <w:p w14:paraId="1FCDE69B" w14:textId="77777777" w:rsidR="003429D5" w:rsidRPr="00FF009E" w:rsidRDefault="003429D5" w:rsidP="00FF009E">
      <w:pPr>
        <w:pStyle w:val="Puesto"/>
        <w:ind w:left="851" w:right="822"/>
      </w:pPr>
      <w:r w:rsidRPr="00FF009E">
        <w:t xml:space="preserve">X. </w:t>
      </w:r>
      <w:r w:rsidRPr="00FF009E">
        <w:rPr>
          <w:b/>
          <w:bCs/>
        </w:rPr>
        <w:t>Entrega y Recepción Institucional</w:t>
      </w:r>
      <w:r w:rsidRPr="00FF009E">
        <w:t xml:space="preserve">: Al proceso administrativo por el que las personas titulares de las Dependencias y Organismos Auxiliares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 y Organismos </w:t>
      </w:r>
      <w:r w:rsidRPr="00FF009E">
        <w:lastRenderedPageBreak/>
        <w:t>Auxiliares, por el término del periodo constitucional de la gestión de la persona titular del Poder Ejecutivo del Estado de México;</w:t>
      </w:r>
    </w:p>
    <w:p w14:paraId="39147963" w14:textId="77777777" w:rsidR="003429D5" w:rsidRPr="00FF009E" w:rsidRDefault="003429D5" w:rsidP="00FF009E">
      <w:pPr>
        <w:pStyle w:val="Puesto"/>
        <w:ind w:left="851" w:right="822"/>
        <w:rPr>
          <w:b/>
          <w:bCs/>
        </w:rPr>
      </w:pPr>
    </w:p>
    <w:p w14:paraId="6181A3D4" w14:textId="77777777" w:rsidR="003429D5" w:rsidRPr="00FF009E" w:rsidRDefault="003429D5" w:rsidP="00FF009E">
      <w:pPr>
        <w:pStyle w:val="Puesto"/>
        <w:ind w:left="851" w:right="822"/>
      </w:pPr>
      <w:r w:rsidRPr="00FF009E">
        <w:rPr>
          <w:b/>
          <w:bCs/>
        </w:rPr>
        <w:t>Artículo 5</w:t>
      </w:r>
      <w:r w:rsidRPr="00FF009E">
        <w:t xml:space="preserve">. La Entrega y Recepción se realizará cuando una persona servidora pública se separe de su empleo, cargo o comisión, por cualquier motivo, incluyendo licencias, suplencias, encargos o el término del periodo constitucional de la gestión de gobierno de la persona titular del Poder Ejecutivo del Estado de México. </w:t>
      </w:r>
    </w:p>
    <w:p w14:paraId="4576E630" w14:textId="77777777" w:rsidR="003429D5" w:rsidRPr="00FF009E" w:rsidRDefault="003429D5" w:rsidP="00FF009E">
      <w:pPr>
        <w:pStyle w:val="Puesto"/>
        <w:ind w:left="851" w:right="822"/>
      </w:pPr>
    </w:p>
    <w:p w14:paraId="7D69A809" w14:textId="77777777" w:rsidR="003429D5" w:rsidRPr="00FF009E" w:rsidRDefault="003429D5" w:rsidP="00FF009E">
      <w:pPr>
        <w:pStyle w:val="Puesto"/>
        <w:ind w:left="851" w:right="822"/>
      </w:pPr>
      <w:r w:rsidRPr="00FF009E">
        <w:t>La Entrega y Recepción también deberá de llevarse a cabo en los casos de reestructuraciones organizacionales; descentralización o desconcentración de 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funciones, independientemente de que haya continuidad del personal del servicio público.</w:t>
      </w:r>
    </w:p>
    <w:p w14:paraId="2B501B3E" w14:textId="77777777" w:rsidR="00B3735C" w:rsidRPr="00FF009E" w:rsidRDefault="00B3735C" w:rsidP="00FF009E"/>
    <w:p w14:paraId="3B31DFE2" w14:textId="77777777" w:rsidR="00B3735C" w:rsidRPr="00FF009E" w:rsidRDefault="00B3735C" w:rsidP="00FF009E">
      <w:pPr>
        <w:pStyle w:val="Puesto"/>
        <w:ind w:left="851" w:right="822"/>
      </w:pPr>
      <w:r w:rsidRPr="00FF009E">
        <w:t xml:space="preserve">Artículo 6. Son sujetos obligados al proceso de Entrega y Recepción las personas servidoras públicas titulares de Unidades Administrativas, desde la persona titular del Poder Ejecutivo del Estado de México hasta las personas titulares de jefaturas de departamento en las Dependencias, así como los equivalentes jerárquicos en los Organismos Auxiliares. </w:t>
      </w:r>
    </w:p>
    <w:p w14:paraId="596050FD" w14:textId="0366AA16" w:rsidR="003429D5" w:rsidRPr="00FF009E" w:rsidRDefault="00B3735C" w:rsidP="00FF009E">
      <w:pPr>
        <w:pStyle w:val="Puesto"/>
        <w:ind w:left="851" w:right="822"/>
      </w:pPr>
      <w:r w:rsidRPr="00FF009E">
        <w:t>También deberán realizar procesos de Entrega y Recepción las personas servidoras públicas que, por comisión, suplencia, encargo o bajo cualquier otra figura, hayan quedado bajo el encargo provisional de alguna Unidad Administrativa en que la persona titular deba cumplir con esta obligación.</w:t>
      </w:r>
    </w:p>
    <w:p w14:paraId="429D659D" w14:textId="77777777" w:rsidR="00B3735C" w:rsidRPr="00FF009E" w:rsidRDefault="00B3735C" w:rsidP="00FF009E"/>
    <w:p w14:paraId="5F0FCD27" w14:textId="77777777" w:rsidR="003429D5" w:rsidRPr="00FF009E" w:rsidRDefault="003429D5" w:rsidP="00FF009E">
      <w:pPr>
        <w:pStyle w:val="Puesto"/>
        <w:ind w:left="851" w:right="822"/>
      </w:pPr>
      <w:r w:rsidRPr="00FF009E">
        <w:rPr>
          <w:b/>
          <w:bCs/>
        </w:rPr>
        <w:t>Artículo 7</w:t>
      </w:r>
      <w:r w:rsidRPr="00FF009E">
        <w:t xml:space="preserve">. </w:t>
      </w:r>
      <w:r w:rsidRPr="00FF009E">
        <w:rPr>
          <w:b/>
          <w:bCs/>
          <w:u w:val="single"/>
        </w:rPr>
        <w:t>La Entrega y Recepción se efectuará en un plazo máximo de cinco días hábiles</w:t>
      </w:r>
      <w:r w:rsidRPr="00FF009E">
        <w:t xml:space="preserve">, contados a partir de que surta efectos la separación del empleo, cargo o comisión y se dejará constancia mediante el Acta Administrativa correspondiente. </w:t>
      </w:r>
    </w:p>
    <w:p w14:paraId="7C3E49CD" w14:textId="77777777" w:rsidR="003429D5" w:rsidRPr="00FF009E" w:rsidRDefault="003429D5" w:rsidP="00FF009E">
      <w:pPr>
        <w:pStyle w:val="Puesto"/>
        <w:ind w:left="851" w:right="822"/>
      </w:pPr>
    </w:p>
    <w:p w14:paraId="7CA2283E" w14:textId="77777777" w:rsidR="003429D5" w:rsidRPr="00FF009E" w:rsidRDefault="003429D5" w:rsidP="00FF009E">
      <w:pPr>
        <w:pStyle w:val="Puesto"/>
        <w:ind w:left="851" w:right="822"/>
      </w:pPr>
      <w:r w:rsidRPr="00FF009E">
        <w:rPr>
          <w:b/>
        </w:rPr>
        <w:t>En el caso de los procesos de Entrega y Recepción derivados de reestructuraciones organizacionales; descentralización o desconcentración de Unidades Administrativas; extinción, liquidación, disolución o fusión de Organismos Auxiliares; creación o supresión de Unidades Administrativas, Dependencias</w:t>
      </w:r>
      <w:r w:rsidRPr="00FF009E">
        <w:t xml:space="preserve">, Órganos Administrativos Desconcentrados y Organismos Auxiliares; los Órganos Internos de Control y las Áreas de Administración </w:t>
      </w:r>
      <w:r w:rsidRPr="00FF009E">
        <w:rPr>
          <w:b/>
        </w:rPr>
        <w:t xml:space="preserve">fijarán la fecha para su ejecución, la cual no será mayor a cinco días hábiles </w:t>
      </w:r>
      <w:r w:rsidRPr="00FF009E">
        <w:rPr>
          <w:b/>
        </w:rPr>
        <w:lastRenderedPageBreak/>
        <w:t>posteriores a la entrada en vigor del instrumento jurídico que contenga la modificación referida, mismo que podrá ser ampliado por el Órgano Interno de Control o la Contraloría, en caso de que así lo considere</w:t>
      </w:r>
      <w:r w:rsidRPr="00FF009E">
        <w:t>.</w:t>
      </w:r>
    </w:p>
    <w:p w14:paraId="73EECC94" w14:textId="77777777" w:rsidR="003429D5" w:rsidRPr="00FF009E" w:rsidRDefault="003429D5" w:rsidP="00FF009E">
      <w:pPr>
        <w:contextualSpacing/>
        <w:rPr>
          <w:szCs w:val="22"/>
        </w:rPr>
      </w:pPr>
    </w:p>
    <w:p w14:paraId="50EE44C7" w14:textId="2EA15748" w:rsidR="003429D5" w:rsidRPr="00FF009E" w:rsidRDefault="003429D5" w:rsidP="00FF009E">
      <w:pPr>
        <w:ind w:right="-93"/>
      </w:pPr>
      <w:r w:rsidRPr="00FF009E">
        <w:t>De lo transcrito, se advierte que los procesos de entrega recepción, resultan derivadas de creación o supresión de Unidades Administrativas, Dependencias, Órganos Administrativos Desconcentrados y Organismos Auxiliares; así como que los Órganos Internos de Control y las Áreas de Administración fijarán la fecha para su ejecución, la cual no será mayor a cinco días hábiles posteriores a la entrada en vigor del instrumento jurídico que contenga la modificación referida.</w:t>
      </w:r>
    </w:p>
    <w:p w14:paraId="7E9E1F13" w14:textId="77777777" w:rsidR="003429D5" w:rsidRPr="00FF009E" w:rsidRDefault="003429D5" w:rsidP="00FF009E">
      <w:pPr>
        <w:ind w:right="-93"/>
      </w:pPr>
    </w:p>
    <w:p w14:paraId="5961838A" w14:textId="502D9A20" w:rsidR="00966415" w:rsidRPr="00FF009E" w:rsidRDefault="00C76549" w:rsidP="00FF009E">
      <w:pPr>
        <w:contextualSpacing/>
      </w:pPr>
      <w:r w:rsidRPr="00FF009E">
        <w:t xml:space="preserve">En ese orden de ideas, es de recordar que </w:t>
      </w:r>
      <w:r w:rsidRPr="00FF009E">
        <w:rPr>
          <w:b/>
        </w:rPr>
        <w:t xml:space="preserve">EL SUJETO OBLIGADO </w:t>
      </w:r>
      <w:r w:rsidRPr="00FF009E">
        <w:t xml:space="preserve">manifestó la incompetencia parcial para conocer sobre las actas de entrega recepción de las unidades administrativas de la multicitada Comisión del Agua, </w:t>
      </w:r>
      <w:r w:rsidR="00966415" w:rsidRPr="00FF009E">
        <w:t xml:space="preserve">adjuntando únicamente el acta del Órgano Interno de Control de dicho organismo, ello sin acompañarla de sus anexos, sin embargo no se advierte que se haya llevado una adecuada búsqueda exhaustiva y razonable de la información, ya que no se visualiza el turno a dependencias administrativas varias que, de acuerdo a sus facultades pueden poseer la información. </w:t>
      </w:r>
      <w:r w:rsidR="00966415" w:rsidRPr="00FF009E">
        <w:rPr>
          <w:szCs w:val="22"/>
        </w:rPr>
        <w:t xml:space="preserve">En ese orden de ideas, resulta conveniente invocar lo que estable la normatividad aplicable al </w:t>
      </w:r>
      <w:r w:rsidR="00966415" w:rsidRPr="00FF009E">
        <w:rPr>
          <w:b/>
          <w:szCs w:val="22"/>
        </w:rPr>
        <w:t xml:space="preserve">SUJETO OBLIGADO </w:t>
      </w:r>
    </w:p>
    <w:p w14:paraId="0D002A24" w14:textId="77777777" w:rsidR="00966415" w:rsidRPr="00FF009E" w:rsidRDefault="00966415" w:rsidP="00FF009E">
      <w:pPr>
        <w:contextualSpacing/>
        <w:rPr>
          <w:rFonts w:eastAsia="Calibri" w:cs="Tahoma"/>
          <w:bCs/>
          <w:szCs w:val="22"/>
        </w:rPr>
      </w:pPr>
    </w:p>
    <w:p w14:paraId="498D5516" w14:textId="77777777" w:rsidR="00966415" w:rsidRPr="00FF009E" w:rsidRDefault="00966415" w:rsidP="00FF009E">
      <w:pPr>
        <w:pStyle w:val="Puesto"/>
        <w:ind w:left="851" w:right="822"/>
        <w:jc w:val="center"/>
        <w:rPr>
          <w:b/>
          <w:bCs/>
        </w:rPr>
      </w:pPr>
      <w:r w:rsidRPr="00FF009E">
        <w:rPr>
          <w:b/>
          <w:bCs/>
        </w:rPr>
        <w:t>Reglamento Interior de la Secretaría de la Contraloría</w:t>
      </w:r>
    </w:p>
    <w:p w14:paraId="4E060CAD" w14:textId="77777777" w:rsidR="00966415" w:rsidRPr="00FF009E" w:rsidRDefault="00966415" w:rsidP="00FF009E">
      <w:pPr>
        <w:pStyle w:val="Puesto"/>
        <w:ind w:left="851" w:right="822"/>
      </w:pPr>
    </w:p>
    <w:p w14:paraId="592120F6" w14:textId="77777777" w:rsidR="00966415" w:rsidRPr="00FF009E" w:rsidRDefault="00966415" w:rsidP="00FF009E">
      <w:pPr>
        <w:pStyle w:val="Puesto"/>
        <w:ind w:left="851" w:right="822"/>
      </w:pPr>
      <w:r w:rsidRPr="00FF009E">
        <w:rPr>
          <w:b/>
          <w:bCs/>
        </w:rPr>
        <w:t>Artículo 43</w:t>
      </w:r>
      <w:r w:rsidRPr="00FF009E">
        <w:t xml:space="preserve">. Corresponde a los órganos internos de control de las dependencias y organismos auxiliares las atribuciones siguientes: </w:t>
      </w:r>
    </w:p>
    <w:p w14:paraId="66FA6E95" w14:textId="77777777" w:rsidR="00966415" w:rsidRPr="00FF009E" w:rsidRDefault="00966415" w:rsidP="00FF009E">
      <w:pPr>
        <w:pStyle w:val="Puesto"/>
        <w:ind w:left="851" w:right="822"/>
      </w:pPr>
      <w:r w:rsidRPr="00FF009E">
        <w:t>…</w:t>
      </w:r>
    </w:p>
    <w:p w14:paraId="30713594" w14:textId="77777777" w:rsidR="00966415" w:rsidRPr="00FF009E" w:rsidRDefault="00966415" w:rsidP="00FF009E">
      <w:pPr>
        <w:pStyle w:val="Puesto"/>
        <w:ind w:left="851" w:right="822"/>
      </w:pPr>
      <w:r w:rsidRPr="00FF009E">
        <w:t>XXIII. Representar a la Secretaría, cuando así se le designe, en los procesos de entrega y recepción de las unidades administrativas de la Dependencia u Organismo Auxiliar, verificando su apego a la normatividad correspondiente;</w:t>
      </w:r>
    </w:p>
    <w:p w14:paraId="02213461" w14:textId="77777777" w:rsidR="00966415" w:rsidRPr="00FF009E" w:rsidRDefault="00966415" w:rsidP="00FF009E">
      <w:pPr>
        <w:pStyle w:val="Puesto"/>
        <w:ind w:left="851" w:right="822"/>
        <w:rPr>
          <w:rFonts w:eastAsia="Calibri" w:cs="Tahoma"/>
          <w:b/>
          <w:bCs/>
          <w:szCs w:val="22"/>
        </w:rPr>
      </w:pPr>
      <w:r w:rsidRPr="00FF009E">
        <w:t>…</w:t>
      </w:r>
    </w:p>
    <w:p w14:paraId="4EE316E6" w14:textId="77777777" w:rsidR="00966415" w:rsidRPr="00FF009E" w:rsidRDefault="00966415" w:rsidP="00FF009E">
      <w:pPr>
        <w:ind w:left="851" w:right="822"/>
        <w:contextualSpacing/>
        <w:rPr>
          <w:rFonts w:eastAsia="Calibri" w:cs="Tahoma"/>
          <w:b/>
          <w:bCs/>
          <w:szCs w:val="22"/>
        </w:rPr>
      </w:pPr>
    </w:p>
    <w:p w14:paraId="78F24F18" w14:textId="77777777" w:rsidR="00966415" w:rsidRPr="00FF009E" w:rsidRDefault="00966415" w:rsidP="00FF009E">
      <w:pPr>
        <w:pStyle w:val="Puesto"/>
        <w:ind w:left="851" w:right="822"/>
        <w:jc w:val="center"/>
        <w:rPr>
          <w:b/>
          <w:bCs/>
        </w:rPr>
      </w:pPr>
      <w:r w:rsidRPr="00FF009E">
        <w:rPr>
          <w:b/>
          <w:bCs/>
        </w:rPr>
        <w:lastRenderedPageBreak/>
        <w:t>Reglamento para los Procesos de Entrega y Recepción y de Rendición de Cuentas de la Administración Pública del Estado de México</w:t>
      </w:r>
    </w:p>
    <w:p w14:paraId="02D13EE3" w14:textId="77777777" w:rsidR="00966415" w:rsidRPr="00FF009E" w:rsidRDefault="00966415" w:rsidP="00FF009E">
      <w:pPr>
        <w:pStyle w:val="Puesto"/>
        <w:ind w:left="851" w:right="822"/>
      </w:pPr>
    </w:p>
    <w:p w14:paraId="306644FC" w14:textId="77777777" w:rsidR="00966415" w:rsidRPr="00FF009E" w:rsidRDefault="00966415" w:rsidP="00FF009E">
      <w:pPr>
        <w:pStyle w:val="Puesto"/>
        <w:ind w:left="851" w:right="822"/>
      </w:pPr>
      <w:r w:rsidRPr="00FF009E">
        <w:rPr>
          <w:b/>
          <w:bCs/>
        </w:rPr>
        <w:t>Artículo 8.</w:t>
      </w:r>
      <w:r w:rsidRPr="00FF009E">
        <w:t xml:space="preserve"> En la Entrega y Recepción de Unidades Administrativas con nivel jerárquico de dirección general o superior, la persona titular del Órgano Interno de Control o de la Contraloría nombrará obligatoriamente a la persona representante que intervendrá en el acto; en la Entrega y Recepción de Unidades Administrativas de menor jerarquía, el nombramiento será potestativo. </w:t>
      </w:r>
    </w:p>
    <w:p w14:paraId="5E714C11" w14:textId="77777777" w:rsidR="00966415" w:rsidRPr="00FF009E" w:rsidRDefault="00966415" w:rsidP="00FF009E">
      <w:pPr>
        <w:pStyle w:val="Puesto"/>
        <w:ind w:left="851" w:right="822"/>
      </w:pPr>
    </w:p>
    <w:p w14:paraId="3B8014D3" w14:textId="77777777" w:rsidR="00966415" w:rsidRPr="00FF009E" w:rsidRDefault="00966415" w:rsidP="00FF009E">
      <w:pPr>
        <w:pStyle w:val="Puesto"/>
        <w:ind w:left="851" w:right="822"/>
      </w:pPr>
      <w:r w:rsidRPr="00FF009E">
        <w:rPr>
          <w:b/>
          <w:bCs/>
          <w:u w:val="single"/>
        </w:rPr>
        <w:t>La persona representante del Órgano Interno de Control o de la Contraloría participará en el acto de Entrega y Recepción, quien revisará el contenido y los anexos del Acta Administrativa, la cual firmará de manera autógrafa o electrónic</w:t>
      </w:r>
      <w:r w:rsidRPr="00FF009E">
        <w:t xml:space="preserve">a, con la presencia de dos personas que funjan como testigos de asistencia, sin que ello implique validación o responsabilidad. </w:t>
      </w:r>
    </w:p>
    <w:p w14:paraId="3BABA4AA" w14:textId="77777777" w:rsidR="00966415" w:rsidRPr="00FF009E" w:rsidRDefault="00966415" w:rsidP="00FF009E">
      <w:pPr>
        <w:pStyle w:val="Puesto"/>
        <w:ind w:left="851" w:right="822"/>
      </w:pPr>
    </w:p>
    <w:p w14:paraId="42D8E892" w14:textId="77777777" w:rsidR="00966415" w:rsidRPr="00FF009E" w:rsidRDefault="00966415" w:rsidP="00FF009E">
      <w:pPr>
        <w:pStyle w:val="Puesto"/>
        <w:ind w:left="851" w:right="822"/>
        <w:rPr>
          <w:b/>
          <w:bCs/>
          <w:u w:val="single"/>
        </w:rPr>
      </w:pPr>
      <w:r w:rsidRPr="00FF009E">
        <w:rPr>
          <w:b/>
          <w:bCs/>
        </w:rPr>
        <w:t>En los actos de Entrega y Recepción en que no participe el representante del Órgano Interno de Control o de la Contraloría</w:t>
      </w:r>
      <w:r w:rsidRPr="00FF009E">
        <w:t xml:space="preserve">, la persona servidora pública que recibe remitirá a la persona titular del Órgano Interno de Control o de la Contraloría, </w:t>
      </w:r>
      <w:r w:rsidRPr="00FF009E">
        <w:rPr>
          <w:b/>
          <w:bCs/>
          <w:u w:val="single"/>
        </w:rPr>
        <w:t xml:space="preserve">dentro de los cinco días hábiles siguientes al acto, una copia documental o electrónica del Acta Administrativa y sus anexos. </w:t>
      </w:r>
    </w:p>
    <w:p w14:paraId="165F0893" w14:textId="77777777" w:rsidR="00966415" w:rsidRPr="00FF009E" w:rsidRDefault="00966415" w:rsidP="00FF009E">
      <w:pPr>
        <w:pStyle w:val="Puesto"/>
        <w:ind w:left="851" w:right="822"/>
      </w:pPr>
    </w:p>
    <w:p w14:paraId="56D8B995" w14:textId="77777777" w:rsidR="00966415" w:rsidRPr="00FF009E" w:rsidRDefault="00966415" w:rsidP="00FF009E">
      <w:pPr>
        <w:pStyle w:val="Puesto"/>
        <w:ind w:left="851" w:right="822"/>
        <w:jc w:val="center"/>
        <w:rPr>
          <w:b/>
          <w:bCs/>
        </w:rPr>
      </w:pPr>
      <w:r w:rsidRPr="00FF009E">
        <w:rPr>
          <w:b/>
          <w:bCs/>
        </w:rPr>
        <w:t>Manual de Procedimientos para el Proceso de Entrega y Recepción de las Unidades Administrativas de la Administración Pública del Gobierno del Estado de México</w:t>
      </w:r>
    </w:p>
    <w:p w14:paraId="53545C39" w14:textId="77777777" w:rsidR="00966415" w:rsidRPr="00FF009E" w:rsidRDefault="00966415" w:rsidP="00FF009E">
      <w:pPr>
        <w:pStyle w:val="Puesto"/>
        <w:ind w:left="851" w:right="822"/>
      </w:pPr>
    </w:p>
    <w:p w14:paraId="6662E167" w14:textId="77777777" w:rsidR="00966415" w:rsidRPr="00FF009E" w:rsidRDefault="00966415" w:rsidP="00FF009E">
      <w:pPr>
        <w:pStyle w:val="Puesto"/>
        <w:ind w:left="851" w:right="822"/>
      </w:pPr>
      <w:r w:rsidRPr="00FF009E">
        <w:rPr>
          <w:b/>
          <w:bCs/>
        </w:rPr>
        <w:t>POLÍTICAS</w:t>
      </w:r>
      <w:r w:rsidRPr="00FF009E">
        <w:t xml:space="preserve">: </w:t>
      </w:r>
    </w:p>
    <w:p w14:paraId="7A6E1F6E" w14:textId="77777777" w:rsidR="00966415" w:rsidRPr="00FF009E" w:rsidRDefault="00966415" w:rsidP="00FF009E">
      <w:pPr>
        <w:pStyle w:val="Puesto"/>
        <w:ind w:left="851" w:right="822"/>
      </w:pPr>
    </w:p>
    <w:p w14:paraId="6DB8B831" w14:textId="77777777" w:rsidR="00966415" w:rsidRPr="00FF009E" w:rsidRDefault="00966415" w:rsidP="00FF009E">
      <w:pPr>
        <w:pStyle w:val="Puesto"/>
        <w:numPr>
          <w:ilvl w:val="0"/>
          <w:numId w:val="33"/>
        </w:numPr>
        <w:ind w:left="851" w:right="822"/>
      </w:pPr>
      <w:r w:rsidRPr="00FF009E">
        <w:rPr>
          <w:b/>
          <w:bCs/>
        </w:rPr>
        <w:t>La o el titular del Área de administración deberá convocar a la o al titular del Órgano Interno de Control</w:t>
      </w:r>
      <w:r w:rsidRPr="00FF009E">
        <w:t xml:space="preserve"> o de la Dirección General de Control y Evaluación “A”, “B” o “C”, con al menos dos días hábiles previos al acto de Entrega y Recepción. </w:t>
      </w:r>
    </w:p>
    <w:p w14:paraId="627F2C1B" w14:textId="77777777" w:rsidR="00966415" w:rsidRPr="00FF009E" w:rsidRDefault="00966415" w:rsidP="00FF009E">
      <w:pPr>
        <w:pStyle w:val="Puesto"/>
        <w:ind w:left="851" w:right="822"/>
      </w:pPr>
    </w:p>
    <w:p w14:paraId="43CBEED6" w14:textId="77777777" w:rsidR="00966415" w:rsidRPr="00FF009E" w:rsidRDefault="00966415" w:rsidP="00FF009E">
      <w:pPr>
        <w:pStyle w:val="Puesto"/>
        <w:numPr>
          <w:ilvl w:val="0"/>
          <w:numId w:val="33"/>
        </w:numPr>
        <w:ind w:left="851" w:right="822"/>
      </w:pPr>
      <w:r w:rsidRPr="00FF009E">
        <w:t>En los actos de Entrega y Recepción en los que por cualquier motivo no se pueda hacer uso de la firma electrónica, las y los participantes deberán imprimir tres ejemplares del Acta administrativa y sus anexos y, en su caso, de las Actas circunstanciadas que se deriven de éste y firmarlas de forma autógrafa.</w:t>
      </w:r>
    </w:p>
    <w:p w14:paraId="01965838" w14:textId="77777777" w:rsidR="00966415" w:rsidRPr="00FF009E" w:rsidRDefault="00966415" w:rsidP="00FF009E">
      <w:pPr>
        <w:pStyle w:val="Puesto"/>
        <w:ind w:left="851" w:right="822"/>
      </w:pPr>
    </w:p>
    <w:p w14:paraId="7FC312F7" w14:textId="77777777" w:rsidR="00966415" w:rsidRPr="00FF009E" w:rsidRDefault="00966415" w:rsidP="00FF009E">
      <w:pPr>
        <w:pStyle w:val="Puesto"/>
        <w:ind w:left="851" w:right="822"/>
        <w:rPr>
          <w:b/>
          <w:bCs/>
        </w:rPr>
      </w:pPr>
      <w:r w:rsidRPr="00FF009E">
        <w:rPr>
          <w:b/>
          <w:bCs/>
        </w:rPr>
        <w:t xml:space="preserve">La Persona entrega deberá: </w:t>
      </w:r>
    </w:p>
    <w:p w14:paraId="79BB7787" w14:textId="77777777" w:rsidR="00966415" w:rsidRPr="00FF009E" w:rsidRDefault="00966415" w:rsidP="00FF009E">
      <w:pPr>
        <w:ind w:left="851" w:right="822"/>
      </w:pPr>
    </w:p>
    <w:p w14:paraId="27E56DB5" w14:textId="77777777" w:rsidR="00966415" w:rsidRPr="00FF009E" w:rsidRDefault="00966415" w:rsidP="00FF009E">
      <w:pPr>
        <w:pStyle w:val="Puesto"/>
        <w:numPr>
          <w:ilvl w:val="0"/>
          <w:numId w:val="33"/>
        </w:numPr>
        <w:ind w:left="851" w:right="822"/>
        <w:rPr>
          <w:rFonts w:eastAsia="Calibri" w:cs="Tahoma"/>
          <w:b/>
          <w:bCs/>
          <w:szCs w:val="22"/>
        </w:rPr>
      </w:pPr>
      <w:r w:rsidRPr="00FF009E">
        <w:lastRenderedPageBreak/>
        <w:t>Entregar</w:t>
      </w:r>
      <w:r w:rsidRPr="00FF009E">
        <w:rPr>
          <w:b/>
          <w:bCs/>
          <w:u w:val="single"/>
        </w:rPr>
        <w:t xml:space="preserve"> un ejemplar del Acta administrativa y anexos al Órgano Interno de Control</w:t>
      </w:r>
      <w:r w:rsidRPr="00FF009E">
        <w:t xml:space="preserve"> o a falta de este, a la Dirección General de Control y Evaluación “A”, “B” o “C”, y un ejemplar a la Persona que recibe.” Sic.</w:t>
      </w:r>
    </w:p>
    <w:p w14:paraId="27AE6F61" w14:textId="77777777" w:rsidR="00966415" w:rsidRPr="00FF009E" w:rsidRDefault="00966415" w:rsidP="00FF009E">
      <w:pPr>
        <w:contextualSpacing/>
        <w:rPr>
          <w:rFonts w:eastAsia="Calibri" w:cs="Tahoma"/>
          <w:b/>
          <w:bCs/>
          <w:szCs w:val="22"/>
        </w:rPr>
      </w:pPr>
    </w:p>
    <w:p w14:paraId="7D0F26FB" w14:textId="69F39FAC" w:rsidR="00C76549" w:rsidRPr="00FF009E" w:rsidRDefault="00966415" w:rsidP="00FF009E">
      <w:pPr>
        <w:ind w:right="-93"/>
      </w:pPr>
      <w:r w:rsidRPr="00FF009E">
        <w:t>Conforme a la normatividad aplicable en materia de procesos de entrega y recepción se advierte que de igual manera le corresponde al órgano interno de control representar e intervenir en los procesos de entrega y recepción, previa convocatoria que realice el titular del área de administración, en este caso, de la Coordinación Administrativa, asimismo, se prevé que la persona que entrega deberá entregar un ejemplar del Acta administrativa y anexos al Órgano Interno de Control.</w:t>
      </w:r>
    </w:p>
    <w:p w14:paraId="007E8DF4" w14:textId="77777777" w:rsidR="00966415" w:rsidRPr="00FF009E" w:rsidRDefault="00966415" w:rsidP="00FF009E">
      <w:pPr>
        <w:ind w:right="-93"/>
      </w:pPr>
    </w:p>
    <w:p w14:paraId="12187254" w14:textId="009C5422" w:rsidR="00966415" w:rsidRPr="00FF009E" w:rsidRDefault="00966415" w:rsidP="00FF009E">
      <w:pPr>
        <w:ind w:right="-93"/>
        <w:rPr>
          <w:rFonts w:eastAsia="Palatino Linotype"/>
        </w:rPr>
      </w:pPr>
      <w:r w:rsidRPr="00FF009E">
        <w:rPr>
          <w:rFonts w:eastAsia="Palatino Linotype"/>
        </w:rPr>
        <w:t>Por lo que, se concluye que la información que es del interés de</w:t>
      </w:r>
      <w:r w:rsidRPr="00FF009E">
        <w:rPr>
          <w:rFonts w:eastAsia="Palatino Linotype"/>
          <w:b/>
          <w:bCs/>
        </w:rPr>
        <w:t xml:space="preserve"> LA PARTE RECURRENTE</w:t>
      </w:r>
      <w:r w:rsidRPr="00FF009E">
        <w:rPr>
          <w:rFonts w:eastAsia="Palatino Linotype"/>
        </w:rPr>
        <w:t xml:space="preserve"> corresponde con el ámbito de competencia del </w:t>
      </w:r>
      <w:r w:rsidRPr="00FF009E">
        <w:rPr>
          <w:rFonts w:eastAsia="Palatino Linotype"/>
          <w:b/>
          <w:bCs/>
        </w:rPr>
        <w:t xml:space="preserve">SUJETO OBLIGADO, </w:t>
      </w:r>
      <w:r w:rsidRPr="00FF009E">
        <w:rPr>
          <w:rFonts w:eastAsia="Palatino Linotype"/>
        </w:rPr>
        <w:t xml:space="preserve">por lo que se considera que la información peticionada debe de obrar en los archivos del </w:t>
      </w:r>
      <w:r w:rsidRPr="00FF009E">
        <w:rPr>
          <w:rFonts w:eastAsia="Palatino Linotype"/>
          <w:b/>
          <w:bCs/>
        </w:rPr>
        <w:t xml:space="preserve">SUJETO OBLIGADO, </w:t>
      </w:r>
      <w:r w:rsidRPr="00FF009E">
        <w:rPr>
          <w:rFonts w:eastAsia="Palatino Linotype"/>
        </w:rPr>
        <w:t>en virtud de que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5695AA07" w14:textId="77777777" w:rsidR="00966415" w:rsidRPr="00FF009E" w:rsidRDefault="00966415" w:rsidP="00FF009E">
      <w:pPr>
        <w:ind w:right="-93"/>
        <w:rPr>
          <w:rFonts w:eastAsia="Palatino Linotype"/>
        </w:rPr>
      </w:pPr>
    </w:p>
    <w:p w14:paraId="4EA9D0C6" w14:textId="77777777" w:rsidR="00966415" w:rsidRPr="00FF009E" w:rsidRDefault="00966415" w:rsidP="00FF009E">
      <w:pPr>
        <w:pStyle w:val="Puesto"/>
        <w:ind w:right="539"/>
        <w:rPr>
          <w:rFonts w:eastAsia="Palatino Linotype"/>
        </w:rPr>
      </w:pPr>
      <w:r w:rsidRPr="00FF009E">
        <w:rPr>
          <w:rFonts w:eastAsia="Palatino Linotype"/>
        </w:rPr>
        <w:t>“</w:t>
      </w:r>
      <w:r w:rsidRPr="00FF009E">
        <w:rPr>
          <w:rFonts w:eastAsia="Palatino Linotype"/>
          <w:b/>
        </w:rPr>
        <w:t>Artículo 18.</w:t>
      </w:r>
      <w:r w:rsidRPr="00FF009E">
        <w:rPr>
          <w:rFonts w:eastAsia="Palatino Linotype"/>
        </w:rPr>
        <w:t xml:space="preserve"> Los sujetos obligados </w:t>
      </w:r>
      <w:r w:rsidRPr="00FF009E">
        <w:rPr>
          <w:rFonts w:eastAsia="Palatino Linotype"/>
          <w:b/>
        </w:rPr>
        <w:t>deberán documentar todo acto</w:t>
      </w:r>
      <w:r w:rsidRPr="00FF009E">
        <w:rPr>
          <w:rFonts w:eastAsia="Palatino Linotype"/>
        </w:rPr>
        <w:t xml:space="preserve"> </w:t>
      </w:r>
      <w:r w:rsidRPr="00FF009E">
        <w:rPr>
          <w:rFonts w:eastAsia="Palatino Linotype"/>
          <w:b/>
        </w:rPr>
        <w:t>que derive del ejercicio de sus facultades, competencias o funciones</w:t>
      </w:r>
      <w:r w:rsidRPr="00FF009E">
        <w:rPr>
          <w:rFonts w:eastAsia="Palatino Linotype"/>
        </w:rPr>
        <w:t>, considerando desde su origen la eventual publicidad y reutilización de la información que generen.</w:t>
      </w:r>
    </w:p>
    <w:p w14:paraId="63BB1E29" w14:textId="77777777" w:rsidR="00966415" w:rsidRPr="00FF009E" w:rsidRDefault="00966415" w:rsidP="00FF009E">
      <w:pPr>
        <w:pStyle w:val="Puesto"/>
        <w:ind w:right="539"/>
        <w:rPr>
          <w:rFonts w:eastAsia="Palatino Linotype"/>
        </w:rPr>
      </w:pPr>
      <w:r w:rsidRPr="00FF009E">
        <w:rPr>
          <w:rFonts w:eastAsia="Palatino Linotype"/>
        </w:rPr>
        <w:t>(…)</w:t>
      </w:r>
    </w:p>
    <w:p w14:paraId="1C80E9C2" w14:textId="77777777" w:rsidR="00966415" w:rsidRPr="00FF009E" w:rsidRDefault="00966415" w:rsidP="00FF009E">
      <w:pPr>
        <w:pStyle w:val="Puesto"/>
        <w:ind w:right="539"/>
        <w:rPr>
          <w:rFonts w:eastAsia="Palatino Linotype"/>
        </w:rPr>
      </w:pPr>
      <w:r w:rsidRPr="00FF009E">
        <w:rPr>
          <w:rFonts w:eastAsia="Palatino Linotype"/>
          <w:b/>
        </w:rPr>
        <w:t>Artículo 24.</w:t>
      </w:r>
      <w:r w:rsidRPr="00FF009E">
        <w:rPr>
          <w:rFonts w:eastAsia="Palatino Linotype"/>
        </w:rPr>
        <w:t xml:space="preserve"> Para el cumplimiento de los objetivos de esta Ley</w:t>
      </w:r>
      <w:r w:rsidRPr="00FF009E">
        <w:rPr>
          <w:rFonts w:eastAsia="Palatino Linotype"/>
          <w:b/>
        </w:rPr>
        <w:t>, los sujetos obligados deberán cumplir con las siguientes obligaciones</w:t>
      </w:r>
      <w:r w:rsidRPr="00FF009E">
        <w:rPr>
          <w:rFonts w:eastAsia="Palatino Linotype"/>
        </w:rPr>
        <w:t>, según corresponda, de acuerdo a su naturaleza:</w:t>
      </w:r>
    </w:p>
    <w:p w14:paraId="1894694E" w14:textId="77777777" w:rsidR="00966415" w:rsidRPr="00FF009E" w:rsidRDefault="00966415" w:rsidP="00FF009E">
      <w:pPr>
        <w:pStyle w:val="Puesto"/>
        <w:ind w:right="539"/>
        <w:rPr>
          <w:rFonts w:eastAsia="Palatino Linotype"/>
        </w:rPr>
      </w:pPr>
      <w:r w:rsidRPr="00FF009E">
        <w:rPr>
          <w:rFonts w:eastAsia="Palatino Linotype"/>
        </w:rPr>
        <w:t>(…)</w:t>
      </w:r>
    </w:p>
    <w:p w14:paraId="46A8A409" w14:textId="1098A729" w:rsidR="00966415" w:rsidRPr="00FF009E" w:rsidRDefault="00966415" w:rsidP="00FF009E">
      <w:pPr>
        <w:pStyle w:val="Puesto"/>
        <w:ind w:right="539"/>
        <w:rPr>
          <w:rFonts w:eastAsia="Palatino Linotype"/>
          <w:b/>
        </w:rPr>
      </w:pPr>
      <w:r w:rsidRPr="00FF009E">
        <w:rPr>
          <w:rFonts w:eastAsia="Palatino Linotype"/>
          <w:b/>
        </w:rPr>
        <w:t>XXII. Documentar todo acto que derive del ejercicio de sus facultades, competencias o funciones y abstenerse de destruirlos u ocultarlos, dentro de los que destacan los procesos deliberativos y de decisión definitiva;”</w:t>
      </w:r>
    </w:p>
    <w:p w14:paraId="61A50DAC" w14:textId="3355A4CE" w:rsidR="00C76549" w:rsidRPr="00FF009E" w:rsidRDefault="00C76549" w:rsidP="00FF009E">
      <w:pPr>
        <w:spacing w:line="240" w:lineRule="auto"/>
        <w:ind w:left="851" w:right="822"/>
        <w:rPr>
          <w:i/>
        </w:rPr>
      </w:pPr>
    </w:p>
    <w:p w14:paraId="38437A72" w14:textId="49327F33" w:rsidR="003429D5" w:rsidRPr="00FF009E" w:rsidRDefault="00966415" w:rsidP="00FF009E">
      <w:pPr>
        <w:ind w:right="-93"/>
      </w:pPr>
      <w:r w:rsidRPr="00FF009E">
        <w:lastRenderedPageBreak/>
        <w:t>Asimismo robustece a lo anterior, el contenido expuesto en el precepto normativo 23 del Reglamento Interior de la Comisión del Agua del Estado de México</w:t>
      </w:r>
      <w:r w:rsidRPr="00FF009E">
        <w:rPr>
          <w:rStyle w:val="Refdenotaalpie"/>
        </w:rPr>
        <w:footnoteReference w:id="2"/>
      </w:r>
      <w:r w:rsidRPr="00FF009E">
        <w:t>, el cual dispone lo siguiente:</w:t>
      </w:r>
    </w:p>
    <w:p w14:paraId="2CA97A76" w14:textId="77777777" w:rsidR="00966415" w:rsidRPr="00FF009E" w:rsidRDefault="00966415" w:rsidP="00FF009E">
      <w:pPr>
        <w:ind w:right="-93"/>
      </w:pPr>
    </w:p>
    <w:p w14:paraId="218EAC14" w14:textId="6458C5A2" w:rsidR="00966415" w:rsidRPr="00FF009E" w:rsidRDefault="00966415" w:rsidP="00FF009E">
      <w:pPr>
        <w:spacing w:line="240" w:lineRule="auto"/>
        <w:ind w:left="851" w:right="822"/>
        <w:jc w:val="center"/>
        <w:rPr>
          <w:b/>
          <w:i/>
        </w:rPr>
      </w:pPr>
      <w:r w:rsidRPr="00FF009E">
        <w:rPr>
          <w:b/>
          <w:i/>
        </w:rPr>
        <w:t>CAPÍTULO V</w:t>
      </w:r>
    </w:p>
    <w:p w14:paraId="7DBE9761" w14:textId="3CA2D4E8" w:rsidR="00966415" w:rsidRPr="00FF009E" w:rsidRDefault="00966415" w:rsidP="00FF009E">
      <w:pPr>
        <w:spacing w:line="240" w:lineRule="auto"/>
        <w:ind w:left="851" w:right="822"/>
        <w:jc w:val="center"/>
        <w:rPr>
          <w:b/>
          <w:i/>
        </w:rPr>
      </w:pPr>
      <w:r w:rsidRPr="00FF009E">
        <w:rPr>
          <w:b/>
          <w:i/>
        </w:rPr>
        <w:t>DEL ÓRGANO INTERNO DE CONTROL</w:t>
      </w:r>
    </w:p>
    <w:p w14:paraId="611A7832" w14:textId="77777777" w:rsidR="00CC304B" w:rsidRPr="00FF009E" w:rsidRDefault="00CC304B" w:rsidP="00FF009E">
      <w:pPr>
        <w:spacing w:line="240" w:lineRule="auto"/>
        <w:ind w:left="851" w:right="822"/>
        <w:jc w:val="center"/>
        <w:rPr>
          <w:b/>
          <w:i/>
        </w:rPr>
      </w:pPr>
    </w:p>
    <w:p w14:paraId="7CCBD8E8" w14:textId="673951AC" w:rsidR="00966415" w:rsidRPr="00FF009E" w:rsidRDefault="00966415" w:rsidP="00FF009E">
      <w:pPr>
        <w:spacing w:line="240" w:lineRule="auto"/>
        <w:ind w:left="851" w:right="822"/>
      </w:pPr>
      <w:r w:rsidRPr="00FF009E">
        <w:rPr>
          <w:b/>
          <w:i/>
        </w:rPr>
        <w:t>Artículo 23.</w:t>
      </w:r>
      <w:r w:rsidRPr="00FF009E">
        <w:rPr>
          <w:i/>
        </w:rPr>
        <w:t xml:space="preserve"> Está adscrito orgánica y presupuestalmente a la Comisión, un órgano interno de control, cuyo titular depende funcionalmente de la Secretaría de la Contraloría, con las atribuciones que se establecen en el Reglamento Interior de ésta y los demás ordenamientos legales y administrativos aplicables.</w:t>
      </w:r>
    </w:p>
    <w:p w14:paraId="0FBD35DE" w14:textId="77777777" w:rsidR="003429D5" w:rsidRPr="00FF009E" w:rsidRDefault="003429D5" w:rsidP="00FF009E">
      <w:pPr>
        <w:ind w:right="-93"/>
      </w:pPr>
    </w:p>
    <w:p w14:paraId="3049432E" w14:textId="4F81FC37" w:rsidR="003429D5" w:rsidRPr="00FF009E" w:rsidRDefault="00966415" w:rsidP="00FF009E">
      <w:pPr>
        <w:ind w:right="-93"/>
      </w:pPr>
      <w:r w:rsidRPr="00FF009E">
        <w:t xml:space="preserve">De lo anterior, se desprende que el Órgano Interno de Control de la Comisión, es un órgano que </w:t>
      </w:r>
      <w:r w:rsidR="00133DC6" w:rsidRPr="00FF009E">
        <w:t xml:space="preserve">cuyo titular depende funcionalmente de la Secretaría de la Contraloría por lo tanto, es posible dilucidar que en el presente caso, el servidor público titular del Órgano Interno de Control de la multicitada Comisión funge como habilitado de ambas dependencias, tanto de la propia Comisión, como de la Secretaría de la Contraloría. </w:t>
      </w:r>
    </w:p>
    <w:p w14:paraId="555B2E6C" w14:textId="77777777" w:rsidR="00133DC6" w:rsidRPr="00FF009E" w:rsidRDefault="00133DC6" w:rsidP="00FF009E">
      <w:pPr>
        <w:ind w:right="-93"/>
      </w:pPr>
    </w:p>
    <w:p w14:paraId="25A0C70D" w14:textId="77777777" w:rsidR="00133DC6" w:rsidRPr="00FF009E" w:rsidRDefault="00133DC6" w:rsidP="00FF009E">
      <w:pPr>
        <w:contextualSpacing/>
        <w:rPr>
          <w:rFonts w:eastAsia="Calibri" w:cs="Tahoma"/>
          <w:bCs/>
          <w:szCs w:val="22"/>
        </w:rPr>
      </w:pPr>
      <w:r w:rsidRPr="00FF009E">
        <w:rPr>
          <w:rFonts w:eastAsia="Calibri" w:cs="Tahoma"/>
          <w:bCs/>
          <w:szCs w:val="22"/>
        </w:rPr>
        <w:t xml:space="preserve">Por otro lado, conforme a la normatividad anteriormente plasmada es posible dilucidar que ante todo acto de entrega y recepción deberá estar en vigilancia del Órgano Interno de Control de toda Entidad Gubernamental del Poder Ejecutivo Estatal y sus derivados, es por ello que conforme a lo establecido en el Reglamento Interior de la Secretaría de la Contraloría los órganos internos de control en las dependencias señaladas estarán coordinadas por la Dirección de Coordinación y Enlace de Órgano Interno de Control, unidad administrativa que se encuentra adscrita directamente a la Secretaría de la Contraloría, es decir el </w:t>
      </w:r>
      <w:r w:rsidRPr="00FF009E">
        <w:rPr>
          <w:rFonts w:eastAsia="Calibri" w:cs="Tahoma"/>
          <w:b/>
          <w:bCs/>
          <w:szCs w:val="22"/>
        </w:rPr>
        <w:t xml:space="preserve">SUJETO </w:t>
      </w:r>
      <w:r w:rsidRPr="00FF009E">
        <w:rPr>
          <w:rFonts w:eastAsia="Calibri" w:cs="Tahoma"/>
          <w:b/>
          <w:bCs/>
          <w:szCs w:val="22"/>
        </w:rPr>
        <w:lastRenderedPageBreak/>
        <w:t xml:space="preserve">OBLIGADO </w:t>
      </w:r>
      <w:r w:rsidRPr="00FF009E">
        <w:rPr>
          <w:rFonts w:eastAsia="Calibri" w:cs="Tahoma"/>
          <w:bCs/>
          <w:szCs w:val="22"/>
        </w:rPr>
        <w:t>tiene acceso a las documentales que son generadas y administradas por los Órganos Internos de Control de toda dependencia. Sirve de sustento la siguiente transcripción:</w:t>
      </w:r>
    </w:p>
    <w:p w14:paraId="24010774" w14:textId="77777777" w:rsidR="00133DC6" w:rsidRPr="00FF009E" w:rsidRDefault="00133DC6" w:rsidP="00FF009E">
      <w:pPr>
        <w:contextualSpacing/>
        <w:rPr>
          <w:rFonts w:eastAsia="Calibri" w:cs="Tahoma"/>
          <w:bCs/>
          <w:szCs w:val="22"/>
        </w:rPr>
      </w:pPr>
    </w:p>
    <w:p w14:paraId="5687BCCA" w14:textId="77777777" w:rsidR="00133DC6" w:rsidRPr="00FF009E" w:rsidRDefault="00133DC6" w:rsidP="00FF009E">
      <w:pPr>
        <w:pStyle w:val="Puesto"/>
      </w:pPr>
      <w:r w:rsidRPr="00FF009E">
        <w:rPr>
          <w:b/>
        </w:rPr>
        <w:t>Artículo 4.</w:t>
      </w:r>
      <w:r w:rsidRPr="00FF009E">
        <w:t xml:space="preserve"> Para el estudio, planeación y atención de los asuntos de su competencia, al frente de Secretaría estará una persona titular, quien se auxiliará de las unidades administrativas básicas siguientes:</w:t>
      </w:r>
    </w:p>
    <w:p w14:paraId="30626E72" w14:textId="77777777" w:rsidR="00133DC6" w:rsidRPr="00FF009E" w:rsidRDefault="00133DC6" w:rsidP="00FF009E">
      <w:pPr>
        <w:pStyle w:val="Puesto"/>
      </w:pPr>
      <w:r w:rsidRPr="00FF009E">
        <w:t>…</w:t>
      </w:r>
    </w:p>
    <w:p w14:paraId="4B33D5D1" w14:textId="77777777" w:rsidR="00133DC6" w:rsidRPr="00FF009E" w:rsidRDefault="00133DC6" w:rsidP="00FF009E">
      <w:pPr>
        <w:pStyle w:val="Puesto"/>
        <w:rPr>
          <w:b/>
        </w:rPr>
      </w:pPr>
      <w:r w:rsidRPr="00FF009E">
        <w:rPr>
          <w:b/>
        </w:rPr>
        <w:t>VIII. Dirección de Coordinación y Enlace de Órgano Interno de Control;</w:t>
      </w:r>
    </w:p>
    <w:p w14:paraId="1E9E9AEE" w14:textId="77777777" w:rsidR="00133DC6" w:rsidRPr="00FF009E" w:rsidRDefault="00133DC6" w:rsidP="00FF009E">
      <w:pPr>
        <w:pStyle w:val="Puesto"/>
      </w:pPr>
      <w:r w:rsidRPr="00FF009E">
        <w:t>…</w:t>
      </w:r>
    </w:p>
    <w:p w14:paraId="45AA546F" w14:textId="77777777" w:rsidR="00133DC6" w:rsidRPr="00FF009E" w:rsidRDefault="00133DC6" w:rsidP="00FF009E">
      <w:pPr>
        <w:pStyle w:val="Puesto"/>
      </w:pPr>
      <w:r w:rsidRPr="00FF009E">
        <w:t xml:space="preserve">I. </w:t>
      </w:r>
      <w:r w:rsidRPr="00FF009E">
        <w:rPr>
          <w:b/>
          <w:u w:val="single"/>
        </w:rPr>
        <w:t>Coordinar a los órganos internos de control en las dependencias y organismos auxiliares, en el cumplimiento de sus facultades;</w:t>
      </w:r>
    </w:p>
    <w:p w14:paraId="3275F41A" w14:textId="77777777" w:rsidR="00133DC6" w:rsidRPr="00FF009E" w:rsidRDefault="00133DC6" w:rsidP="00FF009E">
      <w:pPr>
        <w:pStyle w:val="Puesto"/>
      </w:pPr>
      <w:r w:rsidRPr="00FF009E">
        <w:t xml:space="preserve">VIII. Supervisar en el ámbito de su competencia, las actividades de los órganos internos de control, a fin de verificar que cumplan con las políticas, normas, lineamientos, procedimientos y demás disposiciones que al efecto se establezcan; </w:t>
      </w:r>
    </w:p>
    <w:p w14:paraId="2610D34E" w14:textId="722251C0" w:rsidR="00133DC6" w:rsidRPr="00FF009E" w:rsidRDefault="00133DC6" w:rsidP="00FF009E">
      <w:pPr>
        <w:pStyle w:val="Puesto"/>
      </w:pPr>
      <w:r w:rsidRPr="00FF009E">
        <w:t>por los órganos internos de control en las dependencias y organismos auxiliares;</w:t>
      </w:r>
    </w:p>
    <w:p w14:paraId="05A30B37" w14:textId="77777777" w:rsidR="003429D5" w:rsidRPr="00FF009E" w:rsidRDefault="003429D5" w:rsidP="00FF009E">
      <w:pPr>
        <w:ind w:right="-93"/>
        <w:rPr>
          <w:rFonts w:cs="Tahoma"/>
          <w:bCs/>
          <w:szCs w:val="22"/>
        </w:rPr>
      </w:pPr>
    </w:p>
    <w:p w14:paraId="1F40537B" w14:textId="037CC44F" w:rsidR="00133DC6" w:rsidRPr="00FF009E" w:rsidRDefault="00133DC6" w:rsidP="00FF009E">
      <w:pPr>
        <w:ind w:right="-93"/>
        <w:rPr>
          <w:rFonts w:cs="Arial"/>
        </w:rPr>
      </w:pPr>
      <w:r w:rsidRPr="00FF009E">
        <w:rPr>
          <w:rFonts w:cs="Arial"/>
          <w:lang w:val="es-ES" w:eastAsia="es-MX"/>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FF009E">
        <w:rPr>
          <w:rFonts w:cs="Arial"/>
          <w:b/>
          <w:lang w:val="es-ES" w:eastAsia="es-MX"/>
        </w:rPr>
        <w:t xml:space="preserve">EL SUJETO OBLIGADO </w:t>
      </w:r>
      <w:r w:rsidRPr="00FF009E">
        <w:rPr>
          <w:rFonts w:cs="Arial"/>
          <w:lang w:val="es-ES" w:eastAsia="es-MX"/>
        </w:rPr>
        <w:t xml:space="preserve">no atendió el derecho accionado por el particular, </w:t>
      </w:r>
      <w:r w:rsidRPr="00FF009E">
        <w:rPr>
          <w:rFonts w:cs="Arial"/>
        </w:rPr>
        <w:t>por cuanto hace únicamente a las actas de entrega y recepción.</w:t>
      </w:r>
    </w:p>
    <w:p w14:paraId="6483B076" w14:textId="77777777" w:rsidR="00133DC6" w:rsidRPr="00FF009E" w:rsidRDefault="00133DC6" w:rsidP="00FF009E">
      <w:pPr>
        <w:ind w:right="-93"/>
        <w:rPr>
          <w:rFonts w:cs="Arial"/>
        </w:rPr>
      </w:pPr>
    </w:p>
    <w:p w14:paraId="15BF51DF" w14:textId="7D9F26D5" w:rsidR="00404910" w:rsidRPr="00FF009E" w:rsidRDefault="00133DC6" w:rsidP="00FF009E">
      <w:pPr>
        <w:ind w:right="-93"/>
        <w:rPr>
          <w:rFonts w:cs="Arial"/>
        </w:rPr>
      </w:pPr>
      <w:r w:rsidRPr="00FF009E">
        <w:rPr>
          <w:rFonts w:cs="Arial"/>
        </w:rPr>
        <w:t>Ahora bien, respecto de la información referente a los Oficios y nombramientos derivad</w:t>
      </w:r>
      <w:r w:rsidR="00404910" w:rsidRPr="00FF009E">
        <w:rPr>
          <w:rFonts w:cs="Arial"/>
        </w:rPr>
        <w:t xml:space="preserve">os de los cambios de personal, el </w:t>
      </w:r>
      <w:r w:rsidR="00404910" w:rsidRPr="00FF009E">
        <w:rPr>
          <w:rFonts w:cs="Arial"/>
          <w:b/>
        </w:rPr>
        <w:t xml:space="preserve">SUJETO OBLIGADO </w:t>
      </w:r>
      <w:r w:rsidR="00404910" w:rsidRPr="00FF009E">
        <w:rPr>
          <w:rFonts w:cs="Arial"/>
        </w:rPr>
        <w:t>proporcionó únicamente el nombramiento y oficio de designación del Titular del Órgano Interno de Control de la Comisión del agua al ser de su plena competencia, sin embargo por cuanto hace a la información del personal adscrito y</w:t>
      </w:r>
      <w:r w:rsidRPr="00FF009E">
        <w:rPr>
          <w:rFonts w:cs="Arial"/>
        </w:rPr>
        <w:t xml:space="preserve"> la Plantilla de personal de la Comisión del Agua del Estado de México y los Curr</w:t>
      </w:r>
      <w:r w:rsidR="00CC304B" w:rsidRPr="00FF009E">
        <w:rPr>
          <w:rFonts w:cs="Arial"/>
        </w:rPr>
        <w:t>í</w:t>
      </w:r>
      <w:r w:rsidRPr="00FF009E">
        <w:rPr>
          <w:rFonts w:cs="Arial"/>
        </w:rPr>
        <w:t xml:space="preserve">culum Vitae y Títulos profesionales </w:t>
      </w:r>
      <w:r w:rsidR="00404910" w:rsidRPr="00FF009E">
        <w:rPr>
          <w:rFonts w:cs="Arial"/>
        </w:rPr>
        <w:t>de los mismos</w:t>
      </w:r>
      <w:r w:rsidRPr="00FF009E">
        <w:rPr>
          <w:rFonts w:cs="Arial"/>
        </w:rPr>
        <w:t xml:space="preserve">, este Órgano Garante puede advertir de que </w:t>
      </w:r>
      <w:r w:rsidRPr="00FF009E">
        <w:rPr>
          <w:rFonts w:cs="Arial"/>
          <w:b/>
        </w:rPr>
        <w:t xml:space="preserve">EL SUJETO OBLIGADO </w:t>
      </w:r>
      <w:r w:rsidRPr="00FF009E">
        <w:rPr>
          <w:rFonts w:cs="Arial"/>
        </w:rPr>
        <w:t xml:space="preserve">no cuenta con facultades para conocer la información referente al personal </w:t>
      </w:r>
      <w:r w:rsidRPr="00FF009E">
        <w:rPr>
          <w:rFonts w:cs="Arial"/>
        </w:rPr>
        <w:lastRenderedPageBreak/>
        <w:t xml:space="preserve">adscrito a dicha Comisión ya que </w:t>
      </w:r>
      <w:r w:rsidR="00404910" w:rsidRPr="00FF009E">
        <w:rPr>
          <w:rFonts w:cs="Arial"/>
        </w:rPr>
        <w:t>la administración de los recursos humanos corresponde a la Dirección General de Administración y Finanzas</w:t>
      </w:r>
      <w:r w:rsidR="00B3735C" w:rsidRPr="00FF009E">
        <w:rPr>
          <w:rFonts w:cs="Arial"/>
        </w:rPr>
        <w:t xml:space="preserve"> y a su vez la Dirección de Administración</w:t>
      </w:r>
      <w:r w:rsidR="00404910" w:rsidRPr="00FF009E">
        <w:rPr>
          <w:rFonts w:cs="Arial"/>
        </w:rPr>
        <w:t xml:space="preserve">, de la multicitada Comisión, por lo cual la Secretaría de la Contraloría resulta incompetente para dar atención  a tales requerimientos. </w:t>
      </w:r>
    </w:p>
    <w:p w14:paraId="134138A1" w14:textId="77777777" w:rsidR="00404910" w:rsidRPr="00FF009E" w:rsidRDefault="00404910" w:rsidP="00FF009E">
      <w:pPr>
        <w:ind w:right="-93"/>
        <w:rPr>
          <w:rFonts w:cs="Arial"/>
        </w:rPr>
      </w:pPr>
    </w:p>
    <w:p w14:paraId="495E0AF7" w14:textId="77777777" w:rsidR="00404910" w:rsidRPr="00FF009E" w:rsidRDefault="00404910" w:rsidP="00FF009E">
      <w:pPr>
        <w:ind w:right="-93"/>
        <w:rPr>
          <w:rFonts w:cs="Arial"/>
        </w:rPr>
      </w:pPr>
      <w:r w:rsidRPr="00FF009E">
        <w:rPr>
          <w:rFonts w:cs="Arial"/>
        </w:rPr>
        <w:t>Robustece a lo anterior, lo establecido en el Manual General de Organización de la Comisión del Agua del Estado de México, el cual textualmente señala lo siguiente:</w:t>
      </w:r>
    </w:p>
    <w:p w14:paraId="6325E01D" w14:textId="77777777" w:rsidR="00404910" w:rsidRPr="00FF009E" w:rsidRDefault="00404910" w:rsidP="00FF009E">
      <w:pPr>
        <w:ind w:right="-93"/>
        <w:rPr>
          <w:rFonts w:cs="Arial"/>
        </w:rPr>
      </w:pPr>
    </w:p>
    <w:p w14:paraId="5329B7E3" w14:textId="77777777" w:rsidR="00404910" w:rsidRPr="00FF009E" w:rsidRDefault="00404910" w:rsidP="00FF009E">
      <w:pPr>
        <w:spacing w:line="240" w:lineRule="auto"/>
        <w:ind w:left="851" w:right="822"/>
        <w:rPr>
          <w:b/>
          <w:i/>
        </w:rPr>
      </w:pPr>
      <w:r w:rsidRPr="00FF009E">
        <w:rPr>
          <w:b/>
          <w:i/>
        </w:rPr>
        <w:t>229B60000 DIRECCIÓN GENERAL DE ADMINISTRACIÓN Y FINANZAS</w:t>
      </w:r>
    </w:p>
    <w:p w14:paraId="44235C50" w14:textId="77777777" w:rsidR="00404910" w:rsidRPr="00FF009E" w:rsidRDefault="00404910" w:rsidP="00FF009E">
      <w:pPr>
        <w:spacing w:line="240" w:lineRule="auto"/>
        <w:ind w:left="851" w:right="822"/>
        <w:rPr>
          <w:i/>
        </w:rPr>
      </w:pPr>
      <w:r w:rsidRPr="00FF009E">
        <w:rPr>
          <w:i/>
        </w:rPr>
        <w:t>OBJETIVO: Establecer los planes y programas para la adecuada administración de los recursos financieros, humanos, materiales, técnicos y de servicios generales que requiere la Comisión para el desarrollo integral de sus funciones y realizar las actividades encomendadas por atribución fiscal.</w:t>
      </w:r>
    </w:p>
    <w:p w14:paraId="2B158DB0" w14:textId="1B9954A9" w:rsidR="00133DC6" w:rsidRPr="00FF009E" w:rsidRDefault="00404910" w:rsidP="00FF009E">
      <w:pPr>
        <w:spacing w:line="240" w:lineRule="auto"/>
        <w:ind w:left="851" w:right="822"/>
        <w:rPr>
          <w:rFonts w:cs="Arial"/>
          <w:i/>
        </w:rPr>
      </w:pPr>
      <w:r w:rsidRPr="00FF009E">
        <w:rPr>
          <w:i/>
        </w:rPr>
        <w:t>FUNCIONES:</w:t>
      </w:r>
      <w:r w:rsidRPr="00FF009E">
        <w:rPr>
          <w:rFonts w:cs="Arial"/>
          <w:i/>
        </w:rPr>
        <w:t xml:space="preserve"> </w:t>
      </w:r>
      <w:r w:rsidR="00133DC6" w:rsidRPr="00FF009E">
        <w:rPr>
          <w:rFonts w:cs="Arial"/>
          <w:i/>
        </w:rPr>
        <w:t xml:space="preserve"> </w:t>
      </w:r>
    </w:p>
    <w:p w14:paraId="550F016F" w14:textId="19E9C078" w:rsidR="000B0446" w:rsidRPr="00FF009E" w:rsidRDefault="00B3735C" w:rsidP="00FF009E">
      <w:pPr>
        <w:spacing w:line="240" w:lineRule="auto"/>
        <w:ind w:left="851" w:right="822"/>
        <w:rPr>
          <w:i/>
        </w:rPr>
      </w:pPr>
      <w:r w:rsidRPr="00FF009E">
        <w:rPr>
          <w:i/>
        </w:rPr>
        <w:t>Planear el adecuado aprovechamiento de los recursos financieros, materiales, técnicos y humanos de acuerdo con los planes y programas autorizados por el Consejo Directivo.</w:t>
      </w:r>
    </w:p>
    <w:p w14:paraId="37896AE0" w14:textId="7F826261" w:rsidR="00B3735C" w:rsidRPr="00FF009E" w:rsidRDefault="00B3735C" w:rsidP="00FF009E">
      <w:pPr>
        <w:spacing w:line="240" w:lineRule="auto"/>
        <w:ind w:left="851" w:right="822"/>
        <w:rPr>
          <w:i/>
        </w:rPr>
      </w:pPr>
      <w:r w:rsidRPr="00FF009E">
        <w:rPr>
          <w:i/>
        </w:rPr>
        <w:t>(…)</w:t>
      </w:r>
    </w:p>
    <w:p w14:paraId="2DD5DE74" w14:textId="359E6342" w:rsidR="00B3735C" w:rsidRPr="00FF009E" w:rsidRDefault="00B3735C" w:rsidP="00FF009E">
      <w:pPr>
        <w:spacing w:line="240" w:lineRule="auto"/>
        <w:ind w:left="851" w:right="822"/>
        <w:rPr>
          <w:rFonts w:cs="Tahoma"/>
          <w:b/>
          <w:bCs/>
          <w:i/>
          <w:szCs w:val="22"/>
        </w:rPr>
      </w:pPr>
      <w:r w:rsidRPr="00FF009E">
        <w:rPr>
          <w:b/>
          <w:i/>
        </w:rPr>
        <w:t>229B61000 DIRECCIÓN DE ADMINISTRACIÓN</w:t>
      </w:r>
    </w:p>
    <w:p w14:paraId="7B397CAB" w14:textId="47642221" w:rsidR="00B3735C" w:rsidRPr="00FF009E" w:rsidRDefault="00B3735C" w:rsidP="00FF009E">
      <w:pPr>
        <w:spacing w:line="240" w:lineRule="auto"/>
        <w:ind w:left="851" w:right="822"/>
        <w:rPr>
          <w:i/>
        </w:rPr>
      </w:pPr>
      <w:r w:rsidRPr="00FF009E">
        <w:rPr>
          <w:i/>
        </w:rPr>
        <w:t>Establecer y coordinar los mecanismos para controlar los movimientos del personal adscrito a la Comisión.</w:t>
      </w:r>
    </w:p>
    <w:p w14:paraId="3BB6E8C0" w14:textId="1674003A" w:rsidR="000B0446" w:rsidRPr="00FF009E" w:rsidRDefault="00B3735C" w:rsidP="00FF009E">
      <w:pPr>
        <w:spacing w:line="240" w:lineRule="auto"/>
        <w:ind w:left="851" w:right="822"/>
        <w:rPr>
          <w:rFonts w:cs="Tahoma"/>
          <w:b/>
          <w:bCs/>
          <w:szCs w:val="22"/>
        </w:rPr>
      </w:pPr>
      <w:r w:rsidRPr="00FF009E">
        <w:rPr>
          <w:b/>
          <w:i/>
        </w:rPr>
        <w:t>Tramitar los movimientos de alta, baja, cambios de adscripción, permisos, licencias, vacaciones, etc., del personal asignado a las unidades administrativas adscritas a la Comisión.</w:t>
      </w:r>
    </w:p>
    <w:p w14:paraId="7E0773AB" w14:textId="77777777" w:rsidR="000B0446" w:rsidRPr="00FF009E" w:rsidRDefault="000B0446" w:rsidP="00FF009E">
      <w:pPr>
        <w:ind w:right="-93"/>
        <w:jc w:val="center"/>
        <w:rPr>
          <w:rFonts w:cs="Tahoma"/>
          <w:bCs/>
          <w:szCs w:val="22"/>
        </w:rPr>
      </w:pPr>
    </w:p>
    <w:p w14:paraId="601ACDC0" w14:textId="75790C63" w:rsidR="000B0446" w:rsidRPr="00FF009E" w:rsidRDefault="00B3735C" w:rsidP="00FF009E">
      <w:pPr>
        <w:ind w:right="-93"/>
        <w:rPr>
          <w:rFonts w:cs="Tahoma"/>
          <w:bCs/>
          <w:szCs w:val="22"/>
        </w:rPr>
      </w:pPr>
      <w:r w:rsidRPr="00FF009E">
        <w:rPr>
          <w:rFonts w:cs="Tahoma"/>
          <w:bCs/>
          <w:szCs w:val="22"/>
        </w:rPr>
        <w:t xml:space="preserve">Luego entonces, este Órgano Garante puede dilucidar el hecho de que </w:t>
      </w:r>
      <w:r w:rsidRPr="00FF009E">
        <w:rPr>
          <w:rFonts w:cs="Tahoma"/>
          <w:b/>
          <w:bCs/>
          <w:szCs w:val="22"/>
        </w:rPr>
        <w:t xml:space="preserve">EL SUJETO OBLIGADO </w:t>
      </w:r>
      <w:r w:rsidRPr="00FF009E">
        <w:rPr>
          <w:rFonts w:cs="Tahoma"/>
          <w:bCs/>
          <w:szCs w:val="22"/>
        </w:rPr>
        <w:t xml:space="preserve">resulta incompetente para dar atención a los requerimientos anteriormente descritos, por </w:t>
      </w:r>
      <w:r w:rsidR="00C63EDE" w:rsidRPr="00FF009E">
        <w:rPr>
          <w:rFonts w:cs="Tahoma"/>
          <w:bCs/>
          <w:szCs w:val="22"/>
        </w:rPr>
        <w:t>ende,</w:t>
      </w:r>
      <w:r w:rsidRPr="00FF009E">
        <w:rPr>
          <w:rFonts w:cs="Tahoma"/>
          <w:bCs/>
          <w:szCs w:val="22"/>
        </w:rPr>
        <w:t xml:space="preserve"> esta autoridad resulta conveniente ordenar a dicha autoridad entrega la información faltante en su caso en versión pública.</w:t>
      </w:r>
    </w:p>
    <w:p w14:paraId="04E2EB78" w14:textId="77777777" w:rsidR="000B0446" w:rsidRPr="00FF009E" w:rsidRDefault="000B0446" w:rsidP="00FF009E">
      <w:pPr>
        <w:ind w:right="-93"/>
        <w:rPr>
          <w:rFonts w:cs="Tahoma"/>
          <w:bCs/>
          <w:szCs w:val="22"/>
        </w:rPr>
      </w:pPr>
    </w:p>
    <w:p w14:paraId="1D2B6855" w14:textId="77777777" w:rsidR="00573C56" w:rsidRPr="00FF009E" w:rsidRDefault="00573C56" w:rsidP="00FF009E">
      <w:pPr>
        <w:pStyle w:val="Ttulo3"/>
      </w:pPr>
      <w:bookmarkStart w:id="32" w:name="_Toc165402882"/>
      <w:bookmarkStart w:id="33" w:name="_Toc181795322"/>
      <w:r w:rsidRPr="00FF009E">
        <w:lastRenderedPageBreak/>
        <w:t>d) Versión pública</w:t>
      </w:r>
      <w:bookmarkEnd w:id="32"/>
      <w:bookmarkEnd w:id="33"/>
    </w:p>
    <w:p w14:paraId="254E3C67" w14:textId="77777777" w:rsidR="00573C56" w:rsidRPr="00FF009E" w:rsidRDefault="00573C56" w:rsidP="00FF009E">
      <w:pPr>
        <w:rPr>
          <w:bCs/>
        </w:rPr>
      </w:pPr>
      <w:r w:rsidRPr="00FF009E">
        <w:t xml:space="preserve">Para el caso de que el o los documentos de los cuales se ordena su entrega contengan datos personales susceptibles de ser testados, deberán ser entregados en </w:t>
      </w:r>
      <w:r w:rsidRPr="00FF009E">
        <w:rPr>
          <w:b/>
        </w:rPr>
        <w:t>versión pública</w:t>
      </w:r>
      <w:r w:rsidRPr="00FF009E">
        <w:t>, pues el</w:t>
      </w:r>
      <w:r w:rsidRPr="00FF009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7005BF" w14:textId="77777777" w:rsidR="00573C56" w:rsidRPr="00FF009E" w:rsidRDefault="00573C56" w:rsidP="00FF009E">
      <w:pPr>
        <w:rPr>
          <w:rFonts w:eastAsia="Calibri"/>
          <w:bCs/>
          <w:lang w:eastAsia="en-US"/>
        </w:rPr>
      </w:pPr>
    </w:p>
    <w:p w14:paraId="7599516A" w14:textId="77777777" w:rsidR="00573C56" w:rsidRPr="00FF009E" w:rsidRDefault="00573C56" w:rsidP="00FF009E">
      <w:pPr>
        <w:rPr>
          <w:bCs/>
        </w:rPr>
      </w:pPr>
      <w:r w:rsidRPr="00FF009E">
        <w:rPr>
          <w:bCs/>
        </w:rPr>
        <w:t>A este respecto, los artículos 3, fracciones IX, XX, XXI y XLV; 51 y 52 de la Ley de Transparencia y Acceso a la Información Pública del Estado de México y Municipios establecen:</w:t>
      </w:r>
    </w:p>
    <w:p w14:paraId="15D55854" w14:textId="77777777" w:rsidR="00573C56" w:rsidRPr="00FF009E" w:rsidRDefault="00573C56" w:rsidP="00FF009E"/>
    <w:p w14:paraId="34AA5C11" w14:textId="77777777" w:rsidR="00573C56" w:rsidRPr="00FF009E" w:rsidRDefault="00573C56" w:rsidP="00FF009E">
      <w:pPr>
        <w:pStyle w:val="Puesto"/>
      </w:pPr>
      <w:r w:rsidRPr="00FF009E">
        <w:rPr>
          <w:b/>
          <w:bCs/>
          <w:noProof/>
        </w:rPr>
        <w:t>“</w:t>
      </w:r>
      <w:r w:rsidRPr="00FF009E">
        <w:rPr>
          <w:b/>
          <w:bCs/>
        </w:rPr>
        <w:t xml:space="preserve">Artículo 3. </w:t>
      </w:r>
      <w:r w:rsidRPr="00FF009E">
        <w:t xml:space="preserve">Para los efectos de la presente Ley se entenderá por: </w:t>
      </w:r>
    </w:p>
    <w:p w14:paraId="069AD1F2" w14:textId="77777777" w:rsidR="00573C56" w:rsidRPr="00FF009E" w:rsidRDefault="00573C56" w:rsidP="00FF009E">
      <w:pPr>
        <w:pStyle w:val="Puesto"/>
      </w:pPr>
      <w:r w:rsidRPr="00FF009E">
        <w:rPr>
          <w:b/>
        </w:rPr>
        <w:t>IX.</w:t>
      </w:r>
      <w:r w:rsidRPr="00FF009E">
        <w:t xml:space="preserve"> </w:t>
      </w:r>
      <w:r w:rsidRPr="00FF009E">
        <w:rPr>
          <w:b/>
        </w:rPr>
        <w:t xml:space="preserve">Datos personales: </w:t>
      </w:r>
      <w:r w:rsidRPr="00FF009E">
        <w:t xml:space="preserve">La información concerniente a una persona, identificada o identificable según lo dispuesto por la Ley de Protección de Datos Personales del Estado de México; </w:t>
      </w:r>
    </w:p>
    <w:p w14:paraId="7C74D540" w14:textId="77777777" w:rsidR="00573C56" w:rsidRPr="00FF009E" w:rsidRDefault="00573C56" w:rsidP="00FF009E"/>
    <w:p w14:paraId="2925FC20" w14:textId="77777777" w:rsidR="00573C56" w:rsidRPr="00FF009E" w:rsidRDefault="00573C56" w:rsidP="00FF009E">
      <w:pPr>
        <w:pStyle w:val="Puesto"/>
      </w:pPr>
      <w:r w:rsidRPr="00FF009E">
        <w:rPr>
          <w:b/>
        </w:rPr>
        <w:t>XX.</w:t>
      </w:r>
      <w:r w:rsidRPr="00FF009E">
        <w:t xml:space="preserve"> </w:t>
      </w:r>
      <w:r w:rsidRPr="00FF009E">
        <w:rPr>
          <w:b/>
        </w:rPr>
        <w:t>Información clasificada:</w:t>
      </w:r>
      <w:r w:rsidRPr="00FF009E">
        <w:t xml:space="preserve"> Aquella considerada por la presente Ley como reservada o confidencial; </w:t>
      </w:r>
    </w:p>
    <w:p w14:paraId="3146257A" w14:textId="77777777" w:rsidR="00573C56" w:rsidRPr="00FF009E" w:rsidRDefault="00573C56" w:rsidP="00FF009E"/>
    <w:p w14:paraId="6B188898" w14:textId="77777777" w:rsidR="00573C56" w:rsidRPr="00FF009E" w:rsidRDefault="00573C56" w:rsidP="00FF009E">
      <w:pPr>
        <w:pStyle w:val="Puesto"/>
      </w:pPr>
      <w:r w:rsidRPr="00FF009E">
        <w:rPr>
          <w:b/>
        </w:rPr>
        <w:t>XXI.</w:t>
      </w:r>
      <w:r w:rsidRPr="00FF009E">
        <w:t xml:space="preserve"> </w:t>
      </w:r>
      <w:r w:rsidRPr="00FF009E">
        <w:rPr>
          <w:b/>
        </w:rPr>
        <w:t>Información confidencial</w:t>
      </w:r>
      <w:r w:rsidRPr="00FF009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3D0FCE" w14:textId="77777777" w:rsidR="00573C56" w:rsidRPr="00FF009E" w:rsidRDefault="00573C56" w:rsidP="00FF009E"/>
    <w:p w14:paraId="6C940A8E" w14:textId="77777777" w:rsidR="00573C56" w:rsidRPr="00FF009E" w:rsidRDefault="00573C56" w:rsidP="00FF009E">
      <w:pPr>
        <w:pStyle w:val="Puesto"/>
      </w:pPr>
      <w:r w:rsidRPr="00FF009E">
        <w:rPr>
          <w:b/>
        </w:rPr>
        <w:lastRenderedPageBreak/>
        <w:t>XLV. Versión pública:</w:t>
      </w:r>
      <w:r w:rsidRPr="00FF009E">
        <w:t xml:space="preserve"> Documento en el que se elimine, suprime o borra la información clasificada como reservada o confidencial para permitir su acceso. </w:t>
      </w:r>
    </w:p>
    <w:p w14:paraId="0665D6AF" w14:textId="77777777" w:rsidR="00573C56" w:rsidRPr="00FF009E" w:rsidRDefault="00573C56" w:rsidP="00FF009E"/>
    <w:p w14:paraId="0BE9BD09" w14:textId="77777777" w:rsidR="00573C56" w:rsidRPr="00FF009E" w:rsidRDefault="00573C56" w:rsidP="00FF009E">
      <w:pPr>
        <w:pStyle w:val="Puesto"/>
      </w:pPr>
      <w:r w:rsidRPr="00FF009E">
        <w:rPr>
          <w:b/>
        </w:rPr>
        <w:t>Artículo 51.</w:t>
      </w:r>
      <w:r w:rsidRPr="00FF009E">
        <w:t xml:space="preserve"> Los sujetos obligados designaran a un responsable para atender la Unidad de Transparencia, quien fungirá como enlace entre éstos y los solicitantes. Dicha Unidad será la encargada de tramitar internamente la solicitud de información </w:t>
      </w:r>
      <w:r w:rsidRPr="00FF009E">
        <w:rPr>
          <w:b/>
        </w:rPr>
        <w:t xml:space="preserve">y tendrá la responsabilidad de verificar en cada caso que la misma no sea confidencial o reservada. </w:t>
      </w:r>
      <w:r w:rsidRPr="00FF009E">
        <w:t>Dicha Unidad contará con las facultades internas necesarias para gestionar la atención a las solicitudes de información en los términos de la Ley General y la presente Ley.</w:t>
      </w:r>
    </w:p>
    <w:p w14:paraId="2105C45C" w14:textId="77777777" w:rsidR="00573C56" w:rsidRPr="00FF009E" w:rsidRDefault="00573C56" w:rsidP="00FF009E"/>
    <w:p w14:paraId="754AB8D6" w14:textId="77777777" w:rsidR="00573C56" w:rsidRPr="00FF009E" w:rsidRDefault="00573C56" w:rsidP="00FF009E">
      <w:pPr>
        <w:pStyle w:val="Puesto"/>
      </w:pPr>
      <w:r w:rsidRPr="00FF009E">
        <w:rPr>
          <w:b/>
        </w:rPr>
        <w:t>Artículo 52.</w:t>
      </w:r>
      <w:r w:rsidRPr="00FF009E">
        <w:t xml:space="preserve"> Las solicitudes de acceso a la información y las respuestas que se les dé, incluyendo, en su caso, </w:t>
      </w:r>
      <w:r w:rsidRPr="00FF009E">
        <w:rPr>
          <w:u w:val="single"/>
        </w:rPr>
        <w:t>la información entregada, así como las resoluciones a los recursos que en su caso se promuevan serán públicas, y de ser el caso que contenga datos personales que deban ser protegidos se podrá dar su acceso en su versión pública</w:t>
      </w:r>
      <w:r w:rsidRPr="00FF009E">
        <w:t>, siempre y cuando la resolución de referencia se someta a un proceso de disociación, es decir, no haga identificable al titular de tales datos personales.</w:t>
      </w:r>
      <w:r w:rsidRPr="00FF009E">
        <w:rPr>
          <w:bCs/>
          <w:noProof/>
        </w:rPr>
        <w:t xml:space="preserve">” </w:t>
      </w:r>
      <w:r w:rsidRPr="00FF009E">
        <w:rPr>
          <w:i w:val="0"/>
          <w:iCs/>
          <w:szCs w:val="22"/>
        </w:rPr>
        <w:t>(Énfasis añadido)</w:t>
      </w:r>
    </w:p>
    <w:p w14:paraId="4EA1EB84" w14:textId="77777777" w:rsidR="00573C56" w:rsidRPr="00FF009E" w:rsidRDefault="00573C56" w:rsidP="00FF009E"/>
    <w:p w14:paraId="34D517DF" w14:textId="77777777" w:rsidR="00573C56" w:rsidRPr="00FF009E" w:rsidRDefault="00573C56" w:rsidP="00FF009E">
      <w:r w:rsidRPr="00FF009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E019595" w14:textId="77777777" w:rsidR="00573C56" w:rsidRPr="00FF009E" w:rsidRDefault="00573C56" w:rsidP="00FF009E"/>
    <w:p w14:paraId="4DD47196" w14:textId="77777777" w:rsidR="00573C56" w:rsidRPr="00FF009E" w:rsidRDefault="00573C56" w:rsidP="00FF009E">
      <w:pPr>
        <w:pStyle w:val="Puesto"/>
        <w:rPr>
          <w:rFonts w:eastAsia="Arial Unicode MS"/>
        </w:rPr>
      </w:pPr>
      <w:r w:rsidRPr="00FF009E">
        <w:rPr>
          <w:rFonts w:eastAsia="Arial Unicode MS"/>
          <w:b/>
        </w:rPr>
        <w:t>“Artículo 22.</w:t>
      </w:r>
      <w:r w:rsidRPr="00FF009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A165617" w14:textId="77777777" w:rsidR="00573C56" w:rsidRPr="00FF009E" w:rsidRDefault="00573C56" w:rsidP="00FF009E">
      <w:pPr>
        <w:rPr>
          <w:rFonts w:eastAsia="Arial Unicode MS"/>
        </w:rPr>
      </w:pPr>
    </w:p>
    <w:p w14:paraId="75F19EF2" w14:textId="77777777" w:rsidR="00573C56" w:rsidRPr="00FF009E" w:rsidRDefault="00573C56" w:rsidP="00FF009E">
      <w:pPr>
        <w:pStyle w:val="Puesto"/>
        <w:rPr>
          <w:rFonts w:eastAsia="Arial Unicode MS"/>
        </w:rPr>
      </w:pPr>
      <w:r w:rsidRPr="00FF009E">
        <w:rPr>
          <w:rFonts w:eastAsia="Arial Unicode MS"/>
          <w:b/>
        </w:rPr>
        <w:lastRenderedPageBreak/>
        <w:t>Artículo 38.</w:t>
      </w:r>
      <w:r w:rsidRPr="00FF009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F009E">
        <w:rPr>
          <w:rFonts w:eastAsia="Arial Unicode MS"/>
          <w:b/>
        </w:rPr>
        <w:t>”</w:t>
      </w:r>
      <w:r w:rsidRPr="00FF009E">
        <w:rPr>
          <w:rFonts w:eastAsia="Arial Unicode MS"/>
        </w:rPr>
        <w:t xml:space="preserve"> </w:t>
      </w:r>
    </w:p>
    <w:p w14:paraId="516BAE03" w14:textId="77777777" w:rsidR="00573C56" w:rsidRPr="00FF009E" w:rsidRDefault="00573C56" w:rsidP="00FF009E">
      <w:pPr>
        <w:rPr>
          <w:rFonts w:eastAsia="Arial Unicode MS"/>
          <w:i/>
          <w:szCs w:val="22"/>
        </w:rPr>
      </w:pPr>
    </w:p>
    <w:p w14:paraId="2AFF8BEC" w14:textId="77777777" w:rsidR="00573C56" w:rsidRPr="00FF009E" w:rsidRDefault="00573C56" w:rsidP="00FF009E">
      <w:r w:rsidRPr="00FF009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8A7A69E" w14:textId="77777777" w:rsidR="00573C56" w:rsidRPr="00FF009E" w:rsidRDefault="00573C56" w:rsidP="00FF009E"/>
    <w:p w14:paraId="42AFB29F" w14:textId="77777777" w:rsidR="00573C56" w:rsidRPr="00FF009E" w:rsidRDefault="00573C56" w:rsidP="00FF009E">
      <w:r w:rsidRPr="00FF009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F009E">
        <w:rPr>
          <w:rFonts w:eastAsia="Arial Unicode MS"/>
        </w:rPr>
        <w:t xml:space="preserve"> que debe ser protegida por </w:t>
      </w:r>
      <w:r w:rsidRPr="00FF009E">
        <w:rPr>
          <w:rFonts w:eastAsia="Arial Unicode MS"/>
          <w:b/>
        </w:rPr>
        <w:t>EL SUJETO OBLIGADO,</w:t>
      </w:r>
      <w:r w:rsidRPr="00FF009E">
        <w:rPr>
          <w:rFonts w:eastAsia="Arial Unicode MS"/>
        </w:rPr>
        <w:t xml:space="preserve"> por lo </w:t>
      </w:r>
      <w:r w:rsidRPr="00FF009E">
        <w:t>que, todo dato personal susceptible de clasificación debe ser protegido.</w:t>
      </w:r>
    </w:p>
    <w:p w14:paraId="69645294" w14:textId="77777777" w:rsidR="00573C56" w:rsidRPr="00FF009E" w:rsidRDefault="00573C56" w:rsidP="00FF009E"/>
    <w:p w14:paraId="48C0E948" w14:textId="77777777" w:rsidR="00573C56" w:rsidRPr="00FF009E" w:rsidRDefault="00573C56" w:rsidP="00FF009E">
      <w:r w:rsidRPr="00FF009E">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BC2501D" w14:textId="77777777" w:rsidR="00573C56" w:rsidRPr="00FF009E" w:rsidRDefault="00573C56" w:rsidP="00FF009E"/>
    <w:p w14:paraId="58884405" w14:textId="77777777" w:rsidR="00573C56" w:rsidRPr="00FF009E" w:rsidRDefault="00573C56" w:rsidP="00FF009E">
      <w:r w:rsidRPr="00FF009E">
        <w:t xml:space="preserve">Asimismo, es importante señalar que dicha clasificación se tiene que efectuar mediante la forma y formalidades que la ley de la materia impone; es decir, mediante acuerdo </w:t>
      </w:r>
      <w:r w:rsidRPr="00FF009E">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A66BB3" w14:textId="77777777" w:rsidR="00573C56" w:rsidRPr="00FF009E" w:rsidRDefault="00573C56" w:rsidP="00FF009E"/>
    <w:p w14:paraId="517EA3D8" w14:textId="77777777" w:rsidR="00573C56" w:rsidRPr="00FF009E" w:rsidRDefault="00573C56" w:rsidP="00FF009E">
      <w:pPr>
        <w:jc w:val="center"/>
        <w:rPr>
          <w:b/>
          <w:i/>
          <w:szCs w:val="22"/>
        </w:rPr>
      </w:pPr>
      <w:r w:rsidRPr="00FF009E">
        <w:rPr>
          <w:b/>
          <w:i/>
          <w:szCs w:val="22"/>
          <w:lang w:val="es-ES_tradnl"/>
        </w:rPr>
        <w:t>Ley de Transparencia y Acceso a la Información Pública del Estado de México y Municipios</w:t>
      </w:r>
    </w:p>
    <w:p w14:paraId="02606C04" w14:textId="77777777" w:rsidR="00573C56" w:rsidRPr="00FF009E" w:rsidRDefault="00573C56" w:rsidP="00FF009E"/>
    <w:p w14:paraId="481C8110" w14:textId="77777777" w:rsidR="00573C56" w:rsidRPr="00FF009E" w:rsidRDefault="00573C56" w:rsidP="00FF009E">
      <w:pPr>
        <w:pStyle w:val="Puesto"/>
      </w:pPr>
      <w:r w:rsidRPr="00FF009E">
        <w:rPr>
          <w:b/>
        </w:rPr>
        <w:t xml:space="preserve">“Artículo 49. </w:t>
      </w:r>
      <w:r w:rsidRPr="00FF009E">
        <w:t>Los Comités de Transparencia tendrán las siguientes atribuciones:</w:t>
      </w:r>
    </w:p>
    <w:p w14:paraId="089011B8" w14:textId="77777777" w:rsidR="00573C56" w:rsidRPr="00FF009E" w:rsidRDefault="00573C56" w:rsidP="00FF009E">
      <w:pPr>
        <w:pStyle w:val="Puesto"/>
      </w:pPr>
      <w:r w:rsidRPr="00FF009E">
        <w:rPr>
          <w:b/>
        </w:rPr>
        <w:t>VIII.</w:t>
      </w:r>
      <w:r w:rsidRPr="00FF009E">
        <w:t xml:space="preserve"> Aprobar, modificar o revocar la clasificación de la información;</w:t>
      </w:r>
    </w:p>
    <w:p w14:paraId="1A046E3A" w14:textId="77777777" w:rsidR="00573C56" w:rsidRPr="00FF009E" w:rsidRDefault="00573C56" w:rsidP="00FF009E"/>
    <w:p w14:paraId="37056B42" w14:textId="77777777" w:rsidR="00573C56" w:rsidRPr="00FF009E" w:rsidRDefault="00573C56" w:rsidP="00FF009E">
      <w:pPr>
        <w:pStyle w:val="Puesto"/>
      </w:pPr>
      <w:r w:rsidRPr="00FF009E">
        <w:rPr>
          <w:b/>
        </w:rPr>
        <w:t>Artículo 132.</w:t>
      </w:r>
      <w:r w:rsidRPr="00FF009E">
        <w:t xml:space="preserve"> La clasificación de la información se llevará a cabo en el momento en que:</w:t>
      </w:r>
    </w:p>
    <w:p w14:paraId="65F081B1" w14:textId="77777777" w:rsidR="00573C56" w:rsidRPr="00FF009E" w:rsidRDefault="00573C56" w:rsidP="00FF009E">
      <w:pPr>
        <w:pStyle w:val="Puesto"/>
      </w:pPr>
      <w:r w:rsidRPr="00FF009E">
        <w:rPr>
          <w:b/>
        </w:rPr>
        <w:t>I.</w:t>
      </w:r>
      <w:r w:rsidRPr="00FF009E">
        <w:t xml:space="preserve"> Se reciba una solicitud de acceso a la información;</w:t>
      </w:r>
    </w:p>
    <w:p w14:paraId="56AC3E6A" w14:textId="77777777" w:rsidR="00573C56" w:rsidRPr="00FF009E" w:rsidRDefault="00573C56" w:rsidP="00FF009E">
      <w:pPr>
        <w:pStyle w:val="Puesto"/>
      </w:pPr>
      <w:r w:rsidRPr="00FF009E">
        <w:rPr>
          <w:b/>
        </w:rPr>
        <w:t>II.</w:t>
      </w:r>
      <w:r w:rsidRPr="00FF009E">
        <w:t xml:space="preserve"> Se determine mediante resolución de autoridad competente; o</w:t>
      </w:r>
    </w:p>
    <w:p w14:paraId="28E33D8E" w14:textId="77777777" w:rsidR="00573C56" w:rsidRPr="00FF009E" w:rsidRDefault="00573C56" w:rsidP="00FF009E">
      <w:pPr>
        <w:pStyle w:val="Puesto"/>
        <w:rPr>
          <w:b/>
        </w:rPr>
      </w:pPr>
      <w:r w:rsidRPr="00FF009E">
        <w:rPr>
          <w:b/>
          <w:bCs/>
        </w:rPr>
        <w:t>III.</w:t>
      </w:r>
      <w:r w:rsidRPr="00FF009E">
        <w:t xml:space="preserve"> Se generen versiones públicas para dar cumplimiento a las obligaciones de transparencia previstas en esta Ley.</w:t>
      </w:r>
      <w:r w:rsidRPr="00FF009E">
        <w:rPr>
          <w:b/>
        </w:rPr>
        <w:t>”</w:t>
      </w:r>
    </w:p>
    <w:p w14:paraId="30BD2A48" w14:textId="77777777" w:rsidR="00573C56" w:rsidRPr="00FF009E" w:rsidRDefault="00573C56" w:rsidP="00FF009E"/>
    <w:p w14:paraId="640BE0C0" w14:textId="77777777" w:rsidR="00573C56" w:rsidRPr="00FF009E" w:rsidRDefault="00573C56" w:rsidP="00FF009E">
      <w:pPr>
        <w:pStyle w:val="Puesto"/>
      </w:pPr>
      <w:r w:rsidRPr="00FF009E">
        <w:rPr>
          <w:b/>
        </w:rPr>
        <w:t>“Segundo. -</w:t>
      </w:r>
      <w:r w:rsidRPr="00FF009E">
        <w:t xml:space="preserve"> Para efectos de los presentes Lineamientos Generales, se entenderá por:</w:t>
      </w:r>
    </w:p>
    <w:p w14:paraId="36BA025D" w14:textId="77777777" w:rsidR="00573C56" w:rsidRPr="00FF009E" w:rsidRDefault="00573C56" w:rsidP="00FF009E">
      <w:pPr>
        <w:pStyle w:val="Puesto"/>
      </w:pPr>
      <w:r w:rsidRPr="00FF009E">
        <w:rPr>
          <w:b/>
        </w:rPr>
        <w:t>XVIII.</w:t>
      </w:r>
      <w:r w:rsidRPr="00FF009E">
        <w:t xml:space="preserve">  </w:t>
      </w:r>
      <w:r w:rsidRPr="00FF009E">
        <w:rPr>
          <w:b/>
        </w:rPr>
        <w:t>Versión pública:</w:t>
      </w:r>
      <w:r w:rsidRPr="00FF009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8F970BF" w14:textId="77777777" w:rsidR="00573C56" w:rsidRPr="00FF009E" w:rsidRDefault="00573C56" w:rsidP="00FF009E">
      <w:pPr>
        <w:pStyle w:val="Puesto"/>
      </w:pPr>
    </w:p>
    <w:p w14:paraId="34670363" w14:textId="77777777" w:rsidR="00573C56" w:rsidRPr="00FF009E" w:rsidRDefault="00573C56" w:rsidP="00FF009E">
      <w:pPr>
        <w:pStyle w:val="Puesto"/>
        <w:rPr>
          <w:b/>
          <w:lang w:val="es-ES_tradnl" w:eastAsia="es-MX"/>
        </w:rPr>
      </w:pPr>
      <w:r w:rsidRPr="00FF009E">
        <w:rPr>
          <w:b/>
          <w:lang w:val="es-ES_tradnl" w:eastAsia="es-MX"/>
        </w:rPr>
        <w:t xml:space="preserve">Lineamientos Generales en materia de Clasificación y Desclasificación de la </w:t>
      </w:r>
      <w:r w:rsidRPr="00FF009E">
        <w:rPr>
          <w:b/>
          <w:lang w:val="es-ES_tradnl"/>
        </w:rPr>
        <w:t>Información</w:t>
      </w:r>
    </w:p>
    <w:p w14:paraId="6EF9C90D" w14:textId="77777777" w:rsidR="00573C56" w:rsidRPr="00FF009E" w:rsidRDefault="00573C56" w:rsidP="00FF009E">
      <w:pPr>
        <w:pStyle w:val="Puesto"/>
      </w:pPr>
    </w:p>
    <w:p w14:paraId="7FA2DAA0" w14:textId="77777777" w:rsidR="00573C56" w:rsidRPr="00FF009E" w:rsidRDefault="00573C56" w:rsidP="00FF009E">
      <w:pPr>
        <w:pStyle w:val="Puesto"/>
      </w:pPr>
      <w:r w:rsidRPr="00FF009E">
        <w:rPr>
          <w:b/>
        </w:rPr>
        <w:t>Cuarto.</w:t>
      </w:r>
      <w:r w:rsidRPr="00FF009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AA2356" w14:textId="77777777" w:rsidR="00573C56" w:rsidRPr="00FF009E" w:rsidRDefault="00573C56" w:rsidP="00FF009E">
      <w:pPr>
        <w:pStyle w:val="Puesto"/>
      </w:pPr>
      <w:r w:rsidRPr="00FF009E">
        <w:lastRenderedPageBreak/>
        <w:t>Los sujetos obligados deberán aplicar, de manera estricta, las excepciones al derecho de acceso a la información y sólo podrán invocarlas cuando acrediten su procedencia.</w:t>
      </w:r>
    </w:p>
    <w:p w14:paraId="0B1A73C9" w14:textId="77777777" w:rsidR="00573C56" w:rsidRPr="00FF009E" w:rsidRDefault="00573C56" w:rsidP="00FF009E"/>
    <w:p w14:paraId="10D89BD2" w14:textId="77777777" w:rsidR="00573C56" w:rsidRPr="00FF009E" w:rsidRDefault="00573C56" w:rsidP="00FF009E">
      <w:pPr>
        <w:pStyle w:val="Puesto"/>
      </w:pPr>
      <w:r w:rsidRPr="00FF009E">
        <w:rPr>
          <w:b/>
        </w:rPr>
        <w:t>Quinto.</w:t>
      </w:r>
      <w:r w:rsidRPr="00FF009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DE8ACC" w14:textId="77777777" w:rsidR="00573C56" w:rsidRPr="00FF009E" w:rsidRDefault="00573C56" w:rsidP="00FF009E"/>
    <w:p w14:paraId="547FA733" w14:textId="77777777" w:rsidR="00573C56" w:rsidRPr="00FF009E" w:rsidRDefault="00573C56" w:rsidP="00FF009E">
      <w:pPr>
        <w:pStyle w:val="Puesto"/>
      </w:pPr>
      <w:r w:rsidRPr="00FF009E">
        <w:rPr>
          <w:b/>
        </w:rPr>
        <w:t>Sexto.</w:t>
      </w:r>
      <w:r w:rsidRPr="00FF009E">
        <w:t xml:space="preserve"> Se deroga.</w:t>
      </w:r>
    </w:p>
    <w:p w14:paraId="403E295E" w14:textId="77777777" w:rsidR="00573C56" w:rsidRPr="00FF009E" w:rsidRDefault="00573C56" w:rsidP="00FF009E"/>
    <w:p w14:paraId="2BC5CCD2" w14:textId="77777777" w:rsidR="00573C56" w:rsidRPr="00FF009E" w:rsidRDefault="00573C56" w:rsidP="00FF009E">
      <w:pPr>
        <w:pStyle w:val="Puesto"/>
      </w:pPr>
      <w:r w:rsidRPr="00FF009E">
        <w:rPr>
          <w:b/>
        </w:rPr>
        <w:t>Séptimo.</w:t>
      </w:r>
      <w:r w:rsidRPr="00FF009E">
        <w:t xml:space="preserve"> La clasificación de la información se llevará a cabo en el momento en que:</w:t>
      </w:r>
    </w:p>
    <w:p w14:paraId="5E4F6DAD" w14:textId="77777777" w:rsidR="00573C56" w:rsidRPr="00FF009E" w:rsidRDefault="00573C56" w:rsidP="00FF009E">
      <w:pPr>
        <w:pStyle w:val="Puesto"/>
      </w:pPr>
      <w:r w:rsidRPr="00FF009E">
        <w:rPr>
          <w:b/>
        </w:rPr>
        <w:t>I.</w:t>
      </w:r>
      <w:r w:rsidRPr="00FF009E">
        <w:t xml:space="preserve">        Se reciba una solicitud de acceso a la información;</w:t>
      </w:r>
    </w:p>
    <w:p w14:paraId="282F7A70" w14:textId="77777777" w:rsidR="00573C56" w:rsidRPr="00FF009E" w:rsidRDefault="00573C56" w:rsidP="00FF009E">
      <w:pPr>
        <w:pStyle w:val="Puesto"/>
      </w:pPr>
      <w:r w:rsidRPr="00FF009E">
        <w:rPr>
          <w:b/>
        </w:rPr>
        <w:t>II.</w:t>
      </w:r>
      <w:r w:rsidRPr="00FF009E">
        <w:t xml:space="preserve">       Se determine mediante resolución del Comité de Transparencia, el órgano garante competente, o en cumplimiento a una sentencia del Poder Judicial; o</w:t>
      </w:r>
    </w:p>
    <w:p w14:paraId="4078E671" w14:textId="77777777" w:rsidR="00573C56" w:rsidRPr="00FF009E" w:rsidRDefault="00573C56" w:rsidP="00FF009E">
      <w:pPr>
        <w:pStyle w:val="Puesto"/>
      </w:pPr>
      <w:r w:rsidRPr="00FF009E">
        <w:rPr>
          <w:b/>
        </w:rPr>
        <w:t>III.</w:t>
      </w:r>
      <w:r w:rsidRPr="00FF009E">
        <w:t xml:space="preserve">      Se generen versiones públicas para dar cumplimiento a las obligaciones de transparencia previstas en la Ley General, la Ley Federal y las correspondientes de las entidades federativas.</w:t>
      </w:r>
    </w:p>
    <w:p w14:paraId="792D4906" w14:textId="77777777" w:rsidR="00573C56" w:rsidRPr="00FF009E" w:rsidRDefault="00573C56" w:rsidP="00FF009E">
      <w:pPr>
        <w:pStyle w:val="Puesto"/>
      </w:pPr>
      <w:r w:rsidRPr="00FF009E">
        <w:t xml:space="preserve">Los titulares de las áreas deberán revisar la información requerida al momento de la recepción de una solicitud de acceso, para verificar, conforme a su naturaleza, si encuadra en una causal de reserva o de confidencialidad. </w:t>
      </w:r>
    </w:p>
    <w:p w14:paraId="5957726D" w14:textId="77777777" w:rsidR="00573C56" w:rsidRPr="00FF009E" w:rsidRDefault="00573C56" w:rsidP="00FF009E"/>
    <w:p w14:paraId="0ACD9432" w14:textId="77777777" w:rsidR="00573C56" w:rsidRPr="00FF009E" w:rsidRDefault="00573C56" w:rsidP="00FF009E">
      <w:pPr>
        <w:pStyle w:val="Puesto"/>
      </w:pPr>
      <w:r w:rsidRPr="00FF009E">
        <w:rPr>
          <w:b/>
        </w:rPr>
        <w:t>Octavo.</w:t>
      </w:r>
      <w:r w:rsidRPr="00FF009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BAF86A" w14:textId="77777777" w:rsidR="00573C56" w:rsidRPr="00FF009E" w:rsidRDefault="00573C56" w:rsidP="00FF009E">
      <w:pPr>
        <w:pStyle w:val="Puesto"/>
      </w:pPr>
      <w:r w:rsidRPr="00FF009E">
        <w:t>Para motivar la clasificación se deberán señalar las razones o circunstancias especiales que lo llevaron a concluir que el caso particular se ajusta al supuesto previsto por la norma legal invocada como fundamento.</w:t>
      </w:r>
    </w:p>
    <w:p w14:paraId="1ED8C178" w14:textId="77777777" w:rsidR="00573C56" w:rsidRPr="00FF009E" w:rsidRDefault="00573C56" w:rsidP="00FF009E">
      <w:pPr>
        <w:pStyle w:val="Puesto"/>
      </w:pPr>
      <w:r w:rsidRPr="00FF009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C82CC97" w14:textId="77777777" w:rsidR="00573C56" w:rsidRPr="00FF009E" w:rsidRDefault="00573C56" w:rsidP="00FF009E"/>
    <w:p w14:paraId="40EFBF4E" w14:textId="77777777" w:rsidR="00573C56" w:rsidRPr="00FF009E" w:rsidRDefault="00573C56" w:rsidP="00FF009E">
      <w:pPr>
        <w:pStyle w:val="Puesto"/>
      </w:pPr>
      <w:r w:rsidRPr="00FF009E">
        <w:rPr>
          <w:b/>
        </w:rPr>
        <w:lastRenderedPageBreak/>
        <w:t>Noveno.</w:t>
      </w:r>
      <w:r w:rsidRPr="00FF009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8AF651" w14:textId="77777777" w:rsidR="00573C56" w:rsidRPr="00FF009E" w:rsidRDefault="00573C56" w:rsidP="00FF009E"/>
    <w:p w14:paraId="1618593F" w14:textId="77777777" w:rsidR="00573C56" w:rsidRPr="00FF009E" w:rsidRDefault="00573C56" w:rsidP="00FF009E">
      <w:pPr>
        <w:pStyle w:val="Puesto"/>
      </w:pPr>
      <w:r w:rsidRPr="00FF009E">
        <w:rPr>
          <w:b/>
        </w:rPr>
        <w:t>Décimo.</w:t>
      </w:r>
      <w:r w:rsidRPr="00FF009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F2474DE" w14:textId="77777777" w:rsidR="00573C56" w:rsidRPr="00FF009E" w:rsidRDefault="00573C56" w:rsidP="00FF009E">
      <w:pPr>
        <w:pStyle w:val="Puesto"/>
      </w:pPr>
      <w:r w:rsidRPr="00FF009E">
        <w:t>En ausencia de los titulares de las áreas, la información será clasificada o desclasificada por la persona que lo supla, en términos de la normativa que rija la actuación del sujeto obligado.</w:t>
      </w:r>
    </w:p>
    <w:p w14:paraId="74A43E37" w14:textId="77777777" w:rsidR="00573C56" w:rsidRPr="00FF009E" w:rsidRDefault="00573C56" w:rsidP="00FF009E">
      <w:pPr>
        <w:pStyle w:val="Puesto"/>
        <w:rPr>
          <w:b/>
        </w:rPr>
      </w:pPr>
      <w:r w:rsidRPr="00FF009E">
        <w:rPr>
          <w:b/>
        </w:rPr>
        <w:t>Décimo primero.</w:t>
      </w:r>
      <w:r w:rsidRPr="00FF009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F009E">
        <w:rPr>
          <w:b/>
        </w:rPr>
        <w:t>”</w:t>
      </w:r>
    </w:p>
    <w:p w14:paraId="5BF3AE74" w14:textId="77777777" w:rsidR="00573C56" w:rsidRPr="00FF009E" w:rsidRDefault="00573C56" w:rsidP="00FF009E"/>
    <w:p w14:paraId="2EF7797F" w14:textId="54292109" w:rsidR="00A50050" w:rsidRPr="00FF009E" w:rsidRDefault="00573C56" w:rsidP="00FF009E">
      <w:r w:rsidRPr="00FF009E">
        <w:t xml:space="preserve">Consecuentemente, se destaca que la versión pública que elabore </w:t>
      </w:r>
      <w:r w:rsidRPr="00FF009E">
        <w:rPr>
          <w:b/>
        </w:rPr>
        <w:t>EL SUJETO OBLIGADO</w:t>
      </w:r>
      <w:r w:rsidRPr="00FF009E">
        <w:t xml:space="preserve"> debe cumplir con las formalidades exigidas en la Ley, por lo que para tal efecto emitirá el </w:t>
      </w:r>
      <w:r w:rsidRPr="00FF009E">
        <w:rPr>
          <w:b/>
        </w:rPr>
        <w:t>Acuerdo del Comité de Transparencia</w:t>
      </w:r>
      <w:r w:rsidRPr="00FF009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F009E">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r w:rsidR="00A50050" w:rsidRPr="00FF009E">
        <w:t xml:space="preserve"> </w:t>
      </w:r>
    </w:p>
    <w:p w14:paraId="42079EE6" w14:textId="77777777" w:rsidR="00B3735C" w:rsidRPr="00FF009E" w:rsidRDefault="00B3735C" w:rsidP="00FF009E"/>
    <w:p w14:paraId="5980A00C" w14:textId="77777777" w:rsidR="00B3735C" w:rsidRPr="00FF009E" w:rsidRDefault="00B3735C" w:rsidP="00FF009E">
      <w:pPr>
        <w:rPr>
          <w:szCs w:val="22"/>
        </w:rPr>
      </w:pPr>
      <w:r w:rsidRPr="00FF009E">
        <w:rPr>
          <w:szCs w:val="22"/>
        </w:rPr>
        <w:lastRenderedPageBreak/>
        <w:t>Es importante señalar que, para el caso en concreto, se deben tomar en consideración los siguientes criterios respecto a la información que debe ser, o no, clasificada como confidencial:</w:t>
      </w:r>
    </w:p>
    <w:p w14:paraId="3688C048" w14:textId="77777777" w:rsidR="00B3735C" w:rsidRPr="00FF009E" w:rsidRDefault="00B3735C" w:rsidP="00FF009E">
      <w:pPr>
        <w:rPr>
          <w:szCs w:val="22"/>
        </w:rPr>
      </w:pPr>
    </w:p>
    <w:p w14:paraId="37454E6B" w14:textId="77777777" w:rsidR="00B3735C" w:rsidRPr="00FF009E" w:rsidRDefault="00B3735C" w:rsidP="00FF009E">
      <w:pPr>
        <w:autoSpaceDE w:val="0"/>
        <w:autoSpaceDN w:val="0"/>
        <w:adjustRightInd w:val="0"/>
        <w:ind w:right="-91"/>
        <w:rPr>
          <w:rFonts w:cs="Arial"/>
          <w:lang w:eastAsia="es-MX"/>
        </w:rPr>
      </w:pPr>
      <w:r w:rsidRPr="00FF009E">
        <w:rPr>
          <w:rFonts w:cs="Arial"/>
        </w:rPr>
        <w:t>En cuanto al RFC de las personas físicas constituye un dato personal, ya que para su obtención es necesario acreditar ante la autoridad fiscal previamente la identidad de la persona, su fecha de nacimiento, entre otros aspectos.</w:t>
      </w:r>
    </w:p>
    <w:p w14:paraId="78DE248D" w14:textId="77777777" w:rsidR="00B3735C" w:rsidRPr="00FF009E" w:rsidRDefault="00B3735C" w:rsidP="00FF009E">
      <w:pPr>
        <w:autoSpaceDE w:val="0"/>
        <w:autoSpaceDN w:val="0"/>
        <w:adjustRightInd w:val="0"/>
        <w:ind w:right="-91"/>
        <w:rPr>
          <w:rFonts w:cs="Arial"/>
        </w:rPr>
      </w:pPr>
    </w:p>
    <w:p w14:paraId="7D2D3293" w14:textId="77777777" w:rsidR="00B3735C" w:rsidRPr="00FF009E" w:rsidRDefault="00B3735C" w:rsidP="00FF009E">
      <w:pPr>
        <w:ind w:right="-91"/>
        <w:rPr>
          <w:rFonts w:cs="Arial"/>
        </w:rPr>
      </w:pPr>
      <w:r w:rsidRPr="00FF009E">
        <w:rPr>
          <w:rFonts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49FA2D42" w14:textId="77777777" w:rsidR="00B3735C" w:rsidRPr="00FF009E" w:rsidRDefault="00B3735C" w:rsidP="00FF009E">
      <w:pPr>
        <w:ind w:right="-91"/>
        <w:rPr>
          <w:rFonts w:cs="Arial"/>
        </w:rPr>
      </w:pPr>
    </w:p>
    <w:p w14:paraId="1DA7208F" w14:textId="77777777" w:rsidR="00B3735C" w:rsidRPr="00FF009E" w:rsidRDefault="00B3735C" w:rsidP="00FF009E">
      <w:pPr>
        <w:ind w:right="-91"/>
        <w:rPr>
          <w:rFonts w:cs="Arial"/>
        </w:rPr>
      </w:pPr>
      <w:r w:rsidRPr="00FF009E">
        <w:rPr>
          <w:rFonts w:cs="Arial"/>
        </w:rPr>
        <w:t xml:space="preserve">Lo anterior es compartido por el ahora </w:t>
      </w:r>
      <w:r w:rsidRPr="00FF009E">
        <w:rPr>
          <w:rFonts w:cs="Arial"/>
          <w:b/>
          <w:bCs/>
        </w:rPr>
        <w:t>Instituto Nacional de Transparencia, Acceso a la Información y Protección de Datos Personales</w:t>
      </w:r>
      <w:r w:rsidRPr="00FF009E">
        <w:rPr>
          <w:rFonts w:cs="Arial"/>
        </w:rPr>
        <w:t xml:space="preserve"> (INAI), conforme al criterio </w:t>
      </w:r>
      <w:r w:rsidRPr="00FF009E">
        <w:rPr>
          <w:rFonts w:cs="Arial"/>
          <w:b/>
        </w:rPr>
        <w:t>19/17,</w:t>
      </w:r>
      <w:r w:rsidRPr="00FF009E">
        <w:rPr>
          <w:rFonts w:cs="Arial"/>
        </w:rPr>
        <w:t xml:space="preserve"> el cual es del tenor literal siguiente:</w:t>
      </w:r>
    </w:p>
    <w:p w14:paraId="2F98D0C9" w14:textId="77777777" w:rsidR="00B3735C" w:rsidRPr="00FF009E" w:rsidRDefault="00B3735C" w:rsidP="00FF009E">
      <w:pPr>
        <w:ind w:right="-91"/>
        <w:rPr>
          <w:rFonts w:cs="Arial"/>
        </w:rPr>
      </w:pPr>
    </w:p>
    <w:p w14:paraId="148E89C3" w14:textId="77777777" w:rsidR="00B3735C" w:rsidRPr="00FF009E" w:rsidRDefault="00B3735C" w:rsidP="00FF009E">
      <w:pPr>
        <w:pStyle w:val="Puesto"/>
      </w:pPr>
      <w:r w:rsidRPr="00FF009E">
        <w:t>“</w:t>
      </w:r>
      <w:r w:rsidRPr="00FF009E">
        <w:rPr>
          <w:b/>
          <w:bCs/>
        </w:rPr>
        <w:t>REGISTRO FEDERAL DE CONTRIBUYENTES (RFC) DE PERSONAS FÍSICAS</w:t>
      </w:r>
      <w:r w:rsidRPr="00FF009E">
        <w:t>.</w:t>
      </w:r>
    </w:p>
    <w:p w14:paraId="3B47B00B" w14:textId="77777777" w:rsidR="00B3735C" w:rsidRPr="00FF009E" w:rsidRDefault="00B3735C" w:rsidP="00FF009E">
      <w:pPr>
        <w:pStyle w:val="Puesto"/>
      </w:pPr>
      <w:r w:rsidRPr="00FF009E">
        <w:t>El RFC es una clave de carácter fiscal, única e irrepetible, que permite identificar al titular, su edad y fecha de nacimiento, por lo que es un dato personal de carácter confidencial.”</w:t>
      </w:r>
      <w:r w:rsidRPr="00FF009E">
        <w:rPr>
          <w:rStyle w:val="Refdenotaalpie"/>
          <w:rFonts w:cs="Arial"/>
          <w:bCs/>
        </w:rPr>
        <w:footnoteReference w:id="3"/>
      </w:r>
    </w:p>
    <w:p w14:paraId="4839644C" w14:textId="77777777" w:rsidR="00B3735C" w:rsidRPr="00FF009E" w:rsidRDefault="00B3735C" w:rsidP="00FF009E">
      <w:pPr>
        <w:autoSpaceDE w:val="0"/>
        <w:autoSpaceDN w:val="0"/>
        <w:adjustRightInd w:val="0"/>
        <w:ind w:left="567" w:right="850"/>
        <w:rPr>
          <w:rFonts w:cs="Arial"/>
          <w:i/>
        </w:rPr>
      </w:pPr>
    </w:p>
    <w:p w14:paraId="5CC98A54" w14:textId="77777777" w:rsidR="00B3735C" w:rsidRPr="00FF009E" w:rsidRDefault="00B3735C" w:rsidP="00FF009E">
      <w:pPr>
        <w:rPr>
          <w:rFonts w:cs="Arial"/>
        </w:rPr>
      </w:pPr>
      <w:r w:rsidRPr="00FF009E">
        <w:rPr>
          <w:rFonts w:cs="Arial"/>
        </w:rPr>
        <w:t xml:space="preserve">Así, el RFC se vincula al nombre de su titular, permite identificar la edad de la persona, su fecha de nacimiento, así como su </w:t>
      </w:r>
      <w:proofErr w:type="spellStart"/>
      <w:r w:rsidRPr="00FF009E">
        <w:rPr>
          <w:rFonts w:cs="Arial"/>
        </w:rPr>
        <w:t>homoclave</w:t>
      </w:r>
      <w:proofErr w:type="spellEnd"/>
      <w:r w:rsidRPr="00FF009E">
        <w:rPr>
          <w:rFonts w:cs="Arial"/>
        </w:rPr>
        <w:t>, la cual es única e irrepetible y determina justamente la identificación de dicha persona para efectos fiscales, por lo éste constituye un dato personal que concierne a una persona física identificada e identificable.</w:t>
      </w:r>
    </w:p>
    <w:p w14:paraId="3ACCA6BC" w14:textId="77777777" w:rsidR="00B3735C" w:rsidRPr="00FF009E" w:rsidRDefault="00B3735C" w:rsidP="00FF009E">
      <w:pPr>
        <w:rPr>
          <w:rFonts w:cs="Arial"/>
        </w:rPr>
      </w:pPr>
    </w:p>
    <w:p w14:paraId="58255B8D" w14:textId="77777777" w:rsidR="00B3735C" w:rsidRPr="00FF009E" w:rsidRDefault="00B3735C" w:rsidP="00FF009E">
      <w:pPr>
        <w:rPr>
          <w:rFonts w:cs="Arial"/>
        </w:rPr>
      </w:pPr>
      <w:r w:rsidRPr="00FF009E">
        <w:rPr>
          <w:rFonts w:cs="Arial"/>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2C362796" w14:textId="77777777" w:rsidR="00B3735C" w:rsidRPr="00FF009E" w:rsidRDefault="00B3735C" w:rsidP="00FF009E">
      <w:pPr>
        <w:rPr>
          <w:rFonts w:cs="Arial"/>
        </w:rPr>
      </w:pPr>
    </w:p>
    <w:p w14:paraId="34996688" w14:textId="77777777" w:rsidR="00B3735C" w:rsidRPr="00FF009E" w:rsidRDefault="00B3735C" w:rsidP="00FF009E">
      <w:pPr>
        <w:rPr>
          <w:rFonts w:cs="Arial"/>
        </w:rPr>
      </w:pPr>
      <w:r w:rsidRPr="00FF009E">
        <w:rPr>
          <w:rFonts w:cs="Arial"/>
        </w:rPr>
        <w:t xml:space="preserve">Robustece lo anterior, el criterio </w:t>
      </w:r>
      <w:r w:rsidRPr="00FF009E">
        <w:rPr>
          <w:rFonts w:cs="Arial"/>
          <w:b/>
          <w:bCs/>
        </w:rPr>
        <w:t xml:space="preserve">04/21 </w:t>
      </w:r>
      <w:r w:rsidRPr="00FF009E">
        <w:rPr>
          <w:rFonts w:cs="Arial"/>
        </w:rPr>
        <w:t xml:space="preserve">emitido por el Órgano Garante Nacional, cuyo rubro y texto disponen a la literalidad lo siguiente: </w:t>
      </w:r>
    </w:p>
    <w:p w14:paraId="7BFF3C5B" w14:textId="77777777" w:rsidR="00B3735C" w:rsidRPr="00FF009E" w:rsidRDefault="00B3735C" w:rsidP="00FF009E">
      <w:pPr>
        <w:rPr>
          <w:rFonts w:cs="Arial"/>
        </w:rPr>
      </w:pPr>
    </w:p>
    <w:p w14:paraId="09BB5DCE" w14:textId="77777777" w:rsidR="00B3735C" w:rsidRPr="00FF009E" w:rsidRDefault="00B3735C" w:rsidP="00FF009E">
      <w:pPr>
        <w:pStyle w:val="Citas"/>
        <w:spacing w:before="0" w:after="0" w:line="240" w:lineRule="auto"/>
        <w:ind w:right="899"/>
        <w:rPr>
          <w:b/>
        </w:rPr>
      </w:pPr>
      <w:r w:rsidRPr="00FF009E">
        <w:rPr>
          <w:b/>
        </w:rPr>
        <w:t xml:space="preserve">“REGISTRO FEDERAL DE CONTRIBUYENTES (RFC) DE PERSONAS FÍSICAS PROVEEDORES O CONTRATISTAS. </w:t>
      </w:r>
    </w:p>
    <w:p w14:paraId="740A6D4B" w14:textId="77777777" w:rsidR="00B3735C" w:rsidRPr="00FF009E" w:rsidRDefault="00B3735C" w:rsidP="00FF009E">
      <w:pPr>
        <w:pStyle w:val="Citas"/>
        <w:spacing w:before="0" w:after="0" w:line="240" w:lineRule="auto"/>
        <w:ind w:right="899"/>
      </w:pPr>
      <w:r w:rsidRPr="00FF009E">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FF009E">
        <w:rPr>
          <w:rStyle w:val="Refdenotaalpie"/>
        </w:rPr>
        <w:footnoteReference w:id="4"/>
      </w:r>
      <w:r w:rsidRPr="00FF009E">
        <w:t xml:space="preserve"> </w:t>
      </w:r>
    </w:p>
    <w:p w14:paraId="4F0FBEB2" w14:textId="77777777" w:rsidR="00B3735C" w:rsidRPr="00FF009E" w:rsidRDefault="00B3735C" w:rsidP="00FF009E">
      <w:pPr>
        <w:pStyle w:val="Citas"/>
        <w:spacing w:before="0" w:after="0" w:line="240" w:lineRule="auto"/>
      </w:pPr>
    </w:p>
    <w:p w14:paraId="2A139499" w14:textId="77777777" w:rsidR="00B3735C" w:rsidRPr="00FF009E" w:rsidRDefault="00B3735C" w:rsidP="00FF009E">
      <w:pPr>
        <w:rPr>
          <w:rFonts w:eastAsia="Calibri" w:cs="Arial"/>
        </w:rPr>
      </w:pPr>
      <w:r w:rsidRPr="00FF009E">
        <w:rPr>
          <w:rFonts w:cs="Arial"/>
        </w:rPr>
        <w:t xml:space="preserve">En cuanto a la Clave Única de Registro de Población (CURP), se </w:t>
      </w:r>
      <w:r w:rsidRPr="00FF009E">
        <w:rPr>
          <w:rFonts w:eastAsia="Calibri" w:cs="Arial"/>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C387491" w14:textId="77777777" w:rsidR="00B3735C" w:rsidRPr="00FF009E" w:rsidRDefault="00B3735C" w:rsidP="00FF009E">
      <w:pPr>
        <w:rPr>
          <w:rFonts w:eastAsia="Calibri" w:cs="Arial"/>
        </w:rPr>
      </w:pPr>
    </w:p>
    <w:p w14:paraId="2CDCC75A" w14:textId="77777777" w:rsidR="00B3735C" w:rsidRPr="00FF009E" w:rsidRDefault="00B3735C" w:rsidP="00FF009E">
      <w:pPr>
        <w:ind w:right="-91"/>
        <w:rPr>
          <w:rFonts w:eastAsia="Palatino Linotype" w:cs="Arial"/>
        </w:rPr>
      </w:pPr>
      <w:r w:rsidRPr="00FF009E">
        <w:rPr>
          <w:rFonts w:cs="Arial"/>
        </w:rPr>
        <w:lastRenderedPageBreak/>
        <w:t xml:space="preserve">Argumento que es compartido por el </w:t>
      </w:r>
      <w:r w:rsidRPr="00FF009E">
        <w:rPr>
          <w:rStyle w:val="Textoennegrita"/>
          <w:rFonts w:eastAsiaTheme="majorEastAsia" w:cs="Arial"/>
        </w:rPr>
        <w:t xml:space="preserve">Instituto Nacional de Transparencia, Acceso a la Información y Protección de Datos Personales, conforme al </w:t>
      </w:r>
      <w:r w:rsidRPr="00FF009E">
        <w:rPr>
          <w:rFonts w:cs="Arial"/>
        </w:rPr>
        <w:t xml:space="preserve">criterio número 18/17 el cual refiere: </w:t>
      </w:r>
    </w:p>
    <w:p w14:paraId="2CD89805" w14:textId="77777777" w:rsidR="00B3735C" w:rsidRPr="00FF009E" w:rsidRDefault="00B3735C" w:rsidP="00FF009E">
      <w:pPr>
        <w:pStyle w:val="Puesto"/>
      </w:pPr>
    </w:p>
    <w:p w14:paraId="0C4CC6DF" w14:textId="77777777" w:rsidR="00B3735C" w:rsidRPr="00FF009E" w:rsidRDefault="00B3735C" w:rsidP="00FF009E">
      <w:pPr>
        <w:pStyle w:val="Puesto"/>
        <w:jc w:val="center"/>
        <w:rPr>
          <w:b/>
          <w:bCs/>
        </w:rPr>
      </w:pPr>
      <w:r w:rsidRPr="00FF009E">
        <w:rPr>
          <w:bCs/>
        </w:rPr>
        <w:t>“</w:t>
      </w:r>
      <w:r w:rsidRPr="00FF009E">
        <w:rPr>
          <w:b/>
          <w:bCs/>
        </w:rPr>
        <w:t>CLAVE ÚNICA DE REGISTRO DE POBLACIÓN (CURP).</w:t>
      </w:r>
    </w:p>
    <w:p w14:paraId="7875FE53" w14:textId="77777777" w:rsidR="00B3735C" w:rsidRPr="00FF009E" w:rsidRDefault="00B3735C" w:rsidP="00FF009E">
      <w:pPr>
        <w:pStyle w:val="Puesto"/>
      </w:pPr>
      <w:r w:rsidRPr="00FF009E">
        <w:rPr>
          <w:bCs/>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FF009E">
        <w:rPr>
          <w:rStyle w:val="Refdenotaalpie"/>
          <w:rFonts w:cs="Arial"/>
          <w:bCs/>
        </w:rPr>
        <w:footnoteReference w:id="5"/>
      </w:r>
      <w:r w:rsidRPr="00FF009E">
        <w:rPr>
          <w:bCs/>
        </w:rPr>
        <w:t xml:space="preserve">. </w:t>
      </w:r>
      <w:r w:rsidRPr="00FF009E">
        <w:t xml:space="preserve"> </w:t>
      </w:r>
    </w:p>
    <w:p w14:paraId="61AAA186" w14:textId="77777777" w:rsidR="00B3735C" w:rsidRPr="00FF009E" w:rsidRDefault="00B3735C" w:rsidP="00FF009E">
      <w:pPr>
        <w:ind w:right="51"/>
        <w:rPr>
          <w:rFonts w:cs="Arial"/>
        </w:rPr>
      </w:pPr>
    </w:p>
    <w:p w14:paraId="6A0376C1" w14:textId="77777777" w:rsidR="00B3735C" w:rsidRPr="00FF009E" w:rsidRDefault="00B3735C" w:rsidP="00FF009E">
      <w:pPr>
        <w:ind w:right="51"/>
        <w:rPr>
          <w:rFonts w:cs="Arial"/>
        </w:rPr>
      </w:pPr>
      <w:r w:rsidRPr="00FF009E">
        <w:rPr>
          <w:rFonts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local, así como los numerales aplicables de los </w:t>
      </w:r>
      <w:r w:rsidRPr="00FF009E">
        <w:rPr>
          <w:rFonts w:cs="Arial"/>
          <w:b/>
        </w:rPr>
        <w:t>Lineamientos Generales en Materia de Clasificación y Desclasificación de la Información, así como para la Elaboración de Versiones Públicas,</w:t>
      </w:r>
      <w:r w:rsidRPr="00FF009E">
        <w:rPr>
          <w:rFonts w:cs="Arial"/>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Pr="00FF009E">
        <w:rPr>
          <w:rFonts w:cs="Arial"/>
          <w:vertAlign w:val="superscript"/>
        </w:rPr>
        <w:footnoteReference w:id="6"/>
      </w:r>
      <w:r w:rsidRPr="00FF009E">
        <w:rPr>
          <w:rFonts w:cs="Arial"/>
        </w:rPr>
        <w:t xml:space="preserve">. </w:t>
      </w:r>
    </w:p>
    <w:p w14:paraId="21EFCB97" w14:textId="77777777" w:rsidR="00B3735C" w:rsidRPr="00FF009E" w:rsidRDefault="00B3735C" w:rsidP="00FF009E">
      <w:pPr>
        <w:rPr>
          <w:rFonts w:cs="Palatino Linotype"/>
          <w:b/>
        </w:rPr>
      </w:pPr>
    </w:p>
    <w:p w14:paraId="076234E7" w14:textId="77777777" w:rsidR="00B3735C" w:rsidRPr="00FF009E" w:rsidRDefault="00B3735C" w:rsidP="00FF009E">
      <w:pPr>
        <w:rPr>
          <w:rFonts w:eastAsia="Calibri" w:cs="Tahoma"/>
          <w:b/>
          <w:bCs/>
          <w:lang w:eastAsia="en-US"/>
        </w:rPr>
      </w:pPr>
      <w:r w:rsidRPr="00FF009E">
        <w:rPr>
          <w:rFonts w:eastAsia="Calibri" w:cs="Tahoma"/>
          <w:bCs/>
          <w:lang w:eastAsia="en-US"/>
        </w:rPr>
        <w:t xml:space="preserve">El  </w:t>
      </w:r>
      <w:r w:rsidRPr="00FF009E">
        <w:rPr>
          <w:rFonts w:eastAsia="Calibri" w:cs="Tahoma"/>
          <w:b/>
          <w:bCs/>
          <w:lang w:eastAsia="en-US"/>
        </w:rPr>
        <w:t>Nombres de personas que no son servidores públicos</w:t>
      </w:r>
      <w:r w:rsidRPr="00FF009E">
        <w:rPr>
          <w:rFonts w:eastAsia="Calibri" w:cs="Tahoma"/>
          <w:bCs/>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FF009E">
        <w:rPr>
          <w:rFonts w:eastAsia="Calibri" w:cs="Tahoma"/>
          <w:bCs/>
          <w:i/>
          <w:lang w:eastAsia="en-US"/>
        </w:rPr>
        <w:t>per se</w:t>
      </w:r>
      <w:r w:rsidRPr="00FF009E">
        <w:rPr>
          <w:rFonts w:eastAsia="Calibri" w:cs="Tahoma"/>
          <w:bCs/>
          <w:lang w:eastAsia="en-US"/>
        </w:rPr>
        <w:t xml:space="preserve"> es un elemento que hace a una persona física identificada o identificable, por lo que, </w:t>
      </w:r>
      <w:r w:rsidRPr="00FF009E">
        <w:rPr>
          <w:rFonts w:eastAsia="Calibri" w:cs="Tahoma"/>
          <w:b/>
          <w:bCs/>
          <w:lang w:eastAsia="en-US"/>
        </w:rPr>
        <w:t>se considera un dato personal.</w:t>
      </w:r>
    </w:p>
    <w:p w14:paraId="5D943B9C" w14:textId="77777777" w:rsidR="00B3735C" w:rsidRPr="00FF009E" w:rsidRDefault="00B3735C" w:rsidP="00FF009E">
      <w:pPr>
        <w:rPr>
          <w:rFonts w:eastAsia="Calibri" w:cs="Tahoma"/>
          <w:b/>
          <w:bCs/>
          <w:lang w:eastAsia="en-US"/>
        </w:rPr>
      </w:pPr>
    </w:p>
    <w:p w14:paraId="1ABFCAA2" w14:textId="77777777" w:rsidR="00B3735C" w:rsidRPr="00FF009E" w:rsidRDefault="00B3735C" w:rsidP="00FF009E">
      <w:pPr>
        <w:contextualSpacing/>
        <w:rPr>
          <w:rFonts w:eastAsia="Calibri" w:cs="Tahoma"/>
          <w:bCs/>
          <w:lang w:val="es-ES" w:eastAsia="en-US"/>
        </w:rPr>
      </w:pPr>
      <w:r w:rsidRPr="00FF009E">
        <w:rPr>
          <w:rFonts w:eastAsia="Calibri" w:cs="Tahoma"/>
          <w:bCs/>
          <w:lang w:eastAsia="en-US"/>
        </w:rPr>
        <w:t>Con base en lo anterior, procede su eliminación de las versiones públicas, pues</w:t>
      </w:r>
      <w:r w:rsidRPr="00FF009E">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4ACD5F19" w14:textId="77777777" w:rsidR="00B3735C" w:rsidRPr="00FF009E" w:rsidRDefault="00B3735C" w:rsidP="00FF009E">
      <w:pPr>
        <w:contextualSpacing/>
        <w:rPr>
          <w:rFonts w:eastAsia="Calibri" w:cs="Tahoma"/>
          <w:b/>
          <w:bCs/>
          <w:szCs w:val="22"/>
        </w:rPr>
      </w:pPr>
    </w:p>
    <w:p w14:paraId="43C62F67" w14:textId="77777777" w:rsidR="00B3735C" w:rsidRPr="00FF009E" w:rsidRDefault="00B3735C" w:rsidP="00FF009E">
      <w:r w:rsidRPr="00FF009E">
        <w:rPr>
          <w:rFonts w:eastAsia="Calibri" w:cs="Tahoma"/>
          <w:bCs/>
          <w:szCs w:val="22"/>
        </w:rPr>
        <w:t xml:space="preserve">Por otra parte, no se omite comentar que existe la posibilidad de que las actas de entrega - recepción de las cuales se ordena su entrega, pudieran tener observaciones que </w:t>
      </w:r>
      <w:r w:rsidRPr="00FF009E">
        <w:t xml:space="preserve">deriven en un procedimiento administrativo que se encuentre en trámite, </w:t>
      </w:r>
      <w:r w:rsidRPr="00FF009E">
        <w:rPr>
          <w:b/>
        </w:rPr>
        <w:t xml:space="preserve">EL SUJETO OBLIGADO </w:t>
      </w:r>
      <w:r w:rsidRPr="00FF009E">
        <w:t>deberá de hacerlo del conocimiento de la particular, remitiendo el Acta de Comité de Transparencia donde funde y motive la reserva de la información.</w:t>
      </w:r>
    </w:p>
    <w:p w14:paraId="25155CC9" w14:textId="77777777" w:rsidR="00B3735C" w:rsidRPr="00FF009E" w:rsidRDefault="00B3735C" w:rsidP="00FF009E"/>
    <w:p w14:paraId="3F9540BE" w14:textId="77777777" w:rsidR="00B3735C" w:rsidRPr="00FF009E" w:rsidRDefault="00B3735C" w:rsidP="00FF009E">
      <w:pPr>
        <w:rPr>
          <w:rFonts w:cs="Arial"/>
        </w:rPr>
      </w:pPr>
      <w:r w:rsidRPr="00FF009E">
        <w:rPr>
          <w:rFonts w:cs="Arial"/>
        </w:rPr>
        <w:t>Derivado de lo anterior, resulta señalar que el artículo 140, fracción VI, de la Ley de Transparencia y Acceso a la Información Pública del Estado de México y Municipios (homólogo al artículo 113, fracción IX de la Ley General de Transparencia y Acceso a la Información Pública; dispone lo siguiente:</w:t>
      </w:r>
    </w:p>
    <w:p w14:paraId="5BE19BED" w14:textId="77777777" w:rsidR="00B3735C" w:rsidRPr="00FF009E" w:rsidRDefault="00B3735C" w:rsidP="00FF009E">
      <w:pPr>
        <w:rPr>
          <w:rFonts w:cs="Arial"/>
        </w:rPr>
      </w:pPr>
    </w:p>
    <w:p w14:paraId="7927CA4E" w14:textId="77777777" w:rsidR="00B3735C" w:rsidRPr="00FF009E" w:rsidRDefault="00B3735C" w:rsidP="00FF009E">
      <w:pPr>
        <w:spacing w:line="240" w:lineRule="auto"/>
        <w:ind w:left="851" w:right="822"/>
        <w:rPr>
          <w:i/>
          <w:iCs/>
        </w:rPr>
      </w:pPr>
      <w:r w:rsidRPr="00FF009E">
        <w:rPr>
          <w:i/>
          <w:iCs/>
        </w:rPr>
        <w:t>“</w:t>
      </w:r>
      <w:r w:rsidRPr="00FF009E">
        <w:rPr>
          <w:b/>
          <w:i/>
          <w:iCs/>
        </w:rPr>
        <w:t>Artículo 140.</w:t>
      </w:r>
      <w:r w:rsidRPr="00FF009E">
        <w:rPr>
          <w:i/>
          <w:iCs/>
        </w:rPr>
        <w:t xml:space="preserve"> El acceso a la información pública será restringido excepcionalmente, cuando por razones de interés público, ésta sea clasificada como reservada, conforme a los criterios siguientes: </w:t>
      </w:r>
    </w:p>
    <w:p w14:paraId="0689122B" w14:textId="77777777" w:rsidR="00B3735C" w:rsidRPr="00FF009E" w:rsidRDefault="00B3735C" w:rsidP="00FF009E">
      <w:pPr>
        <w:spacing w:line="240" w:lineRule="auto"/>
        <w:ind w:left="851" w:right="822"/>
        <w:rPr>
          <w:i/>
          <w:iCs/>
        </w:rPr>
      </w:pPr>
      <w:r w:rsidRPr="00FF009E">
        <w:rPr>
          <w:i/>
          <w:iCs/>
        </w:rPr>
        <w:t xml:space="preserve">I a V… </w:t>
      </w:r>
    </w:p>
    <w:p w14:paraId="538AAA9A" w14:textId="77777777" w:rsidR="00B3735C" w:rsidRPr="00FF009E" w:rsidRDefault="00B3735C" w:rsidP="00FF009E">
      <w:pPr>
        <w:spacing w:line="240" w:lineRule="auto"/>
        <w:ind w:left="851" w:right="822"/>
        <w:rPr>
          <w:i/>
          <w:iCs/>
        </w:rPr>
      </w:pPr>
      <w:r w:rsidRPr="00FF009E">
        <w:rPr>
          <w:i/>
          <w:iCs/>
        </w:rPr>
        <w:lastRenderedPageBreak/>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FF009E">
        <w:rPr>
          <w:b/>
          <w:i/>
          <w:iCs/>
        </w:rPr>
        <w:t>incluidos los de quejas, denuncias, inconformidades, responsabilidades administrativas y resarcitorias en tanto no hayan quedado firmes</w:t>
      </w:r>
      <w:r w:rsidRPr="00FF009E">
        <w:rPr>
          <w:i/>
          <w:iCs/>
        </w:rPr>
        <w:t xml:space="preserve"> o afecte la administración de justicia o la seguridad de un denunciante, querellante o testigo, así como sus familias, en los términos de las disposiciones jurídicas aplicables; </w:t>
      </w:r>
    </w:p>
    <w:p w14:paraId="09BFAB84" w14:textId="77777777" w:rsidR="00B3735C" w:rsidRPr="00FF009E" w:rsidRDefault="00B3735C" w:rsidP="00FF009E">
      <w:pPr>
        <w:spacing w:line="240" w:lineRule="auto"/>
        <w:ind w:left="851" w:right="822"/>
        <w:rPr>
          <w:i/>
          <w:iCs/>
        </w:rPr>
      </w:pPr>
      <w:r w:rsidRPr="00FF009E">
        <w:rPr>
          <w:i/>
          <w:iCs/>
        </w:rPr>
        <w:t>VII a XI…”</w:t>
      </w:r>
    </w:p>
    <w:p w14:paraId="1923AB11" w14:textId="77777777" w:rsidR="00B3735C" w:rsidRPr="00FF009E" w:rsidRDefault="00B3735C" w:rsidP="00FF009E">
      <w:pPr>
        <w:spacing w:line="240" w:lineRule="auto"/>
        <w:ind w:left="851" w:right="822"/>
      </w:pPr>
      <w:r w:rsidRPr="00FF009E">
        <w:rPr>
          <w:i/>
          <w:iCs/>
        </w:rPr>
        <w:t>(Énfasis añadido)</w:t>
      </w:r>
    </w:p>
    <w:p w14:paraId="086662ED" w14:textId="77777777" w:rsidR="00B3735C" w:rsidRPr="00FF009E" w:rsidRDefault="00B3735C" w:rsidP="00FF009E"/>
    <w:p w14:paraId="5AEDD6F8" w14:textId="77777777" w:rsidR="00B3735C" w:rsidRPr="00FF009E" w:rsidRDefault="00B3735C" w:rsidP="00FF009E">
      <w:pPr>
        <w:rPr>
          <w:rFonts w:cs="Arial"/>
        </w:rPr>
      </w:pPr>
      <w:r w:rsidRPr="00FF009E">
        <w:t xml:space="preserve">Lo anterior cobra relevancia, toda vez que existe la posibilidad en que los documentos de los cuales se ordenan su entrega pudieran encontrarse en un procedimiento de investigación en la cual se continua allegando de elementos </w:t>
      </w:r>
      <w:r w:rsidRPr="00FF009E">
        <w:rPr>
          <w:rFonts w:cs="Tahoma"/>
          <w:bCs/>
          <w:szCs w:val="22"/>
        </w:rPr>
        <w:t xml:space="preserve">para determinar si existe alguna responsabilidad administrativa por parte de los servidores públicos respectivos, por ende tiene a lugar lo establecido en </w:t>
      </w:r>
      <w:r w:rsidRPr="00FF009E">
        <w:rPr>
          <w:rFonts w:cs="Arial"/>
        </w:rPr>
        <w:t>los Lineamientos Generales en materia de clasificación y desclasificación de la información, así como para la elaboración de versiones públicas, se prevé lo siguiente:</w:t>
      </w:r>
    </w:p>
    <w:p w14:paraId="715CBCC3" w14:textId="77777777" w:rsidR="00B3735C" w:rsidRPr="00FF009E" w:rsidRDefault="00B3735C" w:rsidP="00FF009E">
      <w:pPr>
        <w:rPr>
          <w:rFonts w:cs="Arial"/>
        </w:rPr>
      </w:pPr>
    </w:p>
    <w:p w14:paraId="0DC2686C" w14:textId="77777777" w:rsidR="00B3735C" w:rsidRPr="00FF009E" w:rsidRDefault="00B3735C" w:rsidP="00FF009E">
      <w:pPr>
        <w:spacing w:line="240" w:lineRule="auto"/>
        <w:ind w:left="851" w:right="822"/>
        <w:rPr>
          <w:i/>
          <w:iCs/>
        </w:rPr>
      </w:pPr>
      <w:r w:rsidRPr="00FF009E">
        <w:rPr>
          <w:i/>
          <w:iCs/>
        </w:rPr>
        <w:t>“</w:t>
      </w:r>
      <w:r w:rsidRPr="00FF009E">
        <w:rPr>
          <w:b/>
          <w:i/>
          <w:iCs/>
        </w:rPr>
        <w:t>Vigésimo octavo</w:t>
      </w:r>
      <w:r w:rsidRPr="00FF009E">
        <w:rPr>
          <w:i/>
          <w:iCs/>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 </w:t>
      </w:r>
    </w:p>
    <w:p w14:paraId="762CBA24" w14:textId="77777777" w:rsidR="00B3735C" w:rsidRPr="00FF009E" w:rsidRDefault="00B3735C" w:rsidP="00FF009E">
      <w:pPr>
        <w:spacing w:line="240" w:lineRule="auto"/>
        <w:ind w:left="851" w:right="822"/>
        <w:rPr>
          <w:b/>
          <w:i/>
          <w:iCs/>
        </w:rPr>
      </w:pPr>
      <w:r w:rsidRPr="00FF009E">
        <w:rPr>
          <w:b/>
          <w:i/>
          <w:iCs/>
        </w:rPr>
        <w:t xml:space="preserve">I. La existencia de un procedimiento de responsabilidad administrativa en trámite, y </w:t>
      </w:r>
    </w:p>
    <w:p w14:paraId="2CEDFF26" w14:textId="77777777" w:rsidR="00B3735C" w:rsidRPr="00FF009E" w:rsidRDefault="00B3735C" w:rsidP="00FF009E">
      <w:pPr>
        <w:spacing w:line="240" w:lineRule="auto"/>
        <w:ind w:left="851" w:right="822"/>
        <w:rPr>
          <w:b/>
          <w:i/>
          <w:iCs/>
        </w:rPr>
      </w:pPr>
      <w:r w:rsidRPr="00FF009E">
        <w:rPr>
          <w:b/>
          <w:i/>
          <w:iCs/>
        </w:rPr>
        <w:t>II. Que la información se refiera a actuaciones, diligencias y constancias propias del procedimiento de responsabilidad.”</w:t>
      </w:r>
    </w:p>
    <w:p w14:paraId="41622940" w14:textId="77777777" w:rsidR="00B3735C" w:rsidRPr="00FF009E" w:rsidRDefault="00B3735C" w:rsidP="00FF009E">
      <w:pPr>
        <w:spacing w:line="240" w:lineRule="auto"/>
        <w:ind w:left="851" w:right="822"/>
      </w:pPr>
      <w:r w:rsidRPr="00FF009E">
        <w:rPr>
          <w:i/>
          <w:iCs/>
        </w:rPr>
        <w:t>(Énfasis añadido)</w:t>
      </w:r>
    </w:p>
    <w:p w14:paraId="6DD54AEC" w14:textId="77777777" w:rsidR="00B3735C" w:rsidRPr="00FF009E" w:rsidRDefault="00B3735C" w:rsidP="00FF009E">
      <w:pPr>
        <w:contextualSpacing/>
        <w:rPr>
          <w:rFonts w:eastAsia="Calibri" w:cs="Tahoma"/>
          <w:bCs/>
          <w:szCs w:val="22"/>
        </w:rPr>
      </w:pPr>
    </w:p>
    <w:p w14:paraId="2AA8354C" w14:textId="77777777" w:rsidR="00B3735C" w:rsidRPr="00FF009E" w:rsidRDefault="00B3735C" w:rsidP="00FF009E">
      <w:pPr>
        <w:tabs>
          <w:tab w:val="left" w:pos="8222"/>
        </w:tabs>
        <w:ind w:right="-28"/>
        <w:rPr>
          <w:rFonts w:cs="Tahoma"/>
          <w:bCs/>
          <w:szCs w:val="22"/>
        </w:rPr>
      </w:pPr>
      <w:r w:rsidRPr="00FF009E">
        <w:rPr>
          <w:rFonts w:cs="Tahoma"/>
          <w:bCs/>
          <w:szCs w:val="22"/>
        </w:rPr>
        <w:t xml:space="preserve">De la normatividad citada, se desprende que el supuesto de clasificación invocado prevé que, como información reservada, </w:t>
      </w:r>
      <w:r w:rsidRPr="00FF009E">
        <w:rPr>
          <w:rFonts w:cs="Tahoma"/>
          <w:b/>
          <w:bCs/>
          <w:szCs w:val="22"/>
        </w:rPr>
        <w:t>a aquella que vulnere la conducción de los procedimientos de responsabilidades administrativas en trámite, en tanto no hayan causado estado</w:t>
      </w:r>
    </w:p>
    <w:p w14:paraId="12117E4D" w14:textId="77777777" w:rsidR="00B3735C" w:rsidRPr="00FF009E" w:rsidRDefault="00B3735C" w:rsidP="00FF009E">
      <w:pPr>
        <w:tabs>
          <w:tab w:val="left" w:pos="8222"/>
        </w:tabs>
        <w:ind w:right="-28"/>
        <w:rPr>
          <w:rFonts w:cs="Tahoma"/>
          <w:bCs/>
          <w:szCs w:val="22"/>
        </w:rPr>
      </w:pPr>
    </w:p>
    <w:p w14:paraId="442713B5" w14:textId="77777777" w:rsidR="00B3735C" w:rsidRPr="00FF009E" w:rsidRDefault="00B3735C" w:rsidP="00FF009E">
      <w:pPr>
        <w:tabs>
          <w:tab w:val="left" w:pos="8222"/>
        </w:tabs>
        <w:ind w:right="-28"/>
        <w:rPr>
          <w:rFonts w:cs="Tahoma"/>
          <w:bCs/>
          <w:szCs w:val="22"/>
        </w:rPr>
      </w:pPr>
      <w:r w:rsidRPr="00FF009E">
        <w:rPr>
          <w:rFonts w:cs="Tahoma"/>
          <w:bCs/>
          <w:szCs w:val="22"/>
        </w:rPr>
        <w:lastRenderedPageBreak/>
        <w:t xml:space="preserve">Sobre el particular, cabe traer a colación el artículo 141 de la Ley </w:t>
      </w:r>
      <w:r w:rsidRPr="00FF009E">
        <w:rPr>
          <w:rFonts w:cs="Tahoma"/>
          <w:bCs/>
        </w:rPr>
        <w:t>de Transparencia y Acceso a la Información del Estado de México y Municipios</w:t>
      </w:r>
      <w:r w:rsidRPr="00FF009E">
        <w:rPr>
          <w:rFonts w:cs="Tahoma"/>
          <w:bCs/>
          <w:szCs w:val="22"/>
        </w:rPr>
        <w:t>, que establece que las causales de reserva se deberán fundar y motivar, a través de la aplicación de la prueba de daño establecida en el artículo 129 de dicho ordenamiento, que se debe justificar de la siguiente manera:</w:t>
      </w:r>
    </w:p>
    <w:p w14:paraId="2A2BE863" w14:textId="77777777" w:rsidR="00B3735C" w:rsidRPr="00FF009E" w:rsidRDefault="00B3735C" w:rsidP="00FF009E">
      <w:pPr>
        <w:tabs>
          <w:tab w:val="left" w:pos="8222"/>
        </w:tabs>
        <w:ind w:right="-28"/>
        <w:rPr>
          <w:rFonts w:cs="Tahoma"/>
          <w:bCs/>
          <w:szCs w:val="22"/>
        </w:rPr>
      </w:pPr>
    </w:p>
    <w:p w14:paraId="717EEB70" w14:textId="77777777" w:rsidR="00B3735C" w:rsidRPr="00FF009E" w:rsidRDefault="00B3735C" w:rsidP="00FF009E">
      <w:pPr>
        <w:pStyle w:val="Prrafodelista"/>
        <w:numPr>
          <w:ilvl w:val="0"/>
          <w:numId w:val="34"/>
        </w:numPr>
        <w:tabs>
          <w:tab w:val="left" w:pos="8222"/>
        </w:tabs>
        <w:ind w:right="-28"/>
        <w:rPr>
          <w:rFonts w:cs="Tahoma"/>
          <w:bCs/>
          <w:szCs w:val="22"/>
        </w:rPr>
      </w:pPr>
      <w:r w:rsidRPr="00FF009E">
        <w:rPr>
          <w:rFonts w:cs="Tahoma"/>
          <w:bCs/>
          <w:szCs w:val="22"/>
        </w:rPr>
        <w:t>La divulgación de la información representa un riesgo real, demostrable e identificable de perjuicio significativo al interés público o a la seguridad nacional.</w:t>
      </w:r>
    </w:p>
    <w:p w14:paraId="2D1B20D9" w14:textId="77777777" w:rsidR="00B3735C" w:rsidRPr="00FF009E" w:rsidRDefault="00B3735C" w:rsidP="00FF009E">
      <w:pPr>
        <w:pStyle w:val="Prrafodelista"/>
        <w:numPr>
          <w:ilvl w:val="0"/>
          <w:numId w:val="34"/>
        </w:numPr>
        <w:tabs>
          <w:tab w:val="left" w:pos="8222"/>
        </w:tabs>
        <w:ind w:right="-28"/>
        <w:rPr>
          <w:rFonts w:cs="Tahoma"/>
          <w:bCs/>
          <w:szCs w:val="22"/>
        </w:rPr>
      </w:pPr>
      <w:r w:rsidRPr="00FF009E">
        <w:rPr>
          <w:rFonts w:cs="Tahoma"/>
          <w:bCs/>
          <w:szCs w:val="22"/>
        </w:rPr>
        <w:t>El riesgo de perjuicio supera el interés público general de que se difunda.</w:t>
      </w:r>
    </w:p>
    <w:p w14:paraId="04C7F3BC" w14:textId="77777777" w:rsidR="00B3735C" w:rsidRPr="00FF009E" w:rsidRDefault="00B3735C" w:rsidP="00FF009E">
      <w:pPr>
        <w:pStyle w:val="Prrafodelista"/>
        <w:numPr>
          <w:ilvl w:val="0"/>
          <w:numId w:val="34"/>
        </w:numPr>
        <w:tabs>
          <w:tab w:val="left" w:pos="8222"/>
        </w:tabs>
        <w:ind w:right="-28"/>
        <w:rPr>
          <w:rFonts w:cs="Tahoma"/>
          <w:bCs/>
          <w:szCs w:val="22"/>
        </w:rPr>
      </w:pPr>
      <w:r w:rsidRPr="00FF009E">
        <w:rPr>
          <w:rFonts w:cs="Tahoma"/>
          <w:bCs/>
          <w:szCs w:val="22"/>
        </w:rPr>
        <w:t>Que la limitación se adecua al principio de proporcionalidad y representa el medio menos restrictivo disponible para evitar el perjuicio.</w:t>
      </w:r>
    </w:p>
    <w:p w14:paraId="05DE310B" w14:textId="77777777" w:rsidR="00B3735C" w:rsidRPr="00FF009E" w:rsidRDefault="00B3735C" w:rsidP="00FF009E">
      <w:pPr>
        <w:ind w:right="-28"/>
        <w:contextualSpacing/>
        <w:rPr>
          <w:rFonts w:eastAsia="Calibri" w:cs="Tahoma"/>
          <w:bCs/>
          <w:sz w:val="16"/>
          <w:szCs w:val="22"/>
        </w:rPr>
      </w:pPr>
    </w:p>
    <w:p w14:paraId="3967ADBB" w14:textId="380C19E2" w:rsidR="00B3735C" w:rsidRPr="00FF009E" w:rsidRDefault="00B3735C" w:rsidP="00FF009E">
      <w:pPr>
        <w:rPr>
          <w:lang w:eastAsia="es-CO"/>
        </w:rPr>
      </w:pPr>
      <w:r w:rsidRPr="00FF009E">
        <w:rPr>
          <w:rFonts w:eastAsia="Calibri" w:cs="Tahoma"/>
          <w:bCs/>
          <w:szCs w:val="22"/>
        </w:rPr>
        <w:t xml:space="preserve">Por lo anterior se considera que, para el caso en que la información requerida actualice el supuesto de clasificación anteriormente señalado, </w:t>
      </w:r>
      <w:r w:rsidRPr="00FF009E">
        <w:rPr>
          <w:rFonts w:eastAsia="Calibri" w:cs="Tahoma"/>
          <w:b/>
          <w:bCs/>
          <w:szCs w:val="22"/>
        </w:rPr>
        <w:t xml:space="preserve">EL SUJETO OBLIGADO </w:t>
      </w:r>
      <w:r w:rsidRPr="00FF009E">
        <w:rPr>
          <w:rFonts w:eastAsia="Calibri" w:cs="Tahoma"/>
          <w:bCs/>
          <w:szCs w:val="22"/>
        </w:rPr>
        <w:t>deberá emitir el acuerdo debidamente fundado y motivado que de sustento a la reserva de la información requerida.</w:t>
      </w:r>
    </w:p>
    <w:p w14:paraId="45EFCDE9" w14:textId="2BC5579C" w:rsidR="00502E78" w:rsidRPr="00FF009E" w:rsidRDefault="00502E78" w:rsidP="00FF009E">
      <w:pPr>
        <w:ind w:right="-93"/>
        <w:rPr>
          <w:rFonts w:cs="Tahoma"/>
          <w:bCs/>
          <w:sz w:val="8"/>
          <w:szCs w:val="22"/>
        </w:rPr>
      </w:pPr>
    </w:p>
    <w:p w14:paraId="6CD05AC4" w14:textId="110799E6" w:rsidR="00BD5A7C" w:rsidRPr="00FF009E" w:rsidRDefault="00573C56" w:rsidP="00FF009E">
      <w:pPr>
        <w:pStyle w:val="Ttulo3"/>
      </w:pPr>
      <w:bookmarkStart w:id="34" w:name="_Toc181795323"/>
      <w:r w:rsidRPr="00FF009E">
        <w:t>e</w:t>
      </w:r>
      <w:r w:rsidR="00BD5A7C" w:rsidRPr="00FF009E">
        <w:t>) Conclusión</w:t>
      </w:r>
      <w:bookmarkEnd w:id="34"/>
    </w:p>
    <w:p w14:paraId="1B6BE48F" w14:textId="76277CB0" w:rsidR="00826E00" w:rsidRPr="00FF009E" w:rsidRDefault="00B3735C" w:rsidP="00FF009E">
      <w:pPr>
        <w:ind w:right="-93"/>
      </w:pPr>
      <w:bookmarkStart w:id="35" w:name="_Hlk165381027"/>
      <w:r w:rsidRPr="00FF009E">
        <w:rPr>
          <w:rFonts w:eastAsia="Palatino Linotype" w:cs="Palatino Linotype"/>
        </w:rPr>
        <w:t xml:space="preserve">En razón de lo anteriormente expuesto, este Instituto estima que las razones o motivos de inconformidad hechos valer por </w:t>
      </w:r>
      <w:r w:rsidRPr="00FF009E">
        <w:rPr>
          <w:rFonts w:eastAsiaTheme="minorHAnsi" w:cs="Tahoma"/>
          <w:b/>
          <w:iCs/>
          <w:szCs w:val="22"/>
          <w:lang w:eastAsia="en-US"/>
        </w:rPr>
        <w:t>LA PARTE RECURRENTE</w:t>
      </w:r>
      <w:r w:rsidRPr="00FF009E">
        <w:rPr>
          <w:rFonts w:eastAsiaTheme="minorHAnsi" w:cs="Tahoma"/>
          <w:bCs/>
          <w:iCs/>
          <w:szCs w:val="22"/>
          <w:lang w:eastAsia="en-US"/>
        </w:rPr>
        <w:t xml:space="preserve"> </w:t>
      </w:r>
      <w:r w:rsidRPr="00FF009E">
        <w:rPr>
          <w:rFonts w:eastAsia="Palatino Linotype" w:cs="Palatino Linotype"/>
        </w:rPr>
        <w:t xml:space="preserve">devienen parcialmente </w:t>
      </w:r>
      <w:r w:rsidRPr="00FF009E">
        <w:rPr>
          <w:rFonts w:eastAsia="Palatino Linotype" w:cs="Palatino Linotype"/>
          <w:b/>
        </w:rPr>
        <w:t>fundadas</w:t>
      </w:r>
      <w:r w:rsidRPr="00FF009E">
        <w:rPr>
          <w:rFonts w:eastAsia="Palatino Linotype" w:cs="Palatino Linotype"/>
        </w:rPr>
        <w:t xml:space="preserve"> para </w:t>
      </w:r>
      <w:r w:rsidRPr="00FF009E">
        <w:rPr>
          <w:rFonts w:eastAsia="Palatino Linotype" w:cs="Palatino Linotype"/>
          <w:b/>
        </w:rPr>
        <w:t>MODIFICAR</w:t>
      </w:r>
      <w:r w:rsidRPr="00FF009E">
        <w:rPr>
          <w:rFonts w:eastAsia="Palatino Linotype" w:cs="Palatino Linotype"/>
        </w:rPr>
        <w:t xml:space="preserve"> la respuesta del </w:t>
      </w:r>
      <w:r w:rsidRPr="00FF009E">
        <w:rPr>
          <w:rFonts w:eastAsia="Palatino Linotype" w:cs="Palatino Linotype"/>
          <w:b/>
        </w:rPr>
        <w:t>SUJETO OBLIGADO</w:t>
      </w:r>
      <w:r w:rsidRPr="00FF009E">
        <w:rPr>
          <w:rFonts w:eastAsia="Palatino Linotype" w:cs="Palatino Linotype"/>
        </w:rPr>
        <w:t xml:space="preserve"> y ordenarle haga entrega de la información materia de la solicitud.</w:t>
      </w:r>
    </w:p>
    <w:p w14:paraId="77EBF5DA" w14:textId="77777777" w:rsidR="00826E00" w:rsidRPr="00FF009E" w:rsidRDefault="00826E00" w:rsidP="00FF009E">
      <w:pPr>
        <w:ind w:right="-93"/>
        <w:rPr>
          <w:sz w:val="18"/>
        </w:rPr>
      </w:pPr>
    </w:p>
    <w:p w14:paraId="6C4C444E" w14:textId="16F1DC79" w:rsidR="00BD5A7C" w:rsidRPr="00FF009E" w:rsidRDefault="00BD5A7C" w:rsidP="00FF009E">
      <w:pPr>
        <w:ind w:right="-93"/>
        <w:rPr>
          <w:rFonts w:cs="Tahoma"/>
          <w:bCs/>
          <w:szCs w:val="22"/>
        </w:rPr>
      </w:pPr>
      <w:r w:rsidRPr="00FF009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FF009E" w:rsidRDefault="00664420" w:rsidP="00FF009E">
      <w:pPr>
        <w:pStyle w:val="Ttulo1"/>
      </w:pPr>
      <w:bookmarkStart w:id="36" w:name="_Toc181795324"/>
      <w:bookmarkEnd w:id="35"/>
      <w:r w:rsidRPr="00FF009E">
        <w:lastRenderedPageBreak/>
        <w:t>RESUELVE</w:t>
      </w:r>
      <w:bookmarkEnd w:id="36"/>
    </w:p>
    <w:p w14:paraId="203B7093" w14:textId="77777777" w:rsidR="00664420" w:rsidRPr="00FF009E" w:rsidRDefault="00664420" w:rsidP="00FF009E">
      <w:pPr>
        <w:ind w:right="113"/>
        <w:rPr>
          <w:rFonts w:cs="Arial"/>
          <w:b/>
          <w:szCs w:val="22"/>
        </w:rPr>
      </w:pPr>
    </w:p>
    <w:p w14:paraId="40DE562B" w14:textId="4770B358" w:rsidR="00FC3CE0" w:rsidRPr="00FF009E" w:rsidRDefault="00FC3CE0" w:rsidP="00FF009E">
      <w:pPr>
        <w:widowControl w:val="0"/>
        <w:rPr>
          <w:rFonts w:eastAsia="Calibri" w:cs="Tahoma"/>
          <w:bCs/>
          <w:szCs w:val="22"/>
          <w:lang w:eastAsia="en-US"/>
        </w:rPr>
      </w:pPr>
      <w:r w:rsidRPr="00FF009E">
        <w:rPr>
          <w:b/>
          <w:bCs/>
        </w:rPr>
        <w:t>PRIMERO.</w:t>
      </w:r>
      <w:r w:rsidRPr="00FF009E">
        <w:t xml:space="preserve"> </w:t>
      </w:r>
      <w:r w:rsidRPr="00FF009E">
        <w:rPr>
          <w:rFonts w:cs="Tahoma"/>
          <w:szCs w:val="22"/>
        </w:rPr>
        <w:t xml:space="preserve">Se </w:t>
      </w:r>
      <w:r w:rsidR="00A50050" w:rsidRPr="00FF009E">
        <w:rPr>
          <w:rFonts w:cs="Tahoma"/>
          <w:b/>
          <w:bCs/>
          <w:szCs w:val="22"/>
        </w:rPr>
        <w:t>MODIFICA</w:t>
      </w:r>
      <w:r w:rsidRPr="00FF009E">
        <w:rPr>
          <w:rFonts w:cs="Tahoma"/>
          <w:szCs w:val="22"/>
        </w:rPr>
        <w:t xml:space="preserve"> la respuesta entregada por el </w:t>
      </w:r>
      <w:r w:rsidR="004E5068" w:rsidRPr="00FF009E">
        <w:rPr>
          <w:rFonts w:cs="Tahoma"/>
          <w:b/>
          <w:bCs/>
          <w:szCs w:val="22"/>
        </w:rPr>
        <w:t>SUJETO OBLIGADO</w:t>
      </w:r>
      <w:r w:rsidR="004E5068" w:rsidRPr="00FF009E">
        <w:rPr>
          <w:rFonts w:cs="Tahoma"/>
          <w:szCs w:val="22"/>
        </w:rPr>
        <w:t xml:space="preserve"> </w:t>
      </w:r>
      <w:r w:rsidR="0041385B" w:rsidRPr="00FF009E">
        <w:rPr>
          <w:rFonts w:cs="Tahoma"/>
          <w:szCs w:val="22"/>
        </w:rPr>
        <w:t>en</w:t>
      </w:r>
      <w:r w:rsidRPr="00FF009E">
        <w:rPr>
          <w:rFonts w:cs="Tahoma"/>
          <w:szCs w:val="22"/>
        </w:rPr>
        <w:t xml:space="preserve"> la solicitud de información </w:t>
      </w:r>
      <w:r w:rsidR="00B3735C" w:rsidRPr="00FF009E">
        <w:rPr>
          <w:rFonts w:cs="Tahoma"/>
          <w:b/>
        </w:rPr>
        <w:t>00322/SECOGEM/IP/2024</w:t>
      </w:r>
      <w:r w:rsidR="002C22A3" w:rsidRPr="00FF009E">
        <w:rPr>
          <w:rFonts w:cs="Tahoma"/>
        </w:rPr>
        <w:t>,</w:t>
      </w:r>
      <w:r w:rsidRPr="00FF009E">
        <w:rPr>
          <w:rFonts w:cs="Tahoma"/>
          <w:bCs/>
          <w:szCs w:val="22"/>
        </w:rPr>
        <w:t xml:space="preserve"> </w:t>
      </w:r>
      <w:r w:rsidRPr="00FF009E">
        <w:rPr>
          <w:rFonts w:eastAsia="Calibri" w:cs="Tahoma"/>
          <w:bCs/>
          <w:szCs w:val="22"/>
          <w:lang w:eastAsia="en-US"/>
        </w:rPr>
        <w:t xml:space="preserve">por resultar </w:t>
      </w:r>
      <w:r w:rsidR="0079519D" w:rsidRPr="00FF009E">
        <w:rPr>
          <w:rFonts w:eastAsia="Calibri" w:cs="Tahoma"/>
          <w:b/>
          <w:bCs/>
          <w:szCs w:val="22"/>
          <w:lang w:eastAsia="en-US"/>
        </w:rPr>
        <w:t xml:space="preserve">PARCIALMENTE </w:t>
      </w:r>
      <w:r w:rsidRPr="00FF009E">
        <w:rPr>
          <w:rFonts w:eastAsia="Calibri" w:cs="Tahoma"/>
          <w:b/>
          <w:bCs/>
          <w:szCs w:val="22"/>
          <w:lang w:eastAsia="en-US"/>
        </w:rPr>
        <w:t>FUNDADAS</w:t>
      </w:r>
      <w:r w:rsidRPr="00FF009E">
        <w:rPr>
          <w:rFonts w:eastAsia="Calibri" w:cs="Tahoma"/>
          <w:bCs/>
          <w:szCs w:val="22"/>
          <w:lang w:eastAsia="en-US"/>
        </w:rPr>
        <w:t xml:space="preserve"> las razones o motivos de inconformidad hechos valer por </w:t>
      </w:r>
      <w:r w:rsidRPr="00FF009E">
        <w:rPr>
          <w:rFonts w:eastAsia="Calibri" w:cs="Tahoma"/>
          <w:b/>
          <w:szCs w:val="22"/>
          <w:lang w:eastAsia="en-US"/>
        </w:rPr>
        <w:t>LA PARTE RECURRENTE</w:t>
      </w:r>
      <w:r w:rsidRPr="00FF009E">
        <w:rPr>
          <w:rFonts w:eastAsia="Calibri" w:cs="Tahoma"/>
          <w:bCs/>
          <w:szCs w:val="22"/>
          <w:lang w:eastAsia="en-US"/>
        </w:rPr>
        <w:t xml:space="preserve"> en el Recurso de Revisión </w:t>
      </w:r>
      <w:r w:rsidR="00B3735C" w:rsidRPr="00FF009E">
        <w:rPr>
          <w:rFonts w:eastAsiaTheme="minorHAnsi" w:cstheme="minorBidi"/>
          <w:b/>
          <w:bCs/>
          <w:szCs w:val="22"/>
          <w:lang w:eastAsia="en-US"/>
        </w:rPr>
        <w:t>05972/INFOEM/IP/RR/2024</w:t>
      </w:r>
      <w:r w:rsidRPr="00FF009E">
        <w:rPr>
          <w:rFonts w:eastAsiaTheme="minorHAnsi" w:cstheme="minorBidi"/>
          <w:szCs w:val="22"/>
          <w:lang w:eastAsia="en-US"/>
        </w:rPr>
        <w:t>,</w:t>
      </w:r>
      <w:r w:rsidRPr="00FF009E">
        <w:rPr>
          <w:rFonts w:cs="Tahoma"/>
          <w:b/>
          <w:szCs w:val="22"/>
        </w:rPr>
        <w:t xml:space="preserve"> </w:t>
      </w:r>
      <w:r w:rsidRPr="00FF009E">
        <w:rPr>
          <w:rFonts w:eastAsia="Calibri" w:cs="Tahoma"/>
          <w:bCs/>
          <w:szCs w:val="22"/>
          <w:lang w:eastAsia="en-US"/>
        </w:rPr>
        <w:t xml:space="preserve">en términos del considerando </w:t>
      </w:r>
      <w:r w:rsidRPr="00FF009E">
        <w:rPr>
          <w:rFonts w:eastAsia="Calibri" w:cs="Tahoma"/>
          <w:b/>
          <w:szCs w:val="22"/>
          <w:lang w:eastAsia="en-US"/>
        </w:rPr>
        <w:t>SEGUNDO</w:t>
      </w:r>
      <w:r w:rsidRPr="00FF009E">
        <w:rPr>
          <w:rFonts w:eastAsia="Calibri" w:cs="Tahoma"/>
          <w:bCs/>
          <w:szCs w:val="22"/>
          <w:lang w:eastAsia="en-US"/>
        </w:rPr>
        <w:t xml:space="preserve"> de la presente Resolución.</w:t>
      </w:r>
    </w:p>
    <w:p w14:paraId="78D4A482" w14:textId="77777777" w:rsidR="00FC3CE0" w:rsidRPr="00FF009E" w:rsidRDefault="00FC3CE0" w:rsidP="00FF009E">
      <w:pPr>
        <w:widowControl w:val="0"/>
        <w:rPr>
          <w:rFonts w:eastAsia="Calibri" w:cs="Tahoma"/>
          <w:bCs/>
          <w:szCs w:val="22"/>
          <w:lang w:eastAsia="en-US"/>
        </w:rPr>
      </w:pPr>
    </w:p>
    <w:p w14:paraId="16CF919C" w14:textId="20264FC4" w:rsidR="00FC3CE0" w:rsidRPr="00FF009E" w:rsidRDefault="00FC3CE0" w:rsidP="00FF009E">
      <w:pPr>
        <w:ind w:right="-93"/>
        <w:rPr>
          <w:rFonts w:eastAsia="Calibri" w:cs="Tahoma"/>
          <w:bCs/>
          <w:szCs w:val="22"/>
          <w:lang w:eastAsia="en-US"/>
        </w:rPr>
      </w:pPr>
      <w:r w:rsidRPr="00FF009E">
        <w:rPr>
          <w:rFonts w:eastAsia="Calibri" w:cs="Tahoma"/>
          <w:b/>
          <w:bCs/>
          <w:szCs w:val="22"/>
          <w:lang w:eastAsia="en-US"/>
        </w:rPr>
        <w:t>SEGUNDO.</w:t>
      </w:r>
      <w:r w:rsidRPr="00FF009E">
        <w:rPr>
          <w:rFonts w:eastAsia="Calibri" w:cs="Tahoma"/>
          <w:szCs w:val="22"/>
          <w:lang w:eastAsia="es-MX"/>
        </w:rPr>
        <w:t xml:space="preserve"> Se </w:t>
      </w:r>
      <w:r w:rsidRPr="00FF009E">
        <w:rPr>
          <w:rFonts w:eastAsia="Calibri" w:cs="Tahoma"/>
          <w:b/>
          <w:szCs w:val="22"/>
          <w:lang w:eastAsia="es-MX"/>
        </w:rPr>
        <w:t xml:space="preserve">ORDENA </w:t>
      </w:r>
      <w:r w:rsidRPr="00FF009E">
        <w:rPr>
          <w:rFonts w:eastAsia="Calibri" w:cs="Tahoma"/>
          <w:szCs w:val="22"/>
          <w:lang w:eastAsia="es-MX"/>
        </w:rPr>
        <w:t xml:space="preserve">al </w:t>
      </w:r>
      <w:r w:rsidRPr="00FF009E">
        <w:rPr>
          <w:rFonts w:eastAsia="Calibri" w:cs="Tahoma"/>
          <w:b/>
          <w:bCs/>
          <w:szCs w:val="22"/>
          <w:lang w:eastAsia="es-MX"/>
        </w:rPr>
        <w:t>SUJETO OBLIGADO</w:t>
      </w:r>
      <w:r w:rsidRPr="00FF009E">
        <w:rPr>
          <w:rFonts w:eastAsia="Calibri" w:cs="Tahoma"/>
          <w:szCs w:val="22"/>
          <w:lang w:eastAsia="es-MX"/>
        </w:rPr>
        <w:t xml:space="preserve">, </w:t>
      </w:r>
      <w:r w:rsidRPr="00FF009E">
        <w:rPr>
          <w:rFonts w:eastAsia="Calibri" w:cs="Tahoma"/>
          <w:bCs/>
          <w:szCs w:val="22"/>
          <w:lang w:eastAsia="en-US"/>
        </w:rPr>
        <w:t xml:space="preserve">a efecto de que, entregue a través del </w:t>
      </w:r>
      <w:r w:rsidR="00233005" w:rsidRPr="00FF009E">
        <w:rPr>
          <w:rFonts w:eastAsia="Calibri" w:cs="Tahoma"/>
          <w:b/>
          <w:bCs/>
          <w:szCs w:val="22"/>
          <w:lang w:eastAsia="en-US"/>
        </w:rPr>
        <w:t>SAIMEX</w:t>
      </w:r>
      <w:r w:rsidR="00F45E99" w:rsidRPr="00FF009E">
        <w:rPr>
          <w:rFonts w:eastAsia="Calibri" w:cs="Tahoma"/>
          <w:bCs/>
          <w:szCs w:val="22"/>
          <w:lang w:eastAsia="en-US"/>
        </w:rPr>
        <w:t xml:space="preserve">, </w:t>
      </w:r>
      <w:r w:rsidR="00573C56" w:rsidRPr="00FF009E">
        <w:rPr>
          <w:rFonts w:eastAsia="Calibri" w:cs="Tahoma"/>
          <w:bCs/>
          <w:szCs w:val="22"/>
          <w:lang w:eastAsia="en-US"/>
        </w:rPr>
        <w:t>en versión pública</w:t>
      </w:r>
      <w:r w:rsidR="00B3735C" w:rsidRPr="00FF009E">
        <w:rPr>
          <w:rFonts w:eastAsia="Calibri" w:cs="Tahoma"/>
          <w:bCs/>
          <w:szCs w:val="22"/>
          <w:lang w:eastAsia="en-US"/>
        </w:rPr>
        <w:t xml:space="preserve"> de ser procedente</w:t>
      </w:r>
      <w:r w:rsidR="0079519D" w:rsidRPr="00FF009E">
        <w:rPr>
          <w:rFonts w:eastAsia="Calibri" w:cs="Tahoma"/>
          <w:bCs/>
          <w:szCs w:val="22"/>
          <w:lang w:eastAsia="en-US"/>
        </w:rPr>
        <w:t xml:space="preserve">, de </w:t>
      </w:r>
      <w:r w:rsidRPr="00FF009E">
        <w:rPr>
          <w:rFonts w:eastAsia="Calibri" w:cs="Tahoma"/>
          <w:bCs/>
          <w:szCs w:val="22"/>
          <w:lang w:eastAsia="en-US"/>
        </w:rPr>
        <w:t>lo siguiente:</w:t>
      </w:r>
    </w:p>
    <w:p w14:paraId="20DE7095" w14:textId="77777777" w:rsidR="00A50050" w:rsidRPr="00FF009E" w:rsidRDefault="00A50050" w:rsidP="00FF009E">
      <w:pPr>
        <w:ind w:right="-93"/>
        <w:rPr>
          <w:rFonts w:eastAsia="Calibri" w:cs="Tahoma"/>
          <w:bCs/>
          <w:szCs w:val="22"/>
          <w:lang w:eastAsia="en-US"/>
        </w:rPr>
      </w:pPr>
    </w:p>
    <w:p w14:paraId="45D01669" w14:textId="352C7EC0" w:rsidR="00573C56" w:rsidRPr="00FF009E" w:rsidRDefault="00B3735C" w:rsidP="00FF009E">
      <w:pPr>
        <w:pStyle w:val="Puesto"/>
        <w:tabs>
          <w:tab w:val="left" w:pos="8222"/>
        </w:tabs>
        <w:ind w:left="851" w:right="822"/>
        <w:rPr>
          <w:rFonts w:eastAsia="Calibri" w:cs="Tahoma"/>
          <w:bCs/>
          <w:szCs w:val="22"/>
          <w:lang w:eastAsia="en-US"/>
        </w:rPr>
      </w:pPr>
      <w:r w:rsidRPr="00FF009E">
        <w:t xml:space="preserve">Actas de entrega y recepción realizadas </w:t>
      </w:r>
      <w:r w:rsidR="00971C6C" w:rsidRPr="00FF009E">
        <w:t>por las unidades administrativas adscritas a</w:t>
      </w:r>
      <w:r w:rsidRPr="00FF009E">
        <w:t xml:space="preserve"> la Comisió</w:t>
      </w:r>
      <w:r w:rsidR="00971C6C" w:rsidRPr="00FF009E">
        <w:t xml:space="preserve">n del Agua del Estado de México, </w:t>
      </w:r>
      <w:r w:rsidR="00BE2F5F" w:rsidRPr="00FF009E">
        <w:t>obligadas</w:t>
      </w:r>
      <w:r w:rsidR="00971C6C" w:rsidRPr="00FF009E">
        <w:t xml:space="preserve"> a realizar</w:t>
      </w:r>
      <w:r w:rsidR="007D1DEE" w:rsidRPr="00FF009E">
        <w:t xml:space="preserve">lo </w:t>
      </w:r>
      <w:r w:rsidR="00971C6C" w:rsidRPr="00FF009E">
        <w:t>conforme a la normatividad aplicable</w:t>
      </w:r>
      <w:r w:rsidR="00135E2D" w:rsidRPr="00FF009E">
        <w:t>, del 16 de septiembre de 2023 al 30 de agosto de 2024.</w:t>
      </w:r>
    </w:p>
    <w:p w14:paraId="0FF29DF6" w14:textId="77777777" w:rsidR="00573C56" w:rsidRPr="00FF009E" w:rsidRDefault="00573C56" w:rsidP="00FF009E">
      <w:pPr>
        <w:tabs>
          <w:tab w:val="left" w:pos="8222"/>
        </w:tabs>
        <w:spacing w:line="240" w:lineRule="auto"/>
        <w:ind w:left="851" w:right="822"/>
        <w:rPr>
          <w:rFonts w:eastAsia="Calibri" w:cs="Tahoma"/>
          <w:bCs/>
          <w:szCs w:val="22"/>
          <w:lang w:eastAsia="en-US"/>
        </w:rPr>
      </w:pPr>
    </w:p>
    <w:p w14:paraId="3F3008F4" w14:textId="77777777" w:rsidR="00573C56" w:rsidRPr="00FF009E" w:rsidRDefault="00573C56" w:rsidP="00FF009E">
      <w:pPr>
        <w:pStyle w:val="Puesto"/>
        <w:tabs>
          <w:tab w:val="left" w:pos="8222"/>
        </w:tabs>
        <w:ind w:left="851" w:right="822"/>
        <w:rPr>
          <w:rFonts w:eastAsia="Calibri" w:cs="Tahoma"/>
          <w:bCs/>
          <w:i w:val="0"/>
          <w:szCs w:val="22"/>
          <w:lang w:eastAsia="en-US"/>
        </w:rPr>
      </w:pPr>
      <w:r w:rsidRPr="00FF009E">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A803183" w14:textId="77777777" w:rsidR="0079519D" w:rsidRPr="00FF009E" w:rsidRDefault="0079519D" w:rsidP="00FF009E">
      <w:pPr>
        <w:ind w:right="-93"/>
        <w:rPr>
          <w:rFonts w:eastAsia="Calibri" w:cs="Tahoma"/>
          <w:bCs/>
          <w:szCs w:val="22"/>
          <w:lang w:eastAsia="en-US"/>
        </w:rPr>
      </w:pPr>
    </w:p>
    <w:p w14:paraId="14C2AD60" w14:textId="0297994B" w:rsidR="00FC3CE0" w:rsidRPr="00FF009E" w:rsidRDefault="00FC3CE0" w:rsidP="00FF009E">
      <w:r w:rsidRPr="00FF009E">
        <w:rPr>
          <w:b/>
          <w:bCs/>
        </w:rPr>
        <w:t>TERCERO.</w:t>
      </w:r>
      <w:r w:rsidRPr="00FF009E">
        <w:t xml:space="preserve"> Notifíquese la presente resolución al Titular de la Unidad de Transparencia del </w:t>
      </w:r>
      <w:r w:rsidR="008B1E16" w:rsidRPr="00FF009E">
        <w:rPr>
          <w:b/>
          <w:bCs/>
        </w:rPr>
        <w:t>SUJETO OBLIGADO</w:t>
      </w:r>
      <w:r w:rsidR="001E196B" w:rsidRPr="00FF009E">
        <w:rPr>
          <w:b/>
          <w:bCs/>
        </w:rPr>
        <w:t xml:space="preserve"> a través del SAIMEX</w:t>
      </w:r>
      <w:r w:rsidRPr="00FF009E">
        <w:t xml:space="preserve">, para que conforme al artículo 186 último párrafo, 189 segundo párrafo y 194 de la Ley de Transparencia y Acceso a la Información Pública del Estado de México y Municipios, dé cumplimiento a lo ordenado dentro del plazo de </w:t>
      </w:r>
      <w:r w:rsidRPr="00FF009E">
        <w:rPr>
          <w:b/>
          <w:bCs/>
        </w:rPr>
        <w:t>diez días hábiles</w:t>
      </w:r>
      <w:r w:rsidRPr="00FF009E">
        <w:t xml:space="preserve">, e informe a este Instituto en un plazo de </w:t>
      </w:r>
      <w:r w:rsidRPr="00FF009E">
        <w:rPr>
          <w:b/>
          <w:bCs/>
        </w:rPr>
        <w:t>tres días hábiles</w:t>
      </w:r>
      <w:r w:rsidRPr="00FF009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FF009E" w:rsidRDefault="00FC3CE0" w:rsidP="00FF009E">
      <w:r w:rsidRPr="00FF009E">
        <w:rPr>
          <w:b/>
          <w:bCs/>
        </w:rPr>
        <w:lastRenderedPageBreak/>
        <w:t>CUARTO.</w:t>
      </w:r>
      <w:r w:rsidRPr="00FF009E">
        <w:t xml:space="preserve"> Notifíquese a </w:t>
      </w:r>
      <w:r w:rsidRPr="00FF009E">
        <w:rPr>
          <w:b/>
          <w:bCs/>
        </w:rPr>
        <w:t>LA PARTE RECURRENTE</w:t>
      </w:r>
      <w:r w:rsidRPr="00FF009E">
        <w:t xml:space="preserve"> la presente resolución vía Sistema de Acceso a la Información Mexiquense </w:t>
      </w:r>
      <w:r w:rsidR="008B1E16" w:rsidRPr="00FF009E">
        <w:t>(</w:t>
      </w:r>
      <w:r w:rsidRPr="00FF009E">
        <w:t>SAIMEX</w:t>
      </w:r>
      <w:r w:rsidR="008B1E16" w:rsidRPr="00FF009E">
        <w:t>)</w:t>
      </w:r>
      <w:r w:rsidRPr="00FF009E">
        <w:t>.</w:t>
      </w:r>
    </w:p>
    <w:p w14:paraId="515336ED" w14:textId="77777777" w:rsidR="00FC3CE0" w:rsidRPr="00FF009E" w:rsidRDefault="00FC3CE0" w:rsidP="00FF009E"/>
    <w:p w14:paraId="006EFE1D" w14:textId="07CDFDE4" w:rsidR="00FC3CE0" w:rsidRPr="00FF009E" w:rsidRDefault="00FC3CE0" w:rsidP="00FF009E">
      <w:r w:rsidRPr="00FF009E">
        <w:rPr>
          <w:b/>
          <w:bCs/>
        </w:rPr>
        <w:t>QUINTO</w:t>
      </w:r>
      <w:r w:rsidRPr="00FF009E">
        <w:t>. Hágase del conocimiento a</w:t>
      </w:r>
      <w:r w:rsidR="008B1E16" w:rsidRPr="00FF009E">
        <w:t xml:space="preserve"> </w:t>
      </w:r>
      <w:r w:rsidR="008B1E16" w:rsidRPr="00FF009E">
        <w:rPr>
          <w:b/>
          <w:bCs/>
        </w:rPr>
        <w:t xml:space="preserve">LA PARTE </w:t>
      </w:r>
      <w:r w:rsidRPr="00FF009E">
        <w:rPr>
          <w:b/>
          <w:bCs/>
        </w:rPr>
        <w:t>RECURRENTE</w:t>
      </w:r>
      <w:r w:rsidRPr="00FF009E">
        <w:t xml:space="preserve"> que</w:t>
      </w:r>
      <w:r w:rsidR="008B1E16" w:rsidRPr="00FF009E">
        <w:t>,</w:t>
      </w:r>
      <w:r w:rsidRPr="00FF009E">
        <w:t xml:space="preserve"> de conformidad con lo establecido en el artículo 196 de la Ley de Transparencia y Acceso a la Información Pública del Estado de México y Municipios, podrá impugnar</w:t>
      </w:r>
      <w:r w:rsidR="008B1E16" w:rsidRPr="00FF009E">
        <w:t xml:space="preserve"> la presente resolución</w:t>
      </w:r>
      <w:r w:rsidRPr="00FF009E">
        <w:t xml:space="preserve"> vía Juicio de Amparo en los términos de las leyes aplicables.</w:t>
      </w:r>
    </w:p>
    <w:p w14:paraId="1E4467E1" w14:textId="77777777" w:rsidR="001F6646" w:rsidRPr="00FF009E" w:rsidRDefault="001F6646" w:rsidP="00FF009E"/>
    <w:p w14:paraId="43DF9D99" w14:textId="4C6E52F9" w:rsidR="00FC3CE0" w:rsidRPr="00FF009E" w:rsidRDefault="00FC3CE0" w:rsidP="00FF009E">
      <w:r w:rsidRPr="00FF009E">
        <w:rPr>
          <w:b/>
          <w:bCs/>
        </w:rPr>
        <w:t>SEXTO.</w:t>
      </w:r>
      <w:r w:rsidRPr="00FF009E">
        <w:t xml:space="preserve"> De conformidad con el artículo 198 de la Ley de Transparencia y Acceso a la Información Pública del Estado de México y Municipios, el </w:t>
      </w:r>
      <w:r w:rsidR="008B1E16" w:rsidRPr="00FF009E">
        <w:rPr>
          <w:b/>
          <w:bCs/>
        </w:rPr>
        <w:t>SUJETO OBLIGADO</w:t>
      </w:r>
      <w:r w:rsidR="008B1E16" w:rsidRPr="00FF009E">
        <w:t xml:space="preserve"> </w:t>
      </w:r>
      <w:r w:rsidRPr="00FF009E">
        <w:t>podrá solicitar</w:t>
      </w:r>
      <w:r w:rsidR="008B1E16" w:rsidRPr="00FF009E">
        <w:t xml:space="preserve"> </w:t>
      </w:r>
      <w:r w:rsidRPr="00FF009E">
        <w:t xml:space="preserve">una ampliación de plazo </w:t>
      </w:r>
      <w:r w:rsidR="008B1E16" w:rsidRPr="00FF009E">
        <w:t xml:space="preserve">de manera fundada y motivada, </w:t>
      </w:r>
      <w:r w:rsidRPr="00FF009E">
        <w:t>para el cumplimiento de la presente resolución.</w:t>
      </w:r>
    </w:p>
    <w:p w14:paraId="2BC8564F" w14:textId="77777777" w:rsidR="00FC3CE0" w:rsidRPr="00FF009E" w:rsidRDefault="00FC3CE0" w:rsidP="00FF009E">
      <w:pPr>
        <w:ind w:right="113"/>
        <w:rPr>
          <w:rFonts w:cs="Arial"/>
          <w:b/>
          <w:szCs w:val="22"/>
        </w:rPr>
      </w:pPr>
    </w:p>
    <w:p w14:paraId="719A5C63" w14:textId="29F7139D" w:rsidR="00664420" w:rsidRPr="00FF009E" w:rsidRDefault="00664420" w:rsidP="00FF009E">
      <w:pPr>
        <w:rPr>
          <w:rFonts w:eastAsia="Palatino Linotype" w:cs="Palatino Linotype"/>
          <w:szCs w:val="22"/>
        </w:rPr>
      </w:pPr>
      <w:r w:rsidRPr="00FF009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E03E4">
        <w:rPr>
          <w:rFonts w:eastAsia="Palatino Linotype" w:cs="Palatino Linotype"/>
          <w:szCs w:val="22"/>
        </w:rPr>
        <w:t xml:space="preserve">EMITIENDO VOTO PARTICULAR </w:t>
      </w:r>
      <w:r w:rsidRPr="00FF009E">
        <w:rPr>
          <w:rFonts w:eastAsia="Palatino Linotype" w:cs="Palatino Linotype"/>
          <w:szCs w:val="22"/>
        </w:rPr>
        <w:t xml:space="preserve">Y GUADALUPE RAMÍREZ PEÑA, EN LA </w:t>
      </w:r>
      <w:r w:rsidR="002A7339" w:rsidRPr="00FF009E">
        <w:rPr>
          <w:rFonts w:eastAsia="Palatino Linotype" w:cs="Palatino Linotype"/>
          <w:szCs w:val="22"/>
        </w:rPr>
        <w:t>TRIGÉSIMA</w:t>
      </w:r>
      <w:r w:rsidR="001E196B" w:rsidRPr="00FF009E">
        <w:rPr>
          <w:rFonts w:eastAsia="Palatino Linotype" w:cs="Palatino Linotype"/>
          <w:szCs w:val="22"/>
        </w:rPr>
        <w:t xml:space="preserve"> </w:t>
      </w:r>
      <w:r w:rsidR="00971C6C" w:rsidRPr="00FF009E">
        <w:rPr>
          <w:rFonts w:eastAsia="Palatino Linotype" w:cs="Palatino Linotype"/>
          <w:szCs w:val="22"/>
        </w:rPr>
        <w:t>OCTAVA</w:t>
      </w:r>
      <w:r w:rsidR="000D5439" w:rsidRPr="00FF009E">
        <w:rPr>
          <w:rFonts w:eastAsia="Palatino Linotype" w:cs="Palatino Linotype"/>
          <w:szCs w:val="22"/>
        </w:rPr>
        <w:t xml:space="preserve"> </w:t>
      </w:r>
      <w:r w:rsidRPr="00FF009E">
        <w:rPr>
          <w:rFonts w:eastAsia="Palatino Linotype" w:cs="Palatino Linotype"/>
          <w:szCs w:val="22"/>
        </w:rPr>
        <w:t xml:space="preserve">SESIÓN ORDINARIA, CELEBRADA EL </w:t>
      </w:r>
      <w:r w:rsidR="00971C6C" w:rsidRPr="00FF009E">
        <w:rPr>
          <w:rFonts w:eastAsia="Palatino Linotype" w:cs="Palatino Linotype"/>
          <w:szCs w:val="22"/>
        </w:rPr>
        <w:t>SEIS DE NOVIEMBRE</w:t>
      </w:r>
      <w:r w:rsidR="001E196B" w:rsidRPr="00FF009E">
        <w:rPr>
          <w:rFonts w:eastAsia="Palatino Linotype" w:cs="Palatino Linotype"/>
          <w:szCs w:val="22"/>
        </w:rPr>
        <w:t xml:space="preserve"> DE DOS MIL VEINTICUATRO</w:t>
      </w:r>
      <w:r w:rsidRPr="00FF009E">
        <w:rPr>
          <w:rFonts w:eastAsia="Palatino Linotype" w:cs="Palatino Linotype"/>
          <w:szCs w:val="22"/>
        </w:rPr>
        <w:t>, ANTE EL SECRETARIO TÉCNICO DEL PLENO, ALEXIS TAPIA RAMÍREZ.</w:t>
      </w:r>
    </w:p>
    <w:p w14:paraId="49D72DA3" w14:textId="30BDE11B" w:rsidR="00664420" w:rsidRPr="00FF009E" w:rsidRDefault="001E196B" w:rsidP="00FF009E">
      <w:pPr>
        <w:ind w:right="-93"/>
        <w:rPr>
          <w:rFonts w:eastAsia="Calibri" w:cs="Tahoma"/>
          <w:bCs/>
          <w:szCs w:val="22"/>
          <w:lang w:eastAsia="en-US"/>
        </w:rPr>
      </w:pPr>
      <w:r w:rsidRPr="00FF009E">
        <w:rPr>
          <w:rFonts w:eastAsia="Palatino Linotype" w:cs="Palatino Linotype"/>
          <w:sz w:val="20"/>
        </w:rPr>
        <w:t>SCMM/AGZ/DEMF/CDFE</w:t>
      </w:r>
      <w:r w:rsidRPr="00FF009E">
        <w:br w:type="page"/>
      </w:r>
    </w:p>
    <w:p w14:paraId="5EFEA0CD" w14:textId="77777777" w:rsidR="00664420" w:rsidRPr="00FF009E" w:rsidRDefault="00664420" w:rsidP="00FF009E">
      <w:pPr>
        <w:ind w:right="-93"/>
        <w:rPr>
          <w:rFonts w:eastAsia="Calibri" w:cs="Tahoma"/>
          <w:szCs w:val="22"/>
          <w:lang w:val="es-ES"/>
        </w:rPr>
      </w:pPr>
    </w:p>
    <w:p w14:paraId="696BC976" w14:textId="77777777" w:rsidR="00664420" w:rsidRPr="00FF009E" w:rsidRDefault="00664420" w:rsidP="00FF009E">
      <w:pPr>
        <w:ind w:right="-93"/>
        <w:rPr>
          <w:rFonts w:eastAsia="Calibri" w:cs="Tahoma"/>
          <w:bCs/>
          <w:szCs w:val="22"/>
          <w:lang w:val="es-ES" w:eastAsia="en-US"/>
        </w:rPr>
      </w:pPr>
    </w:p>
    <w:p w14:paraId="671CB0C5" w14:textId="77777777" w:rsidR="00664420" w:rsidRPr="00FF009E" w:rsidRDefault="00664420" w:rsidP="00FF009E">
      <w:pPr>
        <w:ind w:right="-93"/>
        <w:rPr>
          <w:rFonts w:eastAsia="Calibri" w:cs="Tahoma"/>
          <w:bCs/>
          <w:szCs w:val="22"/>
          <w:lang w:val="es-ES_tradnl" w:eastAsia="en-US"/>
        </w:rPr>
      </w:pPr>
    </w:p>
    <w:p w14:paraId="52B66DE7" w14:textId="77777777" w:rsidR="00664420" w:rsidRPr="00FF009E" w:rsidRDefault="00664420" w:rsidP="00FF009E">
      <w:pPr>
        <w:ind w:right="-93"/>
        <w:rPr>
          <w:rFonts w:eastAsia="Calibri" w:cs="Tahoma"/>
          <w:bCs/>
          <w:szCs w:val="22"/>
          <w:lang w:val="es-ES_tradnl" w:eastAsia="en-US"/>
        </w:rPr>
      </w:pPr>
    </w:p>
    <w:p w14:paraId="3BA305D1" w14:textId="77777777" w:rsidR="00664420" w:rsidRPr="00FF009E" w:rsidRDefault="00664420" w:rsidP="00FF009E">
      <w:pPr>
        <w:ind w:right="-93"/>
        <w:rPr>
          <w:rFonts w:eastAsia="Calibri" w:cs="Tahoma"/>
          <w:bCs/>
          <w:szCs w:val="22"/>
          <w:lang w:val="es-ES_tradnl" w:eastAsia="en-US"/>
        </w:rPr>
      </w:pPr>
    </w:p>
    <w:p w14:paraId="78230707" w14:textId="77777777" w:rsidR="00664420" w:rsidRPr="00FF009E" w:rsidRDefault="00664420" w:rsidP="00FF009E">
      <w:pPr>
        <w:ind w:right="-93"/>
        <w:rPr>
          <w:rFonts w:eastAsia="Calibri" w:cs="Tahoma"/>
          <w:bCs/>
          <w:szCs w:val="22"/>
          <w:lang w:val="es-ES_tradnl" w:eastAsia="en-US"/>
        </w:rPr>
      </w:pPr>
    </w:p>
    <w:p w14:paraId="72D18B28" w14:textId="77777777" w:rsidR="00664420" w:rsidRPr="00FF009E" w:rsidRDefault="00664420" w:rsidP="00FF009E">
      <w:pPr>
        <w:ind w:right="-93"/>
        <w:rPr>
          <w:rFonts w:eastAsia="Calibri" w:cs="Tahoma"/>
          <w:bCs/>
          <w:szCs w:val="22"/>
          <w:lang w:val="es-ES_tradnl" w:eastAsia="en-US"/>
        </w:rPr>
      </w:pPr>
    </w:p>
    <w:p w14:paraId="6BD461DC" w14:textId="77777777" w:rsidR="00664420" w:rsidRPr="00FF009E" w:rsidRDefault="00664420" w:rsidP="00FF009E">
      <w:pPr>
        <w:tabs>
          <w:tab w:val="center" w:pos="4568"/>
        </w:tabs>
        <w:ind w:right="-93"/>
        <w:rPr>
          <w:rFonts w:eastAsia="Calibri" w:cs="Tahoma"/>
          <w:bCs/>
          <w:szCs w:val="22"/>
          <w:lang w:eastAsia="en-US"/>
        </w:rPr>
      </w:pPr>
    </w:p>
    <w:p w14:paraId="4DBB1727" w14:textId="77777777" w:rsidR="00664420" w:rsidRPr="00FF009E" w:rsidRDefault="00664420" w:rsidP="00FF009E">
      <w:pPr>
        <w:tabs>
          <w:tab w:val="center" w:pos="4568"/>
        </w:tabs>
        <w:ind w:right="-93"/>
        <w:rPr>
          <w:rFonts w:eastAsia="Calibri" w:cs="Tahoma"/>
          <w:bCs/>
          <w:szCs w:val="22"/>
          <w:lang w:eastAsia="en-US"/>
        </w:rPr>
      </w:pPr>
    </w:p>
    <w:p w14:paraId="1D74121B" w14:textId="77777777" w:rsidR="00664420" w:rsidRPr="00FF009E" w:rsidRDefault="00664420" w:rsidP="00FF009E">
      <w:pPr>
        <w:tabs>
          <w:tab w:val="center" w:pos="4568"/>
        </w:tabs>
        <w:ind w:right="-93"/>
        <w:rPr>
          <w:rFonts w:eastAsia="Calibri" w:cs="Tahoma"/>
          <w:bCs/>
          <w:szCs w:val="22"/>
          <w:lang w:eastAsia="en-US"/>
        </w:rPr>
      </w:pPr>
    </w:p>
    <w:p w14:paraId="08E74E9C" w14:textId="77777777" w:rsidR="00664420" w:rsidRPr="00FF009E" w:rsidRDefault="00664420" w:rsidP="00FF009E">
      <w:pPr>
        <w:tabs>
          <w:tab w:val="center" w:pos="4568"/>
        </w:tabs>
        <w:ind w:right="-93"/>
        <w:rPr>
          <w:rFonts w:eastAsia="Calibri" w:cs="Tahoma"/>
          <w:bCs/>
          <w:szCs w:val="22"/>
          <w:lang w:eastAsia="en-US"/>
        </w:rPr>
      </w:pPr>
    </w:p>
    <w:p w14:paraId="2CBF5E03" w14:textId="77777777" w:rsidR="00664420" w:rsidRPr="00FF009E" w:rsidRDefault="00664420" w:rsidP="00FF009E">
      <w:pPr>
        <w:tabs>
          <w:tab w:val="center" w:pos="4568"/>
        </w:tabs>
        <w:ind w:right="-93"/>
        <w:rPr>
          <w:rFonts w:eastAsia="Calibri" w:cs="Tahoma"/>
          <w:bCs/>
          <w:szCs w:val="22"/>
          <w:lang w:eastAsia="en-US"/>
        </w:rPr>
      </w:pPr>
    </w:p>
    <w:p w14:paraId="44865A6D" w14:textId="77777777" w:rsidR="00664420" w:rsidRPr="00FF009E" w:rsidRDefault="00664420" w:rsidP="00FF009E">
      <w:pPr>
        <w:tabs>
          <w:tab w:val="center" w:pos="4568"/>
        </w:tabs>
        <w:ind w:right="-93"/>
        <w:rPr>
          <w:rFonts w:eastAsia="Calibri" w:cs="Tahoma"/>
          <w:bCs/>
          <w:szCs w:val="22"/>
          <w:lang w:eastAsia="en-US"/>
        </w:rPr>
      </w:pPr>
    </w:p>
    <w:p w14:paraId="7147F06B" w14:textId="77777777" w:rsidR="00664420" w:rsidRPr="00FF009E" w:rsidRDefault="00664420" w:rsidP="00FF009E">
      <w:pPr>
        <w:tabs>
          <w:tab w:val="center" w:pos="4568"/>
        </w:tabs>
        <w:ind w:right="-93"/>
        <w:rPr>
          <w:rFonts w:eastAsia="Calibri" w:cs="Tahoma"/>
          <w:bCs/>
          <w:szCs w:val="22"/>
          <w:lang w:eastAsia="en-US"/>
        </w:rPr>
      </w:pPr>
    </w:p>
    <w:p w14:paraId="6FDF3D7E" w14:textId="77777777" w:rsidR="00664420" w:rsidRPr="00FF009E" w:rsidRDefault="00664420" w:rsidP="00FF009E">
      <w:pPr>
        <w:tabs>
          <w:tab w:val="center" w:pos="4568"/>
        </w:tabs>
        <w:ind w:right="-93"/>
        <w:rPr>
          <w:rFonts w:eastAsia="Calibri" w:cs="Tahoma"/>
          <w:bCs/>
          <w:szCs w:val="22"/>
          <w:lang w:eastAsia="en-US"/>
        </w:rPr>
      </w:pPr>
    </w:p>
    <w:p w14:paraId="6246F818" w14:textId="77777777" w:rsidR="00664420" w:rsidRPr="00FF009E" w:rsidRDefault="00664420" w:rsidP="00FF009E">
      <w:pPr>
        <w:tabs>
          <w:tab w:val="center" w:pos="4568"/>
        </w:tabs>
        <w:ind w:right="-93"/>
        <w:rPr>
          <w:rFonts w:eastAsia="Calibri" w:cs="Tahoma"/>
          <w:bCs/>
          <w:szCs w:val="22"/>
          <w:lang w:eastAsia="en-US"/>
        </w:rPr>
      </w:pPr>
    </w:p>
    <w:p w14:paraId="57A88B28" w14:textId="77777777" w:rsidR="00664420" w:rsidRPr="00FF009E" w:rsidRDefault="00664420" w:rsidP="00FF009E">
      <w:pPr>
        <w:tabs>
          <w:tab w:val="center" w:pos="4568"/>
        </w:tabs>
        <w:ind w:right="-93"/>
        <w:rPr>
          <w:rFonts w:eastAsia="Calibri" w:cs="Tahoma"/>
          <w:bCs/>
          <w:szCs w:val="22"/>
          <w:lang w:eastAsia="en-US"/>
        </w:rPr>
      </w:pPr>
    </w:p>
    <w:p w14:paraId="77EF6095" w14:textId="77777777" w:rsidR="00664420" w:rsidRPr="00FF009E" w:rsidRDefault="00664420" w:rsidP="00FF009E">
      <w:pPr>
        <w:tabs>
          <w:tab w:val="center" w:pos="4568"/>
        </w:tabs>
        <w:ind w:right="-93"/>
        <w:rPr>
          <w:rFonts w:eastAsia="Calibri" w:cs="Tahoma"/>
          <w:bCs/>
          <w:szCs w:val="22"/>
          <w:lang w:eastAsia="en-US"/>
        </w:rPr>
      </w:pPr>
    </w:p>
    <w:p w14:paraId="35593947" w14:textId="77777777" w:rsidR="00664420" w:rsidRPr="00FF009E" w:rsidRDefault="00664420" w:rsidP="00FF009E">
      <w:pPr>
        <w:tabs>
          <w:tab w:val="center" w:pos="4568"/>
        </w:tabs>
        <w:ind w:right="-93"/>
        <w:rPr>
          <w:rFonts w:eastAsia="Calibri" w:cs="Tahoma"/>
          <w:bCs/>
          <w:szCs w:val="22"/>
          <w:lang w:eastAsia="en-US"/>
        </w:rPr>
      </w:pPr>
    </w:p>
    <w:p w14:paraId="3AF72A17" w14:textId="77777777" w:rsidR="00664420" w:rsidRPr="00FF009E" w:rsidRDefault="00664420" w:rsidP="00FF009E">
      <w:pPr>
        <w:tabs>
          <w:tab w:val="center" w:pos="4568"/>
        </w:tabs>
        <w:ind w:right="-93"/>
        <w:rPr>
          <w:rFonts w:eastAsia="Calibri" w:cs="Tahoma"/>
          <w:bCs/>
          <w:szCs w:val="22"/>
          <w:lang w:eastAsia="en-US"/>
        </w:rPr>
      </w:pPr>
    </w:p>
    <w:p w14:paraId="37169144" w14:textId="77777777" w:rsidR="00664420" w:rsidRPr="00FF009E" w:rsidRDefault="00664420" w:rsidP="00FF009E">
      <w:pPr>
        <w:tabs>
          <w:tab w:val="center" w:pos="4568"/>
        </w:tabs>
        <w:ind w:right="-93"/>
        <w:rPr>
          <w:rFonts w:eastAsia="Calibri" w:cs="Tahoma"/>
          <w:bCs/>
          <w:szCs w:val="22"/>
          <w:lang w:eastAsia="en-US"/>
        </w:rPr>
      </w:pPr>
    </w:p>
    <w:p w14:paraId="77CFC088" w14:textId="77777777" w:rsidR="00664420" w:rsidRPr="00FF009E" w:rsidRDefault="00664420" w:rsidP="00FF009E">
      <w:pPr>
        <w:tabs>
          <w:tab w:val="center" w:pos="4568"/>
        </w:tabs>
        <w:ind w:right="-93"/>
        <w:rPr>
          <w:rFonts w:eastAsia="Calibri" w:cs="Tahoma"/>
          <w:bCs/>
          <w:szCs w:val="22"/>
          <w:lang w:eastAsia="en-US"/>
        </w:rPr>
      </w:pPr>
    </w:p>
    <w:p w14:paraId="781A11A5" w14:textId="77777777" w:rsidR="00664420" w:rsidRPr="00FF009E" w:rsidRDefault="00664420" w:rsidP="00FF009E">
      <w:pPr>
        <w:tabs>
          <w:tab w:val="center" w:pos="4568"/>
        </w:tabs>
        <w:ind w:right="-93"/>
        <w:rPr>
          <w:rFonts w:eastAsia="Calibri" w:cs="Tahoma"/>
          <w:bCs/>
          <w:szCs w:val="22"/>
          <w:lang w:eastAsia="en-US"/>
        </w:rPr>
      </w:pPr>
    </w:p>
    <w:p w14:paraId="5B4ADFF3" w14:textId="77777777" w:rsidR="00A131AC" w:rsidRPr="00FF009E" w:rsidRDefault="00A131AC" w:rsidP="00FF009E"/>
    <w:sectPr w:rsidR="00A131AC" w:rsidRPr="00FF009E"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484DE" w14:textId="77777777" w:rsidR="00A06AD8" w:rsidRDefault="00A06AD8" w:rsidP="00664420">
      <w:pPr>
        <w:spacing w:line="240" w:lineRule="auto"/>
      </w:pPr>
      <w:r>
        <w:separator/>
      </w:r>
    </w:p>
  </w:endnote>
  <w:endnote w:type="continuationSeparator" w:id="0">
    <w:p w14:paraId="6EE11006" w14:textId="77777777" w:rsidR="00A06AD8" w:rsidRDefault="00A06AD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C304B" w:rsidRDefault="00CC304B">
    <w:pPr>
      <w:tabs>
        <w:tab w:val="center" w:pos="4550"/>
        <w:tab w:val="left" w:pos="5818"/>
      </w:tabs>
      <w:ind w:right="260"/>
      <w:jc w:val="right"/>
      <w:rPr>
        <w:color w:val="071320" w:themeColor="text2" w:themeShade="80"/>
        <w:sz w:val="24"/>
        <w:szCs w:val="24"/>
      </w:rPr>
    </w:pPr>
  </w:p>
  <w:p w14:paraId="1BCA7F23" w14:textId="77777777" w:rsidR="00CC304B" w:rsidRDefault="00CC30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C304B" w:rsidRDefault="00CC304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71C8B" w:rsidRPr="00D71C8B">
      <w:rPr>
        <w:noProof/>
        <w:color w:val="0A1D30" w:themeColor="text2" w:themeShade="BF"/>
        <w:sz w:val="24"/>
        <w:szCs w:val="24"/>
        <w:lang w:val="es-ES"/>
      </w:rPr>
      <w:t>39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71C8B" w:rsidRPr="00D71C8B">
      <w:rPr>
        <w:noProof/>
        <w:color w:val="0A1D30" w:themeColor="text2" w:themeShade="BF"/>
        <w:sz w:val="24"/>
        <w:szCs w:val="24"/>
        <w:lang w:val="es-ES"/>
      </w:rPr>
      <w:t>41</w:t>
    </w:r>
    <w:r>
      <w:rPr>
        <w:color w:val="0A1D30" w:themeColor="text2" w:themeShade="BF"/>
        <w:sz w:val="24"/>
        <w:szCs w:val="24"/>
      </w:rPr>
      <w:fldChar w:fldCharType="end"/>
    </w:r>
  </w:p>
  <w:p w14:paraId="310E15C0" w14:textId="77777777" w:rsidR="00CC304B" w:rsidRDefault="00CC30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3C49" w14:textId="77777777" w:rsidR="00A06AD8" w:rsidRDefault="00A06AD8" w:rsidP="00664420">
      <w:pPr>
        <w:spacing w:line="240" w:lineRule="auto"/>
      </w:pPr>
      <w:r>
        <w:separator/>
      </w:r>
    </w:p>
  </w:footnote>
  <w:footnote w:type="continuationSeparator" w:id="0">
    <w:p w14:paraId="279EF1AB" w14:textId="77777777" w:rsidR="00A06AD8" w:rsidRDefault="00A06AD8" w:rsidP="00664420">
      <w:pPr>
        <w:spacing w:line="240" w:lineRule="auto"/>
      </w:pPr>
      <w:r>
        <w:continuationSeparator/>
      </w:r>
    </w:p>
  </w:footnote>
  <w:footnote w:id="1">
    <w:p w14:paraId="1A4D6832" w14:textId="77777777" w:rsidR="00CC304B" w:rsidRDefault="00CC304B" w:rsidP="003429D5">
      <w:pPr>
        <w:pStyle w:val="Textonotapie"/>
      </w:pPr>
      <w:r>
        <w:rPr>
          <w:rStyle w:val="Refdenotaalpie"/>
        </w:rPr>
        <w:footnoteRef/>
      </w:r>
      <w:r>
        <w:t xml:space="preserve"> </w:t>
      </w:r>
      <w:hyperlink r:id="rId1" w:history="1">
        <w:r w:rsidRPr="00173FB9">
          <w:rPr>
            <w:rStyle w:val="Hipervnculo"/>
          </w:rPr>
          <w:t>https://legislacion.edomex.gob.mx/sites/legislacion.edomex.gob.mx/files/files/pdf/rgl/vig/rglvig740.pdf</w:t>
        </w:r>
      </w:hyperlink>
      <w:r>
        <w:t xml:space="preserve"> </w:t>
      </w:r>
    </w:p>
  </w:footnote>
  <w:footnote w:id="2">
    <w:p w14:paraId="3146A7D0" w14:textId="26C824D2" w:rsidR="00CC304B" w:rsidRDefault="00CC304B">
      <w:pPr>
        <w:pStyle w:val="Textonotapie"/>
      </w:pPr>
      <w:r>
        <w:rPr>
          <w:rStyle w:val="Refdenotaalpie"/>
        </w:rPr>
        <w:footnoteRef/>
      </w:r>
      <w:r>
        <w:t xml:space="preserve"> </w:t>
      </w:r>
      <w:r w:rsidRPr="00966415">
        <w:t>https://legislacion.edomex.gob.mx/sites/legislacion.edomex.gob.mx/files/files/pdf/rgl/vig/rglvig128.pdf</w:t>
      </w:r>
    </w:p>
  </w:footnote>
  <w:footnote w:id="3">
    <w:p w14:paraId="4349D75B" w14:textId="77777777" w:rsidR="00CC304B" w:rsidRDefault="00CC304B" w:rsidP="00B3735C">
      <w:pPr>
        <w:pStyle w:val="Textonotapie"/>
        <w:rPr>
          <w:rFonts w:eastAsiaTheme="minorHAnsi" w:cstheme="minorBidi"/>
          <w:sz w:val="18"/>
          <w:szCs w:val="18"/>
          <w:lang w:eastAsia="en-US"/>
        </w:rPr>
      </w:pPr>
      <w:r>
        <w:rPr>
          <w:rStyle w:val="Refdenotaalpie"/>
          <w:rFonts w:eastAsiaTheme="majorEastAsia"/>
          <w:sz w:val="18"/>
          <w:szCs w:val="18"/>
        </w:rPr>
        <w:footnoteRef/>
      </w:r>
      <w:r>
        <w:rPr>
          <w:sz w:val="18"/>
          <w:szCs w:val="18"/>
        </w:rPr>
        <w:t xml:space="preserve"> Resoluciones:</w:t>
      </w:r>
    </w:p>
    <w:p w14:paraId="02D79940" w14:textId="77777777" w:rsidR="00CC304B" w:rsidRDefault="00CC304B" w:rsidP="00B3735C">
      <w:pPr>
        <w:pStyle w:val="Textonotapie"/>
        <w:rPr>
          <w:sz w:val="18"/>
          <w:szCs w:val="18"/>
        </w:rPr>
      </w:pPr>
      <w:r>
        <w:rPr>
          <w:sz w:val="18"/>
          <w:szCs w:val="18"/>
        </w:rPr>
        <w:t>RRA 0189/17. Morena. 08 de febrero de 2017. Por unanimidad. Comisionado Ponente Joel Salas Suárez.</w:t>
      </w:r>
    </w:p>
    <w:p w14:paraId="241EE1E7" w14:textId="77777777" w:rsidR="00CC304B" w:rsidRDefault="00CC304B" w:rsidP="00B3735C">
      <w:pPr>
        <w:pStyle w:val="Textonotapie"/>
        <w:rPr>
          <w:sz w:val="18"/>
          <w:szCs w:val="18"/>
        </w:rPr>
      </w:pPr>
      <w:r>
        <w:rPr>
          <w:sz w:val="18"/>
          <w:szCs w:val="18"/>
        </w:rPr>
        <w:t xml:space="preserve">RRA 0677/17. Universidad Nacional Autónoma de México. 08 de marzo de 2017. Por unanimidad. Comisionado Ponente </w:t>
      </w:r>
      <w:proofErr w:type="spellStart"/>
      <w:r>
        <w:rPr>
          <w:sz w:val="18"/>
          <w:szCs w:val="18"/>
        </w:rPr>
        <w:t>Rosendoevgueni</w:t>
      </w:r>
      <w:proofErr w:type="spellEnd"/>
      <w:r>
        <w:rPr>
          <w:sz w:val="18"/>
          <w:szCs w:val="18"/>
        </w:rPr>
        <w:t xml:space="preserve"> Monterrey </w:t>
      </w:r>
      <w:proofErr w:type="spellStart"/>
      <w:r>
        <w:rPr>
          <w:sz w:val="18"/>
          <w:szCs w:val="18"/>
        </w:rPr>
        <w:t>Chepov</w:t>
      </w:r>
      <w:proofErr w:type="spellEnd"/>
      <w:r>
        <w:rPr>
          <w:sz w:val="18"/>
          <w:szCs w:val="18"/>
        </w:rPr>
        <w:t xml:space="preserve">. </w:t>
      </w:r>
    </w:p>
    <w:p w14:paraId="4FCD107E" w14:textId="77777777" w:rsidR="00CC304B" w:rsidRDefault="00CC304B" w:rsidP="00B3735C">
      <w:pPr>
        <w:pStyle w:val="Textonotapie"/>
        <w:rPr>
          <w:sz w:val="18"/>
          <w:szCs w:val="18"/>
        </w:rPr>
      </w:pPr>
      <w:r>
        <w:rPr>
          <w:sz w:val="18"/>
          <w:szCs w:val="18"/>
        </w:rPr>
        <w:t>RRA 1564/17. Tribunal Electoral del Poder Judicial de la Federación. 26 de abril de 2017. Por unanimidad. Comisionado Ponente Oscar Mauricio Guerra Ford.</w:t>
      </w:r>
    </w:p>
  </w:footnote>
  <w:footnote w:id="4">
    <w:p w14:paraId="08FE9DC0" w14:textId="77777777" w:rsidR="00CC304B" w:rsidRDefault="00CC304B" w:rsidP="00B3735C">
      <w:pPr>
        <w:pStyle w:val="Textonotapie"/>
        <w:rPr>
          <w:sz w:val="18"/>
          <w:szCs w:val="18"/>
        </w:rPr>
      </w:pPr>
      <w:r>
        <w:rPr>
          <w:rStyle w:val="Refdenotaalpie"/>
          <w:rFonts w:eastAsiaTheme="majorEastAsia"/>
          <w:sz w:val="18"/>
          <w:szCs w:val="18"/>
        </w:rPr>
        <w:footnoteRef/>
      </w:r>
      <w:r>
        <w:rPr>
          <w:sz w:val="18"/>
          <w:szCs w:val="18"/>
        </w:rPr>
        <w:t xml:space="preserve"> Precedentes:</w:t>
      </w:r>
    </w:p>
    <w:p w14:paraId="2AF67869" w14:textId="77777777" w:rsidR="00CC304B" w:rsidRDefault="00CC304B" w:rsidP="00B3735C">
      <w:pPr>
        <w:pStyle w:val="Textonotapie"/>
        <w:rPr>
          <w:sz w:val="18"/>
          <w:szCs w:val="18"/>
        </w:rPr>
      </w:pPr>
      <w:r>
        <w:rPr>
          <w:sz w:val="18"/>
          <w:szCs w:val="18"/>
        </w:rPr>
        <w:t>•</w:t>
      </w:r>
      <w:r>
        <w:rPr>
          <w:sz w:val="18"/>
          <w:szCs w:val="18"/>
        </w:rPr>
        <w:tab/>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Pr>
          <w:sz w:val="18"/>
          <w:szCs w:val="18"/>
        </w:rPr>
        <w:t>Kurczyn</w:t>
      </w:r>
      <w:proofErr w:type="spellEnd"/>
      <w:r>
        <w:rPr>
          <w:sz w:val="18"/>
          <w:szCs w:val="18"/>
        </w:rPr>
        <w:t xml:space="preserve"> Villalobos.</w:t>
      </w:r>
    </w:p>
    <w:p w14:paraId="4C762DAF" w14:textId="77777777" w:rsidR="00CC304B" w:rsidRDefault="00CC304B" w:rsidP="00B3735C">
      <w:pPr>
        <w:pStyle w:val="Textonotapie"/>
        <w:rPr>
          <w:sz w:val="18"/>
          <w:szCs w:val="18"/>
        </w:rPr>
      </w:pPr>
      <w:r>
        <w:rPr>
          <w:sz w:val="18"/>
          <w:szCs w:val="18"/>
        </w:rPr>
        <w:t>•</w:t>
      </w:r>
      <w:r>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6CC36EBC" w14:textId="77777777" w:rsidR="00CC304B" w:rsidRDefault="00CC304B" w:rsidP="00B3735C">
      <w:pPr>
        <w:pStyle w:val="Textonotapie"/>
        <w:rPr>
          <w:rFonts w:asciiTheme="minorHAnsi" w:hAnsiTheme="minorHAnsi"/>
        </w:rPr>
      </w:pPr>
      <w:r>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5">
    <w:p w14:paraId="207C0C2C" w14:textId="77777777" w:rsidR="00CC304B" w:rsidRDefault="00CC304B" w:rsidP="00B3735C">
      <w:pPr>
        <w:pStyle w:val="Textonotapie"/>
        <w:rPr>
          <w:sz w:val="18"/>
          <w:szCs w:val="18"/>
        </w:rPr>
      </w:pPr>
      <w:r>
        <w:rPr>
          <w:rStyle w:val="Refdenotaalpie"/>
          <w:rFonts w:eastAsiaTheme="majorEastAsia"/>
          <w:sz w:val="18"/>
          <w:szCs w:val="18"/>
        </w:rPr>
        <w:footnoteRef/>
      </w:r>
      <w:r>
        <w:rPr>
          <w:sz w:val="18"/>
          <w:szCs w:val="18"/>
        </w:rPr>
        <w:t xml:space="preserve"> Resoluciones:</w:t>
      </w:r>
    </w:p>
    <w:p w14:paraId="51EBC0C9" w14:textId="77777777" w:rsidR="00CC304B" w:rsidRDefault="00CC304B" w:rsidP="00B3735C">
      <w:pPr>
        <w:pStyle w:val="Textonotapie"/>
        <w:rPr>
          <w:sz w:val="18"/>
          <w:szCs w:val="18"/>
        </w:rPr>
      </w:pPr>
      <w:r>
        <w:rPr>
          <w:sz w:val="18"/>
          <w:szCs w:val="18"/>
        </w:rPr>
        <w:t xml:space="preserve">RRA 3995/16. Secretaría de la Defensa Nacional. 1 de febrero de 2017. Por unanimidad. Comisionado Ponente </w:t>
      </w:r>
      <w:proofErr w:type="spellStart"/>
      <w:r>
        <w:rPr>
          <w:sz w:val="18"/>
          <w:szCs w:val="18"/>
        </w:rPr>
        <w:t>Rosendoevgueni</w:t>
      </w:r>
      <w:proofErr w:type="spellEnd"/>
      <w:r>
        <w:rPr>
          <w:sz w:val="18"/>
          <w:szCs w:val="18"/>
        </w:rPr>
        <w:t xml:space="preserve"> Monterrey </w:t>
      </w:r>
      <w:proofErr w:type="spellStart"/>
      <w:r>
        <w:rPr>
          <w:sz w:val="18"/>
          <w:szCs w:val="18"/>
        </w:rPr>
        <w:t>Chepov</w:t>
      </w:r>
      <w:proofErr w:type="spellEnd"/>
      <w:r>
        <w:rPr>
          <w:sz w:val="18"/>
          <w:szCs w:val="18"/>
        </w:rPr>
        <w:t>.</w:t>
      </w:r>
    </w:p>
    <w:p w14:paraId="5C4FBFD3" w14:textId="77777777" w:rsidR="00CC304B" w:rsidRDefault="00CC304B" w:rsidP="00B3735C">
      <w:pPr>
        <w:pStyle w:val="Textonotapie"/>
        <w:rPr>
          <w:sz w:val="18"/>
          <w:szCs w:val="18"/>
        </w:rPr>
      </w:pPr>
      <w:r>
        <w:rPr>
          <w:sz w:val="18"/>
          <w:szCs w:val="18"/>
        </w:rPr>
        <w:t xml:space="preserve">RRA 0937/17. Senado de la República. 15 de marzo de 2017. Por unanimidad. Comisionada Ponente Ximena Puente de la Mora. </w:t>
      </w:r>
    </w:p>
    <w:p w14:paraId="7A7EF590" w14:textId="77777777" w:rsidR="00CC304B" w:rsidRDefault="00CC304B" w:rsidP="00B3735C">
      <w:pPr>
        <w:pStyle w:val="Textonotapie"/>
        <w:rPr>
          <w:sz w:val="18"/>
          <w:szCs w:val="18"/>
        </w:rPr>
      </w:pPr>
      <w:r>
        <w:rPr>
          <w:sz w:val="18"/>
          <w:szCs w:val="18"/>
        </w:rPr>
        <w:t>RRA 0478/17. Secretaría de Relaciones Exteriores. 26 de abril de 2017. Por unanimidad. Comisionada Ponente Areli Cano Guadiana.”</w:t>
      </w:r>
    </w:p>
  </w:footnote>
  <w:footnote w:id="6">
    <w:p w14:paraId="739F9570" w14:textId="77777777" w:rsidR="00CC304B" w:rsidRDefault="00CC304B" w:rsidP="00B3735C">
      <w:pPr>
        <w:pStyle w:val="Textonotapie"/>
        <w:rPr>
          <w:rFonts w:eastAsia="Calibri"/>
          <w:sz w:val="16"/>
          <w:szCs w:val="16"/>
        </w:rPr>
      </w:pPr>
      <w:r>
        <w:rPr>
          <w:rStyle w:val="Refdenotaalpie"/>
          <w:rFonts w:eastAsiaTheme="majorEastAsia"/>
          <w:sz w:val="16"/>
          <w:szCs w:val="16"/>
        </w:rPr>
        <w:footnoteRef/>
      </w:r>
      <w:r>
        <w:rPr>
          <w:sz w:val="16"/>
          <w:szCs w:val="16"/>
        </w:rPr>
        <w:t xml:space="preserve"> Lineamientos expedidos el 15 de abril de 2016, por el Consejo Nacional del Sistema Nacional de Transparencia, Acceso a la Información Pública y Protección de Datos Personales, consultable en </w:t>
      </w:r>
      <w:hyperlink r:id="rId2" w:anchor="gsc.tab=0" w:history="1">
        <w:r>
          <w:rPr>
            <w:rStyle w:val="Hipervnculo"/>
            <w:rFonts w:eastAsiaTheme="majorEastAsia"/>
            <w:sz w:val="16"/>
            <w:szCs w:val="16"/>
          </w:rPr>
          <w:t>https://www.dof.gob.mx/nota_detalle.php?codigo=5433280&amp;fecha=15/04/2016#gsc.tab=0</w:t>
        </w:r>
      </w:hyperlink>
      <w:r>
        <w:rPr>
          <w:sz w:val="16"/>
          <w:szCs w:val="16"/>
        </w:rPr>
        <w:t xml:space="preserve">; modificados en cuanto a los artículos Sexagésimo segundo, Sexagésimo tercero y Quinto Transitorio el 29 de julio de 2016, visible </w:t>
      </w:r>
      <w:hyperlink r:id="rId3" w:anchor="gsc.tab=0" w:history="1">
        <w:r>
          <w:rPr>
            <w:rStyle w:val="Hipervnculo"/>
            <w:rFonts w:eastAsiaTheme="majorEastAsia"/>
            <w:sz w:val="16"/>
            <w:szCs w:val="16"/>
          </w:rPr>
          <w:t>https://www.dof.gob.mx/nota_detalle.php?codigo=5446230&amp;fecha=29/07/2016#gsc.tab=0</w:t>
        </w:r>
      </w:hyperlink>
      <w:r>
        <w:rPr>
          <w:sz w:val="16"/>
          <w:szCs w:val="16"/>
        </w:rPr>
        <w:t xml:space="preserve"> y, posteriormente el 18 de noviembre de 2022, se modificaron diversos numerales, entrando en vigor a partir del 17 de enero de 2023, consultable en </w:t>
      </w:r>
      <w:hyperlink r:id="rId4" w:anchor="gsc.tab=0" w:history="1">
        <w:r>
          <w:rPr>
            <w:rStyle w:val="Hipervnculo"/>
            <w:rFonts w:eastAsiaTheme="majorEastAsia"/>
            <w:sz w:val="16"/>
            <w:szCs w:val="16"/>
          </w:rPr>
          <w:t>https://www.dof.gob.mx/nota_detalle.php?codigo=5671860&amp;fecha=18/11/2022#gsc.tab=0</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C304B" w:rsidRPr="00330DA7" w14:paraId="070A4B18" w14:textId="77777777" w:rsidTr="003F35FD">
      <w:trPr>
        <w:trHeight w:val="144"/>
        <w:jc w:val="right"/>
      </w:trPr>
      <w:tc>
        <w:tcPr>
          <w:tcW w:w="2727" w:type="dxa"/>
        </w:tcPr>
        <w:p w14:paraId="62B7493A" w14:textId="77777777" w:rsidR="00CC304B" w:rsidRPr="00330DA7" w:rsidRDefault="00CC304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C84F206" w:rsidR="00CC304B" w:rsidRPr="00A90C72" w:rsidRDefault="00CC304B" w:rsidP="003F35FD">
          <w:pPr>
            <w:tabs>
              <w:tab w:val="right" w:pos="8838"/>
            </w:tabs>
            <w:ind w:left="-74" w:right="-105"/>
            <w:rPr>
              <w:rFonts w:eastAsia="Calibri" w:cs="Tahoma"/>
              <w:szCs w:val="22"/>
              <w:lang w:eastAsia="en-US"/>
            </w:rPr>
          </w:pPr>
          <w:r w:rsidRPr="00FE73A4">
            <w:rPr>
              <w:rFonts w:eastAsia="Calibri" w:cs="Tahoma"/>
              <w:szCs w:val="22"/>
              <w:lang w:eastAsia="en-US"/>
            </w:rPr>
            <w:t>05972/INFOEM/IP/RR/2024</w:t>
          </w:r>
        </w:p>
      </w:tc>
    </w:tr>
    <w:tr w:rsidR="00CC304B" w:rsidRPr="00330DA7" w14:paraId="4521E058" w14:textId="77777777" w:rsidTr="003F35FD">
      <w:trPr>
        <w:trHeight w:val="283"/>
        <w:jc w:val="right"/>
      </w:trPr>
      <w:tc>
        <w:tcPr>
          <w:tcW w:w="2727" w:type="dxa"/>
        </w:tcPr>
        <w:p w14:paraId="0B68C086" w14:textId="77777777" w:rsidR="00CC304B" w:rsidRPr="00330DA7" w:rsidRDefault="00CC304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A8F9364" w:rsidR="00CC304B" w:rsidRPr="00952DD0" w:rsidRDefault="00CC304B" w:rsidP="003F35FD">
          <w:pPr>
            <w:tabs>
              <w:tab w:val="left" w:pos="2834"/>
              <w:tab w:val="right" w:pos="8838"/>
            </w:tabs>
            <w:ind w:left="-108" w:right="-105"/>
            <w:rPr>
              <w:rFonts w:eastAsia="Calibri" w:cs="Tahoma"/>
              <w:szCs w:val="22"/>
              <w:lang w:eastAsia="en-US"/>
            </w:rPr>
          </w:pPr>
          <w:r w:rsidRPr="00FE73A4">
            <w:rPr>
              <w:rFonts w:eastAsia="Calibri" w:cs="Tahoma"/>
              <w:szCs w:val="22"/>
              <w:lang w:eastAsia="en-US"/>
            </w:rPr>
            <w:t>Secretaría de la Contraloría</w:t>
          </w:r>
        </w:p>
      </w:tc>
    </w:tr>
    <w:tr w:rsidR="00CC304B" w:rsidRPr="00330DA7" w14:paraId="6331D9B6" w14:textId="77777777" w:rsidTr="003F35FD">
      <w:trPr>
        <w:trHeight w:val="283"/>
        <w:jc w:val="right"/>
      </w:trPr>
      <w:tc>
        <w:tcPr>
          <w:tcW w:w="2727" w:type="dxa"/>
        </w:tcPr>
        <w:p w14:paraId="3FA86BAE" w14:textId="4D08C655" w:rsidR="00CC304B" w:rsidRPr="00330DA7" w:rsidRDefault="00CC304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CC304B" w:rsidRPr="00EA66FC" w:rsidRDefault="00CC304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C304B" w:rsidRPr="00443C6B" w:rsidRDefault="00CC304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C304B" w:rsidRPr="00330DA7" w14:paraId="29CFF901" w14:textId="77777777" w:rsidTr="00E85A73">
      <w:trPr>
        <w:trHeight w:val="1435"/>
      </w:trPr>
      <w:tc>
        <w:tcPr>
          <w:tcW w:w="283" w:type="dxa"/>
          <w:shd w:val="clear" w:color="auto" w:fill="auto"/>
        </w:tcPr>
        <w:p w14:paraId="046B9F8F" w14:textId="77777777" w:rsidR="00CC304B" w:rsidRPr="00330DA7" w:rsidRDefault="00CC304B"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C304B" w:rsidRPr="00330DA7" w14:paraId="04F272D2" w14:textId="77777777" w:rsidTr="00E85A73">
            <w:trPr>
              <w:trHeight w:val="144"/>
            </w:trPr>
            <w:tc>
              <w:tcPr>
                <w:tcW w:w="2727" w:type="dxa"/>
              </w:tcPr>
              <w:p w14:paraId="2FD4DBF6" w14:textId="77777777" w:rsidR="00CC304B" w:rsidRPr="00330DA7" w:rsidRDefault="00CC304B" w:rsidP="00E85A73">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2F30954" w:rsidR="00CC304B" w:rsidRPr="00A90C72" w:rsidRDefault="00CC304B" w:rsidP="00E85A73">
                <w:pPr>
                  <w:tabs>
                    <w:tab w:val="right" w:pos="8838"/>
                  </w:tabs>
                  <w:ind w:left="-74" w:right="-105"/>
                  <w:rPr>
                    <w:rFonts w:eastAsia="Calibri" w:cs="Tahoma"/>
                    <w:szCs w:val="22"/>
                    <w:lang w:eastAsia="en-US"/>
                  </w:rPr>
                </w:pPr>
                <w:r w:rsidRPr="00FE73A4">
                  <w:rPr>
                    <w:rFonts w:eastAsia="Calibri" w:cs="Tahoma"/>
                    <w:szCs w:val="22"/>
                    <w:lang w:eastAsia="en-US"/>
                  </w:rPr>
                  <w:t>05972/INFOEM/IP/RR/2024</w:t>
                </w:r>
              </w:p>
            </w:tc>
            <w:tc>
              <w:tcPr>
                <w:tcW w:w="3402" w:type="dxa"/>
              </w:tcPr>
              <w:p w14:paraId="71DEA1CF" w14:textId="77777777" w:rsidR="00CC304B" w:rsidRDefault="00CC304B" w:rsidP="00E85A73">
                <w:pPr>
                  <w:tabs>
                    <w:tab w:val="right" w:pos="8838"/>
                  </w:tabs>
                  <w:ind w:left="-74" w:right="-105"/>
                  <w:rPr>
                    <w:rFonts w:eastAsia="Calibri" w:cs="Tahoma"/>
                    <w:szCs w:val="22"/>
                    <w:lang w:eastAsia="en-US"/>
                  </w:rPr>
                </w:pPr>
              </w:p>
            </w:tc>
          </w:tr>
          <w:tr w:rsidR="00CC304B" w:rsidRPr="00330DA7" w14:paraId="05C58951" w14:textId="77777777" w:rsidTr="00E85A73">
            <w:trPr>
              <w:trHeight w:val="144"/>
            </w:trPr>
            <w:tc>
              <w:tcPr>
                <w:tcW w:w="2727" w:type="dxa"/>
              </w:tcPr>
              <w:p w14:paraId="642B9610" w14:textId="77777777" w:rsidR="00CC304B" w:rsidRPr="00330DA7" w:rsidRDefault="00CC304B" w:rsidP="00E85A73">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0345980A" w:rsidR="00CC304B" w:rsidRPr="005F19B1" w:rsidRDefault="00CC304B" w:rsidP="00E85A73">
                <w:pPr>
                  <w:tabs>
                    <w:tab w:val="left" w:pos="3122"/>
                    <w:tab w:val="right" w:pos="8838"/>
                  </w:tabs>
                  <w:ind w:left="-105" w:right="-105"/>
                  <w:rPr>
                    <w:rFonts w:eastAsia="Calibri" w:cs="Tahoma"/>
                    <w:szCs w:val="22"/>
                    <w:lang w:eastAsia="en-US"/>
                  </w:rPr>
                </w:pPr>
              </w:p>
            </w:tc>
            <w:tc>
              <w:tcPr>
                <w:tcW w:w="3402" w:type="dxa"/>
              </w:tcPr>
              <w:p w14:paraId="73F47F53" w14:textId="77777777" w:rsidR="00CC304B" w:rsidRPr="005F19B1" w:rsidRDefault="00CC304B" w:rsidP="00E85A73">
                <w:pPr>
                  <w:tabs>
                    <w:tab w:val="left" w:pos="3122"/>
                    <w:tab w:val="right" w:pos="8838"/>
                  </w:tabs>
                  <w:ind w:left="-105" w:right="-105"/>
                  <w:rPr>
                    <w:rFonts w:eastAsia="Calibri" w:cs="Tahoma"/>
                    <w:szCs w:val="22"/>
                    <w:lang w:eastAsia="en-US"/>
                  </w:rPr>
                </w:pPr>
              </w:p>
            </w:tc>
          </w:tr>
          <w:bookmarkEnd w:id="2"/>
          <w:tr w:rsidR="00CC304B" w:rsidRPr="00330DA7" w14:paraId="00E6CDC1" w14:textId="77777777" w:rsidTr="00E85A73">
            <w:trPr>
              <w:trHeight w:val="283"/>
            </w:trPr>
            <w:tc>
              <w:tcPr>
                <w:tcW w:w="2727" w:type="dxa"/>
              </w:tcPr>
              <w:p w14:paraId="0631AD24" w14:textId="77777777" w:rsidR="00CC304B" w:rsidRPr="00330DA7" w:rsidRDefault="00CC304B"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E3B796" w:rsidR="00CC304B" w:rsidRPr="00952DD0" w:rsidRDefault="00CC304B" w:rsidP="00E85A73">
                <w:pPr>
                  <w:tabs>
                    <w:tab w:val="left" w:pos="2834"/>
                    <w:tab w:val="right" w:pos="8838"/>
                  </w:tabs>
                  <w:ind w:left="-108" w:right="-105"/>
                  <w:rPr>
                    <w:rFonts w:eastAsia="Calibri" w:cs="Tahoma"/>
                    <w:szCs w:val="22"/>
                    <w:lang w:eastAsia="en-US"/>
                  </w:rPr>
                </w:pPr>
                <w:r w:rsidRPr="00FE73A4">
                  <w:rPr>
                    <w:rFonts w:eastAsia="Calibri" w:cs="Tahoma"/>
                    <w:szCs w:val="22"/>
                    <w:lang w:eastAsia="en-US"/>
                  </w:rPr>
                  <w:t>Secretaría de la Contraloría</w:t>
                </w:r>
              </w:p>
            </w:tc>
            <w:tc>
              <w:tcPr>
                <w:tcW w:w="3402" w:type="dxa"/>
              </w:tcPr>
              <w:p w14:paraId="3A7DA319" w14:textId="77777777" w:rsidR="00CC304B" w:rsidRPr="00A90C72" w:rsidRDefault="00CC304B" w:rsidP="00E85A73">
                <w:pPr>
                  <w:tabs>
                    <w:tab w:val="left" w:pos="2834"/>
                    <w:tab w:val="right" w:pos="8838"/>
                  </w:tabs>
                  <w:ind w:left="-108" w:right="-105"/>
                  <w:rPr>
                    <w:rFonts w:eastAsia="Calibri" w:cs="Tahoma"/>
                    <w:szCs w:val="22"/>
                    <w:lang w:eastAsia="en-US"/>
                  </w:rPr>
                </w:pPr>
              </w:p>
            </w:tc>
          </w:tr>
          <w:tr w:rsidR="00CC304B" w:rsidRPr="00330DA7" w14:paraId="0F6CD8D2" w14:textId="77777777" w:rsidTr="00E85A73">
            <w:trPr>
              <w:trHeight w:val="283"/>
            </w:trPr>
            <w:tc>
              <w:tcPr>
                <w:tcW w:w="2727" w:type="dxa"/>
              </w:tcPr>
              <w:p w14:paraId="31700628" w14:textId="6134F782" w:rsidR="00CC304B" w:rsidRPr="00330DA7" w:rsidRDefault="00CC304B"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CC304B" w:rsidRPr="00EA66FC" w:rsidRDefault="00CC304B"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C304B" w:rsidRPr="00330DA7" w:rsidRDefault="00CC304B" w:rsidP="00E85A73">
                <w:pPr>
                  <w:tabs>
                    <w:tab w:val="right" w:pos="8838"/>
                  </w:tabs>
                  <w:ind w:left="-108" w:right="-105"/>
                  <w:rPr>
                    <w:rFonts w:eastAsia="Calibri" w:cs="Tahoma"/>
                    <w:szCs w:val="22"/>
                    <w:lang w:eastAsia="en-US"/>
                  </w:rPr>
                </w:pPr>
              </w:p>
            </w:tc>
          </w:tr>
        </w:tbl>
        <w:p w14:paraId="5DC6AC61" w14:textId="77777777" w:rsidR="00CC304B" w:rsidRPr="00330DA7" w:rsidRDefault="00CC304B" w:rsidP="00E85A73">
          <w:pPr>
            <w:tabs>
              <w:tab w:val="right" w:pos="8838"/>
            </w:tabs>
            <w:ind w:left="-28"/>
            <w:rPr>
              <w:rFonts w:ascii="Arial" w:eastAsia="Calibri" w:hAnsi="Arial" w:cs="Arial"/>
              <w:b/>
              <w:szCs w:val="22"/>
              <w:lang w:eastAsia="en-US"/>
            </w:rPr>
          </w:pPr>
        </w:p>
      </w:tc>
    </w:tr>
  </w:tbl>
  <w:p w14:paraId="2A906731" w14:textId="77777777" w:rsidR="00CC304B" w:rsidRPr="00765661" w:rsidRDefault="00A06AD8"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61607C"/>
    <w:multiLevelType w:val="hybridMultilevel"/>
    <w:tmpl w:val="A6CAFD3E"/>
    <w:lvl w:ilvl="0" w:tplc="3128180A">
      <w:start w:val="2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3114E5E"/>
    <w:multiLevelType w:val="hybridMultilevel"/>
    <w:tmpl w:val="60506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204038"/>
    <w:multiLevelType w:val="hybridMultilevel"/>
    <w:tmpl w:val="EF3A4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2426E4C"/>
    <w:multiLevelType w:val="hybridMultilevel"/>
    <w:tmpl w:val="32AE8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494FE4"/>
    <w:multiLevelType w:val="hybridMultilevel"/>
    <w:tmpl w:val="996C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B9196F"/>
    <w:multiLevelType w:val="hybridMultilevel"/>
    <w:tmpl w:val="FAC02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D85808"/>
    <w:multiLevelType w:val="hybridMultilevel"/>
    <w:tmpl w:val="07386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DB61B5"/>
    <w:multiLevelType w:val="hybridMultilevel"/>
    <w:tmpl w:val="D2CC6FB8"/>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B766B7"/>
    <w:multiLevelType w:val="hybridMultilevel"/>
    <w:tmpl w:val="8CEA8A3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3A4273"/>
    <w:multiLevelType w:val="hybridMultilevel"/>
    <w:tmpl w:val="823CBA44"/>
    <w:lvl w:ilvl="0" w:tplc="5E229936">
      <w:start w:val="1"/>
      <w:numFmt w:val="decimal"/>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DD28A0"/>
    <w:multiLevelType w:val="hybridMultilevel"/>
    <w:tmpl w:val="A6C69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0"/>
  </w:num>
  <w:num w:numId="3">
    <w:abstractNumId w:val="31"/>
  </w:num>
  <w:num w:numId="4">
    <w:abstractNumId w:val="6"/>
  </w:num>
  <w:num w:numId="5">
    <w:abstractNumId w:val="3"/>
  </w:num>
  <w:num w:numId="6">
    <w:abstractNumId w:val="32"/>
  </w:num>
  <w:num w:numId="7">
    <w:abstractNumId w:val="16"/>
  </w:num>
  <w:num w:numId="8">
    <w:abstractNumId w:val="5"/>
  </w:num>
  <w:num w:numId="9">
    <w:abstractNumId w:val="1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7"/>
  </w:num>
  <w:num w:numId="16">
    <w:abstractNumId w:val="22"/>
  </w:num>
  <w:num w:numId="17">
    <w:abstractNumId w:val="10"/>
  </w:num>
  <w:num w:numId="18">
    <w:abstractNumId w:val="28"/>
  </w:num>
  <w:num w:numId="19">
    <w:abstractNumId w:val="2"/>
  </w:num>
  <w:num w:numId="20">
    <w:abstractNumId w:val="19"/>
  </w:num>
  <w:num w:numId="21">
    <w:abstractNumId w:val="29"/>
  </w:num>
  <w:num w:numId="22">
    <w:abstractNumId w:val="12"/>
  </w:num>
  <w:num w:numId="23">
    <w:abstractNumId w:val="0"/>
  </w:num>
  <w:num w:numId="24">
    <w:abstractNumId w:val="18"/>
  </w:num>
  <w:num w:numId="25">
    <w:abstractNumId w:val="24"/>
  </w:num>
  <w:num w:numId="26">
    <w:abstractNumId w:val="11"/>
  </w:num>
  <w:num w:numId="27">
    <w:abstractNumId w:val="21"/>
  </w:num>
  <w:num w:numId="28">
    <w:abstractNumId w:val="30"/>
  </w:num>
  <w:num w:numId="29">
    <w:abstractNumId w:val="25"/>
  </w:num>
  <w:num w:numId="30">
    <w:abstractNumId w:val="27"/>
  </w:num>
  <w:num w:numId="31">
    <w:abstractNumId w:val="15"/>
  </w:num>
  <w:num w:numId="32">
    <w:abstractNumId w:val="23"/>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A9B"/>
    <w:rsid w:val="00004070"/>
    <w:rsid w:val="0000629A"/>
    <w:rsid w:val="0002666B"/>
    <w:rsid w:val="000318BC"/>
    <w:rsid w:val="00031AAA"/>
    <w:rsid w:val="000344A9"/>
    <w:rsid w:val="00043C4C"/>
    <w:rsid w:val="000507BB"/>
    <w:rsid w:val="00057B2D"/>
    <w:rsid w:val="00061AE4"/>
    <w:rsid w:val="00061E71"/>
    <w:rsid w:val="00074B52"/>
    <w:rsid w:val="0007773C"/>
    <w:rsid w:val="00080071"/>
    <w:rsid w:val="00081B94"/>
    <w:rsid w:val="000A1808"/>
    <w:rsid w:val="000A666D"/>
    <w:rsid w:val="000B0446"/>
    <w:rsid w:val="000C47C5"/>
    <w:rsid w:val="000D0D67"/>
    <w:rsid w:val="000D416E"/>
    <w:rsid w:val="000D5439"/>
    <w:rsid w:val="000E08A5"/>
    <w:rsid w:val="000E09C4"/>
    <w:rsid w:val="000F3C92"/>
    <w:rsid w:val="001112C7"/>
    <w:rsid w:val="0011350D"/>
    <w:rsid w:val="00133DC6"/>
    <w:rsid w:val="00134992"/>
    <w:rsid w:val="00135E2D"/>
    <w:rsid w:val="00135EF3"/>
    <w:rsid w:val="00137821"/>
    <w:rsid w:val="00141876"/>
    <w:rsid w:val="0014207B"/>
    <w:rsid w:val="00150C49"/>
    <w:rsid w:val="00156FD8"/>
    <w:rsid w:val="00160F8C"/>
    <w:rsid w:val="00165FE9"/>
    <w:rsid w:val="00193090"/>
    <w:rsid w:val="00193F73"/>
    <w:rsid w:val="001A23BE"/>
    <w:rsid w:val="001A58B3"/>
    <w:rsid w:val="001A6D7F"/>
    <w:rsid w:val="001A6EE0"/>
    <w:rsid w:val="001B1A10"/>
    <w:rsid w:val="001C7688"/>
    <w:rsid w:val="001C77E4"/>
    <w:rsid w:val="001D2957"/>
    <w:rsid w:val="001D5887"/>
    <w:rsid w:val="001E196B"/>
    <w:rsid w:val="001F3515"/>
    <w:rsid w:val="001F6646"/>
    <w:rsid w:val="00233005"/>
    <w:rsid w:val="00233F17"/>
    <w:rsid w:val="002347F3"/>
    <w:rsid w:val="00240265"/>
    <w:rsid w:val="00243ACE"/>
    <w:rsid w:val="00270422"/>
    <w:rsid w:val="002778F0"/>
    <w:rsid w:val="00277D09"/>
    <w:rsid w:val="002833A6"/>
    <w:rsid w:val="00293898"/>
    <w:rsid w:val="002A3601"/>
    <w:rsid w:val="002A3D44"/>
    <w:rsid w:val="002A7339"/>
    <w:rsid w:val="002B7C6F"/>
    <w:rsid w:val="002C22A3"/>
    <w:rsid w:val="002C2835"/>
    <w:rsid w:val="002C53EE"/>
    <w:rsid w:val="002D111C"/>
    <w:rsid w:val="00302476"/>
    <w:rsid w:val="00304E8E"/>
    <w:rsid w:val="00307D18"/>
    <w:rsid w:val="00311085"/>
    <w:rsid w:val="00325871"/>
    <w:rsid w:val="00331F35"/>
    <w:rsid w:val="0033375C"/>
    <w:rsid w:val="00335CDF"/>
    <w:rsid w:val="003429D5"/>
    <w:rsid w:val="00347820"/>
    <w:rsid w:val="00355C53"/>
    <w:rsid w:val="00362A11"/>
    <w:rsid w:val="0038133E"/>
    <w:rsid w:val="00385D5F"/>
    <w:rsid w:val="00393FDF"/>
    <w:rsid w:val="00396412"/>
    <w:rsid w:val="003A40C1"/>
    <w:rsid w:val="003A71F3"/>
    <w:rsid w:val="003B4609"/>
    <w:rsid w:val="003B4764"/>
    <w:rsid w:val="003B5D3E"/>
    <w:rsid w:val="003D346F"/>
    <w:rsid w:val="003E2BA6"/>
    <w:rsid w:val="003F35FD"/>
    <w:rsid w:val="0040367B"/>
    <w:rsid w:val="00404910"/>
    <w:rsid w:val="004079EC"/>
    <w:rsid w:val="0041385B"/>
    <w:rsid w:val="00420EF5"/>
    <w:rsid w:val="00427FD2"/>
    <w:rsid w:val="00430A84"/>
    <w:rsid w:val="004343D2"/>
    <w:rsid w:val="00441BFA"/>
    <w:rsid w:val="00445C22"/>
    <w:rsid w:val="00454FBD"/>
    <w:rsid w:val="0046619F"/>
    <w:rsid w:val="004678D2"/>
    <w:rsid w:val="00475248"/>
    <w:rsid w:val="004802A5"/>
    <w:rsid w:val="004A131B"/>
    <w:rsid w:val="004A5973"/>
    <w:rsid w:val="004B04E3"/>
    <w:rsid w:val="004C04EC"/>
    <w:rsid w:val="004C2ADA"/>
    <w:rsid w:val="004C5FA2"/>
    <w:rsid w:val="004D2924"/>
    <w:rsid w:val="004D7CD8"/>
    <w:rsid w:val="004E1875"/>
    <w:rsid w:val="004E5068"/>
    <w:rsid w:val="004E50F8"/>
    <w:rsid w:val="004F7A00"/>
    <w:rsid w:val="00502E78"/>
    <w:rsid w:val="00523F48"/>
    <w:rsid w:val="00524508"/>
    <w:rsid w:val="005365FA"/>
    <w:rsid w:val="0054569D"/>
    <w:rsid w:val="00551383"/>
    <w:rsid w:val="00567047"/>
    <w:rsid w:val="005723CB"/>
    <w:rsid w:val="00573C56"/>
    <w:rsid w:val="00575400"/>
    <w:rsid w:val="005849E9"/>
    <w:rsid w:val="00586BAE"/>
    <w:rsid w:val="00595228"/>
    <w:rsid w:val="005A0BB2"/>
    <w:rsid w:val="005A3789"/>
    <w:rsid w:val="005B18AF"/>
    <w:rsid w:val="005D2A64"/>
    <w:rsid w:val="005D5A50"/>
    <w:rsid w:val="005E0E67"/>
    <w:rsid w:val="005F5301"/>
    <w:rsid w:val="005F65B7"/>
    <w:rsid w:val="006067C7"/>
    <w:rsid w:val="006159AD"/>
    <w:rsid w:val="00641345"/>
    <w:rsid w:val="0064167D"/>
    <w:rsid w:val="00646436"/>
    <w:rsid w:val="00664420"/>
    <w:rsid w:val="00664942"/>
    <w:rsid w:val="00664DAC"/>
    <w:rsid w:val="006A646A"/>
    <w:rsid w:val="006B0482"/>
    <w:rsid w:val="006B10B0"/>
    <w:rsid w:val="006B3969"/>
    <w:rsid w:val="006B498E"/>
    <w:rsid w:val="006B66B8"/>
    <w:rsid w:val="006C3A73"/>
    <w:rsid w:val="006E220B"/>
    <w:rsid w:val="006E25BC"/>
    <w:rsid w:val="006E6BBC"/>
    <w:rsid w:val="006F7768"/>
    <w:rsid w:val="00705CAF"/>
    <w:rsid w:val="00717E59"/>
    <w:rsid w:val="00726286"/>
    <w:rsid w:val="0075364A"/>
    <w:rsid w:val="00754B67"/>
    <w:rsid w:val="00773AD0"/>
    <w:rsid w:val="00775BFC"/>
    <w:rsid w:val="0079519D"/>
    <w:rsid w:val="007A094A"/>
    <w:rsid w:val="007A3459"/>
    <w:rsid w:val="007B6074"/>
    <w:rsid w:val="007C6905"/>
    <w:rsid w:val="007D1C55"/>
    <w:rsid w:val="007D1DEE"/>
    <w:rsid w:val="007D317F"/>
    <w:rsid w:val="007E4DFF"/>
    <w:rsid w:val="007F464E"/>
    <w:rsid w:val="007F5D06"/>
    <w:rsid w:val="00803187"/>
    <w:rsid w:val="00805A6E"/>
    <w:rsid w:val="00826E00"/>
    <w:rsid w:val="008307AD"/>
    <w:rsid w:val="00845423"/>
    <w:rsid w:val="00846AE4"/>
    <w:rsid w:val="00864040"/>
    <w:rsid w:val="00865CF4"/>
    <w:rsid w:val="00876DBC"/>
    <w:rsid w:val="0087794B"/>
    <w:rsid w:val="0088440B"/>
    <w:rsid w:val="008A6003"/>
    <w:rsid w:val="008A6F88"/>
    <w:rsid w:val="008B1E16"/>
    <w:rsid w:val="008B5021"/>
    <w:rsid w:val="008B534F"/>
    <w:rsid w:val="008B7FE7"/>
    <w:rsid w:val="008E1316"/>
    <w:rsid w:val="008E14DB"/>
    <w:rsid w:val="008E6902"/>
    <w:rsid w:val="008F66C0"/>
    <w:rsid w:val="00900E33"/>
    <w:rsid w:val="00904F86"/>
    <w:rsid w:val="00910FD2"/>
    <w:rsid w:val="00927DEF"/>
    <w:rsid w:val="00931437"/>
    <w:rsid w:val="00932610"/>
    <w:rsid w:val="00933717"/>
    <w:rsid w:val="00953430"/>
    <w:rsid w:val="009565E8"/>
    <w:rsid w:val="00966415"/>
    <w:rsid w:val="00970EB3"/>
    <w:rsid w:val="00971C6C"/>
    <w:rsid w:val="00982F40"/>
    <w:rsid w:val="00987005"/>
    <w:rsid w:val="009A23A1"/>
    <w:rsid w:val="009A2D78"/>
    <w:rsid w:val="009A7C10"/>
    <w:rsid w:val="009B23DF"/>
    <w:rsid w:val="009B2945"/>
    <w:rsid w:val="009D4604"/>
    <w:rsid w:val="009D6697"/>
    <w:rsid w:val="009E03E4"/>
    <w:rsid w:val="009E2DEE"/>
    <w:rsid w:val="009F695E"/>
    <w:rsid w:val="009F797C"/>
    <w:rsid w:val="00A06AD8"/>
    <w:rsid w:val="00A12202"/>
    <w:rsid w:val="00A131AC"/>
    <w:rsid w:val="00A16D85"/>
    <w:rsid w:val="00A21A20"/>
    <w:rsid w:val="00A36A99"/>
    <w:rsid w:val="00A50050"/>
    <w:rsid w:val="00A53315"/>
    <w:rsid w:val="00A70EF0"/>
    <w:rsid w:val="00A73AAD"/>
    <w:rsid w:val="00A73F3B"/>
    <w:rsid w:val="00A9208D"/>
    <w:rsid w:val="00A930A7"/>
    <w:rsid w:val="00A96866"/>
    <w:rsid w:val="00AA1429"/>
    <w:rsid w:val="00AA234B"/>
    <w:rsid w:val="00AA3C92"/>
    <w:rsid w:val="00AA6EA9"/>
    <w:rsid w:val="00AC2DB8"/>
    <w:rsid w:val="00AC3CA0"/>
    <w:rsid w:val="00AC3F4F"/>
    <w:rsid w:val="00AC7911"/>
    <w:rsid w:val="00AD0B3E"/>
    <w:rsid w:val="00AE3DA7"/>
    <w:rsid w:val="00AF03C4"/>
    <w:rsid w:val="00B15FAE"/>
    <w:rsid w:val="00B2008B"/>
    <w:rsid w:val="00B20AE3"/>
    <w:rsid w:val="00B22A80"/>
    <w:rsid w:val="00B277C0"/>
    <w:rsid w:val="00B30DBC"/>
    <w:rsid w:val="00B3411B"/>
    <w:rsid w:val="00B3735C"/>
    <w:rsid w:val="00B56B55"/>
    <w:rsid w:val="00B62B74"/>
    <w:rsid w:val="00B653A1"/>
    <w:rsid w:val="00B70D11"/>
    <w:rsid w:val="00B725B1"/>
    <w:rsid w:val="00B867EC"/>
    <w:rsid w:val="00B93F1E"/>
    <w:rsid w:val="00BA55A8"/>
    <w:rsid w:val="00BB2ABF"/>
    <w:rsid w:val="00BB64F4"/>
    <w:rsid w:val="00BD0187"/>
    <w:rsid w:val="00BD3F4F"/>
    <w:rsid w:val="00BD5A7C"/>
    <w:rsid w:val="00BD6882"/>
    <w:rsid w:val="00BE2F5F"/>
    <w:rsid w:val="00BE4EDD"/>
    <w:rsid w:val="00BE7A1B"/>
    <w:rsid w:val="00BF0221"/>
    <w:rsid w:val="00BF091A"/>
    <w:rsid w:val="00BF4EAD"/>
    <w:rsid w:val="00C049E2"/>
    <w:rsid w:val="00C06130"/>
    <w:rsid w:val="00C36795"/>
    <w:rsid w:val="00C461EC"/>
    <w:rsid w:val="00C46F5C"/>
    <w:rsid w:val="00C507D4"/>
    <w:rsid w:val="00C63EDE"/>
    <w:rsid w:val="00C71CEF"/>
    <w:rsid w:val="00C72DAA"/>
    <w:rsid w:val="00C76549"/>
    <w:rsid w:val="00C80B14"/>
    <w:rsid w:val="00C92A86"/>
    <w:rsid w:val="00C92CB3"/>
    <w:rsid w:val="00CA6142"/>
    <w:rsid w:val="00CB7E9A"/>
    <w:rsid w:val="00CC304B"/>
    <w:rsid w:val="00CD0B92"/>
    <w:rsid w:val="00CD4855"/>
    <w:rsid w:val="00CE29D3"/>
    <w:rsid w:val="00CE74A5"/>
    <w:rsid w:val="00CE75BD"/>
    <w:rsid w:val="00CF2D8B"/>
    <w:rsid w:val="00CF364A"/>
    <w:rsid w:val="00CF7586"/>
    <w:rsid w:val="00D036D3"/>
    <w:rsid w:val="00D172FE"/>
    <w:rsid w:val="00D2790D"/>
    <w:rsid w:val="00D37D7E"/>
    <w:rsid w:val="00D51ECD"/>
    <w:rsid w:val="00D6170E"/>
    <w:rsid w:val="00D71C8B"/>
    <w:rsid w:val="00D7225D"/>
    <w:rsid w:val="00D740A1"/>
    <w:rsid w:val="00D769E5"/>
    <w:rsid w:val="00D85653"/>
    <w:rsid w:val="00D91A35"/>
    <w:rsid w:val="00D91CB4"/>
    <w:rsid w:val="00D959D5"/>
    <w:rsid w:val="00DA11A0"/>
    <w:rsid w:val="00DB1C09"/>
    <w:rsid w:val="00DB3207"/>
    <w:rsid w:val="00DE1133"/>
    <w:rsid w:val="00DF0012"/>
    <w:rsid w:val="00DF1AB4"/>
    <w:rsid w:val="00E02871"/>
    <w:rsid w:val="00E16BF5"/>
    <w:rsid w:val="00E23899"/>
    <w:rsid w:val="00E37A3F"/>
    <w:rsid w:val="00E37D3C"/>
    <w:rsid w:val="00E41958"/>
    <w:rsid w:val="00E5580B"/>
    <w:rsid w:val="00E62E6A"/>
    <w:rsid w:val="00E67BF7"/>
    <w:rsid w:val="00E70BEB"/>
    <w:rsid w:val="00E73984"/>
    <w:rsid w:val="00E82927"/>
    <w:rsid w:val="00E83EF5"/>
    <w:rsid w:val="00E85A73"/>
    <w:rsid w:val="00E9335C"/>
    <w:rsid w:val="00E9487B"/>
    <w:rsid w:val="00EB1019"/>
    <w:rsid w:val="00EB35D7"/>
    <w:rsid w:val="00ED1C1E"/>
    <w:rsid w:val="00ED58AB"/>
    <w:rsid w:val="00EE2AF2"/>
    <w:rsid w:val="00F07EE6"/>
    <w:rsid w:val="00F141D2"/>
    <w:rsid w:val="00F15127"/>
    <w:rsid w:val="00F25085"/>
    <w:rsid w:val="00F33CC8"/>
    <w:rsid w:val="00F4481C"/>
    <w:rsid w:val="00F45E99"/>
    <w:rsid w:val="00F655F1"/>
    <w:rsid w:val="00F75D23"/>
    <w:rsid w:val="00F76EBE"/>
    <w:rsid w:val="00F952FF"/>
    <w:rsid w:val="00FA5957"/>
    <w:rsid w:val="00FC1BA2"/>
    <w:rsid w:val="00FC3CE0"/>
    <w:rsid w:val="00FC4385"/>
    <w:rsid w:val="00FC62FC"/>
    <w:rsid w:val="00FC7CA8"/>
    <w:rsid w:val="00FD06A8"/>
    <w:rsid w:val="00FE24AC"/>
    <w:rsid w:val="00FE73A4"/>
    <w:rsid w:val="00FF0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70BE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70BEB"/>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70BEB"/>
    <w:rPr>
      <w:vertAlign w:val="superscript"/>
    </w:rPr>
  </w:style>
  <w:style w:type="paragraph" w:customStyle="1" w:styleId="Citas">
    <w:name w:val="Citas"/>
    <w:basedOn w:val="Normal"/>
    <w:qFormat/>
    <w:rsid w:val="00B3735C"/>
    <w:pPr>
      <w:spacing w:before="240" w:after="160"/>
      <w:ind w:left="851" w:right="851"/>
    </w:pPr>
    <w:rPr>
      <w:rFonts w:eastAsiaTheme="minorHAnsi" w:cs="Arial"/>
      <w:i/>
      <w:szCs w:val="22"/>
      <w:lang w:eastAsia="en-US"/>
    </w:rPr>
  </w:style>
  <w:style w:type="character" w:styleId="Textoennegrita">
    <w:name w:val="Strong"/>
    <w:uiPriority w:val="22"/>
    <w:qFormat/>
    <w:rsid w:val="00B37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3653">
      <w:bodyDiv w:val="1"/>
      <w:marLeft w:val="0"/>
      <w:marRight w:val="0"/>
      <w:marTop w:val="0"/>
      <w:marBottom w:val="0"/>
      <w:divBdr>
        <w:top w:val="none" w:sz="0" w:space="0" w:color="auto"/>
        <w:left w:val="none" w:sz="0" w:space="0" w:color="auto"/>
        <w:bottom w:val="none" w:sz="0" w:space="0" w:color="auto"/>
        <w:right w:val="none" w:sz="0" w:space="0" w:color="auto"/>
      </w:divBdr>
    </w:div>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42895237">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67684625">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66334602">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2267218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8811102">
      <w:bodyDiv w:val="1"/>
      <w:marLeft w:val="0"/>
      <w:marRight w:val="0"/>
      <w:marTop w:val="0"/>
      <w:marBottom w:val="0"/>
      <w:divBdr>
        <w:top w:val="none" w:sz="0" w:space="0" w:color="auto"/>
        <w:left w:val="none" w:sz="0" w:space="0" w:color="auto"/>
        <w:bottom w:val="none" w:sz="0" w:space="0" w:color="auto"/>
        <w:right w:val="none" w:sz="0" w:space="0" w:color="auto"/>
      </w:divBdr>
    </w:div>
    <w:div w:id="1262882435">
      <w:bodyDiv w:val="1"/>
      <w:marLeft w:val="0"/>
      <w:marRight w:val="0"/>
      <w:marTop w:val="0"/>
      <w:marBottom w:val="0"/>
      <w:divBdr>
        <w:top w:val="none" w:sz="0" w:space="0" w:color="auto"/>
        <w:left w:val="none" w:sz="0" w:space="0" w:color="auto"/>
        <w:bottom w:val="none" w:sz="0" w:space="0" w:color="auto"/>
        <w:right w:val="none" w:sz="0" w:space="0" w:color="auto"/>
      </w:divBdr>
    </w:div>
    <w:div w:id="1388646562">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568296227">
      <w:bodyDiv w:val="1"/>
      <w:marLeft w:val="0"/>
      <w:marRight w:val="0"/>
      <w:marTop w:val="0"/>
      <w:marBottom w:val="0"/>
      <w:divBdr>
        <w:top w:val="none" w:sz="0" w:space="0" w:color="auto"/>
        <w:left w:val="none" w:sz="0" w:space="0" w:color="auto"/>
        <w:bottom w:val="none" w:sz="0" w:space="0" w:color="auto"/>
        <w:right w:val="none" w:sz="0" w:space="0" w:color="auto"/>
      </w:divBdr>
    </w:div>
    <w:div w:id="1576469723">
      <w:bodyDiv w:val="1"/>
      <w:marLeft w:val="0"/>
      <w:marRight w:val="0"/>
      <w:marTop w:val="0"/>
      <w:marBottom w:val="0"/>
      <w:divBdr>
        <w:top w:val="none" w:sz="0" w:space="0" w:color="auto"/>
        <w:left w:val="none" w:sz="0" w:space="0" w:color="auto"/>
        <w:bottom w:val="none" w:sz="0" w:space="0" w:color="auto"/>
        <w:right w:val="none" w:sz="0" w:space="0" w:color="auto"/>
      </w:divBdr>
    </w:div>
    <w:div w:id="1637489310">
      <w:bodyDiv w:val="1"/>
      <w:marLeft w:val="0"/>
      <w:marRight w:val="0"/>
      <w:marTop w:val="0"/>
      <w:marBottom w:val="0"/>
      <w:divBdr>
        <w:top w:val="none" w:sz="0" w:space="0" w:color="auto"/>
        <w:left w:val="none" w:sz="0" w:space="0" w:color="auto"/>
        <w:bottom w:val="none" w:sz="0" w:space="0" w:color="auto"/>
        <w:right w:val="none" w:sz="0" w:space="0" w:color="auto"/>
      </w:divBdr>
    </w:div>
    <w:div w:id="1681928331">
      <w:bodyDiv w:val="1"/>
      <w:marLeft w:val="0"/>
      <w:marRight w:val="0"/>
      <w:marTop w:val="0"/>
      <w:marBottom w:val="0"/>
      <w:divBdr>
        <w:top w:val="none" w:sz="0" w:space="0" w:color="auto"/>
        <w:left w:val="none" w:sz="0" w:space="0" w:color="auto"/>
        <w:bottom w:val="none" w:sz="0" w:space="0" w:color="auto"/>
        <w:right w:val="none" w:sz="0" w:space="0" w:color="auto"/>
      </w:divBdr>
    </w:div>
    <w:div w:id="1855342791">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446230&amp;fecha=29/07/2016" TargetMode="External"/><Relationship Id="rId2" Type="http://schemas.openxmlformats.org/officeDocument/2006/relationships/hyperlink" Target="https://www.dof.gob.mx/nota_detalle.php?codigo=5433280&amp;fecha=15/04/2016" TargetMode="External"/><Relationship Id="rId1" Type="http://schemas.openxmlformats.org/officeDocument/2006/relationships/hyperlink" Target="https://legislacion.edomex.gob.mx/sites/legislacion.edomex.gob.mx/files/files/pdf/rgl/vig/rglvig740.pdf" TargetMode="External"/><Relationship Id="rId4" Type="http://schemas.openxmlformats.org/officeDocument/2006/relationships/hyperlink" Target="https://www.dof.gob.mx/nota_detalle.php?codigo=5671860&amp;fecha=18/11/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FD419C9-E98C-4D68-8D26-AA3FB743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11105</Words>
  <Characters>61078</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2024-11-07T19:27:00Z</cp:lastPrinted>
  <dcterms:created xsi:type="dcterms:W3CDTF">2024-10-31T20:57:00Z</dcterms:created>
  <dcterms:modified xsi:type="dcterms:W3CDTF">2024-11-07T19:27:00Z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