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1607D"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8944ED">
        <w:rPr>
          <w:rFonts w:ascii="Palatino Linotype" w:eastAsia="Palatino Linotype" w:hAnsi="Palatino Linotype" w:cs="Palatino Linotype"/>
          <w:b/>
        </w:rPr>
        <w:t>veintiuno de febrero de dos mil veinticuatro</w:t>
      </w:r>
      <w:r w:rsidRPr="008944ED">
        <w:rPr>
          <w:rFonts w:ascii="Palatino Linotype" w:eastAsia="Palatino Linotype" w:hAnsi="Palatino Linotype" w:cs="Palatino Linotype"/>
        </w:rPr>
        <w:t xml:space="preserve">. </w:t>
      </w:r>
    </w:p>
    <w:p w14:paraId="035F71A8" w14:textId="53F08087" w:rsidR="009B2CE9" w:rsidRPr="008944ED" w:rsidRDefault="002459D3">
      <w:pPr>
        <w:spacing w:before="240" w:after="240" w:line="360" w:lineRule="auto"/>
        <w:jc w:val="both"/>
        <w:rPr>
          <w:rFonts w:ascii="Palatino Linotype" w:eastAsia="Palatino Linotype" w:hAnsi="Palatino Linotype" w:cs="Palatino Linotype"/>
          <w:b/>
        </w:rPr>
      </w:pPr>
      <w:r w:rsidRPr="008944ED">
        <w:rPr>
          <w:rFonts w:ascii="Palatino Linotype" w:eastAsia="Palatino Linotype" w:hAnsi="Palatino Linotype" w:cs="Palatino Linotype"/>
          <w:b/>
        </w:rPr>
        <w:t>Visto</w:t>
      </w:r>
      <w:r w:rsidRPr="008944ED">
        <w:rPr>
          <w:rFonts w:ascii="Palatino Linotype" w:eastAsia="Palatino Linotype" w:hAnsi="Palatino Linotype" w:cs="Palatino Linotype"/>
        </w:rPr>
        <w:t xml:space="preserve"> el expediente formado con motivo del recurso de revisión </w:t>
      </w:r>
      <w:r w:rsidRPr="008944ED">
        <w:rPr>
          <w:rFonts w:ascii="Palatino Linotype" w:eastAsia="Palatino Linotype" w:hAnsi="Palatino Linotype" w:cs="Palatino Linotype"/>
          <w:b/>
        </w:rPr>
        <w:t>03499/INFOEM/IP/RR/2023</w:t>
      </w:r>
      <w:r w:rsidRPr="008944ED">
        <w:rPr>
          <w:rFonts w:ascii="Palatino Linotype" w:eastAsia="Palatino Linotype" w:hAnsi="Palatino Linotype" w:cs="Palatino Linotype"/>
        </w:rPr>
        <w:t>, interpuesto por</w:t>
      </w:r>
      <w:r w:rsidRPr="008944ED">
        <w:rPr>
          <w:rFonts w:ascii="Palatino Linotype" w:eastAsia="Palatino Linotype" w:hAnsi="Palatino Linotype" w:cs="Palatino Linotype"/>
          <w:b/>
        </w:rPr>
        <w:t xml:space="preserve"> </w:t>
      </w:r>
      <w:r w:rsidR="00D96358">
        <w:rPr>
          <w:rFonts w:ascii="Palatino Linotype" w:eastAsia="Palatino Linotype" w:hAnsi="Palatino Linotype" w:cs="Palatino Linotype"/>
          <w:b/>
        </w:rPr>
        <w:t>XXX</w:t>
      </w:r>
      <w:r w:rsidRPr="008944ED">
        <w:rPr>
          <w:rFonts w:ascii="Palatino Linotype" w:eastAsia="Palatino Linotype" w:hAnsi="Palatino Linotype" w:cs="Palatino Linotype"/>
        </w:rPr>
        <w:t xml:space="preserve">, en lo sucesivo </w:t>
      </w:r>
      <w:r w:rsidRPr="008944ED">
        <w:rPr>
          <w:rFonts w:ascii="Palatino Linotype" w:eastAsia="Palatino Linotype" w:hAnsi="Palatino Linotype" w:cs="Palatino Linotype"/>
          <w:b/>
        </w:rPr>
        <w:t>la</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parte</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Recurrente,</w:t>
      </w:r>
      <w:r w:rsidRPr="008944ED">
        <w:rPr>
          <w:rFonts w:ascii="Palatino Linotype" w:eastAsia="Palatino Linotype" w:hAnsi="Palatino Linotype" w:cs="Palatino Linotype"/>
        </w:rPr>
        <w:t xml:space="preserve"> en contra de la respuesta a su solicitud por parte del </w:t>
      </w:r>
      <w:r w:rsidRPr="008944ED">
        <w:rPr>
          <w:rFonts w:ascii="Palatino Linotype" w:eastAsia="Palatino Linotype" w:hAnsi="Palatino Linotype" w:cs="Palatino Linotype"/>
          <w:b/>
        </w:rPr>
        <w:t xml:space="preserve">Ayuntamiento de Atlacomulco, </w:t>
      </w:r>
      <w:r w:rsidRPr="008944ED">
        <w:rPr>
          <w:rFonts w:ascii="Palatino Linotype" w:eastAsia="Palatino Linotype" w:hAnsi="Palatino Linotype" w:cs="Palatino Linotype"/>
        </w:rPr>
        <w:t xml:space="preserve">en lo sucesivo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 xml:space="preserve">se procede a dictar la presente resolución con base en los siguientes: </w:t>
      </w:r>
    </w:p>
    <w:p w14:paraId="7F97F020" w14:textId="77777777" w:rsidR="009B2CE9" w:rsidRPr="008944ED" w:rsidRDefault="002459D3">
      <w:pPr>
        <w:spacing w:before="240" w:after="240" w:line="360" w:lineRule="auto"/>
        <w:jc w:val="center"/>
        <w:rPr>
          <w:rFonts w:ascii="Palatino Linotype" w:eastAsia="Palatino Linotype" w:hAnsi="Palatino Linotype" w:cs="Palatino Linotype"/>
          <w:b/>
        </w:rPr>
      </w:pPr>
      <w:r w:rsidRPr="008944ED">
        <w:rPr>
          <w:rFonts w:ascii="Palatino Linotype" w:eastAsia="Palatino Linotype" w:hAnsi="Palatino Linotype" w:cs="Palatino Linotype"/>
          <w:b/>
        </w:rPr>
        <w:t>I. A N T E C E D E N T E S</w:t>
      </w:r>
    </w:p>
    <w:p w14:paraId="02E40160"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1. Solicitud de acceso a la información.</w:t>
      </w:r>
      <w:r w:rsidRPr="008944ED">
        <w:rPr>
          <w:rFonts w:ascii="Palatino Linotype" w:eastAsia="Palatino Linotype" w:hAnsi="Palatino Linotype" w:cs="Palatino Linotype"/>
        </w:rPr>
        <w:t xml:space="preserve"> El </w:t>
      </w:r>
      <w:r w:rsidRPr="008944ED">
        <w:rPr>
          <w:rFonts w:ascii="Palatino Linotype" w:eastAsia="Palatino Linotype" w:hAnsi="Palatino Linotype" w:cs="Palatino Linotype"/>
          <w:b/>
        </w:rPr>
        <w:t>dos de mayo del dos mil veintitrés,</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 xml:space="preserve">la parte Recurrente </w:t>
      </w:r>
      <w:r w:rsidRPr="008944ED">
        <w:rPr>
          <w:rFonts w:ascii="Palatino Linotype" w:eastAsia="Palatino Linotype" w:hAnsi="Palatino Linotype" w:cs="Palatino Linotype"/>
        </w:rPr>
        <w:t xml:space="preserve">presentó, a través del Sistema de Acceso a la Información Mexiquense, en lo subsecuente el </w:t>
      </w:r>
      <w:r w:rsidRPr="008944ED">
        <w:rPr>
          <w:rFonts w:ascii="Palatino Linotype" w:eastAsia="Palatino Linotype" w:hAnsi="Palatino Linotype" w:cs="Palatino Linotype"/>
          <w:b/>
        </w:rPr>
        <w:t>SAIMEX,</w:t>
      </w:r>
      <w:r w:rsidRPr="008944ED">
        <w:rPr>
          <w:rFonts w:ascii="Palatino Linotype" w:eastAsia="Palatino Linotype" w:hAnsi="Palatino Linotype" w:cs="Palatino Linotype"/>
        </w:rPr>
        <w:t xml:space="preserve"> ante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la solicitud de acceso a la información pública, a la que se le asignó el número</w:t>
      </w:r>
      <w:r w:rsidRPr="008944ED">
        <w:rPr>
          <w:rFonts w:ascii="Palatino Linotype" w:eastAsia="Palatino Linotype" w:hAnsi="Palatino Linotype" w:cs="Palatino Linotype"/>
          <w:b/>
        </w:rPr>
        <w:t xml:space="preserve"> 00150/ATLACOM/IP/2023, </w:t>
      </w:r>
      <w:r w:rsidRPr="008944ED">
        <w:rPr>
          <w:rFonts w:ascii="Palatino Linotype" w:eastAsia="Palatino Linotype" w:hAnsi="Palatino Linotype" w:cs="Palatino Linotype"/>
        </w:rPr>
        <w:t xml:space="preserve">mediante la cual requirió la información siguiente: </w:t>
      </w:r>
    </w:p>
    <w:p w14:paraId="00157C32" w14:textId="77777777" w:rsidR="009B2CE9" w:rsidRPr="008944ED" w:rsidRDefault="002459D3">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8944ED">
        <w:rPr>
          <w:rFonts w:ascii="Palatino Linotype" w:eastAsia="Palatino Linotype" w:hAnsi="Palatino Linotype" w:cs="Palatino Linotype"/>
          <w:i/>
          <w:sz w:val="22"/>
          <w:szCs w:val="22"/>
        </w:rPr>
        <w:t xml:space="preserve">“Cuántas multas de tránsito se han levantado desde enero a mayo de 2023, cuánto recurso ha ingresado por el pago de las mismas, en qué se ha aplicado dicho recurso y evidencia de todas las multas. desde el 2022 a la fecha de esta solicitud. Recaudación de parquímetros que se ha tenido en el mismo periodo 2023-2023, evidencia de que el recurso entra en la caja de tesorería, nombre de los recaudadores y del encargado o responsable de parquímetros. Cuánto recurso se ha recaudado por licencias de funcionamiento, cuánto por licencias de construcción, cuánto por tianguis y mercados, cuánto por uso de baños y estacionamientos, cuánto por pago de espectaculares y publicidad. Cuánto se ha recaudado por predial 2023-2023 y cuánto se debe de predial 2023 cuánto se recauda de ISR retenido a los empleados de enero a mayo 2023, cuánto se recauda por cuotas al </w:t>
      </w:r>
      <w:proofErr w:type="spellStart"/>
      <w:r w:rsidRPr="008944ED">
        <w:rPr>
          <w:rFonts w:ascii="Palatino Linotype" w:eastAsia="Palatino Linotype" w:hAnsi="Palatino Linotype" w:cs="Palatino Linotype"/>
          <w:i/>
          <w:sz w:val="22"/>
          <w:szCs w:val="22"/>
        </w:rPr>
        <w:t>issemym</w:t>
      </w:r>
      <w:proofErr w:type="spellEnd"/>
      <w:r w:rsidRPr="008944ED">
        <w:rPr>
          <w:rFonts w:ascii="Palatino Linotype" w:eastAsia="Palatino Linotype" w:hAnsi="Palatino Linotype" w:cs="Palatino Linotype"/>
          <w:i/>
          <w:sz w:val="22"/>
          <w:szCs w:val="22"/>
        </w:rPr>
        <w:t xml:space="preserve"> de los empleados en el periodo antes referido, así como </w:t>
      </w:r>
      <w:r w:rsidRPr="008944ED">
        <w:rPr>
          <w:rFonts w:ascii="Palatino Linotype" w:eastAsia="Palatino Linotype" w:hAnsi="Palatino Linotype" w:cs="Palatino Linotype"/>
          <w:i/>
          <w:sz w:val="22"/>
          <w:szCs w:val="22"/>
        </w:rPr>
        <w:lastRenderedPageBreak/>
        <w:t xml:space="preserve">evidencias que sus cuotas son ingresadas al </w:t>
      </w:r>
      <w:proofErr w:type="spellStart"/>
      <w:r w:rsidRPr="008944ED">
        <w:rPr>
          <w:rFonts w:ascii="Palatino Linotype" w:eastAsia="Palatino Linotype" w:hAnsi="Palatino Linotype" w:cs="Palatino Linotype"/>
          <w:i/>
          <w:sz w:val="22"/>
          <w:szCs w:val="22"/>
        </w:rPr>
        <w:t>issemym</w:t>
      </w:r>
      <w:proofErr w:type="spellEnd"/>
      <w:r w:rsidRPr="008944ED">
        <w:rPr>
          <w:rFonts w:ascii="Palatino Linotype" w:eastAsia="Palatino Linotype" w:hAnsi="Palatino Linotype" w:cs="Palatino Linotype"/>
          <w:i/>
          <w:sz w:val="22"/>
          <w:szCs w:val="22"/>
        </w:rPr>
        <w:t xml:space="preserve">, cuánto se paga por seguro de vida a los empleados del ayuntamiento y cuántas licitaciones públicas han tenido y que se ha adquirido, cuántas adjudicaciones directas han tenido y que se ha adquirido, cuántas adquisiciones por invitación restringida se han tenido y su justificación del por qué se eligieron a dichos proveedores. Catálogo de proveedores que surte o provee al ayuntamiento. Con que empresa se lleva a cabo el timbrado fiscal de los recibos de </w:t>
      </w:r>
      <w:proofErr w:type="spellStart"/>
      <w:r w:rsidRPr="008944ED">
        <w:rPr>
          <w:rFonts w:ascii="Palatino Linotype" w:eastAsia="Palatino Linotype" w:hAnsi="Palatino Linotype" w:cs="Palatino Linotype"/>
          <w:i/>
          <w:sz w:val="22"/>
          <w:szCs w:val="22"/>
        </w:rPr>
        <w:t>nomina</w:t>
      </w:r>
      <w:proofErr w:type="spellEnd"/>
      <w:r w:rsidRPr="008944ED">
        <w:rPr>
          <w:rFonts w:ascii="Palatino Linotype" w:eastAsia="Palatino Linotype" w:hAnsi="Palatino Linotype" w:cs="Palatino Linotype"/>
          <w:i/>
          <w:sz w:val="22"/>
          <w:szCs w:val="22"/>
        </w:rPr>
        <w:t xml:space="preserve"> del personal y de las facturas emitidas por el ayuntamiento, anexar contratos.” (Sic) </w:t>
      </w:r>
    </w:p>
    <w:p w14:paraId="534A461C" w14:textId="77777777" w:rsidR="009B2CE9" w:rsidRPr="008944ED" w:rsidRDefault="002459D3">
      <w:pPr>
        <w:tabs>
          <w:tab w:val="left" w:pos="1080"/>
        </w:tabs>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ab/>
      </w:r>
    </w:p>
    <w:p w14:paraId="637076A2"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Modalidad de Entrega:</w:t>
      </w:r>
      <w:r w:rsidRPr="008944ED">
        <w:rPr>
          <w:rFonts w:ascii="Palatino Linotype" w:eastAsia="Palatino Linotype" w:hAnsi="Palatino Linotype" w:cs="Palatino Linotype"/>
        </w:rPr>
        <w:t xml:space="preserve"> A través de </w:t>
      </w:r>
      <w:r w:rsidRPr="008944ED">
        <w:rPr>
          <w:rFonts w:ascii="Palatino Linotype" w:eastAsia="Palatino Linotype" w:hAnsi="Palatino Linotype" w:cs="Palatino Linotype"/>
          <w:b/>
        </w:rPr>
        <w:t>SAIMEX</w:t>
      </w:r>
      <w:r w:rsidRPr="008944ED">
        <w:rPr>
          <w:rFonts w:ascii="Palatino Linotype" w:eastAsia="Palatino Linotype" w:hAnsi="Palatino Linotype" w:cs="Palatino Linotype"/>
        </w:rPr>
        <w:t>.</w:t>
      </w:r>
    </w:p>
    <w:p w14:paraId="6C840548" w14:textId="77777777" w:rsidR="009B2CE9" w:rsidRPr="008944ED" w:rsidRDefault="009B2CE9">
      <w:pPr>
        <w:spacing w:line="360" w:lineRule="auto"/>
        <w:ind w:right="900"/>
        <w:rPr>
          <w:rFonts w:ascii="Palatino Linotype" w:eastAsia="Palatino Linotype" w:hAnsi="Palatino Linotype" w:cs="Palatino Linotype"/>
          <w:sz w:val="22"/>
          <w:szCs w:val="22"/>
        </w:rPr>
      </w:pPr>
    </w:p>
    <w:p w14:paraId="1FCB9298" w14:textId="77777777" w:rsidR="009B2CE9" w:rsidRPr="008944ED" w:rsidRDefault="002459D3">
      <w:pPr>
        <w:spacing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2. Prórroga. </w:t>
      </w:r>
      <w:r w:rsidRPr="008944ED">
        <w:rPr>
          <w:rFonts w:ascii="Palatino Linotype" w:eastAsia="Palatino Linotype" w:hAnsi="Palatino Linotype" w:cs="Palatino Linotype"/>
        </w:rPr>
        <w:t>El</w:t>
      </w:r>
      <w:r w:rsidRPr="008944ED">
        <w:rPr>
          <w:rFonts w:ascii="Palatino Linotype" w:eastAsia="Palatino Linotype" w:hAnsi="Palatino Linotype" w:cs="Palatino Linotype"/>
          <w:b/>
        </w:rPr>
        <w:t xml:space="preserve"> veinticuatro de mayo de dos mil veintitrés</w:t>
      </w:r>
      <w:r w:rsidRPr="008944ED">
        <w:rPr>
          <w:rFonts w:ascii="Palatino Linotype" w:eastAsia="Palatino Linotype" w:hAnsi="Palatino Linotype" w:cs="Palatino Linotype"/>
        </w:rPr>
        <w:t>, el</w:t>
      </w:r>
      <w:r w:rsidRPr="008944ED">
        <w:rPr>
          <w:rFonts w:ascii="Palatino Linotype" w:eastAsia="Palatino Linotype" w:hAnsi="Palatino Linotype" w:cs="Palatino Linotype"/>
          <w:b/>
        </w:rPr>
        <w:t xml:space="preserve"> Sujeto Obligado </w:t>
      </w:r>
      <w:r w:rsidRPr="008944ED">
        <w:rPr>
          <w:rFonts w:ascii="Palatino Linotype" w:eastAsia="Palatino Linotype" w:hAnsi="Palatino Linotype" w:cs="Palatino Linotype"/>
        </w:rPr>
        <w:t xml:space="preserve">notificó a la persona solicitante la siguiente prórroga para atender la solicitud de información en los siguientes términos:  </w:t>
      </w:r>
    </w:p>
    <w:p w14:paraId="5FC39960" w14:textId="77777777" w:rsidR="009B2CE9" w:rsidRPr="008944ED" w:rsidRDefault="002459D3">
      <w:pPr>
        <w:tabs>
          <w:tab w:val="left" w:pos="8647"/>
        </w:tabs>
        <w:spacing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DDFCEA4" w14:textId="77777777" w:rsidR="009B2CE9" w:rsidRPr="008944ED" w:rsidRDefault="002459D3">
      <w:pPr>
        <w:tabs>
          <w:tab w:val="left" w:pos="8647"/>
        </w:tabs>
        <w:spacing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SE APRUEBA PRÓRROGA EN LA 26 SESIÓN EXTRAORDINARIA DEL COMITÉ DE TRANSPARENCIA.</w:t>
      </w:r>
    </w:p>
    <w:p w14:paraId="3E075075" w14:textId="77777777" w:rsidR="009B2CE9" w:rsidRPr="008944ED" w:rsidRDefault="002459D3">
      <w:pPr>
        <w:tabs>
          <w:tab w:val="left" w:pos="8647"/>
        </w:tabs>
        <w:spacing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L.A.I KARLA KARINA TÉLLEZ LARA</w:t>
      </w:r>
    </w:p>
    <w:p w14:paraId="39A65B1E" w14:textId="77777777" w:rsidR="009B2CE9" w:rsidRPr="008944ED" w:rsidRDefault="002459D3">
      <w:pPr>
        <w:tabs>
          <w:tab w:val="left" w:pos="8647"/>
        </w:tabs>
        <w:spacing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Responsable de la Unidad de Transparencia”</w:t>
      </w:r>
    </w:p>
    <w:p w14:paraId="3E0253BB" w14:textId="77777777" w:rsidR="009B2CE9" w:rsidRPr="008944ED" w:rsidRDefault="002459D3">
      <w:pPr>
        <w:tabs>
          <w:tab w:val="left" w:pos="8647"/>
        </w:tabs>
        <w:spacing w:after="240" w:line="276"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Archivo adjunto:</w:t>
      </w:r>
    </w:p>
    <w:p w14:paraId="7A5311DC" w14:textId="77777777" w:rsidR="009B2CE9" w:rsidRPr="008944ED" w:rsidRDefault="002459D3">
      <w:pPr>
        <w:tabs>
          <w:tab w:val="left" w:pos="8647"/>
        </w:tabs>
        <w:spacing w:after="240"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i/>
          <w:sz w:val="22"/>
          <w:szCs w:val="22"/>
        </w:rPr>
        <w:t xml:space="preserve">“026_ACTEXT_CT_2305_2023.pdf”: </w:t>
      </w:r>
      <w:r w:rsidRPr="008944ED">
        <w:rPr>
          <w:rFonts w:ascii="Palatino Linotype" w:eastAsia="Palatino Linotype" w:hAnsi="Palatino Linotype" w:cs="Palatino Linotype"/>
        </w:rPr>
        <w:t>Acta de la Vigésima Sexta Sesión Extraordinaria del Comité de Transparencia del Ayuntamiento de Atlacomulco, en la cual aprueban la prórroga para atender la solicitud de información.</w:t>
      </w:r>
    </w:p>
    <w:p w14:paraId="5FE11876"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 xml:space="preserve">Es de precisar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del análisis a esta ampliación de plazo, se tiene que </w:t>
      </w:r>
      <w:r w:rsidRPr="008944ED">
        <w:rPr>
          <w:rFonts w:ascii="Palatino Linotype" w:eastAsia="Palatino Linotype" w:hAnsi="Palatino Linotype" w:cs="Palatino Linotype"/>
          <w:b/>
        </w:rPr>
        <w:t>si</w:t>
      </w:r>
      <w:r w:rsidRPr="008944ED">
        <w:rPr>
          <w:rFonts w:ascii="Palatino Linotype" w:eastAsia="Palatino Linotype" w:hAnsi="Palatino Linotype" w:cs="Palatino Linotype"/>
        </w:rPr>
        <w:t xml:space="preserve"> se efectuó dentro de los parámetros establecidos por el segundo párrafo del artículo 163 de la Ley de Transparencia Local.</w:t>
      </w:r>
    </w:p>
    <w:p w14:paraId="5974444D" w14:textId="77777777" w:rsidR="009B2CE9" w:rsidRPr="008944ED" w:rsidRDefault="002459D3">
      <w:pPr>
        <w:spacing w:after="240" w:line="360" w:lineRule="auto"/>
        <w:jc w:val="both"/>
        <w:rPr>
          <w:rFonts w:ascii="Palatino Linotype" w:eastAsia="Palatino Linotype" w:hAnsi="Palatino Linotype" w:cs="Palatino Linotype"/>
          <w:b/>
        </w:rPr>
      </w:pPr>
      <w:r w:rsidRPr="008944ED">
        <w:rPr>
          <w:rFonts w:ascii="Palatino Linotype" w:eastAsia="Palatino Linotype" w:hAnsi="Palatino Linotype" w:cs="Palatino Linotype"/>
          <w:b/>
        </w:rPr>
        <w:t xml:space="preserve">3. Respuesta. </w:t>
      </w:r>
      <w:r w:rsidRPr="008944ED">
        <w:rPr>
          <w:rFonts w:ascii="Palatino Linotype" w:eastAsia="Palatino Linotype" w:hAnsi="Palatino Linotype" w:cs="Palatino Linotype"/>
        </w:rPr>
        <w:t xml:space="preserve">El </w:t>
      </w:r>
      <w:r w:rsidRPr="008944ED">
        <w:rPr>
          <w:rFonts w:ascii="Palatino Linotype" w:eastAsia="Palatino Linotype" w:hAnsi="Palatino Linotype" w:cs="Palatino Linotype"/>
          <w:b/>
        </w:rPr>
        <w:t>dos de junio de dos mil veintitrés</w:t>
      </w:r>
      <w:r w:rsidRPr="008944ED">
        <w:rPr>
          <w:rFonts w:ascii="Palatino Linotype" w:eastAsia="Palatino Linotype" w:hAnsi="Palatino Linotype" w:cs="Palatino Linotype"/>
        </w:rPr>
        <w:t xml:space="preserve">,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5C6D2B37" w14:textId="77777777" w:rsidR="009B2CE9" w:rsidRPr="008944ED" w:rsidRDefault="002459D3">
      <w:pPr>
        <w:spacing w:before="240" w:after="24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1FD6BD" w14:textId="77777777" w:rsidR="009B2CE9" w:rsidRPr="008944ED" w:rsidRDefault="002459D3">
      <w:pPr>
        <w:spacing w:before="240" w:after="24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Se atiende requerimiento</w:t>
      </w:r>
    </w:p>
    <w:p w14:paraId="577DF0DE" w14:textId="77777777" w:rsidR="009B2CE9" w:rsidRPr="008944ED" w:rsidRDefault="002459D3">
      <w:pPr>
        <w:spacing w:before="240" w:after="24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ATENTAMENTE</w:t>
      </w:r>
    </w:p>
    <w:p w14:paraId="158E572F" w14:textId="77777777" w:rsidR="009B2CE9" w:rsidRPr="008944ED" w:rsidRDefault="002459D3">
      <w:pPr>
        <w:spacing w:before="240" w:after="24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L.A.I KARLA KARINA TÉLLEZ LARA” (Sic) </w:t>
      </w:r>
    </w:p>
    <w:p w14:paraId="10B35415" w14:textId="77777777" w:rsidR="009B2CE9" w:rsidRPr="008944ED" w:rsidRDefault="002459D3">
      <w:pPr>
        <w:spacing w:before="240" w:after="240" w:line="360" w:lineRule="auto"/>
        <w:ind w:left="567" w:right="49"/>
        <w:jc w:val="both"/>
        <w:rPr>
          <w:rFonts w:ascii="Palatino Linotype" w:eastAsia="Palatino Linotype" w:hAnsi="Palatino Linotype" w:cs="Palatino Linotype"/>
          <w:b/>
        </w:rPr>
      </w:pPr>
      <w:r w:rsidRPr="008944ED">
        <w:rPr>
          <w:rFonts w:ascii="Palatino Linotype" w:eastAsia="Palatino Linotype" w:hAnsi="Palatino Linotype" w:cs="Palatino Linotype"/>
          <w:b/>
        </w:rPr>
        <w:t xml:space="preserve">Archivos adjuntos: </w:t>
      </w:r>
    </w:p>
    <w:p w14:paraId="4AAD7156" w14:textId="77777777" w:rsidR="009B2CE9" w:rsidRPr="008944ED" w:rsidRDefault="002459D3">
      <w:pPr>
        <w:spacing w:before="240" w:after="240" w:line="360" w:lineRule="auto"/>
        <w:ind w:left="567" w:right="900"/>
        <w:jc w:val="both"/>
        <w:rPr>
          <w:rFonts w:ascii="Palatino Linotype" w:eastAsia="Palatino Linotype" w:hAnsi="Palatino Linotype" w:cs="Palatino Linotype"/>
          <w:b/>
          <w:u w:val="single"/>
        </w:rPr>
      </w:pPr>
      <w:r w:rsidRPr="008944ED">
        <w:rPr>
          <w:rFonts w:ascii="Palatino Linotype" w:eastAsia="Palatino Linotype" w:hAnsi="Palatino Linotype" w:cs="Palatino Linotype"/>
          <w:b/>
          <w:i/>
          <w:sz w:val="22"/>
          <w:szCs w:val="22"/>
        </w:rPr>
        <w:t xml:space="preserve">“CONS_0150_CMA_2023.pdf”: </w:t>
      </w:r>
      <w:r w:rsidRPr="008944ED">
        <w:rPr>
          <w:rFonts w:ascii="Palatino Linotype" w:eastAsia="Palatino Linotype" w:hAnsi="Palatino Linotype" w:cs="Palatino Linotype"/>
        </w:rPr>
        <w:t xml:space="preserve">Oficio signado por el Comisario Municipal de Atlacomulco, quien refiere se solicitó la información al Departamento de Tránsito Municipal; a su vez </w:t>
      </w:r>
      <w:r w:rsidRPr="008944ED">
        <w:rPr>
          <w:rFonts w:ascii="Palatino Linotype" w:eastAsia="Palatino Linotype" w:hAnsi="Palatino Linotype" w:cs="Palatino Linotype"/>
          <w:b/>
          <w:u w:val="single"/>
        </w:rPr>
        <w:t xml:space="preserve">la </w:t>
      </w:r>
      <w:proofErr w:type="gramStart"/>
      <w:r w:rsidRPr="008944ED">
        <w:rPr>
          <w:rFonts w:ascii="Palatino Linotype" w:eastAsia="Palatino Linotype" w:hAnsi="Palatino Linotype" w:cs="Palatino Linotype"/>
          <w:b/>
          <w:u w:val="single"/>
        </w:rPr>
        <w:t>Jefa</w:t>
      </w:r>
      <w:proofErr w:type="gramEnd"/>
      <w:r w:rsidRPr="008944ED">
        <w:rPr>
          <w:rFonts w:ascii="Palatino Linotype" w:eastAsia="Palatino Linotype" w:hAnsi="Palatino Linotype" w:cs="Palatino Linotype"/>
          <w:b/>
          <w:u w:val="single"/>
        </w:rPr>
        <w:t xml:space="preserve"> de este Departamento refiere que desde el 31 de diciembre de 2021 hasta la fecha del oficio, es decir, al 9 de mayo de 2023, no se cuenta con infracciones de tránsito municipal, por tal motivo no se cuenta con información referente a su solicitud.  </w:t>
      </w:r>
    </w:p>
    <w:p w14:paraId="7AE1C38F" w14:textId="77777777" w:rsidR="009B2CE9" w:rsidRPr="008944ED" w:rsidRDefault="002459D3">
      <w:pPr>
        <w:spacing w:before="240" w:after="240"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i/>
          <w:sz w:val="22"/>
          <w:szCs w:val="22"/>
        </w:rPr>
        <w:lastRenderedPageBreak/>
        <w:t xml:space="preserve">“150_SOL_RESP_ADMON_2023.pdf”: </w:t>
      </w:r>
      <w:r w:rsidRPr="008944ED">
        <w:rPr>
          <w:rFonts w:ascii="Palatino Linotype" w:eastAsia="Palatino Linotype" w:hAnsi="Palatino Linotype" w:cs="Palatino Linotype"/>
        </w:rPr>
        <w:t xml:space="preserve">Documento que consiste en el oficio suscrito por la </w:t>
      </w:r>
      <w:proofErr w:type="gramStart"/>
      <w:r w:rsidRPr="008944ED">
        <w:rPr>
          <w:rFonts w:ascii="Palatino Linotype" w:eastAsia="Palatino Linotype" w:hAnsi="Palatino Linotype" w:cs="Palatino Linotype"/>
        </w:rPr>
        <w:t>Directora</w:t>
      </w:r>
      <w:proofErr w:type="gramEnd"/>
      <w:r w:rsidRPr="008944ED">
        <w:rPr>
          <w:rFonts w:ascii="Palatino Linotype" w:eastAsia="Palatino Linotype" w:hAnsi="Palatino Linotype" w:cs="Palatino Linotype"/>
        </w:rPr>
        <w:t xml:space="preserve"> de Administración, quien remite el listado de personal del área de parquímetros. </w:t>
      </w:r>
    </w:p>
    <w:p w14:paraId="4218448D" w14:textId="77777777" w:rsidR="009B2CE9" w:rsidRPr="008944ED" w:rsidRDefault="002459D3">
      <w:pPr>
        <w:spacing w:before="240" w:after="240" w:line="360" w:lineRule="auto"/>
        <w:ind w:left="567" w:right="49"/>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noProof/>
          <w:sz w:val="22"/>
          <w:szCs w:val="22"/>
        </w:rPr>
        <w:drawing>
          <wp:inline distT="0" distB="0" distL="0" distR="0" wp14:anchorId="79639870" wp14:editId="7CDBF041">
            <wp:extent cx="5210175" cy="1476375"/>
            <wp:effectExtent l="0" t="0" r="0" b="0"/>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2037" t="17722" r="5124" b="34081"/>
                    <a:stretch>
                      <a:fillRect/>
                    </a:stretch>
                  </pic:blipFill>
                  <pic:spPr>
                    <a:xfrm>
                      <a:off x="0" y="0"/>
                      <a:ext cx="5210175" cy="1476375"/>
                    </a:xfrm>
                    <a:prstGeom prst="rect">
                      <a:avLst/>
                    </a:prstGeom>
                    <a:ln/>
                  </pic:spPr>
                </pic:pic>
              </a:graphicData>
            </a:graphic>
          </wp:inline>
        </w:drawing>
      </w:r>
    </w:p>
    <w:p w14:paraId="380ABBF3"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8"/>
          <w:szCs w:val="28"/>
        </w:rPr>
      </w:pPr>
      <w:r w:rsidRPr="008944ED">
        <w:rPr>
          <w:rFonts w:ascii="Palatino Linotype" w:eastAsia="Palatino Linotype" w:hAnsi="Palatino Linotype" w:cs="Palatino Linotype"/>
          <w:b/>
          <w:i/>
          <w:sz w:val="22"/>
          <w:szCs w:val="22"/>
        </w:rPr>
        <w:t xml:space="preserve">“150_RSOL_TM_2023_ING.pdf”: </w:t>
      </w:r>
      <w:r w:rsidRPr="008944ED">
        <w:rPr>
          <w:rFonts w:ascii="Palatino Linotype" w:eastAsia="Palatino Linotype" w:hAnsi="Palatino Linotype" w:cs="Palatino Linotype"/>
        </w:rPr>
        <w:t>Archivo electrónico que se compone de tres fojas y en él se aprecia el pronunciamiento de la Tesorera Municipal, respecto a los requerimientos de información de la persona solicitante.</w:t>
      </w:r>
    </w:p>
    <w:p w14:paraId="0ED9343E"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4. Interposición del recurso de revisión. </w:t>
      </w:r>
      <w:r w:rsidRPr="008944ED">
        <w:rPr>
          <w:rFonts w:ascii="Palatino Linotype" w:eastAsia="Palatino Linotype" w:hAnsi="Palatino Linotype" w:cs="Palatino Linotype"/>
        </w:rPr>
        <w:t xml:space="preserve">Inconforme con los términos de la respuesta emitida por parte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el </w:t>
      </w:r>
      <w:r w:rsidRPr="008944ED">
        <w:rPr>
          <w:rFonts w:ascii="Palatino Linotype" w:eastAsia="Palatino Linotype" w:hAnsi="Palatino Linotype" w:cs="Palatino Linotype"/>
          <w:b/>
        </w:rPr>
        <w:t>veinte de junio de dos mil veintitrés,</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interpuso el recurso de revisión a través de </w:t>
      </w:r>
      <w:r w:rsidRPr="008944ED">
        <w:rPr>
          <w:rFonts w:ascii="Palatino Linotype" w:eastAsia="Palatino Linotype" w:hAnsi="Palatino Linotype" w:cs="Palatino Linotype"/>
          <w:b/>
        </w:rPr>
        <w:t xml:space="preserve">SAIMEX, </w:t>
      </w:r>
      <w:r w:rsidRPr="008944ED">
        <w:rPr>
          <w:rFonts w:ascii="Palatino Linotype" w:eastAsia="Palatino Linotype" w:hAnsi="Palatino Linotype" w:cs="Palatino Linotype"/>
        </w:rPr>
        <w:t>en donde se manifestó de la siguiente manera:</w:t>
      </w:r>
    </w:p>
    <w:p w14:paraId="3DB5F5A1" w14:textId="77777777" w:rsidR="009B2CE9" w:rsidRPr="008944ED" w:rsidRDefault="002459D3">
      <w:pPr>
        <w:tabs>
          <w:tab w:val="left" w:pos="2745"/>
        </w:tabs>
        <w:spacing w:before="240" w:after="240" w:line="360" w:lineRule="auto"/>
        <w:ind w:left="567" w:right="900"/>
        <w:jc w:val="both"/>
        <w:rPr>
          <w:rFonts w:ascii="Palatino Linotype" w:eastAsia="Palatino Linotype" w:hAnsi="Palatino Linotype" w:cs="Palatino Linotype"/>
          <w:b/>
        </w:rPr>
      </w:pPr>
      <w:r w:rsidRPr="008944ED">
        <w:rPr>
          <w:rFonts w:ascii="Palatino Linotype" w:eastAsia="Palatino Linotype" w:hAnsi="Palatino Linotype" w:cs="Palatino Linotype"/>
          <w:b/>
        </w:rPr>
        <w:t xml:space="preserve">a) Acto impugnado: </w:t>
      </w:r>
      <w:r w:rsidRPr="008944ED">
        <w:rPr>
          <w:rFonts w:ascii="Palatino Linotype" w:eastAsia="Palatino Linotype" w:hAnsi="Palatino Linotype" w:cs="Palatino Linotype"/>
          <w:b/>
        </w:rPr>
        <w:tab/>
      </w:r>
      <w:r w:rsidRPr="008944ED">
        <w:rPr>
          <w:rFonts w:ascii="Palatino Linotype" w:eastAsia="Palatino Linotype" w:hAnsi="Palatino Linotype" w:cs="Palatino Linotype"/>
          <w:i/>
          <w:sz w:val="22"/>
          <w:szCs w:val="22"/>
        </w:rPr>
        <w:t xml:space="preserve">“La información </w:t>
      </w:r>
      <w:proofErr w:type="spellStart"/>
      <w:r w:rsidRPr="008944ED">
        <w:rPr>
          <w:rFonts w:ascii="Palatino Linotype" w:eastAsia="Palatino Linotype" w:hAnsi="Palatino Linotype" w:cs="Palatino Linotype"/>
          <w:i/>
          <w:sz w:val="22"/>
          <w:szCs w:val="22"/>
        </w:rPr>
        <w:t>npo</w:t>
      </w:r>
      <w:proofErr w:type="spellEnd"/>
      <w:r w:rsidRPr="008944ED">
        <w:rPr>
          <w:rFonts w:ascii="Palatino Linotype" w:eastAsia="Palatino Linotype" w:hAnsi="Palatino Linotype" w:cs="Palatino Linotype"/>
          <w:i/>
          <w:sz w:val="22"/>
          <w:szCs w:val="22"/>
        </w:rPr>
        <w:t xml:space="preserve"> esta completa” (Sic)</w:t>
      </w:r>
    </w:p>
    <w:p w14:paraId="089D09CB" w14:textId="77777777" w:rsidR="009B2CE9" w:rsidRPr="008944ED" w:rsidRDefault="002459D3">
      <w:pPr>
        <w:spacing w:line="360" w:lineRule="auto"/>
        <w:ind w:left="567" w:right="900"/>
        <w:jc w:val="both"/>
        <w:rPr>
          <w:rFonts w:ascii="Palatino Linotype" w:eastAsia="Palatino Linotype" w:hAnsi="Palatino Linotype" w:cs="Palatino Linotype"/>
        </w:rPr>
      </w:pPr>
      <w:bookmarkStart w:id="1" w:name="_heading=h.30j0zll" w:colFirst="0" w:colLast="0"/>
      <w:bookmarkEnd w:id="1"/>
      <w:r w:rsidRPr="008944ED">
        <w:rPr>
          <w:rFonts w:ascii="Palatino Linotype" w:eastAsia="Palatino Linotype" w:hAnsi="Palatino Linotype" w:cs="Palatino Linotype"/>
          <w:b/>
        </w:rPr>
        <w:t>b) Razones o motivos de inconformidad</w:t>
      </w:r>
      <w:r w:rsidRPr="008944ED">
        <w:rPr>
          <w:rFonts w:ascii="Palatino Linotype" w:eastAsia="Palatino Linotype" w:hAnsi="Palatino Linotype" w:cs="Palatino Linotype"/>
        </w:rPr>
        <w:t>:</w:t>
      </w:r>
      <w:r w:rsidRPr="008944ED">
        <w:rPr>
          <w:rFonts w:ascii="Palatino Linotype" w:eastAsia="Palatino Linotype" w:hAnsi="Palatino Linotype" w:cs="Palatino Linotype"/>
          <w:i/>
          <w:sz w:val="22"/>
          <w:szCs w:val="22"/>
        </w:rPr>
        <w:t xml:space="preserve"> “La información </w:t>
      </w:r>
      <w:proofErr w:type="spellStart"/>
      <w:r w:rsidRPr="008944ED">
        <w:rPr>
          <w:rFonts w:ascii="Palatino Linotype" w:eastAsia="Palatino Linotype" w:hAnsi="Palatino Linotype" w:cs="Palatino Linotype"/>
          <w:i/>
          <w:sz w:val="22"/>
          <w:szCs w:val="22"/>
        </w:rPr>
        <w:t>npo</w:t>
      </w:r>
      <w:proofErr w:type="spellEnd"/>
      <w:r w:rsidRPr="008944ED">
        <w:rPr>
          <w:rFonts w:ascii="Palatino Linotype" w:eastAsia="Palatino Linotype" w:hAnsi="Palatino Linotype" w:cs="Palatino Linotype"/>
          <w:i/>
          <w:sz w:val="22"/>
          <w:szCs w:val="22"/>
        </w:rPr>
        <w:t xml:space="preserve"> esta completa” (Sic)</w:t>
      </w:r>
    </w:p>
    <w:p w14:paraId="0B8D5E3B" w14:textId="77777777" w:rsidR="009B2CE9" w:rsidRPr="008944ED" w:rsidRDefault="009B2CE9">
      <w:pPr>
        <w:ind w:left="567" w:right="902"/>
        <w:jc w:val="both"/>
        <w:rPr>
          <w:rFonts w:ascii="Palatino Linotype" w:eastAsia="Palatino Linotype" w:hAnsi="Palatino Linotype" w:cs="Palatino Linotype"/>
          <w:i/>
          <w:sz w:val="22"/>
          <w:szCs w:val="22"/>
        </w:rPr>
      </w:pPr>
    </w:p>
    <w:p w14:paraId="4964BABA" w14:textId="77777777" w:rsidR="009B2CE9" w:rsidRPr="008944ED" w:rsidRDefault="002459D3">
      <w:pPr>
        <w:spacing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5. Turno. </w:t>
      </w:r>
      <w:r w:rsidRPr="008944E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8944ED">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w:t>
      </w:r>
      <w:r w:rsidRPr="008944ED">
        <w:rPr>
          <w:rFonts w:ascii="Palatino Linotype" w:eastAsia="Palatino Linotype" w:hAnsi="Palatino Linotype" w:cs="Palatino Linotype"/>
          <w:b/>
        </w:rPr>
        <w:t>Comisionada</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 xml:space="preserve">Guadalupe Ramírez Peña, </w:t>
      </w:r>
      <w:r w:rsidRPr="008944ED">
        <w:rPr>
          <w:rFonts w:ascii="Palatino Linotype" w:eastAsia="Palatino Linotype" w:hAnsi="Palatino Linotype" w:cs="Palatino Linotype"/>
        </w:rPr>
        <w:t xml:space="preserve">a efecto de que analizara sobre su admisión o su </w:t>
      </w:r>
      <w:proofErr w:type="spellStart"/>
      <w:r w:rsidRPr="008944ED">
        <w:rPr>
          <w:rFonts w:ascii="Palatino Linotype" w:eastAsia="Palatino Linotype" w:hAnsi="Palatino Linotype" w:cs="Palatino Linotype"/>
        </w:rPr>
        <w:t>desechamiento</w:t>
      </w:r>
      <w:proofErr w:type="spellEnd"/>
      <w:r w:rsidRPr="008944ED">
        <w:rPr>
          <w:rFonts w:ascii="Palatino Linotype" w:eastAsia="Palatino Linotype" w:hAnsi="Palatino Linotype" w:cs="Palatino Linotype"/>
        </w:rPr>
        <w:t>.</w:t>
      </w:r>
    </w:p>
    <w:p w14:paraId="385C3B60" w14:textId="77777777" w:rsidR="009B2CE9" w:rsidRPr="008944ED" w:rsidRDefault="009B2CE9">
      <w:pPr>
        <w:spacing w:line="360" w:lineRule="auto"/>
        <w:ind w:right="51"/>
        <w:jc w:val="both"/>
        <w:rPr>
          <w:rFonts w:ascii="Palatino Linotype" w:eastAsia="Palatino Linotype" w:hAnsi="Palatino Linotype" w:cs="Palatino Linotype"/>
        </w:rPr>
      </w:pPr>
    </w:p>
    <w:p w14:paraId="455EA87E" w14:textId="77777777" w:rsidR="009B2CE9" w:rsidRPr="008944ED" w:rsidRDefault="002459D3">
      <w:pPr>
        <w:spacing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6. Admisión del Recurso de Revisión.</w:t>
      </w:r>
      <w:r w:rsidRPr="008944ED">
        <w:rPr>
          <w:rFonts w:ascii="Palatino Linotype" w:eastAsia="Palatino Linotype" w:hAnsi="Palatino Linotype" w:cs="Palatino Linotype"/>
        </w:rPr>
        <w:t xml:space="preserve"> El</w:t>
      </w:r>
      <w:r w:rsidRPr="008944ED">
        <w:rPr>
          <w:rFonts w:ascii="Palatino Linotype" w:eastAsia="Palatino Linotype" w:hAnsi="Palatino Linotype" w:cs="Palatino Linotype"/>
          <w:b/>
        </w:rPr>
        <w:t xml:space="preserve"> veintitrés de junio de dos mil veintitrés, </w:t>
      </w:r>
      <w:r w:rsidRPr="008944E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presentara su informe justificado.</w:t>
      </w:r>
    </w:p>
    <w:p w14:paraId="5B72C2B6" w14:textId="77777777" w:rsidR="009B2CE9" w:rsidRPr="008944ED" w:rsidRDefault="002459D3">
      <w:pPr>
        <w:spacing w:after="240" w:line="360" w:lineRule="auto"/>
        <w:jc w:val="both"/>
        <w:rPr>
          <w:rFonts w:ascii="Palatino Linotype" w:eastAsia="Palatino Linotype" w:hAnsi="Palatino Linotype" w:cs="Palatino Linotype"/>
        </w:rPr>
      </w:pPr>
      <w:bookmarkStart w:id="2" w:name="_heading=h.2s8eyo1" w:colFirst="0" w:colLast="0"/>
      <w:bookmarkEnd w:id="2"/>
      <w:r w:rsidRPr="008944ED">
        <w:rPr>
          <w:rFonts w:ascii="Palatino Linotype" w:eastAsia="Palatino Linotype" w:hAnsi="Palatino Linotype" w:cs="Palatino Linotype"/>
          <w:b/>
        </w:rPr>
        <w:t>7. Manifestaciones</w:t>
      </w:r>
      <w:r w:rsidRPr="008944ED">
        <w:rPr>
          <w:rFonts w:ascii="Palatino Linotype" w:eastAsia="Palatino Linotype" w:hAnsi="Palatino Linotype" w:cs="Palatino Linotype"/>
        </w:rPr>
        <w:t xml:space="preserve">. Durante este plazo, se tiene constancia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adjuntó su informe justificado el </w:t>
      </w:r>
      <w:r w:rsidRPr="008944ED">
        <w:rPr>
          <w:rFonts w:ascii="Palatino Linotype" w:eastAsia="Palatino Linotype" w:hAnsi="Palatino Linotype" w:cs="Palatino Linotype"/>
          <w:b/>
        </w:rPr>
        <w:t>veintinueve de junio de dos mil veintitrés</w:t>
      </w:r>
      <w:r w:rsidRPr="008944ED">
        <w:rPr>
          <w:rFonts w:ascii="Palatino Linotype" w:eastAsia="Palatino Linotype" w:hAnsi="Palatino Linotype" w:cs="Palatino Linotype"/>
        </w:rPr>
        <w:t xml:space="preserve">, el cual obra en el archivo electrónico denominado </w:t>
      </w:r>
      <w:r w:rsidRPr="008944ED">
        <w:rPr>
          <w:rFonts w:ascii="Palatino Linotype" w:eastAsia="Palatino Linotype" w:hAnsi="Palatino Linotype" w:cs="Palatino Linotype"/>
          <w:b/>
          <w:i/>
        </w:rPr>
        <w:t>“informe justificado SOL_0150_RR_03499_2023.pdf”</w:t>
      </w:r>
      <w:r w:rsidRPr="008944ED">
        <w:rPr>
          <w:rFonts w:ascii="Palatino Linotype" w:eastAsia="Palatino Linotype" w:hAnsi="Palatino Linotype" w:cs="Palatino Linotype"/>
        </w:rPr>
        <w:t xml:space="preserve"> y medularmente consiste en un archivo de tres fojas, en el cual, la Titular de la Unidad de Transparencia señala que</w:t>
      </w:r>
      <w:r w:rsidRPr="008944ED">
        <w:t xml:space="preserve"> </w:t>
      </w:r>
      <w:r w:rsidRPr="008944ED">
        <w:rPr>
          <w:rFonts w:ascii="Palatino Linotype" w:eastAsia="Palatino Linotype" w:hAnsi="Palatino Linotype" w:cs="Palatino Linotype"/>
        </w:rPr>
        <w:t xml:space="preserve">las áreas Administrativas en cuestión, RATIFICAN su respuesta; es de precisar que una vez analizado este documento, se procedió a ponerlo a disposición de la parte Recurrente mediante acuerdo signado por la Comisionada Ponente el </w:t>
      </w:r>
      <w:r w:rsidRPr="008944ED">
        <w:rPr>
          <w:rFonts w:ascii="Palatino Linotype" w:eastAsia="Palatino Linotype" w:hAnsi="Palatino Linotype" w:cs="Palatino Linotype"/>
          <w:b/>
        </w:rPr>
        <w:t>quince de enero de dos mil veinticuatro</w:t>
      </w:r>
      <w:r w:rsidRPr="008944ED">
        <w:rPr>
          <w:rFonts w:ascii="Palatino Linotype" w:eastAsia="Palatino Linotype" w:hAnsi="Palatino Linotype" w:cs="Palatino Linotype"/>
        </w:rPr>
        <w:t xml:space="preserve">, por cuanto hace a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se tiene que esta fue omisa en emitir sus manifestaciones, alegatos o cualquier manifestación que a su derecho conviniera, por lo que se tiene por precluido su derecho para tal efecto.</w:t>
      </w:r>
    </w:p>
    <w:p w14:paraId="5CA4B142" w14:textId="77777777" w:rsidR="009B2CE9" w:rsidRPr="008944ED" w:rsidRDefault="002459D3">
      <w:pPr>
        <w:spacing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1C9CD94A" wp14:editId="4848A01C">
            <wp:extent cx="5612130" cy="2157095"/>
            <wp:effectExtent l="0" t="0" r="0" b="0"/>
            <wp:docPr id="10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612130" cy="2157095"/>
                    </a:xfrm>
                    <a:prstGeom prst="rect">
                      <a:avLst/>
                    </a:prstGeom>
                    <a:ln/>
                  </pic:spPr>
                </pic:pic>
              </a:graphicData>
            </a:graphic>
          </wp:inline>
        </w:drawing>
      </w:r>
    </w:p>
    <w:p w14:paraId="35311575" w14:textId="77777777" w:rsidR="009B2CE9" w:rsidRPr="008944ED" w:rsidRDefault="002459D3">
      <w:pPr>
        <w:widowControl w:val="0"/>
        <w:spacing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8.</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Ampliación del término para resolver</w:t>
      </w:r>
      <w:r w:rsidRPr="008944ED">
        <w:rPr>
          <w:rFonts w:ascii="Palatino Linotype" w:eastAsia="Palatino Linotype" w:hAnsi="Palatino Linotype" w:cs="Palatino Linotype"/>
        </w:rPr>
        <w:t xml:space="preserve">. El </w:t>
      </w:r>
      <w:r w:rsidRPr="008944ED">
        <w:rPr>
          <w:rFonts w:ascii="Palatino Linotype" w:eastAsia="Palatino Linotype" w:hAnsi="Palatino Linotype" w:cs="Palatino Linotype"/>
          <w:b/>
        </w:rPr>
        <w:t>quince de enero del año dos mil veinticuatro</w:t>
      </w:r>
      <w:r w:rsidRPr="008944E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710F33C"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0501473" w14:textId="77777777" w:rsidR="009B2CE9" w:rsidRPr="008944ED" w:rsidRDefault="009B2CE9">
      <w:pPr>
        <w:spacing w:line="360" w:lineRule="auto"/>
        <w:jc w:val="both"/>
        <w:rPr>
          <w:rFonts w:ascii="Palatino Linotype" w:eastAsia="Palatino Linotype" w:hAnsi="Palatino Linotype" w:cs="Palatino Linotype"/>
        </w:rPr>
      </w:pPr>
    </w:p>
    <w:p w14:paraId="3B2D367A"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08FB0B9" w14:textId="77777777" w:rsidR="009B2CE9" w:rsidRPr="008944ED" w:rsidRDefault="009B2CE9">
      <w:pPr>
        <w:spacing w:line="360" w:lineRule="auto"/>
        <w:jc w:val="both"/>
        <w:rPr>
          <w:rFonts w:ascii="Palatino Linotype" w:eastAsia="Palatino Linotype" w:hAnsi="Palatino Linotype" w:cs="Palatino Linotype"/>
        </w:rPr>
      </w:pPr>
    </w:p>
    <w:p w14:paraId="337B9135"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7E7C97" w14:textId="77777777" w:rsidR="009B2CE9" w:rsidRPr="008944ED" w:rsidRDefault="009B2CE9">
      <w:pPr>
        <w:spacing w:line="360" w:lineRule="auto"/>
        <w:jc w:val="both"/>
        <w:rPr>
          <w:rFonts w:ascii="Palatino Linotype" w:eastAsia="Palatino Linotype" w:hAnsi="Palatino Linotype" w:cs="Palatino Linotype"/>
        </w:rPr>
      </w:pPr>
    </w:p>
    <w:p w14:paraId="5D7E7AA1"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336128" w14:textId="77777777" w:rsidR="009B2CE9" w:rsidRPr="008944ED" w:rsidRDefault="009B2CE9">
      <w:pPr>
        <w:spacing w:line="360" w:lineRule="auto"/>
        <w:jc w:val="both"/>
        <w:rPr>
          <w:rFonts w:ascii="Palatino Linotype" w:eastAsia="Palatino Linotype" w:hAnsi="Palatino Linotype" w:cs="Palatino Linotype"/>
        </w:rPr>
      </w:pPr>
    </w:p>
    <w:p w14:paraId="4623203C" w14:textId="77777777" w:rsidR="009B2CE9" w:rsidRPr="008944ED" w:rsidRDefault="002459D3">
      <w:pPr>
        <w:spacing w:line="360" w:lineRule="auto"/>
        <w:jc w:val="both"/>
        <w:rPr>
          <w:rFonts w:ascii="Palatino Linotype" w:eastAsia="Palatino Linotype" w:hAnsi="Palatino Linotype" w:cs="Palatino Linotype"/>
          <w:strike/>
        </w:rPr>
      </w:pPr>
      <w:r w:rsidRPr="008944E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C987C6E" w14:textId="77777777" w:rsidR="009B2CE9" w:rsidRPr="008944ED" w:rsidRDefault="009B2CE9">
      <w:pPr>
        <w:spacing w:line="360" w:lineRule="auto"/>
        <w:jc w:val="both"/>
        <w:rPr>
          <w:rFonts w:ascii="Palatino Linotype" w:eastAsia="Palatino Linotype" w:hAnsi="Palatino Linotype" w:cs="Palatino Linotype"/>
        </w:rPr>
      </w:pPr>
    </w:p>
    <w:p w14:paraId="10EA719D" w14:textId="77777777" w:rsidR="009B2CE9" w:rsidRPr="008944ED" w:rsidRDefault="002459D3">
      <w:pPr>
        <w:numPr>
          <w:ilvl w:val="0"/>
          <w:numId w:val="2"/>
        </w:numPr>
        <w:spacing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b/>
        </w:rPr>
        <w:t>Complejidad del Asunto:</w:t>
      </w:r>
      <w:r w:rsidRPr="008944E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D154BDC" w14:textId="77777777" w:rsidR="009B2CE9" w:rsidRPr="008944ED" w:rsidRDefault="009B2CE9">
      <w:pPr>
        <w:spacing w:line="360" w:lineRule="auto"/>
        <w:ind w:left="567" w:right="900" w:hanging="141"/>
        <w:jc w:val="both"/>
        <w:rPr>
          <w:rFonts w:ascii="Palatino Linotype" w:eastAsia="Palatino Linotype" w:hAnsi="Palatino Linotype" w:cs="Palatino Linotype"/>
          <w:b/>
        </w:rPr>
      </w:pPr>
    </w:p>
    <w:p w14:paraId="050BF6C4" w14:textId="77777777" w:rsidR="009B2CE9" w:rsidRPr="008944ED" w:rsidRDefault="002459D3">
      <w:pPr>
        <w:numPr>
          <w:ilvl w:val="0"/>
          <w:numId w:val="2"/>
        </w:numPr>
        <w:spacing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b/>
        </w:rPr>
        <w:t>Actividad Procesal del interesado.</w:t>
      </w:r>
      <w:r w:rsidRPr="008944ED">
        <w:rPr>
          <w:rFonts w:ascii="Palatino Linotype" w:eastAsia="Palatino Linotype" w:hAnsi="Palatino Linotype" w:cs="Palatino Linotype"/>
        </w:rPr>
        <w:t xml:space="preserve"> Acciones u omisiones del interesado.</w:t>
      </w:r>
    </w:p>
    <w:p w14:paraId="37066763" w14:textId="77777777" w:rsidR="009B2CE9" w:rsidRPr="008944ED" w:rsidRDefault="009B2CE9">
      <w:pPr>
        <w:spacing w:line="360" w:lineRule="auto"/>
        <w:ind w:left="567" w:right="900" w:hanging="141"/>
        <w:jc w:val="both"/>
        <w:rPr>
          <w:rFonts w:ascii="Palatino Linotype" w:eastAsia="Palatino Linotype" w:hAnsi="Palatino Linotype" w:cs="Palatino Linotype"/>
        </w:rPr>
      </w:pPr>
    </w:p>
    <w:p w14:paraId="0BB924EC" w14:textId="77777777" w:rsidR="009B2CE9" w:rsidRPr="008944ED" w:rsidRDefault="002459D3">
      <w:pPr>
        <w:numPr>
          <w:ilvl w:val="0"/>
          <w:numId w:val="2"/>
        </w:numPr>
        <w:spacing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b/>
        </w:rPr>
        <w:lastRenderedPageBreak/>
        <w:t>Conducta de la Autoridad:</w:t>
      </w:r>
      <w:r w:rsidRPr="008944ED">
        <w:rPr>
          <w:rFonts w:ascii="Palatino Linotype" w:eastAsia="Palatino Linotype" w:hAnsi="Palatino Linotype" w:cs="Palatino Linotype"/>
        </w:rPr>
        <w:t xml:space="preserve"> Las Acciones u omisiones realizadas en el procedimiento. Así como si la autoridad actuó con la debida diligencia.</w:t>
      </w:r>
    </w:p>
    <w:p w14:paraId="58CA310C" w14:textId="77777777" w:rsidR="009B2CE9" w:rsidRPr="008944ED" w:rsidRDefault="009B2CE9">
      <w:pPr>
        <w:spacing w:line="360" w:lineRule="auto"/>
        <w:ind w:left="567" w:right="900" w:hanging="141"/>
        <w:rPr>
          <w:rFonts w:ascii="Palatino Linotype" w:eastAsia="Palatino Linotype" w:hAnsi="Palatino Linotype" w:cs="Palatino Linotype"/>
        </w:rPr>
      </w:pPr>
    </w:p>
    <w:p w14:paraId="5FC885DB" w14:textId="77777777" w:rsidR="009B2CE9" w:rsidRPr="008944ED" w:rsidRDefault="002459D3">
      <w:pPr>
        <w:spacing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b/>
        </w:rPr>
        <w:t>d) La afectación generada en la situación jurídica de la persona involucrada en el proceso</w:t>
      </w:r>
      <w:r w:rsidRPr="008944ED">
        <w:rPr>
          <w:rFonts w:ascii="Palatino Linotype" w:eastAsia="Palatino Linotype" w:hAnsi="Palatino Linotype" w:cs="Palatino Linotype"/>
        </w:rPr>
        <w:t>: Violación a sus derechos humanos.</w:t>
      </w:r>
    </w:p>
    <w:p w14:paraId="2AC3FD00" w14:textId="77777777" w:rsidR="009B2CE9" w:rsidRPr="008944ED" w:rsidRDefault="009B2CE9">
      <w:pPr>
        <w:spacing w:line="360" w:lineRule="auto"/>
        <w:jc w:val="both"/>
        <w:rPr>
          <w:rFonts w:ascii="Palatino Linotype" w:eastAsia="Palatino Linotype" w:hAnsi="Palatino Linotype" w:cs="Palatino Linotype"/>
        </w:rPr>
      </w:pPr>
    </w:p>
    <w:p w14:paraId="3BCDA5B1"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5A5615" w14:textId="77777777" w:rsidR="009B2CE9" w:rsidRPr="008944ED" w:rsidRDefault="009B2CE9">
      <w:pPr>
        <w:spacing w:line="360" w:lineRule="auto"/>
        <w:jc w:val="both"/>
        <w:rPr>
          <w:rFonts w:ascii="Palatino Linotype" w:eastAsia="Palatino Linotype" w:hAnsi="Palatino Linotype" w:cs="Palatino Linotype"/>
        </w:rPr>
      </w:pPr>
    </w:p>
    <w:p w14:paraId="33A55B37" w14:textId="77777777" w:rsidR="009B2CE9" w:rsidRPr="008944ED" w:rsidRDefault="002459D3">
      <w:pPr>
        <w:spacing w:line="360" w:lineRule="auto"/>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944E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944ED">
        <w:rPr>
          <w:rFonts w:ascii="Palatino Linotype" w:eastAsia="Palatino Linotype" w:hAnsi="Palatino Linotype" w:cs="Palatino Linotype"/>
        </w:rPr>
        <w:t>, visible en la Gaceta del Seminario Judicial de la Federación con el registro digital 205635.</w:t>
      </w:r>
    </w:p>
    <w:p w14:paraId="69A922EC" w14:textId="77777777" w:rsidR="009B2CE9" w:rsidRPr="008944ED" w:rsidRDefault="009B2CE9">
      <w:pPr>
        <w:spacing w:line="360" w:lineRule="auto"/>
        <w:jc w:val="both"/>
        <w:rPr>
          <w:rFonts w:ascii="Palatino Linotype" w:eastAsia="Palatino Linotype" w:hAnsi="Palatino Linotype" w:cs="Palatino Linotype"/>
        </w:rPr>
      </w:pPr>
    </w:p>
    <w:p w14:paraId="18AD9EB0"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8944ED">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AD8F71" w14:textId="77777777" w:rsidR="009B2CE9" w:rsidRPr="008944ED" w:rsidRDefault="009B2CE9">
      <w:pPr>
        <w:spacing w:line="360" w:lineRule="auto"/>
        <w:jc w:val="both"/>
        <w:rPr>
          <w:rFonts w:ascii="Palatino Linotype" w:eastAsia="Palatino Linotype" w:hAnsi="Palatino Linotype" w:cs="Palatino Linotype"/>
        </w:rPr>
      </w:pPr>
    </w:p>
    <w:p w14:paraId="3864C329"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C9FBEF5" w14:textId="77777777" w:rsidR="009B2CE9" w:rsidRPr="008944ED" w:rsidRDefault="009B2CE9">
      <w:pPr>
        <w:spacing w:line="360" w:lineRule="auto"/>
        <w:jc w:val="both"/>
        <w:rPr>
          <w:rFonts w:ascii="Palatino Linotype" w:eastAsia="Palatino Linotype" w:hAnsi="Palatino Linotype" w:cs="Palatino Linotype"/>
        </w:rPr>
      </w:pPr>
    </w:p>
    <w:p w14:paraId="676D8648"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i/>
        </w:rPr>
        <w:t>“PLAZO RAZONABLE PARA RESOLVER. DIMENSIÓN Y EFECTOS DE ESTE CONCEPTO CUANDO SE ADUCE EXCESIVA CARGA DE TRABAJO.”</w:t>
      </w:r>
      <w:r w:rsidRPr="008944ED">
        <w:rPr>
          <w:rFonts w:ascii="Palatino Linotype" w:eastAsia="Palatino Linotype" w:hAnsi="Palatino Linotype" w:cs="Palatino Linotype"/>
        </w:rPr>
        <w:t xml:space="preserve"> consultable en el Seminario Judicial de la Federación y su gaceta, con el registro digital 2002351.</w:t>
      </w:r>
    </w:p>
    <w:p w14:paraId="6FC56AB8" w14:textId="77777777" w:rsidR="009B2CE9" w:rsidRPr="008944ED" w:rsidRDefault="009B2CE9">
      <w:pPr>
        <w:spacing w:line="360" w:lineRule="auto"/>
        <w:jc w:val="both"/>
        <w:rPr>
          <w:rFonts w:ascii="Palatino Linotype" w:eastAsia="Palatino Linotype" w:hAnsi="Palatino Linotype" w:cs="Palatino Linotype"/>
          <w:b/>
        </w:rPr>
      </w:pPr>
    </w:p>
    <w:p w14:paraId="039C0AA3"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i/>
        </w:rPr>
        <w:t>“PLAZO RAZONABLE PARA RESOLVER. CONCEPTO Y ELEMENTOS QUE LO INTEGRAN A LA LUZ DEL DERECHO INTERNACIONAL DE LOS DERECHOS HUMANOS.”</w:t>
      </w:r>
      <w:r w:rsidRPr="008944ED">
        <w:rPr>
          <w:rFonts w:ascii="Palatino Linotype" w:eastAsia="Palatino Linotype" w:hAnsi="Palatino Linotype" w:cs="Palatino Linotype"/>
        </w:rPr>
        <w:t>, visible en el Seminario Judicial de la Federación y su gaceta, con el registro digital 2002350.</w:t>
      </w:r>
    </w:p>
    <w:p w14:paraId="1450B103" w14:textId="77777777" w:rsidR="009B2CE9" w:rsidRPr="008944ED" w:rsidRDefault="009B2CE9">
      <w:pPr>
        <w:spacing w:line="360" w:lineRule="auto"/>
        <w:jc w:val="both"/>
        <w:rPr>
          <w:rFonts w:ascii="Palatino Linotype" w:eastAsia="Palatino Linotype" w:hAnsi="Palatino Linotype" w:cs="Palatino Linotype"/>
        </w:rPr>
      </w:pPr>
    </w:p>
    <w:p w14:paraId="76A3707E"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71F78A6" w14:textId="77777777" w:rsidR="009B2CE9" w:rsidRPr="008944ED" w:rsidRDefault="009B2CE9">
      <w:pPr>
        <w:spacing w:line="360" w:lineRule="auto"/>
        <w:jc w:val="both"/>
        <w:rPr>
          <w:rFonts w:ascii="Palatino Linotype" w:eastAsia="Palatino Linotype" w:hAnsi="Palatino Linotype" w:cs="Palatino Linotype"/>
        </w:rPr>
      </w:pPr>
    </w:p>
    <w:p w14:paraId="0D646148" w14:textId="77777777" w:rsidR="009B2CE9" w:rsidRPr="008944ED" w:rsidRDefault="002459D3">
      <w:pPr>
        <w:spacing w:after="240" w:line="360" w:lineRule="auto"/>
        <w:jc w:val="both"/>
        <w:rPr>
          <w:rFonts w:ascii="Palatino Linotype" w:eastAsia="Palatino Linotype" w:hAnsi="Palatino Linotype" w:cs="Palatino Linotype"/>
          <w:b/>
        </w:rPr>
      </w:pPr>
      <w:r w:rsidRPr="008944ED">
        <w:rPr>
          <w:rFonts w:ascii="Palatino Linotype" w:eastAsia="Palatino Linotype" w:hAnsi="Palatino Linotype" w:cs="Palatino Linotype"/>
          <w:b/>
        </w:rPr>
        <w:t xml:space="preserve">9. Cierre de instrucción. </w:t>
      </w:r>
      <w:r w:rsidRPr="008944E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944ED">
        <w:rPr>
          <w:rFonts w:ascii="Palatino Linotype" w:eastAsia="Palatino Linotype" w:hAnsi="Palatino Linotype" w:cs="Palatino Linotype"/>
          <w:b/>
        </w:rPr>
        <w:t>veintinueve de enero de dos mil veinticuatro</w:t>
      </w:r>
      <w:r w:rsidRPr="008944E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EF4CD10"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06BCAB5" w14:textId="77777777" w:rsidR="009B2CE9" w:rsidRPr="008944ED" w:rsidRDefault="002459D3">
      <w:pPr>
        <w:widowControl w:val="0"/>
        <w:spacing w:line="360" w:lineRule="auto"/>
        <w:jc w:val="center"/>
        <w:rPr>
          <w:rFonts w:ascii="Palatino Linotype" w:eastAsia="Palatino Linotype" w:hAnsi="Palatino Linotype" w:cs="Palatino Linotype"/>
          <w:b/>
        </w:rPr>
      </w:pPr>
      <w:r w:rsidRPr="008944ED">
        <w:rPr>
          <w:rFonts w:ascii="Palatino Linotype" w:eastAsia="Palatino Linotype" w:hAnsi="Palatino Linotype" w:cs="Palatino Linotype"/>
          <w:b/>
        </w:rPr>
        <w:t>II. C O N S I D E R A N D O S</w:t>
      </w:r>
    </w:p>
    <w:p w14:paraId="724C712B"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Primero. Competencia.</w:t>
      </w:r>
      <w:r w:rsidRPr="008944E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8944ED">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799E82B7" w14:textId="77777777" w:rsidR="009B2CE9" w:rsidRPr="008944ED" w:rsidRDefault="002459D3">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944ED">
        <w:rPr>
          <w:rFonts w:ascii="Palatino Linotype" w:eastAsia="Palatino Linotype" w:hAnsi="Palatino Linotype" w:cs="Palatino Linotype"/>
          <w:b/>
        </w:rPr>
        <w:t xml:space="preserve">Segundo. Oportunidad y Procedibilidad del Recurso de Revisión. </w:t>
      </w:r>
      <w:r w:rsidRPr="008944ED">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09AFAC" w14:textId="77777777" w:rsidR="009B2CE9" w:rsidRPr="008944ED" w:rsidRDefault="002459D3">
      <w:pPr>
        <w:pBdr>
          <w:top w:val="nil"/>
          <w:left w:val="nil"/>
          <w:bottom w:val="nil"/>
          <w:right w:val="nil"/>
          <w:between w:val="nil"/>
        </w:pBd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8944ED">
        <w:rPr>
          <w:rFonts w:ascii="Palatino Linotype" w:eastAsia="Palatino Linotype" w:hAnsi="Palatino Linotype" w:cs="Palatino Linotype"/>
          <w:b/>
        </w:rPr>
        <w:t>el Sujeto Obligado</w:t>
      </w:r>
      <w:r w:rsidRPr="008944ED">
        <w:rPr>
          <w:rFonts w:ascii="Palatino Linotype" w:eastAsia="Palatino Linotype" w:hAnsi="Palatino Linotype" w:cs="Palatino Linotype"/>
        </w:rPr>
        <w:t xml:space="preserve"> respondió a la solicitud de información el </w:t>
      </w:r>
      <w:r w:rsidRPr="008944ED">
        <w:rPr>
          <w:rFonts w:ascii="Palatino Linotype" w:eastAsia="Palatino Linotype" w:hAnsi="Palatino Linotype" w:cs="Palatino Linotype"/>
          <w:b/>
        </w:rPr>
        <w:t xml:space="preserve">dos de junio de dos mil veintitrés, </w:t>
      </w:r>
      <w:r w:rsidRPr="008944ED">
        <w:rPr>
          <w:rFonts w:ascii="Palatino Linotype" w:eastAsia="Palatino Linotype" w:hAnsi="Palatino Linotype" w:cs="Palatino Linotype"/>
        </w:rPr>
        <w:t xml:space="preserve">mientras que el recurso de revisión se interpuso el </w:t>
      </w:r>
      <w:r w:rsidRPr="008944ED">
        <w:rPr>
          <w:rFonts w:ascii="Palatino Linotype" w:eastAsia="Palatino Linotype" w:hAnsi="Palatino Linotype" w:cs="Palatino Linotype"/>
          <w:b/>
        </w:rPr>
        <w:t>veinte de junio de dos mil veintitrés</w:t>
      </w:r>
      <w:r w:rsidRPr="008944ED">
        <w:rPr>
          <w:rFonts w:ascii="Palatino Linotype" w:eastAsia="Palatino Linotype" w:hAnsi="Palatino Linotype" w:cs="Palatino Linotype"/>
        </w:rPr>
        <w:t xml:space="preserve">, esto es, el </w:t>
      </w:r>
      <w:r w:rsidRPr="008944ED">
        <w:rPr>
          <w:rFonts w:ascii="Palatino Linotype" w:eastAsia="Palatino Linotype" w:hAnsi="Palatino Linotype" w:cs="Palatino Linotype"/>
          <w:b/>
        </w:rPr>
        <w:t xml:space="preserve">décimo segundo día hábil </w:t>
      </w:r>
      <w:r w:rsidRPr="008944ED">
        <w:rPr>
          <w:rFonts w:ascii="Palatino Linotype" w:eastAsia="Palatino Linotype" w:hAnsi="Palatino Linotype" w:cs="Palatino Linotype"/>
        </w:rPr>
        <w:t>posterior en que tuvo conocimiento de la respuesta impugnada.</w:t>
      </w:r>
    </w:p>
    <w:p w14:paraId="7BA549CC"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este sentido, al considerar la fecha en que se formuló la solicitud y la fecha en que respondió a esta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F0D2208"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Asimismo, por cuanto hace a la procedibilidad del  recurso de revisión, es de suma importancia señalar que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no señaló nombre o seudónimo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w:t>
      </w:r>
      <w:r w:rsidRPr="008944ED">
        <w:rPr>
          <w:rFonts w:ascii="Palatino Linotype" w:eastAsia="Palatino Linotype" w:hAnsi="Palatino Linotype" w:cs="Palatino Linotype"/>
        </w:rPr>
        <w:lastRenderedPageBreak/>
        <w:t>a la Información Pública del Estado de México y Municipios que establece lo siguiente:</w:t>
      </w:r>
    </w:p>
    <w:p w14:paraId="05DF3765" w14:textId="77777777" w:rsidR="009B2CE9" w:rsidRPr="008944ED" w:rsidRDefault="002459D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Las solicitudes anónimas</w:t>
      </w:r>
      <w:r w:rsidRPr="008944ED">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5F5CD0CA"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C2D0F2" w14:textId="77777777" w:rsidR="009B2CE9" w:rsidRPr="008944ED" w:rsidRDefault="002459D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944ED">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7AD6752E" w14:textId="77777777" w:rsidR="009B2CE9" w:rsidRPr="008944ED" w:rsidRDefault="002459D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179</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El recurso de revisión</w:t>
      </w:r>
      <w:r w:rsidRPr="008944E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8944ED">
        <w:rPr>
          <w:rFonts w:ascii="Palatino Linotype" w:eastAsia="Palatino Linotype" w:hAnsi="Palatino Linotype" w:cs="Palatino Linotype"/>
          <w:b/>
          <w:i/>
          <w:sz w:val="22"/>
          <w:szCs w:val="22"/>
        </w:rPr>
        <w:t>, y procederá en contra de las siguientes causas</w:t>
      </w:r>
      <w:r w:rsidRPr="008944ED">
        <w:rPr>
          <w:rFonts w:ascii="Palatino Linotype" w:eastAsia="Palatino Linotype" w:hAnsi="Palatino Linotype" w:cs="Palatino Linotype"/>
          <w:i/>
          <w:sz w:val="22"/>
          <w:szCs w:val="22"/>
        </w:rPr>
        <w:t>:</w:t>
      </w:r>
    </w:p>
    <w:p w14:paraId="105A586E" w14:textId="77777777" w:rsidR="009B2CE9" w:rsidRPr="008944ED" w:rsidRDefault="002459D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74FF2B08" w14:textId="77777777" w:rsidR="009B2CE9" w:rsidRPr="008944ED" w:rsidRDefault="002459D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u w:val="single"/>
        </w:rPr>
      </w:pPr>
      <w:r w:rsidRPr="008944ED">
        <w:rPr>
          <w:rFonts w:ascii="Palatino Linotype" w:eastAsia="Palatino Linotype" w:hAnsi="Palatino Linotype" w:cs="Palatino Linotype"/>
          <w:b/>
          <w:i/>
          <w:sz w:val="22"/>
          <w:szCs w:val="22"/>
          <w:u w:val="single"/>
        </w:rPr>
        <w:t>V. La entrega de información incompleta</w:t>
      </w:r>
      <w:r w:rsidRPr="008944ED">
        <w:rPr>
          <w:rFonts w:ascii="Palatino Linotype" w:eastAsia="Palatino Linotype" w:hAnsi="Palatino Linotype" w:cs="Palatino Linotype"/>
          <w:i/>
          <w:sz w:val="22"/>
          <w:szCs w:val="22"/>
          <w:u w:val="single"/>
        </w:rPr>
        <w:t>;</w:t>
      </w:r>
      <w:r w:rsidRPr="008944ED">
        <w:rPr>
          <w:rFonts w:ascii="Palatino Linotype" w:eastAsia="Palatino Linotype" w:hAnsi="Palatino Linotype" w:cs="Palatino Linotype"/>
          <w:i/>
          <w:sz w:val="22"/>
          <w:szCs w:val="22"/>
        </w:rPr>
        <w:t>” (Énfasis añadido)</w:t>
      </w:r>
    </w:p>
    <w:p w14:paraId="7C22BF26"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Tercero. Materia de la revisión. </w:t>
      </w:r>
      <w:r w:rsidRPr="008944E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944ED">
        <w:rPr>
          <w:rFonts w:ascii="Palatino Linotype" w:eastAsia="Palatino Linotype" w:hAnsi="Palatino Linotype" w:cs="Palatino Linotype"/>
          <w:b/>
        </w:rPr>
        <w:lastRenderedPageBreak/>
        <w:t xml:space="preserve">verificar si </w:t>
      </w:r>
      <w:proofErr w:type="gramStart"/>
      <w:r w:rsidRPr="008944ED">
        <w:rPr>
          <w:rFonts w:ascii="Palatino Linotype" w:eastAsia="Palatino Linotype" w:hAnsi="Palatino Linotype" w:cs="Palatino Linotype"/>
          <w:b/>
        </w:rPr>
        <w:t>la respuesta otorgada por el Sujeto Obligado son</w:t>
      </w:r>
      <w:proofErr w:type="gramEnd"/>
      <w:r w:rsidRPr="008944ED">
        <w:rPr>
          <w:rFonts w:ascii="Palatino Linotype" w:eastAsia="Palatino Linotype" w:hAnsi="Palatino Linotype" w:cs="Palatino Linotype"/>
          <w:b/>
        </w:rPr>
        <w:t xml:space="preserve"> adecuados y suficientes para satisfacer el derecho de acceso a la información pública </w:t>
      </w:r>
      <w:r w:rsidRPr="008944ED">
        <w:rPr>
          <w:rFonts w:ascii="Palatino Linotype" w:eastAsia="Palatino Linotype" w:hAnsi="Palatino Linotype" w:cs="Palatino Linotype"/>
        </w:rPr>
        <w:t xml:space="preserve">de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o en su defecto, en caso de ser procedente, ordenar la entrega de información oportuna.</w:t>
      </w:r>
    </w:p>
    <w:p w14:paraId="5C0C0EB6"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b/>
        </w:rPr>
        <w:t xml:space="preserve">Cuarto. Estudio del asunto. </w:t>
      </w:r>
      <w:r w:rsidRPr="008944ED">
        <w:rPr>
          <w:rFonts w:ascii="Palatino Linotype" w:eastAsia="Palatino Linotype" w:hAnsi="Palatino Linotype" w:cs="Palatino Linotype"/>
        </w:rPr>
        <w:t xml:space="preserve">Antes de entrar al análisis de los pronunciamientos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59D4A56" w14:textId="77777777" w:rsidR="009B2CE9" w:rsidRPr="008944ED" w:rsidRDefault="002459D3">
      <w:pPr>
        <w:pBdr>
          <w:top w:val="nil"/>
          <w:left w:val="nil"/>
          <w:bottom w:val="nil"/>
          <w:right w:val="nil"/>
          <w:between w:val="nil"/>
        </w:pBdr>
        <w:spacing w:before="240" w:after="240"/>
        <w:ind w:left="851" w:right="850"/>
        <w:jc w:val="both"/>
      </w:pPr>
      <w:r w:rsidRPr="008944E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944E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39A681" w14:textId="77777777" w:rsidR="009B2CE9" w:rsidRPr="008944ED" w:rsidRDefault="002459D3">
      <w:pPr>
        <w:pBdr>
          <w:top w:val="nil"/>
          <w:left w:val="nil"/>
          <w:bottom w:val="nil"/>
          <w:right w:val="nil"/>
          <w:between w:val="nil"/>
        </w:pBdr>
        <w:spacing w:before="240" w:after="240"/>
        <w:ind w:left="851" w:right="850"/>
        <w:jc w:val="both"/>
      </w:pPr>
      <w:r w:rsidRPr="008944E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4B54D7F" w14:textId="77777777" w:rsidR="009B2CE9" w:rsidRPr="008944ED" w:rsidRDefault="002459D3">
      <w:pPr>
        <w:pBdr>
          <w:top w:val="nil"/>
          <w:left w:val="nil"/>
          <w:bottom w:val="nil"/>
          <w:right w:val="nil"/>
          <w:between w:val="nil"/>
        </w:pBdr>
        <w:spacing w:before="240" w:after="240"/>
        <w:ind w:left="851" w:right="850"/>
        <w:jc w:val="both"/>
      </w:pPr>
      <w:r w:rsidRPr="008944E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944E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A6AE88A" w14:textId="77777777" w:rsidR="009B2CE9" w:rsidRPr="008944ED" w:rsidRDefault="002459D3">
      <w:pPr>
        <w:pBdr>
          <w:top w:val="nil"/>
          <w:left w:val="nil"/>
          <w:bottom w:val="nil"/>
          <w:right w:val="nil"/>
          <w:between w:val="nil"/>
        </w:pBdr>
        <w:spacing w:before="240" w:after="240"/>
        <w:ind w:left="851" w:right="850"/>
        <w:jc w:val="both"/>
      </w:pPr>
      <w:r w:rsidRPr="008944ED">
        <w:rPr>
          <w:rFonts w:ascii="Palatino Linotype" w:eastAsia="Palatino Linotype" w:hAnsi="Palatino Linotype" w:cs="Palatino Linotype"/>
          <w:i/>
          <w:sz w:val="22"/>
          <w:szCs w:val="22"/>
        </w:rPr>
        <w:lastRenderedPageBreak/>
        <w:t>[…]</w:t>
      </w:r>
    </w:p>
    <w:p w14:paraId="0267C317" w14:textId="77777777" w:rsidR="009B2CE9" w:rsidRPr="008944ED" w:rsidRDefault="002459D3">
      <w:pPr>
        <w:pBdr>
          <w:top w:val="nil"/>
          <w:left w:val="nil"/>
          <w:bottom w:val="nil"/>
          <w:right w:val="nil"/>
          <w:between w:val="nil"/>
        </w:pBdr>
        <w:spacing w:before="240" w:after="240"/>
        <w:ind w:left="851" w:right="901"/>
        <w:jc w:val="both"/>
      </w:pPr>
      <w:r w:rsidRPr="008944ED">
        <w:rPr>
          <w:rFonts w:ascii="Palatino Linotype" w:eastAsia="Palatino Linotype" w:hAnsi="Palatino Linotype" w:cs="Palatino Linotype"/>
          <w:b/>
          <w:i/>
          <w:sz w:val="22"/>
          <w:szCs w:val="22"/>
        </w:rPr>
        <w:t>“Artículo 6o.</w:t>
      </w:r>
    </w:p>
    <w:p w14:paraId="61B3EB5F" w14:textId="77777777" w:rsidR="009B2CE9" w:rsidRPr="008944ED" w:rsidRDefault="002459D3">
      <w:pPr>
        <w:pBdr>
          <w:top w:val="nil"/>
          <w:left w:val="nil"/>
          <w:bottom w:val="nil"/>
          <w:right w:val="nil"/>
          <w:between w:val="nil"/>
        </w:pBdr>
        <w:spacing w:before="240" w:after="240"/>
        <w:ind w:left="851" w:right="901"/>
        <w:jc w:val="both"/>
      </w:pPr>
      <w:r w:rsidRPr="008944ED">
        <w:rPr>
          <w:rFonts w:ascii="Palatino Linotype" w:eastAsia="Palatino Linotype" w:hAnsi="Palatino Linotype" w:cs="Palatino Linotype"/>
          <w:i/>
          <w:sz w:val="22"/>
          <w:szCs w:val="22"/>
        </w:rPr>
        <w:t>[...]</w:t>
      </w:r>
    </w:p>
    <w:p w14:paraId="4E59872F"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b/>
          <w:i/>
          <w:sz w:val="22"/>
          <w:szCs w:val="22"/>
        </w:rPr>
        <w:t xml:space="preserve">A. Para el ejercicio del derecho de acceso a la información, la Federación y </w:t>
      </w:r>
      <w:r w:rsidRPr="008944ED">
        <w:rPr>
          <w:rFonts w:ascii="Palatino Linotype" w:eastAsia="Palatino Linotype" w:hAnsi="Palatino Linotype" w:cs="Palatino Linotype"/>
          <w:b/>
          <w:i/>
          <w:sz w:val="22"/>
          <w:szCs w:val="22"/>
          <w:u w:val="single"/>
        </w:rPr>
        <w:t>las entidades federativas</w:t>
      </w:r>
      <w:r w:rsidRPr="008944ED">
        <w:rPr>
          <w:rFonts w:ascii="Palatino Linotype" w:eastAsia="Palatino Linotype" w:hAnsi="Palatino Linotype" w:cs="Palatino Linotype"/>
          <w:b/>
          <w:i/>
          <w:sz w:val="22"/>
          <w:szCs w:val="22"/>
        </w:rPr>
        <w:t>,</w:t>
      </w:r>
      <w:r w:rsidRPr="008944ED">
        <w:rPr>
          <w:rFonts w:ascii="Palatino Linotype" w:eastAsia="Palatino Linotype" w:hAnsi="Palatino Linotype" w:cs="Palatino Linotype"/>
          <w:i/>
          <w:sz w:val="22"/>
          <w:szCs w:val="22"/>
        </w:rPr>
        <w:t xml:space="preserve"> en el ámbito de sus respectivas competencias, se regirán por los siguientes principios y bases:</w:t>
      </w:r>
    </w:p>
    <w:p w14:paraId="5BA40797"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t> </w:t>
      </w:r>
      <w:r w:rsidRPr="008944ED">
        <w:rPr>
          <w:rFonts w:ascii="Palatino Linotype" w:eastAsia="Palatino Linotype" w:hAnsi="Palatino Linotype" w:cs="Palatino Linotype"/>
          <w:b/>
          <w:i/>
          <w:sz w:val="22"/>
          <w:szCs w:val="22"/>
        </w:rPr>
        <w:t xml:space="preserve">I. </w:t>
      </w:r>
      <w:r w:rsidRPr="008944E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944ED">
        <w:rPr>
          <w:rFonts w:ascii="Palatino Linotype" w:eastAsia="Palatino Linotype" w:hAnsi="Palatino Linotype" w:cs="Palatino Linotype"/>
          <w:i/>
          <w:sz w:val="22"/>
          <w:szCs w:val="22"/>
        </w:rPr>
        <w:t xml:space="preserve"> Ejecutivo, Legislativo </w:t>
      </w:r>
      <w:r w:rsidRPr="008944ED">
        <w:rPr>
          <w:rFonts w:ascii="Palatino Linotype" w:eastAsia="Palatino Linotype" w:hAnsi="Palatino Linotype" w:cs="Palatino Linotype"/>
          <w:b/>
          <w:i/>
          <w:sz w:val="22"/>
          <w:szCs w:val="22"/>
          <w:u w:val="single"/>
        </w:rPr>
        <w:t>y Judicial</w:t>
      </w:r>
      <w:r w:rsidRPr="008944E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944ED">
        <w:rPr>
          <w:rFonts w:ascii="Palatino Linotype" w:eastAsia="Palatino Linotype" w:hAnsi="Palatino Linotype" w:cs="Palatino Linotype"/>
          <w:b/>
          <w:i/>
          <w:sz w:val="22"/>
          <w:szCs w:val="22"/>
        </w:rPr>
        <w:t>es pública y sólo podrá ser reservada temporalmente por razones de interés público y seguridad nacional,</w:t>
      </w:r>
      <w:r w:rsidRPr="008944E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C40CD0"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t> </w:t>
      </w:r>
      <w:r w:rsidRPr="008944E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22C630E"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t> </w:t>
      </w:r>
      <w:r w:rsidRPr="008944ED">
        <w:rPr>
          <w:rFonts w:ascii="Palatino Linotype" w:eastAsia="Palatino Linotype" w:hAnsi="Palatino Linotype" w:cs="Palatino Linotype"/>
          <w:b/>
          <w:i/>
          <w:sz w:val="22"/>
          <w:szCs w:val="22"/>
        </w:rPr>
        <w:t xml:space="preserve">III. </w:t>
      </w:r>
      <w:r w:rsidRPr="008944E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944ED">
        <w:rPr>
          <w:rFonts w:ascii="Palatino Linotype" w:eastAsia="Palatino Linotype" w:hAnsi="Palatino Linotype" w:cs="Palatino Linotype"/>
          <w:i/>
          <w:sz w:val="22"/>
          <w:szCs w:val="22"/>
        </w:rPr>
        <w:t xml:space="preserve"> a sus datos personales o a la rectificación de éstos.</w:t>
      </w:r>
    </w:p>
    <w:p w14:paraId="7BE0BB3E"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t> </w:t>
      </w:r>
      <w:r w:rsidRPr="008944ED">
        <w:rPr>
          <w:rFonts w:ascii="Palatino Linotype" w:eastAsia="Palatino Linotype" w:hAnsi="Palatino Linotype" w:cs="Palatino Linotype"/>
          <w:b/>
          <w:i/>
          <w:sz w:val="22"/>
          <w:szCs w:val="22"/>
        </w:rPr>
        <w:t xml:space="preserve">IV. </w:t>
      </w:r>
      <w:r w:rsidRPr="008944E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77C2B57"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b/>
          <w:i/>
          <w:sz w:val="22"/>
          <w:szCs w:val="22"/>
        </w:rPr>
        <w:t xml:space="preserve">V. </w:t>
      </w:r>
      <w:r w:rsidRPr="008944E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979613"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t> </w:t>
      </w:r>
      <w:r w:rsidRPr="008944ED">
        <w:rPr>
          <w:rFonts w:ascii="Palatino Linotype" w:eastAsia="Palatino Linotype" w:hAnsi="Palatino Linotype" w:cs="Palatino Linotype"/>
          <w:b/>
          <w:i/>
          <w:sz w:val="22"/>
          <w:szCs w:val="22"/>
        </w:rPr>
        <w:t xml:space="preserve">VI. </w:t>
      </w:r>
      <w:r w:rsidRPr="008944E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653F47" w14:textId="77777777" w:rsidR="009B2CE9" w:rsidRPr="008944ED" w:rsidRDefault="002459D3">
      <w:pPr>
        <w:pBdr>
          <w:top w:val="nil"/>
          <w:left w:val="nil"/>
          <w:bottom w:val="nil"/>
          <w:right w:val="nil"/>
          <w:between w:val="nil"/>
        </w:pBdr>
        <w:spacing w:before="240" w:after="240"/>
        <w:ind w:left="851" w:right="851"/>
        <w:jc w:val="both"/>
      </w:pPr>
      <w:r w:rsidRPr="008944ED">
        <w:rPr>
          <w:rFonts w:ascii="Palatino Linotype" w:eastAsia="Palatino Linotype" w:hAnsi="Palatino Linotype" w:cs="Palatino Linotype"/>
          <w:i/>
          <w:sz w:val="22"/>
          <w:szCs w:val="22"/>
        </w:rPr>
        <w:lastRenderedPageBreak/>
        <w:t> </w:t>
      </w:r>
      <w:r w:rsidRPr="008944ED">
        <w:rPr>
          <w:rFonts w:ascii="Palatino Linotype" w:eastAsia="Palatino Linotype" w:hAnsi="Palatino Linotype" w:cs="Palatino Linotype"/>
          <w:b/>
          <w:i/>
          <w:sz w:val="22"/>
          <w:szCs w:val="22"/>
        </w:rPr>
        <w:t xml:space="preserve">VII. </w:t>
      </w:r>
      <w:r w:rsidRPr="008944E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A3961AE"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66536B7" w14:textId="77777777" w:rsidR="009B2CE9" w:rsidRPr="008944ED" w:rsidRDefault="002459D3">
      <w:pPr>
        <w:pBdr>
          <w:top w:val="nil"/>
          <w:left w:val="nil"/>
          <w:bottom w:val="nil"/>
          <w:right w:val="nil"/>
          <w:between w:val="nil"/>
        </w:pBdr>
        <w:spacing w:before="240" w:after="240"/>
        <w:ind w:left="709" w:right="760"/>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4</w:t>
      </w:r>
      <w:r w:rsidRPr="008944E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3F0D08A" w14:textId="77777777" w:rsidR="009B2CE9" w:rsidRPr="008944ED" w:rsidRDefault="002459D3">
      <w:pPr>
        <w:pBdr>
          <w:top w:val="nil"/>
          <w:left w:val="nil"/>
          <w:bottom w:val="nil"/>
          <w:right w:val="nil"/>
          <w:between w:val="nil"/>
        </w:pBdr>
        <w:spacing w:before="240" w:after="240"/>
        <w:ind w:left="709" w:right="760"/>
        <w:jc w:val="both"/>
      </w:pPr>
      <w:r w:rsidRPr="008944E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7D119B" w14:textId="77777777" w:rsidR="009B2CE9" w:rsidRPr="008944ED" w:rsidRDefault="002459D3">
      <w:pPr>
        <w:pBdr>
          <w:top w:val="nil"/>
          <w:left w:val="nil"/>
          <w:bottom w:val="nil"/>
          <w:right w:val="nil"/>
          <w:between w:val="nil"/>
        </w:pBdr>
        <w:spacing w:before="240" w:after="240"/>
        <w:ind w:left="709" w:right="760"/>
        <w:jc w:val="both"/>
      </w:pPr>
      <w:r w:rsidRPr="008944E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944ED">
        <w:rPr>
          <w:rFonts w:ascii="Palatino Linotype" w:eastAsia="Palatino Linotype" w:hAnsi="Palatino Linotype" w:cs="Palatino Linotype"/>
          <w:i/>
          <w:sz w:val="22"/>
          <w:szCs w:val="22"/>
        </w:rPr>
        <w:t>.”(</w:t>
      </w:r>
      <w:proofErr w:type="gramEnd"/>
      <w:r w:rsidRPr="008944ED">
        <w:rPr>
          <w:rFonts w:ascii="Palatino Linotype" w:eastAsia="Palatino Linotype" w:hAnsi="Palatino Linotype" w:cs="Palatino Linotype"/>
          <w:i/>
          <w:sz w:val="22"/>
          <w:szCs w:val="22"/>
        </w:rPr>
        <w:t>Sic)</w:t>
      </w:r>
    </w:p>
    <w:p w14:paraId="4119281F"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D250BAB" w14:textId="77777777" w:rsidR="009B2CE9" w:rsidRPr="008944ED" w:rsidRDefault="002459D3">
      <w:pPr>
        <w:pBdr>
          <w:top w:val="nil"/>
          <w:left w:val="nil"/>
          <w:bottom w:val="nil"/>
          <w:right w:val="nil"/>
          <w:between w:val="nil"/>
        </w:pBdr>
        <w:spacing w:before="240" w:after="240"/>
        <w:ind w:left="567" w:right="758"/>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12</w:t>
      </w:r>
      <w:r w:rsidRPr="008944E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13D9A3B" w14:textId="77777777" w:rsidR="009B2CE9" w:rsidRPr="008944ED" w:rsidRDefault="002459D3">
      <w:pPr>
        <w:pBdr>
          <w:top w:val="nil"/>
          <w:left w:val="nil"/>
          <w:bottom w:val="nil"/>
          <w:right w:val="nil"/>
          <w:between w:val="nil"/>
        </w:pBdr>
        <w:spacing w:before="240" w:after="240"/>
        <w:ind w:left="567" w:right="758"/>
        <w:jc w:val="both"/>
      </w:pPr>
      <w:r w:rsidRPr="008944E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3528DB3"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944ED">
        <w:rPr>
          <w:rFonts w:ascii="Palatino Linotype" w:eastAsia="Palatino Linotype" w:hAnsi="Palatino Linotype" w:cs="Palatino Linotype"/>
          <w:b/>
        </w:rPr>
        <w:t xml:space="preserve"> </w:t>
      </w:r>
      <w:r w:rsidRPr="008944E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944ED">
        <w:rPr>
          <w:rFonts w:ascii="Palatino Linotype" w:eastAsia="Palatino Linotype" w:hAnsi="Palatino Linotype" w:cs="Palatino Linotype"/>
          <w:i/>
        </w:rPr>
        <w:t>ad hoc</w:t>
      </w:r>
      <w:r w:rsidRPr="008944E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112AB5A"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b/>
          <w:i/>
          <w:sz w:val="22"/>
          <w:szCs w:val="22"/>
        </w:rPr>
        <w:t>03/17</w:t>
      </w:r>
    </w:p>
    <w:p w14:paraId="14444C54"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b/>
          <w:i/>
          <w:sz w:val="22"/>
          <w:szCs w:val="22"/>
        </w:rPr>
        <w:t>“NO EXISTE OBLIGACIÓN DE ELABORAR DOCUMENTOS AD HOC PARA ATENDER LAS SOLICITUDES DE ACCESO A LA INFORMACIÓN.</w:t>
      </w:r>
    </w:p>
    <w:p w14:paraId="1B30F893"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8944ED">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0BCF2DF"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BE3C31" w14:textId="77777777" w:rsidR="009B2CE9" w:rsidRPr="008944ED" w:rsidRDefault="002459D3">
      <w:pPr>
        <w:pBdr>
          <w:top w:val="nil"/>
          <w:left w:val="nil"/>
          <w:bottom w:val="nil"/>
          <w:right w:val="nil"/>
          <w:between w:val="nil"/>
        </w:pBdr>
        <w:spacing w:before="240" w:after="240" w:line="360" w:lineRule="auto"/>
        <w:ind w:right="49"/>
        <w:jc w:val="both"/>
      </w:pPr>
      <w:r w:rsidRPr="008944E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17DBD9"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8944ED">
        <w:rPr>
          <w:rFonts w:ascii="Palatino Linotype" w:eastAsia="Palatino Linotype" w:hAnsi="Palatino Linotype" w:cs="Palatino Linotype"/>
        </w:rPr>
        <w:lastRenderedPageBreak/>
        <w:t>podrán estar en cualquier medio, sea escrito, impreso, sonoro, visual, electrónico, informático u holográfico de conformidad con el artículo 3, fracción XI de la Ley de la materia, el cual señala lo siguiente: </w:t>
      </w:r>
    </w:p>
    <w:p w14:paraId="7A59E893" w14:textId="77777777" w:rsidR="009B2CE9" w:rsidRPr="008944ED" w:rsidRDefault="002459D3">
      <w:pPr>
        <w:pBdr>
          <w:top w:val="nil"/>
          <w:left w:val="nil"/>
          <w:bottom w:val="nil"/>
          <w:right w:val="nil"/>
          <w:between w:val="nil"/>
        </w:pBdr>
        <w:spacing w:before="240" w:after="240"/>
        <w:ind w:left="567" w:right="900"/>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 xml:space="preserve">Artículo 3. </w:t>
      </w:r>
      <w:r w:rsidRPr="008944ED">
        <w:rPr>
          <w:rFonts w:ascii="Palatino Linotype" w:eastAsia="Palatino Linotype" w:hAnsi="Palatino Linotype" w:cs="Palatino Linotype"/>
          <w:i/>
          <w:sz w:val="22"/>
          <w:szCs w:val="22"/>
        </w:rPr>
        <w:t>Para los efectos de la presente Ley se entenderá por:</w:t>
      </w:r>
    </w:p>
    <w:p w14:paraId="663C39F3" w14:textId="77777777" w:rsidR="009B2CE9" w:rsidRPr="008944ED" w:rsidRDefault="002459D3">
      <w:pPr>
        <w:pBdr>
          <w:top w:val="nil"/>
          <w:left w:val="nil"/>
          <w:bottom w:val="nil"/>
          <w:right w:val="nil"/>
          <w:between w:val="nil"/>
        </w:pBdr>
        <w:spacing w:before="240" w:after="240"/>
        <w:ind w:left="567" w:right="900"/>
        <w:jc w:val="both"/>
      </w:pPr>
      <w:r w:rsidRPr="008944ED">
        <w:rPr>
          <w:rFonts w:ascii="Palatino Linotype" w:eastAsia="Palatino Linotype" w:hAnsi="Palatino Linotype" w:cs="Palatino Linotype"/>
          <w:i/>
          <w:sz w:val="22"/>
          <w:szCs w:val="22"/>
        </w:rPr>
        <w:t>…</w:t>
      </w:r>
    </w:p>
    <w:p w14:paraId="2F880482" w14:textId="77777777" w:rsidR="009B2CE9" w:rsidRPr="008944ED" w:rsidRDefault="002459D3">
      <w:pPr>
        <w:pBdr>
          <w:top w:val="nil"/>
          <w:left w:val="nil"/>
          <w:bottom w:val="nil"/>
          <w:right w:val="nil"/>
          <w:between w:val="nil"/>
        </w:pBdr>
        <w:spacing w:before="240" w:after="240"/>
        <w:ind w:left="567" w:right="900"/>
        <w:jc w:val="both"/>
      </w:pPr>
      <w:r w:rsidRPr="008944ED">
        <w:rPr>
          <w:rFonts w:ascii="Palatino Linotype" w:eastAsia="Palatino Linotype" w:hAnsi="Palatino Linotype" w:cs="Palatino Linotype"/>
          <w:b/>
          <w:i/>
          <w:sz w:val="22"/>
          <w:szCs w:val="22"/>
        </w:rPr>
        <w:t>XI. Documento:</w:t>
      </w:r>
      <w:r w:rsidRPr="008944E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944ED">
        <w:rPr>
          <w:rFonts w:ascii="Palatino Linotype" w:eastAsia="Palatino Linotype" w:hAnsi="Palatino Linotype" w:cs="Palatino Linotype"/>
          <w:b/>
          <w:i/>
          <w:sz w:val="22"/>
          <w:szCs w:val="22"/>
        </w:rPr>
        <w:t>…</w:t>
      </w:r>
      <w:r w:rsidRPr="008944ED">
        <w:rPr>
          <w:rFonts w:ascii="Palatino Linotype" w:eastAsia="Palatino Linotype" w:hAnsi="Palatino Linotype" w:cs="Palatino Linotype"/>
          <w:i/>
          <w:sz w:val="22"/>
          <w:szCs w:val="22"/>
        </w:rPr>
        <w:t xml:space="preserve">” </w:t>
      </w:r>
    </w:p>
    <w:p w14:paraId="1021B1EA"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7B32ACE"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b/>
          <w:sz w:val="22"/>
          <w:szCs w:val="22"/>
        </w:rPr>
        <w:t>“</w:t>
      </w:r>
      <w:r w:rsidRPr="008944ED">
        <w:rPr>
          <w:rFonts w:ascii="Palatino Linotype" w:eastAsia="Palatino Linotype" w:hAnsi="Palatino Linotype" w:cs="Palatino Linotype"/>
          <w:b/>
          <w:i/>
          <w:sz w:val="22"/>
          <w:szCs w:val="22"/>
        </w:rPr>
        <w:t>CRITERIO 0002-11</w:t>
      </w:r>
    </w:p>
    <w:p w14:paraId="2F7E2802"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944E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D1A248" w14:textId="77777777" w:rsidR="009B2CE9" w:rsidRPr="008944ED" w:rsidRDefault="002459D3">
      <w:pPr>
        <w:pBdr>
          <w:top w:val="nil"/>
          <w:left w:val="nil"/>
          <w:bottom w:val="nil"/>
          <w:right w:val="nil"/>
          <w:between w:val="nil"/>
        </w:pBdr>
        <w:spacing w:before="240" w:after="240"/>
        <w:ind w:left="567" w:right="567"/>
        <w:jc w:val="both"/>
      </w:pPr>
      <w:r w:rsidRPr="008944ED">
        <w:rPr>
          <w:rFonts w:ascii="Palatino Linotype" w:eastAsia="Palatino Linotype" w:hAnsi="Palatino Linotype" w:cs="Palatino Linotype"/>
          <w:i/>
          <w:sz w:val="22"/>
          <w:szCs w:val="22"/>
        </w:rPr>
        <w:t xml:space="preserve">En </w:t>
      </w:r>
      <w:proofErr w:type="gramStart"/>
      <w:r w:rsidRPr="008944ED">
        <w:rPr>
          <w:rFonts w:ascii="Palatino Linotype" w:eastAsia="Palatino Linotype" w:hAnsi="Palatino Linotype" w:cs="Palatino Linotype"/>
          <w:i/>
          <w:sz w:val="22"/>
          <w:szCs w:val="22"/>
        </w:rPr>
        <w:t>consecuencia</w:t>
      </w:r>
      <w:proofErr w:type="gramEnd"/>
      <w:r w:rsidRPr="008944E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64B578F" w14:textId="77777777" w:rsidR="009B2CE9" w:rsidRPr="008944ED" w:rsidRDefault="002459D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 xml:space="preserve">Que se trate de información registrada en cualquier soporte documental, </w:t>
      </w:r>
      <w:proofErr w:type="gramStart"/>
      <w:r w:rsidRPr="008944ED">
        <w:rPr>
          <w:rFonts w:ascii="Palatino Linotype" w:eastAsia="Palatino Linotype" w:hAnsi="Palatino Linotype" w:cs="Palatino Linotype"/>
          <w:i/>
          <w:sz w:val="22"/>
          <w:szCs w:val="22"/>
        </w:rPr>
        <w:t>que</w:t>
      </w:r>
      <w:proofErr w:type="gramEnd"/>
      <w:r w:rsidRPr="008944ED">
        <w:rPr>
          <w:rFonts w:ascii="Palatino Linotype" w:eastAsia="Palatino Linotype" w:hAnsi="Palatino Linotype" w:cs="Palatino Linotype"/>
          <w:i/>
          <w:sz w:val="22"/>
          <w:szCs w:val="22"/>
        </w:rPr>
        <w:t xml:space="preserve"> en ejercicio de las atribuciones conferidas, sea generada por los Sujetos Obligados;</w:t>
      </w:r>
    </w:p>
    <w:p w14:paraId="336AD3A7" w14:textId="77777777" w:rsidR="009B2CE9" w:rsidRPr="008944ED" w:rsidRDefault="002459D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Que se trate de información registrada en cualquier soporte documental, </w:t>
      </w:r>
      <w:proofErr w:type="gramStart"/>
      <w:r w:rsidRPr="008944ED">
        <w:rPr>
          <w:rFonts w:ascii="Palatino Linotype" w:eastAsia="Palatino Linotype" w:hAnsi="Palatino Linotype" w:cs="Palatino Linotype"/>
          <w:i/>
          <w:sz w:val="22"/>
          <w:szCs w:val="22"/>
        </w:rPr>
        <w:t>que</w:t>
      </w:r>
      <w:proofErr w:type="gramEnd"/>
      <w:r w:rsidRPr="008944ED">
        <w:rPr>
          <w:rFonts w:ascii="Palatino Linotype" w:eastAsia="Palatino Linotype" w:hAnsi="Palatino Linotype" w:cs="Palatino Linotype"/>
          <w:i/>
          <w:sz w:val="22"/>
          <w:szCs w:val="22"/>
        </w:rPr>
        <w:t xml:space="preserve"> en ejercicio de las atribuciones conferidas, sea administrada por los Sujetos Obligados, y</w:t>
      </w:r>
    </w:p>
    <w:p w14:paraId="24468B2E" w14:textId="77777777" w:rsidR="009B2CE9" w:rsidRPr="008944ED" w:rsidRDefault="002459D3">
      <w:pPr>
        <w:pBdr>
          <w:top w:val="nil"/>
          <w:left w:val="nil"/>
          <w:bottom w:val="nil"/>
          <w:right w:val="nil"/>
          <w:between w:val="nil"/>
        </w:pBdr>
        <w:spacing w:before="240" w:after="240"/>
        <w:ind w:left="567" w:right="567" w:hanging="284"/>
        <w:jc w:val="both"/>
      </w:pPr>
      <w:r w:rsidRPr="008944ED">
        <w:rPr>
          <w:rFonts w:ascii="Palatino Linotype" w:eastAsia="Palatino Linotype" w:hAnsi="Palatino Linotype" w:cs="Palatino Linotype"/>
          <w:i/>
          <w:sz w:val="22"/>
          <w:szCs w:val="22"/>
        </w:rPr>
        <w:t xml:space="preserve">3. </w:t>
      </w:r>
      <w:r w:rsidRPr="008944ED">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8944ED">
        <w:rPr>
          <w:rFonts w:ascii="Palatino Linotype" w:eastAsia="Palatino Linotype" w:hAnsi="Palatino Linotype" w:cs="Palatino Linotype"/>
          <w:b/>
          <w:i/>
          <w:sz w:val="22"/>
          <w:szCs w:val="22"/>
        </w:rPr>
        <w:t>que</w:t>
      </w:r>
      <w:proofErr w:type="gramEnd"/>
      <w:r w:rsidRPr="008944ED">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41563190" w14:textId="77777777" w:rsidR="009B2CE9" w:rsidRPr="008944ED" w:rsidRDefault="002459D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De ahí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2B83097" w14:textId="77777777" w:rsidR="009B2CE9" w:rsidRPr="008944ED" w:rsidRDefault="002459D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Ahora bien, para profundizar en el estudio del presente asunto, es conveniente recordar que la parte solicitante requirió al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le proporcionara lo siguiente:</w:t>
      </w:r>
    </w:p>
    <w:p w14:paraId="0F2CCB14"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bookmarkStart w:id="4" w:name="_heading=h.3dy6vkm" w:colFirst="0" w:colLast="0"/>
      <w:bookmarkEnd w:id="4"/>
      <w:r w:rsidRPr="008944ED">
        <w:rPr>
          <w:rFonts w:ascii="Palatino Linotype" w:eastAsia="Palatino Linotype" w:hAnsi="Palatino Linotype" w:cs="Palatino Linotype"/>
          <w:b/>
          <w:sz w:val="22"/>
          <w:szCs w:val="22"/>
        </w:rPr>
        <w:t xml:space="preserve">1.- ¿Cuántas multas de tránsito se han levantado desde enero a mayo de 2023? </w:t>
      </w:r>
    </w:p>
    <w:p w14:paraId="447776E9"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1.1 </w:t>
      </w:r>
      <w:proofErr w:type="gramStart"/>
      <w:r w:rsidRPr="008944ED">
        <w:rPr>
          <w:rFonts w:ascii="Palatino Linotype" w:eastAsia="Palatino Linotype" w:hAnsi="Palatino Linotype" w:cs="Palatino Linotype"/>
          <w:b/>
          <w:sz w:val="22"/>
          <w:szCs w:val="22"/>
        </w:rPr>
        <w:t>-¿</w:t>
      </w:r>
      <w:proofErr w:type="gramEnd"/>
      <w:r w:rsidRPr="008944ED">
        <w:rPr>
          <w:rFonts w:ascii="Palatino Linotype" w:eastAsia="Palatino Linotype" w:hAnsi="Palatino Linotype" w:cs="Palatino Linotype"/>
          <w:b/>
          <w:sz w:val="22"/>
          <w:szCs w:val="22"/>
        </w:rPr>
        <w:t xml:space="preserve">Cuánto recurso ha ingresado por el pago de las mismas?  </w:t>
      </w:r>
    </w:p>
    <w:p w14:paraId="3619AEC6"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1.2.- ¿En qué se ha aplicado dicho recurso y evidencia de todas las multas? desde el 2022 a la fecha de esta solicitud. </w:t>
      </w:r>
    </w:p>
    <w:p w14:paraId="1252AB83"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lastRenderedPageBreak/>
        <w:t>2.- Recaudación de parquímetros que se ha tenido en el mismo periodo 2023-2023.</w:t>
      </w:r>
    </w:p>
    <w:p w14:paraId="088A824E"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2.1.- Evidencia de que el recurso entra en la caja de tesorería</w:t>
      </w:r>
    </w:p>
    <w:p w14:paraId="44B5A947"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 2.2.- Nombre de los recaudadores y del encargado o responsable de parquímetros. </w:t>
      </w:r>
    </w:p>
    <w:p w14:paraId="082BD274"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 ¿Cuánto recurso se ha recaudado por licencias de funcionamiento?</w:t>
      </w:r>
    </w:p>
    <w:p w14:paraId="14354E76"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3.1- ¿Cuánto por licencias de construcción?</w:t>
      </w:r>
    </w:p>
    <w:p w14:paraId="5C0FBFAF"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3.2.- ¿Cuánto por tianguis y mercados?</w:t>
      </w:r>
    </w:p>
    <w:p w14:paraId="63398CF7"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3.3.- ¿Cuánto por uso de baños y estacionamientos?</w:t>
      </w:r>
    </w:p>
    <w:p w14:paraId="31E1CB41"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3.4.- ¿Cuánto por pago de espectaculares y publicidad? </w:t>
      </w:r>
    </w:p>
    <w:p w14:paraId="3E3F4931"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3.5.- ¿Cuánto se ha recaudado por predial 2023-2023 y cuánto se debe de predial 2023? </w:t>
      </w:r>
    </w:p>
    <w:p w14:paraId="1CE7A8B5"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3.6.- ¿Cuánto se recauda de ISR retenido a los empleados de enero a mayo 2023? </w:t>
      </w:r>
    </w:p>
    <w:p w14:paraId="7E3FDB4D"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3.7.- ¿Cuánto se recauda por cuotas al ISSEMYM de los empleados en el periodo antes referido? así como evidencias que sus cuotas son ingresadas al ISSEMYM</w:t>
      </w:r>
    </w:p>
    <w:p w14:paraId="72CD17F9"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3.8.- ¿Cuánto se paga por seguro de vida a los empleados del ayuntamiento?</w:t>
      </w:r>
    </w:p>
    <w:p w14:paraId="411DA72A"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lastRenderedPageBreak/>
        <w:t>4.- ¿Cuántas licitaciones públicas han tenido y que se ha adquirido? ¿Cuántas adjudicaciones directas han tenido y que se ha adquirido? ¿Cuántas adquisiciones por invitación restringida se han tenido y su justificación del por qué se eligieron a dichos proveedores?</w:t>
      </w:r>
    </w:p>
    <w:p w14:paraId="29A2CBE7"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5.- Catálogo de proveedores que surte o provee al ayuntamiento.</w:t>
      </w:r>
    </w:p>
    <w:p w14:paraId="657527FF" w14:textId="77777777" w:rsidR="009B2CE9" w:rsidRPr="008944ED" w:rsidRDefault="002459D3">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sz w:val="22"/>
          <w:szCs w:val="22"/>
        </w:rPr>
        <w:t xml:space="preserve"> 6.- ¿Con qué empresa se lleva a cabo el timbrado fiscal de los recibos de nómina del personal y de las facturas emitidas por el ayuntamiento? anexar contratos.</w:t>
      </w:r>
    </w:p>
    <w:p w14:paraId="5A8C3BA0" w14:textId="77777777" w:rsidR="009B2CE9" w:rsidRPr="008944ED" w:rsidRDefault="002459D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En respuesta,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remitió los siguientes archivos:</w:t>
      </w:r>
      <w:r w:rsidRPr="008944ED">
        <w:rPr>
          <w:rFonts w:ascii="Palatino Linotype" w:eastAsia="Palatino Linotype" w:hAnsi="Palatino Linotype" w:cs="Palatino Linotype"/>
          <w:b/>
        </w:rPr>
        <w:t xml:space="preserve"> </w:t>
      </w:r>
    </w:p>
    <w:p w14:paraId="50D848BC" w14:textId="77777777" w:rsidR="009B2CE9" w:rsidRPr="008944ED" w:rsidRDefault="002459D3">
      <w:pPr>
        <w:spacing w:before="240" w:after="240" w:line="360" w:lineRule="auto"/>
        <w:ind w:left="567" w:right="900"/>
        <w:jc w:val="both"/>
        <w:rPr>
          <w:rFonts w:ascii="Palatino Linotype" w:eastAsia="Palatino Linotype" w:hAnsi="Palatino Linotype" w:cs="Palatino Linotype"/>
          <w:b/>
          <w:u w:val="single"/>
        </w:rPr>
      </w:pPr>
      <w:r w:rsidRPr="008944ED">
        <w:rPr>
          <w:rFonts w:ascii="Palatino Linotype" w:eastAsia="Palatino Linotype" w:hAnsi="Palatino Linotype" w:cs="Palatino Linotype"/>
          <w:b/>
          <w:i/>
          <w:sz w:val="22"/>
          <w:szCs w:val="22"/>
        </w:rPr>
        <w:t xml:space="preserve">“CONS_0150_CMA_2023.pdf”: </w:t>
      </w:r>
      <w:r w:rsidRPr="008944ED">
        <w:rPr>
          <w:rFonts w:ascii="Palatino Linotype" w:eastAsia="Palatino Linotype" w:hAnsi="Palatino Linotype" w:cs="Palatino Linotype"/>
        </w:rPr>
        <w:t xml:space="preserve">Oficio signado por el Comisario Municipal de Atlacomulco, quien refiere se solicitó la información al Departamento de Tránsito Municipal; a su vez </w:t>
      </w:r>
      <w:r w:rsidRPr="008944ED">
        <w:rPr>
          <w:rFonts w:ascii="Palatino Linotype" w:eastAsia="Palatino Linotype" w:hAnsi="Palatino Linotype" w:cs="Palatino Linotype"/>
          <w:b/>
          <w:u w:val="single"/>
        </w:rPr>
        <w:t xml:space="preserve">la </w:t>
      </w:r>
      <w:proofErr w:type="gramStart"/>
      <w:r w:rsidRPr="008944ED">
        <w:rPr>
          <w:rFonts w:ascii="Palatino Linotype" w:eastAsia="Palatino Linotype" w:hAnsi="Palatino Linotype" w:cs="Palatino Linotype"/>
          <w:b/>
          <w:u w:val="single"/>
        </w:rPr>
        <w:t>Jefa</w:t>
      </w:r>
      <w:proofErr w:type="gramEnd"/>
      <w:r w:rsidRPr="008944ED">
        <w:rPr>
          <w:rFonts w:ascii="Palatino Linotype" w:eastAsia="Palatino Linotype" w:hAnsi="Palatino Linotype" w:cs="Palatino Linotype"/>
          <w:b/>
          <w:u w:val="single"/>
        </w:rPr>
        <w:t xml:space="preserve"> de este Departamento refiere que desde el 31 de diciembre de 2021 hasta la fecha del oficio, es decir, al 9 de mayo de 2023, no se cuenta con infracciones de tránsito municipal, por tal motivo no se cuenta con información referente a su solicitud.  </w:t>
      </w:r>
    </w:p>
    <w:p w14:paraId="146B2572" w14:textId="77777777" w:rsidR="009B2CE9" w:rsidRPr="008944ED" w:rsidRDefault="002459D3">
      <w:pPr>
        <w:spacing w:before="240" w:after="240"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i/>
          <w:sz w:val="22"/>
          <w:szCs w:val="22"/>
        </w:rPr>
        <w:t xml:space="preserve">“150_SOL_RESP_ADMON_2023.pdf”: </w:t>
      </w:r>
      <w:r w:rsidRPr="008944ED">
        <w:rPr>
          <w:rFonts w:ascii="Palatino Linotype" w:eastAsia="Palatino Linotype" w:hAnsi="Palatino Linotype" w:cs="Palatino Linotype"/>
        </w:rPr>
        <w:t xml:space="preserve">Documento que consiste en el oficio suscrito por la </w:t>
      </w:r>
      <w:proofErr w:type="gramStart"/>
      <w:r w:rsidRPr="008944ED">
        <w:rPr>
          <w:rFonts w:ascii="Palatino Linotype" w:eastAsia="Palatino Linotype" w:hAnsi="Palatino Linotype" w:cs="Palatino Linotype"/>
        </w:rPr>
        <w:t>Directora</w:t>
      </w:r>
      <w:proofErr w:type="gramEnd"/>
      <w:r w:rsidRPr="008944ED">
        <w:rPr>
          <w:rFonts w:ascii="Palatino Linotype" w:eastAsia="Palatino Linotype" w:hAnsi="Palatino Linotype" w:cs="Palatino Linotype"/>
        </w:rPr>
        <w:t xml:space="preserve"> de Administración, quien remite el listado de personal del área de parquímetros. </w:t>
      </w:r>
    </w:p>
    <w:p w14:paraId="6D885563"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8"/>
          <w:szCs w:val="28"/>
        </w:rPr>
      </w:pPr>
      <w:r w:rsidRPr="008944ED">
        <w:rPr>
          <w:rFonts w:ascii="Palatino Linotype" w:eastAsia="Palatino Linotype" w:hAnsi="Palatino Linotype" w:cs="Palatino Linotype"/>
          <w:b/>
          <w:i/>
          <w:sz w:val="22"/>
          <w:szCs w:val="22"/>
        </w:rPr>
        <w:t xml:space="preserve">“150_RSOL_TM_2023_ING.pdf”: </w:t>
      </w:r>
      <w:r w:rsidRPr="008944ED">
        <w:rPr>
          <w:rFonts w:ascii="Palatino Linotype" w:eastAsia="Palatino Linotype" w:hAnsi="Palatino Linotype" w:cs="Palatino Linotype"/>
        </w:rPr>
        <w:t xml:space="preserve">Archivo electrónico que se compone de tres fojas y en él se aprecia el pronunciamiento de la Tesorera </w:t>
      </w:r>
      <w:r w:rsidRPr="008944ED">
        <w:rPr>
          <w:rFonts w:ascii="Palatino Linotype" w:eastAsia="Palatino Linotype" w:hAnsi="Palatino Linotype" w:cs="Palatino Linotype"/>
        </w:rPr>
        <w:lastRenderedPageBreak/>
        <w:t>Municipal, respecto a los requerimientos de información de la persona solicitante.</w:t>
      </w:r>
    </w:p>
    <w:p w14:paraId="2240A20A"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esta tesitura, una vez conocida la respuesta emitida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8944ED">
        <w:rPr>
          <w:rFonts w:ascii="Palatino Linotype" w:eastAsia="Palatino Linotype" w:hAnsi="Palatino Linotype" w:cs="Palatino Linotype"/>
          <w:b/>
          <w:i/>
          <w:u w:val="single"/>
        </w:rPr>
        <w:t xml:space="preserve">“La información </w:t>
      </w:r>
      <w:proofErr w:type="spellStart"/>
      <w:r w:rsidRPr="008944ED">
        <w:rPr>
          <w:rFonts w:ascii="Palatino Linotype" w:eastAsia="Palatino Linotype" w:hAnsi="Palatino Linotype" w:cs="Palatino Linotype"/>
          <w:b/>
          <w:i/>
          <w:u w:val="single"/>
        </w:rPr>
        <w:t>npo</w:t>
      </w:r>
      <w:proofErr w:type="spellEnd"/>
      <w:r w:rsidRPr="008944ED">
        <w:rPr>
          <w:rFonts w:ascii="Palatino Linotype" w:eastAsia="Palatino Linotype" w:hAnsi="Palatino Linotype" w:cs="Palatino Linotype"/>
          <w:b/>
          <w:i/>
          <w:u w:val="single"/>
        </w:rPr>
        <w:t xml:space="preserve"> esta completa”</w:t>
      </w:r>
      <w:r w:rsidRPr="008944ED">
        <w:rPr>
          <w:rFonts w:ascii="Palatino Linotype" w:eastAsia="Palatino Linotype" w:hAnsi="Palatino Linotype" w:cs="Palatino Linotype"/>
          <w:b/>
          <w:i/>
        </w:rPr>
        <w:t xml:space="preserve"> </w:t>
      </w:r>
      <w:r w:rsidRPr="008944ED">
        <w:rPr>
          <w:rFonts w:ascii="Palatino Linotype" w:eastAsia="Palatino Linotype" w:hAnsi="Palatino Linotype" w:cs="Palatino Linotype"/>
          <w:i/>
        </w:rPr>
        <w:t xml:space="preserve">(Sic), </w:t>
      </w:r>
      <w:r w:rsidRPr="008944ED">
        <w:rPr>
          <w:rFonts w:ascii="Palatino Linotype" w:eastAsia="Palatino Linotype" w:hAnsi="Palatino Linotype" w:cs="Palatino Linotype"/>
        </w:rPr>
        <w:t xml:space="preserve">es decir, su inconformidad medularmente versa sobre la entrega de información incompleta. </w:t>
      </w:r>
    </w:p>
    <w:p w14:paraId="249522D7"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Así las cosas, durante la etapa de manifestaciones, se tiene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ratificó los términos de su respuesta inicial, es de precisar que por cuanto hace a </w:t>
      </w:r>
      <w:r w:rsidRPr="008944ED">
        <w:rPr>
          <w:rFonts w:ascii="Palatino Linotype" w:eastAsia="Palatino Linotype" w:hAnsi="Palatino Linotype" w:cs="Palatino Linotype"/>
          <w:b/>
        </w:rPr>
        <w:t xml:space="preserve">la parte Recurrente, </w:t>
      </w:r>
      <w:r w:rsidRPr="008944ED">
        <w:rPr>
          <w:rFonts w:ascii="Palatino Linotype" w:eastAsia="Palatino Linotype" w:hAnsi="Palatino Linotype" w:cs="Palatino Linotype"/>
        </w:rPr>
        <w:t xml:space="preserve">esta fue omisa en pronunciarse, por lo que se tiene por precluido su derecho para tal efecto y se procede a emitir la resolución conforme a derecho corresponda. </w:t>
      </w:r>
    </w:p>
    <w:p w14:paraId="08665758"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tal sentido, una vez expuestas las posturas de las partes, debemos proceder al análisis pormenorizado de cada punto para determinar la procedencia de la entrega de documentación: </w:t>
      </w:r>
    </w:p>
    <w:p w14:paraId="59317826" w14:textId="77777777" w:rsidR="009B2CE9" w:rsidRPr="008944ED" w:rsidRDefault="002459D3">
      <w:pPr>
        <w:numPr>
          <w:ilvl w:val="0"/>
          <w:numId w:val="4"/>
        </w:numPr>
        <w:pBdr>
          <w:top w:val="nil"/>
          <w:left w:val="nil"/>
          <w:bottom w:val="nil"/>
          <w:right w:val="nil"/>
          <w:between w:val="nil"/>
        </w:pBdr>
        <w:spacing w:before="240" w:after="240" w:line="360" w:lineRule="auto"/>
        <w:ind w:left="142"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t>De las multas de tránsito, comprendidas en los siguientes planteamientos:</w:t>
      </w:r>
    </w:p>
    <w:p w14:paraId="59DB37F3"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 xml:space="preserve">1.- ¿Cuántas multas de tránsito se han levantado desde enero a mayo de 2023? </w:t>
      </w:r>
    </w:p>
    <w:p w14:paraId="49FE3F91"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 xml:space="preserve">1.1 </w:t>
      </w:r>
      <w:proofErr w:type="gramStart"/>
      <w:r w:rsidRPr="008944ED">
        <w:rPr>
          <w:rFonts w:ascii="Palatino Linotype" w:eastAsia="Palatino Linotype" w:hAnsi="Palatino Linotype" w:cs="Palatino Linotype"/>
          <w:sz w:val="22"/>
          <w:szCs w:val="22"/>
        </w:rPr>
        <w:t>-¿</w:t>
      </w:r>
      <w:proofErr w:type="gramEnd"/>
      <w:r w:rsidRPr="008944ED">
        <w:rPr>
          <w:rFonts w:ascii="Palatino Linotype" w:eastAsia="Palatino Linotype" w:hAnsi="Palatino Linotype" w:cs="Palatino Linotype"/>
          <w:sz w:val="22"/>
          <w:szCs w:val="22"/>
        </w:rPr>
        <w:t xml:space="preserve">Cuánto recurso ha ingresado por el pago de las mismas?  </w:t>
      </w:r>
    </w:p>
    <w:p w14:paraId="39D972CC"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1.2.- ¿En qué se ha aplicado dicho recurso y evidencia de todas las multas? desde el 2022 a la fecha de esta solicitud.</w:t>
      </w:r>
    </w:p>
    <w:p w14:paraId="6615BCC5" w14:textId="77777777" w:rsidR="009B2CE9" w:rsidRPr="008944ED" w:rsidRDefault="002459D3">
      <w:pPr>
        <w:spacing w:before="240" w:after="240" w:line="360" w:lineRule="auto"/>
        <w:ind w:right="49"/>
        <w:jc w:val="both"/>
        <w:rPr>
          <w:rFonts w:ascii="Palatino Linotype" w:eastAsia="Palatino Linotype" w:hAnsi="Palatino Linotype" w:cs="Palatino Linotype"/>
          <w:b/>
          <w:u w:val="single"/>
        </w:rPr>
      </w:pPr>
      <w:r w:rsidRPr="008944ED">
        <w:rPr>
          <w:rFonts w:ascii="Palatino Linotype" w:eastAsia="Palatino Linotype" w:hAnsi="Palatino Linotype" w:cs="Palatino Linotype"/>
        </w:rPr>
        <w:lastRenderedPageBreak/>
        <w:t xml:space="preserve">En lo tocante a este punto, se tiene que en respuesta se pronunció específicamente la </w:t>
      </w:r>
      <w:proofErr w:type="gramStart"/>
      <w:r w:rsidRPr="008944ED">
        <w:rPr>
          <w:rFonts w:ascii="Palatino Linotype" w:eastAsia="Palatino Linotype" w:hAnsi="Palatino Linotype" w:cs="Palatino Linotype"/>
          <w:b/>
        </w:rPr>
        <w:t>Jefa</w:t>
      </w:r>
      <w:proofErr w:type="gramEnd"/>
      <w:r w:rsidRPr="008944ED">
        <w:rPr>
          <w:rFonts w:ascii="Palatino Linotype" w:eastAsia="Palatino Linotype" w:hAnsi="Palatino Linotype" w:cs="Palatino Linotype"/>
          <w:b/>
        </w:rPr>
        <w:t xml:space="preserve"> del Departamento de Tránsito Municipal y la Tesorera Municipal</w:t>
      </w:r>
      <w:r w:rsidRPr="008944ED">
        <w:rPr>
          <w:rFonts w:ascii="Palatino Linotype" w:eastAsia="Palatino Linotype" w:hAnsi="Palatino Linotype" w:cs="Palatino Linotype"/>
        </w:rPr>
        <w:t xml:space="preserve">; ambas servidoras públicas señalaron que </w:t>
      </w:r>
      <w:r w:rsidRPr="008944ED">
        <w:rPr>
          <w:rFonts w:ascii="Palatino Linotype" w:eastAsia="Palatino Linotype" w:hAnsi="Palatino Linotype" w:cs="Palatino Linotype"/>
          <w:b/>
          <w:u w:val="single"/>
        </w:rPr>
        <w:t>no se cuentan con infracciones de tránsito municipal desde el 31 de diciembre de 2021 hasta el 9 de mayo de 2023 y no se han ingresado recursos por concepto de multas de tránsito en el año 2022 y del 1 de enero al 3 de mayo de 2023.</w:t>
      </w:r>
    </w:p>
    <w:p w14:paraId="6AF7C86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En tal sentido, este Instituto procedió a consultar el Manual de Procedimientos de la Comisaría Municipal, obteniendo así que el procedimiento para infracciones por tránsito es el siguiente:</w:t>
      </w:r>
    </w:p>
    <w:p w14:paraId="3ECFF46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25331CCD" wp14:editId="34E4BB04">
            <wp:extent cx="5765935" cy="4782764"/>
            <wp:effectExtent l="0" t="0" r="0" b="0"/>
            <wp:docPr id="1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765935" cy="4782764"/>
                    </a:xfrm>
                    <a:prstGeom prst="rect">
                      <a:avLst/>
                    </a:prstGeom>
                    <a:ln/>
                  </pic:spPr>
                </pic:pic>
              </a:graphicData>
            </a:graphic>
          </wp:inline>
        </w:drawing>
      </w:r>
      <w:r w:rsidRPr="008944ED">
        <w:rPr>
          <w:noProof/>
        </w:rPr>
        <mc:AlternateContent>
          <mc:Choice Requires="wpg">
            <w:drawing>
              <wp:anchor distT="0" distB="0" distL="114300" distR="114300" simplePos="0" relativeHeight="251658240" behindDoc="0" locked="0" layoutInCell="1" hidden="0" allowOverlap="1" wp14:anchorId="45E75A6D" wp14:editId="5784D67F">
                <wp:simplePos x="0" y="0"/>
                <wp:positionH relativeFrom="column">
                  <wp:posOffset>88901</wp:posOffset>
                </wp:positionH>
                <wp:positionV relativeFrom="paragraph">
                  <wp:posOffset>1625600</wp:posOffset>
                </wp:positionV>
                <wp:extent cx="4238625" cy="1047750"/>
                <wp:effectExtent l="0" t="0" r="0" b="0"/>
                <wp:wrapNone/>
                <wp:docPr id="90" name="Rectángulo 90"/>
                <wp:cNvGraphicFramePr/>
                <a:graphic xmlns:a="http://schemas.openxmlformats.org/drawingml/2006/main">
                  <a:graphicData uri="http://schemas.microsoft.com/office/word/2010/wordprocessingShape">
                    <wps:wsp>
                      <wps:cNvSpPr/>
                      <wps:spPr>
                        <a:xfrm>
                          <a:off x="3240975" y="3270413"/>
                          <a:ext cx="4210050" cy="1019175"/>
                        </a:xfrm>
                        <a:prstGeom prst="rect">
                          <a:avLst/>
                        </a:prstGeom>
                        <a:noFill/>
                        <a:ln w="28575" cap="flat" cmpd="sng">
                          <a:solidFill>
                            <a:srgbClr val="FF0000"/>
                          </a:solidFill>
                          <a:prstDash val="solid"/>
                          <a:round/>
                          <a:headEnd type="none" w="sm" len="sm"/>
                          <a:tailEnd type="none" w="sm" len="sm"/>
                        </a:ln>
                      </wps:spPr>
                      <wps:txbx>
                        <w:txbxContent>
                          <w:p w14:paraId="0EF932BD"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1625600</wp:posOffset>
                </wp:positionV>
                <wp:extent cx="4238625" cy="1047750"/>
                <wp:effectExtent b="0" l="0" r="0" t="0"/>
                <wp:wrapNone/>
                <wp:docPr id="90"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4238625" cy="1047750"/>
                        </a:xfrm>
                        <a:prstGeom prst="rect"/>
                        <a:ln/>
                      </pic:spPr>
                    </pic:pic>
                  </a:graphicData>
                </a:graphic>
              </wp:anchor>
            </w:drawing>
          </mc:Fallback>
        </mc:AlternateContent>
      </w:r>
    </w:p>
    <w:p w14:paraId="4ADFFD4B" w14:textId="77777777" w:rsidR="009B2CE9" w:rsidRPr="008944ED" w:rsidRDefault="002459D3">
      <w:pPr>
        <w:spacing w:before="240" w:after="240" w:line="360" w:lineRule="auto"/>
        <w:ind w:right="49"/>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1E25AA3E" wp14:editId="2600D9C7">
            <wp:extent cx="5376306" cy="5098305"/>
            <wp:effectExtent l="0" t="0" r="0" b="0"/>
            <wp:docPr id="10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376306" cy="5098305"/>
                    </a:xfrm>
                    <a:prstGeom prst="rect">
                      <a:avLst/>
                    </a:prstGeom>
                    <a:ln/>
                  </pic:spPr>
                </pic:pic>
              </a:graphicData>
            </a:graphic>
          </wp:inline>
        </w:drawing>
      </w:r>
    </w:p>
    <w:p w14:paraId="0E04F2FA"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Asimismo, el Bando Municipal en su artículo 2, fracción L. señala que la multa es la cantidad de dinero que la persona infractora debe pagar a la Tesorería Municipal; en este sentido, para determinar el monto a pagar y la conducta materia de la infracción, resulta pertinente traer a colación lo dispuesto por los artículos 280, en correlación con el 271 del referido Bando, mismos que disponen lo siguiente: </w:t>
      </w:r>
    </w:p>
    <w:p w14:paraId="6EEA144B"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280. Se impondrá multa a quien infrinja lo establecido en el artículo 271 del Bando Municipal vigente, de la siguiente forma:</w:t>
      </w:r>
    </w:p>
    <w:p w14:paraId="2519794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I. Infracciones Clase A. Se sancionarán con una multa de 3 a 20 veces la Unidad de Medida (UMA) y/o arresto de 6 a 12 horas, que podrá ser conmutable por 3 a 6 horas de Trabajo a Favor de la Comunidad;</w:t>
      </w:r>
    </w:p>
    <w:p w14:paraId="5D4E98B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 Infracciones Clase B. Se sancionarán con una multa de 4 a 30 veces la Unidad de Medida (UMA) y/o arresto de 12 a 24 horas, que podrá ser conmutable por 6 a 12 horas de Trabajo a Favor de la Comunidad; e</w:t>
      </w:r>
    </w:p>
    <w:p w14:paraId="2B44C0D4"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III. Infracciones Clase C. Se sancionarán con una multa de 5 a 50 veces la Unidad de Medida (UMA) y/o arresto de 18 a 36 horas, que podrá ser conmutable por 12 a 24 horas de Trabajo a Favor de la Comunidad.</w:t>
      </w:r>
    </w:p>
    <w:p w14:paraId="07A6488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Se impondrá multa de tres a cincuenta días del valor de la Unidad de Medida y Actualización (UMA), a quien infrinja lo dispuesto en el artículo 271 del presente Bando Municipal. Así mismo, las infracciones antes referidas se clasificarán de acuerdo a la siguiente tabla:</w:t>
      </w:r>
    </w:p>
    <w:p w14:paraId="11392FC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noProof/>
          <w:sz w:val="22"/>
          <w:szCs w:val="22"/>
        </w:rPr>
        <w:drawing>
          <wp:inline distT="0" distB="0" distL="0" distR="0" wp14:anchorId="09AF6530" wp14:editId="28C99744">
            <wp:extent cx="4675250" cy="3433387"/>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675250" cy="3433387"/>
                    </a:xfrm>
                    <a:prstGeom prst="rect">
                      <a:avLst/>
                    </a:prstGeom>
                    <a:ln/>
                  </pic:spPr>
                </pic:pic>
              </a:graphicData>
            </a:graphic>
          </wp:inline>
        </w:drawing>
      </w:r>
    </w:p>
    <w:p w14:paraId="59EA7267"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B. Son infracciones contra la Seguridad de la Comunidad, las siguientes:</w:t>
      </w:r>
    </w:p>
    <w:p w14:paraId="1233D175"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I. Conducir vehículos de motor bajo el influjo de cualquier bebida alcohólica; enervantes, estupefacientes, solventes, sustancias, volátiles y/o psicotrópicas;</w:t>
      </w:r>
    </w:p>
    <w:p w14:paraId="68F72887"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 Conducir vehículos de motor en estado de ebriedad y/o rebasando los límites que para tal efecto registre el alcoholímetro en los grados de alcohol en el aire espirado superior a 0.4 miligramos por litro y, en el caso de los conductores del servicio público, no deben presentar ninguna cantidad de alcohol en la sangre o en el aire espirado, o síntomas simples de aliento alcohólico, ni deben presentar síntomas simples de estar bajo el influjo de enervantes, estupefacientes o sustancias psicotrópicas o tóxicas. En este sentido, el Oficial Calificador en ejercicio de sus facultades, aplicará las sanciones correspondientes; tales como el arresto administrativo inconmutable conforme a lo establecido en el Libro Octavo del Código Administrativo del Estado de México;</w:t>
      </w:r>
    </w:p>
    <w:p w14:paraId="6CDAB7A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III. Conducir vehículos de motor sin respetar los lineamientos y las restricciones establecidas en el Reglamento de Tránsito de la entidad; para lo cual, el Oficial Calificador, en ejercicio de sus facultades, aplicará las sanciones conforme a lo establecido a lo establecido en el Libro Octavo del Código Administrativo del Estado de México;</w:t>
      </w:r>
    </w:p>
    <w:p w14:paraId="1DC38D9B"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IV. Conducir vehículos de motor sin respetar los señalamientos del </w:t>
      </w:r>
      <w:proofErr w:type="spellStart"/>
      <w:proofErr w:type="gramStart"/>
      <w:r w:rsidRPr="008944ED">
        <w:rPr>
          <w:rFonts w:ascii="Palatino Linotype" w:eastAsia="Palatino Linotype" w:hAnsi="Palatino Linotype" w:cs="Palatino Linotype"/>
          <w:i/>
          <w:sz w:val="22"/>
          <w:szCs w:val="22"/>
        </w:rPr>
        <w:t>programa”ceda</w:t>
      </w:r>
      <w:proofErr w:type="spellEnd"/>
      <w:proofErr w:type="gramEnd"/>
      <w:r w:rsidRPr="008944ED">
        <w:rPr>
          <w:rFonts w:ascii="Palatino Linotype" w:eastAsia="Palatino Linotype" w:hAnsi="Palatino Linotype" w:cs="Palatino Linotype"/>
          <w:i/>
          <w:sz w:val="22"/>
          <w:szCs w:val="22"/>
        </w:rPr>
        <w:t xml:space="preserve"> el paso a un vehículo”, la prohibición de vuelta en “U”, el sentido de circulación de las calles y los pasos peatonales;</w:t>
      </w:r>
    </w:p>
    <w:p w14:paraId="721C3F5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V. La circulación de patinetas, bicicletas, motocicletas y cualquier otro tipo de vehículos sobre banquetas o áreas destinadas para el paso de peatones;</w:t>
      </w:r>
    </w:p>
    <w:p w14:paraId="40B7944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VI. Cruzar a pie o en vehículos no motrices, calles, avenidas o bulevares por zonas diferentes a las expresamente designadas como paso peatonal;</w:t>
      </w:r>
    </w:p>
    <w:p w14:paraId="5DC011F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VII. Estacionarse en doble fila, así como lugares donde existan señalamientos restrictivos y bases autorizadas para el servicio público;</w:t>
      </w:r>
    </w:p>
    <w:p w14:paraId="2C7E87C7"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VIII. Estacionarse sobre las banquetas y en las esquinas de las calles, obstaculizando el paso peatonal y la vuelta de los vehículos automotores;</w:t>
      </w:r>
    </w:p>
    <w:p w14:paraId="0D2B9C9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IX. Obstaculizar las rampas exclusivas para las personas con discapacidad;</w:t>
      </w:r>
    </w:p>
    <w:p w14:paraId="5D23D2C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X. Obstaculizar el área de estacionamiento en la vía pública, frente a locales o talleres;</w:t>
      </w:r>
    </w:p>
    <w:p w14:paraId="425B034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XI. Invadir en cualquier forma el libre acceso de casas habitación, negocios o industrias, afectando la circulación y el libre tránsito de personas;</w:t>
      </w:r>
    </w:p>
    <w:p w14:paraId="3899777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XII. El ascenso y descenso de pasaje en calles donde se interrumpa la circulación, así como estacionar vehículos que bloqueen calles, frentes de unidades de salud, salida de vehículos de emergencia, auxilio y/o cocheras;</w:t>
      </w:r>
    </w:p>
    <w:p w14:paraId="7289AED4"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w:t>
      </w:r>
    </w:p>
    <w:p w14:paraId="2704F29A" w14:textId="77777777" w:rsidR="009B2CE9" w:rsidRPr="008944ED" w:rsidRDefault="002459D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De tal suerte que, con lo analizado hasta este punto, se abordan a las siguientes conclusiones: </w:t>
      </w:r>
    </w:p>
    <w:p w14:paraId="03DBD3E4" w14:textId="77777777" w:rsidR="009B2CE9" w:rsidRPr="008944ED" w:rsidRDefault="002459D3">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La </w:t>
      </w:r>
      <w:proofErr w:type="gramStart"/>
      <w:r w:rsidRPr="008944ED">
        <w:rPr>
          <w:rFonts w:ascii="Palatino Linotype" w:eastAsia="Palatino Linotype" w:hAnsi="Palatino Linotype" w:cs="Palatino Linotype"/>
        </w:rPr>
        <w:t>Jefa</w:t>
      </w:r>
      <w:proofErr w:type="gramEnd"/>
      <w:r w:rsidRPr="008944ED">
        <w:rPr>
          <w:rFonts w:ascii="Palatino Linotype" w:eastAsia="Palatino Linotype" w:hAnsi="Palatino Linotype" w:cs="Palatino Linotype"/>
        </w:rPr>
        <w:t xml:space="preserve"> del Departamento de Tránsito Municipal y la Tesorera Municipal; señalaron que no se cuentan con infracciones de tránsito municipal desde el 31 de diciembre de 2021 y no se han ingresado recursos por concepto de multas de tránsito en el año 2022 y del 1 de enero al 3 de mayo de 2023.</w:t>
      </w:r>
    </w:p>
    <w:p w14:paraId="235C926B" w14:textId="77777777" w:rsidR="009B2CE9" w:rsidRPr="008944ED" w:rsidRDefault="002459D3">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rPr>
        <w:t>Los ordenamientos municipales previamente referidos dotan a estas unidades administrativas de facultades para imponer dichas infracciones y posteriormente cobrarlas a los ciudadanos, por lo tanto, en el presente asunto, se tiene que se pronunciaron las unidades competentes.</w:t>
      </w:r>
    </w:p>
    <w:p w14:paraId="3169DC61"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 xml:space="preserve">Por </w:t>
      </w:r>
      <w:proofErr w:type="gramStart"/>
      <w:r w:rsidRPr="008944ED">
        <w:rPr>
          <w:rFonts w:ascii="Palatino Linotype" w:eastAsia="Palatino Linotype" w:hAnsi="Palatino Linotype" w:cs="Palatino Linotype"/>
        </w:rPr>
        <w:t>consiguiente</w:t>
      </w:r>
      <w:proofErr w:type="gramEnd"/>
      <w:r w:rsidRPr="008944ED">
        <w:rPr>
          <w:rFonts w:ascii="Palatino Linotype" w:eastAsia="Palatino Linotype" w:hAnsi="Palatino Linotype" w:cs="Palatino Linotype"/>
        </w:rPr>
        <w:t xml:space="preserve"> toda vez que no posee, administra ni genera la información requerida por el particular, constituye un hecho negativo; entonces, si se considera el hecho negativo, es obvio que éste no puede fácticamente obrar en los archivos del </w:t>
      </w:r>
      <w:r w:rsidRPr="008944ED">
        <w:rPr>
          <w:rFonts w:ascii="Palatino Linotype" w:eastAsia="Palatino Linotype" w:hAnsi="Palatino Linotype" w:cs="Palatino Linotype"/>
          <w:b/>
        </w:rPr>
        <w:lastRenderedPageBreak/>
        <w:t>Sujeto Obligado</w:t>
      </w:r>
      <w:r w:rsidRPr="008944ED">
        <w:rPr>
          <w:rFonts w:ascii="Palatino Linotype" w:eastAsia="Palatino Linotype" w:hAnsi="Palatino Linotype" w:cs="Palatino Linotype"/>
        </w:rPr>
        <w:t>, ya que no puede probarse por ser lógica y materialmente imposible.</w:t>
      </w:r>
    </w:p>
    <w:p w14:paraId="45382FFB"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1795999C"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132BEF3" w14:textId="77777777" w:rsidR="009B2CE9" w:rsidRPr="008944ED" w:rsidRDefault="002459D3">
      <w:pPr>
        <w:pBdr>
          <w:top w:val="nil"/>
          <w:left w:val="nil"/>
          <w:bottom w:val="nil"/>
          <w:right w:val="nil"/>
          <w:between w:val="nil"/>
        </w:pBdr>
        <w:spacing w:line="276" w:lineRule="auto"/>
        <w:ind w:left="860" w:right="560"/>
        <w:jc w:val="both"/>
      </w:pPr>
      <w:r w:rsidRPr="008944ED">
        <w:rPr>
          <w:rFonts w:ascii="Palatino Linotype" w:eastAsia="Palatino Linotype" w:hAnsi="Palatino Linotype" w:cs="Palatino Linotype"/>
          <w:b/>
          <w:i/>
          <w:sz w:val="22"/>
          <w:szCs w:val="22"/>
        </w:rPr>
        <w:t>HECHOS NEGATIVOS, NO SON SUSCEPTIBLES DE DEMOSTRACIÓN.</w:t>
      </w:r>
    </w:p>
    <w:p w14:paraId="72D462D7" w14:textId="77777777" w:rsidR="009B2CE9" w:rsidRPr="008944ED" w:rsidRDefault="002459D3">
      <w:pPr>
        <w:pBdr>
          <w:top w:val="nil"/>
          <w:left w:val="nil"/>
          <w:bottom w:val="nil"/>
          <w:right w:val="nil"/>
          <w:between w:val="nil"/>
        </w:pBdr>
        <w:spacing w:line="276" w:lineRule="auto"/>
        <w:ind w:left="860" w:right="560"/>
        <w:jc w:val="both"/>
      </w:pPr>
      <w:r w:rsidRPr="008944ED">
        <w:rPr>
          <w:rFonts w:ascii="Palatino Linotype" w:eastAsia="Palatino Linotype" w:hAnsi="Palatino Linotype" w:cs="Palatino Linotype"/>
          <w:i/>
          <w:sz w:val="22"/>
          <w:szCs w:val="22"/>
        </w:rPr>
        <w:t xml:space="preserve">Tratándose de un hecho negativo, el Juez no tiene </w:t>
      </w:r>
      <w:proofErr w:type="spellStart"/>
      <w:r w:rsidRPr="008944ED">
        <w:rPr>
          <w:rFonts w:ascii="Palatino Linotype" w:eastAsia="Palatino Linotype" w:hAnsi="Palatino Linotype" w:cs="Palatino Linotype"/>
          <w:i/>
          <w:sz w:val="22"/>
          <w:szCs w:val="22"/>
        </w:rPr>
        <w:t>por que</w:t>
      </w:r>
      <w:proofErr w:type="spellEnd"/>
      <w:r w:rsidRPr="008944ED">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58E0C7E4" w14:textId="77777777" w:rsidR="009B2CE9" w:rsidRPr="008944ED" w:rsidRDefault="002459D3">
      <w:pPr>
        <w:pBdr>
          <w:top w:val="nil"/>
          <w:left w:val="nil"/>
          <w:bottom w:val="nil"/>
          <w:right w:val="nil"/>
          <w:between w:val="nil"/>
        </w:pBdr>
        <w:spacing w:line="276" w:lineRule="auto"/>
        <w:ind w:left="860" w:right="560"/>
        <w:jc w:val="both"/>
      </w:pPr>
      <w:r w:rsidRPr="008944ED">
        <w:rPr>
          <w:rFonts w:ascii="Palatino Linotype" w:eastAsia="Palatino Linotype" w:hAnsi="Palatino Linotype" w:cs="Palatino Linotype"/>
          <w:i/>
          <w:sz w:val="22"/>
          <w:szCs w:val="22"/>
        </w:rPr>
        <w:t xml:space="preserve">Amparo en revisión 2022/61. José García </w:t>
      </w:r>
      <w:proofErr w:type="gramStart"/>
      <w:r w:rsidRPr="008944ED">
        <w:rPr>
          <w:rFonts w:ascii="Palatino Linotype" w:eastAsia="Palatino Linotype" w:hAnsi="Palatino Linotype" w:cs="Palatino Linotype"/>
          <w:i/>
          <w:sz w:val="22"/>
          <w:szCs w:val="22"/>
        </w:rPr>
        <w:t>Florín</w:t>
      </w:r>
      <w:proofErr w:type="gramEnd"/>
      <w:r w:rsidRPr="008944ED">
        <w:rPr>
          <w:rFonts w:ascii="Palatino Linotype" w:eastAsia="Palatino Linotype" w:hAnsi="Palatino Linotype" w:cs="Palatino Linotype"/>
          <w:i/>
          <w:sz w:val="22"/>
          <w:szCs w:val="22"/>
        </w:rPr>
        <w:t xml:space="preserve"> (Menor). 9 de octubre de 1961. Cinco votos. Ponente: José Rivera Pérez Campos.”</w:t>
      </w:r>
    </w:p>
    <w:p w14:paraId="42616459"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sólo proporcionará la información que obra en sus archivos, lo que a</w:t>
      </w:r>
      <w:r w:rsidRPr="008944ED">
        <w:rPr>
          <w:rFonts w:ascii="Palatino Linotype" w:eastAsia="Palatino Linotype" w:hAnsi="Palatino Linotype" w:cs="Palatino Linotype"/>
          <w:i/>
        </w:rPr>
        <w:t xml:space="preserve"> contrario sensu</w:t>
      </w:r>
      <w:r w:rsidRPr="008944ED">
        <w:rPr>
          <w:rFonts w:ascii="Palatino Linotype" w:eastAsia="Palatino Linotype" w:hAnsi="Palatino Linotype" w:cs="Palatino Linotype"/>
        </w:rPr>
        <w:t xml:space="preserve"> significa que no se está obligado a proporcionar lo que no obre en sus archivos.</w:t>
      </w:r>
    </w:p>
    <w:p w14:paraId="2D53811A"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 xml:space="preserve">Aunado a lo anterior, este Pleno considera necesario dejar claro que, al haber existido un pronunciamiento por parte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a fin de dar respuesta </w:t>
      </w:r>
      <w:r w:rsidRPr="008944ED">
        <w:rPr>
          <w:rFonts w:ascii="Palatino Linotype" w:eastAsia="Palatino Linotype" w:hAnsi="Palatino Linotype" w:cs="Palatino Linotype"/>
        </w:rPr>
        <w:lastRenderedPageBreak/>
        <w:t>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78C82F5" w14:textId="77777777" w:rsidR="009B2CE9" w:rsidRPr="008944ED" w:rsidRDefault="002459D3">
      <w:pPr>
        <w:pBdr>
          <w:top w:val="nil"/>
          <w:left w:val="nil"/>
          <w:bottom w:val="nil"/>
          <w:right w:val="nil"/>
          <w:between w:val="nil"/>
        </w:pBdr>
        <w:spacing w:line="276" w:lineRule="auto"/>
        <w:ind w:left="860" w:right="560"/>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944E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88D9E7"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Es por todo lo expuesto en este punto que este Instituto determina que, al actualizarse la figura jurídica del hecho negativo, no resulta procedente la entrega de documento alguno para atender este requerimiento de información, pues se insiste, al no contar con infracciones viales, no se obtuvo recurso alguno que pudiera emplearse y, por ende, no se cuenta con evidencia de dichas multas.</w:t>
      </w:r>
    </w:p>
    <w:p w14:paraId="711C5825"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676E6C7D"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1244EABA" w14:textId="77777777" w:rsidR="009B2CE9" w:rsidRPr="008944ED" w:rsidRDefault="002459D3">
      <w:pPr>
        <w:numPr>
          <w:ilvl w:val="0"/>
          <w:numId w:val="7"/>
        </w:numPr>
        <w:spacing w:before="240" w:line="360" w:lineRule="auto"/>
        <w:ind w:left="-142" w:right="49" w:firstLine="0"/>
        <w:jc w:val="both"/>
        <w:rPr>
          <w:rFonts w:ascii="Palatino Linotype" w:eastAsia="Palatino Linotype" w:hAnsi="Palatino Linotype" w:cs="Palatino Linotype"/>
          <w:b/>
        </w:rPr>
      </w:pPr>
      <w:r w:rsidRPr="008944ED">
        <w:rPr>
          <w:rFonts w:ascii="Palatino Linotype" w:eastAsia="Palatino Linotype" w:hAnsi="Palatino Linotype" w:cs="Palatino Linotype"/>
          <w:b/>
        </w:rPr>
        <w:lastRenderedPageBreak/>
        <w:t>De la recaudación de parquímetros, comprendida en los siguientes planteamientos:</w:t>
      </w:r>
    </w:p>
    <w:p w14:paraId="78EDA9F3" w14:textId="77777777" w:rsidR="009B2CE9" w:rsidRPr="008944ED" w:rsidRDefault="002459D3">
      <w:pPr>
        <w:spacing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2.- Desde el 2022 a la fecha de esta solicitud, recaudación de parquímetros que se ha tenido en el mismo periodo 2023-2023.</w:t>
      </w:r>
    </w:p>
    <w:p w14:paraId="509DBAF3"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2.1.- Evidencia de que el recurso entra en la caja de tesorería</w:t>
      </w:r>
    </w:p>
    <w:p w14:paraId="4E19D6DD" w14:textId="77777777" w:rsidR="009B2CE9" w:rsidRPr="008944ED" w:rsidRDefault="002459D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Previo análisis de este apartado, este Instituto considera pertinente invocar la facultad de suplencia prevista en los artículos 13 y 181 párrafo cuarto de la Ley de Transparencia y Acceso a la Información Pública del Estado de México y Municipios, en virtud de que si bien es cierto,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señaló como temporalidad “2023-2023”, no menos cierto es que también precisa que estos apartados los requiere del 2022 a la fecha de la solicitud, por lo tanto, a efecto de dar cumplimiento a este punto deberá tomarse en cuenta que </w:t>
      </w:r>
      <w:r w:rsidRPr="008944ED">
        <w:rPr>
          <w:rFonts w:ascii="Palatino Linotype" w:eastAsia="Palatino Linotype" w:hAnsi="Palatino Linotype" w:cs="Palatino Linotype"/>
          <w:b/>
        </w:rPr>
        <w:t>el factor temporal comprenderá del 1 de enero de 2022 al 02 de mayo de 2023</w:t>
      </w:r>
      <w:r w:rsidRPr="008944ED">
        <w:rPr>
          <w:rFonts w:ascii="Palatino Linotype" w:eastAsia="Palatino Linotype" w:hAnsi="Palatino Linotype" w:cs="Palatino Linotype"/>
        </w:rPr>
        <w:t>.</w:t>
      </w:r>
    </w:p>
    <w:p w14:paraId="5054CD47"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Abordado lo anterior, en lo relativo a este punto, es de vital importancia señalar que el área de parquímetros es dependiente de la Tesorería Municipal, tal como se desprende de la siguiente impresión de pantalla del portal de Información Pública de Oficio Mexiquense (IPOMEX), misma que se inserta a continuación para mejor referencia del presente análisis:</w:t>
      </w:r>
    </w:p>
    <w:p w14:paraId="6053F355" w14:textId="77777777" w:rsidR="009B2CE9" w:rsidRPr="008944ED" w:rsidRDefault="002459D3">
      <w:pPr>
        <w:spacing w:before="240" w:after="240" w:line="360" w:lineRule="auto"/>
        <w:ind w:right="49"/>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58BCC15A" wp14:editId="5C5275A2">
            <wp:extent cx="4734586" cy="2152950"/>
            <wp:effectExtent l="0" t="0" r="0" b="0"/>
            <wp:docPr id="1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734586" cy="2152950"/>
                    </a:xfrm>
                    <a:prstGeom prst="rect">
                      <a:avLst/>
                    </a:prstGeom>
                    <a:ln/>
                  </pic:spPr>
                </pic:pic>
              </a:graphicData>
            </a:graphic>
          </wp:inline>
        </w:drawing>
      </w:r>
      <w:r w:rsidRPr="008944ED">
        <w:rPr>
          <w:noProof/>
        </w:rPr>
        <mc:AlternateContent>
          <mc:Choice Requires="wpg">
            <w:drawing>
              <wp:anchor distT="0" distB="0" distL="114300" distR="114300" simplePos="0" relativeHeight="251659264" behindDoc="0" locked="0" layoutInCell="1" hidden="0" allowOverlap="1" wp14:anchorId="62779CD2" wp14:editId="21C7FD62">
                <wp:simplePos x="0" y="0"/>
                <wp:positionH relativeFrom="column">
                  <wp:posOffset>927100</wp:posOffset>
                </wp:positionH>
                <wp:positionV relativeFrom="paragraph">
                  <wp:posOffset>1371600</wp:posOffset>
                </wp:positionV>
                <wp:extent cx="2419350" cy="381000"/>
                <wp:effectExtent l="0" t="0" r="0" b="0"/>
                <wp:wrapNone/>
                <wp:docPr id="84" name="Rectángulo 84"/>
                <wp:cNvGraphicFramePr/>
                <a:graphic xmlns:a="http://schemas.openxmlformats.org/drawingml/2006/main">
                  <a:graphicData uri="http://schemas.microsoft.com/office/word/2010/wordprocessingShape">
                    <wps:wsp>
                      <wps:cNvSpPr/>
                      <wps:spPr>
                        <a:xfrm>
                          <a:off x="4155375" y="3608550"/>
                          <a:ext cx="2381250" cy="342900"/>
                        </a:xfrm>
                        <a:prstGeom prst="rect">
                          <a:avLst/>
                        </a:prstGeom>
                        <a:noFill/>
                        <a:ln w="3810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1810D02B"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1371600</wp:posOffset>
                </wp:positionV>
                <wp:extent cx="2419350" cy="381000"/>
                <wp:effectExtent b="0" l="0" r="0" t="0"/>
                <wp:wrapNone/>
                <wp:docPr id="84"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2419350" cy="381000"/>
                        </a:xfrm>
                        <a:prstGeom prst="rect"/>
                        <a:ln/>
                      </pic:spPr>
                    </pic:pic>
                  </a:graphicData>
                </a:graphic>
              </wp:anchor>
            </w:drawing>
          </mc:Fallback>
        </mc:AlternateContent>
      </w:r>
    </w:p>
    <w:p w14:paraId="0FAAFC38" w14:textId="77777777" w:rsidR="009B2CE9" w:rsidRPr="008944ED" w:rsidRDefault="002459D3">
      <w:pPr>
        <w:spacing w:before="240" w:after="240"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En este orden de ideas, se procede al análisis de la respuesta en la cual, la </w:t>
      </w:r>
      <w:r w:rsidRPr="008944ED">
        <w:rPr>
          <w:rFonts w:ascii="Palatino Linotype" w:eastAsia="Palatino Linotype" w:hAnsi="Palatino Linotype" w:cs="Palatino Linotype"/>
          <w:b/>
        </w:rPr>
        <w:t xml:space="preserve">Tesorera Municipal </w:t>
      </w:r>
      <w:r w:rsidRPr="008944ED">
        <w:rPr>
          <w:rFonts w:ascii="Palatino Linotype" w:eastAsia="Palatino Linotype" w:hAnsi="Palatino Linotype" w:cs="Palatino Linotype"/>
        </w:rPr>
        <w:t xml:space="preserve">señaló que del periodo del 1 de enero al 31 de marzo de 2023, se encuentran integrados en el Estado Comparativo Presupuestal de Ingresos Trimestrales entregado al Órgano Superior de Fiscalización, documento que puede consultar en la siguiente liga electrónica: </w:t>
      </w:r>
      <w:r w:rsidRPr="008944ED">
        <w:rPr>
          <w:rFonts w:ascii="Palatino Linotype" w:eastAsia="Palatino Linotype" w:hAnsi="Palatino Linotype" w:cs="Palatino Linotype"/>
          <w:b/>
        </w:rPr>
        <w:t xml:space="preserve">   </w:t>
      </w:r>
      <w:hyperlink r:id="rId16">
        <w:r w:rsidRPr="008944ED">
          <w:rPr>
            <w:rFonts w:ascii="Palatino Linotype" w:eastAsia="Palatino Linotype" w:hAnsi="Palatino Linotype" w:cs="Palatino Linotype"/>
            <w:u w:val="single"/>
          </w:rPr>
          <w:t>https://atlacomulco.gob.mx/documentos/LGCG/ayuntamiento/2023/Primer%20Trimestre/Titulo%20IV/Informacion%20Presupuestal/ESTADO%20COMPARATIVO%20INGRESOS.pdf</w:t>
        </w:r>
      </w:hyperlink>
      <w:r w:rsidRPr="008944ED">
        <w:rPr>
          <w:rFonts w:ascii="Palatino Linotype" w:eastAsia="Palatino Linotype" w:hAnsi="Palatino Linotype" w:cs="Palatino Linotype"/>
          <w:b/>
        </w:rPr>
        <w:t xml:space="preserve">  </w:t>
      </w:r>
    </w:p>
    <w:p w14:paraId="2D9A98E2"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En lo que respecta al periodo del 1 de abril al 2 de mayo de 2023, se informa que aún no se cuenta con las cifras definitivas, toda vez que se encuentran en proceso los registros contables y presupuestales, ya que este periodo se integra en el Segundo Informe Trimestral del año 2023 para ser entregado al Órgano Superior de Fiscalización del Estado de México, conforme a lo establecido en el artículo 350 del Código Financiero del Estado de México y Municipios.</w:t>
      </w:r>
    </w:p>
    <w:p w14:paraId="1EE7D3D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 xml:space="preserve">Así las cosas, este Instituto procedió a consultar la liga electrónica proporcionada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teniendo así que nos conduce al estado comparativo presupuestal de ingresos, tal como se muestra a continuación:</w:t>
      </w:r>
    </w:p>
    <w:p w14:paraId="3EB6D2B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noProof/>
        </w:rPr>
        <w:drawing>
          <wp:inline distT="0" distB="0" distL="0" distR="0" wp14:anchorId="10504AF5" wp14:editId="73584EE0">
            <wp:extent cx="5612130" cy="3589655"/>
            <wp:effectExtent l="0" t="0" r="0" b="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612130" cy="3589655"/>
                    </a:xfrm>
                    <a:prstGeom prst="rect">
                      <a:avLst/>
                    </a:prstGeom>
                    <a:ln/>
                  </pic:spPr>
                </pic:pic>
              </a:graphicData>
            </a:graphic>
          </wp:inline>
        </w:drawing>
      </w:r>
    </w:p>
    <w:p w14:paraId="06BEC11A" w14:textId="77777777" w:rsidR="009B2CE9" w:rsidRPr="008944ED" w:rsidRDefault="002459D3">
      <w:pPr>
        <w:spacing w:before="280" w:after="28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Una vez realizado el análisis a la información que obra en la liga electrónica proporcionada, este Organismo Garante advirtió que </w:t>
      </w:r>
      <w:r w:rsidRPr="008944ED">
        <w:rPr>
          <w:rFonts w:ascii="Palatino Linotype" w:eastAsia="Palatino Linotype" w:hAnsi="Palatino Linotype" w:cs="Palatino Linotype"/>
          <w:b/>
        </w:rPr>
        <w:t>no se visualiza en concreto la información que dé cuenta de la recaudación de parquímetros, así como de la evidencia de que el recurso entra en la caja de tesorería</w:t>
      </w:r>
      <w:r w:rsidRPr="008944ED">
        <w:rPr>
          <w:rFonts w:ascii="Palatino Linotype" w:eastAsia="Palatino Linotype" w:hAnsi="Palatino Linotype" w:cs="Palatino Linotype"/>
        </w:rPr>
        <w:t xml:space="preserve">, toda vez que en la página 4 únicamente se señalan los ingresos por concepto de estacionamiento en la vía pública, por lo tanto, al no remitirse la información tal como la peticionó el particular, se colige que no se colmó la pretensión de </w:t>
      </w:r>
      <w:r w:rsidRPr="008944ED">
        <w:rPr>
          <w:rFonts w:ascii="Palatino Linotype" w:eastAsia="Palatino Linotype" w:hAnsi="Palatino Linotype" w:cs="Palatino Linotype"/>
          <w:b/>
        </w:rPr>
        <w:t>la parte Recurrente.</w:t>
      </w:r>
    </w:p>
    <w:p w14:paraId="5F02B745" w14:textId="77777777" w:rsidR="009B2CE9" w:rsidRPr="008944ED" w:rsidRDefault="009B2CE9"/>
    <w:p w14:paraId="063DAE15"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Acotado lo anterior, el Reglamento de Parquímetros del Ayuntamiento de Atlacomulco vigente, señala lo siguiente respecto al momento de la recaudación del dinero depositado en las alcancías de los parquímetros, el multicitado reglamento establece lo siguiente:</w:t>
      </w:r>
      <w:r w:rsidRPr="008944ED">
        <w:rPr>
          <w:noProof/>
        </w:rPr>
        <w:drawing>
          <wp:anchor distT="0" distB="0" distL="114300" distR="114300" simplePos="0" relativeHeight="251660288" behindDoc="0" locked="0" layoutInCell="1" hidden="0" allowOverlap="1" wp14:anchorId="1DD6D838" wp14:editId="5631A519">
            <wp:simplePos x="0" y="0"/>
            <wp:positionH relativeFrom="column">
              <wp:posOffset>182880</wp:posOffset>
            </wp:positionH>
            <wp:positionV relativeFrom="paragraph">
              <wp:posOffset>1346835</wp:posOffset>
            </wp:positionV>
            <wp:extent cx="5429250" cy="1532890"/>
            <wp:effectExtent l="0" t="0" r="0" b="0"/>
            <wp:wrapTopAndBottom distT="0" dist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429250" cy="1532890"/>
                    </a:xfrm>
                    <a:prstGeom prst="rect">
                      <a:avLst/>
                    </a:prstGeom>
                    <a:ln/>
                  </pic:spPr>
                </pic:pic>
              </a:graphicData>
            </a:graphic>
          </wp:anchor>
        </w:drawing>
      </w:r>
      <w:r w:rsidRPr="008944ED">
        <w:rPr>
          <w:noProof/>
        </w:rPr>
        <w:drawing>
          <wp:anchor distT="0" distB="0" distL="114300" distR="114300" simplePos="0" relativeHeight="251661312" behindDoc="0" locked="0" layoutInCell="1" hidden="0" allowOverlap="1" wp14:anchorId="4997983B" wp14:editId="57B7FBB4">
            <wp:simplePos x="0" y="0"/>
            <wp:positionH relativeFrom="column">
              <wp:posOffset>201930</wp:posOffset>
            </wp:positionH>
            <wp:positionV relativeFrom="paragraph">
              <wp:posOffset>2956560</wp:posOffset>
            </wp:positionV>
            <wp:extent cx="5410200" cy="1569720"/>
            <wp:effectExtent l="0" t="0" r="0" b="0"/>
            <wp:wrapTopAndBottom distT="0" distB="0"/>
            <wp:docPr id="1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410200" cy="1569720"/>
                    </a:xfrm>
                    <a:prstGeom prst="rect">
                      <a:avLst/>
                    </a:prstGeom>
                    <a:ln/>
                  </pic:spPr>
                </pic:pic>
              </a:graphicData>
            </a:graphic>
          </wp:anchor>
        </w:drawing>
      </w:r>
    </w:p>
    <w:p w14:paraId="074C1135"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0C3CCCDD"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Bajo esta línea de pensamiento, se tiene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en efecto, la Tesorería Municipal se involucra al momento del conteo de lo recaudado por concepto de los parquímetros, tan es así que en su propio Manual de Procedimientos, se detalla la manera en la que se realiza dicha recaudación: </w:t>
      </w:r>
    </w:p>
    <w:p w14:paraId="138BED04" w14:textId="77777777" w:rsidR="009B2CE9" w:rsidRPr="008944ED" w:rsidRDefault="002459D3">
      <w:pPr>
        <w:spacing w:before="240" w:after="240" w:line="360" w:lineRule="auto"/>
        <w:ind w:right="49"/>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4840144A" wp14:editId="5D5723F0">
            <wp:extent cx="5359371" cy="6383071"/>
            <wp:effectExtent l="0" t="0" r="0" b="0"/>
            <wp:docPr id="1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359371" cy="6383071"/>
                    </a:xfrm>
                    <a:prstGeom prst="rect">
                      <a:avLst/>
                    </a:prstGeom>
                    <a:ln/>
                  </pic:spPr>
                </pic:pic>
              </a:graphicData>
            </a:graphic>
          </wp:inline>
        </w:drawing>
      </w:r>
      <w:r w:rsidRPr="008944ED">
        <w:rPr>
          <w:noProof/>
        </w:rPr>
        <mc:AlternateContent>
          <mc:Choice Requires="wpg">
            <w:drawing>
              <wp:anchor distT="0" distB="0" distL="114300" distR="114300" simplePos="0" relativeHeight="251662336" behindDoc="0" locked="0" layoutInCell="1" hidden="0" allowOverlap="1" wp14:anchorId="730A8BD8" wp14:editId="76A3DF9E">
                <wp:simplePos x="0" y="0"/>
                <wp:positionH relativeFrom="column">
                  <wp:posOffset>241300</wp:posOffset>
                </wp:positionH>
                <wp:positionV relativeFrom="paragraph">
                  <wp:posOffset>2578100</wp:posOffset>
                </wp:positionV>
                <wp:extent cx="5114925" cy="3657600"/>
                <wp:effectExtent l="0" t="0" r="0" b="0"/>
                <wp:wrapNone/>
                <wp:docPr id="88" name="Rectángulo 88"/>
                <wp:cNvGraphicFramePr/>
                <a:graphic xmlns:a="http://schemas.openxmlformats.org/drawingml/2006/main">
                  <a:graphicData uri="http://schemas.microsoft.com/office/word/2010/wordprocessingShape">
                    <wps:wsp>
                      <wps:cNvSpPr/>
                      <wps:spPr>
                        <a:xfrm>
                          <a:off x="2807588" y="1970250"/>
                          <a:ext cx="5076825" cy="3619500"/>
                        </a:xfrm>
                        <a:prstGeom prst="rect">
                          <a:avLst/>
                        </a:prstGeom>
                        <a:noFill/>
                        <a:ln w="3810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47D04B8C"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wp:posOffset>
                </wp:positionH>
                <wp:positionV relativeFrom="paragraph">
                  <wp:posOffset>2578100</wp:posOffset>
                </wp:positionV>
                <wp:extent cx="5114925" cy="3657600"/>
                <wp:effectExtent b="0" l="0" r="0" t="0"/>
                <wp:wrapNone/>
                <wp:docPr id="88" name="image34.png"/>
                <a:graphic>
                  <a:graphicData uri="http://schemas.openxmlformats.org/drawingml/2006/picture">
                    <pic:pic>
                      <pic:nvPicPr>
                        <pic:cNvPr id="0" name="image34.png"/>
                        <pic:cNvPicPr preferRelativeResize="0"/>
                      </pic:nvPicPr>
                      <pic:blipFill>
                        <a:blip r:embed="rId21"/>
                        <a:srcRect/>
                        <a:stretch>
                          <a:fillRect/>
                        </a:stretch>
                      </pic:blipFill>
                      <pic:spPr>
                        <a:xfrm>
                          <a:off x="0" y="0"/>
                          <a:ext cx="5114925" cy="3657600"/>
                        </a:xfrm>
                        <a:prstGeom prst="rect"/>
                        <a:ln/>
                      </pic:spPr>
                    </pic:pic>
                  </a:graphicData>
                </a:graphic>
              </wp:anchor>
            </w:drawing>
          </mc:Fallback>
        </mc:AlternateContent>
      </w:r>
    </w:p>
    <w:p w14:paraId="7A1064CD"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61F80F12"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0467167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Con lo anteriormente citado hasta este punto, se abordan a las siguientes conclusiones:</w:t>
      </w:r>
    </w:p>
    <w:p w14:paraId="01D55615" w14:textId="77777777" w:rsidR="009B2CE9" w:rsidRPr="008944ED" w:rsidRDefault="002459D3">
      <w:pPr>
        <w:numPr>
          <w:ilvl w:val="0"/>
          <w:numId w:val="8"/>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La extracción del dinero que se deposita en las alcancías de los parquímetros, se realizará de manera conjunta entre la persona titular del área de parquímetros, personal autorizado por la Tesorería Municipal, Contraloría Municipal y algún integrante de la Comisión </w:t>
      </w:r>
      <w:proofErr w:type="gramStart"/>
      <w:r w:rsidRPr="008944ED">
        <w:rPr>
          <w:rFonts w:ascii="Palatino Linotype" w:eastAsia="Palatino Linotype" w:hAnsi="Palatino Linotype" w:cs="Palatino Linotype"/>
        </w:rPr>
        <w:t>Edilicia</w:t>
      </w:r>
      <w:proofErr w:type="gramEnd"/>
      <w:r w:rsidRPr="008944ED">
        <w:rPr>
          <w:rFonts w:ascii="Palatino Linotype" w:eastAsia="Palatino Linotype" w:hAnsi="Palatino Linotype" w:cs="Palatino Linotype"/>
        </w:rPr>
        <w:t xml:space="preserve"> Transitoria de Movilidad, los cuales se realizarán cuatro días por semana. </w:t>
      </w:r>
    </w:p>
    <w:p w14:paraId="7054135B" w14:textId="77777777" w:rsidR="009B2CE9" w:rsidRPr="008944ED" w:rsidRDefault="009B2CE9">
      <w:p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rPr>
      </w:pPr>
    </w:p>
    <w:p w14:paraId="64777EF2" w14:textId="77777777" w:rsidR="009B2CE9" w:rsidRPr="008944ED" w:rsidRDefault="002459D3">
      <w:pPr>
        <w:numPr>
          <w:ilvl w:val="0"/>
          <w:numId w:val="8"/>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El procedimiento de la recaudación implica que se realice un conteo, se realice la sumatoria correspondiente y se obtenga un total para posteriormente asentarlo en el acta circunstanciada. </w:t>
      </w:r>
    </w:p>
    <w:p w14:paraId="574E089E" w14:textId="77777777" w:rsidR="009B2CE9" w:rsidRPr="008944ED" w:rsidRDefault="009B2CE9">
      <w:pPr>
        <w:pBdr>
          <w:top w:val="nil"/>
          <w:left w:val="nil"/>
          <w:bottom w:val="nil"/>
          <w:right w:val="nil"/>
          <w:between w:val="nil"/>
        </w:pBdr>
        <w:ind w:left="567" w:right="900" w:hanging="141"/>
        <w:rPr>
          <w:rFonts w:ascii="Palatino Linotype" w:eastAsia="Palatino Linotype" w:hAnsi="Palatino Linotype" w:cs="Palatino Linotype"/>
        </w:rPr>
      </w:pPr>
    </w:p>
    <w:p w14:paraId="67AD7528" w14:textId="77777777" w:rsidR="009B2CE9" w:rsidRPr="008944ED" w:rsidRDefault="002459D3">
      <w:pPr>
        <w:numPr>
          <w:ilvl w:val="0"/>
          <w:numId w:val="8"/>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rPr>
      </w:pPr>
      <w:r w:rsidRPr="008944ED">
        <w:rPr>
          <w:rFonts w:ascii="Palatino Linotype" w:eastAsia="Palatino Linotype" w:hAnsi="Palatino Linotype" w:cs="Palatino Linotype"/>
        </w:rPr>
        <w:t>Finalmente se realiza un depósito en la institución bancaria en la que el municipio tenga cuenta.</w:t>
      </w:r>
    </w:p>
    <w:p w14:paraId="04745E9F"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Como se puede observar en lo anteriormente estudiado, se acredita que la Tesorería Municipal al momento de realizar la recaudación por concepto de los parquímetros genera un acta circunstanciada y posteriormente este recurso lo deposita a la institución bancaria de la cuenta del municipio, por lo tanto,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cuenta con documentales que pueden satisfacer este requerimiento, siendo de manera enunciativa más no limitativa las actas circunstanciadas y los documentos en los que consten los depósitos a la cuenta bancaria del municipio por concepto de recaudación de parquímetros. </w:t>
      </w:r>
    </w:p>
    <w:p w14:paraId="7F5E9A21"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 xml:space="preserve">Por otra parte, no escapa de la óptica de este organismo garante que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 xml:space="preserve">justificó la restricción al Derecho de acceso a la información para no entregar lo que respecta al periodo del 1 de abril al 2 de mayo de 2023, bajo el argumento de que la información solicitada se encuentra en proceso de integración y registro contable, por lo que aún no puede ser proporcionada, es importante señalar que a pesar de que la solicitud de información </w:t>
      </w:r>
      <w:r w:rsidRPr="008944ED">
        <w:rPr>
          <w:rFonts w:ascii="Palatino Linotype" w:eastAsia="Palatino Linotype" w:hAnsi="Palatino Linotype" w:cs="Palatino Linotype"/>
          <w:b/>
          <w:u w:val="single"/>
        </w:rPr>
        <w:t>se registró el dos de mayo de dos mil veintitrés,</w:t>
      </w:r>
      <w:r w:rsidRPr="008944ED">
        <w:rPr>
          <w:rFonts w:ascii="Palatino Linotype" w:eastAsia="Palatino Linotype" w:hAnsi="Palatino Linotype" w:cs="Palatino Linotype"/>
        </w:rPr>
        <w:t xml:space="preserve"> se estima necesario precisar que si bien, los entes fiscalizables se encuentran constreñidos para cumplir con sus obligaciones fiscales en términos y periodicidad dispuesta por la normatividad correspondiente, ello </w:t>
      </w:r>
      <w:r w:rsidRPr="008944ED">
        <w:rPr>
          <w:rFonts w:ascii="Palatino Linotype" w:eastAsia="Palatino Linotype" w:hAnsi="Palatino Linotype" w:cs="Palatino Linotype"/>
          <w:b/>
          <w:u w:val="single"/>
        </w:rPr>
        <w:t>no significa que los sujetos obligados no permitan el acceso a la información que por su naturaleza deben generar de manera diaria, semanal o mensual, cuando ello se solicite en el ejercicio del derecho de acceso a la información. </w:t>
      </w:r>
    </w:p>
    <w:p w14:paraId="6B4BCFCF" w14:textId="77777777" w:rsidR="009B2CE9" w:rsidRPr="008944ED" w:rsidRDefault="002459D3">
      <w:pPr>
        <w:pBdr>
          <w:top w:val="nil"/>
          <w:left w:val="nil"/>
          <w:bottom w:val="nil"/>
          <w:right w:val="nil"/>
          <w:between w:val="nil"/>
        </w:pBdr>
        <w:spacing w:before="240" w:after="240" w:line="360" w:lineRule="auto"/>
        <w:jc w:val="both"/>
      </w:pPr>
      <w:r w:rsidRPr="008944ED">
        <w:rPr>
          <w:rFonts w:ascii="Palatino Linotype" w:eastAsia="Palatino Linotype" w:hAnsi="Palatino Linotype" w:cs="Palatino Linotype"/>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14:paraId="567020B9"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Es por todo lo expuesto que este Instituto determina procedente la entrega de los documentos donde conste la recaudación por concepto de los parquímetros y los documentos que acrediten los ingresos a la Tesorería Municipal por la recaudación de parquímetros, generados del 1 de enero de 2022 al 2 de mayo de 2023.</w:t>
      </w:r>
    </w:p>
    <w:p w14:paraId="26A44209" w14:textId="77777777" w:rsidR="009B2CE9" w:rsidRPr="008944ED" w:rsidRDefault="002459D3">
      <w:pPr>
        <w:numPr>
          <w:ilvl w:val="0"/>
          <w:numId w:val="5"/>
        </w:numPr>
        <w:pBdr>
          <w:top w:val="nil"/>
          <w:left w:val="nil"/>
          <w:bottom w:val="nil"/>
          <w:right w:val="nil"/>
          <w:between w:val="nil"/>
        </w:pBdr>
        <w:spacing w:before="240" w:after="240" w:line="360" w:lineRule="auto"/>
        <w:ind w:left="142"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lastRenderedPageBreak/>
        <w:t>Del nombre de los recaudadores y del encargado o responsable de parquímetros.</w:t>
      </w:r>
    </w:p>
    <w:p w14:paraId="06860B2B"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lo relativo a este apartado, obra el pronunciamiento de la </w:t>
      </w:r>
      <w:proofErr w:type="gramStart"/>
      <w:r w:rsidRPr="008944ED">
        <w:rPr>
          <w:rFonts w:ascii="Palatino Linotype" w:eastAsia="Palatino Linotype" w:hAnsi="Palatino Linotype" w:cs="Palatino Linotype"/>
          <w:b/>
        </w:rPr>
        <w:t>Directora</w:t>
      </w:r>
      <w:proofErr w:type="gramEnd"/>
      <w:r w:rsidRPr="008944ED">
        <w:rPr>
          <w:rFonts w:ascii="Palatino Linotype" w:eastAsia="Palatino Linotype" w:hAnsi="Palatino Linotype" w:cs="Palatino Linotype"/>
          <w:b/>
        </w:rPr>
        <w:t xml:space="preserve"> de Administración</w:t>
      </w:r>
      <w:r w:rsidRPr="008944ED">
        <w:rPr>
          <w:rFonts w:ascii="Palatino Linotype" w:eastAsia="Palatino Linotype" w:hAnsi="Palatino Linotype" w:cs="Palatino Linotype"/>
        </w:rPr>
        <w:t>, quien adjuntó el listado de personal del área de parquímetros, el cual se inserta a continuación para mejor referencia en este estudio:</w:t>
      </w:r>
    </w:p>
    <w:p w14:paraId="5F67376D" w14:textId="77777777" w:rsidR="009B2CE9" w:rsidRPr="008944ED" w:rsidRDefault="002459D3">
      <w:pPr>
        <w:spacing w:before="240" w:after="240" w:line="360" w:lineRule="auto"/>
        <w:ind w:right="49"/>
        <w:jc w:val="center"/>
        <w:rPr>
          <w:rFonts w:ascii="Palatino Linotype" w:eastAsia="Palatino Linotype" w:hAnsi="Palatino Linotype" w:cs="Palatino Linotype"/>
        </w:rPr>
      </w:pPr>
      <w:r w:rsidRPr="008944ED">
        <w:rPr>
          <w:rFonts w:ascii="Palatino Linotype" w:eastAsia="Palatino Linotype" w:hAnsi="Palatino Linotype" w:cs="Palatino Linotype"/>
          <w:b/>
          <w:noProof/>
          <w:sz w:val="18"/>
          <w:szCs w:val="18"/>
        </w:rPr>
        <w:drawing>
          <wp:inline distT="0" distB="0" distL="0" distR="0" wp14:anchorId="07C69DDF" wp14:editId="69A33605">
            <wp:extent cx="5387738" cy="3400915"/>
            <wp:effectExtent l="0" t="0" r="0" b="0"/>
            <wp:docPr id="1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387738" cy="3400915"/>
                    </a:xfrm>
                    <a:prstGeom prst="rect">
                      <a:avLst/>
                    </a:prstGeom>
                    <a:ln/>
                  </pic:spPr>
                </pic:pic>
              </a:graphicData>
            </a:graphic>
          </wp:inline>
        </w:drawing>
      </w:r>
    </w:p>
    <w:p w14:paraId="15C64364"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de destacar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conforme a lo previsto por el Manual de Organización de la Dirección de Administración, le compete a esta unidad administrativa el desempeño de las siguientes facultades:</w:t>
      </w:r>
    </w:p>
    <w:p w14:paraId="7214114B" w14:textId="77777777" w:rsidR="009B2CE9" w:rsidRPr="008944ED" w:rsidRDefault="002459D3">
      <w:pPr>
        <w:spacing w:before="240" w:after="240" w:line="360" w:lineRule="auto"/>
        <w:ind w:right="49"/>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355C5EFE" wp14:editId="33B515CF">
            <wp:extent cx="5612130" cy="6800850"/>
            <wp:effectExtent l="0" t="0" r="0" b="0"/>
            <wp:docPr id="1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612130" cy="6800850"/>
                    </a:xfrm>
                    <a:prstGeom prst="rect">
                      <a:avLst/>
                    </a:prstGeom>
                    <a:ln/>
                  </pic:spPr>
                </pic:pic>
              </a:graphicData>
            </a:graphic>
          </wp:inline>
        </w:drawing>
      </w:r>
      <w:r w:rsidRPr="008944ED">
        <w:rPr>
          <w:noProof/>
        </w:rPr>
        <mc:AlternateContent>
          <mc:Choice Requires="wpg">
            <w:drawing>
              <wp:anchor distT="0" distB="0" distL="114300" distR="114300" simplePos="0" relativeHeight="251663360" behindDoc="0" locked="0" layoutInCell="1" hidden="0" allowOverlap="1" wp14:anchorId="45127061" wp14:editId="6F6E0C55">
                <wp:simplePos x="0" y="0"/>
                <wp:positionH relativeFrom="column">
                  <wp:posOffset>-12699</wp:posOffset>
                </wp:positionH>
                <wp:positionV relativeFrom="paragraph">
                  <wp:posOffset>5321300</wp:posOffset>
                </wp:positionV>
                <wp:extent cx="5619750" cy="438150"/>
                <wp:effectExtent l="0" t="0" r="0" b="0"/>
                <wp:wrapNone/>
                <wp:docPr id="83" name="Rectángulo 83"/>
                <wp:cNvGraphicFramePr/>
                <a:graphic xmlns:a="http://schemas.openxmlformats.org/drawingml/2006/main">
                  <a:graphicData uri="http://schemas.microsoft.com/office/word/2010/wordprocessingShape">
                    <wps:wsp>
                      <wps:cNvSpPr/>
                      <wps:spPr>
                        <a:xfrm>
                          <a:off x="2555175" y="3579975"/>
                          <a:ext cx="5581650" cy="400050"/>
                        </a:xfrm>
                        <a:prstGeom prst="rect">
                          <a:avLst/>
                        </a:prstGeom>
                        <a:noFill/>
                        <a:ln w="38100" cap="flat" cmpd="sng">
                          <a:solidFill>
                            <a:srgbClr val="FF0000"/>
                          </a:solidFill>
                          <a:prstDash val="solid"/>
                          <a:round/>
                          <a:headEnd type="none" w="sm" len="sm"/>
                          <a:tailEnd type="none" w="sm" len="sm"/>
                        </a:ln>
                      </wps:spPr>
                      <wps:txbx>
                        <w:txbxContent>
                          <w:p w14:paraId="19DC56D3"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5321300</wp:posOffset>
                </wp:positionV>
                <wp:extent cx="5619750" cy="438150"/>
                <wp:effectExtent b="0" l="0" r="0" t="0"/>
                <wp:wrapNone/>
                <wp:docPr id="83"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5619750" cy="438150"/>
                        </a:xfrm>
                        <a:prstGeom prst="rect"/>
                        <a:ln/>
                      </pic:spPr>
                    </pic:pic>
                  </a:graphicData>
                </a:graphic>
              </wp:anchor>
            </w:drawing>
          </mc:Fallback>
        </mc:AlternateContent>
      </w:r>
    </w:p>
    <w:p w14:paraId="06E84C68" w14:textId="77777777" w:rsidR="009B2CE9" w:rsidRPr="008944ED" w:rsidRDefault="002459D3">
      <w:pPr>
        <w:spacing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lo anterior, se tiene que se pronunció el área competente pues es la encargada de conducir la administración de los recursos humanos, por ende, se determina que </w:t>
      </w:r>
      <w:r w:rsidRPr="008944ED">
        <w:rPr>
          <w:rFonts w:ascii="Palatino Linotype" w:eastAsia="Palatino Linotype" w:hAnsi="Palatino Linotype" w:cs="Palatino Linotype"/>
        </w:rPr>
        <w:lastRenderedPageBreak/>
        <w:t>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8C7E376" w14:textId="77777777" w:rsidR="009B2CE9" w:rsidRPr="008944ED" w:rsidRDefault="009B2CE9"/>
    <w:p w14:paraId="476DE9C1" w14:textId="77777777" w:rsidR="009B2CE9" w:rsidRPr="008944ED" w:rsidRDefault="002459D3">
      <w:pPr>
        <w:pBdr>
          <w:top w:val="nil"/>
          <w:left w:val="nil"/>
          <w:bottom w:val="nil"/>
          <w:right w:val="nil"/>
          <w:between w:val="nil"/>
        </w:pBdr>
        <w:ind w:left="864" w:right="864"/>
        <w:jc w:val="both"/>
      </w:pPr>
      <w:r w:rsidRPr="008944E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EAD5A51" w14:textId="77777777" w:rsidR="009B2CE9" w:rsidRPr="008944ED" w:rsidRDefault="009B2CE9"/>
    <w:p w14:paraId="3B6EC106" w14:textId="77777777" w:rsidR="009B2CE9" w:rsidRPr="008944ED" w:rsidRDefault="002459D3">
      <w:pPr>
        <w:pBdr>
          <w:top w:val="nil"/>
          <w:left w:val="nil"/>
          <w:bottom w:val="nil"/>
          <w:right w:val="nil"/>
          <w:between w:val="nil"/>
        </w:pBdr>
        <w:shd w:val="clear" w:color="auto" w:fill="FFFFFF"/>
        <w:spacing w:line="360" w:lineRule="auto"/>
        <w:jc w:val="both"/>
      </w:pPr>
      <w:r w:rsidRPr="008944ED">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2EFD6BA" w14:textId="77777777" w:rsidR="009B2CE9" w:rsidRPr="008944ED" w:rsidRDefault="009B2CE9"/>
    <w:p w14:paraId="660D655A" w14:textId="77777777" w:rsidR="009B2CE9" w:rsidRPr="008944ED" w:rsidRDefault="002459D3">
      <w:pPr>
        <w:pBdr>
          <w:top w:val="nil"/>
          <w:left w:val="nil"/>
          <w:bottom w:val="nil"/>
          <w:right w:val="nil"/>
          <w:between w:val="nil"/>
        </w:pBdr>
        <w:ind w:left="864" w:right="864"/>
        <w:jc w:val="both"/>
      </w:pPr>
      <w:r w:rsidRPr="008944ED">
        <w:rPr>
          <w:rFonts w:ascii="Palatino Linotype" w:eastAsia="Palatino Linotype" w:hAnsi="Palatino Linotype" w:cs="Palatino Linotype"/>
          <w:i/>
          <w:sz w:val="22"/>
          <w:szCs w:val="22"/>
        </w:rPr>
        <w:t xml:space="preserve">“Artículo 162. Las unidades de transparencia deberán garantizar que las solicitudes </w:t>
      </w:r>
      <w:r w:rsidRPr="008944ED">
        <w:rPr>
          <w:rFonts w:ascii="Palatino Linotype" w:eastAsia="Palatino Linotype" w:hAnsi="Palatino Linotype" w:cs="Palatino Linotype"/>
          <w:b/>
          <w:i/>
          <w:sz w:val="22"/>
          <w:szCs w:val="22"/>
        </w:rPr>
        <w:t xml:space="preserve">se turnen a todas las Áreas competentes </w:t>
      </w:r>
      <w:r w:rsidRPr="008944E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2AF607FC"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otro orden de ideas es importante destacar el hecho de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atendió la solicitud de información mediante un documento ad hoc en el cual se señalaron los nombres de los servidores públicos adscritos al área de parquímetros, por lo que es preciso mencionar que el espíritu del derecho de acceso de información pública consiste en solicitar y recibir información que es generada, obtenida, adquirida, transformada, administrada o en posesión de los sujetos obligados, </w:t>
      </w:r>
      <w:r w:rsidRPr="008944ED">
        <w:rPr>
          <w:rFonts w:ascii="Palatino Linotype" w:eastAsia="Palatino Linotype" w:hAnsi="Palatino Linotype" w:cs="Palatino Linotype"/>
        </w:rPr>
        <w:lastRenderedPageBreak/>
        <w:t xml:space="preserve">situación que se sustenta en el artículo 12 de la Ley de Transparencia y Acceso a la Información Pública del Estado de México y Municipios, el cual se cita a continuación para mayor referencia: </w:t>
      </w:r>
    </w:p>
    <w:p w14:paraId="3B9D23A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166E17C9"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8944ED">
        <w:rPr>
          <w:rFonts w:ascii="Palatino Linotype" w:eastAsia="Palatino Linotype" w:hAnsi="Palatino Linotype" w:cs="Palatino Linotype"/>
          <w:b/>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8944ED">
        <w:rPr>
          <w:rFonts w:ascii="Palatino Linotype" w:eastAsia="Palatino Linotype" w:hAnsi="Palatino Linotype" w:cs="Palatino Linotype"/>
          <w:i/>
          <w:sz w:val="22"/>
          <w:szCs w:val="22"/>
        </w:rPr>
        <w:t>”  (Énfasis añadido)</w:t>
      </w:r>
    </w:p>
    <w:p w14:paraId="18934A7F" w14:textId="77777777" w:rsidR="009B2CE9" w:rsidRPr="008944ED" w:rsidRDefault="002459D3">
      <w:pPr>
        <w:tabs>
          <w:tab w:val="left" w:pos="7513"/>
        </w:tabs>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Bajo esta línea de pensamiento, se advierte que la legislación es clara al mandatar al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la entrega de información pública que obre en sus archivos, en el estado que se encuentre, esto sin procesarla, generarla o entregarla conforme al interés de los solicitantes, por tanto, en el presente asunto, se insiste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por conducto de su servidor público habilitado, es decir, la Directora de Administración</w:t>
      </w:r>
      <w:r w:rsidRPr="008944ED">
        <w:rPr>
          <w:rFonts w:ascii="Palatino Linotype" w:eastAsia="Palatino Linotype" w:hAnsi="Palatino Linotype" w:cs="Palatino Linotype"/>
          <w:b/>
        </w:rPr>
        <w:t xml:space="preserve">, </w:t>
      </w:r>
      <w:r w:rsidRPr="008944ED">
        <w:rPr>
          <w:rFonts w:ascii="Palatino Linotype" w:eastAsia="Palatino Linotype" w:hAnsi="Palatino Linotype" w:cs="Palatino Linotype"/>
        </w:rPr>
        <w:t>atendió puntualmente el requerimiento de información del particular, esto mediante un documento ad hoc en el que se enlistaron los nombres de los servidores públicos adscritos al área de parquímetros.</w:t>
      </w:r>
    </w:p>
    <w:p w14:paraId="659DA0C2" w14:textId="77777777" w:rsidR="009B2CE9" w:rsidRPr="008944ED" w:rsidRDefault="002459D3">
      <w:pPr>
        <w:spacing w:line="360" w:lineRule="auto"/>
        <w:ind w:right="-93"/>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8944ED">
        <w:rPr>
          <w:rFonts w:ascii="Palatino Linotype" w:eastAsia="Palatino Linotype" w:hAnsi="Palatino Linotype" w:cs="Palatino Linotype"/>
          <w:i/>
        </w:rPr>
        <w:t>ad hoc</w:t>
      </w:r>
      <w:r w:rsidRPr="008944ED">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w:t>
      </w:r>
      <w:r w:rsidRPr="008944ED">
        <w:rPr>
          <w:rFonts w:ascii="Palatino Linotype" w:eastAsia="Palatino Linotype" w:hAnsi="Palatino Linotype" w:cs="Palatino Linotype"/>
        </w:rPr>
        <w:lastRenderedPageBreak/>
        <w:t xml:space="preserve">obligados deberán entregar la información que obre en sus archivos; sin embargo, se reitera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elaboró un documento ad hoc para dar cabal cumplimiento al derecho de acceso a la información del particular aún y </w:t>
      </w:r>
      <w:r w:rsidRPr="008944ED">
        <w:rPr>
          <w:rFonts w:ascii="Palatino Linotype" w:eastAsia="Palatino Linotype" w:hAnsi="Palatino Linotype" w:cs="Palatino Linotype"/>
          <w:b/>
        </w:rPr>
        <w:t>cuando no es una obligación de las autoridades</w:t>
      </w:r>
      <w:r w:rsidRPr="008944ED">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8944ED">
        <w:rPr>
          <w:rFonts w:ascii="Palatino Linotype" w:eastAsia="Palatino Linotype" w:hAnsi="Palatino Linotype" w:cs="Palatino Linotype"/>
          <w:b/>
        </w:rPr>
        <w:t xml:space="preserve"> </w:t>
      </w:r>
    </w:p>
    <w:p w14:paraId="6B2D1C46" w14:textId="77777777" w:rsidR="009B2CE9" w:rsidRPr="008944ED" w:rsidRDefault="009B2CE9">
      <w:pPr>
        <w:spacing w:line="360" w:lineRule="auto"/>
        <w:ind w:right="-93"/>
        <w:jc w:val="both"/>
        <w:rPr>
          <w:rFonts w:ascii="Palatino Linotype" w:eastAsia="Palatino Linotype" w:hAnsi="Palatino Linotype" w:cs="Palatino Linotype"/>
        </w:rPr>
      </w:pPr>
    </w:p>
    <w:p w14:paraId="3CA2958D"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8944ED">
        <w:rPr>
          <w:rFonts w:ascii="Palatino Linotype" w:eastAsia="Palatino Linotype" w:hAnsi="Palatino Linotype" w:cs="Palatino Linotype"/>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4502042"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Expedientes:</w:t>
      </w:r>
    </w:p>
    <w:p w14:paraId="50F25C3E"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0438/08 Pemex Exploración y Producción – Alonso Lujambio Irazábal</w:t>
      </w:r>
    </w:p>
    <w:p w14:paraId="7CC98F4F"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1751/09 Laboratorios de Biológicos y Reactivos de México S.A. de C.V. –</w:t>
      </w:r>
    </w:p>
    <w:p w14:paraId="5B8BD344"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María </w:t>
      </w:r>
      <w:proofErr w:type="spellStart"/>
      <w:r w:rsidRPr="008944ED">
        <w:rPr>
          <w:rFonts w:ascii="Palatino Linotype" w:eastAsia="Palatino Linotype" w:hAnsi="Palatino Linotype" w:cs="Palatino Linotype"/>
          <w:i/>
          <w:sz w:val="22"/>
          <w:szCs w:val="22"/>
        </w:rPr>
        <w:t>Marván</w:t>
      </w:r>
      <w:proofErr w:type="spellEnd"/>
      <w:r w:rsidRPr="008944ED">
        <w:rPr>
          <w:rFonts w:ascii="Palatino Linotype" w:eastAsia="Palatino Linotype" w:hAnsi="Palatino Linotype" w:cs="Palatino Linotype"/>
          <w:i/>
          <w:sz w:val="22"/>
          <w:szCs w:val="22"/>
        </w:rPr>
        <w:t xml:space="preserve"> Laborde</w:t>
      </w:r>
    </w:p>
    <w:p w14:paraId="1E34C46D"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2868/09 Consejo Nacional de Ciencia y Tecnología – Jacqueline </w:t>
      </w:r>
      <w:proofErr w:type="spellStart"/>
      <w:r w:rsidRPr="008944ED">
        <w:rPr>
          <w:rFonts w:ascii="Palatino Linotype" w:eastAsia="Palatino Linotype" w:hAnsi="Palatino Linotype" w:cs="Palatino Linotype"/>
          <w:i/>
          <w:sz w:val="22"/>
          <w:szCs w:val="22"/>
        </w:rPr>
        <w:t>Peschard</w:t>
      </w:r>
      <w:proofErr w:type="spellEnd"/>
    </w:p>
    <w:p w14:paraId="69605293"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Mariscal</w:t>
      </w:r>
    </w:p>
    <w:p w14:paraId="2F4CCE76"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5160/09 Secretaría de Hacienda y Crédito Público – Ángel Trinidad Zaldívar</w:t>
      </w:r>
    </w:p>
    <w:p w14:paraId="30993E6A" w14:textId="77777777" w:rsidR="009B2CE9" w:rsidRPr="008944ED" w:rsidRDefault="002459D3">
      <w:pPr>
        <w:spacing w:line="276" w:lineRule="auto"/>
        <w:ind w:left="567" w:righ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0304/10 Instituto Nacional de Cancerología – Jacqueline </w:t>
      </w:r>
      <w:proofErr w:type="spellStart"/>
      <w:r w:rsidRPr="008944ED">
        <w:rPr>
          <w:rFonts w:ascii="Palatino Linotype" w:eastAsia="Palatino Linotype" w:hAnsi="Palatino Linotype" w:cs="Palatino Linotype"/>
          <w:i/>
          <w:sz w:val="22"/>
          <w:szCs w:val="22"/>
        </w:rPr>
        <w:t>Peschard</w:t>
      </w:r>
      <w:proofErr w:type="spellEnd"/>
      <w:r w:rsidRPr="008944ED">
        <w:rPr>
          <w:rFonts w:ascii="Palatino Linotype" w:eastAsia="Palatino Linotype" w:hAnsi="Palatino Linotype" w:cs="Palatino Linotype"/>
          <w:i/>
          <w:sz w:val="22"/>
          <w:szCs w:val="22"/>
        </w:rPr>
        <w:t xml:space="preserve"> Mariscal”</w:t>
      </w:r>
    </w:p>
    <w:p w14:paraId="01FC2F2B" w14:textId="77777777" w:rsidR="009B2CE9" w:rsidRPr="008944ED" w:rsidRDefault="009B2CE9">
      <w:pPr>
        <w:spacing w:line="360" w:lineRule="auto"/>
        <w:ind w:right="-93"/>
        <w:jc w:val="both"/>
        <w:rPr>
          <w:rFonts w:ascii="Palatino Linotype" w:eastAsia="Palatino Linotype" w:hAnsi="Palatino Linotype" w:cs="Palatino Linotype"/>
        </w:rPr>
      </w:pPr>
    </w:p>
    <w:p w14:paraId="42AA431D" w14:textId="77777777" w:rsidR="009B2CE9" w:rsidRPr="008944ED" w:rsidRDefault="002459D3">
      <w:pPr>
        <w:spacing w:line="360" w:lineRule="auto"/>
        <w:ind w:right="-93"/>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Entonces, dado a que el criterio en mención establece que las autoridades </w:t>
      </w:r>
      <w:r w:rsidRPr="008944ED">
        <w:rPr>
          <w:rFonts w:ascii="Palatino Linotype" w:eastAsia="Palatino Linotype" w:hAnsi="Palatino Linotype" w:cs="Palatino Linotype"/>
          <w:b/>
        </w:rPr>
        <w:t xml:space="preserve">no están obligadas a generar documentos “ad hoc” </w:t>
      </w:r>
      <w:r w:rsidRPr="008944ED">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w:t>
      </w:r>
      <w:r w:rsidRPr="008944ED">
        <w:rPr>
          <w:rFonts w:ascii="Palatino Linotype" w:eastAsia="Palatino Linotype" w:hAnsi="Palatino Linotype" w:cs="Palatino Linotype"/>
        </w:rPr>
        <w:lastRenderedPageBreak/>
        <w:t>cumplimiento a los requerimientos planteados, situación que aconteció en el caso particular con el documento en el que obran los nombres de los servidores públicos adscritos al área de parquímetros.</w:t>
      </w:r>
    </w:p>
    <w:p w14:paraId="18DD75BF" w14:textId="77777777" w:rsidR="009B2CE9" w:rsidRPr="008944ED" w:rsidRDefault="002459D3">
      <w:pPr>
        <w:pBdr>
          <w:top w:val="nil"/>
          <w:left w:val="nil"/>
          <w:bottom w:val="nil"/>
          <w:right w:val="nil"/>
          <w:between w:val="nil"/>
        </w:pBdr>
        <w:spacing w:before="240" w:after="240" w:line="360" w:lineRule="auto"/>
        <w:jc w:val="both"/>
        <w:rPr>
          <w:sz w:val="28"/>
          <w:szCs w:val="28"/>
        </w:rPr>
      </w:pPr>
      <w:r w:rsidRPr="008944ED">
        <w:rPr>
          <w:rFonts w:ascii="Palatino Linotype" w:eastAsia="Palatino Linotype" w:hAnsi="Palatino Linotype" w:cs="Palatino Linotype"/>
        </w:rPr>
        <w:t xml:space="preserve">Aunado a lo anterior, este Pleno considera necesario dejar claro que, al haber existido un pronunciamiento por parte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2FAF270" w14:textId="77777777" w:rsidR="009B2CE9" w:rsidRPr="008944ED" w:rsidRDefault="002459D3">
      <w:pPr>
        <w:pBdr>
          <w:top w:val="nil"/>
          <w:left w:val="nil"/>
          <w:bottom w:val="nil"/>
          <w:right w:val="nil"/>
          <w:between w:val="nil"/>
        </w:pBdr>
        <w:ind w:left="860" w:right="560"/>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944E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336230"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por lo anteriormente señalado que este Organismo Garante determina que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atendió puntualmente este requerimiento de información.</w:t>
      </w:r>
    </w:p>
    <w:p w14:paraId="7E4AD1C8"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175EF0A7" w14:textId="77777777" w:rsidR="009B2CE9" w:rsidRPr="008944ED" w:rsidRDefault="002459D3">
      <w:pPr>
        <w:numPr>
          <w:ilvl w:val="0"/>
          <w:numId w:val="5"/>
        </w:numPr>
        <w:pBdr>
          <w:top w:val="nil"/>
          <w:left w:val="nil"/>
          <w:bottom w:val="nil"/>
          <w:right w:val="nil"/>
          <w:between w:val="nil"/>
        </w:pBdr>
        <w:spacing w:before="240" w:after="240" w:line="360" w:lineRule="auto"/>
        <w:ind w:left="0"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lastRenderedPageBreak/>
        <w:t>De los distintos conceptos de recaudación que comprenden los siguientes planteamientos:</w:t>
      </w:r>
    </w:p>
    <w:p w14:paraId="3042E80C"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3.- ¿Cuánto recurso se ha recaudado por licencias de funcionamiento?</w:t>
      </w:r>
    </w:p>
    <w:p w14:paraId="11CCE2BD"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3.1- ¿Cuánto por licencias de construcción?</w:t>
      </w:r>
    </w:p>
    <w:p w14:paraId="7C231FFC"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3.2.- ¿Cuánto por tianguis y mercados?</w:t>
      </w:r>
    </w:p>
    <w:p w14:paraId="6A8EF0A5"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3.3.- ¿Cuánto por uso de baños y estacionamientos?</w:t>
      </w:r>
    </w:p>
    <w:p w14:paraId="08B2CB94"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 xml:space="preserve">3.4.- ¿Cuánto por pago de espectaculares y publicidad? </w:t>
      </w:r>
    </w:p>
    <w:p w14:paraId="4E3893E1"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3.5.- ¿Cuánto se ha recaudado por predial 2023-2023 y cuánto se debe de predial 2023?</w:t>
      </w:r>
    </w:p>
    <w:p w14:paraId="6B8DF188" w14:textId="77777777" w:rsidR="009B2CE9" w:rsidRPr="008944ED" w:rsidRDefault="002459D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Previo análisis de este apartado, este Instituto considera pertinente invocar de nueva cuenta la facultad de suplencia prevista en los artículos 13 y 181 párrafo cuarto de la Ley de Transparencia y Acceso a la Información Pública del Estado de México y Municipios, por las consideraciones expuestas en líneas anteriores, por lo tanto, a efecto de dar cumplimiento a este punto deberá tomarse en cuenta que </w:t>
      </w:r>
      <w:r w:rsidRPr="008944ED">
        <w:rPr>
          <w:rFonts w:ascii="Palatino Linotype" w:eastAsia="Palatino Linotype" w:hAnsi="Palatino Linotype" w:cs="Palatino Linotype"/>
          <w:b/>
        </w:rPr>
        <w:t>el factor temporal comprenderá del 1 de enero de 2022 al 02 de mayo de 2023</w:t>
      </w:r>
      <w:r w:rsidRPr="008944ED">
        <w:rPr>
          <w:rFonts w:ascii="Palatino Linotype" w:eastAsia="Palatino Linotype" w:hAnsi="Palatino Linotype" w:cs="Palatino Linotype"/>
        </w:rPr>
        <w:t>.</w:t>
      </w:r>
    </w:p>
    <w:p w14:paraId="3F77E39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lo relativo a este punto, la Tesorera Municipal señaló que del periodo del 1 de enero al 31 de marzo de 2023, se encuentran integrados en el Estado Comparativo Presupuestal de Ingresos Trimestrales entregado al Órgano Superior de Fiscalización, documento que puede consultar en la siguiente liga electrónica:    </w:t>
      </w:r>
      <w:hyperlink r:id="rId25">
        <w:r w:rsidRPr="008944ED">
          <w:rPr>
            <w:rFonts w:ascii="Palatino Linotype" w:eastAsia="Palatino Linotype" w:hAnsi="Palatino Linotype" w:cs="Palatino Linotype"/>
            <w:u w:val="single"/>
          </w:rPr>
          <w:t>https://atlacomulco.gob.mx/documentos/LGCG/ayuntamiento/2023/Primer%20Tri</w:t>
        </w:r>
        <w:r w:rsidRPr="008944ED">
          <w:rPr>
            <w:rFonts w:ascii="Palatino Linotype" w:eastAsia="Palatino Linotype" w:hAnsi="Palatino Linotype" w:cs="Palatino Linotype"/>
            <w:u w:val="single"/>
          </w:rPr>
          <w:lastRenderedPageBreak/>
          <w:t>mestre/Titulo%20IV/Informacion%20Presupuestal/ESTADO%20COMPARATIVO%20INGRESOS.pdf</w:t>
        </w:r>
      </w:hyperlink>
      <w:r w:rsidRPr="008944ED">
        <w:rPr>
          <w:rFonts w:ascii="Palatino Linotype" w:eastAsia="Palatino Linotype" w:hAnsi="Palatino Linotype" w:cs="Palatino Linotype"/>
        </w:rPr>
        <w:t xml:space="preserve">  </w:t>
      </w:r>
    </w:p>
    <w:p w14:paraId="75631B5A"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En lo que respecta al periodo del 1 de abril al 3 de mayo de 2023, se informa que aún no se cuenta con las cifras definitivas, toda vez que se encuentran en proceso los registros contables y presupuestales, ya que este periodo se integra en el Segundo Informe Trimestral del año 2023 para ser entregado al Órgano Superior de Fiscalización del Estado de México, conforme a lo establecido en el artículo 350 del Código Financiero del Estado de México y Municipios.</w:t>
      </w:r>
    </w:p>
    <w:p w14:paraId="761D436E"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Teniendo en cuenta lo anterior, es de precisar que el artículo 26 del Bando Municipal del Ayuntamiento de Atlacomulco, señala que la </w:t>
      </w:r>
      <w:r w:rsidRPr="008944ED">
        <w:rPr>
          <w:rFonts w:ascii="Palatino Linotype" w:eastAsia="Palatino Linotype" w:hAnsi="Palatino Linotype" w:cs="Palatino Linotype"/>
          <w:b/>
        </w:rPr>
        <w:t>Tesorería Municipal</w:t>
      </w:r>
      <w:r w:rsidRPr="008944ED">
        <w:rPr>
          <w:rFonts w:ascii="Palatino Linotype" w:eastAsia="Palatino Linotype" w:hAnsi="Palatino Linotype" w:cs="Palatino Linotype"/>
        </w:rPr>
        <w:t xml:space="preserve"> como órgano encargado de la recaudación, administración de las contribuciones y las erogaciones que haga la administración pública municipal para el funcionamiento y operatividad de la misma, acordará e implementará las medidas necesarias para que todos los habitantes contribuyan con el gasto público municipal en forma equitativa y proporcional de acuerdo a las leyes fiscales vigentes.</w:t>
      </w:r>
    </w:p>
    <w:p w14:paraId="5BB0B6FD"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Asimismo, la Ley Orgánica Municipal dispone en su artículo 95, lo siguiente:</w:t>
      </w:r>
    </w:p>
    <w:p w14:paraId="2568F4A2" w14:textId="77777777" w:rsidR="009B2CE9" w:rsidRPr="008944ED" w:rsidRDefault="002459D3">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“Artículo 95.- Son atribuciones del tesorero municipal:</w:t>
      </w:r>
    </w:p>
    <w:p w14:paraId="467DB3D5" w14:textId="77777777" w:rsidR="009B2CE9" w:rsidRPr="008944ED" w:rsidRDefault="002459D3">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I. Administrar la hacienda pública municipal, de conformidad con las disposiciones legales aplicables;</w:t>
      </w:r>
    </w:p>
    <w:p w14:paraId="5F68C912" w14:textId="77777777" w:rsidR="009B2CE9" w:rsidRPr="008944ED" w:rsidRDefault="002459D3">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51F69772" w14:textId="77777777" w:rsidR="009B2CE9" w:rsidRPr="008944ED" w:rsidRDefault="002459D3">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u w:val="single"/>
        </w:rPr>
        <w:t>IV. Llevar los registros contables, financieros y administrativos de los ingresos, egresos, e inventarios</w:t>
      </w:r>
      <w:r w:rsidRPr="008944ED">
        <w:rPr>
          <w:rFonts w:ascii="Palatino Linotype" w:eastAsia="Palatino Linotype" w:hAnsi="Palatino Linotype" w:cs="Palatino Linotype"/>
          <w:i/>
          <w:sz w:val="22"/>
          <w:szCs w:val="22"/>
        </w:rPr>
        <w:t>;”</w:t>
      </w:r>
    </w:p>
    <w:p w14:paraId="7C1CDD6E"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 xml:space="preserve">De manera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en estos planteamientos, se pronunció la servidora pública habilitada competente, por ende, se procede al análisis de su respuesta. </w:t>
      </w:r>
    </w:p>
    <w:p w14:paraId="7A67D02D"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primera instancia, la Ley de Ingresos de los Municipios del Estado de México para el Ejercicio Fiscal 2023, prevé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durante este ejercicio fiscal, los municipios percibirán los siguientes ingresos:</w:t>
      </w:r>
    </w:p>
    <w:p w14:paraId="7BAA3B1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1.- La hacienda pública de los municipios del Estado de México, percibirá durante el Ejercicio Fiscal 2023, los ingresos provenientes de los conceptos que a continuación se enumeran:</w:t>
      </w:r>
    </w:p>
    <w:p w14:paraId="4CA8EA9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 IMPUESTOS:</w:t>
      </w:r>
    </w:p>
    <w:p w14:paraId="073CA6F5"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1.1. Impuestos Sobre los Ingresos.</w:t>
      </w:r>
    </w:p>
    <w:p w14:paraId="3CDDC16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1.2. Impuestos Sobre el Patrimonio.</w:t>
      </w:r>
    </w:p>
    <w:p w14:paraId="225128F8"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1.2.1. Predial.</w:t>
      </w:r>
    </w:p>
    <w:p w14:paraId="1E9D6D70"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1.2.2. Sobre Adquisición de Inmuebles y otras Operaciones Traslativas de Dominio de Inmuebles.</w:t>
      </w:r>
    </w:p>
    <w:p w14:paraId="187C362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1.2.3. Sobre Conjuntos Urbanos.</w:t>
      </w:r>
    </w:p>
    <w:p w14:paraId="7035850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1.3. Impuestos Sobre la Producción, el Consumo y las Transacciones.</w:t>
      </w:r>
    </w:p>
    <w:p w14:paraId="503D2CB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1.4. Impuestos al Comercio Exterior.</w:t>
      </w:r>
    </w:p>
    <w:p w14:paraId="55EA4EB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1.5. Impuestos Sobre Nóminas y Asimilables.</w:t>
      </w:r>
    </w:p>
    <w:p w14:paraId="18DA863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1.6. Impuestos Ecológicos.</w:t>
      </w:r>
    </w:p>
    <w:p w14:paraId="125BCD9D"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1.7. Accesorios de Impuestos.</w:t>
      </w:r>
    </w:p>
    <w:p w14:paraId="66EBCD8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1.7.1. Multas.</w:t>
      </w:r>
    </w:p>
    <w:p w14:paraId="7F37ED6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1.7.2. Recargos.</w:t>
      </w:r>
    </w:p>
    <w:p w14:paraId="1F9ABDCB"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1.7.3. Gastos de Ejecución.</w:t>
      </w:r>
    </w:p>
    <w:p w14:paraId="0E6FCB8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1.7.4. Indemnización por devolución de cheques.</w:t>
      </w:r>
    </w:p>
    <w:p w14:paraId="71DF7EB0"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1.8. Otros Impuestos.</w:t>
      </w:r>
    </w:p>
    <w:p w14:paraId="260C09D2"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1.8.1. Sobre Anuncios Publicitarios.</w:t>
      </w:r>
    </w:p>
    <w:p w14:paraId="36E175B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1.8.2. Sobre Diversiones, Juegos y Espectáculos Públicos.</w:t>
      </w:r>
    </w:p>
    <w:p w14:paraId="026D985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1.9. Impuestos no Comprendidos en la Ley de Ingresos Vigente, Causados en Ejercicios Fiscales Anteriores Pendientes de Liquidación o Pago.</w:t>
      </w:r>
    </w:p>
    <w:p w14:paraId="417A178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03E63CD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 DERECHOS:</w:t>
      </w:r>
    </w:p>
    <w:p w14:paraId="32B7D812"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4.1. Derechos por el Uso, Goce, Aprovechamiento o Explotación de Bienes de Dominio Público.</w:t>
      </w:r>
    </w:p>
    <w:p w14:paraId="51E90294"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4.1.1. Uso de Vías y Áreas Públicas para el Ejercicio de Actividades Comerciales y de Servicios.</w:t>
      </w:r>
    </w:p>
    <w:p w14:paraId="7314D203"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4.1.2. Estacionamiento en la Vía Pública y de Servicio Público.</w:t>
      </w:r>
    </w:p>
    <w:p w14:paraId="00C9ACA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 Derechos por Prestación de Servicios.</w:t>
      </w:r>
    </w:p>
    <w:p w14:paraId="53F194B4"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4.3.1. Agua Potable, Drenaje, Alcantarillado y Recepción de Caudales de Aguas Residuales para su Tratamiento.</w:t>
      </w:r>
    </w:p>
    <w:p w14:paraId="75E297E7"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4.3.2. Registro Civil.</w:t>
      </w:r>
    </w:p>
    <w:p w14:paraId="10EA6E69"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4.3.3. Desarrollo Urbano y Obras Públicas.</w:t>
      </w:r>
    </w:p>
    <w:p w14:paraId="0C9A5E6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4.3.4. Servicios Prestados por Autoridades Fiscales, Administrativas y de Acceso a la Información Pública.</w:t>
      </w:r>
    </w:p>
    <w:p w14:paraId="192562D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4.3.5. Servicios de Rastros.</w:t>
      </w:r>
    </w:p>
    <w:p w14:paraId="4A4E0436"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4.3.6. Corral de Concejo e Identificación de Señales de Sangre, Tatuajes, Elementos Electromagnéticos y Fierros para marcar Ganado y Magueyes.</w:t>
      </w:r>
    </w:p>
    <w:p w14:paraId="2E045C3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4.3.7. Servicios de Panteones.</w:t>
      </w:r>
    </w:p>
    <w:p w14:paraId="78537B14"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4.3.8. Expedición o Refrendo Anual de Licencias para la Venta de Bebidas Alcohólicas al Público.</w:t>
      </w:r>
    </w:p>
    <w:p w14:paraId="35A5B630"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4.3.9. Servicios prestados por Autoridades de Seguridad Pública.</w:t>
      </w:r>
    </w:p>
    <w:p w14:paraId="314B1619"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4.3.10. Servicios prestados por Autoridades de Catastro.</w:t>
      </w:r>
    </w:p>
    <w:p w14:paraId="289B7B93"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4.3.11. Servicios de Alumbrado Público.</w:t>
      </w:r>
    </w:p>
    <w:p w14:paraId="6FE07C9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4.3.12. Servicios de Limpieza de Lotes Baldíos, Recolección, Traslado y Disposición Final de Residuos Sólidos Industriales y Comerciales.</w:t>
      </w:r>
    </w:p>
    <w:p w14:paraId="12194E15"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4.4. Otros Derechos”</w:t>
      </w:r>
    </w:p>
    <w:p w14:paraId="6FD53432"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Teniendo en cuenta este precepto legal, del análisis a la liga electrónica proporcionada, se advierte que nos conduce al estado comparativo presupuestal de ingresos del primer trimestre de 2023, </w:t>
      </w:r>
      <w:r w:rsidRPr="008944ED">
        <w:rPr>
          <w:rFonts w:ascii="Palatino Linotype" w:eastAsia="Palatino Linotype" w:hAnsi="Palatino Linotype" w:cs="Palatino Linotype"/>
          <w:b/>
          <w:u w:val="single"/>
        </w:rPr>
        <w:t>en el cual se observa la recaudación por concepto de predial, anuncios publicitarios, estacionamientos en la vía pública, expedición o refrendo anual de licencias para venta de bebidas alcohólicas al público, uso de Vías y Áreas Públicas para el Ejercicio de Actividades Comerciales y de servicios, derechos por el uso, goce, aprovechamiento o explotación de bienes de dominio público</w:t>
      </w:r>
      <w:r w:rsidRPr="008944ED">
        <w:rPr>
          <w:rFonts w:ascii="Palatino Linotype" w:eastAsia="Palatino Linotype" w:hAnsi="Palatino Linotype" w:cs="Palatino Linotype"/>
        </w:rPr>
        <w:t xml:space="preserve">, por lo tanto, para estos rubros se tiene por colmado lo proporcionado durante este primer trimestre de 2023, sin embargo, por cuanto hace a licencias de construcción y uso de baños, no se localizó dato alguno dentro del documento que obra en la liga electrónica proporcionada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w:t>
      </w:r>
    </w:p>
    <w:p w14:paraId="614067AF"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 xml:space="preserve">En esta tesitura, este Instituto localizó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para desahogar el trámite de licencia de construcción, si debe efectuarse un pago ante la Tesorería Municipal, tal como se muestra a continuación:</w:t>
      </w:r>
      <w:r w:rsidRPr="008944ED">
        <w:rPr>
          <w:noProof/>
        </w:rPr>
        <w:drawing>
          <wp:anchor distT="0" distB="0" distL="114300" distR="114300" simplePos="0" relativeHeight="251664384" behindDoc="0" locked="0" layoutInCell="1" hidden="0" allowOverlap="1" wp14:anchorId="6BDC0393" wp14:editId="7282116A">
            <wp:simplePos x="0" y="0"/>
            <wp:positionH relativeFrom="column">
              <wp:posOffset>1</wp:posOffset>
            </wp:positionH>
            <wp:positionV relativeFrom="paragraph">
              <wp:posOffset>989330</wp:posOffset>
            </wp:positionV>
            <wp:extent cx="5986650" cy="2009775"/>
            <wp:effectExtent l="0" t="0" r="0" b="0"/>
            <wp:wrapTopAndBottom distT="0" dist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86650" cy="2009775"/>
                    </a:xfrm>
                    <a:prstGeom prst="rect">
                      <a:avLst/>
                    </a:prstGeom>
                    <a:ln/>
                  </pic:spPr>
                </pic:pic>
              </a:graphicData>
            </a:graphic>
          </wp:anchor>
        </w:drawing>
      </w:r>
      <w:r w:rsidRPr="008944ED">
        <w:rPr>
          <w:noProof/>
        </w:rPr>
        <mc:AlternateContent>
          <mc:Choice Requires="wpg">
            <w:drawing>
              <wp:anchor distT="0" distB="0" distL="114300" distR="114300" simplePos="0" relativeHeight="251665408" behindDoc="0" locked="0" layoutInCell="1" hidden="0" allowOverlap="1" wp14:anchorId="02E308D2" wp14:editId="5AD616C3">
                <wp:simplePos x="0" y="0"/>
                <wp:positionH relativeFrom="column">
                  <wp:posOffset>12701</wp:posOffset>
                </wp:positionH>
                <wp:positionV relativeFrom="paragraph">
                  <wp:posOffset>2527300</wp:posOffset>
                </wp:positionV>
                <wp:extent cx="5753100" cy="400050"/>
                <wp:effectExtent l="0" t="0" r="0" b="0"/>
                <wp:wrapNone/>
                <wp:docPr id="87" name="Rectángulo 87"/>
                <wp:cNvGraphicFramePr/>
                <a:graphic xmlns:a="http://schemas.openxmlformats.org/drawingml/2006/main">
                  <a:graphicData uri="http://schemas.microsoft.com/office/word/2010/wordprocessingShape">
                    <wps:wsp>
                      <wps:cNvSpPr/>
                      <wps:spPr>
                        <a:xfrm>
                          <a:off x="2488500" y="3599025"/>
                          <a:ext cx="5715000" cy="361950"/>
                        </a:xfrm>
                        <a:prstGeom prst="rect">
                          <a:avLst/>
                        </a:prstGeom>
                        <a:noFill/>
                        <a:ln w="38100" cap="flat" cmpd="sng">
                          <a:solidFill>
                            <a:srgbClr val="FF0000"/>
                          </a:solidFill>
                          <a:prstDash val="solid"/>
                          <a:round/>
                          <a:headEnd type="none" w="sm" len="sm"/>
                          <a:tailEnd type="none" w="sm" len="sm"/>
                        </a:ln>
                      </wps:spPr>
                      <wps:txbx>
                        <w:txbxContent>
                          <w:p w14:paraId="332284A9"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2527300</wp:posOffset>
                </wp:positionV>
                <wp:extent cx="5753100" cy="400050"/>
                <wp:effectExtent b="0" l="0" r="0" t="0"/>
                <wp:wrapNone/>
                <wp:docPr id="87" name="image33.png"/>
                <a:graphic>
                  <a:graphicData uri="http://schemas.openxmlformats.org/drawingml/2006/picture">
                    <pic:pic>
                      <pic:nvPicPr>
                        <pic:cNvPr id="0" name="image33.png"/>
                        <pic:cNvPicPr preferRelativeResize="0"/>
                      </pic:nvPicPr>
                      <pic:blipFill>
                        <a:blip r:embed="rId27"/>
                        <a:srcRect/>
                        <a:stretch>
                          <a:fillRect/>
                        </a:stretch>
                      </pic:blipFill>
                      <pic:spPr>
                        <a:xfrm>
                          <a:off x="0" y="0"/>
                          <a:ext cx="5753100" cy="400050"/>
                        </a:xfrm>
                        <a:prstGeom prst="rect"/>
                        <a:ln/>
                      </pic:spPr>
                    </pic:pic>
                  </a:graphicData>
                </a:graphic>
              </wp:anchor>
            </w:drawing>
          </mc:Fallback>
        </mc:AlternateContent>
      </w:r>
    </w:p>
    <w:p w14:paraId="7ED698C9"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09B04CA9"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lo tanto, queda de manifiesto que efectivamente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si recibe ingresos por concepto de licencias de construcción, por lo tanto, al no localizar información concreta sobre este concepto, al momento de dar cumplimiento a esta resolución, deberá pronunciarse sobre los ingresos obtenidos, ello mediante el diario de ingresos que se analizará en páginas subsecuentes. </w:t>
      </w:r>
    </w:p>
    <w:p w14:paraId="4B79A9C3"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Teniendo en cuenta la temporalidad de los requerimientos de información de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esto es del 1 de enero de 2022 al 2 de mayo de 2023, no se puede tener por colmado el derecho de acceso a la información respecto del requerimiento en análisis, toda vez que falta la entrega de información concerniente al ejercicio fiscal 2022, así como aquella generada del 01 de abril al 02 de mayo de 2023, por ello, resulta de suma importancia mencionar que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 xml:space="preserve">se encuentra constreñido a entregar de manera trimestral al Órgano Superior de Fiscalización del Estado de México, en el cual obra el diario de ingresos, el cual obra en el Módulo 1 </w:t>
      </w:r>
      <w:r w:rsidRPr="008944ED">
        <w:rPr>
          <w:rFonts w:ascii="Palatino Linotype" w:eastAsia="Palatino Linotype" w:hAnsi="Palatino Linotype" w:cs="Palatino Linotype"/>
        </w:rPr>
        <w:lastRenderedPageBreak/>
        <w:t>de los Lineamientos para la integración y entrega del Informe Trimestral Municipal 2022 y 2023, en el cual se puede observar que dicho diario se genera de manera mensual y debe contener los rubros de: cuenta, número de recibo, fecha, concepto del ingreso, monto, recargos, multas, subsidios, descuentos, condonaciones e importe total, como se observa a continuación:</w:t>
      </w:r>
    </w:p>
    <w:p w14:paraId="15728ACA"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noProof/>
        </w:rPr>
        <w:drawing>
          <wp:inline distT="0" distB="0" distL="0" distR="0" wp14:anchorId="623412B4" wp14:editId="02BE6866">
            <wp:extent cx="5506218" cy="4820323"/>
            <wp:effectExtent l="0" t="0" r="0" b="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506218" cy="4820323"/>
                    </a:xfrm>
                    <a:prstGeom prst="rect">
                      <a:avLst/>
                    </a:prstGeom>
                    <a:ln/>
                  </pic:spPr>
                </pic:pic>
              </a:graphicData>
            </a:graphic>
          </wp:inline>
        </w:drawing>
      </w:r>
      <w:r w:rsidRPr="008944ED">
        <w:rPr>
          <w:noProof/>
        </w:rPr>
        <mc:AlternateContent>
          <mc:Choice Requires="wpg">
            <w:drawing>
              <wp:anchor distT="0" distB="0" distL="114300" distR="114300" simplePos="0" relativeHeight="251666432" behindDoc="0" locked="0" layoutInCell="1" hidden="0" allowOverlap="1" wp14:anchorId="5DB7BED6" wp14:editId="6D20F0E8">
                <wp:simplePos x="0" y="0"/>
                <wp:positionH relativeFrom="column">
                  <wp:posOffset>800100</wp:posOffset>
                </wp:positionH>
                <wp:positionV relativeFrom="paragraph">
                  <wp:posOffset>3581400</wp:posOffset>
                </wp:positionV>
                <wp:extent cx="4705985" cy="276225"/>
                <wp:effectExtent l="0" t="0" r="0" b="0"/>
                <wp:wrapNone/>
                <wp:docPr id="89" name="Rectángulo 89"/>
                <wp:cNvGraphicFramePr/>
                <a:graphic xmlns:a="http://schemas.openxmlformats.org/drawingml/2006/main">
                  <a:graphicData uri="http://schemas.microsoft.com/office/word/2010/wordprocessingShape">
                    <wps:wsp>
                      <wps:cNvSpPr/>
                      <wps:spPr>
                        <a:xfrm>
                          <a:off x="3007295" y="3656175"/>
                          <a:ext cx="4677410" cy="247650"/>
                        </a:xfrm>
                        <a:prstGeom prst="rect">
                          <a:avLst/>
                        </a:prstGeom>
                        <a:noFill/>
                        <a:ln w="28575" cap="flat" cmpd="sng">
                          <a:solidFill>
                            <a:srgbClr val="FF0000"/>
                          </a:solidFill>
                          <a:prstDash val="solid"/>
                          <a:round/>
                          <a:headEnd type="none" w="sm" len="sm"/>
                          <a:tailEnd type="none" w="sm" len="sm"/>
                        </a:ln>
                      </wps:spPr>
                      <wps:txbx>
                        <w:txbxContent>
                          <w:p w14:paraId="3D782BC4"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3581400</wp:posOffset>
                </wp:positionV>
                <wp:extent cx="4705985" cy="276225"/>
                <wp:effectExtent b="0" l="0" r="0" t="0"/>
                <wp:wrapNone/>
                <wp:docPr id="89" name="image35.png"/>
                <a:graphic>
                  <a:graphicData uri="http://schemas.openxmlformats.org/drawingml/2006/picture">
                    <pic:pic>
                      <pic:nvPicPr>
                        <pic:cNvPr id="0" name="image35.png"/>
                        <pic:cNvPicPr preferRelativeResize="0"/>
                      </pic:nvPicPr>
                      <pic:blipFill>
                        <a:blip r:embed="rId29"/>
                        <a:srcRect/>
                        <a:stretch>
                          <a:fillRect/>
                        </a:stretch>
                      </pic:blipFill>
                      <pic:spPr>
                        <a:xfrm>
                          <a:off x="0" y="0"/>
                          <a:ext cx="4705985" cy="276225"/>
                        </a:xfrm>
                        <a:prstGeom prst="rect"/>
                        <a:ln/>
                      </pic:spPr>
                    </pic:pic>
                  </a:graphicData>
                </a:graphic>
              </wp:anchor>
            </w:drawing>
          </mc:Fallback>
        </mc:AlternateContent>
      </w:r>
    </w:p>
    <w:p w14:paraId="66431EE7" w14:textId="77777777" w:rsidR="009B2CE9" w:rsidRPr="008944ED" w:rsidRDefault="009B2CE9">
      <w:pPr>
        <w:spacing w:before="240" w:after="240" w:line="360" w:lineRule="auto"/>
        <w:ind w:right="51"/>
        <w:jc w:val="both"/>
        <w:rPr>
          <w:rFonts w:ascii="Palatino Linotype" w:eastAsia="Palatino Linotype" w:hAnsi="Palatino Linotype" w:cs="Palatino Linotype"/>
        </w:rPr>
      </w:pPr>
    </w:p>
    <w:p w14:paraId="3805749C" w14:textId="77777777" w:rsidR="009B2CE9" w:rsidRPr="008944ED" w:rsidRDefault="002459D3">
      <w:pPr>
        <w:spacing w:before="240" w:after="240" w:line="360" w:lineRule="auto"/>
        <w:ind w:right="51"/>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23C6EAF8" wp14:editId="2130FB25">
            <wp:extent cx="5973001" cy="5096580"/>
            <wp:effectExtent l="0" t="0" r="0" b="0"/>
            <wp:docPr id="1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973001" cy="5096580"/>
                    </a:xfrm>
                    <a:prstGeom prst="rect">
                      <a:avLst/>
                    </a:prstGeom>
                    <a:ln/>
                  </pic:spPr>
                </pic:pic>
              </a:graphicData>
            </a:graphic>
          </wp:inline>
        </w:drawing>
      </w:r>
    </w:p>
    <w:p w14:paraId="445765B4" w14:textId="77777777" w:rsidR="009B2CE9" w:rsidRPr="008944ED" w:rsidRDefault="002459D3">
      <w:pPr>
        <w:spacing w:before="240" w:after="240" w:line="360" w:lineRule="auto"/>
        <w:ind w:right="51"/>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6F1F861E" wp14:editId="27691846">
            <wp:extent cx="4925009" cy="4486807"/>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4925009" cy="4486807"/>
                    </a:xfrm>
                    <a:prstGeom prst="rect">
                      <a:avLst/>
                    </a:prstGeom>
                    <a:ln/>
                  </pic:spPr>
                </pic:pic>
              </a:graphicData>
            </a:graphic>
          </wp:inline>
        </w:drawing>
      </w:r>
    </w:p>
    <w:p w14:paraId="67E58CD8"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por lo anterior que se estima que en este documento el particular podrá advertir la información que es de su interés, por lo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para satisfacer el derecho de acceso a la información de la persona solicitante, se estima pertinente la entrega de los documentos donde consten los ingresos recaudados por los conceptos señalados en la solicitud de información pública 00150/ATLACOM/IP/2023, generados del 1 de enero al 31 de diciembre de 2022, así como del 01 al 02 de mayo de 2023. </w:t>
      </w:r>
    </w:p>
    <w:p w14:paraId="6C592E3B"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Ahora bien, por cuanto hace al requerimiento de cuanto se debe por concepto de predial en el año 2023, resulta pertinente señalar que este Instituto no localizó fuente obligacional para contar con un documento a la fecha de la solicitud en el que conste </w:t>
      </w:r>
      <w:r w:rsidRPr="008944ED">
        <w:rPr>
          <w:rFonts w:ascii="Palatino Linotype" w:eastAsia="Palatino Linotype" w:hAnsi="Palatino Linotype" w:cs="Palatino Linotype"/>
        </w:rPr>
        <w:lastRenderedPageBreak/>
        <w:t xml:space="preserve">el monto que los particulares le adeudan de predial pues como se analizará más adelante, dicho trámite comienza a instancia de parte y son los propios particulares los que efectúan el cálculo de este impuesto. </w:t>
      </w:r>
    </w:p>
    <w:p w14:paraId="344F7FA0"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Para dilucidar esta situación, este Instituto localizó en el Manual de Procedimientos de la Tesorería Municipal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para generar el monto del impuesto, este iniciará a instancia de parte, es decir, a partir de que el contribuyente acude a las cajas de la Tesorería Municipal a obtener su estado de cuenta, tal como se desprende de la siguiente ilustración:</w:t>
      </w:r>
    </w:p>
    <w:p w14:paraId="68DFF012"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05D4F426" wp14:editId="55A70A8E">
            <wp:extent cx="5612130" cy="6020435"/>
            <wp:effectExtent l="0" t="0" r="0" b="0"/>
            <wp:docPr id="1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612130" cy="6020435"/>
                    </a:xfrm>
                    <a:prstGeom prst="rect">
                      <a:avLst/>
                    </a:prstGeom>
                    <a:ln/>
                  </pic:spPr>
                </pic:pic>
              </a:graphicData>
            </a:graphic>
          </wp:inline>
        </w:drawing>
      </w:r>
    </w:p>
    <w:p w14:paraId="7209BF4C"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Asimismo, el Código Financiero del Estado de México y Municipios, señala en su artículo 107 que el cálculo de este impuesto deberá realizarse por los propietarios o poseedores de los inmuebles, tal como se ejemplifica con la siguiente cita:</w:t>
      </w:r>
    </w:p>
    <w:p w14:paraId="7AFCC1DD"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4DA633D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“Artículo 107.- Están obligadas al pago del Impuesto Predial las personas físicas y jurídicas colectivas que sean propietarias o poseedoras, según se trate, de inmuebles en el Estado.</w:t>
      </w:r>
    </w:p>
    <w:p w14:paraId="7C1FC958"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Los propietarios y poseedores a que se refiere el párrafo anterior, deberán calcular anualmente el impuesto predial a su cargo y manifestarlo, en el mismo formato utilizado para determinar y declarar el valor catastral de sus inmuebles.</w:t>
      </w:r>
    </w:p>
    <w:p w14:paraId="6A7C3A0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108.- 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p>
    <w:p w14:paraId="3ACB8240"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por lo anterior que se determina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no es susceptible de contar con el dato relativo al monto que se le debe por impuesto predial, pues como se acreditó con las citas realizadas, corresponde a los contribuyentes la manifestación mediante el último recibo de predial, por lo tanto, no se puede atender este requerimiento de información, pues al no existir fuente obligacional para generarlo, implicaría que el Sujeto Obligado realice un cálculo o una gráfica, para satisfacer los intereses del particular, lo cual no será procedente toda vez que se contravendría lo dispuesto por el artículo 12 de la Ley de Transparencia y Acceso a la Información Pública del Estado de México y Municipios, mismo que se inserta a continuación: </w:t>
      </w:r>
    </w:p>
    <w:p w14:paraId="2C50AB51" w14:textId="77777777" w:rsidR="009B2CE9" w:rsidRPr="008944ED" w:rsidRDefault="002459D3">
      <w:pPr>
        <w:spacing w:before="240" w:after="240" w:line="276" w:lineRule="auto"/>
        <w:ind w:left="567" w:right="49"/>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12.</w:t>
      </w:r>
    </w:p>
    <w:p w14:paraId="2DC902A4" w14:textId="77777777" w:rsidR="009B2CE9" w:rsidRPr="008944ED" w:rsidRDefault="002459D3">
      <w:pPr>
        <w:spacing w:before="240" w:after="240" w:line="276" w:lineRule="auto"/>
        <w:ind w:left="567" w:right="49"/>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13771A9C"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(Énfasis añadido)</w:t>
      </w:r>
    </w:p>
    <w:p w14:paraId="5B447BA8" w14:textId="77777777" w:rsidR="009B2CE9" w:rsidRPr="008944ED" w:rsidRDefault="002459D3">
      <w:pPr>
        <w:numPr>
          <w:ilvl w:val="0"/>
          <w:numId w:val="5"/>
        </w:numPr>
        <w:pBdr>
          <w:top w:val="nil"/>
          <w:left w:val="nil"/>
          <w:bottom w:val="nil"/>
          <w:right w:val="nil"/>
          <w:between w:val="nil"/>
        </w:pBdr>
        <w:spacing w:before="240" w:line="360" w:lineRule="auto"/>
        <w:ind w:left="142" w:right="758"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t>De la recaudación por ISR a los empleados de enero a mayo 2023.</w:t>
      </w:r>
    </w:p>
    <w:p w14:paraId="6D48C394" w14:textId="77777777" w:rsidR="009B2CE9" w:rsidRPr="008944ED" w:rsidRDefault="009B2CE9">
      <w:pPr>
        <w:pBdr>
          <w:top w:val="nil"/>
          <w:left w:val="nil"/>
          <w:bottom w:val="nil"/>
          <w:right w:val="nil"/>
          <w:between w:val="nil"/>
        </w:pBdr>
        <w:spacing w:line="360" w:lineRule="auto"/>
        <w:ind w:left="142" w:right="758"/>
        <w:jc w:val="both"/>
        <w:rPr>
          <w:rFonts w:ascii="Palatino Linotype" w:eastAsia="Palatino Linotype" w:hAnsi="Palatino Linotype" w:cs="Palatino Linotype"/>
          <w:b/>
          <w:sz w:val="22"/>
          <w:szCs w:val="22"/>
        </w:rPr>
      </w:pPr>
    </w:p>
    <w:p w14:paraId="1B840605"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lo correspondiente a este punto, </w:t>
      </w:r>
      <w:r w:rsidRPr="008944ED">
        <w:rPr>
          <w:rFonts w:ascii="Palatino Linotype" w:eastAsia="Palatino Linotype" w:hAnsi="Palatino Linotype" w:cs="Palatino Linotype"/>
          <w:b/>
          <w:u w:val="single"/>
        </w:rPr>
        <w:t>la Tesorera Municipal informó que el Ayuntamiento de Atlacomulco no es un ente recaudador del Impuesto sobre la Renta (ISR)</w:t>
      </w:r>
      <w:r w:rsidRPr="008944ED">
        <w:rPr>
          <w:rFonts w:ascii="Palatino Linotype" w:eastAsia="Palatino Linotype" w:hAnsi="Palatino Linotype" w:cs="Palatino Linotype"/>
        </w:rPr>
        <w:t xml:space="preserve">, es de precisar que en líneas anteriores se determinó que es la servidora pública habilitada competente, sin embargo, no se puede validar su pronunciamiento en virtud </w:t>
      </w:r>
      <w:proofErr w:type="gramStart"/>
      <w:r w:rsidRPr="008944ED">
        <w:rPr>
          <w:rFonts w:ascii="Palatino Linotype" w:eastAsia="Palatino Linotype" w:hAnsi="Palatino Linotype" w:cs="Palatino Linotype"/>
        </w:rPr>
        <w:t>de  las</w:t>
      </w:r>
      <w:proofErr w:type="gramEnd"/>
      <w:r w:rsidRPr="008944ED">
        <w:rPr>
          <w:rFonts w:ascii="Palatino Linotype" w:eastAsia="Palatino Linotype" w:hAnsi="Palatino Linotype" w:cs="Palatino Linotype"/>
        </w:rPr>
        <w:t xml:space="preserve"> siguientes consideraciones: </w:t>
      </w:r>
    </w:p>
    <w:p w14:paraId="32E7AE08"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7D0C35EE"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El Glosario de Informe Tributario y de Gestión emitido por el SAT </w:t>
      </w:r>
      <w:hyperlink r:id="rId33">
        <w:r w:rsidRPr="008944ED">
          <w:rPr>
            <w:rFonts w:ascii="Palatino Linotype" w:eastAsia="Palatino Linotype" w:hAnsi="Palatino Linotype" w:cs="Palatino Linotype"/>
            <w:u w:val="single"/>
          </w:rPr>
          <w:t>http://www2.sat.gob.mx/sitio_internet/informe_tributario/itg2014t2/glosario.pdf</w:t>
        </w:r>
      </w:hyperlink>
      <w:r w:rsidRPr="008944ED">
        <w:rPr>
          <w:rFonts w:ascii="Palatino Linotype" w:eastAsia="Palatino Linotype" w:hAnsi="Palatino Linotype" w:cs="Palatino Linotype"/>
        </w:rPr>
        <w:t xml:space="preserve">  (consultado el treinta y uno de enero de dos mil veinticuatro a las doce horas) señala que el Impuesto Sobre la Renta (I.S.R.) es la contribución que grava los ingresos de las personas físicas o morales residentes en el país, así como de las personas residentes en el extranjero por los ingresos atribuibles a sus establecimientos permanentes ubicados en territorio nacional o aquéllos que proceden de fuente de riqueza ubicada en el país.</w:t>
      </w:r>
    </w:p>
    <w:p w14:paraId="587DE12C"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sz w:val="28"/>
          <w:szCs w:val="28"/>
        </w:rPr>
      </w:pPr>
    </w:p>
    <w:p w14:paraId="70343C9C"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tal sentido el Código Fiscal de la Federación contempla en su numeral 32-G que los Municipios, tendrán la obligación de presentar ante las autoridades fiscales, a través de los medios y formatos electrónicos que señale el Servicio de </w:t>
      </w:r>
      <w:r w:rsidRPr="008944ED">
        <w:rPr>
          <w:rFonts w:ascii="Palatino Linotype" w:eastAsia="Palatino Linotype" w:hAnsi="Palatino Linotype" w:cs="Palatino Linotype"/>
        </w:rPr>
        <w:lastRenderedPageBreak/>
        <w:t xml:space="preserve">Administración, la información relativa a las personas a las que en el mes inmediato anterior les hubieren efectuado retenciones de impuesto sobre la renta. Por su parte, la Ley del Impuesto sobre la Renta, contempla en su artículo 94 que se consideran ingresos por la prestación de un servicio personal subordinado, los salarios y demás prestaciones que deriven de una relación laboral, y para los efectos de este impuesto, se asimilan a estos ingresos las remuneraciones y demás prestaciones, obtenidas por los funcionarios y trabajadores de la Federación, de las entidades federativas y de los municipios y que el pago del impuesto a que se refiere este artículo deberá efectuarse mediante retención que efectúen las citadas personas morales. </w:t>
      </w:r>
    </w:p>
    <w:p w14:paraId="1F060E88"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46683393"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Además, en los diversos artículos 79 fracción, XXIII y 96 de dicho Ordenamiento Legal que los municipios enterarán las retenciones a más tardar el día 17 de cada uno de los meses del año de calendario, mediante declaración que presentarán ante las oficinas autorizadas. </w:t>
      </w:r>
    </w:p>
    <w:p w14:paraId="268F62C6"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65CD0DA2"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Conforme a lo anterior, se logra vislumbrar que el Ayuntamiento de Atlacomulco, tiene la facultad de retener el impuesto sobre la renta, mismo que deberá pagar a las autoridades correspondientes, cada mes mediante la declaración correspondiente. 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(consultado el treinta y uno de enero de dos mil veinticuatro </w:t>
      </w:r>
      <w:r w:rsidRPr="008944ED">
        <w:rPr>
          <w:rFonts w:ascii="Palatino Linotype" w:eastAsia="Palatino Linotype" w:hAnsi="Palatino Linotype" w:cs="Palatino Linotype"/>
        </w:rPr>
        <w:lastRenderedPageBreak/>
        <w:t xml:space="preserve">a las doce horas, en </w:t>
      </w:r>
      <w:hyperlink r:id="rId34">
        <w:r w:rsidRPr="008944ED">
          <w:rPr>
            <w:rFonts w:ascii="Palatino Linotype" w:eastAsia="Palatino Linotype" w:hAnsi="Palatino Linotype" w:cs="Palatino Linotype"/>
            <w:u w:val="single"/>
          </w:rPr>
          <w:t>https://silo.tips/download/guia-tecnica-8-la-contabilidad-y-la-cuenta-publicamunicipal</w:t>
        </w:r>
      </w:hyperlink>
      <w:r w:rsidRPr="008944ED">
        <w:rPr>
          <w:rFonts w:ascii="Palatino Linotype" w:eastAsia="Palatino Linotype" w:hAnsi="Palatino Linotype" w:cs="Palatino Linotype"/>
        </w:rPr>
        <w:t xml:space="preserve"> ); además, dichas pólizas se dividen en las siguientes:</w:t>
      </w:r>
    </w:p>
    <w:p w14:paraId="0690F98A"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sz w:val="28"/>
          <w:szCs w:val="28"/>
        </w:rPr>
      </w:pPr>
    </w:p>
    <w:p w14:paraId="02C1D603" w14:textId="77777777" w:rsidR="009B2CE9" w:rsidRPr="008944ED" w:rsidRDefault="002459D3">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rPr>
        <w:t>Póliza de Ingresos:</w:t>
      </w:r>
      <w:r w:rsidRPr="008944ED">
        <w:rPr>
          <w:rFonts w:ascii="Palatino Linotype" w:eastAsia="Palatino Linotype" w:hAnsi="Palatino Linotype" w:cs="Palatino Linotype"/>
        </w:rPr>
        <w:t xml:space="preserve"> Es aquella donde se anotan las operaciones que representan ingresos, esto es, entradas de dinero para el municipio.</w:t>
      </w:r>
    </w:p>
    <w:p w14:paraId="613BF160" w14:textId="77777777" w:rsidR="009B2CE9" w:rsidRPr="008944ED" w:rsidRDefault="002459D3">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rPr>
        <w:t>Póliza de Diario:</w:t>
      </w:r>
      <w:r w:rsidRPr="008944ED">
        <w:rPr>
          <w:rFonts w:ascii="Palatino Linotype" w:eastAsia="Palatino Linotype" w:hAnsi="Palatino Linotype" w:cs="Palatino Linotype"/>
        </w:rPr>
        <w:t xml:space="preserve"> Es la que se elabora cuando la operación que se está registrando no implica una entrada o una salida (ingreso o egreso) de dinero para el municipio.</w:t>
      </w:r>
    </w:p>
    <w:p w14:paraId="53A7EA3C" w14:textId="77777777" w:rsidR="009B2CE9" w:rsidRPr="008944ED" w:rsidRDefault="002459D3">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rPr>
        <w:t>Póliza de Egresos:</w:t>
      </w:r>
      <w:r w:rsidRPr="008944ED">
        <w:rPr>
          <w:rFonts w:ascii="Palatino Linotype" w:eastAsia="Palatino Linotype" w:hAnsi="Palatino Linotype" w:cs="Palatino Linotype"/>
        </w:rPr>
        <w:t xml:space="preserve"> Corresponde a aquella donde se anotan las operaciones que implique egresos, es decir, la salida de dinero, en efectivo o transferencia, para el municipio.</w:t>
      </w:r>
    </w:p>
    <w:p w14:paraId="6BD1E207" w14:textId="77777777" w:rsidR="009B2CE9" w:rsidRPr="008944ED" w:rsidRDefault="002459D3">
      <w:pPr>
        <w:pBdr>
          <w:top w:val="nil"/>
          <w:left w:val="nil"/>
          <w:bottom w:val="nil"/>
          <w:right w:val="nil"/>
          <w:between w:val="nil"/>
        </w:pBdr>
        <w:spacing w:after="240" w:line="360" w:lineRule="auto"/>
        <w:ind w:left="567" w:right="900"/>
        <w:jc w:val="both"/>
        <w:rPr>
          <w:rFonts w:ascii="Palatino Linotype" w:eastAsia="Palatino Linotype" w:hAnsi="Palatino Linotype" w:cs="Palatino Linotype"/>
        </w:rPr>
      </w:pPr>
      <w:r w:rsidRPr="008944ED">
        <w:rPr>
          <w:rFonts w:ascii="Palatino Linotype" w:eastAsia="Palatino Linotype" w:hAnsi="Palatino Linotype" w:cs="Palatino Linotype"/>
          <w:b/>
        </w:rPr>
        <w:t>Póliza Cheque:</w:t>
      </w:r>
      <w:r w:rsidRPr="008944ED">
        <w:rPr>
          <w:rFonts w:ascii="Palatino Linotype" w:eastAsia="Palatino Linotype" w:hAnsi="Palatino Linotype" w:cs="Palatino Linotype"/>
        </w:rPr>
        <w:t xml:space="preserve"> Es la que se elabora cuando la operación implique una salida de dinero del municipio, a través de un cheque.</w:t>
      </w:r>
    </w:p>
    <w:p w14:paraId="6DD9056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En ese contexto, los Lineamientos para la Integración y Entrega del Informe Trimestral Municipal 2023, entre los criterios que maneja, se advierte que en el Módulo 1, referente a la Información Contable y Financiera, se integra por diversos documentos, entre los que se encuentran los Póliza de Egresos y Pólizas de Cheque, con los documentos comprobatorios, mismos que debe proporcionar el Ente Recurrido.</w:t>
      </w:r>
    </w:p>
    <w:p w14:paraId="39B118C2" w14:textId="77777777" w:rsidR="009B2CE9" w:rsidRPr="008944ED" w:rsidRDefault="002459D3">
      <w:pPr>
        <w:spacing w:before="240" w:after="240" w:line="360" w:lineRule="auto"/>
        <w:ind w:right="49"/>
        <w:jc w:val="center"/>
        <w:rPr>
          <w:rFonts w:ascii="Palatino Linotype" w:eastAsia="Palatino Linotype" w:hAnsi="Palatino Linotype" w:cs="Palatino Linotype"/>
        </w:rPr>
      </w:pPr>
      <w:r w:rsidRPr="008944ED">
        <w:rPr>
          <w:rFonts w:ascii="Palatino Linotype" w:eastAsia="Palatino Linotype" w:hAnsi="Palatino Linotype" w:cs="Palatino Linotype"/>
          <w:noProof/>
        </w:rPr>
        <w:lastRenderedPageBreak/>
        <w:drawing>
          <wp:inline distT="0" distB="0" distL="0" distR="0" wp14:anchorId="044CBEA2" wp14:editId="0F3A068D">
            <wp:extent cx="4725059" cy="1952898"/>
            <wp:effectExtent l="0" t="0" r="0" b="0"/>
            <wp:docPr id="1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4725059" cy="1952898"/>
                    </a:xfrm>
                    <a:prstGeom prst="rect">
                      <a:avLst/>
                    </a:prstGeom>
                    <a:ln/>
                  </pic:spPr>
                </pic:pic>
              </a:graphicData>
            </a:graphic>
          </wp:inline>
        </w:drawing>
      </w:r>
    </w:p>
    <w:p w14:paraId="5A0FAA4F" w14:textId="77777777" w:rsidR="009B2CE9" w:rsidRPr="008944ED" w:rsidRDefault="002459D3">
      <w:pPr>
        <w:spacing w:before="240" w:after="240" w:line="360" w:lineRule="auto"/>
        <w:ind w:right="758"/>
        <w:jc w:val="both"/>
        <w:rPr>
          <w:rFonts w:ascii="Palatino Linotype" w:eastAsia="Palatino Linotype" w:hAnsi="Palatino Linotype" w:cs="Palatino Linotype"/>
          <w:b/>
          <w:sz w:val="22"/>
          <w:szCs w:val="22"/>
        </w:rPr>
      </w:pPr>
      <w:r w:rsidRPr="008944ED">
        <w:rPr>
          <w:rFonts w:ascii="Palatino Linotype" w:eastAsia="Palatino Linotype" w:hAnsi="Palatino Linotype" w:cs="Palatino Linotype"/>
          <w:b/>
          <w:noProof/>
          <w:sz w:val="22"/>
          <w:szCs w:val="22"/>
        </w:rPr>
        <w:drawing>
          <wp:inline distT="0" distB="0" distL="0" distR="0" wp14:anchorId="4019FD74" wp14:editId="401D27C1">
            <wp:extent cx="5612130" cy="1560830"/>
            <wp:effectExtent l="0" t="0" r="0" b="0"/>
            <wp:docPr id="1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5612130" cy="1560830"/>
                    </a:xfrm>
                    <a:prstGeom prst="rect">
                      <a:avLst/>
                    </a:prstGeom>
                    <a:ln/>
                  </pic:spPr>
                </pic:pic>
              </a:graphicData>
            </a:graphic>
          </wp:inline>
        </w:drawing>
      </w:r>
    </w:p>
    <w:p w14:paraId="26057EC1"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w:t>
      </w:r>
    </w:p>
    <w:p w14:paraId="3BDC74BA"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Conforme a lo anterior, se advierte que las Pólizas contables, con su respectiva documentación comprobatoria, de manera enunciativa más no limitativa, son los documentos que pudieran atender la solicitud de información, pues contienen los gastos erogados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respecto de los gastos o erogaciones realizadas para el pago del I.S.R. correspondiente a los meses de enero al 2 de mayo de 2023, y, por lo tanto,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cuenta con competencia para conocer lo solicitado.</w:t>
      </w:r>
    </w:p>
    <w:p w14:paraId="1376C96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Situación que se robustece, con el artículo 344 del Código Financiero del Estado de México, que precisa que las Tesorerías Municipales registrarán contablemente, el efecto patrimonial y presupuestal de las operaciones financieras que realicen; además, que todo registro contable y presupuestal, deberá estar soportado con los documentos comprobatorios originales.</w:t>
      </w:r>
    </w:p>
    <w:p w14:paraId="4F195959"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Ahora bien, es necesario remitirnos al numeral 23 penúltimo párrafo de la Ley de Transparencia y Acceso a la Información Pública del Estado de México y Municipios, el cual a la letra dispone:</w:t>
      </w:r>
    </w:p>
    <w:p w14:paraId="1A857883"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0D6CF084"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2753B0E7"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B6433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7B3C8E42"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Así las cosas, al haber ejercido recursos públicos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para el pago del I.S.R. en el periodo del 1 de enero al 02 de mayo de 2023, es obligación hacer pública, como parte de los informes, no porque directamente sea un dato que corresponda a las obligaciones de transparencia. </w:t>
      </w:r>
    </w:p>
    <w:p w14:paraId="5D2A638D" w14:textId="77777777" w:rsidR="009B2CE9" w:rsidRPr="008944ED" w:rsidRDefault="002459D3">
      <w:pPr>
        <w:numPr>
          <w:ilvl w:val="0"/>
          <w:numId w:val="5"/>
        </w:numPr>
        <w:pBdr>
          <w:top w:val="nil"/>
          <w:left w:val="nil"/>
          <w:bottom w:val="nil"/>
          <w:right w:val="nil"/>
          <w:between w:val="nil"/>
        </w:pBdr>
        <w:spacing w:before="240" w:line="360" w:lineRule="auto"/>
        <w:ind w:left="142"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t>De la recaudación por cuotas al ISSEMYM de los empleados del 1 de enero al 2 de mayo de 2023, así como evidencias que sus cuotas son ingresadas al ISSEMYM.</w:t>
      </w:r>
    </w:p>
    <w:p w14:paraId="3E39EF84"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4FA665E1" w14:textId="77777777" w:rsidR="009B2CE9" w:rsidRPr="008944ED" w:rsidRDefault="002459D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este apartado, la Tesorera Municipal en su carácter de servidora pública habilitada competente manifestó que </w:t>
      </w:r>
      <w:r w:rsidRPr="008944ED">
        <w:rPr>
          <w:rFonts w:ascii="Palatino Linotype" w:eastAsia="Palatino Linotype" w:hAnsi="Palatino Linotype" w:cs="Palatino Linotype"/>
          <w:b/>
          <w:u w:val="single"/>
        </w:rPr>
        <w:t>el Ayuntamiento de Atlacomulco sólo es retenedor de las cuotas de seguridad social a los servidores públicos, mismas que son enteradas al ISSEMYM, vía Participaciones Federales</w:t>
      </w:r>
      <w:r w:rsidRPr="008944ED">
        <w:rPr>
          <w:rFonts w:ascii="Palatino Linotype" w:eastAsia="Palatino Linotype" w:hAnsi="Palatino Linotype" w:cs="Palatino Linotype"/>
        </w:rPr>
        <w:t>, asimismo se informa que el monto ejercido del 1 de enero al 31 de marzo de 2023, se encuentran integrados en el Estado Comparativo Presupuestal de Egresos Trimestral entregado al Órgano Superior de Fiscalización, documento que sirve como evidencia y puede consultar en el siguiente link de la página institucional:</w:t>
      </w:r>
    </w:p>
    <w:p w14:paraId="3D9F5B27" w14:textId="77777777" w:rsidR="009B2CE9" w:rsidRPr="008944ED" w:rsidRDefault="00FA47B1">
      <w:pPr>
        <w:pBdr>
          <w:top w:val="nil"/>
          <w:left w:val="nil"/>
          <w:bottom w:val="nil"/>
          <w:right w:val="nil"/>
          <w:between w:val="nil"/>
        </w:pBdr>
        <w:spacing w:line="360" w:lineRule="auto"/>
        <w:ind w:right="49"/>
        <w:jc w:val="both"/>
        <w:rPr>
          <w:rFonts w:ascii="Palatino Linotype" w:eastAsia="Palatino Linotype" w:hAnsi="Palatino Linotype" w:cs="Palatino Linotype"/>
        </w:rPr>
      </w:pPr>
      <w:hyperlink r:id="rId37">
        <w:r w:rsidR="002459D3" w:rsidRPr="008944ED">
          <w:rPr>
            <w:rFonts w:ascii="Palatino Linotype" w:eastAsia="Palatino Linotype" w:hAnsi="Palatino Linotype" w:cs="Palatino Linotype"/>
            <w:u w:val="single"/>
          </w:rPr>
          <w:t>https://atlacomulco.gob.mx/documentos/LGCG/ayuntamiento/2023/Primer%20Trimestre/Titulo%20IV/Informacion%20Presupuestal/ESTADO%20COMPARATIVO%20EGRESOS.pdf</w:t>
        </w:r>
      </w:hyperlink>
      <w:r w:rsidR="002459D3" w:rsidRPr="008944ED">
        <w:rPr>
          <w:rFonts w:ascii="Palatino Linotype" w:eastAsia="Palatino Linotype" w:hAnsi="Palatino Linotype" w:cs="Palatino Linotype"/>
        </w:rPr>
        <w:t xml:space="preserve">  </w:t>
      </w:r>
    </w:p>
    <w:p w14:paraId="2578CF05" w14:textId="77777777" w:rsidR="009B2CE9" w:rsidRPr="008944ED" w:rsidRDefault="002459D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En lo que respecta al periodo del 1 de abril al 3 de mayo de 2023, se informa que aún no se cuenta con las cifras definitivas, toda vez que se encuentran en proceso los registros contables y presupuestales, ya que este periodo se integra en el Segundo Informe Trimestral del año 2023 para ser entregado al Órgano Superior de Fiscalización del Estado de México, conforme a lo establecido en el artículo 350 del Código Financiero del Estado de México y Municipios.</w:t>
      </w:r>
    </w:p>
    <w:p w14:paraId="26AAC337" w14:textId="77777777" w:rsidR="009B2CE9" w:rsidRPr="008944ED" w:rsidRDefault="009B2CE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00FEB01" w14:textId="77777777" w:rsidR="009B2CE9" w:rsidRPr="008944ED" w:rsidRDefault="002459D3">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En este sentido, si bien es cierto en este documento se aprecia que efectivamente el </w:t>
      </w:r>
      <w:r w:rsidRPr="008944ED">
        <w:rPr>
          <w:rFonts w:ascii="Palatino Linotype" w:eastAsia="Palatino Linotype" w:hAnsi="Palatino Linotype" w:cs="Palatino Linotype"/>
          <w:b/>
        </w:rPr>
        <w:t xml:space="preserve">Sujeto Obligado </w:t>
      </w:r>
      <w:r w:rsidRPr="008944ED">
        <w:rPr>
          <w:rFonts w:ascii="Palatino Linotype" w:eastAsia="Palatino Linotype" w:hAnsi="Palatino Linotype" w:cs="Palatino Linotype"/>
        </w:rPr>
        <w:t>reportó los montos de recaudación por cuotas al ISSEMYM, no menos cierto es que únicamente se reportó de los meses de enero a marzo, tal como se ilustra a continuación:</w:t>
      </w:r>
    </w:p>
    <w:p w14:paraId="7DB7268E" w14:textId="77777777" w:rsidR="009B2CE9" w:rsidRPr="008944ED" w:rsidRDefault="002459D3">
      <w:pPr>
        <w:pBdr>
          <w:top w:val="nil"/>
          <w:left w:val="nil"/>
          <w:bottom w:val="nil"/>
          <w:right w:val="nil"/>
          <w:between w:val="nil"/>
        </w:pBdr>
        <w:spacing w:after="240" w:line="360" w:lineRule="auto"/>
        <w:ind w:left="142" w:right="49"/>
        <w:jc w:val="both"/>
        <w:rPr>
          <w:rFonts w:ascii="Palatino Linotype" w:eastAsia="Palatino Linotype" w:hAnsi="Palatino Linotype" w:cs="Palatino Linotype"/>
          <w:b/>
        </w:rPr>
      </w:pPr>
      <w:r w:rsidRPr="008944ED">
        <w:rPr>
          <w:noProof/>
        </w:rPr>
        <w:lastRenderedPageBreak/>
        <w:drawing>
          <wp:anchor distT="0" distB="0" distL="114300" distR="114300" simplePos="0" relativeHeight="251667456" behindDoc="0" locked="0" layoutInCell="1" hidden="0" allowOverlap="1" wp14:anchorId="398ADE12" wp14:editId="1F7632E8">
            <wp:simplePos x="0" y="0"/>
            <wp:positionH relativeFrom="column">
              <wp:posOffset>-232409</wp:posOffset>
            </wp:positionH>
            <wp:positionV relativeFrom="paragraph">
              <wp:posOffset>337820</wp:posOffset>
            </wp:positionV>
            <wp:extent cx="6591935" cy="5095875"/>
            <wp:effectExtent l="0" t="0" r="0" b="0"/>
            <wp:wrapTopAndBottom distT="0" dist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6591935" cy="5095875"/>
                    </a:xfrm>
                    <a:prstGeom prst="rect">
                      <a:avLst/>
                    </a:prstGeom>
                    <a:ln/>
                  </pic:spPr>
                </pic:pic>
              </a:graphicData>
            </a:graphic>
          </wp:anchor>
        </w:drawing>
      </w:r>
      <w:r w:rsidRPr="008944ED">
        <w:rPr>
          <w:noProof/>
        </w:rPr>
        <mc:AlternateContent>
          <mc:Choice Requires="wpg">
            <w:drawing>
              <wp:anchor distT="0" distB="0" distL="114300" distR="114300" simplePos="0" relativeHeight="251668480" behindDoc="0" locked="0" layoutInCell="1" hidden="0" allowOverlap="1" wp14:anchorId="148BA402" wp14:editId="4C1F9D45">
                <wp:simplePos x="0" y="0"/>
                <wp:positionH relativeFrom="column">
                  <wp:posOffset>-88899</wp:posOffset>
                </wp:positionH>
                <wp:positionV relativeFrom="paragraph">
                  <wp:posOffset>4432300</wp:posOffset>
                </wp:positionV>
                <wp:extent cx="6381750" cy="771525"/>
                <wp:effectExtent l="0" t="0" r="0" b="0"/>
                <wp:wrapNone/>
                <wp:docPr id="86" name="Rectángulo 86"/>
                <wp:cNvGraphicFramePr/>
                <a:graphic xmlns:a="http://schemas.openxmlformats.org/drawingml/2006/main">
                  <a:graphicData uri="http://schemas.microsoft.com/office/word/2010/wordprocessingShape">
                    <wps:wsp>
                      <wps:cNvSpPr/>
                      <wps:spPr>
                        <a:xfrm>
                          <a:off x="2174175" y="3413288"/>
                          <a:ext cx="6343650" cy="733425"/>
                        </a:xfrm>
                        <a:prstGeom prst="rect">
                          <a:avLst/>
                        </a:prstGeom>
                        <a:noFill/>
                        <a:ln w="38100" cap="flat" cmpd="sng">
                          <a:solidFill>
                            <a:srgbClr val="FF0000"/>
                          </a:solidFill>
                          <a:prstDash val="solid"/>
                          <a:round/>
                          <a:headEnd type="none" w="sm" len="sm"/>
                          <a:tailEnd type="none" w="sm" len="sm"/>
                        </a:ln>
                      </wps:spPr>
                      <wps:txbx>
                        <w:txbxContent>
                          <w:p w14:paraId="4DDCF0B4"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4432300</wp:posOffset>
                </wp:positionV>
                <wp:extent cx="6381750" cy="771525"/>
                <wp:effectExtent b="0" l="0" r="0" t="0"/>
                <wp:wrapNone/>
                <wp:docPr id="86"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6381750" cy="771525"/>
                        </a:xfrm>
                        <a:prstGeom prst="rect"/>
                        <a:ln/>
                      </pic:spPr>
                    </pic:pic>
                  </a:graphicData>
                </a:graphic>
              </wp:anchor>
            </w:drawing>
          </mc:Fallback>
        </mc:AlternateContent>
      </w:r>
    </w:p>
    <w:p w14:paraId="764F0155"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4FF3092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de resaltar que como se asentó en el apartado anterior las pólizas contables que dan cuenta de la recaudación de estas contribuciones se generan de manera mensual, por lo que se estima pertinente la entrega del documento que dé cuenta del pago de las cuotas de seguridad social correspondiente al periodo del 1 al 30 de abril de 2023, toda vez que como se señaló anteriormente, esta información se </w:t>
      </w:r>
      <w:r w:rsidRPr="008944ED">
        <w:rPr>
          <w:rFonts w:ascii="Palatino Linotype" w:eastAsia="Palatino Linotype" w:hAnsi="Palatino Linotype" w:cs="Palatino Linotype"/>
        </w:rPr>
        <w:lastRenderedPageBreak/>
        <w:t>genera mensualmente, por lo que a la fecha de la solicitud no se contaría con información de los días 1 y 2 de mayo de 2023.</w:t>
      </w:r>
    </w:p>
    <w:p w14:paraId="39B2C69B"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Ahora bien, por cuanto hace a las evidencias que sus cuotas son ingresadas al ISSEMYM, es importante señalar lo que establece la Ley de Seguridad Social para los Servidores Públicos del Estado de México y Municipios, en los artículos 5 fracciones II, VII y VIII; 32, 34, 35, 38 y 116, que disponen lo siguiente: </w:t>
      </w:r>
    </w:p>
    <w:p w14:paraId="1A79ECF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“ARTÍCULO 5.- Para los efectos de esta ley se entiende por: </w:t>
      </w:r>
    </w:p>
    <w:p w14:paraId="5283C213" w14:textId="77777777" w:rsidR="009B2CE9" w:rsidRPr="008944ED" w:rsidRDefault="002459D3">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w:t>
      </w:r>
    </w:p>
    <w:p w14:paraId="23B93BA7"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II. Institución pública, a los poderes públicos del estado, los ayuntamientos de los municipios y los tribunales administrativos, así como los organismos auxiliares y fideicomisos públicos de carácter estatal y municipal; </w:t>
      </w:r>
    </w:p>
    <w:p w14:paraId="14324CF6"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w:t>
      </w:r>
    </w:p>
    <w:p w14:paraId="68BF444B"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VII. Cuota, al monto que le corresponde cubrir al servidor público, equivalente a un porcentaje determinado de </w:t>
      </w:r>
      <w:proofErr w:type="gramStart"/>
      <w:r w:rsidRPr="008944ED">
        <w:rPr>
          <w:rFonts w:ascii="Palatino Linotype" w:eastAsia="Palatino Linotype" w:hAnsi="Palatino Linotype" w:cs="Palatino Linotype"/>
          <w:i/>
          <w:sz w:val="22"/>
          <w:szCs w:val="22"/>
        </w:rPr>
        <w:t>sus sueldo sujeto</w:t>
      </w:r>
      <w:proofErr w:type="gramEnd"/>
      <w:r w:rsidRPr="008944ED">
        <w:rPr>
          <w:rFonts w:ascii="Palatino Linotype" w:eastAsia="Palatino Linotype" w:hAnsi="Palatino Linotype" w:cs="Palatino Linotype"/>
          <w:i/>
          <w:sz w:val="22"/>
          <w:szCs w:val="22"/>
        </w:rPr>
        <w:t xml:space="preserve"> a cotización, así como el que debe cubrir el pensionado o pensionista y que recibe el Instituto para otorgar las prestaciones establecidas en la presente ley; </w:t>
      </w:r>
    </w:p>
    <w:p w14:paraId="0CABE3AA"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VIII. Aportación, al monto que le corresponde cubrir a las instituciones públicas como porcentaje del sueldo sujeto a cotización de cada servidor público; </w:t>
      </w:r>
    </w:p>
    <w:p w14:paraId="3949B23F"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w:t>
      </w:r>
    </w:p>
    <w:p w14:paraId="5B47EB4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32.- Las cuotas obligatorias que deberán cubrir los servidores públicos al Instituto, serán las siguientes:</w:t>
      </w:r>
    </w:p>
    <w:p w14:paraId="711A258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I. El 4.625% del sueldo sujeto a cotización, para cubrir las prestaciones de servicios de salud; </w:t>
      </w:r>
    </w:p>
    <w:p w14:paraId="131EE6B1"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II. El 7.50% del sueldo sujeto a cotización, para cubrir el financiamiento de pensiones, de la siguiente manera: a. 6.10% para el fondo del sistema solidario de reparto. b. 1.40% para el sistema de capitalización individual. III. Las que determine anualmente el Consejo Directivo para otras prestaciones, señaladas en el Título IV. </w:t>
      </w:r>
    </w:p>
    <w:p w14:paraId="2384D9C3"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w:t>
      </w:r>
    </w:p>
    <w:p w14:paraId="3AA2CFED"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34.- Las aportaciones que deberán cubrir obligatoriamente las instituciones públicas serán las siguientes:</w:t>
      </w:r>
    </w:p>
    <w:p w14:paraId="130F98E2"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 xml:space="preserve"> I. El 10% del sueldo sujeto a cotización, para cubrir las prestaciones de servicios de salud; </w:t>
      </w:r>
    </w:p>
    <w:p w14:paraId="5868CB26"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 El 9.27% del sueldo sujeto a cotización, para cubrir el financiamiento de pensiones, de la siguiente manera: a. 7.42% para el fondo del sistema solidario de reparto. b. 1.85% para el sistema de capitalización individual</w:t>
      </w:r>
    </w:p>
    <w:p w14:paraId="474661B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III. Las que determine anualmente el Consejo Directivo para otras prestaciones, señaladas en el Título IV; </w:t>
      </w:r>
    </w:p>
    <w:p w14:paraId="721FC5C7"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IV. El 0.875% para gastos de administración; </w:t>
      </w:r>
    </w:p>
    <w:p w14:paraId="47F35FC0"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V. Las que se generen a cargo de las Instituciones públicas por concepto de riesgos de trabajo. </w:t>
      </w:r>
    </w:p>
    <w:p w14:paraId="5EAD175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u w:val="single"/>
        </w:rPr>
      </w:pPr>
      <w:r w:rsidRPr="008944ED">
        <w:rPr>
          <w:rFonts w:ascii="Palatino Linotype" w:eastAsia="Palatino Linotype" w:hAnsi="Palatino Linotype" w:cs="Palatino Linotype"/>
          <w:b/>
          <w:i/>
          <w:sz w:val="22"/>
          <w:szCs w:val="22"/>
          <w:u w:val="single"/>
        </w:rPr>
        <w:t xml:space="preserve">Artículo 35.- Las instituciones públicas deberán enterar al Instituto el importe de las cuotas retenidas quincenalmente a los servidores públicos, así como el de las aportaciones que les correspondan, dentro de los cinco días siguientes al de la fecha en que efectúen la retención. </w:t>
      </w:r>
    </w:p>
    <w:p w14:paraId="31659FED"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En el mismo plazo, deberán enterar el importe de los descuentos que por créditos u otros conceptos que ordene el propio Instituto, en cumplimiento de lo dispuesto por esta ley. El entero de cuotas y aportaciones que los ayuntamientos convengan a través de descuento de las participaciones federales que les correspondan, se realizará de forma mensual. </w:t>
      </w:r>
    </w:p>
    <w:p w14:paraId="22B524D6"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Artículo 38.- Las aportaciones de las instituciones públicas tienen el carácter de obligatorias </w:t>
      </w:r>
      <w:proofErr w:type="gramStart"/>
      <w:r w:rsidRPr="008944ED">
        <w:rPr>
          <w:rFonts w:ascii="Palatino Linotype" w:eastAsia="Palatino Linotype" w:hAnsi="Palatino Linotype" w:cs="Palatino Linotype"/>
          <w:i/>
          <w:sz w:val="22"/>
          <w:szCs w:val="22"/>
        </w:rPr>
        <w:t>y</w:t>
      </w:r>
      <w:proofErr w:type="gramEnd"/>
      <w:r w:rsidRPr="008944ED">
        <w:rPr>
          <w:rFonts w:ascii="Palatino Linotype" w:eastAsia="Palatino Linotype" w:hAnsi="Palatino Linotype" w:cs="Palatino Linotype"/>
          <w:i/>
          <w:sz w:val="22"/>
          <w:szCs w:val="22"/>
        </w:rPr>
        <w:t xml:space="preserve"> por consiguiente, deberán consignarse en la partida o partidas que correspondan a sus respectivos presupuestos de egresos. </w:t>
      </w:r>
    </w:p>
    <w:p w14:paraId="1A52E223"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el caso de que se incurra en omisión, la institución pública deberá realizar las trasferencias presupuestales correspondientes para cumplir con su obligación.</w:t>
      </w:r>
    </w:p>
    <w:p w14:paraId="78BA1B9F"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Articulo 116.- Se establece un sistema de cuenta individual a favor de los servidores públicos, mediante cuotas de estos y aportaciones de las instituciones públicas en dos modalidades: obligatorio en el cual se deberán aportar las cantidades que establezca esta ley, y voluntario en el que él servidor público tendrá derecho de aportar recursos adicionales a su cuenta, sin que ello implique aportación adicional de la institución pública, salvo cuando convenga estímulos de este tipo, con los servidores públicos.” (Énfasis añadido)</w:t>
      </w:r>
    </w:p>
    <w:p w14:paraId="16C2AAD6" w14:textId="77777777" w:rsidR="009B2CE9" w:rsidRPr="008944ED" w:rsidRDefault="009B2CE9">
      <w:pPr>
        <w:pBdr>
          <w:top w:val="nil"/>
          <w:left w:val="nil"/>
          <w:bottom w:val="nil"/>
          <w:right w:val="nil"/>
          <w:between w:val="nil"/>
        </w:pBdr>
        <w:spacing w:line="360" w:lineRule="auto"/>
        <w:ind w:left="567" w:right="900"/>
        <w:jc w:val="both"/>
        <w:rPr>
          <w:rFonts w:ascii="Palatino Linotype" w:eastAsia="Palatino Linotype" w:hAnsi="Palatino Linotype" w:cs="Palatino Linotype"/>
          <w:i/>
          <w:sz w:val="22"/>
          <w:szCs w:val="22"/>
        </w:rPr>
      </w:pPr>
    </w:p>
    <w:p w14:paraId="452081D3"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De los preceptos previamente citados, se puede deducir, que las instituciones públicas, deben enterar al Instituto de Seguridad Social del Estado de México y </w:t>
      </w:r>
      <w:r w:rsidRPr="008944ED">
        <w:rPr>
          <w:rFonts w:ascii="Palatino Linotype" w:eastAsia="Palatino Linotype" w:hAnsi="Palatino Linotype" w:cs="Palatino Linotype"/>
        </w:rPr>
        <w:lastRenderedPageBreak/>
        <w:t xml:space="preserve">Municipios, el importe de las cuotas retenidas a los servidores públicos de manera quincenal por concepto de prestaciones de servicios de salud; financiamiento de pensiones, de este se deriva el fondo del sistema solidario de reparto y el sistema de capitalización individual; así como las aportaciones por concepto de prestaciones de servicios de salud; el financiamiento de pensiones, de este se deriva el fondo del sistema solidario de reparto y el sistema de capitalización individual; para gastos de administración y las que se generen a cargo de las Instituciones Públicas por concepto de riesgos de trabajo. </w:t>
      </w:r>
    </w:p>
    <w:p w14:paraId="0B214A55"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172D47B8"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t>Así también que las cuotas y aportaciones se deberán enterar de manera mensual cuando los ayuntamientos convengan a través de descuento de las participaciones federales que les corresponda. Por otra parte, los Lineamientos Generales para la Operación de la Plataforma de Recaudación e Información de Seguridad Social del ISSEMYM (PRISMA), publicados mediante la Gaceta del Gobierno, el día diez de junio de dos mil diez, cuyo objetivo es contar con una herramienta tecnológica que permita la recepción oportuna de información del entero de las cuotas, aportaciones, accesorios y retenciones de los servidores públicos, que laboran en las Instituciones Públicas afiliadas al régimen de Seguridad Social del Estado de México y sus Municipios y a la vez permita hacer más eficiente la recaudación, cobro y fiscalización de cuotas, aportaciones, accesorios, retenciones y aprovechamientos que deriven de las mismas, así como de los créditos fiscales que se generen, los cuales deben ser enterados y cubiertos al Instituto.</w:t>
      </w:r>
    </w:p>
    <w:p w14:paraId="3F251118" w14:textId="77777777" w:rsidR="009B2CE9" w:rsidRPr="008944ED" w:rsidRDefault="009B2CE9">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0C0DA8DA" w14:textId="77777777" w:rsidR="009B2CE9" w:rsidRPr="008944ED" w:rsidRDefault="002459D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Por ello, resulta importante aludir a lo que establece la fracción II de dicho   ordenamiento y que a continuación se cita:</w:t>
      </w:r>
    </w:p>
    <w:p w14:paraId="03137297" w14:textId="77777777" w:rsidR="009B2CE9" w:rsidRPr="008944ED" w:rsidRDefault="009B2CE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1C1FB19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i/>
          <w:sz w:val="22"/>
          <w:szCs w:val="22"/>
        </w:rPr>
        <w:t>“</w:t>
      </w:r>
      <w:proofErr w:type="gramStart"/>
      <w:r w:rsidRPr="008944ED">
        <w:rPr>
          <w:rFonts w:ascii="Palatino Linotype" w:eastAsia="Palatino Linotype" w:hAnsi="Palatino Linotype" w:cs="Palatino Linotype"/>
          <w:i/>
          <w:sz w:val="22"/>
          <w:szCs w:val="22"/>
        </w:rPr>
        <w:t>AUTODETERMINACIÓN.-</w:t>
      </w:r>
      <w:proofErr w:type="gramEnd"/>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u w:val="single"/>
        </w:rPr>
        <w:t>Declaración que presentan las instituciones  públicas a la autoridad fiscal en una fecha establecida en el calendario operativo, y en  la cual se fija y registra la información relativa a las retenciones, enteros y pagos de  los diversos conceptos de las contribuciones</w:t>
      </w:r>
      <w:r w:rsidRPr="008944ED">
        <w:rPr>
          <w:rFonts w:ascii="Palatino Linotype" w:eastAsia="Palatino Linotype" w:hAnsi="Palatino Linotype" w:cs="Palatino Linotype"/>
          <w:b/>
          <w:i/>
          <w:sz w:val="22"/>
          <w:szCs w:val="22"/>
        </w:rPr>
        <w:t xml:space="preserve"> de seguridad social, las retenciones y los  aprovechamientos respectivos, manifestándose la situación fiscal de las instituciones  públicas.</w:t>
      </w:r>
    </w:p>
    <w:p w14:paraId="06ECEA8B"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49EE8434"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CERTIFICADO </w:t>
      </w:r>
      <w:proofErr w:type="gramStart"/>
      <w:r w:rsidRPr="008944ED">
        <w:rPr>
          <w:rFonts w:ascii="Palatino Linotype" w:eastAsia="Palatino Linotype" w:hAnsi="Palatino Linotype" w:cs="Palatino Linotype"/>
          <w:i/>
          <w:sz w:val="22"/>
          <w:szCs w:val="22"/>
        </w:rPr>
        <w:t>DIGITAL.-</w:t>
      </w:r>
      <w:proofErr w:type="gramEnd"/>
      <w:r w:rsidRPr="008944ED">
        <w:rPr>
          <w:rFonts w:ascii="Palatino Linotype" w:eastAsia="Palatino Linotype" w:hAnsi="Palatino Linotype" w:cs="Palatino Linotype"/>
          <w:i/>
          <w:sz w:val="22"/>
          <w:szCs w:val="22"/>
        </w:rPr>
        <w:t xml:space="preserve"> Archivo llave de seguridad, que permite autenticar  electrónicamente al usuario de la institución pública, con el objeto de permitir </w:t>
      </w:r>
      <w:proofErr w:type="spellStart"/>
      <w:r w:rsidRPr="008944ED">
        <w:rPr>
          <w:rFonts w:ascii="Palatino Linotype" w:eastAsia="Palatino Linotype" w:hAnsi="Palatino Linotype" w:cs="Palatino Linotype"/>
          <w:i/>
          <w:sz w:val="22"/>
          <w:szCs w:val="22"/>
        </w:rPr>
        <w:t>el</w:t>
      </w:r>
      <w:proofErr w:type="spellEnd"/>
      <w:r w:rsidRPr="008944ED">
        <w:rPr>
          <w:rFonts w:ascii="Palatino Linotype" w:eastAsia="Palatino Linotype" w:hAnsi="Palatino Linotype" w:cs="Palatino Linotype"/>
          <w:i/>
          <w:sz w:val="22"/>
          <w:szCs w:val="22"/>
        </w:rPr>
        <w:t xml:space="preserve"> envió  y descarga de archivos en la Plataforma. </w:t>
      </w:r>
    </w:p>
    <w:p w14:paraId="5E529116"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COMPROBANTE DE </w:t>
      </w:r>
      <w:proofErr w:type="gramStart"/>
      <w:r w:rsidRPr="008944ED">
        <w:rPr>
          <w:rFonts w:ascii="Palatino Linotype" w:eastAsia="Palatino Linotype" w:hAnsi="Palatino Linotype" w:cs="Palatino Linotype"/>
          <w:i/>
          <w:sz w:val="22"/>
          <w:szCs w:val="22"/>
        </w:rPr>
        <w:t>PAGO.-</w:t>
      </w:r>
      <w:proofErr w:type="gramEnd"/>
      <w:r w:rsidRPr="008944ED">
        <w:rPr>
          <w:rFonts w:ascii="Palatino Linotype" w:eastAsia="Palatino Linotype" w:hAnsi="Palatino Linotype" w:cs="Palatino Linotype"/>
          <w:i/>
          <w:sz w:val="22"/>
          <w:szCs w:val="22"/>
        </w:rPr>
        <w:t xml:space="preserve"> Documento emitido por la entidad recaudadora que da cuenta de un desembolso en una fecha específica,</w:t>
      </w:r>
      <w:r w:rsidRPr="008944ED">
        <w:rPr>
          <w:i/>
          <w:sz w:val="22"/>
          <w:szCs w:val="22"/>
        </w:rPr>
        <w:t xml:space="preserve"> </w:t>
      </w:r>
      <w:r w:rsidRPr="008944ED">
        <w:rPr>
          <w:rFonts w:ascii="Palatino Linotype" w:eastAsia="Palatino Linotype" w:hAnsi="Palatino Linotype" w:cs="Palatino Linotype"/>
          <w:i/>
          <w:sz w:val="22"/>
          <w:szCs w:val="22"/>
        </w:rPr>
        <w:t>respecto a los datos establecidos en la referencia de pago, sobre la base de la  autodeterminación.</w:t>
      </w:r>
    </w:p>
    <w:p w14:paraId="2094DCCD"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09E755DB" w14:textId="77777777" w:rsidR="009B2CE9" w:rsidRPr="008944ED" w:rsidRDefault="002459D3">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ESTADO DE </w:t>
      </w:r>
      <w:proofErr w:type="gramStart"/>
      <w:r w:rsidRPr="008944ED">
        <w:rPr>
          <w:rFonts w:ascii="Palatino Linotype" w:eastAsia="Palatino Linotype" w:hAnsi="Palatino Linotype" w:cs="Palatino Linotype"/>
          <w:i/>
          <w:sz w:val="22"/>
          <w:szCs w:val="22"/>
        </w:rPr>
        <w:t>CUENTA.-</w:t>
      </w:r>
      <w:proofErr w:type="gramEnd"/>
      <w:r w:rsidRPr="008944ED">
        <w:rPr>
          <w:rFonts w:ascii="Palatino Linotype" w:eastAsia="Palatino Linotype" w:hAnsi="Palatino Linotype" w:cs="Palatino Linotype"/>
          <w:i/>
          <w:sz w:val="22"/>
          <w:szCs w:val="22"/>
        </w:rPr>
        <w:t xml:space="preserve"> Documento emitido por la plataforma que contiene los  movimientos y saldo de las autodeterminaciones y pagos efectuados por las  instituciones públicas.</w:t>
      </w:r>
    </w:p>
    <w:p w14:paraId="0AD55A93"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w:t>
      </w:r>
    </w:p>
    <w:p w14:paraId="36006CBB"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rPr>
      </w:pPr>
      <w:proofErr w:type="gramStart"/>
      <w:r w:rsidRPr="008944ED">
        <w:rPr>
          <w:rFonts w:ascii="Palatino Linotype" w:eastAsia="Palatino Linotype" w:hAnsi="Palatino Linotype" w:cs="Palatino Linotype"/>
          <w:b/>
          <w:i/>
          <w:sz w:val="22"/>
          <w:szCs w:val="22"/>
        </w:rPr>
        <w:t>FISCALIZACIÓN.-</w:t>
      </w:r>
      <w:proofErr w:type="gramEnd"/>
      <w:r w:rsidRPr="008944ED">
        <w:rPr>
          <w:rFonts w:ascii="Palatino Linotype" w:eastAsia="Palatino Linotype" w:hAnsi="Palatino Linotype" w:cs="Palatino Linotype"/>
          <w:b/>
          <w:i/>
          <w:sz w:val="22"/>
          <w:szCs w:val="22"/>
        </w:rPr>
        <w:t xml:space="preserve"> Conjunto de actividades y procedimientos de control, inspección, vigilancia y otras que puede llevar a cabo el Instituto, en términos de lo  </w:t>
      </w:r>
      <w:r w:rsidRPr="008944ED">
        <w:rPr>
          <w:rFonts w:ascii="Palatino Linotype" w:eastAsia="Palatino Linotype" w:hAnsi="Palatino Linotype" w:cs="Palatino Linotype"/>
          <w:i/>
          <w:sz w:val="22"/>
          <w:szCs w:val="22"/>
        </w:rPr>
        <w:t xml:space="preserve">dispuesto por el Código y la Ley, encaminadas a verificar el cumplimiento de </w:t>
      </w:r>
      <w:r w:rsidRPr="008944ED">
        <w:rPr>
          <w:rFonts w:ascii="Palatino Linotype" w:eastAsia="Palatino Linotype" w:hAnsi="Palatino Linotype" w:cs="Palatino Linotype"/>
          <w:b/>
          <w:i/>
          <w:sz w:val="22"/>
          <w:szCs w:val="22"/>
        </w:rPr>
        <w:t xml:space="preserve"> </w:t>
      </w:r>
      <w:r w:rsidRPr="008944ED">
        <w:rPr>
          <w:rFonts w:ascii="Palatino Linotype" w:eastAsia="Palatino Linotype" w:hAnsi="Palatino Linotype" w:cs="Palatino Linotype"/>
          <w:i/>
          <w:sz w:val="22"/>
          <w:szCs w:val="22"/>
        </w:rPr>
        <w:t xml:space="preserve">obligaciones y disposiciones del régimen de seguridad social, respecto de las </w:t>
      </w:r>
      <w:r w:rsidRPr="008944ED">
        <w:rPr>
          <w:rFonts w:ascii="Palatino Linotype" w:eastAsia="Palatino Linotype" w:hAnsi="Palatino Linotype" w:cs="Palatino Linotype"/>
          <w:b/>
          <w:i/>
          <w:sz w:val="22"/>
          <w:szCs w:val="22"/>
        </w:rPr>
        <w:t xml:space="preserve"> </w:t>
      </w:r>
      <w:r w:rsidRPr="008944ED">
        <w:rPr>
          <w:rFonts w:ascii="Palatino Linotype" w:eastAsia="Palatino Linotype" w:hAnsi="Palatino Linotype" w:cs="Palatino Linotype"/>
          <w:i/>
          <w:sz w:val="22"/>
          <w:szCs w:val="22"/>
        </w:rPr>
        <w:t xml:space="preserve">retenciones, pagos y enteros de los diversos conceptos de las contribuciones de </w:t>
      </w:r>
      <w:r w:rsidRPr="008944ED">
        <w:rPr>
          <w:rFonts w:ascii="Palatino Linotype" w:eastAsia="Palatino Linotype" w:hAnsi="Palatino Linotype" w:cs="Palatino Linotype"/>
          <w:b/>
          <w:i/>
          <w:sz w:val="22"/>
          <w:szCs w:val="22"/>
        </w:rPr>
        <w:t xml:space="preserve"> </w:t>
      </w:r>
      <w:r w:rsidRPr="008944ED">
        <w:rPr>
          <w:rFonts w:ascii="Palatino Linotype" w:eastAsia="Palatino Linotype" w:hAnsi="Palatino Linotype" w:cs="Palatino Linotype"/>
          <w:i/>
          <w:sz w:val="22"/>
          <w:szCs w:val="22"/>
        </w:rPr>
        <w:t>seguridad social, accesorios, retenciones y los aprovechamientos respectivos.</w:t>
      </w:r>
    </w:p>
    <w:p w14:paraId="495805AB" w14:textId="77777777" w:rsidR="009B2CE9" w:rsidRPr="008944ED" w:rsidRDefault="002459D3">
      <w:pPr>
        <w:spacing w:before="240" w:after="240"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i/>
          <w:sz w:val="22"/>
          <w:szCs w:val="22"/>
        </w:rPr>
        <w:tab/>
      </w:r>
    </w:p>
    <w:p w14:paraId="50DE52C1" w14:textId="77777777" w:rsidR="009B2CE9" w:rsidRPr="008944ED" w:rsidRDefault="002459D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REFERENCIA DE </w:t>
      </w:r>
      <w:proofErr w:type="gramStart"/>
      <w:r w:rsidRPr="008944ED">
        <w:rPr>
          <w:rFonts w:ascii="Palatino Linotype" w:eastAsia="Palatino Linotype" w:hAnsi="Palatino Linotype" w:cs="Palatino Linotype"/>
          <w:i/>
          <w:sz w:val="22"/>
          <w:szCs w:val="22"/>
        </w:rPr>
        <w:t>PAGO.-</w:t>
      </w:r>
      <w:proofErr w:type="gramEnd"/>
      <w:r w:rsidRPr="008944ED">
        <w:rPr>
          <w:rFonts w:ascii="Palatino Linotype" w:eastAsia="Palatino Linotype" w:hAnsi="Palatino Linotype" w:cs="Palatino Linotype"/>
          <w:i/>
          <w:sz w:val="22"/>
          <w:szCs w:val="22"/>
        </w:rPr>
        <w:t xml:space="preserve"> Folio o documento que emite la entidad recaudadora a  nombre del Instituto, el cual permitirá la identificación de las instituciones públicas,  </w:t>
      </w:r>
      <w:r w:rsidRPr="008944ED">
        <w:rPr>
          <w:rFonts w:ascii="Palatino Linotype" w:eastAsia="Palatino Linotype" w:hAnsi="Palatino Linotype" w:cs="Palatino Linotype"/>
          <w:i/>
          <w:sz w:val="22"/>
          <w:szCs w:val="22"/>
        </w:rPr>
        <w:lastRenderedPageBreak/>
        <w:t xml:space="preserve">el periodo y el importe a pagar por parte de la misma, respecto de las contribuciones  de seguridad social, accesorios, retenciones y aprovechamientos respectivos,  registrados en la autodeterminación.” </w:t>
      </w:r>
    </w:p>
    <w:p w14:paraId="7C19839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Corolario a lo anterior, se desprende la obligación para las entidades públicas de presentar las declaraciones al Instituto de Seguridad Social del Estado de México y Municipios, en las que se registren las retenciones, enteros y pagos por concepto de seguridad social, mismas que no fueron presentadas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en el momento oportuno para asentar constancia de que dichas cuotas fueron </w:t>
      </w:r>
      <w:proofErr w:type="spellStart"/>
      <w:r w:rsidRPr="008944ED">
        <w:rPr>
          <w:rFonts w:ascii="Palatino Linotype" w:eastAsia="Palatino Linotype" w:hAnsi="Palatino Linotype" w:cs="Palatino Linotype"/>
        </w:rPr>
        <w:t>enteradas</w:t>
      </w:r>
      <w:proofErr w:type="spellEnd"/>
      <w:r w:rsidRPr="008944ED">
        <w:rPr>
          <w:rFonts w:ascii="Palatino Linotype" w:eastAsia="Palatino Linotype" w:hAnsi="Palatino Linotype" w:cs="Palatino Linotype"/>
        </w:rPr>
        <w:t xml:space="preserve"> efectivamente, por lo que resulta pertinente ordenar la entrega de las autodeterminaciones remitidas por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al Instituto de Seguridad Social del Estado de México y Municipios con motivo de la entrega de las retenciones de seguridad social, generadas del 1 de enero al 30 de abril de 2023.</w:t>
      </w:r>
    </w:p>
    <w:p w14:paraId="79DA0AA6" w14:textId="77777777" w:rsidR="009B2CE9" w:rsidRPr="008944ED" w:rsidRDefault="002459D3">
      <w:pPr>
        <w:numPr>
          <w:ilvl w:val="0"/>
          <w:numId w:val="5"/>
        </w:numPr>
        <w:pBdr>
          <w:top w:val="nil"/>
          <w:left w:val="nil"/>
          <w:bottom w:val="nil"/>
          <w:right w:val="nil"/>
          <w:between w:val="nil"/>
        </w:pBdr>
        <w:spacing w:before="240" w:after="240" w:line="360" w:lineRule="auto"/>
        <w:ind w:left="142"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t>Del pago por seguro de vida de los empleados del ayuntamiento</w:t>
      </w:r>
    </w:p>
    <w:p w14:paraId="3CD77791"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Previo análisis de este apartado, este Instituto considera pertinente invocar de nueva cuenta la facultad de suplencia prevista en los artículos 13 y 181 párrafo cuarto de la Ley de Transparencia y Acceso a la Información Pública del Estado de México y Municipios, por las consideraciones expuestas en líneas anteriores, por lo tanto, a efecto de dar cumplimiento a este punto deberá tomarse en cuenta que el factor temporal comprenderá del 1 de enero de 2022 al 02 de mayo de 2023.</w:t>
      </w:r>
    </w:p>
    <w:p w14:paraId="3112D9DB" w14:textId="77777777" w:rsidR="009B2CE9" w:rsidRPr="008944ED" w:rsidRDefault="002459D3">
      <w:pPr>
        <w:spacing w:before="240" w:after="240" w:line="360" w:lineRule="auto"/>
        <w:ind w:right="49"/>
        <w:jc w:val="both"/>
        <w:rPr>
          <w:rFonts w:ascii="Palatino Linotype" w:eastAsia="Palatino Linotype" w:hAnsi="Palatino Linotype" w:cs="Palatino Linotype"/>
          <w:b/>
          <w:u w:val="single"/>
        </w:rPr>
      </w:pPr>
      <w:r w:rsidRPr="008944ED">
        <w:rPr>
          <w:rFonts w:ascii="Palatino Linotype" w:eastAsia="Palatino Linotype" w:hAnsi="Palatino Linotype" w:cs="Palatino Linotype"/>
        </w:rPr>
        <w:t xml:space="preserve">Sobre este punto en particular, se advierte que </w:t>
      </w:r>
      <w:r w:rsidRPr="008944ED">
        <w:rPr>
          <w:rFonts w:ascii="Palatino Linotype" w:eastAsia="Palatino Linotype" w:hAnsi="Palatino Linotype" w:cs="Palatino Linotype"/>
          <w:b/>
        </w:rPr>
        <w:t>la Tesorera Municipal</w:t>
      </w:r>
      <w:r w:rsidRPr="008944ED">
        <w:rPr>
          <w:rFonts w:ascii="Palatino Linotype" w:eastAsia="Palatino Linotype" w:hAnsi="Palatino Linotype" w:cs="Palatino Linotype"/>
        </w:rPr>
        <w:t xml:space="preserve">, señala que </w:t>
      </w:r>
      <w:r w:rsidRPr="008944ED">
        <w:rPr>
          <w:rFonts w:ascii="Palatino Linotype" w:eastAsia="Palatino Linotype" w:hAnsi="Palatino Linotype" w:cs="Palatino Linotype"/>
          <w:b/>
          <w:u w:val="single"/>
        </w:rPr>
        <w:t>los seguros de vida de los empleados del Ayuntamiento, son deducciones que se generan con motivo de una decisión libre y voluntaria de los servidores públicos, y no implican la entrega de recursos con cargo al Ayuntamiento.</w:t>
      </w:r>
    </w:p>
    <w:p w14:paraId="3B3C7AC7"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No obstante lo anterior, el Manual Único de Contabilidad Gubernamental para las Dependencias y Entidades Públicas del Gobierno y Municipios del Estado de México 2023 contempla dentro de la partida 1400 el apartado de seguridad social, el cual contempla las asignaciones destinadas a cubrir la parte que corresponde a los entes públicos por concepto de prestaciones de seguridad social y primas de seguros, en beneficio del personal a su servicio, tanto de carácter permanente como transitorio, particularmente reviste interés al presente estudio la partida 1440, la cual es relativa a las aportaciones de seguros, sirve de mayor referencia la siguiente cita:</w:t>
      </w:r>
    </w:p>
    <w:p w14:paraId="1A3F046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u w:val="single"/>
        </w:rPr>
        <w:t>1440 Aportaciones para seguros. Asignaciones destinadas a cubrir las primas que corresponden a los entes públicos por concepto de seguro de vida</w:t>
      </w:r>
      <w:r w:rsidRPr="008944ED">
        <w:rPr>
          <w:rFonts w:ascii="Palatino Linotype" w:eastAsia="Palatino Linotype" w:hAnsi="Palatino Linotype" w:cs="Palatino Linotype"/>
          <w:i/>
          <w:sz w:val="22"/>
          <w:szCs w:val="22"/>
        </w:rPr>
        <w:t>, seguro de gastos médicos del personal a su servicio; así como, los seguros de responsabilidad civil y asistencia legal, en los términos de la legislación vigente. Incluye las primas que corresponden al Gobierno Federal por concepto de seguro de vida del personal militar.</w:t>
      </w:r>
    </w:p>
    <w:p w14:paraId="7E99A52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u w:val="single"/>
        </w:rPr>
        <w:t xml:space="preserve">1441 </w:t>
      </w:r>
      <w:proofErr w:type="gramStart"/>
      <w:r w:rsidRPr="008944ED">
        <w:rPr>
          <w:rFonts w:ascii="Palatino Linotype" w:eastAsia="Palatino Linotype" w:hAnsi="Palatino Linotype" w:cs="Palatino Linotype"/>
          <w:b/>
          <w:i/>
          <w:sz w:val="22"/>
          <w:szCs w:val="22"/>
          <w:u w:val="single"/>
        </w:rPr>
        <w:t>Seguros</w:t>
      </w:r>
      <w:proofErr w:type="gramEnd"/>
      <w:r w:rsidRPr="008944ED">
        <w:rPr>
          <w:rFonts w:ascii="Palatino Linotype" w:eastAsia="Palatino Linotype" w:hAnsi="Palatino Linotype" w:cs="Palatino Linotype"/>
          <w:b/>
          <w:i/>
          <w:sz w:val="22"/>
          <w:szCs w:val="22"/>
          <w:u w:val="single"/>
        </w:rPr>
        <w:t xml:space="preserve"> y fianzas. Asignación para cubrir el importe de las primas de seguro de vida de los servidores públicos que por sus actividades lo ameritan</w:t>
      </w:r>
      <w:r w:rsidRPr="008944ED">
        <w:rPr>
          <w:rFonts w:ascii="Palatino Linotype" w:eastAsia="Palatino Linotype" w:hAnsi="Palatino Linotype" w:cs="Palatino Linotype"/>
          <w:i/>
          <w:sz w:val="22"/>
          <w:szCs w:val="22"/>
        </w:rPr>
        <w:t>” (Énfasis añadido)</w:t>
      </w:r>
    </w:p>
    <w:p w14:paraId="6761EE62"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Ahora bien, tomando en cuenta la temporalidad del requerimiento de información, este Instituto localizó en la liga electrónica </w:t>
      </w:r>
      <w:hyperlink r:id="rId40">
        <w:r w:rsidRPr="008944ED">
          <w:rPr>
            <w:rFonts w:ascii="Palatino Linotype" w:eastAsia="Palatino Linotype" w:hAnsi="Palatino Linotype" w:cs="Palatino Linotype"/>
            <w:u w:val="single"/>
          </w:rPr>
          <w:t>https://atlacomulco.gob.mx/documentos/LGCG/ayuntamiento/2022/Primer%20Trimestre/TITULO%20IV/Informacion%20Presupuestal/4%20Estado%20Comparativo%20presEgresos.pdf</w:t>
        </w:r>
      </w:hyperlink>
      <w:r w:rsidRPr="008944ED">
        <w:rPr>
          <w:rFonts w:ascii="Palatino Linotype" w:eastAsia="Palatino Linotype" w:hAnsi="Palatino Linotype" w:cs="Palatino Linotype"/>
        </w:rPr>
        <w:t xml:space="preserve"> (consultada el catorce de febrero de dos mil veinticuatro a las </w:t>
      </w:r>
      <w:r w:rsidRPr="008944ED">
        <w:rPr>
          <w:rFonts w:ascii="Palatino Linotype" w:eastAsia="Palatino Linotype" w:hAnsi="Palatino Linotype" w:cs="Palatino Linotype"/>
        </w:rPr>
        <w:lastRenderedPageBreak/>
        <w:t>18:33 pm) que el Ayuntamiento de Atlacomulco erogó recursos para esta partida en referencia, sirve de referencia la siguiente ilustración:</w:t>
      </w:r>
      <w:r w:rsidRPr="008944ED">
        <w:rPr>
          <w:noProof/>
        </w:rPr>
        <w:drawing>
          <wp:anchor distT="0" distB="0" distL="114300" distR="114300" simplePos="0" relativeHeight="251669504" behindDoc="0" locked="0" layoutInCell="1" hidden="0" allowOverlap="1" wp14:anchorId="73E130E9" wp14:editId="211E5A79">
            <wp:simplePos x="0" y="0"/>
            <wp:positionH relativeFrom="column">
              <wp:posOffset>-13334</wp:posOffset>
            </wp:positionH>
            <wp:positionV relativeFrom="paragraph">
              <wp:posOffset>808355</wp:posOffset>
            </wp:positionV>
            <wp:extent cx="6186758" cy="3924300"/>
            <wp:effectExtent l="0" t="0" r="0" b="0"/>
            <wp:wrapTopAndBottom distT="0" dist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6186758" cy="3924300"/>
                    </a:xfrm>
                    <a:prstGeom prst="rect">
                      <a:avLst/>
                    </a:prstGeom>
                    <a:ln/>
                  </pic:spPr>
                </pic:pic>
              </a:graphicData>
            </a:graphic>
          </wp:anchor>
        </w:drawing>
      </w:r>
      <w:r w:rsidRPr="008944ED">
        <w:rPr>
          <w:noProof/>
        </w:rPr>
        <mc:AlternateContent>
          <mc:Choice Requires="wpg">
            <w:drawing>
              <wp:anchor distT="0" distB="0" distL="114300" distR="114300" simplePos="0" relativeHeight="251670528" behindDoc="0" locked="0" layoutInCell="1" hidden="0" allowOverlap="1" wp14:anchorId="2481A94D" wp14:editId="1D48C48B">
                <wp:simplePos x="0" y="0"/>
                <wp:positionH relativeFrom="column">
                  <wp:posOffset>-50799</wp:posOffset>
                </wp:positionH>
                <wp:positionV relativeFrom="paragraph">
                  <wp:posOffset>1562100</wp:posOffset>
                </wp:positionV>
                <wp:extent cx="6172200" cy="171450"/>
                <wp:effectExtent l="0" t="0" r="0" b="0"/>
                <wp:wrapNone/>
                <wp:docPr id="85" name="Rectángulo 85"/>
                <wp:cNvGraphicFramePr/>
                <a:graphic xmlns:a="http://schemas.openxmlformats.org/drawingml/2006/main">
                  <a:graphicData uri="http://schemas.microsoft.com/office/word/2010/wordprocessingShape">
                    <wps:wsp>
                      <wps:cNvSpPr/>
                      <wps:spPr>
                        <a:xfrm>
                          <a:off x="2274188" y="3708563"/>
                          <a:ext cx="6143625" cy="142875"/>
                        </a:xfrm>
                        <a:prstGeom prst="rect">
                          <a:avLst/>
                        </a:prstGeom>
                        <a:noFill/>
                        <a:ln w="28575" cap="flat" cmpd="sng">
                          <a:solidFill>
                            <a:srgbClr val="FF0000"/>
                          </a:solidFill>
                          <a:prstDash val="solid"/>
                          <a:round/>
                          <a:headEnd type="none" w="sm" len="sm"/>
                          <a:tailEnd type="none" w="sm" len="sm"/>
                        </a:ln>
                      </wps:spPr>
                      <wps:txbx>
                        <w:txbxContent>
                          <w:p w14:paraId="30A78A32" w14:textId="77777777" w:rsidR="009B2CE9" w:rsidRDefault="009B2CE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1562100</wp:posOffset>
                </wp:positionV>
                <wp:extent cx="6172200" cy="171450"/>
                <wp:effectExtent b="0" l="0" r="0" t="0"/>
                <wp:wrapNone/>
                <wp:docPr id="85"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6172200" cy="171450"/>
                        </a:xfrm>
                        <a:prstGeom prst="rect"/>
                        <a:ln/>
                      </pic:spPr>
                    </pic:pic>
                  </a:graphicData>
                </a:graphic>
              </wp:anchor>
            </w:drawing>
          </mc:Fallback>
        </mc:AlternateContent>
      </w:r>
    </w:p>
    <w:p w14:paraId="3303135F" w14:textId="77777777" w:rsidR="009B2CE9" w:rsidRPr="008944ED" w:rsidRDefault="009B2CE9">
      <w:pPr>
        <w:spacing w:before="240" w:after="240" w:line="360" w:lineRule="auto"/>
        <w:ind w:right="49"/>
        <w:jc w:val="both"/>
        <w:rPr>
          <w:rFonts w:ascii="Palatino Linotype" w:eastAsia="Palatino Linotype" w:hAnsi="Palatino Linotype" w:cs="Palatino Linotype"/>
        </w:rPr>
      </w:pPr>
    </w:p>
    <w:p w14:paraId="180B0153"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Conforme a lo anterior, se logra vislumbrar que el Ayuntamiento de Atlacomulco, tiene la facultad de erogar recursos por conceptos de seguros de vida, mismo que deberá pagar a las instancias correspondientes, cada mes mediante la declaración correspondiente. En ese contexto, los Sujetos Obligados deben generar pólizas contables que corresponden a un documento en el que se asientan las operaciones desarrolladas, por el municipio y toda la información necesaria para su identificación, por lo tanto, para atender este punto,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deberá estarse a lo dispuesto en líneas anteriores respecto a las Póliza de Egresos y Pólizas </w:t>
      </w:r>
      <w:r w:rsidRPr="008944ED">
        <w:rPr>
          <w:rFonts w:ascii="Palatino Linotype" w:eastAsia="Palatino Linotype" w:hAnsi="Palatino Linotype" w:cs="Palatino Linotype"/>
        </w:rPr>
        <w:lastRenderedPageBreak/>
        <w:t>de Cheque, con los documentos comprobatorios para efecto de entregar las generadas del 1 de enero de 2022 al 30 de abril de 2023.</w:t>
      </w:r>
    </w:p>
    <w:p w14:paraId="793E9082" w14:textId="77777777" w:rsidR="009B2CE9" w:rsidRPr="008944ED" w:rsidRDefault="002459D3">
      <w:pPr>
        <w:spacing w:before="240" w:after="240"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b/>
        </w:rPr>
        <w:t>De las licitaciones, adjudicaciones directas y adquisiciones, comprendidas en los siguientes planteamientos:</w:t>
      </w:r>
    </w:p>
    <w:p w14:paraId="703AD6BE"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4.- ¿Cuántas licitaciones públicas han tenido y que se ha adquirido?</w:t>
      </w:r>
    </w:p>
    <w:p w14:paraId="1C4D1942"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 xml:space="preserve"> 5.- ¿Cuántas adjudicaciones directas han tenido y que se ha adquirido? </w:t>
      </w:r>
    </w:p>
    <w:p w14:paraId="54CEB18C"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6.- ¿Cuántas adquisiciones por invitación restringida se han tenido?</w:t>
      </w:r>
    </w:p>
    <w:p w14:paraId="187E2705"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sz w:val="22"/>
          <w:szCs w:val="22"/>
        </w:rPr>
        <w:t>7.- Justificación del por qué se eligieron a dichos proveedores</w:t>
      </w:r>
    </w:p>
    <w:p w14:paraId="3AABB885"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En ese punto, se advierte que no hubo pronunciamiento por parte del Sujeto Obligado, situación que no se encuentra acorde a los principios de congruencia y exhaustividad, el cual de acuerdo con el Criterio 02/2017 emitido por el Instituto Nacional de Transparencia, Acceso a la Información y Protección de Datos Personales se establece que: </w:t>
      </w:r>
    </w:p>
    <w:p w14:paraId="68D287A7" w14:textId="77777777" w:rsidR="009B2CE9" w:rsidRPr="008944ED" w:rsidRDefault="002459D3">
      <w:pPr>
        <w:spacing w:before="240" w:after="240" w:line="276" w:lineRule="auto"/>
        <w:ind w:left="567" w:right="900"/>
        <w:jc w:val="both"/>
        <w:rPr>
          <w:rFonts w:ascii="Palatino Linotype" w:eastAsia="Palatino Linotype" w:hAnsi="Palatino Linotype" w:cs="Palatino Linotype"/>
          <w:sz w:val="22"/>
          <w:szCs w:val="22"/>
        </w:rPr>
      </w:pPr>
      <w:r w:rsidRPr="008944ED">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944ED">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w:t>
      </w:r>
      <w:r w:rsidRPr="008944ED">
        <w:rPr>
          <w:rFonts w:ascii="Palatino Linotype" w:eastAsia="Palatino Linotype" w:hAnsi="Palatino Linotype" w:cs="Palatino Linotype"/>
          <w:i/>
          <w:sz w:val="22"/>
          <w:szCs w:val="22"/>
        </w:rPr>
        <w:lastRenderedPageBreak/>
        <w:t>relación lógica con lo solicitado y atiendan de manera puntual y expresa, cada uno de los contenidos de información.</w:t>
      </w:r>
    </w:p>
    <w:p w14:paraId="6FAAFA7D"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8944ED">
        <w:rPr>
          <w:rFonts w:ascii="Palatino Linotype" w:eastAsia="Palatino Linotype" w:hAnsi="Palatino Linotype" w:cs="Palatino Linotype"/>
          <w:b/>
        </w:rPr>
        <w:t>deberá atender de manera expresa cada uno de los puntos solicitados</w:t>
      </w:r>
      <w:r w:rsidRPr="008944ED">
        <w:rPr>
          <w:rFonts w:ascii="Palatino Linotype" w:eastAsia="Palatino Linotype" w:hAnsi="Palatino Linotype" w:cs="Palatino Linotype"/>
        </w:rPr>
        <w:t xml:space="preserve">, situación que en el presente caso </w:t>
      </w:r>
      <w:r w:rsidRPr="008944ED">
        <w:rPr>
          <w:rFonts w:ascii="Palatino Linotype" w:eastAsia="Palatino Linotype" w:hAnsi="Palatino Linotype" w:cs="Palatino Linotype"/>
          <w:b/>
          <w:u w:val="single"/>
        </w:rPr>
        <w:t>no aconteció</w:t>
      </w:r>
      <w:r w:rsidRPr="008944ED">
        <w:rPr>
          <w:rFonts w:ascii="Palatino Linotype" w:eastAsia="Palatino Linotype" w:hAnsi="Palatino Linotype" w:cs="Palatino Linotype"/>
        </w:rPr>
        <w:t xml:space="preserve">, pues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no se pronunció sobre estas cuestiones.</w:t>
      </w:r>
    </w:p>
    <w:p w14:paraId="0D589209" w14:textId="77777777" w:rsidR="009B2CE9" w:rsidRPr="008944ED" w:rsidRDefault="002459D3">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8944ED">
        <w:rPr>
          <w:rFonts w:ascii="Palatino Linotype" w:eastAsia="Palatino Linotype" w:hAnsi="Palatino Linotype" w:cs="Palatino Linotype"/>
        </w:rPr>
        <w:t> Derivado de lo anterior, al no haber sido turnada la solicitud a las diferentes unidades  administrativas que pudieran contar con lo solicitado, no se atendió el requerimiento de la persona solicitante, así resulta necesario tomar en cuenta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9E72A3B" w14:textId="77777777" w:rsidR="009B2CE9" w:rsidRPr="008944ED" w:rsidRDefault="002459D3">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1. Las Unidades de Transparencia garantizarán que las solicitudes de acceso a </w:t>
      </w:r>
      <w:proofErr w:type="gramStart"/>
      <w:r w:rsidRPr="008944ED">
        <w:rPr>
          <w:rFonts w:ascii="Palatino Linotype" w:eastAsia="Palatino Linotype" w:hAnsi="Palatino Linotype" w:cs="Palatino Linotype"/>
        </w:rPr>
        <w:t>la  información</w:t>
      </w:r>
      <w:proofErr w:type="gramEnd"/>
      <w:r w:rsidRPr="008944ED">
        <w:rPr>
          <w:rFonts w:ascii="Palatino Linotype" w:eastAsia="Palatino Linotype" w:hAnsi="Palatino Linotype" w:cs="Palatino Linotype"/>
        </w:rPr>
        <w:t xml:space="preserve"> se turnen a todas las áreas competentes que cuenten con la información o  deban tenerla -de acuerdo a las facultades, competencias y funciones-, con el objeto de  que dichas áreas realicen una búsqueda exhaustiva y razonable de la información  requerida, y</w:t>
      </w:r>
    </w:p>
    <w:p w14:paraId="544BCD6F" w14:textId="77777777" w:rsidR="009B2CE9" w:rsidRPr="008944ED" w:rsidRDefault="002459D3">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2. Los sujetos obligados otorgaran acceso a los documentos que se encuentren en </w:t>
      </w:r>
      <w:proofErr w:type="gramStart"/>
      <w:r w:rsidRPr="008944ED">
        <w:rPr>
          <w:rFonts w:ascii="Palatino Linotype" w:eastAsia="Palatino Linotype" w:hAnsi="Palatino Linotype" w:cs="Palatino Linotype"/>
        </w:rPr>
        <w:t>sus  archivos</w:t>
      </w:r>
      <w:proofErr w:type="gramEnd"/>
      <w:r w:rsidRPr="008944ED">
        <w:rPr>
          <w:rFonts w:ascii="Palatino Linotype" w:eastAsia="Palatino Linotype" w:hAnsi="Palatino Linotype" w:cs="Palatino Linotype"/>
        </w:rPr>
        <w:t xml:space="preserve"> o que estén obligados a documentar de acuerdo con sus facultades,  </w:t>
      </w:r>
      <w:r w:rsidRPr="008944ED">
        <w:rPr>
          <w:rFonts w:ascii="Palatino Linotype" w:eastAsia="Palatino Linotype" w:hAnsi="Palatino Linotype" w:cs="Palatino Linotype"/>
        </w:rPr>
        <w:lastRenderedPageBreak/>
        <w:t>competencias o funciones, en el formato en que el solicitante manifieste, de entre  aquellos formatos existentes.</w:t>
      </w:r>
    </w:p>
    <w:p w14:paraId="7B14F768"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por todo lo expuesto que este Instituto estima pertinente ordenar una búsqueda exhaustiva y razonable en la Dirección de Administración, pues de conformidad con el Manual de Organización de la referida Dirección, cuenta con la facultad de autorizar todos los trámites administrativos en lo referente a recursos humanos, adquisiciones y tecnologías de la información. </w:t>
      </w:r>
    </w:p>
    <w:p w14:paraId="6E645A0C"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Asimismo, dicha Dirección cuenta con un Departamento de Recursos Materiales y Adquisiciones, el cual cuenta con las siguientes atribuciones:</w:t>
      </w:r>
    </w:p>
    <w:p w14:paraId="1ADF7593"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“Descripción Genérica</w:t>
      </w:r>
    </w:p>
    <w:p w14:paraId="09AE3B95"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Establecer los lineamientos para el suministro de bienes y/o servicios para proporcionar a las áreas del Ayuntamiento de Atlacomulco en forma oportuna, transparente, de calidad, en las cantidades y con las especificaciones que requieran, mediante el establecimiento de acciones que coadyuven a la consecución de las metas y objetivos institucionales.</w:t>
      </w:r>
    </w:p>
    <w:p w14:paraId="7C3078ED"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Descripción Específica</w:t>
      </w:r>
    </w:p>
    <w:p w14:paraId="6A9C05F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4. Publicar las licitaciones y la información derivada de éstas, así como llevar a cabo licitaciones de carácter electrónico;</w:t>
      </w:r>
    </w:p>
    <w:p w14:paraId="7E9DEE4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5. Desarrollar los sistemas, políticas y procedimientos necesarios para una eficiente administración de los recursos materiales y servicios que requiere el Ayuntamiento de Atlacomulco;</w:t>
      </w:r>
    </w:p>
    <w:p w14:paraId="0BCA3AC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6. Suscribir, administrar y rescindir administrativamente contratos en los términos de la ley en materia adquisitiva;</w:t>
      </w:r>
    </w:p>
    <w:p w14:paraId="683DFE91"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7. Formular y proponer a la Dirección de Administración las políticas, bases y lineamientos en materia de adquisiciones;</w:t>
      </w:r>
    </w:p>
    <w:p w14:paraId="2D5C00CE"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8. Efectuar la clasificación de las adquisiciones de acuerdo al monto establecido en el Presupuesto de Egresos y a lo estipulado a la Ley de Contratación Pública del Estado de México y Municipios;</w:t>
      </w:r>
    </w:p>
    <w:p w14:paraId="3D97A98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9. Revisar las bases y convocatorias, actos de presentación, apertura, evaluación de propuestas, dictamen y fallo vigilando que cumplan con todas las especificaciones y los requisitos legales para llevar a cabo los procedimientos de Licitaciones por Invitación Restringida y Licitación Pública;</w:t>
      </w:r>
    </w:p>
    <w:p w14:paraId="7E4FF0A4"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10. Vigilar que los casos de excepción a la Licitación Pública Nacional se sometan a dictamen de procedencia y que deban presentarse por escrito y con el soporte correspondiente;</w:t>
      </w:r>
    </w:p>
    <w:p w14:paraId="5BCFB7CA"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11. Informar al Comité de Adquisiciones, Arrendamientos y Servicios sobre los bienes, servicios y/o arrendamientos requeridos y solicitar el trámite adquisitivo correspondiente para la adjudicación;</w:t>
      </w:r>
    </w:p>
    <w:p w14:paraId="4ACAB618"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12. Dar seguimiento a cada uno de los procedimientos de compra y verificar la calidad de los bienes y o servicios contratados, antes de realizar la entrega a las áreas solicitantes;”</w:t>
      </w:r>
    </w:p>
    <w:p w14:paraId="5DB89E45"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lo que para dar cumplimiento a la presente resolución, deberá turnar este requerimiento al área en cuestión; bajo esta línea de pensamiento, conviene hacer alusión a lo dispuesto en la Ley de Contratación Pública del Estado de México y Municipios, la cual tiene por objeto regular los actos relativos a la </w:t>
      </w:r>
      <w:r w:rsidRPr="008944ED">
        <w:rPr>
          <w:rFonts w:ascii="Palatino Linotype" w:eastAsia="Palatino Linotype" w:hAnsi="Palatino Linotype" w:cs="Palatino Linotype"/>
          <w:b/>
          <w:u w:val="single"/>
        </w:rPr>
        <w:t>planeación, programación, presupuestación</w:t>
      </w:r>
      <w:r w:rsidRPr="008944ED">
        <w:rPr>
          <w:rFonts w:ascii="Palatino Linotype" w:eastAsia="Palatino Linotype" w:hAnsi="Palatino Linotype" w:cs="Palatino Linotype"/>
        </w:rPr>
        <w:t xml:space="preserve">, ejecución y control de la </w:t>
      </w:r>
      <w:r w:rsidRPr="008944ED">
        <w:rPr>
          <w:rFonts w:ascii="Palatino Linotype" w:eastAsia="Palatino Linotype" w:hAnsi="Palatino Linotype" w:cs="Palatino Linotype"/>
          <w:b/>
          <w:u w:val="single"/>
        </w:rPr>
        <w:t>adquisición</w:t>
      </w:r>
      <w:r w:rsidRPr="008944ED">
        <w:rPr>
          <w:rFonts w:ascii="Palatino Linotype" w:eastAsia="Palatino Linotype" w:hAnsi="Palatino Linotype" w:cs="Palatino Linotype"/>
        </w:rPr>
        <w:t xml:space="preserve">, enajenación y arrendamiento de bienes, y la </w:t>
      </w:r>
      <w:r w:rsidRPr="008944ED">
        <w:rPr>
          <w:rFonts w:ascii="Palatino Linotype" w:eastAsia="Palatino Linotype" w:hAnsi="Palatino Linotype" w:cs="Palatino Linotype"/>
          <w:b/>
          <w:u w:val="single"/>
        </w:rPr>
        <w:t>contratación de servicios de cualquier naturaleza, que realicen los Ayuntamientos del Estado</w:t>
      </w:r>
      <w:r w:rsidRPr="008944ED">
        <w:rPr>
          <w:rFonts w:ascii="Palatino Linotype" w:eastAsia="Palatino Linotype" w:hAnsi="Palatino Linotype" w:cs="Palatino Linotype"/>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0E9C97F5"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“Artículo 4.-</w:t>
      </w:r>
      <w:r w:rsidRPr="008944ED">
        <w:rPr>
          <w:rFonts w:ascii="Palatino Linotype" w:eastAsia="Palatino Linotype" w:hAnsi="Palatino Linotype" w:cs="Palatino Linotype"/>
          <w:i/>
          <w:sz w:val="22"/>
          <w:szCs w:val="22"/>
        </w:rPr>
        <w:t xml:space="preserve"> Para los efectos de esta Ley, </w:t>
      </w:r>
      <w:r w:rsidRPr="008944ED">
        <w:rPr>
          <w:rFonts w:ascii="Palatino Linotype" w:eastAsia="Palatino Linotype" w:hAnsi="Palatino Linotype" w:cs="Palatino Linotype"/>
          <w:b/>
          <w:i/>
          <w:sz w:val="22"/>
          <w:szCs w:val="22"/>
        </w:rPr>
        <w:t>en las adquisiciones, enajenaciones, arrendamientos y servicios, quedan comprendidos</w:t>
      </w:r>
      <w:r w:rsidRPr="008944ED">
        <w:rPr>
          <w:rFonts w:ascii="Palatino Linotype" w:eastAsia="Palatino Linotype" w:hAnsi="Palatino Linotype" w:cs="Palatino Linotype"/>
          <w:i/>
          <w:sz w:val="22"/>
          <w:szCs w:val="22"/>
        </w:rPr>
        <w:t>:</w:t>
      </w:r>
    </w:p>
    <w:p w14:paraId="287E5225"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xml:space="preserve"> La adquisición de bienes muebles.</w:t>
      </w:r>
    </w:p>
    <w:p w14:paraId="11221B81"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La adquisición de bienes inmuebles, a través de compraventa.</w:t>
      </w:r>
    </w:p>
    <w:p w14:paraId="6485D0F8"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III.</w:t>
      </w:r>
      <w:r w:rsidRPr="008944ED">
        <w:rPr>
          <w:rFonts w:ascii="Palatino Linotype" w:eastAsia="Palatino Linotype" w:hAnsi="Palatino Linotype" w:cs="Palatino Linotype"/>
          <w:i/>
          <w:sz w:val="22"/>
          <w:szCs w:val="22"/>
        </w:rPr>
        <w:t xml:space="preserve"> La enajenación de bienes muebles e inmuebles.</w:t>
      </w:r>
    </w:p>
    <w:p w14:paraId="7CAEA144"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IV.</w:t>
      </w:r>
      <w:r w:rsidRPr="008944ED">
        <w:rPr>
          <w:rFonts w:ascii="Palatino Linotype" w:eastAsia="Palatino Linotype" w:hAnsi="Palatino Linotype" w:cs="Palatino Linotype"/>
          <w:i/>
          <w:sz w:val="22"/>
          <w:szCs w:val="22"/>
        </w:rPr>
        <w:t xml:space="preserve"> El arrendamiento de bienes muebles e inmuebles. </w:t>
      </w:r>
    </w:p>
    <w:p w14:paraId="526DB27A"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w:t>
      </w:r>
      <w:r w:rsidRPr="008944ED">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5564C71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w:t>
      </w:r>
      <w:r w:rsidRPr="008944ED">
        <w:rPr>
          <w:rFonts w:ascii="Palatino Linotype" w:eastAsia="Palatino Linotype" w:hAnsi="Palatino Linotype" w:cs="Palatino Linotype"/>
          <w:i/>
          <w:sz w:val="22"/>
          <w:szCs w:val="22"/>
        </w:rPr>
        <w:t xml:space="preserve"> La contratación de los servicios de reconstrucción y mantenimiento de bienes muebles. </w:t>
      </w:r>
    </w:p>
    <w:p w14:paraId="16359B5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VII.</w:t>
      </w:r>
      <w:r w:rsidRPr="008944ED">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2195FD81"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VIII.</w:t>
      </w:r>
      <w:r w:rsidRPr="008944ED">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122AF29E"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general, otros actos que impliquen la contratación de servicios de cualquier naturaleza</w:t>
      </w:r>
    </w:p>
    <w:p w14:paraId="14AA4615"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26.-</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Las adquisiciones, arrendamientos y servicios se adjudicarán a través de licitaciones públicas</w:t>
      </w:r>
      <w:r w:rsidRPr="008944ED">
        <w:rPr>
          <w:rFonts w:ascii="Palatino Linotype" w:eastAsia="Palatino Linotype" w:hAnsi="Palatino Linotype" w:cs="Palatino Linotype"/>
          <w:i/>
          <w:sz w:val="22"/>
          <w:szCs w:val="22"/>
        </w:rPr>
        <w:t xml:space="preserve">, mediante convocatoria pública. </w:t>
      </w:r>
    </w:p>
    <w:p w14:paraId="634F4D52"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27.</w:t>
      </w:r>
      <w:r w:rsidRPr="008944ED">
        <w:rPr>
          <w:rFonts w:ascii="Palatino Linotype" w:eastAsia="Palatino Linotype" w:hAnsi="Palatino Linotype" w:cs="Palatino Linotype"/>
          <w:i/>
          <w:sz w:val="22"/>
          <w:szCs w:val="22"/>
        </w:rPr>
        <w:t xml:space="preserve">- La Secretaría, las entidades, los tribunales administrativos y los ayuntamientos podrán </w:t>
      </w:r>
      <w:r w:rsidRPr="008944ED">
        <w:rPr>
          <w:rFonts w:ascii="Palatino Linotype" w:eastAsia="Palatino Linotype" w:hAnsi="Palatino Linotype" w:cs="Palatino Linotype"/>
          <w:b/>
          <w:i/>
          <w:sz w:val="22"/>
          <w:szCs w:val="22"/>
        </w:rPr>
        <w:t>adjudicar adquisiciones, arrendamientos y servicios, mediante las excepciones al procedimiento de licitación</w:t>
      </w:r>
      <w:r w:rsidRPr="008944ED">
        <w:rPr>
          <w:rFonts w:ascii="Palatino Linotype" w:eastAsia="Palatino Linotype" w:hAnsi="Palatino Linotype" w:cs="Palatino Linotype"/>
          <w:i/>
          <w:sz w:val="22"/>
          <w:szCs w:val="22"/>
        </w:rPr>
        <w:t xml:space="preserve"> que a continuación se señalan:</w:t>
      </w:r>
    </w:p>
    <w:p w14:paraId="74563DBE"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Invitación restringida.</w:t>
      </w:r>
    </w:p>
    <w:p w14:paraId="2B8BA50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xml:space="preserve"> Adjudicación directa.”</w:t>
      </w:r>
    </w:p>
    <w:p w14:paraId="2745B7F5"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w:t>
      </w:r>
      <w:r w:rsidRPr="008944ED">
        <w:rPr>
          <w:rFonts w:ascii="Palatino Linotype" w:eastAsia="Palatino Linotype" w:hAnsi="Palatino Linotype" w:cs="Palatino Linotype"/>
        </w:rPr>
        <w:lastRenderedPageBreak/>
        <w:t>adjudicación directa, procedimientos que son materia de la solicitud presentada por el particular.</w:t>
      </w:r>
    </w:p>
    <w:p w14:paraId="38AF0C5E"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ello, de acuerdo con el artículo 44 de la Ley de Contratación Pública del Estado de México y Municipios, las entidades públicas, entre ellas los Ayuntamientos podrán adquirir y contratar servicios mediante invitación restringida en los siguientes casos: </w:t>
      </w:r>
    </w:p>
    <w:p w14:paraId="2E7A4E3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44.-</w:t>
      </w:r>
      <w:r w:rsidRPr="008944ED">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251836B4"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xml:space="preserve"> Se hubiere declarado desierto un procedimiento de licitación, o</w:t>
      </w:r>
    </w:p>
    <w:p w14:paraId="2CF7683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2A66C5A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43B86052"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la invitación deberá especificarse si en el proceso de asignación aplicará la modalidad de subasta inversa.”</w:t>
      </w:r>
    </w:p>
    <w:p w14:paraId="1353F16C" w14:textId="77777777" w:rsidR="009B2CE9" w:rsidRPr="008944ED" w:rsidRDefault="002459D3">
      <w:pPr>
        <w:spacing w:before="240" w:after="240"/>
        <w:ind w:right="49"/>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rPr>
        <w:t>Asimismo, el artículo 46 de la Ley referida, menciona que:</w:t>
      </w:r>
    </w:p>
    <w:p w14:paraId="16618897" w14:textId="77777777" w:rsidR="009B2CE9" w:rsidRPr="008944ED" w:rsidRDefault="002459D3">
      <w:pPr>
        <w:spacing w:before="120" w:after="120" w:line="276" w:lineRule="auto"/>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sz w:val="22"/>
          <w:szCs w:val="22"/>
        </w:rPr>
        <w:t xml:space="preserve"> “</w:t>
      </w:r>
      <w:r w:rsidRPr="008944ED">
        <w:rPr>
          <w:rFonts w:ascii="Palatino Linotype" w:eastAsia="Palatino Linotype" w:hAnsi="Palatino Linotype" w:cs="Palatino Linotype"/>
          <w:b/>
          <w:i/>
          <w:sz w:val="22"/>
          <w:szCs w:val="22"/>
        </w:rPr>
        <w:t>Artículo 46.-</w:t>
      </w:r>
      <w:r w:rsidRPr="008944ED">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36C1BFDB" w14:textId="77777777" w:rsidR="009B2CE9" w:rsidRPr="008944ED" w:rsidRDefault="002459D3">
      <w:pPr>
        <w:spacing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41E9F479"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“Artículo 48.-</w:t>
      </w:r>
      <w:r w:rsidRPr="008944ED">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47549D79"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142A0ACB"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2BECCD70"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III.</w:t>
      </w:r>
      <w:r w:rsidRPr="008944ED">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3692044D"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IV.</w:t>
      </w:r>
      <w:r w:rsidRPr="008944ED">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1ABBC3CF"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w:t>
      </w:r>
      <w:r w:rsidRPr="008944ED">
        <w:rPr>
          <w:rFonts w:ascii="Palatino Linotype" w:eastAsia="Palatino Linotype" w:hAnsi="Palatino Linotype" w:cs="Palatino Linotype"/>
          <w:i/>
          <w:sz w:val="22"/>
          <w:szCs w:val="22"/>
        </w:rPr>
        <w:t>. Existan circunstancias que puedan provocar pérdidas o costos adicionales importantes al erario.</w:t>
      </w:r>
    </w:p>
    <w:p w14:paraId="30539AC4"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w:t>
      </w:r>
      <w:r w:rsidRPr="008944ED">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12651E62"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VII</w:t>
      </w:r>
      <w:r w:rsidRPr="008944ED">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4C4B4C86"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VIII</w:t>
      </w:r>
      <w:r w:rsidRPr="008944ED">
        <w:rPr>
          <w:rFonts w:ascii="Palatino Linotype" w:eastAsia="Palatino Linotype" w:hAnsi="Palatino Linotype" w:cs="Palatino Linotype"/>
          <w:i/>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7FC38FFC"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IX</w:t>
      </w:r>
      <w:r w:rsidRPr="008944ED">
        <w:rPr>
          <w:rFonts w:ascii="Palatino Linotype" w:eastAsia="Palatino Linotype" w:hAnsi="Palatino Linotype" w:cs="Palatino Linotype"/>
          <w:i/>
          <w:sz w:val="22"/>
          <w:szCs w:val="22"/>
        </w:rPr>
        <w:t>. Se hubiere declarado desierto un procedimiento de invitación restringida.</w:t>
      </w:r>
    </w:p>
    <w:p w14:paraId="0C77B88D"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X</w:t>
      </w:r>
      <w:r w:rsidRPr="008944ED">
        <w:rPr>
          <w:rFonts w:ascii="Palatino Linotype" w:eastAsia="Palatino Linotype" w:hAnsi="Palatino Linotype" w:cs="Palatino Linotype"/>
          <w:i/>
          <w:sz w:val="22"/>
          <w:szCs w:val="22"/>
        </w:rPr>
        <w:t xml:space="preserve">. Cuando se aseguren condiciones financieras que permitan al Estado o a los municipios cumplir con la obligación de pago de manera diferida, sin que ello implique un costo financiero adicional o </w:t>
      </w:r>
      <w:proofErr w:type="gramStart"/>
      <w:r w:rsidRPr="008944ED">
        <w:rPr>
          <w:rFonts w:ascii="Palatino Linotype" w:eastAsia="Palatino Linotype" w:hAnsi="Palatino Linotype" w:cs="Palatino Linotype"/>
          <w:i/>
          <w:sz w:val="22"/>
          <w:szCs w:val="22"/>
        </w:rPr>
        <w:t>que</w:t>
      </w:r>
      <w:proofErr w:type="gramEnd"/>
      <w:r w:rsidRPr="008944ED">
        <w:rPr>
          <w:rFonts w:ascii="Palatino Linotype" w:eastAsia="Palatino Linotype" w:hAnsi="Palatino Linotype" w:cs="Palatino Linotype"/>
          <w:i/>
          <w:sz w:val="22"/>
          <w:szCs w:val="22"/>
        </w:rPr>
        <w:t xml:space="preserve"> habiéndolo, sea inferior al del mercado, o</w:t>
      </w:r>
    </w:p>
    <w:p w14:paraId="67EFB264"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XI</w:t>
      </w:r>
      <w:r w:rsidRPr="008944ED">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19B96DE"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XII</w:t>
      </w:r>
      <w:r w:rsidRPr="008944ED">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78F7BC1B" w14:textId="77777777" w:rsidR="009B2CE9" w:rsidRPr="008944ED" w:rsidRDefault="002459D3">
      <w:pPr>
        <w:tabs>
          <w:tab w:val="left" w:pos="7938"/>
        </w:tabs>
        <w:spacing w:before="120" w:after="120"/>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49.-</w:t>
      </w:r>
      <w:r w:rsidRPr="008944ED">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52F84295"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191F21D4"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92</w:t>
      </w:r>
      <w:r w:rsidRPr="008944ED">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61715E"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67471B8E"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XXIX.</w:t>
      </w:r>
      <w:r w:rsidRPr="008944ED">
        <w:rPr>
          <w:rFonts w:ascii="Palatino Linotype" w:eastAsia="Palatino Linotype" w:hAnsi="Palatino Linotype" w:cs="Palatino Linotype"/>
          <w:i/>
          <w:sz w:val="22"/>
          <w:szCs w:val="22"/>
        </w:rPr>
        <w:t xml:space="preserve"> La </w:t>
      </w:r>
      <w:r w:rsidRPr="008944ED">
        <w:rPr>
          <w:rFonts w:ascii="Palatino Linotype" w:eastAsia="Palatino Linotype" w:hAnsi="Palatino Linotype" w:cs="Palatino Linotype"/>
          <w:b/>
          <w:i/>
          <w:sz w:val="22"/>
          <w:szCs w:val="22"/>
        </w:rPr>
        <w:t xml:space="preserve">información sobre los procesos y resultados </w:t>
      </w:r>
      <w:r w:rsidRPr="008944ED">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8944ED">
        <w:rPr>
          <w:rFonts w:ascii="Palatino Linotype" w:eastAsia="Palatino Linotype" w:hAnsi="Palatino Linotype" w:cs="Palatino Linotype"/>
          <w:i/>
          <w:sz w:val="22"/>
          <w:szCs w:val="22"/>
          <w:u w:val="single"/>
        </w:rPr>
        <w:t xml:space="preserve">, </w:t>
      </w:r>
      <w:r w:rsidRPr="008944ED">
        <w:rPr>
          <w:rFonts w:ascii="Palatino Linotype" w:eastAsia="Palatino Linotype" w:hAnsi="Palatino Linotype" w:cs="Palatino Linotype"/>
          <w:b/>
          <w:i/>
          <w:sz w:val="22"/>
          <w:szCs w:val="22"/>
        </w:rPr>
        <w:t>incluyendo la versión pública</w:t>
      </w:r>
      <w:r w:rsidRPr="008944ED">
        <w:rPr>
          <w:rFonts w:ascii="Palatino Linotype" w:eastAsia="Palatino Linotype" w:hAnsi="Palatino Linotype" w:cs="Palatino Linotype"/>
          <w:i/>
          <w:sz w:val="22"/>
          <w:szCs w:val="22"/>
        </w:rPr>
        <w:t xml:space="preserve"> del expediente respectivo y </w:t>
      </w:r>
      <w:r w:rsidRPr="008944ED">
        <w:rPr>
          <w:rFonts w:ascii="Palatino Linotype" w:eastAsia="Palatino Linotype" w:hAnsi="Palatino Linotype" w:cs="Palatino Linotype"/>
          <w:b/>
          <w:i/>
          <w:sz w:val="22"/>
          <w:szCs w:val="22"/>
        </w:rPr>
        <w:t>de los contratos celebrados</w:t>
      </w:r>
      <w:r w:rsidRPr="008944ED">
        <w:rPr>
          <w:rFonts w:ascii="Palatino Linotype" w:eastAsia="Palatino Linotype" w:hAnsi="Palatino Linotype" w:cs="Palatino Linotype"/>
          <w:i/>
          <w:sz w:val="22"/>
          <w:szCs w:val="22"/>
        </w:rPr>
        <w:t>, que deberán contener, por los menos, lo siguiente:</w:t>
      </w:r>
    </w:p>
    <w:p w14:paraId="2DF912D2"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a) De licitaciones públicas o procedimientos de invitación restringida:</w:t>
      </w:r>
    </w:p>
    <w:p w14:paraId="4753BBE9"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w:t>
      </w:r>
      <w:r w:rsidRPr="008944ED">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25CA744"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2)</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Los nombres de los participantes o invitados</w:t>
      </w:r>
      <w:r w:rsidRPr="008944ED">
        <w:rPr>
          <w:rFonts w:ascii="Palatino Linotype" w:eastAsia="Palatino Linotype" w:hAnsi="Palatino Linotype" w:cs="Palatino Linotype"/>
          <w:i/>
          <w:sz w:val="22"/>
          <w:szCs w:val="22"/>
        </w:rPr>
        <w:t>;</w:t>
      </w:r>
    </w:p>
    <w:p w14:paraId="6789E2CC"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3)</w:t>
      </w:r>
      <w:r w:rsidRPr="008944ED">
        <w:rPr>
          <w:rFonts w:ascii="Palatino Linotype" w:eastAsia="Palatino Linotype" w:hAnsi="Palatino Linotype" w:cs="Palatino Linotype"/>
          <w:i/>
          <w:sz w:val="22"/>
          <w:szCs w:val="22"/>
        </w:rPr>
        <w:t xml:space="preserve"> El nombre del ganador y las razones que lo justifican;</w:t>
      </w:r>
    </w:p>
    <w:p w14:paraId="2FCE9922"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4)</w:t>
      </w:r>
      <w:r w:rsidRPr="008944ED">
        <w:rPr>
          <w:rFonts w:ascii="Palatino Linotype" w:eastAsia="Palatino Linotype" w:hAnsi="Palatino Linotype" w:cs="Palatino Linotype"/>
          <w:i/>
          <w:sz w:val="22"/>
          <w:szCs w:val="22"/>
        </w:rPr>
        <w:t xml:space="preserve"> El área solicitante y la responsable de su ejecución;</w:t>
      </w:r>
    </w:p>
    <w:p w14:paraId="23D56BD8"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5)</w:t>
      </w:r>
      <w:r w:rsidRPr="008944ED">
        <w:rPr>
          <w:rFonts w:ascii="Palatino Linotype" w:eastAsia="Palatino Linotype" w:hAnsi="Palatino Linotype" w:cs="Palatino Linotype"/>
          <w:i/>
          <w:sz w:val="22"/>
          <w:szCs w:val="22"/>
        </w:rPr>
        <w:t xml:space="preserve"> Las convocatorias e invitaciones emitidas; </w:t>
      </w:r>
    </w:p>
    <w:p w14:paraId="4D9703AD"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6)</w:t>
      </w:r>
      <w:r w:rsidRPr="008944ED">
        <w:rPr>
          <w:rFonts w:ascii="Palatino Linotype" w:eastAsia="Palatino Linotype" w:hAnsi="Palatino Linotype" w:cs="Palatino Linotype"/>
          <w:i/>
          <w:sz w:val="22"/>
          <w:szCs w:val="22"/>
        </w:rPr>
        <w:t xml:space="preserve"> Los dictámenes y fallo de adjudicación;</w:t>
      </w:r>
    </w:p>
    <w:p w14:paraId="3574E541"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7) El contrato y, en su caso, sus anexos</w:t>
      </w:r>
      <w:r w:rsidRPr="008944ED">
        <w:rPr>
          <w:rFonts w:ascii="Palatino Linotype" w:eastAsia="Palatino Linotype" w:hAnsi="Palatino Linotype" w:cs="Palatino Linotype"/>
          <w:i/>
          <w:sz w:val="22"/>
          <w:szCs w:val="22"/>
        </w:rPr>
        <w:t xml:space="preserve">; </w:t>
      </w:r>
    </w:p>
    <w:p w14:paraId="608BCD8C"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8)</w:t>
      </w:r>
      <w:r w:rsidRPr="008944ED">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6E595304"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9)</w:t>
      </w:r>
      <w:r w:rsidRPr="008944ED">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73D2B484"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10)</w:t>
      </w:r>
      <w:r w:rsidRPr="008944ED">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756413BA"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11)</w:t>
      </w:r>
      <w:r w:rsidRPr="008944ED">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1B55B671"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12)</w:t>
      </w:r>
      <w:r w:rsidRPr="008944ED">
        <w:rPr>
          <w:rFonts w:ascii="Palatino Linotype" w:eastAsia="Palatino Linotype" w:hAnsi="Palatino Linotype" w:cs="Palatino Linotype"/>
          <w:i/>
          <w:sz w:val="22"/>
          <w:szCs w:val="22"/>
        </w:rPr>
        <w:t xml:space="preserve"> Los informes de avance físico y financiero sobre las obras o servicios contratados; </w:t>
      </w:r>
    </w:p>
    <w:p w14:paraId="4244C7DF"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13)</w:t>
      </w:r>
      <w:r w:rsidRPr="008944ED">
        <w:rPr>
          <w:rFonts w:ascii="Palatino Linotype" w:eastAsia="Palatino Linotype" w:hAnsi="Palatino Linotype" w:cs="Palatino Linotype"/>
          <w:i/>
          <w:sz w:val="22"/>
          <w:szCs w:val="22"/>
        </w:rPr>
        <w:t xml:space="preserve"> El convenio de terminación; </w:t>
      </w:r>
    </w:p>
    <w:p w14:paraId="63B4800A"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14)</w:t>
      </w:r>
      <w:r w:rsidRPr="008944ED">
        <w:rPr>
          <w:rFonts w:ascii="Palatino Linotype" w:eastAsia="Palatino Linotype" w:hAnsi="Palatino Linotype" w:cs="Palatino Linotype"/>
          <w:i/>
          <w:sz w:val="22"/>
          <w:szCs w:val="22"/>
        </w:rPr>
        <w:t xml:space="preserve"> El finiquito.</w:t>
      </w:r>
    </w:p>
    <w:p w14:paraId="1EA0EB28"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b) De las adjudicaciones directas: </w:t>
      </w:r>
    </w:p>
    <w:p w14:paraId="1E6A2A1C"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w:t>
      </w:r>
      <w:r w:rsidRPr="008944ED">
        <w:rPr>
          <w:rFonts w:ascii="Palatino Linotype" w:eastAsia="Palatino Linotype" w:hAnsi="Palatino Linotype" w:cs="Palatino Linotype"/>
          <w:i/>
          <w:sz w:val="22"/>
          <w:szCs w:val="22"/>
        </w:rPr>
        <w:t xml:space="preserve"> La propuesta enviada por el participante; </w:t>
      </w:r>
    </w:p>
    <w:p w14:paraId="69DE4012"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2)</w:t>
      </w:r>
      <w:r w:rsidRPr="008944ED">
        <w:rPr>
          <w:rFonts w:ascii="Palatino Linotype" w:eastAsia="Palatino Linotype" w:hAnsi="Palatino Linotype" w:cs="Palatino Linotype"/>
          <w:i/>
          <w:sz w:val="22"/>
          <w:szCs w:val="22"/>
        </w:rPr>
        <w:t xml:space="preserve"> Los motivos y fundamentos legales aplicados para llevarla a cabo;</w:t>
      </w:r>
    </w:p>
    <w:p w14:paraId="0E4CF2D2"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3)</w:t>
      </w:r>
      <w:r w:rsidRPr="008944ED">
        <w:rPr>
          <w:rFonts w:ascii="Palatino Linotype" w:eastAsia="Palatino Linotype" w:hAnsi="Palatino Linotype" w:cs="Palatino Linotype"/>
          <w:i/>
          <w:sz w:val="22"/>
          <w:szCs w:val="22"/>
        </w:rPr>
        <w:t xml:space="preserve"> La autorización del ejercicio de la opción; </w:t>
      </w:r>
    </w:p>
    <w:p w14:paraId="390C1491"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4) </w:t>
      </w:r>
      <w:r w:rsidRPr="008944ED">
        <w:rPr>
          <w:rFonts w:ascii="Palatino Linotype" w:eastAsia="Palatino Linotype" w:hAnsi="Palatino Linotype" w:cs="Palatino Linotype"/>
          <w:i/>
          <w:sz w:val="22"/>
          <w:szCs w:val="22"/>
        </w:rPr>
        <w:t>En su caso, las cotizaciones consideradas, especificando los nombres de los proveedores y sus montos;</w:t>
      </w:r>
      <w:r w:rsidRPr="008944ED">
        <w:rPr>
          <w:rFonts w:ascii="Palatino Linotype" w:eastAsia="Palatino Linotype" w:hAnsi="Palatino Linotype" w:cs="Palatino Linotype"/>
          <w:b/>
          <w:i/>
          <w:sz w:val="22"/>
          <w:szCs w:val="22"/>
        </w:rPr>
        <w:t xml:space="preserve"> </w:t>
      </w:r>
    </w:p>
    <w:p w14:paraId="1F7DD3F2"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5)</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El nombre de la persona física o jurídica colectiva adjudicada</w:t>
      </w:r>
      <w:r w:rsidRPr="008944ED">
        <w:rPr>
          <w:rFonts w:ascii="Palatino Linotype" w:eastAsia="Palatino Linotype" w:hAnsi="Palatino Linotype" w:cs="Palatino Linotype"/>
          <w:i/>
          <w:sz w:val="22"/>
          <w:szCs w:val="22"/>
        </w:rPr>
        <w:t xml:space="preserve">; </w:t>
      </w:r>
    </w:p>
    <w:p w14:paraId="3938B984"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6)</w:t>
      </w:r>
      <w:r w:rsidRPr="008944ED">
        <w:rPr>
          <w:rFonts w:ascii="Palatino Linotype" w:eastAsia="Palatino Linotype" w:hAnsi="Palatino Linotype" w:cs="Palatino Linotype"/>
          <w:i/>
          <w:sz w:val="22"/>
          <w:szCs w:val="22"/>
        </w:rPr>
        <w:t xml:space="preserve"> La unidad administrativa solicitante y la responsable de su ejecución; </w:t>
      </w:r>
    </w:p>
    <w:p w14:paraId="5031C52F"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206679D0"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8)</w:t>
      </w:r>
      <w:r w:rsidRPr="008944ED">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65BDCF5"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9)</w:t>
      </w:r>
      <w:r w:rsidRPr="008944ED">
        <w:rPr>
          <w:rFonts w:ascii="Palatino Linotype" w:eastAsia="Palatino Linotype" w:hAnsi="Palatino Linotype" w:cs="Palatino Linotype"/>
          <w:i/>
          <w:sz w:val="22"/>
          <w:szCs w:val="22"/>
        </w:rPr>
        <w:t xml:space="preserve"> Los informes de avance sobre las obras o servicios contratados; </w:t>
      </w:r>
    </w:p>
    <w:p w14:paraId="5D3865EA"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10)</w:t>
      </w:r>
      <w:r w:rsidRPr="008944ED">
        <w:rPr>
          <w:rFonts w:ascii="Palatino Linotype" w:eastAsia="Palatino Linotype" w:hAnsi="Palatino Linotype" w:cs="Palatino Linotype"/>
          <w:i/>
          <w:sz w:val="22"/>
          <w:szCs w:val="22"/>
        </w:rPr>
        <w:t xml:space="preserve"> El convenio de terminación; y </w:t>
      </w:r>
    </w:p>
    <w:p w14:paraId="57AAA3B7" w14:textId="77777777" w:rsidR="009B2CE9" w:rsidRPr="008944ED" w:rsidRDefault="002459D3">
      <w:pPr>
        <w:tabs>
          <w:tab w:val="left" w:pos="426"/>
        </w:tabs>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11)</w:t>
      </w:r>
      <w:r w:rsidRPr="008944ED">
        <w:rPr>
          <w:rFonts w:ascii="Palatino Linotype" w:eastAsia="Palatino Linotype" w:hAnsi="Palatino Linotype" w:cs="Palatino Linotype"/>
          <w:i/>
          <w:sz w:val="22"/>
          <w:szCs w:val="22"/>
        </w:rPr>
        <w:t xml:space="preserve"> El finiquito;”</w:t>
      </w:r>
    </w:p>
    <w:p w14:paraId="485777ED"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el expediente respectivo y de los contratos celebrados que, para el caso en particular, los expedientes deberán contener:</w:t>
      </w:r>
    </w:p>
    <w:p w14:paraId="5EA08DC5"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r w:rsidRPr="008944ED">
        <w:rPr>
          <w:rFonts w:ascii="Noto Sans Symbols" w:eastAsia="Noto Sans Symbols" w:hAnsi="Noto Sans Symbols" w:cs="Noto Sans Symbols"/>
          <w:sz w:val="22"/>
          <w:szCs w:val="22"/>
        </w:rPr>
        <w:t>●</w:t>
      </w:r>
      <w:r w:rsidRPr="008944ED">
        <w:rPr>
          <w:rFonts w:ascii="Palatino Linotype" w:eastAsia="Palatino Linotype" w:hAnsi="Palatino Linotype" w:cs="Palatino Linotype"/>
          <w:b/>
          <w:sz w:val="22"/>
          <w:szCs w:val="22"/>
        </w:rPr>
        <w:t xml:space="preserve">Invitación restringida: </w:t>
      </w:r>
      <w:r w:rsidRPr="008944ED">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506BB421" w14:textId="77777777" w:rsidR="009B2CE9" w:rsidRPr="008944ED" w:rsidRDefault="002459D3">
      <w:pPr>
        <w:spacing w:before="240" w:after="240" w:line="360" w:lineRule="auto"/>
        <w:ind w:left="567" w:right="900"/>
        <w:jc w:val="both"/>
        <w:rPr>
          <w:rFonts w:ascii="Palatino Linotype" w:eastAsia="Palatino Linotype" w:hAnsi="Palatino Linotype" w:cs="Palatino Linotype"/>
          <w:sz w:val="22"/>
          <w:szCs w:val="22"/>
        </w:rPr>
      </w:pPr>
      <w:proofErr w:type="gramStart"/>
      <w:r w:rsidRPr="008944ED">
        <w:rPr>
          <w:rFonts w:ascii="Noto Sans Symbols" w:eastAsia="Noto Sans Symbols" w:hAnsi="Noto Sans Symbols" w:cs="Noto Sans Symbols"/>
          <w:sz w:val="22"/>
          <w:szCs w:val="22"/>
        </w:rPr>
        <w:t>●</w:t>
      </w:r>
      <w:r w:rsidRPr="008944ED">
        <w:rPr>
          <w:sz w:val="14"/>
          <w:szCs w:val="14"/>
        </w:rPr>
        <w:t xml:space="preserve">  </w:t>
      </w:r>
      <w:r w:rsidRPr="008944ED">
        <w:rPr>
          <w:rFonts w:ascii="Palatino Linotype" w:eastAsia="Palatino Linotype" w:hAnsi="Palatino Linotype" w:cs="Palatino Linotype"/>
          <w:b/>
          <w:sz w:val="22"/>
          <w:szCs w:val="22"/>
        </w:rPr>
        <w:t>Adjudicaciones</w:t>
      </w:r>
      <w:proofErr w:type="gramEnd"/>
      <w:r w:rsidRPr="008944ED">
        <w:rPr>
          <w:rFonts w:ascii="Palatino Linotype" w:eastAsia="Palatino Linotype" w:hAnsi="Palatino Linotype" w:cs="Palatino Linotype"/>
          <w:b/>
          <w:sz w:val="22"/>
          <w:szCs w:val="22"/>
        </w:rPr>
        <w:t xml:space="preserve"> directas: </w:t>
      </w:r>
      <w:r w:rsidRPr="008944ED">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w:t>
      </w:r>
      <w:r w:rsidRPr="008944ED">
        <w:rPr>
          <w:rFonts w:ascii="Palatino Linotype" w:eastAsia="Palatino Linotype" w:hAnsi="Palatino Linotype" w:cs="Palatino Linotype"/>
          <w:sz w:val="22"/>
          <w:szCs w:val="22"/>
        </w:rPr>
        <w:lastRenderedPageBreak/>
        <w:t xml:space="preserve">monto del contrato, plazo de entrega o ejecución, mecanismos de vigilancia y supervisión, informes de avance sobre las obras o servicios, convenio de terminación y finiquito. </w:t>
      </w:r>
    </w:p>
    <w:p w14:paraId="4EEA2F9A"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ende, de acuerdo a los </w:t>
      </w:r>
      <w:r w:rsidRPr="008944ED">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8944ED">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8944ED">
        <w:rPr>
          <w:rFonts w:ascii="Palatino Linotype" w:eastAsia="Palatino Linotype" w:hAnsi="Palatino Linotype" w:cs="Palatino Linotype"/>
          <w:i/>
        </w:rPr>
        <w:t>Ley General de Transparencia y Acceso a la Información Pública</w:t>
      </w:r>
      <w:r w:rsidRPr="008944ED">
        <w:rPr>
          <w:rFonts w:ascii="Palatino Linotype" w:eastAsia="Palatino Linotype" w:hAnsi="Palatino Linotype" w:cs="Palatino Linotype"/>
        </w:rPr>
        <w:t xml:space="preserve">, los sujetos obligados deben publicar información sobre los actos, contratos y convenios celebrados, misma que </w:t>
      </w:r>
      <w:r w:rsidRPr="008944ED">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8944ED">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09310A14"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este sentido, se visualiza que la información requerida por la persona solicitante versa sobre una obligación de transparencia de oficio, y que por tal motivo el </w:t>
      </w:r>
      <w:r w:rsidRPr="008944ED">
        <w:rPr>
          <w:rFonts w:ascii="Palatino Linotype" w:eastAsia="Palatino Linotype" w:hAnsi="Palatino Linotype" w:cs="Palatino Linotype"/>
          <w:b/>
        </w:rPr>
        <w:t xml:space="preserve">Sujeto </w:t>
      </w:r>
      <w:r w:rsidRPr="008944ED">
        <w:rPr>
          <w:rFonts w:ascii="Palatino Linotype" w:eastAsia="Palatino Linotype" w:hAnsi="Palatino Linotype" w:cs="Palatino Linotype"/>
          <w:b/>
        </w:rPr>
        <w:lastRenderedPageBreak/>
        <w:t>Obligado</w:t>
      </w:r>
      <w:r w:rsidRPr="008944ED">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395C60A8"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18.</w:t>
      </w:r>
      <w:r w:rsidRPr="008944ED">
        <w:rPr>
          <w:rFonts w:ascii="Palatino Linotype" w:eastAsia="Palatino Linotype" w:hAnsi="Palatino Linotype" w:cs="Palatino Linotype"/>
          <w:i/>
          <w:sz w:val="22"/>
          <w:szCs w:val="22"/>
        </w:rPr>
        <w:t xml:space="preserve"> Los sujetos obligados </w:t>
      </w:r>
      <w:r w:rsidRPr="008944ED">
        <w:rPr>
          <w:rFonts w:ascii="Palatino Linotype" w:eastAsia="Palatino Linotype" w:hAnsi="Palatino Linotype" w:cs="Palatino Linotype"/>
          <w:b/>
          <w:i/>
          <w:sz w:val="22"/>
          <w:szCs w:val="22"/>
        </w:rPr>
        <w:t>deberán documentar todo acto</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que derive del ejercicio de sus facultades, competencias o funciones</w:t>
      </w:r>
      <w:r w:rsidRPr="008944ED">
        <w:rPr>
          <w:rFonts w:ascii="Palatino Linotype" w:eastAsia="Palatino Linotype" w:hAnsi="Palatino Linotype" w:cs="Palatino Linotype"/>
          <w:i/>
          <w:sz w:val="22"/>
          <w:szCs w:val="22"/>
        </w:rPr>
        <w:t>, considerando desde su origen la eventual publicidad y reutilización de la información que generen.</w:t>
      </w:r>
    </w:p>
    <w:p w14:paraId="27F4DA22"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776120AA"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24.</w:t>
      </w:r>
      <w:r w:rsidRPr="008944ED">
        <w:rPr>
          <w:rFonts w:ascii="Palatino Linotype" w:eastAsia="Palatino Linotype" w:hAnsi="Palatino Linotype" w:cs="Palatino Linotype"/>
          <w:i/>
          <w:sz w:val="22"/>
          <w:szCs w:val="22"/>
        </w:rPr>
        <w:t xml:space="preserve"> Para el cumplimiento de los objetivos de esta Ley</w:t>
      </w:r>
      <w:r w:rsidRPr="008944ED">
        <w:rPr>
          <w:rFonts w:ascii="Palatino Linotype" w:eastAsia="Palatino Linotype" w:hAnsi="Palatino Linotype" w:cs="Palatino Linotype"/>
          <w:b/>
          <w:i/>
          <w:sz w:val="22"/>
          <w:szCs w:val="22"/>
        </w:rPr>
        <w:t>, los sujetos obligados deberán cumplir con las siguientes obligaciones</w:t>
      </w:r>
      <w:r w:rsidRPr="008944ED">
        <w:rPr>
          <w:rFonts w:ascii="Palatino Linotype" w:eastAsia="Palatino Linotype" w:hAnsi="Palatino Linotype" w:cs="Palatino Linotype"/>
          <w:i/>
          <w:sz w:val="22"/>
          <w:szCs w:val="22"/>
        </w:rPr>
        <w:t>, según corresponda, de acuerdo a su naturaleza:</w:t>
      </w:r>
    </w:p>
    <w:p w14:paraId="642F238D"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7F73B38F" w14:textId="77777777" w:rsidR="009B2CE9" w:rsidRPr="008944ED" w:rsidRDefault="002459D3">
      <w:pPr>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XXII.</w:t>
      </w:r>
      <w:r w:rsidRPr="008944ED">
        <w:rPr>
          <w:rFonts w:ascii="Palatino Linotype" w:eastAsia="Palatino Linotype" w:hAnsi="Palatino Linotype" w:cs="Palatino Linotype"/>
          <w:i/>
          <w:sz w:val="22"/>
          <w:szCs w:val="22"/>
        </w:rPr>
        <w:t xml:space="preserve"> </w:t>
      </w:r>
      <w:r w:rsidRPr="008944ED">
        <w:rPr>
          <w:rFonts w:ascii="Palatino Linotype" w:eastAsia="Palatino Linotype" w:hAnsi="Palatino Linotype" w:cs="Palatino Linotype"/>
          <w:b/>
          <w:i/>
          <w:sz w:val="22"/>
          <w:szCs w:val="22"/>
        </w:rPr>
        <w:t>Documentar todo acto que derive del ejercicio de sus facultades, competencias o funciones</w:t>
      </w:r>
      <w:r w:rsidRPr="008944ED">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14BC5EE7"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este orden de ideas, se estima que, a través de los expedientes de los procedimientos de adquisición de bienes y contratación de servicios, la persona solicitante podrá conocer, el total de licitaciones públicas, adjudicaciones directas han tenido, adquisiciones por invitación restringida y lo que se ha adquirido. </w:t>
      </w:r>
    </w:p>
    <w:p w14:paraId="19917167"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lastRenderedPageBreak/>
        <w:t>Ahora bien, respecto a la justificación de la elección a dichos proveedores en el procedimiento de invitación restringida, la Ley de Contratación Pública del Estado de México señala lo siguiente sobre la propia invitación restringida:</w:t>
      </w:r>
    </w:p>
    <w:p w14:paraId="7BB839B5"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“Artículo 44.- La Secretaría, las entidades, los tribunales administrativos y los ayuntamientos podrán adquirir y contratar servicios mediante invitación restringida, cuando: </w:t>
      </w:r>
    </w:p>
    <w:p w14:paraId="658AC4EB"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 Se hubiere declarado desierto un procedimiento de licitación, o </w:t>
      </w:r>
    </w:p>
    <w:p w14:paraId="17B1686E"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II. El importe de la operación no exceda de los montos establecidos por el Presupuesto de Egresos del Gobierno del Estado de México del ejercicio correspondiente. </w:t>
      </w:r>
    </w:p>
    <w:p w14:paraId="0BFFFD82"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En la invitación deberá especificarse si en el proceso de asignación aplicará la modalidad de subasta inversa. Artículo 45.- El procedimiento establecido en el artículo anterior, comprende la invitación de tres personas cuando menos, que serán seleccionadas de entre las que se inscriban en el catálogo de proveedores cuando exista el número de proveedores referidos.</w:t>
      </w:r>
    </w:p>
    <w:p w14:paraId="76AD2AE2"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u w:val="single"/>
        </w:rPr>
        <w:t xml:space="preserve"> Artículo 46.- El procedimiento de invitación restringida se desarrollará en los términos de la licitación pública, a excepción de la publicación de la convocatoria.</w:t>
      </w:r>
      <w:r w:rsidRPr="008944ED">
        <w:rPr>
          <w:rFonts w:ascii="Palatino Linotype" w:eastAsia="Palatino Linotype" w:hAnsi="Palatino Linotype" w:cs="Palatino Linotype"/>
          <w:i/>
          <w:sz w:val="22"/>
          <w:szCs w:val="22"/>
        </w:rPr>
        <w:t xml:space="preserve"> </w:t>
      </w:r>
    </w:p>
    <w:p w14:paraId="6C5304F4" w14:textId="77777777" w:rsidR="009B2CE9" w:rsidRPr="008944ED" w:rsidRDefault="002459D3">
      <w:pPr>
        <w:spacing w:before="240" w:after="240" w:line="276" w:lineRule="auto"/>
        <w:ind w:left="566" w:right="91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Artículo 47.- El procedimiento de invitación restringida se declarará desierto, cuando no se presente propuesta alguna que cumpla con los requisitos establecidos en las bases.”</w:t>
      </w:r>
    </w:p>
    <w:p w14:paraId="47F1F15D"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Posteriormente al remitirnos al artículo 37 del ordenamiento en referencia, este señala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una vez realizado el análisis y evaluación de las propuestas, mediante la verificación del cumplimiento de la información y de la documentación solicitada </w:t>
      </w:r>
      <w:r w:rsidRPr="008944ED">
        <w:rPr>
          <w:rFonts w:ascii="Palatino Linotype" w:eastAsia="Palatino Linotype" w:hAnsi="Palatino Linotype" w:cs="Palatino Linotype"/>
        </w:rPr>
        <w:lastRenderedPageBreak/>
        <w:t xml:space="preserve">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27C545D8" w14:textId="77777777" w:rsidR="009B2CE9" w:rsidRPr="008944ED" w:rsidRDefault="002459D3">
      <w:pPr>
        <w:spacing w:before="240" w:after="240" w:line="360" w:lineRule="auto"/>
        <w:ind w:right="51"/>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Posteriormente el artículo 38 señala que la instancia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El fallo de adjudicación surtirá efectos desde la emisión, siendo responsabilidad de los licitantes enterarse de su contenido, por lo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a partir de ese momento, las obligaciones derivadas de éste serán exigibles sin perjuicio de la formalización del contrato respectivo, en los términos señalados en el fallo, por lo tanto, en este documento el particular podrá advertir la justificación para este procedimiento.</w:t>
      </w:r>
    </w:p>
    <w:p w14:paraId="561526C4"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de resaltar que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fue omisa en señalar la temporalidad de estos requerimientos, por lo que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deberá estarse a lo dispuesto en el criterio de interpretación 03/19 y entregar la documentación requerida del 02 de mayo de 2022 al 02 de mayo de 2023.</w:t>
      </w:r>
    </w:p>
    <w:p w14:paraId="047D08FF" w14:textId="77777777" w:rsidR="009B2CE9" w:rsidRPr="008944ED" w:rsidRDefault="002459D3">
      <w:pPr>
        <w:numPr>
          <w:ilvl w:val="0"/>
          <w:numId w:val="5"/>
        </w:numPr>
        <w:pBdr>
          <w:top w:val="nil"/>
          <w:left w:val="nil"/>
          <w:bottom w:val="nil"/>
          <w:right w:val="nil"/>
          <w:between w:val="nil"/>
        </w:pBdr>
        <w:spacing w:before="240" w:after="240" w:line="360" w:lineRule="auto"/>
        <w:ind w:left="142" w:right="49" w:hanging="142"/>
        <w:jc w:val="both"/>
        <w:rPr>
          <w:rFonts w:ascii="Palatino Linotype" w:eastAsia="Palatino Linotype" w:hAnsi="Palatino Linotype" w:cs="Palatino Linotype"/>
          <w:b/>
        </w:rPr>
      </w:pPr>
      <w:r w:rsidRPr="008944ED">
        <w:rPr>
          <w:rFonts w:ascii="Palatino Linotype" w:eastAsia="Palatino Linotype" w:hAnsi="Palatino Linotype" w:cs="Palatino Linotype"/>
          <w:b/>
        </w:rPr>
        <w:t>Del catálogo de proveedores que surte o provee al ayuntamiento.</w:t>
      </w:r>
    </w:p>
    <w:p w14:paraId="4BCEBF4E" w14:textId="77777777" w:rsidR="009B2CE9" w:rsidRPr="008944ED" w:rsidRDefault="002459D3">
      <w:pPr>
        <w:spacing w:before="240" w:after="240"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rPr>
        <w:t xml:space="preserve">En ese punto, se advierte que no hubo pronunciamiento por parte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situación que no se encuentra acorde a los principios de congruencia y </w:t>
      </w:r>
      <w:r w:rsidRPr="008944ED">
        <w:rPr>
          <w:rFonts w:ascii="Palatino Linotype" w:eastAsia="Palatino Linotype" w:hAnsi="Palatino Linotype" w:cs="Palatino Linotype"/>
        </w:rPr>
        <w:lastRenderedPageBreak/>
        <w:t>exhaustividad, el cual de acuerdo con el Criterio 02/2017 emitido por el Instituto Nacional de Transparencia, Acceso a la Información y Protección de Datos Personales, mismo que fue referido en el apartado anterior; asimismo, se tiene que este requerimiento de información no fue turnado al servidor público habilitado competente, por lo que resultan aplicables al caso concreto las consideraciones relativas a la búsqueda exhaustiva previamente señaladas.</w:t>
      </w:r>
    </w:p>
    <w:p w14:paraId="558DF4AB"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Es por todo lo expuesto que este Instituto estima pertinente ordenar una búsqueda exhaustiva y razonable en la Dirección de Administración, pues de conformidad con el Manual de Organización de la referida Dirección, cuenta con la facultad de autorizar todos los trámites administrativos en lo referente a recursos humanos, adquisiciones y tecnologías de la información. </w:t>
      </w:r>
    </w:p>
    <w:p w14:paraId="41F01C16"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Asimismo, dicha Dirección cuenta con un Departamento de Recursos Materiales y Adquisiciones, el cual cuenta con la atribución de verificar que la integración del Catálogo de Proveedores se realice anualmente de forma correcta.  </w:t>
      </w:r>
    </w:p>
    <w:p w14:paraId="33725B46" w14:textId="77777777" w:rsidR="009B2CE9" w:rsidRPr="008944ED" w:rsidRDefault="002459D3">
      <w:pPr>
        <w:pBdr>
          <w:top w:val="nil"/>
          <w:left w:val="nil"/>
          <w:bottom w:val="nil"/>
          <w:right w:val="nil"/>
          <w:between w:val="nil"/>
        </w:pBdr>
        <w:spacing w:line="360" w:lineRule="auto"/>
        <w:jc w:val="both"/>
      </w:pPr>
      <w:r w:rsidRPr="008944ED">
        <w:rPr>
          <w:rFonts w:ascii="Palatino Linotype" w:eastAsia="Palatino Linotype" w:hAnsi="Palatino Linotype" w:cs="Palatino Linotype"/>
        </w:rPr>
        <w:t>Dicho lo anterior, se procede a contextualizar la información solicitada, por lo que, es indispensable definir que el padrón de proveedores es el sistema de registro para que personas físicas como personas morales soliciten el registro y, este pase por el proceso de revisión y validación necesarios para obtener la constancia que les permita participar en procedimientos de contratación pública. </w:t>
      </w:r>
    </w:p>
    <w:p w14:paraId="452459C1" w14:textId="77777777" w:rsidR="009B2CE9" w:rsidRPr="008944ED" w:rsidRDefault="009B2CE9">
      <w:pPr>
        <w:spacing w:line="360" w:lineRule="auto"/>
      </w:pPr>
    </w:p>
    <w:p w14:paraId="1E942C57" w14:textId="77777777" w:rsidR="009B2CE9" w:rsidRPr="008944ED" w:rsidRDefault="002459D3">
      <w:pPr>
        <w:pBdr>
          <w:top w:val="nil"/>
          <w:left w:val="nil"/>
          <w:bottom w:val="nil"/>
          <w:right w:val="nil"/>
          <w:between w:val="nil"/>
        </w:pBdr>
        <w:spacing w:line="360" w:lineRule="auto"/>
        <w:ind w:right="49"/>
        <w:jc w:val="both"/>
      </w:pPr>
      <w:r w:rsidRPr="008944ED">
        <w:rPr>
          <w:rFonts w:ascii="Palatino Linotype" w:eastAsia="Palatino Linotype" w:hAnsi="Palatino Linotype" w:cs="Palatino Linotype"/>
        </w:rPr>
        <w:t xml:space="preserve">Ahora bien, cabe destacar que el padrón de proveedores forma parte de una de las obligaciones de transparencia establecidas en la Ley de Transparencia y Acceso a la Información Pública del Estado de México y Municipios, específicamente en el </w:t>
      </w:r>
      <w:r w:rsidRPr="008944ED">
        <w:rPr>
          <w:rFonts w:ascii="Palatino Linotype" w:eastAsia="Palatino Linotype" w:hAnsi="Palatino Linotype" w:cs="Palatino Linotype"/>
        </w:rPr>
        <w:lastRenderedPageBreak/>
        <w:t>artículo 92, fracción XXXVI de la Ley de Transparencia y Acceso a la Información Pública del Estado de México y Municipios; cuya literalidad determina lo siguiente:</w:t>
      </w:r>
    </w:p>
    <w:p w14:paraId="3575B64F" w14:textId="77777777" w:rsidR="009B2CE9" w:rsidRPr="008944ED" w:rsidRDefault="009B2CE9"/>
    <w:p w14:paraId="7FDFD115" w14:textId="77777777" w:rsidR="009B2CE9" w:rsidRPr="008944ED" w:rsidRDefault="002459D3">
      <w:pPr>
        <w:pBdr>
          <w:top w:val="nil"/>
          <w:left w:val="nil"/>
          <w:bottom w:val="nil"/>
          <w:right w:val="nil"/>
          <w:between w:val="nil"/>
        </w:pBdr>
        <w:ind w:left="567" w:right="567"/>
        <w:jc w:val="both"/>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92.</w:t>
      </w:r>
      <w:r w:rsidRPr="008944E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651168" w14:textId="77777777" w:rsidR="009B2CE9" w:rsidRPr="008944ED" w:rsidRDefault="002459D3">
      <w:pPr>
        <w:pBdr>
          <w:top w:val="nil"/>
          <w:left w:val="nil"/>
          <w:bottom w:val="nil"/>
          <w:right w:val="nil"/>
          <w:between w:val="nil"/>
        </w:pBdr>
        <w:ind w:left="567" w:right="567"/>
        <w:jc w:val="both"/>
      </w:pPr>
      <w:r w:rsidRPr="008944ED">
        <w:rPr>
          <w:rFonts w:ascii="Palatino Linotype" w:eastAsia="Palatino Linotype" w:hAnsi="Palatino Linotype" w:cs="Palatino Linotype"/>
          <w:i/>
          <w:sz w:val="22"/>
          <w:szCs w:val="22"/>
        </w:rPr>
        <w:t>(…)</w:t>
      </w:r>
    </w:p>
    <w:p w14:paraId="6859A981" w14:textId="77777777" w:rsidR="009B2CE9" w:rsidRPr="008944ED" w:rsidRDefault="002459D3">
      <w:pPr>
        <w:pBdr>
          <w:top w:val="nil"/>
          <w:left w:val="nil"/>
          <w:bottom w:val="nil"/>
          <w:right w:val="nil"/>
          <w:between w:val="nil"/>
        </w:pBdr>
        <w:ind w:left="567" w:right="567"/>
        <w:jc w:val="both"/>
      </w:pPr>
      <w:r w:rsidRPr="008944ED">
        <w:rPr>
          <w:rFonts w:ascii="Palatino Linotype" w:eastAsia="Palatino Linotype" w:hAnsi="Palatino Linotype" w:cs="Palatino Linotype"/>
          <w:b/>
          <w:i/>
          <w:sz w:val="22"/>
          <w:szCs w:val="22"/>
        </w:rPr>
        <w:t>XXXVI. Padrón de proveedores y contratistas;</w:t>
      </w:r>
    </w:p>
    <w:p w14:paraId="52C8BB30" w14:textId="77777777" w:rsidR="009B2CE9" w:rsidRPr="008944ED" w:rsidRDefault="002459D3">
      <w:pPr>
        <w:pBdr>
          <w:top w:val="nil"/>
          <w:left w:val="nil"/>
          <w:bottom w:val="nil"/>
          <w:right w:val="nil"/>
          <w:between w:val="nil"/>
        </w:pBdr>
        <w:ind w:left="567" w:right="567"/>
        <w:jc w:val="both"/>
      </w:pPr>
      <w:r w:rsidRPr="008944ED">
        <w:rPr>
          <w:rFonts w:ascii="Palatino Linotype" w:eastAsia="Palatino Linotype" w:hAnsi="Palatino Linotype" w:cs="Palatino Linotype"/>
          <w:i/>
          <w:sz w:val="22"/>
          <w:szCs w:val="22"/>
        </w:rPr>
        <w:t>(…)”</w:t>
      </w:r>
    </w:p>
    <w:p w14:paraId="79C20DE8" w14:textId="77777777" w:rsidR="009B2CE9" w:rsidRPr="008944ED" w:rsidRDefault="009B2CE9"/>
    <w:p w14:paraId="249C6595" w14:textId="77777777" w:rsidR="009B2CE9" w:rsidRPr="008944ED" w:rsidRDefault="002459D3">
      <w:pPr>
        <w:pBdr>
          <w:top w:val="nil"/>
          <w:left w:val="nil"/>
          <w:bottom w:val="nil"/>
          <w:right w:val="nil"/>
          <w:between w:val="nil"/>
        </w:pBdr>
        <w:spacing w:line="360" w:lineRule="auto"/>
        <w:ind w:right="49"/>
        <w:jc w:val="both"/>
      </w:pPr>
      <w:r w:rsidRPr="008944ED">
        <w:rPr>
          <w:rFonts w:ascii="Palatino Linotype" w:eastAsia="Palatino Linotype" w:hAnsi="Palatino Linotype" w:cs="Palatino Linotype"/>
        </w:rPr>
        <w:t>Asimismo,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en su fracción XXXII lo siguiente: </w:t>
      </w:r>
    </w:p>
    <w:p w14:paraId="1EF1D8FA" w14:textId="77777777" w:rsidR="009B2CE9" w:rsidRPr="008944ED" w:rsidRDefault="009B2CE9"/>
    <w:p w14:paraId="3F1DAC1D" w14:textId="77777777" w:rsidR="009B2CE9" w:rsidRPr="008944ED" w:rsidRDefault="002459D3">
      <w:pPr>
        <w:pBdr>
          <w:top w:val="nil"/>
          <w:left w:val="nil"/>
          <w:bottom w:val="nil"/>
          <w:right w:val="nil"/>
          <w:between w:val="nil"/>
        </w:pBdr>
        <w:ind w:left="567" w:right="560"/>
        <w:jc w:val="both"/>
      </w:pPr>
      <w:r w:rsidRPr="008944ED">
        <w:rPr>
          <w:rFonts w:ascii="Palatino Linotype" w:eastAsia="Palatino Linotype" w:hAnsi="Palatino Linotype" w:cs="Palatino Linotype"/>
          <w:b/>
          <w:i/>
          <w:sz w:val="22"/>
          <w:szCs w:val="22"/>
        </w:rPr>
        <w:t>XXXII. Padrón de proveedores y contratistas</w:t>
      </w:r>
    </w:p>
    <w:p w14:paraId="70609E56" w14:textId="77777777" w:rsidR="009B2CE9" w:rsidRPr="008944ED" w:rsidRDefault="009B2CE9"/>
    <w:p w14:paraId="45A74639" w14:textId="77777777" w:rsidR="009B2CE9" w:rsidRPr="008944ED" w:rsidRDefault="002459D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 </w:t>
      </w:r>
    </w:p>
    <w:p w14:paraId="3D3DD1A6" w14:textId="77777777" w:rsidR="009B2CE9" w:rsidRPr="008944ED" w:rsidRDefault="009B2CE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7A09816" w14:textId="77777777" w:rsidR="009B2CE9" w:rsidRPr="008944ED" w:rsidRDefault="002459D3">
      <w:pPr>
        <w:pBdr>
          <w:top w:val="nil"/>
          <w:left w:val="nil"/>
          <w:bottom w:val="nil"/>
          <w:right w:val="nil"/>
          <w:between w:val="nil"/>
        </w:pBdr>
        <w:spacing w:line="360" w:lineRule="auto"/>
        <w:ind w:right="49"/>
        <w:jc w:val="both"/>
        <w:rPr>
          <w:sz w:val="28"/>
          <w:szCs w:val="28"/>
        </w:rPr>
      </w:pPr>
      <w:r w:rsidRPr="008944ED">
        <w:rPr>
          <w:rFonts w:ascii="Palatino Linotype" w:eastAsia="Palatino Linotype" w:hAnsi="Palatino Linotype" w:cs="Palatino Linotype"/>
        </w:rPr>
        <w:t xml:space="preserve">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w:t>
      </w:r>
      <w:r w:rsidRPr="008944ED">
        <w:rPr>
          <w:rFonts w:ascii="Palatino Linotype" w:eastAsia="Palatino Linotype" w:hAnsi="Palatino Linotype" w:cs="Palatino Linotype"/>
        </w:rPr>
        <w:lastRenderedPageBreak/>
        <w:t>Nacional Electoral y el resto de los sujetos obligados incluirá el hipervínculo al registro electrónico que en su caso corresponda. 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36F7421C" w14:textId="77777777" w:rsidR="009B2CE9" w:rsidRPr="008944ED" w:rsidRDefault="009B2CE9"/>
    <w:p w14:paraId="46AFF5E7" w14:textId="77777777" w:rsidR="009B2CE9" w:rsidRPr="008944ED" w:rsidRDefault="002459D3">
      <w:pPr>
        <w:pBdr>
          <w:top w:val="nil"/>
          <w:left w:val="nil"/>
          <w:bottom w:val="nil"/>
          <w:right w:val="nil"/>
          <w:between w:val="nil"/>
        </w:pBdr>
        <w:spacing w:line="360" w:lineRule="auto"/>
        <w:ind w:right="49"/>
        <w:jc w:val="both"/>
      </w:pPr>
      <w:r w:rsidRPr="008944ED">
        <w:rPr>
          <w:rFonts w:ascii="Palatino Linotype" w:eastAsia="Palatino Linotype" w:hAnsi="Palatino Linotype" w:cs="Palatino Linotype"/>
        </w:rPr>
        <w:t>Por otro lado, de acuerdo con el formato de publicación de la información relacionada con esta obligación de transparencia; el padrón de proveedores y contratistas deberá contener lo siguiente: </w:t>
      </w:r>
    </w:p>
    <w:p w14:paraId="67796E91" w14:textId="77777777" w:rsidR="009B2CE9" w:rsidRPr="008944ED" w:rsidRDefault="009B2CE9"/>
    <w:p w14:paraId="38938DBD" w14:textId="77777777" w:rsidR="009B2CE9" w:rsidRPr="008944ED" w:rsidRDefault="002459D3">
      <w:pPr>
        <w:pBdr>
          <w:top w:val="nil"/>
          <w:left w:val="nil"/>
          <w:bottom w:val="nil"/>
          <w:right w:val="nil"/>
          <w:between w:val="nil"/>
        </w:pBdr>
        <w:ind w:right="49"/>
        <w:jc w:val="center"/>
      </w:pPr>
      <w:r w:rsidRPr="008944ED">
        <w:rPr>
          <w:rFonts w:ascii="Palatino Linotype" w:eastAsia="Palatino Linotype" w:hAnsi="Palatino Linotype" w:cs="Palatino Linotype"/>
          <w:noProof/>
        </w:rPr>
        <w:drawing>
          <wp:inline distT="0" distB="0" distL="0" distR="0" wp14:anchorId="0BA8CC9C" wp14:editId="65BE346B">
            <wp:extent cx="4876800" cy="2486025"/>
            <wp:effectExtent l="0" t="0" r="0" b="0"/>
            <wp:docPr id="97" name="image3.png" descr="https://lh7-us.googleusercontent.com/uoSVRPsrlub-WfzyG5Qbv4Y4YLM11cfplGAOVMWZJA2Hv9wG7bHALXmkwkZ60jAXgO5E-UKyVQOdqjCHmBPmAoxY9IZrc3mxATWN7CFeizvhRau9wYxLGImVXmVx_ocemqup_Xo7p4YG6yNyf27j"/>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uoSVRPsrlub-WfzyG5Qbv4Y4YLM11cfplGAOVMWZJA2Hv9wG7bHALXmkwkZ60jAXgO5E-UKyVQOdqjCHmBPmAoxY9IZrc3mxATWN7CFeizvhRau9wYxLGImVXmVx_ocemqup_Xo7p4YG6yNyf27j"/>
                    <pic:cNvPicPr preferRelativeResize="0"/>
                  </pic:nvPicPr>
                  <pic:blipFill>
                    <a:blip r:embed="rId43"/>
                    <a:srcRect/>
                    <a:stretch>
                      <a:fillRect/>
                    </a:stretch>
                  </pic:blipFill>
                  <pic:spPr>
                    <a:xfrm>
                      <a:off x="0" y="0"/>
                      <a:ext cx="4876800" cy="2486025"/>
                    </a:xfrm>
                    <a:prstGeom prst="rect">
                      <a:avLst/>
                    </a:prstGeom>
                    <a:ln/>
                  </pic:spPr>
                </pic:pic>
              </a:graphicData>
            </a:graphic>
          </wp:inline>
        </w:drawing>
      </w:r>
    </w:p>
    <w:p w14:paraId="0FB15611" w14:textId="77777777" w:rsidR="009B2CE9" w:rsidRPr="008944ED" w:rsidRDefault="002459D3">
      <w:pPr>
        <w:pBdr>
          <w:top w:val="nil"/>
          <w:left w:val="nil"/>
          <w:bottom w:val="nil"/>
          <w:right w:val="nil"/>
          <w:between w:val="nil"/>
        </w:pBdr>
        <w:ind w:right="49"/>
        <w:jc w:val="center"/>
      </w:pPr>
      <w:r w:rsidRPr="008944ED">
        <w:rPr>
          <w:rFonts w:ascii="Palatino Linotype" w:eastAsia="Palatino Linotype" w:hAnsi="Palatino Linotype" w:cs="Palatino Linotype"/>
          <w:noProof/>
        </w:rPr>
        <w:drawing>
          <wp:inline distT="0" distB="0" distL="0" distR="0" wp14:anchorId="4CEDCC1B" wp14:editId="59BBFC7A">
            <wp:extent cx="4838700" cy="1295400"/>
            <wp:effectExtent l="0" t="0" r="0" b="0"/>
            <wp:docPr id="98" name="image6.png" descr="https://lh7-us.googleusercontent.com/GB4Frx4Eoof8kVkAK_g0mbRuhqn1FVgFmosDdTKY5uk_dfV-XD1zCLvIknVhwvZHbfk9nKDMIh38YBNdtHP9QALViVDOK5iTHFqLg1BPmOmMalwm9FVdNTcoE-JNYuka4ltv8I_OsSqT2k_wilIi"/>
            <wp:cNvGraphicFramePr/>
            <a:graphic xmlns:a="http://schemas.openxmlformats.org/drawingml/2006/main">
              <a:graphicData uri="http://schemas.openxmlformats.org/drawingml/2006/picture">
                <pic:pic xmlns:pic="http://schemas.openxmlformats.org/drawingml/2006/picture">
                  <pic:nvPicPr>
                    <pic:cNvPr id="0" name="image6.png" descr="https://lh7-us.googleusercontent.com/GB4Frx4Eoof8kVkAK_g0mbRuhqn1FVgFmosDdTKY5uk_dfV-XD1zCLvIknVhwvZHbfk9nKDMIh38YBNdtHP9QALViVDOK5iTHFqLg1BPmOmMalwm9FVdNTcoE-JNYuka4ltv8I_OsSqT2k_wilIi"/>
                    <pic:cNvPicPr preferRelativeResize="0"/>
                  </pic:nvPicPr>
                  <pic:blipFill>
                    <a:blip r:embed="rId44"/>
                    <a:srcRect/>
                    <a:stretch>
                      <a:fillRect/>
                    </a:stretch>
                  </pic:blipFill>
                  <pic:spPr>
                    <a:xfrm>
                      <a:off x="0" y="0"/>
                      <a:ext cx="4838700" cy="1295400"/>
                    </a:xfrm>
                    <a:prstGeom prst="rect">
                      <a:avLst/>
                    </a:prstGeom>
                    <a:ln/>
                  </pic:spPr>
                </pic:pic>
              </a:graphicData>
            </a:graphic>
          </wp:inline>
        </w:drawing>
      </w:r>
    </w:p>
    <w:p w14:paraId="213F8BD1" w14:textId="77777777" w:rsidR="009B2CE9" w:rsidRPr="008944ED" w:rsidRDefault="009B2CE9"/>
    <w:p w14:paraId="1DE388E6" w14:textId="77777777" w:rsidR="009B2CE9" w:rsidRPr="008944ED" w:rsidRDefault="002459D3">
      <w:pPr>
        <w:pBdr>
          <w:top w:val="nil"/>
          <w:left w:val="nil"/>
          <w:bottom w:val="nil"/>
          <w:right w:val="nil"/>
          <w:between w:val="nil"/>
        </w:pBdr>
        <w:ind w:right="49"/>
        <w:jc w:val="center"/>
      </w:pPr>
      <w:r w:rsidRPr="008944ED">
        <w:rPr>
          <w:rFonts w:ascii="Palatino Linotype" w:eastAsia="Palatino Linotype" w:hAnsi="Palatino Linotype" w:cs="Palatino Linotype"/>
          <w:noProof/>
        </w:rPr>
        <w:lastRenderedPageBreak/>
        <w:drawing>
          <wp:inline distT="0" distB="0" distL="0" distR="0" wp14:anchorId="1BD1B7E7" wp14:editId="5788DBC1">
            <wp:extent cx="4705350" cy="1238250"/>
            <wp:effectExtent l="0" t="0" r="0" b="0"/>
            <wp:docPr id="99" name="image1.png" descr="https://lh7-us.googleusercontent.com/Euxu-af1z2v9ikIKK7Dzu9S5HFjXtrKIHB8JFDIO8UgnhL9wHsRapO5tbSlQxdjz07asBhlGPvllJZwZ-pTNy6L-Kaws0pRcJSWPF6KGX1nnlnQK-LfcnxIZ293qCZCNjbx0-76RZM-O2ki6XAq0"/>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Euxu-af1z2v9ikIKK7Dzu9S5HFjXtrKIHB8JFDIO8UgnhL9wHsRapO5tbSlQxdjz07asBhlGPvllJZwZ-pTNy6L-Kaws0pRcJSWPF6KGX1nnlnQK-LfcnxIZ293qCZCNjbx0-76RZM-O2ki6XAq0"/>
                    <pic:cNvPicPr preferRelativeResize="0"/>
                  </pic:nvPicPr>
                  <pic:blipFill>
                    <a:blip r:embed="rId45"/>
                    <a:srcRect/>
                    <a:stretch>
                      <a:fillRect/>
                    </a:stretch>
                  </pic:blipFill>
                  <pic:spPr>
                    <a:xfrm>
                      <a:off x="0" y="0"/>
                      <a:ext cx="4705350" cy="1238250"/>
                    </a:xfrm>
                    <a:prstGeom prst="rect">
                      <a:avLst/>
                    </a:prstGeom>
                    <a:ln/>
                  </pic:spPr>
                </pic:pic>
              </a:graphicData>
            </a:graphic>
          </wp:inline>
        </w:drawing>
      </w:r>
    </w:p>
    <w:p w14:paraId="3D07AD55" w14:textId="77777777" w:rsidR="009B2CE9" w:rsidRPr="008944ED" w:rsidRDefault="009B2CE9"/>
    <w:p w14:paraId="6A915E2F" w14:textId="77777777" w:rsidR="009B2CE9" w:rsidRPr="008944ED" w:rsidRDefault="002459D3">
      <w:pPr>
        <w:pBdr>
          <w:top w:val="nil"/>
          <w:left w:val="nil"/>
          <w:bottom w:val="nil"/>
          <w:right w:val="nil"/>
          <w:between w:val="nil"/>
        </w:pBdr>
        <w:spacing w:line="360" w:lineRule="auto"/>
        <w:ind w:right="49"/>
        <w:jc w:val="both"/>
      </w:pPr>
      <w:r w:rsidRPr="008944ED">
        <w:rPr>
          <w:rFonts w:ascii="Palatino Linotype" w:eastAsia="Palatino Linotype" w:hAnsi="Palatino Linotype" w:cs="Palatino Linotype"/>
        </w:rPr>
        <w:t>La importancia de hacer pública la información del padrón de proveedores radica en que, este permite llevar a cabo de manera transparente los procedimientos de licitación, adjudicación y contratación y evaluar las ofertas de las personas físicas, morales y jurídico colectiva que lo integran, debido a que en estos procedimientos se ejerce recurso público, por lo tanto, procede la entrega del padrón de proveedores del Ayuntamiento de Atlacomulco, actualizado al 02 de mayo de 2023.</w:t>
      </w:r>
    </w:p>
    <w:p w14:paraId="65D715C7" w14:textId="77777777" w:rsidR="009B2CE9" w:rsidRPr="008944ED" w:rsidRDefault="002459D3">
      <w:pPr>
        <w:numPr>
          <w:ilvl w:val="0"/>
          <w:numId w:val="5"/>
        </w:numPr>
        <w:pBdr>
          <w:top w:val="nil"/>
          <w:left w:val="nil"/>
          <w:bottom w:val="nil"/>
          <w:right w:val="nil"/>
          <w:between w:val="nil"/>
        </w:pBdr>
        <w:spacing w:before="240" w:after="240" w:line="360" w:lineRule="auto"/>
        <w:ind w:left="0" w:right="49" w:hanging="142"/>
        <w:jc w:val="both"/>
        <w:rPr>
          <w:rFonts w:ascii="Palatino Linotype" w:eastAsia="Palatino Linotype" w:hAnsi="Palatino Linotype" w:cs="Palatino Linotype"/>
        </w:rPr>
      </w:pPr>
      <w:r w:rsidRPr="008944ED">
        <w:rPr>
          <w:rFonts w:ascii="Palatino Linotype" w:eastAsia="Palatino Linotype" w:hAnsi="Palatino Linotype" w:cs="Palatino Linotype"/>
          <w:b/>
        </w:rPr>
        <w:t>De la empresa con la que el Ayuntamiento lleva a cabo el timbrado fiscal de los recibos de nómina del personal y de las facturas emitidas por el ayuntamiento, anexar contratos.</w:t>
      </w:r>
    </w:p>
    <w:p w14:paraId="076B51EE"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 este apartado, la </w:t>
      </w:r>
      <w:r w:rsidRPr="008944ED">
        <w:rPr>
          <w:rFonts w:ascii="Palatino Linotype" w:eastAsia="Palatino Linotype" w:hAnsi="Palatino Linotype" w:cs="Palatino Linotype"/>
          <w:b/>
        </w:rPr>
        <w:t>Tesorera Municipal</w:t>
      </w:r>
      <w:r w:rsidRPr="008944ED">
        <w:rPr>
          <w:rFonts w:ascii="Palatino Linotype" w:eastAsia="Palatino Linotype" w:hAnsi="Palatino Linotype" w:cs="Palatino Linotype"/>
        </w:rPr>
        <w:t xml:space="preserve"> refirió que el </w:t>
      </w:r>
      <w:r w:rsidRPr="008944ED">
        <w:rPr>
          <w:rFonts w:ascii="Palatino Linotype" w:eastAsia="Palatino Linotype" w:hAnsi="Palatino Linotype" w:cs="Palatino Linotype"/>
          <w:b/>
          <w:u w:val="single"/>
        </w:rPr>
        <w:t xml:space="preserve">servicio de timbrado fiscal de los recibos de nómina lo lleva a cabo la empresa Desarrollos y Servicios en Tecnología S. de R.L de C.V. En lo que se refiere al servicio de timbrado fiscal de los comprobantes fiscales digitales por el Ayuntamiento, el proveedor es Alberto Rodríguez Hernández, con este proveedor no se elabora contrato de servicios, toda vez que los montos pagados son mínimos, </w:t>
      </w:r>
      <w:r w:rsidRPr="008944ED">
        <w:rPr>
          <w:rFonts w:ascii="Palatino Linotype" w:eastAsia="Palatino Linotype" w:hAnsi="Palatino Linotype" w:cs="Palatino Linotype"/>
        </w:rPr>
        <w:t xml:space="preserve">sin embargo, como se visualizó a lo largo de la presente resolución, dentro de la estructura orgánica del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también pudiera contar con la información, la Dirección de Administración, por lo que en aras de tutelar el derecho de acceso a la información y lo previsto en el artículo 162 de la Ley de Transparencia Local, resulta pertinente </w:t>
      </w:r>
      <w:r w:rsidRPr="008944ED">
        <w:rPr>
          <w:rFonts w:ascii="Palatino Linotype" w:eastAsia="Palatino Linotype" w:hAnsi="Palatino Linotype" w:cs="Palatino Linotype"/>
        </w:rPr>
        <w:lastRenderedPageBreak/>
        <w:t xml:space="preserve">que se le turne este requerimiento de información, toda vez que como ha quedado de manifiesto, es la encargada de llevar las cuestiones relativas a los proveedores; asimismo de conformidad con el multicitado Manual de Organización de la Dirección de Administración, al Departamento de Recursos Materiales le compete </w:t>
      </w:r>
      <w:r w:rsidRPr="008944ED">
        <w:rPr>
          <w:rFonts w:ascii="Palatino Linotype" w:eastAsia="Palatino Linotype" w:hAnsi="Palatino Linotype" w:cs="Palatino Linotype"/>
          <w:b/>
          <w:u w:val="single"/>
        </w:rPr>
        <w:t>formular y modificar los contratos para la adquisición de bienes y servicios</w:t>
      </w:r>
      <w:r w:rsidRPr="008944ED">
        <w:rPr>
          <w:rFonts w:ascii="Palatino Linotype" w:eastAsia="Palatino Linotype" w:hAnsi="Palatino Linotype" w:cs="Palatino Linotype"/>
        </w:rPr>
        <w:t>, de acuerdo a los lineamientos establecidos en la normatividad aplicable.</w:t>
      </w:r>
    </w:p>
    <w:p w14:paraId="3B32DABF"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Es de precisar que este Instituto localizó el contrato signado con la empresa Desarrollos y Servicios en Tecnología S. de R.L de C.V. en el ejercicio fiscal 2021 por el servicio de timbrado fiscal de los recibos de nómina, mismo que se inserta a continuación para mejor proveer del presente análisis:</w:t>
      </w:r>
    </w:p>
    <w:p w14:paraId="28FEAF93"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noProof/>
        </w:rPr>
        <w:drawing>
          <wp:inline distT="0" distB="0" distL="0" distR="0" wp14:anchorId="386355DA" wp14:editId="55E164C2">
            <wp:extent cx="5612130" cy="258953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612130" cy="2589530"/>
                    </a:xfrm>
                    <a:prstGeom prst="rect">
                      <a:avLst/>
                    </a:prstGeom>
                    <a:ln/>
                  </pic:spPr>
                </pic:pic>
              </a:graphicData>
            </a:graphic>
          </wp:inline>
        </w:drawing>
      </w:r>
    </w:p>
    <w:p w14:paraId="4DA25A3E"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rPr>
        <w:t>Asimismo, los Lineamientos de Control Financiero y Administrativo para las Entidades Fiscalizables Municipales del Estado De México disponen lo siguiente en lo concerniente a adquisiciones de bienes y servicios:</w:t>
      </w:r>
    </w:p>
    <w:p w14:paraId="686CCD12"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“Adquisiciones de bienes y servicios</w:t>
      </w:r>
    </w:p>
    <w:p w14:paraId="31040F7F"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lastRenderedPageBreak/>
        <w:t>91. las adquisiciones de bienes y contratación de servicios se efectuarán de conformidad con las disposiciones legales, reglamentarias y normativas aplicables o de acuerdo con la normatividad federal cuando sea el caso, previa dictaminación del comité de adquisiciones y de servicios respectivo.</w:t>
      </w:r>
    </w:p>
    <w:p w14:paraId="03D33A75" w14:textId="77777777" w:rsidR="009B2CE9" w:rsidRPr="008944ED" w:rsidRDefault="002459D3">
      <w:pPr>
        <w:spacing w:before="240" w:after="240"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92. los contratos que suscriba la entidad fiscalizable municipal con los contratistas o proveedores, deberán firmarse por los servidores públicos que tengan las atribuciones conferidas por ley o decreto cuando menos en dos tantos originales entregándose uno a cada uno de las partes que intervienen a más tardar dentro de los diez días hábiles siguientes a la firma del contrato, quedando en resguardo de la entidad fiscalizable municipal un tanto original con firmas autógrafas, en el que conste el acuse de recibo por parte del contratista o proveedor.”</w:t>
      </w:r>
    </w:p>
    <w:p w14:paraId="59763A46" w14:textId="77777777" w:rsidR="009B2CE9" w:rsidRPr="008944ED" w:rsidRDefault="002459D3">
      <w:pPr>
        <w:spacing w:before="240" w:after="240" w:line="360" w:lineRule="auto"/>
        <w:ind w:right="49"/>
        <w:jc w:val="both"/>
        <w:rPr>
          <w:rFonts w:ascii="Palatino Linotype" w:eastAsia="Palatino Linotype" w:hAnsi="Palatino Linotype" w:cs="Palatino Linotype"/>
          <w:strike/>
        </w:rPr>
      </w:pPr>
      <w:r w:rsidRPr="008944ED">
        <w:rPr>
          <w:rFonts w:ascii="Palatino Linotype" w:eastAsia="Palatino Linotype" w:hAnsi="Palatino Linotype" w:cs="Palatino Linotype"/>
        </w:rPr>
        <w:t xml:space="preserve">Por lo </w:t>
      </w:r>
      <w:proofErr w:type="gramStart"/>
      <w:r w:rsidRPr="008944ED">
        <w:rPr>
          <w:rFonts w:ascii="Palatino Linotype" w:eastAsia="Palatino Linotype" w:hAnsi="Palatino Linotype" w:cs="Palatino Linotype"/>
        </w:rPr>
        <w:t>que</w:t>
      </w:r>
      <w:proofErr w:type="gramEnd"/>
      <w:r w:rsidRPr="008944ED">
        <w:rPr>
          <w:rFonts w:ascii="Palatino Linotype" w:eastAsia="Palatino Linotype" w:hAnsi="Palatino Linotype" w:cs="Palatino Linotype"/>
        </w:rPr>
        <w:t xml:space="preserve"> para atender este punto, resulta procedente ordenar la entrega de los contratos signados por el Ayuntamiento con las empresas referidas en respuesta para llevar a cabo el timbrado fiscal de los recibos de nómina del personal y facturas, vigentes al 02 de mayo de 2023.</w:t>
      </w:r>
    </w:p>
    <w:p w14:paraId="27A669DF" w14:textId="77777777" w:rsidR="009B2CE9" w:rsidRPr="008944ED" w:rsidRDefault="002459D3">
      <w:pPr>
        <w:spacing w:line="360" w:lineRule="auto"/>
        <w:ind w:right="-93"/>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Teniendo en cuenta todo lo anteriormente expuesto, es que esta autoridad estima que las razones o motivos de inconformidad hechos valer por </w:t>
      </w:r>
      <w:r w:rsidRPr="008944ED">
        <w:rPr>
          <w:rFonts w:ascii="Palatino Linotype" w:eastAsia="Palatino Linotype" w:hAnsi="Palatino Linotype" w:cs="Palatino Linotype"/>
          <w:b/>
        </w:rPr>
        <w:t>la parte</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Recurrente</w:t>
      </w:r>
      <w:r w:rsidRPr="008944ED">
        <w:rPr>
          <w:rFonts w:ascii="Palatino Linotype" w:eastAsia="Palatino Linotype" w:hAnsi="Palatino Linotype" w:cs="Palatino Linotype"/>
        </w:rPr>
        <w:t xml:space="preserve"> se estiman fundados; por lo que, lo procedente es </w:t>
      </w:r>
      <w:r w:rsidRPr="008944ED">
        <w:rPr>
          <w:rFonts w:ascii="Palatino Linotype" w:eastAsia="Palatino Linotype" w:hAnsi="Palatino Linotype" w:cs="Palatino Linotype"/>
          <w:b/>
        </w:rPr>
        <w:t>MODIFICAR</w:t>
      </w:r>
      <w:r w:rsidRPr="008944ED">
        <w:rPr>
          <w:rFonts w:ascii="Palatino Linotype" w:eastAsia="Palatino Linotype" w:hAnsi="Palatino Linotype" w:cs="Palatino Linotype"/>
        </w:rPr>
        <w:t xml:space="preserve"> la respuesta del </w:t>
      </w:r>
      <w:r w:rsidRPr="008944ED">
        <w:rPr>
          <w:rFonts w:ascii="Palatino Linotype" w:eastAsia="Palatino Linotype" w:hAnsi="Palatino Linotype" w:cs="Palatino Linotype"/>
          <w:b/>
        </w:rPr>
        <w:t xml:space="preserve">Sujeto Obligado </w:t>
      </w:r>
      <w:proofErr w:type="gramStart"/>
      <w:r w:rsidRPr="008944ED">
        <w:rPr>
          <w:rFonts w:ascii="Palatino Linotype" w:eastAsia="Palatino Linotype" w:hAnsi="Palatino Linotype" w:cs="Palatino Linotype"/>
          <w:b/>
        </w:rPr>
        <w:t>y  ordenar</w:t>
      </w:r>
      <w:proofErr w:type="gramEnd"/>
      <w:r w:rsidRPr="008944ED">
        <w:rPr>
          <w:rFonts w:ascii="Palatino Linotype" w:eastAsia="Palatino Linotype" w:hAnsi="Palatino Linotype" w:cs="Palatino Linotype"/>
          <w:b/>
        </w:rPr>
        <w:t xml:space="preserve"> la entrega </w:t>
      </w:r>
      <w:r w:rsidRPr="008944ED">
        <w:rPr>
          <w:rFonts w:ascii="Palatino Linotype" w:eastAsia="Palatino Linotype" w:hAnsi="Palatino Linotype" w:cs="Palatino Linotype"/>
        </w:rPr>
        <w:t xml:space="preserve">de lo siguiente, en versión pública, atendiendo a lo dispuesto por el considerando quinto: </w:t>
      </w:r>
    </w:p>
    <w:p w14:paraId="36384CB4" w14:textId="77777777" w:rsidR="009B2CE9" w:rsidRPr="008944ED" w:rsidRDefault="009B2CE9">
      <w:pPr>
        <w:spacing w:line="360" w:lineRule="auto"/>
        <w:ind w:right="-93"/>
        <w:jc w:val="both"/>
        <w:rPr>
          <w:rFonts w:ascii="Palatino Linotype" w:eastAsia="Palatino Linotype" w:hAnsi="Palatino Linotype" w:cs="Palatino Linotype"/>
        </w:rPr>
      </w:pPr>
    </w:p>
    <w:p w14:paraId="28E3742D" w14:textId="77777777" w:rsidR="009B2CE9" w:rsidRPr="008944ED" w:rsidRDefault="002459D3">
      <w:pPr>
        <w:numPr>
          <w:ilvl w:val="0"/>
          <w:numId w:val="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Documentos donde conste la recaudación por concepto de los parquímetros y los documentos que acrediten los ingresos a la Tesorería Municipal por la recaudación de parquímetros, generados del 1 de enero de 2022 al 2 de mayo de 2023.</w:t>
      </w:r>
    </w:p>
    <w:p w14:paraId="38ECB392" w14:textId="77777777" w:rsidR="009B2CE9" w:rsidRPr="008944ED" w:rsidRDefault="009B2CE9">
      <w:p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p>
    <w:p w14:paraId="6BB1BDFB" w14:textId="77777777" w:rsidR="009B2CE9" w:rsidRPr="008944ED" w:rsidRDefault="002459D3">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Documentos donde consten los ingresos recaudados por los conceptos señalados en la solicitud de información pública 00150/ATLACOM/IP/2023, </w:t>
      </w:r>
      <w:r w:rsidRPr="008944ED">
        <w:rPr>
          <w:rFonts w:ascii="Palatino Linotype" w:eastAsia="Palatino Linotype" w:hAnsi="Palatino Linotype" w:cs="Palatino Linotype"/>
          <w:b/>
          <w:i/>
          <w:sz w:val="22"/>
          <w:szCs w:val="22"/>
        </w:rPr>
        <w:lastRenderedPageBreak/>
        <w:t>al mayor grado de desagregación posible, generados del 1 de enero al 31 de diciembre de 2022, así como del 01 al 02 de mayo de 2023.</w:t>
      </w:r>
    </w:p>
    <w:p w14:paraId="1CD22D23"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461A615F" w14:textId="77777777" w:rsidR="009B2CE9" w:rsidRPr="008944ED" w:rsidRDefault="002459D3">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 que dé cuenta de los pagos del Impuesto Sobre la Renta correspondiente generados del 1 de enero al 02 de mayo de 2023.</w:t>
      </w:r>
    </w:p>
    <w:p w14:paraId="7D164230"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59F632FB" w14:textId="77777777" w:rsidR="009B2CE9" w:rsidRPr="008944ED" w:rsidRDefault="002459D3">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Autodeterminaciones generadas por el Sujeto Obligado que den cuenta de las </w:t>
      </w:r>
      <w:r w:rsidRPr="008944ED">
        <w:rPr>
          <w:rFonts w:ascii="Palatino Linotype" w:eastAsia="Palatino Linotype" w:hAnsi="Palatino Linotype" w:cs="Palatino Linotype"/>
          <w:b/>
          <w:i/>
          <w:sz w:val="22"/>
          <w:szCs w:val="22"/>
          <w:u w:val="single"/>
        </w:rPr>
        <w:t>retenciones de seguridad social</w:t>
      </w:r>
      <w:r w:rsidRPr="008944ED">
        <w:rPr>
          <w:rFonts w:ascii="Palatino Linotype" w:eastAsia="Palatino Linotype" w:hAnsi="Palatino Linotype" w:cs="Palatino Linotype"/>
          <w:b/>
          <w:i/>
          <w:sz w:val="22"/>
          <w:szCs w:val="22"/>
        </w:rPr>
        <w:t>, generadas del 1 de enero al 02 de mayo de 2023.</w:t>
      </w:r>
    </w:p>
    <w:p w14:paraId="550EB7A6"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30A84DCC" w14:textId="77777777" w:rsidR="009B2CE9" w:rsidRPr="008944ED" w:rsidRDefault="002459D3">
      <w:pPr>
        <w:numPr>
          <w:ilvl w:val="0"/>
          <w:numId w:val="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 que dé cuenta de los pagos de las cuotas de seguridad social, correspondiente al periodo del 1 de enero al 02 de mayo de 2023.</w:t>
      </w:r>
    </w:p>
    <w:p w14:paraId="43BD5391"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513BADF4" w14:textId="77777777" w:rsidR="009B2CE9" w:rsidRPr="008944ED" w:rsidRDefault="002459D3">
      <w:pPr>
        <w:numPr>
          <w:ilvl w:val="0"/>
          <w:numId w:val="3"/>
        </w:numPr>
        <w:pBdr>
          <w:top w:val="nil"/>
          <w:left w:val="nil"/>
          <w:bottom w:val="nil"/>
          <w:right w:val="nil"/>
          <w:between w:val="nil"/>
        </w:pBdr>
        <w:spacing w:line="259"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 que dé cuenta de los pagos efectuados por el Ayuntamiento, por concepto de seguro de vida, correspondiente al periodo del 1 de enero del 2022 al 02 de mayo de 2023.</w:t>
      </w:r>
    </w:p>
    <w:p w14:paraId="798D4008" w14:textId="77777777" w:rsidR="009B2CE9" w:rsidRPr="008944ED" w:rsidRDefault="009B2CE9">
      <w:pPr>
        <w:pBdr>
          <w:top w:val="nil"/>
          <w:left w:val="nil"/>
          <w:bottom w:val="nil"/>
          <w:right w:val="nil"/>
          <w:between w:val="nil"/>
        </w:pBdr>
        <w:ind w:left="720"/>
        <w:rPr>
          <w:rFonts w:ascii="Palatino Linotype" w:eastAsia="Palatino Linotype" w:hAnsi="Palatino Linotype" w:cs="Palatino Linotype"/>
          <w:b/>
          <w:i/>
          <w:sz w:val="22"/>
          <w:szCs w:val="22"/>
        </w:rPr>
      </w:pPr>
    </w:p>
    <w:p w14:paraId="3ADE5D4E" w14:textId="77777777" w:rsidR="009B2CE9" w:rsidRPr="008944ED" w:rsidRDefault="009B2CE9">
      <w:pPr>
        <w:pBdr>
          <w:top w:val="nil"/>
          <w:left w:val="nil"/>
          <w:bottom w:val="nil"/>
          <w:right w:val="nil"/>
          <w:between w:val="nil"/>
        </w:pBdr>
        <w:spacing w:line="259" w:lineRule="auto"/>
        <w:ind w:left="567" w:right="900"/>
        <w:jc w:val="both"/>
        <w:rPr>
          <w:rFonts w:ascii="Palatino Linotype" w:eastAsia="Palatino Linotype" w:hAnsi="Palatino Linotype" w:cs="Palatino Linotype"/>
          <w:b/>
          <w:i/>
          <w:sz w:val="22"/>
          <w:szCs w:val="22"/>
        </w:rPr>
      </w:pPr>
    </w:p>
    <w:p w14:paraId="7FAE5079" w14:textId="77777777" w:rsidR="009B2CE9" w:rsidRPr="008944ED" w:rsidRDefault="002459D3">
      <w:pPr>
        <w:numPr>
          <w:ilvl w:val="0"/>
          <w:numId w:val="3"/>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Documentos en los que conste el número de licitaciones públicas, adjudicaciones directas que han tenido, adquisiciones por invitación restringida, lo que se ha adquirido y el dictamen de adjudicación para elegir a dichos proveedores, del 02 de mayo de 2022 al 02 de mayo de 2023.</w:t>
      </w:r>
    </w:p>
    <w:p w14:paraId="5D523BAC" w14:textId="77777777" w:rsidR="009B2CE9" w:rsidRPr="008944ED" w:rsidRDefault="009B2CE9">
      <w:p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p>
    <w:p w14:paraId="36C8304B" w14:textId="77777777" w:rsidR="009B2CE9" w:rsidRPr="008944ED" w:rsidRDefault="002459D3">
      <w:pPr>
        <w:numPr>
          <w:ilvl w:val="0"/>
          <w:numId w:val="3"/>
        </w:numPr>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Padrón de proveedores del Ayuntamiento de Atlacomulco, actualizado al 02 de mayo de 2023.</w:t>
      </w:r>
    </w:p>
    <w:p w14:paraId="38F17BEC" w14:textId="77777777" w:rsidR="009B2CE9" w:rsidRPr="008944ED" w:rsidRDefault="009B2CE9">
      <w:pPr>
        <w:ind w:right="900"/>
        <w:jc w:val="both"/>
        <w:rPr>
          <w:rFonts w:ascii="Palatino Linotype" w:eastAsia="Palatino Linotype" w:hAnsi="Palatino Linotype" w:cs="Palatino Linotype"/>
          <w:b/>
          <w:i/>
          <w:sz w:val="22"/>
          <w:szCs w:val="22"/>
        </w:rPr>
      </w:pPr>
    </w:p>
    <w:p w14:paraId="232BDBF0" w14:textId="77777777" w:rsidR="009B2CE9" w:rsidRPr="008944ED" w:rsidRDefault="002459D3">
      <w:pPr>
        <w:numPr>
          <w:ilvl w:val="0"/>
          <w:numId w:val="3"/>
        </w:numPr>
        <w:ind w:left="567" w:right="900" w:firstLine="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Contratos signados por el Ayuntamiento con las empresas referidas en respuesta para llevar a cabo el timbrado fiscal de los recibos de nómina del personal y facturas, vigentes al 02 de mayo de 2023.</w:t>
      </w:r>
    </w:p>
    <w:p w14:paraId="64A13970" w14:textId="77777777" w:rsidR="009B2CE9" w:rsidRPr="008944ED" w:rsidRDefault="002459D3">
      <w:pPr>
        <w:spacing w:before="240" w:after="240" w:line="360" w:lineRule="auto"/>
        <w:ind w:right="49"/>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Quinto. Versión Pública. </w:t>
      </w:r>
      <w:r w:rsidRPr="008944ED">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w:t>
      </w:r>
      <w:r w:rsidRPr="008944ED">
        <w:rPr>
          <w:rFonts w:ascii="Palatino Linotype" w:eastAsia="Palatino Linotype" w:hAnsi="Palatino Linotype" w:cs="Palatino Linotype"/>
        </w:rPr>
        <w:lastRenderedPageBreak/>
        <w:t xml:space="preserve">la misma Ley de la Materia señala,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82560D2" w14:textId="77777777" w:rsidR="009B2CE9" w:rsidRPr="008944ED" w:rsidRDefault="002459D3">
      <w:pPr>
        <w:spacing w:before="240" w:after="240" w:line="360" w:lineRule="auto"/>
        <w:ind w:right="50"/>
        <w:jc w:val="both"/>
        <w:rPr>
          <w:rFonts w:ascii="Palatino Linotype" w:eastAsia="Palatino Linotype" w:hAnsi="Palatino Linotype" w:cs="Palatino Linotype"/>
        </w:rPr>
      </w:pPr>
      <w:r w:rsidRPr="008944ED">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D0017A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r w:rsidRPr="008944ED">
        <w:rPr>
          <w:rFonts w:ascii="Palatino Linotype" w:eastAsia="Palatino Linotype" w:hAnsi="Palatino Linotype" w:cs="Palatino Linotype"/>
          <w:b/>
          <w:i/>
          <w:sz w:val="22"/>
          <w:szCs w:val="22"/>
        </w:rPr>
        <w:t>Artículo 3</w:t>
      </w:r>
      <w:r w:rsidRPr="008944ED">
        <w:rPr>
          <w:rFonts w:ascii="Palatino Linotype" w:eastAsia="Palatino Linotype" w:hAnsi="Palatino Linotype" w:cs="Palatino Linotype"/>
          <w:i/>
          <w:sz w:val="22"/>
          <w:szCs w:val="22"/>
        </w:rPr>
        <w:t>. Para los efectos de la presente Ley se entenderá por:</w:t>
      </w:r>
    </w:p>
    <w:p w14:paraId="37993B5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0C854275"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IX. Datos personales:</w:t>
      </w:r>
      <w:r w:rsidRPr="008944E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F534689"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XX. Información clasificada</w:t>
      </w:r>
      <w:r w:rsidRPr="008944ED">
        <w:rPr>
          <w:rFonts w:ascii="Palatino Linotype" w:eastAsia="Palatino Linotype" w:hAnsi="Palatino Linotype" w:cs="Palatino Linotype"/>
          <w:i/>
          <w:sz w:val="22"/>
          <w:szCs w:val="22"/>
        </w:rPr>
        <w:t>: Aquella considerada por la presente Ley como reservada o confidencial;</w:t>
      </w:r>
    </w:p>
    <w:p w14:paraId="68C5F346"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XXI. Información confidencial:</w:t>
      </w:r>
      <w:r w:rsidRPr="008944ED">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12A7D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XLV. Versión pública:</w:t>
      </w:r>
      <w:r w:rsidRPr="008944E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FBE7E3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69FBB40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 xml:space="preserve">Artículo 91. </w:t>
      </w:r>
      <w:r w:rsidRPr="008944E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83754E6"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 xml:space="preserve">Artículo 132. </w:t>
      </w:r>
      <w:r w:rsidRPr="008944ED">
        <w:rPr>
          <w:rFonts w:ascii="Palatino Linotype" w:eastAsia="Palatino Linotype" w:hAnsi="Palatino Linotype" w:cs="Palatino Linotype"/>
          <w:i/>
          <w:sz w:val="22"/>
          <w:szCs w:val="22"/>
        </w:rPr>
        <w:t>La clasificación de la información se llevará a cabo en el momento en que:</w:t>
      </w:r>
    </w:p>
    <w:p w14:paraId="7DC0F742"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Se reciba una solicitud de acceso a la información;</w:t>
      </w:r>
    </w:p>
    <w:p w14:paraId="6EDA9AFB"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Se determine mediante resolución de autoridad competente; o</w:t>
      </w:r>
    </w:p>
    <w:p w14:paraId="537880B3"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lastRenderedPageBreak/>
        <w:t>III</w:t>
      </w:r>
      <w:r w:rsidRPr="008944ED">
        <w:rPr>
          <w:rFonts w:ascii="Palatino Linotype" w:eastAsia="Palatino Linotype" w:hAnsi="Palatino Linotype" w:cs="Palatino Linotype"/>
          <w:i/>
          <w:sz w:val="22"/>
          <w:szCs w:val="22"/>
        </w:rPr>
        <w:t>. Se generen versiones públicas para dar cumplimiento a las obligaciones de transparencia previstas en esta Ley.</w:t>
      </w:r>
    </w:p>
    <w:p w14:paraId="50EE340F"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w:t>
      </w:r>
    </w:p>
    <w:p w14:paraId="5D5005E7"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Artículo 143</w:t>
      </w:r>
      <w:r w:rsidRPr="008944E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1FF62AE"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w:t>
      </w:r>
      <w:r w:rsidRPr="008944E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D799F67"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w:t>
      </w:r>
      <w:r w:rsidRPr="008944E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DE5055D"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III</w:t>
      </w:r>
      <w:r w:rsidRPr="008944ED">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60B9D8C"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6A7D8C0" w14:textId="77777777" w:rsidR="009B2CE9" w:rsidRPr="008944ED" w:rsidRDefault="002459D3">
      <w:pPr>
        <w:spacing w:before="120" w:after="120"/>
        <w:ind w:left="567" w:right="902"/>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033363D"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B478A2" w14:textId="77777777" w:rsidR="009B2CE9" w:rsidRPr="008944ED" w:rsidRDefault="002459D3">
      <w:pPr>
        <w:spacing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Entorno a lo que aquí nos interesa, los Lineamientos Quincuagésimo, Quincuagésimo primero, Quincuagésimo segundo, Quincuagésimo tercero, </w:t>
      </w:r>
      <w:r w:rsidRPr="008944ED">
        <w:rPr>
          <w:rFonts w:ascii="Palatino Linotype" w:eastAsia="Palatino Linotype" w:hAnsi="Palatino Linotype" w:cs="Palatino Linotype"/>
        </w:rPr>
        <w:lastRenderedPageBreak/>
        <w:t xml:space="preserve">Quincuagésimo cuarto y Quincuagésimo quinto señalan las formalidades que deberá llevar el acuerdo de clasificación que deberá emitir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siendo estas las siguientes:</w:t>
      </w:r>
    </w:p>
    <w:p w14:paraId="1184BAB8" w14:textId="77777777" w:rsidR="009B2CE9" w:rsidRPr="008944ED" w:rsidRDefault="009B2CE9">
      <w:pPr>
        <w:spacing w:line="360" w:lineRule="auto"/>
        <w:jc w:val="both"/>
        <w:rPr>
          <w:rFonts w:ascii="Palatino Linotype" w:eastAsia="Palatino Linotype" w:hAnsi="Palatino Linotype" w:cs="Palatino Linotype"/>
        </w:rPr>
      </w:pPr>
    </w:p>
    <w:p w14:paraId="2BFBCC7B" w14:textId="77777777" w:rsidR="009B2CE9" w:rsidRPr="008944ED" w:rsidRDefault="002459D3">
      <w:pPr>
        <w:spacing w:line="276" w:lineRule="auto"/>
        <w:ind w:lef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“CAPÍTULO VIII </w:t>
      </w:r>
    </w:p>
    <w:p w14:paraId="75E067E4" w14:textId="77777777" w:rsidR="009B2CE9" w:rsidRPr="008944ED" w:rsidRDefault="002459D3">
      <w:pPr>
        <w:spacing w:line="276" w:lineRule="auto"/>
        <w:ind w:left="567"/>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DE LOS ELEMENTOS PARA LA CLASIFICACIÓN </w:t>
      </w:r>
    </w:p>
    <w:p w14:paraId="3CFE9488" w14:textId="77777777" w:rsidR="009B2CE9" w:rsidRPr="008944ED" w:rsidRDefault="002459D3">
      <w:pP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Quincuagésimo.</w:t>
      </w:r>
      <w:r w:rsidRPr="008944E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95053E" w14:textId="77777777" w:rsidR="009B2CE9" w:rsidRPr="008944ED" w:rsidRDefault="002459D3">
      <w:pP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Quincuagésimo primero.</w:t>
      </w:r>
      <w:r w:rsidRPr="008944ED">
        <w:rPr>
          <w:rFonts w:ascii="Palatino Linotype" w:eastAsia="Palatino Linotype" w:hAnsi="Palatino Linotype" w:cs="Palatino Linotype"/>
          <w:i/>
          <w:sz w:val="22"/>
          <w:szCs w:val="22"/>
        </w:rPr>
        <w:t xml:space="preserve"> Toda acta del Comité de Transparencia deberá contener: </w:t>
      </w:r>
    </w:p>
    <w:p w14:paraId="28F6DB37" w14:textId="77777777" w:rsidR="009B2CE9" w:rsidRPr="008944ED" w:rsidRDefault="002459D3">
      <w:pPr>
        <w:numPr>
          <w:ilvl w:val="1"/>
          <w:numId w:val="9"/>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El número de sesión y fecha; </w:t>
      </w:r>
    </w:p>
    <w:p w14:paraId="21448F98" w14:textId="77777777" w:rsidR="009B2CE9" w:rsidRPr="008944ED" w:rsidRDefault="002459D3">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El nombre del área que solicitó la clasificación de información; </w:t>
      </w:r>
    </w:p>
    <w:p w14:paraId="5E45800D" w14:textId="77777777" w:rsidR="009B2CE9" w:rsidRPr="008944ED" w:rsidRDefault="002459D3">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La fundamentación legal y motivación correspondiente; </w:t>
      </w:r>
    </w:p>
    <w:p w14:paraId="2B4E57A7" w14:textId="77777777" w:rsidR="009B2CE9" w:rsidRPr="008944ED" w:rsidRDefault="002459D3">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La resolución o resoluciones aprobadas; y </w:t>
      </w:r>
    </w:p>
    <w:p w14:paraId="77856ED7" w14:textId="77777777" w:rsidR="009B2CE9" w:rsidRPr="008944ED" w:rsidRDefault="002459D3">
      <w:pPr>
        <w:numPr>
          <w:ilvl w:val="1"/>
          <w:numId w:val="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La rúbrica o firma digital de cada integrante del Comité de Transparencia. </w:t>
      </w:r>
    </w:p>
    <w:p w14:paraId="54FA31C1"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D539880"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 Los motivos y razonamientos que sustenten la confirmación o modificación de la prueba de daño;</w:t>
      </w:r>
    </w:p>
    <w:p w14:paraId="2B0E22BE"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II. Descripción de las partes o secciones reservadas, en caso de clasificación parcial; </w:t>
      </w:r>
    </w:p>
    <w:p w14:paraId="5857AE5C"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III. El periodo por el que mantendrá su clasificación y fecha de expiración; y </w:t>
      </w:r>
    </w:p>
    <w:p w14:paraId="36C8E95F"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4ADB535"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70D87F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D262D81"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 xml:space="preserve">Quincuagésimo segundo. </w:t>
      </w:r>
      <w:r w:rsidRPr="008944ED">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sidRPr="008944ED">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4CAC83BB"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1467CEB"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 Fijar la fecha en que se elaboró la versión pública y la fecha en la cual el Comité de</w:t>
      </w:r>
    </w:p>
    <w:p w14:paraId="583310FF"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Transparencia confirmó dicha versión;</w:t>
      </w:r>
    </w:p>
    <w:p w14:paraId="3A1FE75F"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4FBEE17"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III. Señalar las personas o instancias autorizadas a acceder a la información clasificada.</w:t>
      </w:r>
    </w:p>
    <w:p w14:paraId="7FE9EC9A"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8944ED">
        <w:rPr>
          <w:noProof/>
        </w:rPr>
        <w:drawing>
          <wp:anchor distT="0" distB="0" distL="114300" distR="114300" simplePos="0" relativeHeight="251671552" behindDoc="0" locked="0" layoutInCell="1" hidden="0" allowOverlap="1" wp14:anchorId="42E35B24" wp14:editId="272C46CD">
            <wp:simplePos x="0" y="0"/>
            <wp:positionH relativeFrom="column">
              <wp:posOffset>377190</wp:posOffset>
            </wp:positionH>
            <wp:positionV relativeFrom="paragraph">
              <wp:posOffset>798830</wp:posOffset>
            </wp:positionV>
            <wp:extent cx="4568190" cy="330200"/>
            <wp:effectExtent l="0" t="0" r="0" b="0"/>
            <wp:wrapTopAndBottom distT="0" distB="0"/>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4568190" cy="330200"/>
                    </a:xfrm>
                    <a:prstGeom prst="rect">
                      <a:avLst/>
                    </a:prstGeom>
                    <a:ln/>
                  </pic:spPr>
                </pic:pic>
              </a:graphicData>
            </a:graphic>
          </wp:anchor>
        </w:drawing>
      </w:r>
    </w:p>
    <w:p w14:paraId="4C26C0B6"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noProof/>
          <w:sz w:val="22"/>
          <w:szCs w:val="22"/>
        </w:rPr>
        <w:lastRenderedPageBreak/>
        <w:drawing>
          <wp:inline distT="0" distB="0" distL="0" distR="0" wp14:anchorId="68A4EE54" wp14:editId="1A57EDC6">
            <wp:extent cx="4576404" cy="5139653"/>
            <wp:effectExtent l="0" t="0" r="0"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4576404" cy="5139653"/>
                    </a:xfrm>
                    <a:prstGeom prst="rect">
                      <a:avLst/>
                    </a:prstGeom>
                    <a:ln/>
                  </pic:spPr>
                </pic:pic>
              </a:graphicData>
            </a:graphic>
          </wp:inline>
        </w:drawing>
      </w:r>
    </w:p>
    <w:p w14:paraId="05BBEE32" w14:textId="77777777" w:rsidR="009B2CE9" w:rsidRPr="008944ED" w:rsidRDefault="009B2CE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5ADB31B"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 xml:space="preserve">Quincuagésimo cuarto. </w:t>
      </w:r>
      <w:r w:rsidRPr="008944E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3BCDC77" w14:textId="77777777" w:rsidR="009B2CE9" w:rsidRPr="008944ED" w:rsidRDefault="009B2CE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F6289E9" w14:textId="77777777" w:rsidR="009B2CE9" w:rsidRPr="008944ED" w:rsidRDefault="002459D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944ED">
        <w:rPr>
          <w:rFonts w:ascii="Palatino Linotype" w:eastAsia="Palatino Linotype" w:hAnsi="Palatino Linotype" w:cs="Palatino Linotype"/>
          <w:b/>
          <w:i/>
          <w:sz w:val="22"/>
          <w:szCs w:val="22"/>
        </w:rPr>
        <w:t xml:space="preserve">Quincuagésimo quinto. </w:t>
      </w:r>
      <w:r w:rsidRPr="008944E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944ED">
        <w:rPr>
          <w:rFonts w:ascii="Palatino Linotype" w:eastAsia="Palatino Linotype" w:hAnsi="Palatino Linotype" w:cs="Palatino Linotype"/>
          <w:i/>
          <w:sz w:val="22"/>
          <w:szCs w:val="22"/>
        </w:rPr>
        <w:t>testado</w:t>
      </w:r>
      <w:proofErr w:type="spellEnd"/>
      <w:r w:rsidRPr="008944ED">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8944ED">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(Sic) (Énfasis añadido) </w:t>
      </w:r>
    </w:p>
    <w:p w14:paraId="425190D4"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E2DDF0B"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50D29484" w14:textId="77777777" w:rsidR="009B2CE9" w:rsidRPr="008944ED" w:rsidRDefault="002459D3">
      <w:pPr>
        <w:numPr>
          <w:ilvl w:val="0"/>
          <w:numId w:val="10"/>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8944ED">
        <w:rPr>
          <w:rFonts w:ascii="Palatino Linotype" w:eastAsia="Palatino Linotype" w:hAnsi="Palatino Linotype" w:cs="Palatino Linotype"/>
          <w:b/>
        </w:rPr>
        <w:t>R E S U E L V E:</w:t>
      </w:r>
    </w:p>
    <w:p w14:paraId="39987EE5"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 xml:space="preserve">Primero. </w:t>
      </w:r>
      <w:r w:rsidRPr="008944ED">
        <w:rPr>
          <w:rFonts w:ascii="Palatino Linotype" w:eastAsia="Palatino Linotype" w:hAnsi="Palatino Linotype" w:cs="Palatino Linotype"/>
        </w:rPr>
        <w:t xml:space="preserve">Resultan </w:t>
      </w:r>
      <w:r w:rsidRPr="008944ED">
        <w:rPr>
          <w:rFonts w:ascii="Palatino Linotype" w:eastAsia="Palatino Linotype" w:hAnsi="Palatino Linotype" w:cs="Palatino Linotype"/>
          <w:b/>
        </w:rPr>
        <w:t>fundadas</w:t>
      </w:r>
      <w:r w:rsidRPr="008944ED">
        <w:rPr>
          <w:rFonts w:ascii="Palatino Linotype" w:eastAsia="Palatino Linotype" w:hAnsi="Palatino Linotype" w:cs="Palatino Linotype"/>
        </w:rPr>
        <w:t xml:space="preserve"> las razones o motivos de inconformidad hechos valer por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en el recurso de revisión </w:t>
      </w:r>
      <w:r w:rsidRPr="008944ED">
        <w:rPr>
          <w:rFonts w:ascii="Palatino Linotype" w:eastAsia="Palatino Linotype" w:hAnsi="Palatino Linotype" w:cs="Palatino Linotype"/>
          <w:b/>
        </w:rPr>
        <w:t>03499/INFOEM/IP/RR/2023</w:t>
      </w:r>
      <w:r w:rsidRPr="008944ED">
        <w:rPr>
          <w:rFonts w:ascii="Palatino Linotype" w:eastAsia="Palatino Linotype" w:hAnsi="Palatino Linotype" w:cs="Palatino Linotype"/>
        </w:rPr>
        <w:t xml:space="preserve">; por lo que, en términos del </w:t>
      </w:r>
      <w:r w:rsidRPr="008944ED">
        <w:rPr>
          <w:rFonts w:ascii="Palatino Linotype" w:eastAsia="Palatino Linotype" w:hAnsi="Palatino Linotype" w:cs="Palatino Linotype"/>
          <w:b/>
        </w:rPr>
        <w:t>Considerando</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 xml:space="preserve">Cuarto </w:t>
      </w:r>
      <w:r w:rsidRPr="008944ED">
        <w:rPr>
          <w:rFonts w:ascii="Palatino Linotype" w:eastAsia="Palatino Linotype" w:hAnsi="Palatino Linotype" w:cs="Palatino Linotype"/>
        </w:rPr>
        <w:t xml:space="preserve">de esta resolución, se </w:t>
      </w:r>
      <w:r w:rsidRPr="008944ED">
        <w:rPr>
          <w:rFonts w:ascii="Palatino Linotype" w:eastAsia="Palatino Linotype" w:hAnsi="Palatino Linotype" w:cs="Palatino Linotype"/>
          <w:b/>
        </w:rPr>
        <w:t xml:space="preserve">MODIFICA </w:t>
      </w:r>
      <w:r w:rsidRPr="008944ED">
        <w:rPr>
          <w:rFonts w:ascii="Palatino Linotype" w:eastAsia="Palatino Linotype" w:hAnsi="Palatino Linotype" w:cs="Palatino Linotype"/>
        </w:rPr>
        <w:t xml:space="preserve">la respuesta emitida por el </w:t>
      </w:r>
      <w:r w:rsidRPr="008944ED">
        <w:rPr>
          <w:rFonts w:ascii="Palatino Linotype" w:eastAsia="Palatino Linotype" w:hAnsi="Palatino Linotype" w:cs="Palatino Linotype"/>
          <w:b/>
        </w:rPr>
        <w:t>Sujeto Obligado.</w:t>
      </w:r>
    </w:p>
    <w:p w14:paraId="2A48E318" w14:textId="77777777" w:rsidR="009B2CE9" w:rsidRPr="008944ED" w:rsidRDefault="002459D3">
      <w:pPr>
        <w:spacing w:before="240" w:after="240" w:line="360" w:lineRule="auto"/>
        <w:ind w:right="49"/>
        <w:jc w:val="both"/>
        <w:rPr>
          <w:rFonts w:ascii="Palatino Linotype" w:eastAsia="Palatino Linotype" w:hAnsi="Palatino Linotype" w:cs="Palatino Linotype"/>
          <w:b/>
        </w:rPr>
      </w:pPr>
      <w:r w:rsidRPr="008944ED">
        <w:rPr>
          <w:rFonts w:ascii="Palatino Linotype" w:eastAsia="Palatino Linotype" w:hAnsi="Palatino Linotype" w:cs="Palatino Linotype"/>
          <w:b/>
        </w:rPr>
        <w:lastRenderedPageBreak/>
        <w:t xml:space="preserve">Segundo. </w:t>
      </w:r>
      <w:r w:rsidRPr="008944ED">
        <w:rPr>
          <w:rFonts w:ascii="Palatino Linotype" w:eastAsia="Palatino Linotype" w:hAnsi="Palatino Linotype" w:cs="Palatino Linotype"/>
        </w:rPr>
        <w:t xml:space="preserve">Se </w:t>
      </w:r>
      <w:r w:rsidRPr="008944ED">
        <w:rPr>
          <w:rFonts w:ascii="Palatino Linotype" w:eastAsia="Palatino Linotype" w:hAnsi="Palatino Linotype" w:cs="Palatino Linotype"/>
          <w:b/>
        </w:rPr>
        <w:t xml:space="preserve">Ordena </w:t>
      </w:r>
      <w:r w:rsidRPr="008944ED">
        <w:rPr>
          <w:rFonts w:ascii="Palatino Linotype" w:eastAsia="Palatino Linotype" w:hAnsi="Palatino Linotype" w:cs="Palatino Linotype"/>
        </w:rPr>
        <w:t xml:space="preserve">al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entregue, a</w:t>
      </w:r>
      <w:r w:rsidRPr="008944ED">
        <w:rPr>
          <w:rFonts w:ascii="Palatino Linotype" w:eastAsia="Palatino Linotype" w:hAnsi="Palatino Linotype" w:cs="Palatino Linotype"/>
          <w:b/>
        </w:rPr>
        <w:t xml:space="preserve"> la parte</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Recurrente</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 xml:space="preserve">vía SAIMEX, </w:t>
      </w:r>
      <w:r w:rsidRPr="008944ED">
        <w:rPr>
          <w:rFonts w:ascii="Palatino Linotype" w:eastAsia="Palatino Linotype" w:hAnsi="Palatino Linotype" w:cs="Palatino Linotype"/>
        </w:rPr>
        <w:t xml:space="preserve">en términos de </w:t>
      </w:r>
      <w:r w:rsidRPr="008944ED">
        <w:rPr>
          <w:rFonts w:ascii="Palatino Linotype" w:eastAsia="Palatino Linotype" w:hAnsi="Palatino Linotype" w:cs="Palatino Linotype"/>
          <w:b/>
        </w:rPr>
        <w:t>los Considerandos</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 xml:space="preserve">Cuarto y </w:t>
      </w:r>
      <w:proofErr w:type="gramStart"/>
      <w:r w:rsidRPr="008944ED">
        <w:rPr>
          <w:rFonts w:ascii="Palatino Linotype" w:eastAsia="Palatino Linotype" w:hAnsi="Palatino Linotype" w:cs="Palatino Linotype"/>
          <w:b/>
        </w:rPr>
        <w:t xml:space="preserve">Quinto,  </w:t>
      </w:r>
      <w:r w:rsidRPr="008944ED">
        <w:rPr>
          <w:rFonts w:ascii="Palatino Linotype" w:eastAsia="Palatino Linotype" w:hAnsi="Palatino Linotype" w:cs="Palatino Linotype"/>
        </w:rPr>
        <w:t>de</w:t>
      </w:r>
      <w:proofErr w:type="gramEnd"/>
      <w:r w:rsidRPr="008944ED">
        <w:rPr>
          <w:rFonts w:ascii="Palatino Linotype" w:eastAsia="Palatino Linotype" w:hAnsi="Palatino Linotype" w:cs="Palatino Linotype"/>
        </w:rPr>
        <w:t xml:space="preserve"> ser el caso</w:t>
      </w:r>
      <w:r w:rsidRPr="008944ED">
        <w:rPr>
          <w:rFonts w:ascii="Palatino Linotype" w:eastAsia="Palatino Linotype" w:hAnsi="Palatino Linotype" w:cs="Palatino Linotype"/>
          <w:b/>
        </w:rPr>
        <w:t xml:space="preserve"> </w:t>
      </w:r>
      <w:r w:rsidRPr="008944ED">
        <w:rPr>
          <w:rFonts w:ascii="Palatino Linotype" w:eastAsia="Palatino Linotype" w:hAnsi="Palatino Linotype" w:cs="Palatino Linotype"/>
        </w:rPr>
        <w:t>en versión pública</w:t>
      </w:r>
      <w:r w:rsidRPr="008944ED">
        <w:rPr>
          <w:rFonts w:ascii="Palatino Linotype" w:eastAsia="Palatino Linotype" w:hAnsi="Palatino Linotype" w:cs="Palatino Linotype"/>
          <w:b/>
        </w:rPr>
        <w:t xml:space="preserve"> lo siguiente:</w:t>
      </w:r>
    </w:p>
    <w:p w14:paraId="493CE9A2" w14:textId="77777777" w:rsidR="009B2CE9" w:rsidRPr="008944ED" w:rsidRDefault="002459D3">
      <w:pPr>
        <w:numPr>
          <w:ilvl w:val="0"/>
          <w:numId w:val="6"/>
        </w:numPr>
        <w:pBdr>
          <w:top w:val="nil"/>
          <w:left w:val="nil"/>
          <w:bottom w:val="nil"/>
          <w:right w:val="nil"/>
          <w:between w:val="nil"/>
        </w:pBdr>
        <w:spacing w:before="240" w:line="276" w:lineRule="auto"/>
        <w:ind w:right="900"/>
        <w:jc w:val="both"/>
        <w:rPr>
          <w:rFonts w:ascii="Palatino Linotype" w:eastAsia="Palatino Linotype" w:hAnsi="Palatino Linotype" w:cs="Palatino Linotype"/>
          <w:b/>
          <w:i/>
          <w:sz w:val="22"/>
          <w:szCs w:val="22"/>
        </w:rPr>
      </w:pPr>
      <w:bookmarkStart w:id="5" w:name="_heading=h.1fob9te" w:colFirst="0" w:colLast="0"/>
      <w:bookmarkEnd w:id="5"/>
      <w:r w:rsidRPr="008944ED">
        <w:rPr>
          <w:rFonts w:ascii="Palatino Linotype" w:eastAsia="Palatino Linotype" w:hAnsi="Palatino Linotype" w:cs="Palatino Linotype"/>
          <w:b/>
          <w:i/>
          <w:sz w:val="22"/>
          <w:szCs w:val="22"/>
        </w:rPr>
        <w:t>Documentos donde conste la recaudación por concepto de los parquímetros y los documentos que acrediten los ingresos a la Tesorería Municipal por la recaudación de parquímetros, generados del 1 de enero de 2022 al 2 de mayo de 2023.</w:t>
      </w:r>
    </w:p>
    <w:p w14:paraId="40DBC47E" w14:textId="77777777" w:rsidR="009B2CE9" w:rsidRPr="008944ED" w:rsidRDefault="009B2CE9">
      <w:p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p>
    <w:p w14:paraId="4A0DEB0B" w14:textId="77777777" w:rsidR="009B2CE9" w:rsidRPr="008944ED" w:rsidRDefault="002459D3">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Documentos donde consten los ingresos recaudados por los conceptos señalados en la solicitud de información pública 00150/ATLACOM/IP/2023, al mayor grado de desagregación posible, generados del 1 de enero al 31 de diciembre de 2022, así como del 01 al 02 de mayo de 2023.</w:t>
      </w:r>
    </w:p>
    <w:p w14:paraId="12FED399"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55085CD0" w14:textId="77777777" w:rsidR="009B2CE9" w:rsidRPr="008944ED" w:rsidRDefault="002459D3">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Documento que dé cuenta de los pagos del Impuesto Sobre la </w:t>
      </w:r>
      <w:proofErr w:type="gramStart"/>
      <w:r w:rsidRPr="008944ED">
        <w:rPr>
          <w:rFonts w:ascii="Palatino Linotype" w:eastAsia="Palatino Linotype" w:hAnsi="Palatino Linotype" w:cs="Palatino Linotype"/>
          <w:b/>
          <w:i/>
          <w:sz w:val="22"/>
          <w:szCs w:val="22"/>
        </w:rPr>
        <w:t>Renta  generados</w:t>
      </w:r>
      <w:proofErr w:type="gramEnd"/>
      <w:r w:rsidRPr="008944ED">
        <w:rPr>
          <w:rFonts w:ascii="Palatino Linotype" w:eastAsia="Palatino Linotype" w:hAnsi="Palatino Linotype" w:cs="Palatino Linotype"/>
          <w:b/>
          <w:i/>
          <w:sz w:val="22"/>
          <w:szCs w:val="22"/>
        </w:rPr>
        <w:t xml:space="preserve"> del 1 de enero al 02 de mayo de 2023.</w:t>
      </w:r>
    </w:p>
    <w:p w14:paraId="3CDD754C"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16E9C75E" w14:textId="77777777" w:rsidR="009B2CE9" w:rsidRPr="008944ED" w:rsidRDefault="002459D3">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 xml:space="preserve">Autodeterminaciones generadas por el Sujeto Obligado que den cuenta de las </w:t>
      </w:r>
      <w:r w:rsidRPr="008944ED">
        <w:rPr>
          <w:rFonts w:ascii="Palatino Linotype" w:eastAsia="Palatino Linotype" w:hAnsi="Palatino Linotype" w:cs="Palatino Linotype"/>
          <w:b/>
          <w:i/>
          <w:sz w:val="22"/>
          <w:szCs w:val="22"/>
          <w:u w:val="single"/>
        </w:rPr>
        <w:t>retenciones de seguridad social</w:t>
      </w:r>
      <w:r w:rsidRPr="008944ED">
        <w:rPr>
          <w:rFonts w:ascii="Palatino Linotype" w:eastAsia="Palatino Linotype" w:hAnsi="Palatino Linotype" w:cs="Palatino Linotype"/>
          <w:b/>
          <w:i/>
          <w:sz w:val="22"/>
          <w:szCs w:val="22"/>
        </w:rPr>
        <w:t>, generadas del 1 de enero al 02 de mayo de 2023.</w:t>
      </w:r>
    </w:p>
    <w:p w14:paraId="21922410"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7E7E3527" w14:textId="77777777" w:rsidR="009B2CE9" w:rsidRPr="008944ED" w:rsidRDefault="002459D3">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 que dé cuenta de los pagos de las cuotas de seguridad social, correspondiente al periodo del 1 de enero al 02 de mayo de 2023.</w:t>
      </w:r>
    </w:p>
    <w:p w14:paraId="4ACA13FA" w14:textId="77777777" w:rsidR="009B2CE9" w:rsidRPr="008944ED" w:rsidRDefault="009B2CE9">
      <w:pPr>
        <w:pBdr>
          <w:top w:val="nil"/>
          <w:left w:val="nil"/>
          <w:bottom w:val="nil"/>
          <w:right w:val="nil"/>
          <w:between w:val="nil"/>
        </w:pBdr>
        <w:ind w:left="567" w:hanging="141"/>
        <w:rPr>
          <w:rFonts w:ascii="Palatino Linotype" w:eastAsia="Palatino Linotype" w:hAnsi="Palatino Linotype" w:cs="Palatino Linotype"/>
          <w:b/>
          <w:i/>
          <w:sz w:val="22"/>
          <w:szCs w:val="22"/>
        </w:rPr>
      </w:pPr>
    </w:p>
    <w:p w14:paraId="456D2C92" w14:textId="77777777" w:rsidR="009B2CE9" w:rsidRPr="008944ED" w:rsidRDefault="002459D3">
      <w:pPr>
        <w:numPr>
          <w:ilvl w:val="0"/>
          <w:numId w:val="6"/>
        </w:numPr>
        <w:pBdr>
          <w:top w:val="nil"/>
          <w:left w:val="nil"/>
          <w:bottom w:val="nil"/>
          <w:right w:val="nil"/>
          <w:between w:val="nil"/>
        </w:pBdr>
        <w:spacing w:line="259" w:lineRule="auto"/>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 que dé cuenta de los pagos efectuados por el Ayuntamiento, por concepto de seguro de vida, correspondiente al periodo del 1 de enero del 2022 al 02 de mayo de 2023.</w:t>
      </w:r>
    </w:p>
    <w:p w14:paraId="0853B336" w14:textId="77777777" w:rsidR="009B2CE9" w:rsidRPr="008944ED" w:rsidRDefault="009B2CE9">
      <w:pPr>
        <w:pBdr>
          <w:top w:val="nil"/>
          <w:left w:val="nil"/>
          <w:bottom w:val="nil"/>
          <w:right w:val="nil"/>
          <w:between w:val="nil"/>
        </w:pBdr>
        <w:ind w:left="720"/>
        <w:rPr>
          <w:rFonts w:ascii="Palatino Linotype" w:eastAsia="Palatino Linotype" w:hAnsi="Palatino Linotype" w:cs="Palatino Linotype"/>
          <w:b/>
          <w:i/>
          <w:sz w:val="22"/>
          <w:szCs w:val="22"/>
        </w:rPr>
      </w:pPr>
    </w:p>
    <w:p w14:paraId="0E0ECDC0" w14:textId="77777777" w:rsidR="009B2CE9" w:rsidRPr="008944ED" w:rsidRDefault="002459D3">
      <w:pPr>
        <w:numPr>
          <w:ilvl w:val="0"/>
          <w:numId w:val="6"/>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Documentos en los que conste el número de licitaciones públicas, adjudicaciones directas que han tenido, adquisiciones por invitación restringida, lo que se ha adquirido y el dictamen de adjudicación, del 02 de mayo de 2022 al 02 de mayo de 2023.</w:t>
      </w:r>
    </w:p>
    <w:p w14:paraId="68F7FBE4" w14:textId="77777777" w:rsidR="009B2CE9" w:rsidRPr="008944ED" w:rsidRDefault="009B2CE9">
      <w:p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p>
    <w:p w14:paraId="0C873C10" w14:textId="77777777" w:rsidR="009B2CE9" w:rsidRPr="008944ED" w:rsidRDefault="002459D3">
      <w:pPr>
        <w:numPr>
          <w:ilvl w:val="0"/>
          <w:numId w:val="6"/>
        </w:numPr>
        <w:ind w:left="567" w:right="900" w:hanging="141"/>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Padrón de proveedores del Ayuntamiento de Atlacomulco, actualizado al 02 de mayo de 2023.</w:t>
      </w:r>
    </w:p>
    <w:p w14:paraId="3B17EA4F" w14:textId="77777777" w:rsidR="009B2CE9" w:rsidRPr="008944ED" w:rsidRDefault="009B2CE9">
      <w:pPr>
        <w:ind w:right="900"/>
        <w:jc w:val="both"/>
        <w:rPr>
          <w:rFonts w:ascii="Palatino Linotype" w:eastAsia="Palatino Linotype" w:hAnsi="Palatino Linotype" w:cs="Palatino Linotype"/>
          <w:b/>
          <w:i/>
          <w:sz w:val="22"/>
          <w:szCs w:val="22"/>
        </w:rPr>
      </w:pPr>
    </w:p>
    <w:p w14:paraId="1F84B0E4" w14:textId="77777777" w:rsidR="009B2CE9" w:rsidRPr="008944ED" w:rsidRDefault="002459D3">
      <w:pPr>
        <w:numPr>
          <w:ilvl w:val="0"/>
          <w:numId w:val="6"/>
        </w:numPr>
        <w:ind w:left="567" w:right="900" w:firstLine="0"/>
        <w:jc w:val="both"/>
        <w:rPr>
          <w:rFonts w:ascii="Palatino Linotype" w:eastAsia="Palatino Linotype" w:hAnsi="Palatino Linotype" w:cs="Palatino Linotype"/>
          <w:b/>
          <w:i/>
          <w:sz w:val="22"/>
          <w:szCs w:val="22"/>
        </w:rPr>
      </w:pPr>
      <w:r w:rsidRPr="008944ED">
        <w:rPr>
          <w:rFonts w:ascii="Palatino Linotype" w:eastAsia="Palatino Linotype" w:hAnsi="Palatino Linotype" w:cs="Palatino Linotype"/>
          <w:b/>
          <w:i/>
          <w:sz w:val="22"/>
          <w:szCs w:val="22"/>
        </w:rPr>
        <w:t>Contratos signados por el Ayuntamiento con las empresas referidas en respuesta para llevar a cabo el timbrado fiscal de los recibos de nómina del personal y facturas, vigentes al 02 de mayo de 2023.</w:t>
      </w:r>
    </w:p>
    <w:p w14:paraId="4082ECA6" w14:textId="77777777" w:rsidR="009B2CE9" w:rsidRPr="008944ED" w:rsidRDefault="009B2CE9">
      <w:pPr>
        <w:ind w:left="567" w:right="900"/>
        <w:jc w:val="both"/>
        <w:rPr>
          <w:rFonts w:ascii="Palatino Linotype" w:eastAsia="Palatino Linotype" w:hAnsi="Palatino Linotype" w:cs="Palatino Linotype"/>
          <w:b/>
          <w:i/>
          <w:sz w:val="22"/>
          <w:szCs w:val="22"/>
        </w:rPr>
      </w:pPr>
    </w:p>
    <w:p w14:paraId="79BD83A1" w14:textId="77777777" w:rsidR="009B2CE9" w:rsidRPr="008944ED" w:rsidRDefault="002459D3">
      <w:pPr>
        <w:ind w:left="567" w:right="900"/>
        <w:jc w:val="both"/>
        <w:rPr>
          <w:rFonts w:ascii="Palatino Linotype" w:eastAsia="Palatino Linotype" w:hAnsi="Palatino Linotype" w:cs="Palatino Linotype"/>
          <w:b/>
          <w:i/>
          <w:sz w:val="20"/>
          <w:szCs w:val="20"/>
        </w:rPr>
      </w:pPr>
      <w:r w:rsidRPr="008944ED">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8944ED">
        <w:rPr>
          <w:rFonts w:ascii="Palatino Linotype" w:eastAsia="Palatino Linotype" w:hAnsi="Palatino Linotype" w:cs="Palatino Linotype"/>
          <w:b/>
          <w:i/>
          <w:sz w:val="22"/>
          <w:szCs w:val="22"/>
        </w:rPr>
        <w:t>la parte Recurrente</w:t>
      </w:r>
      <w:r w:rsidRPr="008944ED">
        <w:rPr>
          <w:rFonts w:ascii="Palatino Linotype" w:eastAsia="Palatino Linotype" w:hAnsi="Palatino Linotype" w:cs="Palatino Linotype"/>
          <w:i/>
          <w:sz w:val="22"/>
          <w:szCs w:val="22"/>
        </w:rPr>
        <w:t>.</w:t>
      </w:r>
    </w:p>
    <w:p w14:paraId="766FA3D5" w14:textId="77777777" w:rsidR="009B2CE9" w:rsidRPr="008944ED" w:rsidRDefault="002459D3">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8944ED">
        <w:rPr>
          <w:rFonts w:ascii="Palatino Linotype" w:eastAsia="Palatino Linotype" w:hAnsi="Palatino Linotype" w:cs="Palatino Linotype"/>
          <w:b/>
        </w:rPr>
        <w:t>Tercero</w:t>
      </w:r>
      <w:r w:rsidRPr="008944ED">
        <w:rPr>
          <w:rFonts w:ascii="Palatino Linotype" w:eastAsia="Palatino Linotype" w:hAnsi="Palatino Linotype" w:cs="Palatino Linotype"/>
          <w:b/>
          <w:sz w:val="28"/>
          <w:szCs w:val="28"/>
        </w:rPr>
        <w:t xml:space="preserve">.  </w:t>
      </w:r>
      <w:r w:rsidRPr="008944ED">
        <w:rPr>
          <w:rFonts w:ascii="Palatino Linotype" w:eastAsia="Palatino Linotype" w:hAnsi="Palatino Linotype" w:cs="Palatino Linotype"/>
          <w:b/>
        </w:rPr>
        <w:t>Notifíquese vía SAIMEX,</w:t>
      </w:r>
      <w:r w:rsidRPr="008944ED">
        <w:rPr>
          <w:rFonts w:ascii="Palatino Linotype" w:eastAsia="Palatino Linotype" w:hAnsi="Palatino Linotype" w:cs="Palatino Linotype"/>
          <w:b/>
          <w:sz w:val="28"/>
          <w:szCs w:val="28"/>
        </w:rPr>
        <w:t xml:space="preserve"> </w:t>
      </w:r>
      <w:r w:rsidRPr="008944ED">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ED1565" w14:textId="77777777" w:rsidR="009B2CE9" w:rsidRPr="008944ED" w:rsidRDefault="002459D3">
      <w:pPr>
        <w:spacing w:before="240"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Cuarto</w:t>
      </w:r>
      <w:r w:rsidRPr="008944ED">
        <w:rPr>
          <w:rFonts w:ascii="Palatino Linotype" w:eastAsia="Palatino Linotype" w:hAnsi="Palatino Linotype" w:cs="Palatino Linotype"/>
          <w:b/>
          <w:sz w:val="28"/>
          <w:szCs w:val="28"/>
        </w:rPr>
        <w:t xml:space="preserve">. </w:t>
      </w:r>
      <w:r w:rsidRPr="008944E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944ED">
        <w:rPr>
          <w:rFonts w:ascii="Palatino Linotype" w:eastAsia="Palatino Linotype" w:hAnsi="Palatino Linotype" w:cs="Palatino Linotype"/>
          <w:b/>
        </w:rPr>
        <w:t>Sujeto Obligado</w:t>
      </w:r>
      <w:r w:rsidRPr="008944ED">
        <w:rPr>
          <w:rFonts w:ascii="Palatino Linotype" w:eastAsia="Palatino Linotype" w:hAnsi="Palatino Linotype" w:cs="Palatino Linotype"/>
        </w:rPr>
        <w:t xml:space="preserve"> de manera fundada y motivada, podrá solicitar una ampliación de plazo para el cumplimiento de la presente resolución.</w:t>
      </w:r>
    </w:p>
    <w:p w14:paraId="295A96A4" w14:textId="77777777" w:rsidR="009B2CE9" w:rsidRPr="008944ED" w:rsidRDefault="002459D3">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8944ED">
        <w:rPr>
          <w:rFonts w:ascii="Palatino Linotype" w:eastAsia="Palatino Linotype" w:hAnsi="Palatino Linotype" w:cs="Palatino Linotype"/>
          <w:b/>
        </w:rPr>
        <w:t>Quinto</w:t>
      </w:r>
      <w:r w:rsidRPr="008944ED">
        <w:rPr>
          <w:rFonts w:ascii="Palatino Linotype" w:eastAsia="Palatino Linotype" w:hAnsi="Palatino Linotype" w:cs="Palatino Linotype"/>
          <w:b/>
          <w:sz w:val="28"/>
          <w:szCs w:val="28"/>
        </w:rPr>
        <w:t>.</w:t>
      </w:r>
      <w:r w:rsidRPr="008944ED">
        <w:rPr>
          <w:rFonts w:ascii="Palatino Linotype" w:eastAsia="Palatino Linotype" w:hAnsi="Palatino Linotype" w:cs="Palatino Linotype"/>
        </w:rPr>
        <w:t xml:space="preserve"> </w:t>
      </w:r>
      <w:r w:rsidRPr="008944ED">
        <w:rPr>
          <w:rFonts w:ascii="Palatino Linotype" w:eastAsia="Palatino Linotype" w:hAnsi="Palatino Linotype" w:cs="Palatino Linotype"/>
          <w:b/>
        </w:rPr>
        <w:t>Notifíquese vía SAIMEX</w:t>
      </w:r>
      <w:r w:rsidRPr="008944ED">
        <w:rPr>
          <w:rFonts w:ascii="Palatino Linotype" w:eastAsia="Palatino Linotype" w:hAnsi="Palatino Linotype" w:cs="Palatino Linotype"/>
        </w:rPr>
        <w:t xml:space="preserve">, a </w:t>
      </w:r>
      <w:r w:rsidRPr="008944ED">
        <w:rPr>
          <w:rFonts w:ascii="Palatino Linotype" w:eastAsia="Palatino Linotype" w:hAnsi="Palatino Linotype" w:cs="Palatino Linotype"/>
          <w:b/>
        </w:rPr>
        <w:t>la parte Recurrente</w:t>
      </w:r>
      <w:r w:rsidRPr="008944ED">
        <w:rPr>
          <w:rFonts w:ascii="Palatino Linotype" w:eastAsia="Palatino Linotype" w:hAnsi="Palatino Linotype" w:cs="Palatino Linotype"/>
        </w:rPr>
        <w:t xml:space="preserve"> la presente resolución, así como que de conformidad con lo establecido en el artículo 196 de la Ley de </w:t>
      </w:r>
      <w:r w:rsidRPr="008944ED">
        <w:rPr>
          <w:rFonts w:ascii="Palatino Linotype" w:eastAsia="Palatino Linotype" w:hAnsi="Palatino Linotype" w:cs="Palatino Linotype"/>
        </w:rPr>
        <w:lastRenderedPageBreak/>
        <w:t>Transparencia y Acceso a la Información Pública del Estado de México y Municipios, o bien, vía juicio de amparo en los términos de las Leyes aplicables.</w:t>
      </w:r>
    </w:p>
    <w:p w14:paraId="1351C7FB" w14:textId="7C6025C8" w:rsidR="009B2CE9" w:rsidRPr="008944ED" w:rsidRDefault="002459D3">
      <w:pPr>
        <w:spacing w:before="240" w:after="240" w:line="360" w:lineRule="auto"/>
        <w:jc w:val="both"/>
        <w:rPr>
          <w:rFonts w:ascii="Palatino Linotype" w:eastAsia="Palatino Linotype" w:hAnsi="Palatino Linotype" w:cs="Palatino Linotype"/>
        </w:rPr>
      </w:pPr>
      <w:bookmarkStart w:id="7" w:name="_heading=h.17dp8vu" w:colFirst="0" w:colLast="0"/>
      <w:bookmarkEnd w:id="7"/>
      <w:r w:rsidRPr="008944ED">
        <w:rPr>
          <w:rFonts w:ascii="Palatino Linotype" w:eastAsia="Palatino Linotype" w:hAnsi="Palatino Linotype" w:cs="Palatino Linotype"/>
        </w:rPr>
        <w:t>ASÍ LO RESUELVE POR UNANIMIDAD DE VOTOS EL PLENO DEL INSTITUTO DE TRANSPARENCIA, ACCESO A LA INFORMACIÓN PÚBLICA Y PROTECCIÓN DE D</w:t>
      </w:r>
      <w:r w:rsidR="00415BF9" w:rsidRPr="008944ED">
        <w:rPr>
          <w:rFonts w:ascii="Palatino Linotype" w:eastAsia="Palatino Linotype" w:hAnsi="Palatino Linotype" w:cs="Palatino Linotype"/>
        </w:rPr>
        <w:t>ATOS PERSONALES DEL ESTADO DE MÉ</w:t>
      </w:r>
      <w:r w:rsidRPr="008944ED">
        <w:rPr>
          <w:rFonts w:ascii="Palatino Linotype" w:eastAsia="Palatino Linotype" w:hAnsi="Palatino Linotype" w:cs="Palatino Linotype"/>
        </w:rPr>
        <w:t>XICO Y MUNICIPIOS, CONFORMADO POR LOS COMISIONADOS JOSÉ MARTÍNEZ VILCHIS; MARÍA DEL ROSARIO MEJÍA AYALA; SHARON CRISTINA MORALES MARTÍNEZ; LUIS GUSTAVO PARRA NORIEGA Y GUADALUPE RAMÍREZ PEÑA; EN LA SEXTA SESIÓN ORDINARIA CELEBRADA EL VEINTIUNO DE FEBRERO DE DOS MIL VEINTICUATRO, ANTE EL SECRETARIO TÉCNICO DEL PLENO ALEXIS TAPIA RAMÍREZ.</w:t>
      </w:r>
    </w:p>
    <w:p w14:paraId="437196B7" w14:textId="77777777" w:rsidR="009B2CE9" w:rsidRPr="008944ED" w:rsidRDefault="009B2CE9">
      <w:pPr>
        <w:spacing w:before="240" w:after="240" w:line="360" w:lineRule="auto"/>
        <w:jc w:val="both"/>
        <w:rPr>
          <w:rFonts w:ascii="Palatino Linotype" w:eastAsia="Palatino Linotype" w:hAnsi="Palatino Linotype" w:cs="Palatino Linotype"/>
        </w:rPr>
      </w:pPr>
    </w:p>
    <w:p w14:paraId="77AFBC99" w14:textId="77777777" w:rsidR="009B2CE9" w:rsidRPr="008944ED" w:rsidRDefault="009B2CE9">
      <w:pPr>
        <w:spacing w:before="240" w:after="240" w:line="360" w:lineRule="auto"/>
        <w:jc w:val="both"/>
        <w:rPr>
          <w:rFonts w:ascii="Palatino Linotype" w:eastAsia="Palatino Linotype" w:hAnsi="Palatino Linotype" w:cs="Palatino Linotype"/>
        </w:rPr>
      </w:pPr>
    </w:p>
    <w:p w14:paraId="2BE33CC8" w14:textId="77777777" w:rsidR="009B2CE9" w:rsidRPr="008944ED" w:rsidRDefault="009B2CE9">
      <w:pPr>
        <w:spacing w:before="240" w:after="240" w:line="360" w:lineRule="auto"/>
        <w:jc w:val="both"/>
        <w:rPr>
          <w:rFonts w:ascii="Palatino Linotype" w:eastAsia="Palatino Linotype" w:hAnsi="Palatino Linotype" w:cs="Palatino Linotype"/>
        </w:rPr>
      </w:pPr>
    </w:p>
    <w:p w14:paraId="479FA098" w14:textId="77777777" w:rsidR="009B2CE9" w:rsidRPr="008944ED" w:rsidRDefault="009B2CE9">
      <w:pPr>
        <w:spacing w:before="240" w:after="240" w:line="360" w:lineRule="auto"/>
        <w:jc w:val="both"/>
        <w:rPr>
          <w:rFonts w:ascii="Palatino Linotype" w:eastAsia="Palatino Linotype" w:hAnsi="Palatino Linotype" w:cs="Palatino Linotype"/>
        </w:rPr>
      </w:pPr>
    </w:p>
    <w:p w14:paraId="51E0BC30" w14:textId="77777777" w:rsidR="009B2CE9" w:rsidRPr="008944ED" w:rsidRDefault="009B2CE9">
      <w:pPr>
        <w:spacing w:before="240" w:after="240" w:line="360" w:lineRule="auto"/>
        <w:jc w:val="both"/>
        <w:rPr>
          <w:rFonts w:ascii="Palatino Linotype" w:eastAsia="Palatino Linotype" w:hAnsi="Palatino Linotype" w:cs="Palatino Linotype"/>
        </w:rPr>
      </w:pPr>
    </w:p>
    <w:p w14:paraId="35A05687" w14:textId="77777777" w:rsidR="009B2CE9" w:rsidRPr="008944ED" w:rsidRDefault="009B2CE9">
      <w:pPr>
        <w:spacing w:before="240" w:after="240" w:line="360" w:lineRule="auto"/>
        <w:jc w:val="both"/>
        <w:rPr>
          <w:rFonts w:ascii="Palatino Linotype" w:eastAsia="Palatino Linotype" w:hAnsi="Palatino Linotype" w:cs="Palatino Linotype"/>
        </w:rPr>
      </w:pPr>
    </w:p>
    <w:p w14:paraId="632451C2" w14:textId="77777777" w:rsidR="009B2CE9" w:rsidRPr="008944ED" w:rsidRDefault="009B2CE9">
      <w:pPr>
        <w:spacing w:before="240" w:after="240" w:line="360" w:lineRule="auto"/>
        <w:jc w:val="both"/>
        <w:rPr>
          <w:rFonts w:ascii="Palatino Linotype" w:eastAsia="Palatino Linotype" w:hAnsi="Palatino Linotype" w:cs="Palatino Linotype"/>
        </w:rPr>
      </w:pPr>
    </w:p>
    <w:p w14:paraId="03615BB8" w14:textId="77777777" w:rsidR="009B2CE9" w:rsidRPr="008944ED" w:rsidRDefault="009B2CE9">
      <w:pPr>
        <w:spacing w:before="240" w:after="240" w:line="360" w:lineRule="auto"/>
        <w:jc w:val="both"/>
        <w:rPr>
          <w:rFonts w:ascii="Palatino Linotype" w:eastAsia="Palatino Linotype" w:hAnsi="Palatino Linotype" w:cs="Palatino Linotype"/>
        </w:rPr>
      </w:pPr>
    </w:p>
    <w:p w14:paraId="490845F5" w14:textId="77777777" w:rsidR="009B2CE9" w:rsidRPr="008944ED" w:rsidRDefault="009B2CE9">
      <w:pPr>
        <w:spacing w:before="240" w:after="240" w:line="360" w:lineRule="auto"/>
        <w:jc w:val="both"/>
        <w:rPr>
          <w:rFonts w:ascii="Palatino Linotype" w:eastAsia="Palatino Linotype" w:hAnsi="Palatino Linotype" w:cs="Palatino Linotype"/>
        </w:rPr>
      </w:pPr>
    </w:p>
    <w:p w14:paraId="5D70B6F9" w14:textId="77777777" w:rsidR="009B2CE9" w:rsidRPr="008944ED" w:rsidRDefault="009B2CE9">
      <w:pPr>
        <w:spacing w:before="240" w:after="240" w:line="360" w:lineRule="auto"/>
        <w:jc w:val="both"/>
        <w:rPr>
          <w:rFonts w:ascii="Palatino Linotype" w:eastAsia="Palatino Linotype" w:hAnsi="Palatino Linotype" w:cs="Palatino Linotype"/>
        </w:rPr>
      </w:pPr>
    </w:p>
    <w:p w14:paraId="482848AC" w14:textId="77777777" w:rsidR="009B2CE9" w:rsidRPr="008944ED" w:rsidRDefault="009B2CE9">
      <w:pPr>
        <w:spacing w:before="240" w:after="240" w:line="360" w:lineRule="auto"/>
        <w:jc w:val="both"/>
        <w:rPr>
          <w:rFonts w:ascii="Palatino Linotype" w:eastAsia="Palatino Linotype" w:hAnsi="Palatino Linotype" w:cs="Palatino Linotype"/>
        </w:rPr>
      </w:pPr>
    </w:p>
    <w:p w14:paraId="4C78BCA2" w14:textId="77777777" w:rsidR="009B2CE9" w:rsidRPr="008944ED" w:rsidRDefault="009B2CE9">
      <w:pPr>
        <w:spacing w:before="240" w:after="240" w:line="360" w:lineRule="auto"/>
        <w:jc w:val="both"/>
        <w:rPr>
          <w:rFonts w:ascii="Palatino Linotype" w:eastAsia="Palatino Linotype" w:hAnsi="Palatino Linotype" w:cs="Palatino Linotype"/>
        </w:rPr>
      </w:pPr>
    </w:p>
    <w:p w14:paraId="4EE97E00" w14:textId="77777777" w:rsidR="009B2CE9" w:rsidRPr="008944ED" w:rsidRDefault="009B2CE9">
      <w:pPr>
        <w:spacing w:before="240" w:after="240" w:line="360" w:lineRule="auto"/>
        <w:jc w:val="both"/>
        <w:rPr>
          <w:rFonts w:ascii="Palatino Linotype" w:eastAsia="Palatino Linotype" w:hAnsi="Palatino Linotype" w:cs="Palatino Linotype"/>
        </w:rPr>
      </w:pPr>
    </w:p>
    <w:p w14:paraId="6E939619" w14:textId="77777777" w:rsidR="009B2CE9" w:rsidRPr="008944ED" w:rsidRDefault="009B2CE9">
      <w:pPr>
        <w:spacing w:before="240" w:after="240" w:line="360" w:lineRule="auto"/>
        <w:jc w:val="both"/>
        <w:rPr>
          <w:rFonts w:ascii="Palatino Linotype" w:eastAsia="Palatino Linotype" w:hAnsi="Palatino Linotype" w:cs="Palatino Linotype"/>
        </w:rPr>
      </w:pPr>
    </w:p>
    <w:p w14:paraId="2EF21D97" w14:textId="77777777" w:rsidR="009B2CE9" w:rsidRPr="008944ED" w:rsidRDefault="009B2CE9">
      <w:pPr>
        <w:spacing w:before="240" w:after="240" w:line="360" w:lineRule="auto"/>
        <w:jc w:val="both"/>
        <w:rPr>
          <w:rFonts w:ascii="Palatino Linotype" w:eastAsia="Palatino Linotype" w:hAnsi="Palatino Linotype" w:cs="Palatino Linotype"/>
        </w:rPr>
      </w:pPr>
    </w:p>
    <w:p w14:paraId="196601E6" w14:textId="77777777" w:rsidR="009B2CE9" w:rsidRPr="008944ED" w:rsidRDefault="009B2CE9">
      <w:pPr>
        <w:spacing w:before="240" w:after="240" w:line="360" w:lineRule="auto"/>
        <w:jc w:val="both"/>
        <w:rPr>
          <w:rFonts w:ascii="Palatino Linotype" w:eastAsia="Palatino Linotype" w:hAnsi="Palatino Linotype" w:cs="Palatino Linotype"/>
        </w:rPr>
      </w:pPr>
    </w:p>
    <w:sectPr w:rsidR="009B2CE9" w:rsidRPr="008944ED">
      <w:headerReference w:type="default" r:id="rId49"/>
      <w:footerReference w:type="default" r:id="rId50"/>
      <w:headerReference w:type="first" r:id="rId51"/>
      <w:footerReference w:type="first" r:id="rId5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08B3" w14:textId="77777777" w:rsidR="00C25247" w:rsidRDefault="00C25247">
      <w:r>
        <w:separator/>
      </w:r>
    </w:p>
  </w:endnote>
  <w:endnote w:type="continuationSeparator" w:id="0">
    <w:p w14:paraId="472B03E4" w14:textId="77777777" w:rsidR="00C25247" w:rsidRDefault="00C2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6BB1" w14:textId="77777777" w:rsidR="009B2CE9" w:rsidRDefault="002459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18E2">
      <w:rPr>
        <w:rFonts w:ascii="Palatino Linotype" w:eastAsia="Palatino Linotype" w:hAnsi="Palatino Linotype" w:cs="Palatino Linotype"/>
        <w:b/>
        <w:noProof/>
        <w:color w:val="000000"/>
        <w:sz w:val="20"/>
        <w:szCs w:val="20"/>
      </w:rPr>
      <w:t>100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18E2">
      <w:rPr>
        <w:rFonts w:ascii="Palatino Linotype" w:eastAsia="Palatino Linotype" w:hAnsi="Palatino Linotype" w:cs="Palatino Linotype"/>
        <w:b/>
        <w:noProof/>
        <w:color w:val="000000"/>
        <w:sz w:val="20"/>
        <w:szCs w:val="20"/>
      </w:rPr>
      <w:t>100</w:t>
    </w:r>
    <w:r>
      <w:rPr>
        <w:rFonts w:ascii="Palatino Linotype" w:eastAsia="Palatino Linotype" w:hAnsi="Palatino Linotype" w:cs="Palatino Linotype"/>
        <w:b/>
        <w:color w:val="000000"/>
        <w:sz w:val="20"/>
        <w:szCs w:val="20"/>
      </w:rPr>
      <w:fldChar w:fldCharType="end"/>
    </w:r>
  </w:p>
  <w:p w14:paraId="555D45F5" w14:textId="77777777" w:rsidR="009B2CE9" w:rsidRDefault="009B2C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3154" w14:textId="77777777" w:rsidR="009B2CE9" w:rsidRDefault="002459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18E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18E2">
      <w:rPr>
        <w:rFonts w:ascii="Palatino Linotype" w:eastAsia="Palatino Linotype" w:hAnsi="Palatino Linotype" w:cs="Palatino Linotype"/>
        <w:b/>
        <w:noProof/>
        <w:color w:val="000000"/>
        <w:sz w:val="20"/>
        <w:szCs w:val="20"/>
      </w:rPr>
      <w:t>100</w:t>
    </w:r>
    <w:r>
      <w:rPr>
        <w:rFonts w:ascii="Palatino Linotype" w:eastAsia="Palatino Linotype" w:hAnsi="Palatino Linotype" w:cs="Palatino Linotype"/>
        <w:b/>
        <w:color w:val="000000"/>
        <w:sz w:val="20"/>
        <w:szCs w:val="20"/>
      </w:rPr>
      <w:fldChar w:fldCharType="end"/>
    </w:r>
  </w:p>
  <w:p w14:paraId="199D26F4" w14:textId="77777777" w:rsidR="009B2CE9" w:rsidRDefault="009B2C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EBC6" w14:textId="77777777" w:rsidR="00C25247" w:rsidRDefault="00C25247">
      <w:r>
        <w:separator/>
      </w:r>
    </w:p>
  </w:footnote>
  <w:footnote w:type="continuationSeparator" w:id="0">
    <w:p w14:paraId="58884A38" w14:textId="77777777" w:rsidR="00C25247" w:rsidRDefault="00C25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4C90" w14:textId="77777777" w:rsidR="009B2CE9" w:rsidRDefault="002459D3">
    <w:pPr>
      <w:rPr>
        <w:rFonts w:ascii="Cambria" w:eastAsia="Cambria" w:hAnsi="Cambria" w:cs="Cambria"/>
        <w:color w:val="000000"/>
      </w:rPr>
    </w:pPr>
    <w:r>
      <w:rPr>
        <w:noProof/>
      </w:rPr>
      <w:drawing>
        <wp:anchor distT="0" distB="0" distL="0" distR="0" simplePos="0" relativeHeight="251658240" behindDoc="1" locked="0" layoutInCell="1" hidden="0" allowOverlap="1" wp14:anchorId="2A0DD9C1" wp14:editId="706777A9">
          <wp:simplePos x="0" y="0"/>
          <wp:positionH relativeFrom="column">
            <wp:posOffset>-1127122</wp:posOffset>
          </wp:positionH>
          <wp:positionV relativeFrom="paragraph">
            <wp:posOffset>-344802</wp:posOffset>
          </wp:positionV>
          <wp:extent cx="7809865" cy="10165715"/>
          <wp:effectExtent l="0" t="0" r="0" b="0"/>
          <wp:wrapNone/>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9B2CE9" w14:paraId="0B63B04A" w14:textId="77777777">
      <w:tc>
        <w:tcPr>
          <w:tcW w:w="2489" w:type="dxa"/>
          <w:shd w:val="clear" w:color="auto" w:fill="auto"/>
        </w:tcPr>
        <w:p w14:paraId="1BE822E1"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38EE13D" w14:textId="77777777" w:rsidR="009B2CE9" w:rsidRDefault="002459D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03499/INFOEM/IP/RR/2023</w:t>
          </w:r>
        </w:p>
      </w:tc>
    </w:tr>
    <w:tr w:rsidR="009B2CE9" w14:paraId="4297159B" w14:textId="77777777">
      <w:trPr>
        <w:trHeight w:val="228"/>
      </w:trPr>
      <w:tc>
        <w:tcPr>
          <w:tcW w:w="2489" w:type="dxa"/>
          <w:shd w:val="clear" w:color="auto" w:fill="auto"/>
          <w:vAlign w:val="center"/>
        </w:tcPr>
        <w:p w14:paraId="0A6EB32B"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53DC3982" w14:textId="77777777" w:rsidR="009B2CE9" w:rsidRDefault="002459D3">
          <w:pPr>
            <w:ind w:left="-4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9B2CE9" w14:paraId="36E8F529" w14:textId="77777777">
      <w:tc>
        <w:tcPr>
          <w:tcW w:w="2489" w:type="dxa"/>
          <w:shd w:val="clear" w:color="auto" w:fill="auto"/>
          <w:vAlign w:val="center"/>
        </w:tcPr>
        <w:p w14:paraId="3924ABEF" w14:textId="77777777" w:rsidR="009B2CE9" w:rsidRDefault="002459D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EE4B462" w14:textId="77777777" w:rsidR="009B2CE9" w:rsidRDefault="002459D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11EC67" w14:textId="77777777" w:rsidR="009B2CE9" w:rsidRDefault="002459D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5831" w14:textId="77777777" w:rsidR="009B2CE9" w:rsidRDefault="002459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C667139" wp14:editId="11128807">
          <wp:simplePos x="0" y="0"/>
          <wp:positionH relativeFrom="column">
            <wp:posOffset>-1045209</wp:posOffset>
          </wp:positionH>
          <wp:positionV relativeFrom="paragraph">
            <wp:posOffset>-393064</wp:posOffset>
          </wp:positionV>
          <wp:extent cx="7809865" cy="10165715"/>
          <wp:effectExtent l="0" t="0" r="0" b="0"/>
          <wp:wrapNone/>
          <wp:docPr id="1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9B2CE9" w14:paraId="29DFA1D2" w14:textId="77777777">
      <w:tc>
        <w:tcPr>
          <w:tcW w:w="2551" w:type="dxa"/>
          <w:shd w:val="clear" w:color="auto" w:fill="auto"/>
          <w:vAlign w:val="center"/>
        </w:tcPr>
        <w:p w14:paraId="412019C1"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788E5AC" w14:textId="77777777" w:rsidR="009B2CE9" w:rsidRDefault="002459D3">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03499/INFOEM/IP/RR/2023</w:t>
          </w:r>
        </w:p>
      </w:tc>
    </w:tr>
    <w:tr w:rsidR="009B2CE9" w14:paraId="437F89AB" w14:textId="77777777">
      <w:trPr>
        <w:trHeight w:val="130"/>
      </w:trPr>
      <w:tc>
        <w:tcPr>
          <w:tcW w:w="2551" w:type="dxa"/>
          <w:shd w:val="clear" w:color="auto" w:fill="auto"/>
          <w:vAlign w:val="center"/>
        </w:tcPr>
        <w:p w14:paraId="034FC0D2"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5A4EF5D" w14:textId="616A3867" w:rsidR="009B2CE9" w:rsidRDefault="00D96358">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9B2CE9" w14:paraId="6DEE03DB" w14:textId="77777777">
      <w:trPr>
        <w:trHeight w:val="228"/>
      </w:trPr>
      <w:tc>
        <w:tcPr>
          <w:tcW w:w="2551" w:type="dxa"/>
          <w:shd w:val="clear" w:color="auto" w:fill="auto"/>
          <w:vAlign w:val="center"/>
        </w:tcPr>
        <w:p w14:paraId="0ED14F86"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0EE47876" w14:textId="77777777" w:rsidR="009B2CE9" w:rsidRDefault="002459D3">
          <w:pPr>
            <w:ind w:left="-11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9B2CE9" w14:paraId="00CE88F2" w14:textId="77777777">
      <w:tc>
        <w:tcPr>
          <w:tcW w:w="2551" w:type="dxa"/>
          <w:shd w:val="clear" w:color="auto" w:fill="auto"/>
          <w:vAlign w:val="center"/>
        </w:tcPr>
        <w:p w14:paraId="5F16E337" w14:textId="77777777" w:rsidR="009B2CE9" w:rsidRDefault="002459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C179C29" w14:textId="77777777" w:rsidR="009B2CE9" w:rsidRDefault="002459D3">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685A4C" w14:textId="77777777" w:rsidR="009B2CE9" w:rsidRDefault="009B2CE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1096"/>
    <w:multiLevelType w:val="multilevel"/>
    <w:tmpl w:val="E4ECB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9D006A"/>
    <w:multiLevelType w:val="multilevel"/>
    <w:tmpl w:val="16D0A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4A09E2"/>
    <w:multiLevelType w:val="multilevel"/>
    <w:tmpl w:val="CEE6EF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F073A8"/>
    <w:multiLevelType w:val="multilevel"/>
    <w:tmpl w:val="675EED9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E45037F"/>
    <w:multiLevelType w:val="multilevel"/>
    <w:tmpl w:val="9C503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FB6B83"/>
    <w:multiLevelType w:val="multilevel"/>
    <w:tmpl w:val="A19A0092"/>
    <w:lvl w:ilvl="0">
      <w:start w:val="1"/>
      <w:numFmt w:val="decimal"/>
      <w:lvlText w:val="%1."/>
      <w:lvlJc w:val="left"/>
      <w:pPr>
        <w:ind w:left="720" w:hanging="360"/>
      </w:pPr>
    </w:lvl>
    <w:lvl w:ilvl="1">
      <w:start w:val="1"/>
      <w:numFmt w:val="decimal"/>
      <w:lvlText w:val="%2."/>
      <w:lvlJc w:val="left"/>
      <w:pPr>
        <w:ind w:left="1211"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A86030E"/>
    <w:multiLevelType w:val="multilevel"/>
    <w:tmpl w:val="A0543CD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EF02980"/>
    <w:multiLevelType w:val="multilevel"/>
    <w:tmpl w:val="C11CDC9C"/>
    <w:lvl w:ilvl="0">
      <w:start w:val="1"/>
      <w:numFmt w:val="bullet"/>
      <w:lvlText w:val="●"/>
      <w:lvlJc w:val="left"/>
      <w:pPr>
        <w:ind w:left="801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0C69A1"/>
    <w:multiLevelType w:val="multilevel"/>
    <w:tmpl w:val="1D300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AC32FE"/>
    <w:multiLevelType w:val="multilevel"/>
    <w:tmpl w:val="DE22742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7"/>
  </w:num>
  <w:num w:numId="6">
    <w:abstractNumId w:val="2"/>
  </w:num>
  <w:num w:numId="7">
    <w:abstractNumId w:val="4"/>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CE9"/>
    <w:rsid w:val="002459D3"/>
    <w:rsid w:val="00415BF9"/>
    <w:rsid w:val="00471DA2"/>
    <w:rsid w:val="008944ED"/>
    <w:rsid w:val="009B2CE9"/>
    <w:rsid w:val="00C25247"/>
    <w:rsid w:val="00CE50AD"/>
    <w:rsid w:val="00D96358"/>
    <w:rsid w:val="00EF757B"/>
    <w:rsid w:val="00F518E2"/>
    <w:rsid w:val="00FA47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EE3ED"/>
  <w15:docId w15:val="{3F49F570-3F9E-458D-B275-96A180D9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D99"/>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32.png"/><Relationship Id="rId21" Type="http://schemas.openxmlformats.org/officeDocument/2006/relationships/image" Target="media/image34.png"/><Relationship Id="rId34" Type="http://schemas.openxmlformats.org/officeDocument/2006/relationships/hyperlink" Target="https://silo.tips/download/guia-tecnica-8-la-contabilidad-y-la-cuenta-publicamunicipal" TargetMode="External"/><Relationship Id="rId42" Type="http://schemas.openxmlformats.org/officeDocument/2006/relationships/image" Target="media/image31.png"/><Relationship Id="rId47" Type="http://schemas.openxmlformats.org/officeDocument/2006/relationships/image" Target="media/image26.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tlacomulco.gob.mx/documentos/LGCG/ayuntamiento/2023/Primer%20Trimestre/Titulo%20IV/Informacion%20Presupuestal/ESTADO%20COMPARATIVO%20INGRESOS.pdf" TargetMode="External"/><Relationship Id="rId29" Type="http://schemas.openxmlformats.org/officeDocument/2006/relationships/image" Target="media/image35.png"/><Relationship Id="rId11" Type="http://schemas.openxmlformats.org/officeDocument/2006/relationships/image" Target="media/image36.png"/><Relationship Id="rId24" Type="http://schemas.openxmlformats.org/officeDocument/2006/relationships/image" Target="media/image29.png"/><Relationship Id="rId32" Type="http://schemas.openxmlformats.org/officeDocument/2006/relationships/image" Target="media/image17.png"/><Relationship Id="rId37" Type="http://schemas.openxmlformats.org/officeDocument/2006/relationships/hyperlink" Target="https://atlacomulco.gob.mx/documentos/LGCG/ayuntamiento/2023/Primer%20Trimestre/Titulo%20IV/Informacion%20Presupuestal/ESTADO%20COMPARATIVO%20EGRESOS.pdf" TargetMode="External"/><Relationship Id="rId40" Type="http://schemas.openxmlformats.org/officeDocument/2006/relationships/hyperlink" Target="https://atlacomulco.gob.mx/documentos/LGCG/ayuntamiento/2022/Primer%20Trimestre/TITULO%20IV/Informacion%20Presupuestal/4%20Estado%20Comparativo%20presEgresos.pdf" TargetMode="External"/><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3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atlacomulco.gob.mx/documentos/LGCG/ayuntamiento/2023/Primer%20Trimestre/Titulo%20IV/Informacion%20Presupuestal/ESTADO%20COMPARATIVO%20INGRESOS.pdf" TargetMode="External"/><Relationship Id="rId33" Type="http://schemas.openxmlformats.org/officeDocument/2006/relationships/hyperlink" Target="http://www2.sat.gob.mx/sitio_internet/informe_tributario/itg2014t2/glosario.pdf" TargetMode="External"/><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6fJSgcqz6o2mVK2FFRE2HXbxLg==">CgMxLjAyCGguZ2pkZ3hzMgloLjMwajB6bGwyCWguMnM4ZXlvMTIIaC50eWpjd3QyCWguM2R5NnZrbTIJaC4xZm9iOXRlMgloLjN6bnlzaDcyCWguMTdkcDh2dTgAciExWjZBV2xVU2YxdkZhN2ZLLXNhaFhsQTQ1cmRDTHFSbUU=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100</Pages>
  <Words>21516</Words>
  <Characters>118342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2024-02-23T16:27:00Z</cp:lastPrinted>
  <dcterms:created xsi:type="dcterms:W3CDTF">2024-03-06T17:25:00Z</dcterms:created>
  <dcterms:modified xsi:type="dcterms:W3CDTF">2024-03-06T17:25:00Z</dcterms:modified>
</cp:coreProperties>
</file>