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seis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05694/INFOEM/IP/RR/2024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XXXXXX XXXXXXXXX,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 la</w:t>
      </w:r>
      <w:r w:rsidDel="00000000" w:rsidR="00000000" w:rsidRPr="00000000">
        <w:rPr>
          <w:rFonts w:ascii="Palatino Linotype" w:cs="Palatino Linotype" w:eastAsia="Palatino Linotype" w:hAnsi="Palatino Linotype"/>
          <w:b w:val="1"/>
          <w:sz w:val="22"/>
          <w:szCs w:val="22"/>
          <w:rtl w:val="0"/>
        </w:rPr>
        <w:t xml:space="preserve"> Comisión de Derechos Humanos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dieciséis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agosto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00161/CODHEM/IP/2024,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r w:rsidDel="00000000" w:rsidR="00000000" w:rsidRPr="00000000">
        <w:rPr>
          <w:rtl w:val="0"/>
        </w:rPr>
      </w:r>
    </w:p>
    <w:p w:rsidR="00000000" w:rsidDel="00000000" w:rsidP="00000000" w:rsidRDefault="00000000" w:rsidRPr="00000000" w14:paraId="00000005">
      <w:pPr>
        <w:spacing w:after="240" w:before="240" w:lineRule="auto"/>
        <w:ind w:left="851" w:right="616"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A MYRNA ARACELI GARCIA MORON INFORMACIÓN PÚBLICA </w:t>
      </w:r>
      <w:r w:rsidDel="00000000" w:rsidR="00000000" w:rsidRPr="00000000">
        <w:rPr>
          <w:rFonts w:ascii="Palatino Linotype" w:cs="Palatino Linotype" w:eastAsia="Palatino Linotype" w:hAnsi="Palatino Linotype"/>
          <w:b w:val="1"/>
          <w:i w:val="1"/>
          <w:sz w:val="22"/>
          <w:szCs w:val="22"/>
          <w:rtl w:val="0"/>
        </w:rPr>
        <w:t xml:space="preserve">RELATIVA A LOS CURSOS QUE HA TOMADO LA SERVIDORA PÚBLICA C.FABIOLA MANTECA HERNANDEZ, PRIMER VISITADORA GENERAL, DURANTE EL EJERICIO 2023 Y 2024 A LA FECHA EN QUE CONTESTEN LA PRESENTE SOLICITUD, RELATIVOS A SI HA RECIBIDO INSTRUCCIÓN O CPACITACIÓN PARA QUE DESARROLLE HABILIDADES DE CONVIVENCIA SOCIAL</w:t>
      </w:r>
      <w:r w:rsidDel="00000000" w:rsidR="00000000" w:rsidRPr="00000000">
        <w:rPr>
          <w:rFonts w:ascii="Palatino Linotype" w:cs="Palatino Linotype" w:eastAsia="Palatino Linotype" w:hAnsi="Palatino Linotype"/>
          <w:i w:val="1"/>
          <w:sz w:val="22"/>
          <w:szCs w:val="22"/>
          <w:rtl w:val="0"/>
        </w:rPr>
        <w:t xml:space="preserve">, PARA QUE TENGA BUENOS MODALES Y EVITE SACAR LA LENGUA A LAS PESONAS CUANDO LAS TOPA EN LAS ESCALERAS POR QUE NO SON DE SU AGRADO O BIEN CONDUCIRSE CON UN LENGUAJE POCO APROPIADO (GROSERIAS) PARA UNA SERVIDORA PÚBLICA, OSTENTARSE COMO AMIGA DE ESCUELA Y CONFIDENTE DE LA COMISIONADA, NO LE PERMITE TENER UN TRATO IRRESPETUOSO HACIA LO DEMÁS, </w:t>
      </w:r>
      <w:r w:rsidDel="00000000" w:rsidR="00000000" w:rsidRPr="00000000">
        <w:rPr>
          <w:rFonts w:ascii="Palatino Linotype" w:cs="Palatino Linotype" w:eastAsia="Palatino Linotype" w:hAnsi="Palatino Linotype"/>
          <w:b w:val="1"/>
          <w:i w:val="1"/>
          <w:sz w:val="22"/>
          <w:szCs w:val="22"/>
          <w:rtl w:val="0"/>
        </w:rPr>
        <w:t xml:space="preserve">SI LE HAN INSTRUIDO TOMAR ALGUN CURSO PARA MEJORAR ESAS ACTITUDES EN BENEFICIO DE LOS QUE TENEMOS QUE SOPORTARLA</w:t>
      </w:r>
      <w:r w:rsidDel="00000000" w:rsidR="00000000" w:rsidRPr="00000000">
        <w:rPr>
          <w:rFonts w:ascii="Palatino Linotype" w:cs="Palatino Linotype" w:eastAsia="Palatino Linotype" w:hAnsi="Palatino Linotype"/>
          <w:i w:val="1"/>
          <w:sz w:val="22"/>
          <w:szCs w:val="22"/>
          <w:rtl w:val="0"/>
        </w:rPr>
        <w:t xml:space="preserve">. DE ANTEMANO UNA DISCULPA A LA SEÑORA COMISIONADA, PERO NO SE VALE QUE SU PERSONAL CERCANO TENGA ESASAS ACTITUDES Y NO PODEMOS QUEJARNOS PORQUE NOS AGARRAN DE BAJADA, YA QUE LA SEÑORA MANTECA NOS ENCARGA CON EL JOSÉ BERNARDO Y SU NOVIA O AMIGA ENRIQUETA.”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tres de septiembre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envía respuesta a su solicitud, misma que encontrará en archivos anexos. Atte. L.A.E. Erika Yolanda Funes Velázquez Titular de la Unidad de Transparencia. Comisión de Derechos Humanos del Estado de México.</w:t>
      </w:r>
    </w:p>
    <w:p w:rsidR="00000000" w:rsidDel="00000000" w:rsidP="00000000" w:rsidRDefault="00000000" w:rsidRPr="00000000" w14:paraId="0000000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A. E. ERIKA Y. FUNES VELÁZQUEZ” </w:t>
      </w:r>
    </w:p>
    <w:p w:rsidR="00000000" w:rsidDel="00000000" w:rsidP="00000000" w:rsidRDefault="00000000" w:rsidRPr="00000000" w14:paraId="0000000C">
      <w:pP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 INFO 161 2024 RECURSOS HUMANOS.pdf: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400C141000/705/2024 DE FECHA TRES DE SEPTIEMBRE DE dos mil veinticuatro, signado por el Director de Recursos Humanos, mediante el cual informó que en lo relativo 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“INFORMACIÓN PÚBLICA RELATIVA A LOS CURSOS QUE HA TOMADO LA SERVIDORA PÚBLICA C.FABIOLA MANTECA HERNANDEZ, PRIMER VISITADORA GENERAL, DURANTE EL EJERICIO 2023 Y 2024 A LA FECHA EN QUE CONTESTEN LA PRESENTE SOLICITUD…”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derivado de una búsqueda exhaustiva y razonable realizada en los archivos que obran en esta Dirección y sus áreas dependientes, le participo que durante los ejercicios 2023 y 2024 a la fecha de respuesta de la solicitud, se proporciona la información de la que se tiene registro relativa al rubro de capacitando de la persona servidora pública Fabiola Manteca Hernández, conforme al siguiente cuadro: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4512130" cy="1231927"/>
            <wp:effectExtent b="0" l="0" r="0" t="0"/>
            <wp:docPr id="1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12130" cy="123192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4855617" cy="214816"/>
            <wp:effectExtent b="0" l="0" r="0" t="0"/>
            <wp:docPr id="11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55617" cy="21481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de respuesta a solicitud 00161.pdf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UT/495/2024 de fecha tres de septiembre de dos mil veinticuatro, signado por la Titular de la Unidad de Transparencia, mediante el cual informó que la solicitud fue turnada para su atención al servidor público habilitado de la Dirección de Recursos Humanos de esta Defensoría de Habitantes, respuesta que se adjunta en archivo pdf.</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dieciocho de septiembre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2">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p>
    <w:p w:rsidR="00000000" w:rsidDel="00000000" w:rsidP="00000000" w:rsidRDefault="00000000" w:rsidRPr="00000000" w14:paraId="00000013">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“Quien da respuesta es el señor tapadera, huele colas y solapador de la Visitadora, la información que entrega no esta relacionada con el tema solicitado” (Sic)</w:t>
      </w:r>
      <w:r w:rsidDel="00000000" w:rsidR="00000000" w:rsidRPr="00000000">
        <w:rPr>
          <w:rtl w:val="0"/>
        </w:rPr>
      </w:r>
    </w:p>
    <w:p w:rsidR="00000000" w:rsidDel="00000000" w:rsidP="00000000" w:rsidRDefault="00000000" w:rsidRPr="00000000" w14:paraId="00000014">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Me niegan la información publica a la que tengo derecho.” (Sic)</w:t>
      </w:r>
    </w:p>
    <w:p w:rsidR="00000000" w:rsidDel="00000000" w:rsidP="00000000" w:rsidRDefault="00000000" w:rsidRPr="00000000" w14:paraId="00000016">
      <w:pPr>
        <w:spacing w:line="276" w:lineRule="auto"/>
        <w:ind w:right="90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veintitrés de septiembre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omiso en presentar sus alegatos o manifestación alguna. </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su parte,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fecha veinticuatro de septiembre de dos mil veinticuatro, adjunto los siguientes archivos electrónicos: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Expediente Certificado de la Solicitud 00161-2024.pdf: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Contiene las constancias que integrane el expediente electronico del saimex.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Informe Justificado del Recurso de Revisión 05694-2024.pdf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contiene el oficio núm</w:t>
      </w:r>
      <w:r w:rsidDel="00000000" w:rsidR="00000000" w:rsidRPr="00000000">
        <w:rPr>
          <w:rFonts w:ascii="Palatino Linotype" w:cs="Palatino Linotype" w:eastAsia="Palatino Linotype" w:hAnsi="Palatino Linotype"/>
          <w:sz w:val="22"/>
          <w:szCs w:val="22"/>
          <w:rtl w:val="0"/>
        </w:rPr>
        <w:t xml:space="preserve">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ro UT/542/2024 de fecha veinticuatro de septiembre de dos mil veinticuatro, mediante el cual ratifica la respuesta inicial.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Documentos que fueron hechos del conocimiento de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en fecha dos de octubre de dos mil veinticuatro, para que manifestara lo que a su derecho conviniera.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veintitrés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4">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tres de septiembre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dieciocho de septiembre de dos mil veinticuatro, </w:t>
      </w:r>
      <w:r w:rsidDel="00000000" w:rsidR="00000000" w:rsidRPr="00000000">
        <w:rPr>
          <w:rFonts w:ascii="Palatino Linotype" w:cs="Palatino Linotype" w:eastAsia="Palatino Linotype" w:hAnsi="Palatino Linotype"/>
          <w:sz w:val="22"/>
          <w:szCs w:val="22"/>
          <w:rtl w:val="0"/>
        </w:rPr>
        <w:t xml:space="preserve">esto es, al </w:t>
      </w:r>
      <w:r w:rsidDel="00000000" w:rsidR="00000000" w:rsidRPr="00000000">
        <w:rPr>
          <w:rFonts w:ascii="Palatino Linotype" w:cs="Palatino Linotype" w:eastAsia="Palatino Linotype" w:hAnsi="Palatino Linotype"/>
          <w:b w:val="1"/>
          <w:sz w:val="22"/>
          <w:szCs w:val="22"/>
          <w:rtl w:val="0"/>
        </w:rPr>
        <w:t xml:space="preserve">décimo día hábil</w:t>
      </w:r>
      <w:r w:rsidDel="00000000" w:rsidR="00000000" w:rsidRPr="00000000">
        <w:rPr>
          <w:rFonts w:ascii="Palatino Linotype" w:cs="Palatino Linotype" w:eastAsia="Palatino Linotype" w:hAnsi="Palatino Linotype"/>
          <w:sz w:val="22"/>
          <w:szCs w:val="22"/>
          <w:rtl w:val="0"/>
        </w:rPr>
        <w:t xml:space="preserve"> siguiente al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Además,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señaló un nombre o seudónimo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nombre incompleto o </w:t>
      </w:r>
      <w:r w:rsidDel="00000000" w:rsidR="00000000" w:rsidRPr="00000000">
        <w:rPr>
          <w:rFonts w:ascii="Palatino Linotype" w:cs="Palatino Linotype" w:eastAsia="Palatino Linotype" w:hAnsi="Palatino Linotype"/>
          <w:b w:val="1"/>
          <w:i w:val="1"/>
          <w:sz w:val="22"/>
          <w:szCs w:val="22"/>
          <w:rtl w:val="0"/>
        </w:rPr>
        <w:t xml:space="preserve">seudónimo</w:t>
      </w:r>
      <w:r w:rsidDel="00000000" w:rsidR="00000000" w:rsidRPr="00000000">
        <w:rPr>
          <w:rFonts w:ascii="Palatino Linotype" w:cs="Palatino Linotype" w:eastAsia="Palatino Linotype" w:hAnsi="Palatino Linotype"/>
          <w:i w:val="1"/>
          <w:sz w:val="22"/>
          <w:szCs w:val="22"/>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2B">
      <w:pPr>
        <w:tabs>
          <w:tab w:val="left" w:leader="none" w:pos="7938"/>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2D">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E">
      <w:pPr>
        <w:spacing w:after="120" w:before="120"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La negativa a la información solicitada;</w:t>
      </w:r>
    </w:p>
    <w:p w:rsidR="00000000" w:rsidDel="00000000" w:rsidP="00000000" w:rsidRDefault="00000000" w:rsidRPr="00000000" w14:paraId="0000002F">
      <w:pPr>
        <w:spacing w:after="120" w:before="12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30">
      <w:pPr>
        <w:spacing w:after="120" w:before="120"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33">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3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proporcione información consistente en lo siguiente:</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851"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Información relativa a los cursos que ha tomado la Primera Visitadora General, durante el ejercicio 2023 y 2024 a la fecha en que contesten la presente solicitud, relativos a si ha recibido instrucción o capacitación para que desarrolle habilidades de convivencia social</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pronunció por conducto del </w:t>
      </w:r>
      <w:r w:rsidDel="00000000" w:rsidR="00000000" w:rsidRPr="00000000">
        <w:rPr>
          <w:rFonts w:ascii="Palatino Linotype" w:cs="Palatino Linotype" w:eastAsia="Palatino Linotype" w:hAnsi="Palatino Linotype"/>
          <w:b w:val="1"/>
          <w:sz w:val="22"/>
          <w:szCs w:val="22"/>
          <w:rtl w:val="0"/>
        </w:rPr>
        <w:t xml:space="preserve">Director de Recursos Humanos</w:t>
      </w:r>
      <w:r w:rsidDel="00000000" w:rsidR="00000000" w:rsidRPr="00000000">
        <w:rPr>
          <w:rFonts w:ascii="Palatino Linotype" w:cs="Palatino Linotype" w:eastAsia="Palatino Linotype" w:hAnsi="Palatino Linotype"/>
          <w:sz w:val="22"/>
          <w:szCs w:val="22"/>
          <w:rtl w:val="0"/>
        </w:rPr>
        <w:t xml:space="preserve">, quien informó que derivado de una búsqueda exhaustiva y razonable dentro de sus archivos, durante los ejercicios 2023 y 2024 a la fecha de emisión de la respuesta de la solicitud, hace entrega de la información de la que se tiene registro relativa al rubro de capacitación de la referida servidora pública, conforme al siguiente cuadro: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5707912" cy="1470672"/>
            <wp:effectExtent b="0" l="0" r="0" t="0"/>
            <wp:docPr id="1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07912" cy="147067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6575520" cy="396351"/>
            <wp:effectExtent b="0" l="0" r="0" t="0"/>
            <wp:docPr id="11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75520" cy="396351"/>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persona solicitante, al no estar conforme con los términos de la misma, interpuso el recurso de revisión que nos ocupa, mediante el cual se inconformó medularmente por la negativa a la información.</w:t>
      </w:r>
    </w:p>
    <w:p w:rsidR="00000000" w:rsidDel="00000000" w:rsidP="00000000" w:rsidRDefault="00000000" w:rsidRPr="00000000" w14:paraId="0000003A">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las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omisa en remitir manifestaciones, mientras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ratifico su respuesta.</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3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conviene recordar que, la persona solicitante realizó una expresión irrespetuosa en la interposición del recurso de revisión que nos ocupa, en contra de una persona servidora pública, con un término cargado de opinión y juicios de valor, lo cual es subjetivo, ya que refleja la opinión de quien lo dice, y de su lectura se advierte la intención de exhibir a la persona en comento. </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Dichos textos atentan directamente contra el prestigio de la servidora pública que emitió la respuesta a la solicitud que nos ocupa, ya que deliberadamente mediante un lenguaje inapropiado respecto a esta persona, se refirió como “…</w:t>
      </w:r>
      <w:r w:rsidDel="00000000" w:rsidR="00000000" w:rsidRPr="00000000">
        <w:rPr>
          <w:rFonts w:ascii="Palatino Linotype" w:cs="Palatino Linotype" w:eastAsia="Palatino Linotype" w:hAnsi="Palatino Linotype"/>
          <w:i w:val="1"/>
          <w:sz w:val="22"/>
          <w:szCs w:val="22"/>
          <w:rtl w:val="0"/>
        </w:rPr>
        <w:t xml:space="preserve">el señor tapadera, huele colas y solapador de la Visitadora,...</w:t>
      </w:r>
      <w:r w:rsidDel="00000000" w:rsidR="00000000" w:rsidRPr="00000000">
        <w:rPr>
          <w:rFonts w:ascii="Palatino Linotype" w:cs="Palatino Linotype" w:eastAsia="Palatino Linotype" w:hAnsi="Palatino Linotype"/>
          <w:sz w:val="22"/>
          <w:szCs w:val="22"/>
          <w:rtl w:val="0"/>
        </w:rPr>
        <w:t xml:space="preserve">” (Sic), sin que ello sea el fin último de las solicitudes de información y sus medios de impugnación.</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el derecho de acceso a la información pública </w:t>
      </w:r>
      <w:r w:rsidDel="00000000" w:rsidR="00000000" w:rsidRPr="00000000">
        <w:rPr>
          <w:rFonts w:ascii="Palatino Linotype" w:cs="Palatino Linotype" w:eastAsia="Palatino Linotype" w:hAnsi="Palatino Linotype"/>
          <w:b w:val="1"/>
          <w:sz w:val="22"/>
          <w:szCs w:val="22"/>
          <w:rtl w:val="0"/>
        </w:rPr>
        <w:t xml:space="preserve">debe ser ejercido de forma respetuosa,</w:t>
      </w:r>
      <w:r w:rsidDel="00000000" w:rsidR="00000000" w:rsidRPr="00000000">
        <w:rPr>
          <w:rFonts w:ascii="Palatino Linotype" w:cs="Palatino Linotype" w:eastAsia="Palatino Linotype" w:hAnsi="Palatino Linotype"/>
          <w:sz w:val="22"/>
          <w:szCs w:val="22"/>
          <w:rtl w:val="0"/>
        </w:rPr>
        <w:t xml:space="preserve"> sin usar lenguaje altisonante, usando groserías o expresiones insultantes, en doble sentido, o bien, apoyándose de apodos para referirse a personas relacionadas con la función pública, cuya finalidad o intención sea ocasionar agravios en la moral de estas.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considera que no se puede ejercer el derecho de acceso a la información ni el recurso de revisión para injuriar e insultar a cualquier persona relacionada con la función pública,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Corolario a lo anterior es de hacer notar, como referencia concatenada, lo que establece el artículo 8 de la Constitución Política de los Estados Unidos Mexicanos, que para el caso que nos ocupa, reza:</w:t>
      </w:r>
      <w:r w:rsidDel="00000000" w:rsidR="00000000" w:rsidRPr="00000000">
        <w:rPr>
          <w:rFonts w:ascii="Palatino Linotype" w:cs="Palatino Linotype" w:eastAsia="Palatino Linotype" w:hAnsi="Palatino Linotype"/>
          <w:i w:val="1"/>
          <w:sz w:val="22"/>
          <w:szCs w:val="22"/>
          <w:rtl w:val="0"/>
        </w:rPr>
        <w:tab/>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8o</w:t>
      </w:r>
      <w:r w:rsidDel="00000000" w:rsidR="00000000" w:rsidRPr="00000000">
        <w:rPr>
          <w:rFonts w:ascii="Palatino Linotype" w:cs="Palatino Linotype" w:eastAsia="Palatino Linotype" w:hAnsi="Palatino Linotype"/>
          <w:i w:val="1"/>
          <w:sz w:val="22"/>
          <w:szCs w:val="22"/>
          <w:rtl w:val="0"/>
        </w:rPr>
        <w:t xml:space="preserve">. Los funcionarios y empleados públicos respetarán el ejercicio del derecho de petición, siempre que ésta se formule por escrito, </w:t>
      </w:r>
      <w:r w:rsidDel="00000000" w:rsidR="00000000" w:rsidRPr="00000000">
        <w:rPr>
          <w:rFonts w:ascii="Palatino Linotype" w:cs="Palatino Linotype" w:eastAsia="Palatino Linotype" w:hAnsi="Palatino Linotype"/>
          <w:b w:val="1"/>
          <w:i w:val="1"/>
          <w:sz w:val="22"/>
          <w:szCs w:val="22"/>
          <w:u w:val="single"/>
          <w:rtl w:val="0"/>
        </w:rPr>
        <w:t xml:space="preserve">de manera pacífica y respetuosa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bien es cierto que la naturaleza jurídica del bien tutelado por los artículos 6 y 8 de la Constitución son distintos, lo cierto es que de una interpretación adminiculada respecto del respeto, se homologa, pues no podemos interpretar a contrario sensu que si el artículo 8 dice: “de manera pacífica y respetuosa”, se entienda que como no lo establece el artículo 6 entonces se puedan hacer las solicitudes de manera no pacífica e irrespetuosa, claro que no, y no se discute en este punto la diferencia del bien jurídico tutelado por cada artículo, sino la similitud de estos dos artículos en la forma de ejercer dichos derechos.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orden de ideas el artículo 9 Constitucional, refiere: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ilegal, y no podrá ser disuelta una asamblea o reunión que tenga por objeto hacer una petición o presentar una protesta por algún acto, a una autoridad, </w:t>
      </w:r>
      <w:r w:rsidDel="00000000" w:rsidR="00000000" w:rsidRPr="00000000">
        <w:rPr>
          <w:rFonts w:ascii="Palatino Linotype" w:cs="Palatino Linotype" w:eastAsia="Palatino Linotype" w:hAnsi="Palatino Linotype"/>
          <w:b w:val="1"/>
          <w:i w:val="1"/>
          <w:sz w:val="22"/>
          <w:szCs w:val="22"/>
          <w:u w:val="single"/>
          <w:rtl w:val="0"/>
        </w:rPr>
        <w:t xml:space="preserve">si no se profieren injurias</w:t>
      </w:r>
      <w:r w:rsidDel="00000000" w:rsidR="00000000" w:rsidRPr="00000000">
        <w:rPr>
          <w:rFonts w:ascii="Palatino Linotype" w:cs="Palatino Linotype" w:eastAsia="Palatino Linotype" w:hAnsi="Palatino Linotype"/>
          <w:i w:val="1"/>
          <w:sz w:val="22"/>
          <w:szCs w:val="22"/>
          <w:rtl w:val="0"/>
        </w:rPr>
        <w:t xml:space="preserve"> contra ésta,…”</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contrario sensu</w:t>
      </w:r>
      <w:r w:rsidDel="00000000" w:rsidR="00000000" w:rsidRPr="00000000">
        <w:rPr>
          <w:rFonts w:ascii="Palatino Linotype" w:cs="Palatino Linotype" w:eastAsia="Palatino Linotype" w:hAnsi="Palatino Linotype"/>
          <w:sz w:val="22"/>
          <w:szCs w:val="22"/>
          <w:rtl w:val="0"/>
        </w:rPr>
        <w:t xml:space="preserve">, el derecho de asociación será ilegal y la asociación que resulte, disuelta, si su petición menciona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necesario precisar que el bien jurídico tutelado que establece la Constitución Política de los Estados Unidos Mexicanos en su artículo 6, inciso A fracción III:</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Para el ejercicio del derecho de acceso a la información, la Federación y las entidades federativas,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Toda persona, sin </w:t>
      </w:r>
      <w:r w:rsidDel="00000000" w:rsidR="00000000" w:rsidRPr="00000000">
        <w:rPr>
          <w:rFonts w:ascii="Palatino Linotype" w:cs="Palatino Linotype" w:eastAsia="Palatino Linotype" w:hAnsi="Palatino Linotype"/>
          <w:b w:val="1"/>
          <w:i w:val="1"/>
          <w:sz w:val="22"/>
          <w:szCs w:val="22"/>
          <w:u w:val="single"/>
          <w:rtl w:val="0"/>
        </w:rPr>
        <w:t xml:space="preserve">necesidad de acreditar interés alguno</w:t>
      </w:r>
      <w:r w:rsidDel="00000000" w:rsidR="00000000" w:rsidRPr="00000000">
        <w:rPr>
          <w:rFonts w:ascii="Palatino Linotype" w:cs="Palatino Linotype" w:eastAsia="Palatino Linotype" w:hAnsi="Palatino Linotype"/>
          <w:i w:val="1"/>
          <w:sz w:val="22"/>
          <w:szCs w:val="22"/>
          <w:rtl w:val="0"/>
        </w:rPr>
        <w:t xml:space="preserve"> o justificar su utilización, tendrá acceso gratuito a la información pública, a sus datos personales o a la rectificación de éstos.”</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el derecho de acceso a la información pública, “…</w:t>
      </w:r>
      <w:r w:rsidDel="00000000" w:rsidR="00000000" w:rsidRPr="00000000">
        <w:rPr>
          <w:rFonts w:ascii="Palatino Linotype" w:cs="Palatino Linotype" w:eastAsia="Palatino Linotype" w:hAnsi="Palatino Linotype"/>
          <w:b w:val="1"/>
          <w:sz w:val="22"/>
          <w:szCs w:val="22"/>
          <w:u w:val="single"/>
          <w:rtl w:val="0"/>
        </w:rPr>
        <w:t xml:space="preserve">sin necesidad de acreditar interés alguno</w:t>
      </w:r>
      <w:r w:rsidDel="00000000" w:rsidR="00000000" w:rsidRPr="00000000">
        <w:rPr>
          <w:rFonts w:ascii="Palatino Linotype" w:cs="Palatino Linotype" w:eastAsia="Palatino Linotype" w:hAnsi="Palatino Linotype"/>
          <w:sz w:val="22"/>
          <w:szCs w:val="22"/>
          <w:rtl w:val="0"/>
        </w:rPr>
        <w:t xml:space="preserve">…” es para acceder a la información pública, en ningún momento y bajo ninguna circunstancia se puede interpretar que no acreditar interés pueda conllevar insultos, faltas de respeto, injurias, burlas, groserías y demás lenguaje grosero, cuya intención sea ocasionar agravios morales a los funcionarios públicos.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 por lo tanto, </w:t>
      </w:r>
      <w:r w:rsidDel="00000000" w:rsidR="00000000" w:rsidRPr="00000000">
        <w:rPr>
          <w:rFonts w:ascii="Palatino Linotype" w:cs="Palatino Linotype" w:eastAsia="Palatino Linotype" w:hAnsi="Palatino Linotype"/>
          <w:b w:val="1"/>
          <w:sz w:val="22"/>
          <w:szCs w:val="22"/>
          <w:rtl w:val="0"/>
        </w:rPr>
        <w:t xml:space="preserve">se exhorta a la persona solicitante a que se abstenga de usar expresiones irrespetuosas pues de lo contrario, no se podría ejercer el derecho de acceso a la información pública si primigeniamente no hay un lenguaje que respete a las personas servidoras públicas o relacionadas con la función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podemos concluir que “…</w:t>
      </w:r>
      <w:r w:rsidDel="00000000" w:rsidR="00000000" w:rsidRPr="00000000">
        <w:rPr>
          <w:rFonts w:ascii="Palatino Linotype" w:cs="Palatino Linotype" w:eastAsia="Palatino Linotype" w:hAnsi="Palatino Linotype"/>
          <w:b w:val="1"/>
          <w:i w:val="1"/>
          <w:sz w:val="22"/>
          <w:szCs w:val="22"/>
          <w:u w:val="single"/>
          <w:rtl w:val="0"/>
        </w:rPr>
        <w:t xml:space="preserve">sin necesidad de acreditar interés alguno</w:t>
      </w:r>
      <w:r w:rsidDel="00000000" w:rsidR="00000000" w:rsidRPr="00000000">
        <w:rPr>
          <w:rFonts w:ascii="Palatino Linotype" w:cs="Palatino Linotype" w:eastAsia="Palatino Linotype" w:hAnsi="Palatino Linotype"/>
          <w:sz w:val="22"/>
          <w:szCs w:val="22"/>
          <w:rtl w:val="0"/>
        </w:rPr>
        <w:t xml:space="preserve">…”, no crea derechos para insultar a los funcionarios públicos, ni se puede interpretar de tal suerte que haga que las ofensas plasmadas en el texto de una solicitud o recurso de revisión, no existieren, siendo que el respeto es la señal mínima que subrepticiamente debe estar siempre presente al ejercer el derecho de acceso a la información pública.</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en el presente caso se actualiza la hipótesis prevista en la fracción V, del artículo 192 de la Ley de Transparencia y Acceso a la Información Pública del Estado de México y Municipios, que establece:</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141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192</w:t>
      </w:r>
      <w:r w:rsidDel="00000000" w:rsidR="00000000" w:rsidRPr="00000000">
        <w:rPr>
          <w:rFonts w:ascii="Palatino Linotype" w:cs="Palatino Linotype" w:eastAsia="Palatino Linotype" w:hAnsi="Palatino Linotype"/>
          <w:i w:val="1"/>
          <w:sz w:val="22"/>
          <w:szCs w:val="22"/>
          <w:rtl w:val="0"/>
        </w:rPr>
        <w:t xml:space="preserve">. El recurso será sobreseído, en todo o en parte, cuando una vez admitido, se actualicen alguno de los siguientes supuestos:</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41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por cualquier motivo quede sin materia. “</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en líneas anteriores, resultan </w:t>
      </w:r>
      <w:r w:rsidDel="00000000" w:rsidR="00000000" w:rsidRPr="00000000">
        <w:rPr>
          <w:rFonts w:ascii="Palatino Linotype" w:cs="Palatino Linotype" w:eastAsia="Palatino Linotype" w:hAnsi="Palatino Linotype"/>
          <w:b w:val="1"/>
          <w:sz w:val="22"/>
          <w:szCs w:val="22"/>
          <w:rtl w:val="0"/>
        </w:rPr>
        <w:t xml:space="preserve">infundados </w:t>
      </w:r>
      <w:r w:rsidDel="00000000" w:rsidR="00000000" w:rsidRPr="00000000">
        <w:rPr>
          <w:rFonts w:ascii="Palatino Linotype" w:cs="Palatino Linotype" w:eastAsia="Palatino Linotype" w:hAnsi="Palatino Linotype"/>
          <w:sz w:val="22"/>
          <w:szCs w:val="22"/>
          <w:rtl w:val="0"/>
        </w:rPr>
        <w:t xml:space="preserve">los motivos de inconformidad que arguye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su medio de impugnación que fue materia de estudio, por ello con fundamento en el artículo 186, fracción I, en concordancia con el artículo 192, fracción V,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w:t>
      </w:r>
      <w:r w:rsidDel="00000000" w:rsidR="00000000" w:rsidRPr="00000000">
        <w:rPr>
          <w:rFonts w:ascii="Palatino Linotype" w:cs="Palatino Linotype" w:eastAsia="Palatino Linotype" w:hAnsi="Palatino Linotype"/>
          <w:b w:val="1"/>
          <w:sz w:val="22"/>
          <w:szCs w:val="22"/>
          <w:rtl w:val="0"/>
        </w:rPr>
        <w:t xml:space="preserve">05694/INFOEM/IP/RR/2024</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56">
      <w:pPr>
        <w:rPr>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59">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05694/INFOEM/IP/RR/2024, </w:t>
      </w:r>
      <w:r w:rsidDel="00000000" w:rsidR="00000000" w:rsidRPr="00000000">
        <w:rPr>
          <w:rFonts w:ascii="Palatino Linotype" w:cs="Palatino Linotype" w:eastAsia="Palatino Linotype" w:hAnsi="Palatino Linotype"/>
          <w:sz w:val="22"/>
          <w:szCs w:val="22"/>
          <w:rtl w:val="0"/>
        </w:rPr>
        <w:t xml:space="preserve">conforme a la fracción V del artículo 192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sz w:val="22"/>
          <w:szCs w:val="22"/>
          <w:rtl w:val="0"/>
        </w:rPr>
        <w:t xml:space="preserve">Considerando Tercero</w:t>
      </w:r>
      <w:r w:rsidDel="00000000" w:rsidR="00000000" w:rsidRPr="00000000">
        <w:rPr>
          <w:rFonts w:ascii="Palatino Linotype" w:cs="Palatino Linotype" w:eastAsia="Palatino Linotype" w:hAnsi="Palatino Linotype"/>
          <w:sz w:val="22"/>
          <w:szCs w:val="22"/>
          <w:rtl w:val="0"/>
        </w:rPr>
        <w:t xml:space="preserve"> de la presente resolución.</w:t>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 la persona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 </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sectPr>
          <w:headerReference r:id="rId10" w:type="default"/>
          <w:headerReference r:id="rId11" w:type="first"/>
          <w:footerReference r:id="rId12" w:type="default"/>
          <w:footerReference r:id="rId13" w:type="first"/>
          <w:pgSz w:h="15840" w:w="12240" w:orient="portrait"/>
          <w:pgMar w:bottom="1701" w:top="1985" w:left="1701" w:right="1701" w:header="709" w:footer="709"/>
          <w:pgNumType w:start="1"/>
          <w:titlePg w:val="1"/>
        </w:sectPr>
      </w:pPr>
      <w:bookmarkStart w:colFirst="0" w:colLast="0" w:name="_heading=h.1t3h5sf" w:id="7"/>
      <w:bookmarkEnd w:id="7"/>
      <w:r w:rsidDel="00000000" w:rsidR="00000000" w:rsidRPr="00000000">
        <w:rPr>
          <w:rFonts w:ascii="Palatino Linotype" w:cs="Palatino Linotype" w:eastAsia="Palatino Linotype" w:hAnsi="Palatino Linotype"/>
          <w:sz w:val="22"/>
          <w:szCs w:val="22"/>
          <w:rtl w:val="0"/>
        </w:rPr>
        <w:t xml:space="preserve">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LUIS GUSTAVO PARRA NORIEGA (EMITIENDO VOTO DISIDENTE)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4" w:type="first"/>
      <w:footerReference r:id="rId15"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15</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rFonts w:ascii="Cambria" w:cs="Cambria" w:eastAsia="Cambria" w:hAnsi="Cambria"/>
        <w:color w:val="000000"/>
      </w:rPr>
    </w:pPr>
    <w:r w:rsidDel="00000000" w:rsidR="00000000" w:rsidRPr="00000000">
      <w:rPr>
        <w:rtl w:val="0"/>
      </w:rPr>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6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6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05694/INFOEM/IP/RR/2024</w:t>
          </w:r>
        </w:p>
      </w:tc>
    </w:tr>
    <w:tr>
      <w:trPr>
        <w:cantSplit w:val="0"/>
        <w:trHeight w:val="228" w:hRule="atLeast"/>
        <w:tblHeader w:val="0"/>
      </w:trPr>
      <w:tc>
        <w:tcPr>
          <w:shd w:fill="auto" w:val="clear"/>
          <w:vAlign w:val="center"/>
        </w:tcPr>
        <w:p w:rsidR="00000000" w:rsidDel="00000000" w:rsidP="00000000" w:rsidRDefault="00000000" w:rsidRPr="00000000" w14:paraId="0000006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64">
          <w:pPr>
            <w:ind w:right="-54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 Derechos Humanos del Estado de México</w:t>
          </w:r>
          <w:r w:rsidDel="00000000" w:rsidR="00000000" w:rsidRPr="00000000">
            <w:drawing>
              <wp:anchor allowOverlap="1" behindDoc="1" distB="0" distT="0" distL="0" distR="0" hidden="0" layoutInCell="1" locked="0" relativeHeight="0" simplePos="0">
                <wp:simplePos x="0" y="0"/>
                <wp:positionH relativeFrom="column">
                  <wp:posOffset>-4800598</wp:posOffset>
                </wp:positionH>
                <wp:positionV relativeFrom="paragraph">
                  <wp:posOffset>-880108</wp:posOffset>
                </wp:positionV>
                <wp:extent cx="7809865" cy="10165715"/>
                <wp:effectExtent b="0" l="0" r="0" t="0"/>
                <wp:wrapNone/>
                <wp:docPr id="1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06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6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67">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-1079489</wp:posOffset>
          </wp:positionH>
          <wp:positionV relativeFrom="paragraph">
            <wp:posOffset>-328917</wp:posOffset>
          </wp:positionV>
          <wp:extent cx="7809865" cy="10165715"/>
          <wp:effectExtent b="0" l="0" r="0" t="0"/>
          <wp:wrapNone/>
          <wp:docPr id="1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378.0" w:type="dxa"/>
      <w:jc w:val="left"/>
      <w:tblInd w:w="3261.0" w:type="dxa"/>
      <w:tblLayout w:type="fixed"/>
      <w:tblLook w:val="0400"/>
    </w:tblPr>
    <w:tblGrid>
      <w:gridCol w:w="2551"/>
      <w:gridCol w:w="3827"/>
      <w:tblGridChange w:id="0">
        <w:tblGrid>
          <w:gridCol w:w="2551"/>
          <w:gridCol w:w="3827"/>
        </w:tblGrid>
      </w:tblGridChange>
    </w:tblGrid>
    <w:tr>
      <w:trPr>
        <w:cantSplit w:val="0"/>
        <w:tblHeader w:val="0"/>
      </w:trPr>
      <w:tc>
        <w:tcPr>
          <w:shd w:fill="auto" w:val="clear"/>
          <w:vAlign w:val="center"/>
        </w:tcPr>
        <w:p w:rsidR="00000000" w:rsidDel="00000000" w:rsidP="00000000" w:rsidRDefault="00000000" w:rsidRPr="00000000" w14:paraId="0000006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6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05694/INFOEM/IP/RR/2024</w:t>
          </w:r>
        </w:p>
      </w:tc>
    </w:tr>
    <w:tr>
      <w:trPr>
        <w:cantSplit w:val="0"/>
        <w:trHeight w:val="130" w:hRule="atLeast"/>
        <w:tblHeader w:val="0"/>
      </w:trPr>
      <w:tc>
        <w:tcPr>
          <w:shd w:fill="auto" w:val="clear"/>
          <w:vAlign w:val="center"/>
        </w:tcPr>
        <w:p w:rsidR="00000000" w:rsidDel="00000000" w:rsidP="00000000" w:rsidRDefault="00000000" w:rsidRPr="00000000" w14:paraId="0000006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6C">
          <w:pPr>
            <w:ind w:left="-45" w:right="59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XXXXXXXXX</w:t>
          </w:r>
        </w:p>
      </w:tc>
    </w:tr>
    <w:tr>
      <w:trPr>
        <w:cantSplit w:val="0"/>
        <w:trHeight w:val="228" w:hRule="atLeast"/>
        <w:tblHeader w:val="0"/>
      </w:trPr>
      <w:tc>
        <w:tcPr>
          <w:shd w:fill="auto" w:val="clear"/>
          <w:vAlign w:val="center"/>
        </w:tcPr>
        <w:p w:rsidR="00000000" w:rsidDel="00000000" w:rsidP="00000000" w:rsidRDefault="00000000" w:rsidRPr="00000000" w14:paraId="0000006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6E">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 Derechos Humanos del Estado de México</w:t>
          </w:r>
        </w:p>
      </w:tc>
    </w:tr>
    <w:tr>
      <w:trPr>
        <w:cantSplit w:val="0"/>
        <w:tblHeader w:val="0"/>
      </w:trPr>
      <w:tc>
        <w:tcPr>
          <w:shd w:fill="auto" w:val="clear"/>
          <w:vAlign w:val="center"/>
        </w:tcPr>
        <w:p w:rsidR="00000000" w:rsidDel="00000000" w:rsidP="00000000" w:rsidRDefault="00000000" w:rsidRPr="00000000" w14:paraId="0000006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70">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750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15.0" w:type="dxa"/>
        <w:right w:w="115.0" w:type="dxa"/>
      </w:tblCellMar>
    </w:tblPr>
  </w:style>
  <w:style w:type="table" w:styleId="a0" w:customStyle="1">
    <w:basedOn w:val="TableNormal5"/>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215CF"/>
    <w:pPr>
      <w:tabs>
        <w:tab w:val="center" w:pos="4419"/>
        <w:tab w:val="right" w:pos="8838"/>
      </w:tabs>
    </w:pPr>
  </w:style>
  <w:style w:type="character" w:styleId="EncabezadoCar" w:customStyle="1">
    <w:name w:val="Encabezado Car"/>
    <w:basedOn w:val="Fuentedeprrafopredeter"/>
    <w:link w:val="Encabezado"/>
    <w:uiPriority w:val="99"/>
    <w:rsid w:val="00B215CF"/>
  </w:style>
  <w:style w:type="paragraph" w:styleId="Piedepgina">
    <w:name w:val="footer"/>
    <w:basedOn w:val="Normal"/>
    <w:link w:val="PiedepginaCar"/>
    <w:uiPriority w:val="99"/>
    <w:unhideWhenUsed w:val="1"/>
    <w:rsid w:val="00B215CF"/>
    <w:pPr>
      <w:tabs>
        <w:tab w:val="center" w:pos="4419"/>
        <w:tab w:val="right" w:pos="8838"/>
      </w:tabs>
    </w:pPr>
  </w:style>
  <w:style w:type="character" w:styleId="PiedepginaCar" w:customStyle="1">
    <w:name w:val="Pie de página Car"/>
    <w:basedOn w:val="Fuentedeprrafopredeter"/>
    <w:link w:val="Piedepgina"/>
    <w:uiPriority w:val="99"/>
    <w:rsid w:val="00B215CF"/>
  </w:style>
  <w:style w:type="paragraph" w:styleId="NormalWeb">
    <w:name w:val="Normal (Web)"/>
    <w:basedOn w:val="Normal"/>
    <w:uiPriority w:val="99"/>
    <w:unhideWhenUsed w:val="1"/>
    <w:rsid w:val="00DA0443"/>
    <w:pPr>
      <w:spacing w:after="100" w:afterAutospacing="1" w:before="100" w:beforeAutospacing="1"/>
    </w:pPr>
  </w:style>
  <w:style w:type="paragraph" w:styleId="Prrafodelista">
    <w:name w:val="List Paragraph"/>
    <w:basedOn w:val="Normal"/>
    <w:uiPriority w:val="34"/>
    <w:qFormat w:val="1"/>
    <w:rsid w:val="000038B1"/>
    <w:pPr>
      <w:ind w:left="720"/>
      <w:contextualSpacing w:val="1"/>
    </w:p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455091"/>
    <w:rPr>
      <w:color w:val="0000ff" w:themeColor="hyperlink"/>
      <w:u w:val="single"/>
    </w:rPr>
  </w:style>
  <w:style w:type="paragraph" w:styleId="Listaconvietas3">
    <w:name w:val="List Bullet 3"/>
    <w:basedOn w:val="Normal"/>
    <w:uiPriority w:val="99"/>
    <w:unhideWhenUsed w:val="1"/>
    <w:rsid w:val="00210E50"/>
    <w:pPr>
      <w:numPr>
        <w:numId w:val="4"/>
      </w:numPr>
      <w:contextualSpacing w:val="1"/>
    </w:pPr>
    <w:rPr>
      <w:lang w:val="es-ES"/>
    </w:r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Tablaconcuadrcula">
    <w:name w:val="Table Grid"/>
    <w:basedOn w:val="Tablanormal"/>
    <w:uiPriority w:val="39"/>
    <w:rsid w:val="00FA3E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visitado">
    <w:name w:val="FollowedHyperlink"/>
    <w:basedOn w:val="Fuentedeprrafopredeter"/>
    <w:uiPriority w:val="99"/>
    <w:semiHidden w:val="1"/>
    <w:unhideWhenUsed w:val="1"/>
    <w:rsid w:val="00FA3EBA"/>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3.xml"/><Relationship Id="rId1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GXA++aXC4GFAzNV1eHNBN9xHqA==">CgMxLjAyCWguMWZvYjl0ZTIIaC5namRneHMyCWguM2R5NnZrbTIJaC4zMGowemxsMgloLjJzOGV5bzEyCGgudHlqY3d0MgloLjN6bnlzaDcyCWguMXQzaDVzZjgAciExeUt5WUZzNS1DcHJ1NFFUTmh0emlnNEpWYUJTM01LeVg=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2024-11-29T17:59:00Z</dcterms:created>
  <dc:creator>USUARIO</dc:creator>
</cp:coreProperties>
</file>