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94D5"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EB03EB">
        <w:rPr>
          <w:rFonts w:ascii="Palatino Linotype" w:eastAsia="Palatino Linotype" w:hAnsi="Palatino Linotype" w:cs="Palatino Linotype"/>
          <w:b/>
          <w:sz w:val="22"/>
          <w:szCs w:val="22"/>
        </w:rPr>
        <w:t>once de septiembre de dos mil veinticuatro.</w:t>
      </w:r>
      <w:r w:rsidRPr="00EB03EB">
        <w:rPr>
          <w:rFonts w:ascii="Palatino Linotype" w:eastAsia="Palatino Linotype" w:hAnsi="Palatino Linotype" w:cs="Palatino Linotype"/>
          <w:sz w:val="22"/>
          <w:szCs w:val="22"/>
        </w:rPr>
        <w:t xml:space="preserve"> </w:t>
      </w:r>
    </w:p>
    <w:p w14:paraId="0628B2F5" w14:textId="77777777" w:rsidR="00426CAF" w:rsidRPr="00EB03EB" w:rsidRDefault="00426CAF">
      <w:pPr>
        <w:spacing w:line="360" w:lineRule="auto"/>
        <w:jc w:val="both"/>
        <w:rPr>
          <w:rFonts w:ascii="Palatino Linotype" w:eastAsia="Palatino Linotype" w:hAnsi="Palatino Linotype" w:cs="Palatino Linotype"/>
          <w:b/>
          <w:sz w:val="22"/>
          <w:szCs w:val="22"/>
        </w:rPr>
      </w:pPr>
    </w:p>
    <w:p w14:paraId="626612FB" w14:textId="0CE048AA" w:rsidR="00426CAF" w:rsidRPr="00EB03EB" w:rsidRDefault="00B0335B">
      <w:pPr>
        <w:spacing w:line="360" w:lineRule="auto"/>
        <w:jc w:val="both"/>
        <w:rPr>
          <w:rFonts w:ascii="Palatino Linotype" w:eastAsia="Palatino Linotype" w:hAnsi="Palatino Linotype" w:cs="Palatino Linotype"/>
          <w:b/>
          <w:sz w:val="22"/>
          <w:szCs w:val="22"/>
        </w:rPr>
      </w:pPr>
      <w:bookmarkStart w:id="0" w:name="_heading=h.30j0zll" w:colFirst="0" w:colLast="0"/>
      <w:bookmarkEnd w:id="0"/>
      <w:r w:rsidRPr="00EB03EB">
        <w:rPr>
          <w:rFonts w:ascii="Palatino Linotype" w:eastAsia="Palatino Linotype" w:hAnsi="Palatino Linotype" w:cs="Palatino Linotype"/>
          <w:b/>
          <w:sz w:val="22"/>
          <w:szCs w:val="22"/>
        </w:rPr>
        <w:t xml:space="preserve">Visto </w:t>
      </w:r>
      <w:r w:rsidRPr="00EB03EB">
        <w:rPr>
          <w:rFonts w:ascii="Palatino Linotype" w:eastAsia="Palatino Linotype" w:hAnsi="Palatino Linotype" w:cs="Palatino Linotype"/>
          <w:sz w:val="22"/>
          <w:szCs w:val="22"/>
        </w:rPr>
        <w:t xml:space="preserve">el expediente relativo al recurso de revisión </w:t>
      </w:r>
      <w:r w:rsidRPr="00EB03EB">
        <w:rPr>
          <w:rFonts w:ascii="Palatino Linotype" w:eastAsia="Palatino Linotype" w:hAnsi="Palatino Linotype" w:cs="Palatino Linotype"/>
          <w:b/>
          <w:sz w:val="22"/>
          <w:szCs w:val="22"/>
        </w:rPr>
        <w:t xml:space="preserve">01194/INFOEM/ICR-24/IP/RR/2024 </w:t>
      </w:r>
      <w:r w:rsidRPr="00EB03EB">
        <w:rPr>
          <w:rFonts w:ascii="Palatino Linotype" w:eastAsia="Palatino Linotype" w:hAnsi="Palatino Linotype" w:cs="Palatino Linotype"/>
          <w:sz w:val="22"/>
          <w:szCs w:val="22"/>
        </w:rPr>
        <w:t>interpuesto por</w:t>
      </w:r>
      <w:r w:rsidRPr="00EB03EB">
        <w:rPr>
          <w:rFonts w:ascii="Palatino Linotype" w:eastAsia="Palatino Linotype" w:hAnsi="Palatino Linotype" w:cs="Palatino Linotype"/>
          <w:b/>
          <w:sz w:val="22"/>
          <w:szCs w:val="22"/>
        </w:rPr>
        <w:t xml:space="preserve"> </w:t>
      </w:r>
      <w:r w:rsidR="004D00B0" w:rsidRPr="004D00B0">
        <w:rPr>
          <w:rFonts w:ascii="Palatino Linotype" w:eastAsia="Palatino Linotype" w:hAnsi="Palatino Linotype" w:cs="Palatino Linotype"/>
          <w:b/>
          <w:sz w:val="22"/>
          <w:szCs w:val="22"/>
        </w:rPr>
        <w:t>XXXXXX XXXXXXX XXXXXX</w:t>
      </w:r>
      <w:r w:rsidRPr="00EB03EB">
        <w:rPr>
          <w:rFonts w:ascii="Palatino Linotype" w:eastAsia="Palatino Linotype" w:hAnsi="Palatino Linotype" w:cs="Palatino Linotype"/>
          <w:b/>
          <w:sz w:val="22"/>
          <w:szCs w:val="22"/>
        </w:rPr>
        <w:t>,</w:t>
      </w:r>
      <w:r w:rsidRPr="00EB03EB">
        <w:rPr>
          <w:rFonts w:ascii="Palatino Linotype" w:eastAsia="Palatino Linotype" w:hAnsi="Palatino Linotype" w:cs="Palatino Linotype"/>
          <w:sz w:val="22"/>
          <w:szCs w:val="22"/>
        </w:rPr>
        <w:t xml:space="preserve"> a quien en lo sucesivo le denominaremos como </w:t>
      </w:r>
      <w:r w:rsidRPr="00EB03EB">
        <w:rPr>
          <w:rFonts w:ascii="Palatino Linotype" w:eastAsia="Palatino Linotype" w:hAnsi="Palatino Linotype" w:cs="Palatino Linotype"/>
          <w:b/>
          <w:sz w:val="22"/>
          <w:szCs w:val="22"/>
        </w:rPr>
        <w:t>la parte Recurrente,</w:t>
      </w:r>
      <w:r w:rsidRPr="00EB03EB">
        <w:rPr>
          <w:rFonts w:ascii="Palatino Linotype" w:eastAsia="Palatino Linotype" w:hAnsi="Palatino Linotype" w:cs="Palatino Linotype"/>
          <w:sz w:val="22"/>
          <w:szCs w:val="22"/>
        </w:rPr>
        <w:t xml:space="preserve"> en contra de la respuesta a la solicitud de información con número de folio</w:t>
      </w:r>
      <w:r w:rsidRPr="00EB03EB">
        <w:t xml:space="preserve"> </w:t>
      </w:r>
      <w:r w:rsidRPr="00EB03EB">
        <w:rPr>
          <w:rFonts w:ascii="Palatino Linotype" w:eastAsia="Palatino Linotype" w:hAnsi="Palatino Linotype" w:cs="Palatino Linotype"/>
          <w:b/>
          <w:sz w:val="22"/>
          <w:szCs w:val="22"/>
        </w:rPr>
        <w:t>00193/IXTAPALU/IP/2024,</w:t>
      </w:r>
      <w:r w:rsidRPr="00EB03EB">
        <w:rPr>
          <w:rFonts w:ascii="Palatino Linotype" w:eastAsia="Palatino Linotype" w:hAnsi="Palatino Linotype" w:cs="Palatino Linotype"/>
          <w:sz w:val="22"/>
          <w:szCs w:val="22"/>
        </w:rPr>
        <w:t xml:space="preserve"> por parte del </w:t>
      </w:r>
      <w:r w:rsidRPr="00EB03EB">
        <w:rPr>
          <w:rFonts w:ascii="Palatino Linotype" w:eastAsia="Palatino Linotype" w:hAnsi="Palatino Linotype" w:cs="Palatino Linotype"/>
          <w:b/>
          <w:sz w:val="22"/>
          <w:szCs w:val="22"/>
        </w:rPr>
        <w:t xml:space="preserve">Ayuntamiento de Ixtapaluca </w:t>
      </w:r>
      <w:r w:rsidRPr="00EB03EB">
        <w:rPr>
          <w:rFonts w:ascii="Palatino Linotype" w:eastAsia="Palatino Linotype" w:hAnsi="Palatino Linotype" w:cs="Palatino Linotype"/>
          <w:sz w:val="22"/>
          <w:szCs w:val="22"/>
        </w:rPr>
        <w:t xml:space="preserve">que en lo sucesivo será identificado como </w:t>
      </w:r>
      <w:r w:rsidRPr="00EB03EB">
        <w:rPr>
          <w:rFonts w:ascii="Palatino Linotype" w:eastAsia="Palatino Linotype" w:hAnsi="Palatino Linotype" w:cs="Palatino Linotype"/>
          <w:b/>
          <w:sz w:val="22"/>
          <w:szCs w:val="22"/>
        </w:rPr>
        <w:t>el Sujeto Obligado;</w:t>
      </w:r>
      <w:r w:rsidRPr="00EB03EB">
        <w:rPr>
          <w:rFonts w:ascii="Palatino Linotype" w:eastAsia="Palatino Linotype" w:hAnsi="Palatino Linotype" w:cs="Palatino Linotype"/>
          <w:sz w:val="22"/>
          <w:szCs w:val="22"/>
        </w:rPr>
        <w:t xml:space="preserve"> en cumplimiento a la determinación del diverso con número </w:t>
      </w:r>
      <w:r w:rsidRPr="00EB03EB">
        <w:rPr>
          <w:rFonts w:ascii="Palatino Linotype" w:eastAsia="Palatino Linotype" w:hAnsi="Palatino Linotype" w:cs="Palatino Linotype"/>
          <w:b/>
          <w:sz w:val="22"/>
          <w:szCs w:val="22"/>
        </w:rPr>
        <w:t xml:space="preserve">01194/INFOEM/IP/RR/2024 </w:t>
      </w:r>
      <w:r w:rsidRPr="00EB03EB">
        <w:rPr>
          <w:rFonts w:ascii="Palatino Linotype" w:eastAsia="Palatino Linotype" w:hAnsi="Palatino Linotype" w:cs="Palatino Linotype"/>
          <w:sz w:val="22"/>
          <w:szCs w:val="22"/>
        </w:rPr>
        <w:t>se procede a dictar la presente resolución, con base en los siguientes:</w:t>
      </w:r>
    </w:p>
    <w:p w14:paraId="00F306F2"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065E2AA3" w14:textId="77777777" w:rsidR="00426CAF" w:rsidRPr="00EB03EB" w:rsidRDefault="00B0335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I. A N T E C E D E N T E S:</w:t>
      </w:r>
    </w:p>
    <w:p w14:paraId="659675F2" w14:textId="77777777" w:rsidR="00426CAF" w:rsidRPr="00EB03EB" w:rsidRDefault="00426CAF">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5837BC3C" w14:textId="77777777" w:rsidR="00426CAF" w:rsidRPr="00EB03EB" w:rsidRDefault="00B0335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1. Solicitud de acceso a la información. </w:t>
      </w:r>
      <w:r w:rsidRPr="00EB03EB">
        <w:rPr>
          <w:rFonts w:ascii="Palatino Linotype" w:eastAsia="Palatino Linotype" w:hAnsi="Palatino Linotype" w:cs="Palatino Linotype"/>
          <w:sz w:val="22"/>
          <w:szCs w:val="22"/>
        </w:rPr>
        <w:t xml:space="preserve">El </w:t>
      </w:r>
      <w:r w:rsidRPr="00EB03EB">
        <w:rPr>
          <w:rFonts w:ascii="Palatino Linotype" w:eastAsia="Palatino Linotype" w:hAnsi="Palatino Linotype" w:cs="Palatino Linotype"/>
          <w:b/>
          <w:sz w:val="22"/>
          <w:szCs w:val="22"/>
        </w:rPr>
        <w:t>ocho de febrero de dos mil veinticuatro</w:t>
      </w:r>
      <w:r w:rsidRPr="00EB03EB">
        <w:rPr>
          <w:rFonts w:ascii="Palatino Linotype" w:eastAsia="Palatino Linotype" w:hAnsi="Palatino Linotype" w:cs="Palatino Linotype"/>
          <w:sz w:val="22"/>
          <w:szCs w:val="22"/>
        </w:rPr>
        <w:t xml:space="preserve">, </w:t>
      </w:r>
      <w:r w:rsidRPr="00EB03EB">
        <w:rPr>
          <w:rFonts w:ascii="Palatino Linotype" w:eastAsia="Palatino Linotype" w:hAnsi="Palatino Linotype" w:cs="Palatino Linotype"/>
          <w:b/>
          <w:sz w:val="22"/>
          <w:szCs w:val="22"/>
        </w:rPr>
        <w:t>la parte Recurrente</w:t>
      </w:r>
      <w:r w:rsidRPr="00EB03EB">
        <w:rPr>
          <w:rFonts w:ascii="Palatino Linotype" w:eastAsia="Palatino Linotype" w:hAnsi="Palatino Linotype" w:cs="Palatino Linotype"/>
          <w:sz w:val="22"/>
          <w:szCs w:val="22"/>
        </w:rPr>
        <w:t xml:space="preserve"> formuló la solicitud</w:t>
      </w:r>
      <w:r w:rsidRPr="00EB03EB">
        <w:t xml:space="preserve"> </w:t>
      </w:r>
      <w:r w:rsidRPr="00EB03EB">
        <w:rPr>
          <w:rFonts w:ascii="Palatino Linotype" w:eastAsia="Palatino Linotype" w:hAnsi="Palatino Linotype" w:cs="Palatino Linotype"/>
          <w:b/>
          <w:sz w:val="22"/>
          <w:szCs w:val="22"/>
        </w:rPr>
        <w:t xml:space="preserve">00193/IXTAPALU/IP/2024, </w:t>
      </w:r>
      <w:r w:rsidRPr="00EB03EB">
        <w:rPr>
          <w:rFonts w:ascii="Palatino Linotype" w:eastAsia="Palatino Linotype" w:hAnsi="Palatino Linotype" w:cs="Palatino Linotype"/>
          <w:sz w:val="22"/>
          <w:szCs w:val="22"/>
        </w:rPr>
        <w:t xml:space="preserve">al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xml:space="preserve"> a través del Sistema de Acceso a la Información Mexiquense, en adelante </w:t>
      </w:r>
      <w:r w:rsidRPr="00EB03EB">
        <w:rPr>
          <w:rFonts w:ascii="Palatino Linotype" w:eastAsia="Palatino Linotype" w:hAnsi="Palatino Linotype" w:cs="Palatino Linotype"/>
          <w:b/>
          <w:sz w:val="22"/>
          <w:szCs w:val="22"/>
        </w:rPr>
        <w:t>SAIMEX</w:t>
      </w:r>
      <w:r w:rsidRPr="00EB03EB">
        <w:rPr>
          <w:rFonts w:ascii="Palatino Linotype" w:eastAsia="Palatino Linotype" w:hAnsi="Palatino Linotype" w:cs="Palatino Linotype"/>
          <w:sz w:val="22"/>
          <w:szCs w:val="22"/>
        </w:rPr>
        <w:t>, requiriendo lo siguiente:</w:t>
      </w:r>
    </w:p>
    <w:p w14:paraId="6D3D40EE"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1F0E352" w14:textId="77777777" w:rsidR="00426CAF" w:rsidRPr="00EB03EB" w:rsidRDefault="00B0335B">
      <w:pPr>
        <w:pBdr>
          <w:top w:val="nil"/>
          <w:left w:val="nil"/>
          <w:bottom w:val="nil"/>
          <w:right w:val="nil"/>
          <w:between w:val="nil"/>
        </w:pBdr>
        <w:ind w:left="567"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“Solicito al Municipio de Ixtapaluca administración 2022-2024, así como a la tesorería municipal, al ICUFIDE o a la persona encargada el presupuesto ejecutado, el proyecto, los contratos con sus anexos, el perfil del proveedor o constructora que realizó y/o ejecutó la remodelación de la Unidad Deportiva Emiliano Zapata que se encuentra en Ignacio Zaragoza Manzana 011, La Venta, 56530 Ixtapaluca, Méx.” (Sic)</w:t>
      </w:r>
    </w:p>
    <w:p w14:paraId="714D9A2D"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920A4F0"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Modalidad elegida para la entrega de la información: </w:t>
      </w:r>
      <w:r w:rsidRPr="00EB03EB">
        <w:rPr>
          <w:rFonts w:ascii="Palatino Linotype" w:eastAsia="Palatino Linotype" w:hAnsi="Palatino Linotype" w:cs="Palatino Linotype"/>
          <w:sz w:val="22"/>
          <w:szCs w:val="22"/>
        </w:rPr>
        <w:t xml:space="preserve">a través del </w:t>
      </w:r>
      <w:r w:rsidRPr="00EB03EB">
        <w:rPr>
          <w:rFonts w:ascii="Palatino Linotype" w:eastAsia="Palatino Linotype" w:hAnsi="Palatino Linotype" w:cs="Palatino Linotype"/>
          <w:b/>
          <w:sz w:val="22"/>
          <w:szCs w:val="22"/>
        </w:rPr>
        <w:t>SAIMEX</w:t>
      </w:r>
      <w:r w:rsidRPr="00EB03EB">
        <w:rPr>
          <w:rFonts w:ascii="Palatino Linotype" w:eastAsia="Palatino Linotype" w:hAnsi="Palatino Linotype" w:cs="Palatino Linotype"/>
          <w:sz w:val="22"/>
          <w:szCs w:val="22"/>
        </w:rPr>
        <w:t>.</w:t>
      </w:r>
    </w:p>
    <w:p w14:paraId="046456F2"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18682788"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lastRenderedPageBreak/>
        <w:t xml:space="preserve">2. Respuesta. </w:t>
      </w:r>
      <w:r w:rsidRPr="00EB03EB">
        <w:rPr>
          <w:rFonts w:ascii="Palatino Linotype" w:eastAsia="Palatino Linotype" w:hAnsi="Palatino Linotype" w:cs="Palatino Linotype"/>
          <w:sz w:val="22"/>
          <w:szCs w:val="22"/>
        </w:rPr>
        <w:t xml:space="preserve">De las constancias que obran en el expediente, se tiene que 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xml:space="preserve"> no proporcionó respuesta a la solicitud de información. </w:t>
      </w:r>
    </w:p>
    <w:p w14:paraId="6EC146EC" w14:textId="77777777" w:rsidR="00426CAF" w:rsidRPr="00EB03EB" w:rsidRDefault="00426CAF">
      <w:pPr>
        <w:spacing w:line="360" w:lineRule="auto"/>
        <w:jc w:val="both"/>
        <w:rPr>
          <w:rFonts w:ascii="Palatino Linotype" w:eastAsia="Palatino Linotype" w:hAnsi="Palatino Linotype" w:cs="Palatino Linotype"/>
          <w:b/>
          <w:sz w:val="22"/>
          <w:szCs w:val="22"/>
        </w:rPr>
      </w:pPr>
    </w:p>
    <w:p w14:paraId="07CAC69F"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3. Interposición del Recurso de Revisión</w:t>
      </w:r>
      <w:r w:rsidRPr="00EB03EB">
        <w:rPr>
          <w:rFonts w:ascii="Palatino Linotype" w:eastAsia="Palatino Linotype" w:hAnsi="Palatino Linotype" w:cs="Palatino Linotype"/>
          <w:sz w:val="22"/>
          <w:szCs w:val="22"/>
        </w:rPr>
        <w:t xml:space="preserve">. Inconforme la persona solicitante con la falta de respuesta del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xml:space="preserve">, el </w:t>
      </w:r>
      <w:r w:rsidRPr="00EB03EB">
        <w:rPr>
          <w:rFonts w:ascii="Palatino Linotype" w:eastAsia="Palatino Linotype" w:hAnsi="Palatino Linotype" w:cs="Palatino Linotype"/>
          <w:b/>
          <w:sz w:val="22"/>
          <w:szCs w:val="22"/>
        </w:rPr>
        <w:t>cuatro de marzo de dos mil veinticuatro</w:t>
      </w:r>
      <w:r w:rsidRPr="00EB03EB">
        <w:rPr>
          <w:rFonts w:ascii="Palatino Linotype" w:eastAsia="Palatino Linotype" w:hAnsi="Palatino Linotype" w:cs="Palatino Linotype"/>
          <w:sz w:val="22"/>
          <w:szCs w:val="22"/>
        </w:rPr>
        <w:t xml:space="preserve">, accionó este recurso de revisión a través de </w:t>
      </w:r>
      <w:r w:rsidRPr="00EB03EB">
        <w:rPr>
          <w:rFonts w:ascii="Palatino Linotype" w:eastAsia="Palatino Linotype" w:hAnsi="Palatino Linotype" w:cs="Palatino Linotype"/>
          <w:b/>
          <w:sz w:val="22"/>
          <w:szCs w:val="22"/>
        </w:rPr>
        <w:t>SAIMEX</w:t>
      </w:r>
      <w:r w:rsidRPr="00EB03EB">
        <w:rPr>
          <w:rFonts w:ascii="Palatino Linotype" w:eastAsia="Palatino Linotype" w:hAnsi="Palatino Linotype" w:cs="Palatino Linotype"/>
          <w:sz w:val="22"/>
          <w:szCs w:val="22"/>
        </w:rPr>
        <w:t>, expresando lo siguiente:</w:t>
      </w:r>
    </w:p>
    <w:p w14:paraId="0932710C" w14:textId="77777777" w:rsidR="00426CAF" w:rsidRPr="00EB03EB" w:rsidRDefault="00426CAF">
      <w:pPr>
        <w:spacing w:line="360" w:lineRule="auto"/>
        <w:jc w:val="both"/>
        <w:rPr>
          <w:rFonts w:ascii="Palatino Linotype" w:eastAsia="Palatino Linotype" w:hAnsi="Palatino Linotype" w:cs="Palatino Linotype"/>
          <w:b/>
          <w:sz w:val="22"/>
          <w:szCs w:val="22"/>
        </w:rPr>
      </w:pPr>
    </w:p>
    <w:p w14:paraId="6F277E12" w14:textId="77777777" w:rsidR="00426CAF" w:rsidRPr="00EB03EB" w:rsidRDefault="00B0335B">
      <w:pPr>
        <w:numPr>
          <w:ilvl w:val="0"/>
          <w:numId w:val="1"/>
        </w:numPr>
        <w:pBdr>
          <w:top w:val="nil"/>
          <w:left w:val="nil"/>
          <w:bottom w:val="nil"/>
          <w:right w:val="nil"/>
          <w:between w:val="nil"/>
        </w:pBdr>
        <w:spacing w:line="360" w:lineRule="auto"/>
        <w:ind w:left="567" w:hanging="141"/>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 xml:space="preserve">Acto impugnado: </w:t>
      </w:r>
    </w:p>
    <w:p w14:paraId="591C78E4" w14:textId="77777777" w:rsidR="00426CAF" w:rsidRPr="00EB03EB" w:rsidRDefault="00B0335B">
      <w:pPr>
        <w:pBdr>
          <w:top w:val="nil"/>
          <w:left w:val="nil"/>
          <w:bottom w:val="nil"/>
          <w:right w:val="nil"/>
          <w:between w:val="nil"/>
        </w:pBdr>
        <w:ind w:left="567" w:right="864" w:hanging="141"/>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“EL SUJETO OBLIGADO, EN ESTE CASO EL MUNICIPIO DE IXTAPALUCA, SU TESORERÍA, EL ICUFIDE O EL ORGANISMO ENCARGADO DE EJECUTAR LA OBRA DE LA INFORMACIÓN SOLICITADA NO ENTREGÓ EN TIEMPO Y FORMA LO SOLICITADO.” (Sic)</w:t>
      </w:r>
    </w:p>
    <w:p w14:paraId="3456A283" w14:textId="77777777" w:rsidR="00426CAF" w:rsidRPr="00EB03EB" w:rsidRDefault="00426CAF">
      <w:pPr>
        <w:pBdr>
          <w:top w:val="nil"/>
          <w:left w:val="nil"/>
          <w:bottom w:val="nil"/>
          <w:right w:val="nil"/>
          <w:between w:val="nil"/>
        </w:pBdr>
        <w:ind w:left="567" w:right="864" w:hanging="141"/>
        <w:jc w:val="both"/>
        <w:rPr>
          <w:rFonts w:ascii="Palatino Linotype" w:eastAsia="Palatino Linotype" w:hAnsi="Palatino Linotype" w:cs="Palatino Linotype"/>
          <w:i/>
          <w:sz w:val="22"/>
          <w:szCs w:val="22"/>
        </w:rPr>
      </w:pPr>
    </w:p>
    <w:p w14:paraId="7AA553B4" w14:textId="77777777" w:rsidR="00426CAF" w:rsidRPr="00EB03EB" w:rsidRDefault="00B0335B">
      <w:pPr>
        <w:numPr>
          <w:ilvl w:val="0"/>
          <w:numId w:val="1"/>
        </w:numPr>
        <w:pBdr>
          <w:top w:val="nil"/>
          <w:left w:val="nil"/>
          <w:bottom w:val="nil"/>
          <w:right w:val="nil"/>
          <w:between w:val="nil"/>
        </w:pBdr>
        <w:spacing w:line="360" w:lineRule="auto"/>
        <w:ind w:left="567" w:hanging="141"/>
        <w:jc w:val="both"/>
        <w:rPr>
          <w:rFonts w:ascii="Palatino Linotype" w:eastAsia="Palatino Linotype" w:hAnsi="Palatino Linotype" w:cs="Palatino Linotype"/>
          <w:sz w:val="22"/>
          <w:szCs w:val="22"/>
        </w:rPr>
      </w:pPr>
      <w:bookmarkStart w:id="1" w:name="_heading=h.tyjcwt" w:colFirst="0" w:colLast="0"/>
      <w:bookmarkEnd w:id="1"/>
      <w:r w:rsidRPr="00EB03EB">
        <w:rPr>
          <w:rFonts w:ascii="Palatino Linotype" w:eastAsia="Palatino Linotype" w:hAnsi="Palatino Linotype" w:cs="Palatino Linotype"/>
          <w:b/>
          <w:sz w:val="22"/>
          <w:szCs w:val="22"/>
        </w:rPr>
        <w:t>Razones o motivos de inconformidad</w:t>
      </w:r>
      <w:r w:rsidRPr="00EB03EB">
        <w:rPr>
          <w:rFonts w:ascii="Palatino Linotype" w:eastAsia="Palatino Linotype" w:hAnsi="Palatino Linotype" w:cs="Palatino Linotype"/>
          <w:sz w:val="22"/>
          <w:szCs w:val="22"/>
        </w:rPr>
        <w:t>:</w:t>
      </w:r>
    </w:p>
    <w:p w14:paraId="3389119C" w14:textId="77777777" w:rsidR="00426CAF" w:rsidRPr="00EB03EB" w:rsidRDefault="00B0335B">
      <w:pPr>
        <w:pBdr>
          <w:top w:val="nil"/>
          <w:left w:val="nil"/>
          <w:bottom w:val="nil"/>
          <w:right w:val="nil"/>
          <w:between w:val="nil"/>
        </w:pBdr>
        <w:ind w:left="567" w:right="864" w:hanging="141"/>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 “NO HAY RESPUESTA A LA INFORMACIÓN SOLICITADA. " (Sic)</w:t>
      </w:r>
    </w:p>
    <w:p w14:paraId="2C7552D5" w14:textId="77777777" w:rsidR="00426CAF" w:rsidRPr="00EB03EB" w:rsidRDefault="00426CA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2BF781F5" w14:textId="77777777" w:rsidR="00426CAF" w:rsidRPr="00EB03EB" w:rsidRDefault="00B0335B">
      <w:pPr>
        <w:spacing w:line="360" w:lineRule="auto"/>
        <w:ind w:right="5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4. Turno. </w:t>
      </w:r>
      <w:r w:rsidRPr="00EB03E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EB03EB">
        <w:rPr>
          <w:rFonts w:ascii="Palatino Linotype" w:eastAsia="Palatino Linotype" w:hAnsi="Palatino Linotype" w:cs="Palatino Linotype"/>
          <w:b/>
          <w:sz w:val="22"/>
          <w:szCs w:val="22"/>
        </w:rPr>
        <w:t xml:space="preserve">Comisionada Guadalupe Ramírez Peña, </w:t>
      </w:r>
      <w:r w:rsidRPr="00EB03EB">
        <w:rPr>
          <w:rFonts w:ascii="Palatino Linotype" w:eastAsia="Palatino Linotype" w:hAnsi="Palatino Linotype" w:cs="Palatino Linotype"/>
          <w:sz w:val="22"/>
          <w:szCs w:val="22"/>
        </w:rPr>
        <w:t>a efecto de que analizara sobre su admisión o su desechamiento.</w:t>
      </w:r>
    </w:p>
    <w:p w14:paraId="51415FE8" w14:textId="77777777" w:rsidR="00426CAF" w:rsidRPr="00EB03EB" w:rsidRDefault="00426CAF">
      <w:pPr>
        <w:spacing w:line="360" w:lineRule="auto"/>
        <w:ind w:right="51"/>
        <w:jc w:val="both"/>
        <w:rPr>
          <w:rFonts w:ascii="Palatino Linotype" w:eastAsia="Palatino Linotype" w:hAnsi="Palatino Linotype" w:cs="Palatino Linotype"/>
          <w:sz w:val="22"/>
          <w:szCs w:val="22"/>
        </w:rPr>
      </w:pPr>
    </w:p>
    <w:p w14:paraId="54092132"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5. Admisión del Recurso de revisión.</w:t>
      </w:r>
      <w:r w:rsidRPr="00EB03EB">
        <w:rPr>
          <w:rFonts w:ascii="Palatino Linotype" w:eastAsia="Palatino Linotype" w:hAnsi="Palatino Linotype" w:cs="Palatino Linotype"/>
          <w:sz w:val="22"/>
          <w:szCs w:val="22"/>
        </w:rPr>
        <w:t xml:space="preserve"> El </w:t>
      </w:r>
      <w:r w:rsidRPr="00EB03EB">
        <w:rPr>
          <w:rFonts w:ascii="Palatino Linotype" w:eastAsia="Palatino Linotype" w:hAnsi="Palatino Linotype" w:cs="Palatino Linotype"/>
          <w:b/>
          <w:sz w:val="22"/>
          <w:szCs w:val="22"/>
        </w:rPr>
        <w:t xml:space="preserve">siete de marzo de dos mil veinticuatro, </w:t>
      </w:r>
      <w:r w:rsidRPr="00EB03E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w:t>
      </w:r>
      <w:r w:rsidRPr="00EB03EB">
        <w:rPr>
          <w:rFonts w:ascii="Palatino Linotype" w:eastAsia="Palatino Linotype" w:hAnsi="Palatino Linotype" w:cs="Palatino Linotype"/>
          <w:sz w:val="22"/>
          <w:szCs w:val="22"/>
        </w:rPr>
        <w:lastRenderedPageBreak/>
        <w:t xml:space="preserve">manifestaran lo que a su derecho resultara conveniente, ofrecieran pruebas, formularan alegatos y </w:t>
      </w:r>
      <w:r w:rsidRPr="00EB03EB">
        <w:rPr>
          <w:rFonts w:ascii="Palatino Linotype" w:eastAsia="Palatino Linotype" w:hAnsi="Palatino Linotype" w:cs="Palatino Linotype"/>
          <w:b/>
          <w:sz w:val="22"/>
          <w:szCs w:val="22"/>
        </w:rPr>
        <w:t xml:space="preserve">el Sujeto Obligado </w:t>
      </w:r>
      <w:r w:rsidRPr="00EB03EB">
        <w:rPr>
          <w:rFonts w:ascii="Palatino Linotype" w:eastAsia="Palatino Linotype" w:hAnsi="Palatino Linotype" w:cs="Palatino Linotype"/>
          <w:sz w:val="22"/>
          <w:szCs w:val="22"/>
        </w:rPr>
        <w:t>presentara su Informe Justificado.</w:t>
      </w:r>
    </w:p>
    <w:p w14:paraId="7D4B53CD"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DDADB1B"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bookmarkStart w:id="2" w:name="_heading=h.2s8eyo1" w:colFirst="0" w:colLast="0"/>
      <w:bookmarkEnd w:id="2"/>
      <w:r w:rsidRPr="00EB03EB">
        <w:rPr>
          <w:rFonts w:ascii="Palatino Linotype" w:eastAsia="Palatino Linotype" w:hAnsi="Palatino Linotype" w:cs="Palatino Linotype"/>
          <w:b/>
          <w:sz w:val="22"/>
          <w:szCs w:val="22"/>
        </w:rPr>
        <w:t>6. Manifestaciones</w:t>
      </w:r>
      <w:r w:rsidRPr="00EB03EB">
        <w:rPr>
          <w:rFonts w:ascii="Palatino Linotype" w:eastAsia="Palatino Linotype" w:hAnsi="Palatino Linotype" w:cs="Palatino Linotype"/>
          <w:sz w:val="22"/>
          <w:szCs w:val="22"/>
        </w:rPr>
        <w:t>. De las constancias que integran el expediente electrónico en que se actúa se advierte que las partes fueron omisas en</w:t>
      </w:r>
      <w:r w:rsidRPr="00EB03EB">
        <w:rPr>
          <w:rFonts w:ascii="Palatino Linotype" w:eastAsia="Palatino Linotype" w:hAnsi="Palatino Linotype" w:cs="Palatino Linotype"/>
          <w:b/>
          <w:sz w:val="22"/>
          <w:szCs w:val="22"/>
        </w:rPr>
        <w:t xml:space="preserve"> </w:t>
      </w:r>
      <w:r w:rsidRPr="00EB03EB">
        <w:rPr>
          <w:rFonts w:ascii="Palatino Linotype" w:eastAsia="Palatino Linotype" w:hAnsi="Palatino Linotype" w:cs="Palatino Linotype"/>
          <w:sz w:val="22"/>
          <w:szCs w:val="22"/>
        </w:rPr>
        <w:t xml:space="preserve">realizar sus manifestaciones, tal como se observa en la siguiente ilustración: </w:t>
      </w:r>
    </w:p>
    <w:p w14:paraId="60146968" w14:textId="77777777" w:rsidR="00426CAF" w:rsidRPr="00EB03EB" w:rsidRDefault="00426CAF">
      <w:pPr>
        <w:spacing w:line="360" w:lineRule="auto"/>
        <w:ind w:right="49"/>
        <w:jc w:val="both"/>
        <w:rPr>
          <w:sz w:val="22"/>
          <w:szCs w:val="22"/>
        </w:rPr>
      </w:pPr>
    </w:p>
    <w:p w14:paraId="0A1CA961" w14:textId="77777777" w:rsidR="00426CAF" w:rsidRPr="00EB03EB" w:rsidRDefault="00B0335B">
      <w:pPr>
        <w:spacing w:line="360" w:lineRule="auto"/>
        <w:ind w:right="49"/>
        <w:jc w:val="center"/>
        <w:rPr>
          <w:rFonts w:ascii="Palatino Linotype" w:eastAsia="Palatino Linotype" w:hAnsi="Palatino Linotype" w:cs="Palatino Linotype"/>
          <w:sz w:val="22"/>
          <w:szCs w:val="22"/>
        </w:rPr>
      </w:pPr>
      <w:r w:rsidRPr="00EB03EB">
        <w:rPr>
          <w:rFonts w:ascii="Palatino Linotype" w:eastAsia="Palatino Linotype" w:hAnsi="Palatino Linotype" w:cs="Palatino Linotype"/>
          <w:noProof/>
          <w:sz w:val="22"/>
          <w:szCs w:val="22"/>
          <w:lang w:eastAsia="es-MX"/>
        </w:rPr>
        <w:drawing>
          <wp:inline distT="0" distB="0" distL="0" distR="0" wp14:anchorId="087CD579" wp14:editId="38163FF3">
            <wp:extent cx="5581015" cy="1300480"/>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81015" cy="1300480"/>
                    </a:xfrm>
                    <a:prstGeom prst="rect">
                      <a:avLst/>
                    </a:prstGeom>
                    <a:ln/>
                  </pic:spPr>
                </pic:pic>
              </a:graphicData>
            </a:graphic>
          </wp:inline>
        </w:drawing>
      </w:r>
    </w:p>
    <w:p w14:paraId="089AA59D" w14:textId="77777777" w:rsidR="00426CAF" w:rsidRPr="00EB03EB" w:rsidRDefault="00426CAF">
      <w:pPr>
        <w:spacing w:line="360" w:lineRule="auto"/>
        <w:jc w:val="both"/>
        <w:rPr>
          <w:sz w:val="22"/>
          <w:szCs w:val="22"/>
        </w:rPr>
      </w:pPr>
      <w:bookmarkStart w:id="3" w:name="_heading=h.3rdcrjn" w:colFirst="0" w:colLast="0"/>
      <w:bookmarkEnd w:id="3"/>
    </w:p>
    <w:p w14:paraId="2FD0346E"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7. Cierre de instrucción. </w:t>
      </w:r>
      <w:r w:rsidRPr="00EB03E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EB03EB">
        <w:rPr>
          <w:rFonts w:ascii="Palatino Linotype" w:eastAsia="Palatino Linotype" w:hAnsi="Palatino Linotype" w:cs="Palatino Linotype"/>
          <w:b/>
          <w:sz w:val="22"/>
          <w:szCs w:val="22"/>
        </w:rPr>
        <w:t>veinte de marzo de dos mil veinticuatro</w:t>
      </w:r>
      <w:r w:rsidRPr="00EB03EB">
        <w:rPr>
          <w:rFonts w:ascii="Palatino Linotype" w:eastAsia="Palatino Linotype" w:hAnsi="Palatino Linotype" w:cs="Palatino Linotype"/>
          <w:sz w:val="22"/>
          <w:szCs w:val="22"/>
        </w:rPr>
        <w:t xml:space="preserve">, la </w:t>
      </w:r>
      <w:r w:rsidRPr="00EB03EB">
        <w:rPr>
          <w:rFonts w:ascii="Palatino Linotype" w:eastAsia="Palatino Linotype" w:hAnsi="Palatino Linotype" w:cs="Palatino Linotype"/>
          <w:b/>
          <w:sz w:val="22"/>
          <w:szCs w:val="22"/>
        </w:rPr>
        <w:t>Comisionada Ponente</w:t>
      </w:r>
      <w:r w:rsidRPr="00EB03EB">
        <w:rPr>
          <w:rFonts w:ascii="Palatino Linotype" w:eastAsia="Palatino Linotype" w:hAnsi="Palatino Linotype" w:cs="Palatino Linotype"/>
          <w:sz w:val="22"/>
          <w:szCs w:val="22"/>
        </w:rPr>
        <w:t xml:space="preserve"> determinó el cierre de instrucción en términos de la fracción VI del artículo 185 de la Ley de Transparencia y Acceso a la Información Pública del Estado de México y Municipios.</w:t>
      </w:r>
    </w:p>
    <w:p w14:paraId="617822DF"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58DEA6B8"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8. Resolución del recurso de revisión.</w:t>
      </w:r>
      <w:r w:rsidRPr="00EB03EB">
        <w:rPr>
          <w:rFonts w:ascii="Palatino Linotype" w:eastAsia="Palatino Linotype" w:hAnsi="Palatino Linotype" w:cs="Palatino Linotype"/>
          <w:sz w:val="22"/>
          <w:szCs w:val="22"/>
        </w:rPr>
        <w:t xml:space="preserve"> El</w:t>
      </w:r>
      <w:r w:rsidRPr="00EB03EB">
        <w:t xml:space="preserve"> </w:t>
      </w:r>
      <w:r w:rsidRPr="00EB03EB">
        <w:rPr>
          <w:rFonts w:ascii="Palatino Linotype" w:eastAsia="Palatino Linotype" w:hAnsi="Palatino Linotype" w:cs="Palatino Linotype"/>
          <w:b/>
          <w:sz w:val="22"/>
          <w:szCs w:val="22"/>
        </w:rPr>
        <w:t xml:space="preserve">tres de abril de dos mil veinticuatro, </w:t>
      </w:r>
      <w:r w:rsidRPr="00EB03EB">
        <w:rPr>
          <w:rFonts w:ascii="Palatino Linotype" w:eastAsia="Palatino Linotype" w:hAnsi="Palatino Linotype" w:cs="Palatino Linotype"/>
          <w:sz w:val="22"/>
          <w:szCs w:val="22"/>
        </w:rPr>
        <w:t xml:space="preserve">el Pleno de este Instituto en la </w:t>
      </w:r>
      <w:r w:rsidRPr="00EB03EB">
        <w:rPr>
          <w:rFonts w:ascii="Palatino Linotype" w:eastAsia="Palatino Linotype" w:hAnsi="Palatino Linotype" w:cs="Palatino Linotype"/>
          <w:b/>
          <w:sz w:val="22"/>
          <w:szCs w:val="22"/>
        </w:rPr>
        <w:t xml:space="preserve">Décima Primera Sesión Ordinaria, </w:t>
      </w:r>
      <w:r w:rsidRPr="00EB03EB">
        <w:rPr>
          <w:rFonts w:ascii="Palatino Linotype" w:eastAsia="Palatino Linotype" w:hAnsi="Palatino Linotype" w:cs="Palatino Linotype"/>
          <w:sz w:val="22"/>
          <w:szCs w:val="22"/>
        </w:rPr>
        <w:t xml:space="preserve">aprobó por unanimidad de votos la resolución del recurso de revisión </w:t>
      </w:r>
      <w:r w:rsidRPr="00EB03EB">
        <w:rPr>
          <w:rFonts w:ascii="Palatino Linotype" w:eastAsia="Palatino Linotype" w:hAnsi="Palatino Linotype" w:cs="Palatino Linotype"/>
          <w:b/>
          <w:sz w:val="22"/>
          <w:szCs w:val="22"/>
        </w:rPr>
        <w:t>01194/INFOEM/IP/RR/2024,</w:t>
      </w:r>
      <w:r w:rsidRPr="00EB03EB">
        <w:rPr>
          <w:rFonts w:ascii="Palatino Linotype" w:eastAsia="Palatino Linotype" w:hAnsi="Palatino Linotype" w:cs="Palatino Linotype"/>
          <w:sz w:val="22"/>
          <w:szCs w:val="22"/>
        </w:rPr>
        <w:t xml:space="preserve"> en la cual se ordenó lo siguiente: </w:t>
      </w:r>
    </w:p>
    <w:p w14:paraId="70AEB549"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96DA68E"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 xml:space="preserve">PRIMERO. </w:t>
      </w:r>
      <w:r w:rsidRPr="00EB03EB">
        <w:rPr>
          <w:rFonts w:ascii="Palatino Linotype" w:eastAsia="Palatino Linotype" w:hAnsi="Palatino Linotype" w:cs="Palatino Linotype"/>
          <w:i/>
          <w:sz w:val="22"/>
          <w:szCs w:val="22"/>
        </w:rPr>
        <w:t xml:space="preserve">Resultan </w:t>
      </w:r>
      <w:r w:rsidRPr="00EB03EB">
        <w:rPr>
          <w:rFonts w:ascii="Palatino Linotype" w:eastAsia="Palatino Linotype" w:hAnsi="Palatino Linotype" w:cs="Palatino Linotype"/>
          <w:b/>
          <w:i/>
          <w:sz w:val="22"/>
          <w:szCs w:val="22"/>
        </w:rPr>
        <w:t>FUNDADOS</w:t>
      </w:r>
      <w:r w:rsidRPr="00EB03EB">
        <w:rPr>
          <w:rFonts w:ascii="Palatino Linotype" w:eastAsia="Palatino Linotype" w:hAnsi="Palatino Linotype" w:cs="Palatino Linotype"/>
          <w:i/>
          <w:sz w:val="22"/>
          <w:szCs w:val="22"/>
        </w:rPr>
        <w:t xml:space="preserve"> los motivos de inconformidad de </w:t>
      </w:r>
      <w:r w:rsidRPr="00EB03EB">
        <w:rPr>
          <w:rFonts w:ascii="Palatino Linotype" w:eastAsia="Palatino Linotype" w:hAnsi="Palatino Linotype" w:cs="Palatino Linotype"/>
          <w:b/>
          <w:i/>
          <w:sz w:val="22"/>
          <w:szCs w:val="22"/>
        </w:rPr>
        <w:t>LA PARTE</w:t>
      </w:r>
      <w:r w:rsidRPr="00EB03EB">
        <w:rPr>
          <w:rFonts w:ascii="Palatino Linotype" w:eastAsia="Palatino Linotype" w:hAnsi="Palatino Linotype" w:cs="Palatino Linotype"/>
          <w:i/>
          <w:sz w:val="22"/>
          <w:szCs w:val="22"/>
        </w:rPr>
        <w:t xml:space="preserve"> </w:t>
      </w:r>
      <w:r w:rsidRPr="00EB03EB">
        <w:rPr>
          <w:rFonts w:ascii="Palatino Linotype" w:eastAsia="Palatino Linotype" w:hAnsi="Palatino Linotype" w:cs="Palatino Linotype"/>
          <w:b/>
          <w:i/>
          <w:sz w:val="22"/>
          <w:szCs w:val="22"/>
        </w:rPr>
        <w:t>RECURRENTE</w:t>
      </w:r>
      <w:r w:rsidRPr="00EB03EB">
        <w:rPr>
          <w:rFonts w:ascii="Palatino Linotype" w:eastAsia="Palatino Linotype" w:hAnsi="Palatino Linotype" w:cs="Palatino Linotype"/>
          <w:i/>
          <w:sz w:val="22"/>
          <w:szCs w:val="22"/>
        </w:rPr>
        <w:t xml:space="preserve">, en términos del </w:t>
      </w:r>
      <w:r w:rsidRPr="00EB03EB">
        <w:rPr>
          <w:rFonts w:ascii="Palatino Linotype" w:eastAsia="Palatino Linotype" w:hAnsi="Palatino Linotype" w:cs="Palatino Linotype"/>
          <w:b/>
          <w:i/>
          <w:sz w:val="22"/>
          <w:szCs w:val="22"/>
        </w:rPr>
        <w:t>CONSIDERANDO</w:t>
      </w:r>
      <w:r w:rsidRPr="00EB03EB">
        <w:rPr>
          <w:rFonts w:ascii="Palatino Linotype" w:eastAsia="Palatino Linotype" w:hAnsi="Palatino Linotype" w:cs="Palatino Linotype"/>
          <w:i/>
          <w:sz w:val="22"/>
          <w:szCs w:val="22"/>
        </w:rPr>
        <w:t xml:space="preserve"> </w:t>
      </w:r>
      <w:r w:rsidRPr="00EB03EB">
        <w:rPr>
          <w:rFonts w:ascii="Palatino Linotype" w:eastAsia="Palatino Linotype" w:hAnsi="Palatino Linotype" w:cs="Palatino Linotype"/>
          <w:b/>
          <w:i/>
          <w:sz w:val="22"/>
          <w:szCs w:val="22"/>
        </w:rPr>
        <w:t>CUARTO</w:t>
      </w:r>
      <w:r w:rsidRPr="00EB03EB">
        <w:rPr>
          <w:rFonts w:ascii="Palatino Linotype" w:eastAsia="Palatino Linotype" w:hAnsi="Palatino Linotype" w:cs="Palatino Linotype"/>
          <w:i/>
          <w:sz w:val="22"/>
          <w:szCs w:val="22"/>
        </w:rPr>
        <w:t xml:space="preserve"> de la presente resolución.</w:t>
      </w:r>
    </w:p>
    <w:p w14:paraId="7E9B8B25"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0360A7F"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lastRenderedPageBreak/>
        <w:t>SEGUNDO.</w:t>
      </w:r>
      <w:r w:rsidRPr="00EB03EB">
        <w:rPr>
          <w:rFonts w:ascii="Palatino Linotype" w:eastAsia="Palatino Linotype" w:hAnsi="Palatino Linotype" w:cs="Palatino Linotype"/>
          <w:i/>
          <w:sz w:val="22"/>
          <w:szCs w:val="22"/>
        </w:rPr>
        <w:t xml:space="preserve"> Se </w:t>
      </w:r>
      <w:r w:rsidRPr="00EB03EB">
        <w:rPr>
          <w:rFonts w:ascii="Palatino Linotype" w:eastAsia="Palatino Linotype" w:hAnsi="Palatino Linotype" w:cs="Palatino Linotype"/>
          <w:b/>
          <w:i/>
          <w:sz w:val="22"/>
          <w:szCs w:val="22"/>
        </w:rPr>
        <w:t>ORDENA</w:t>
      </w:r>
      <w:r w:rsidRPr="00EB03EB">
        <w:rPr>
          <w:rFonts w:ascii="Palatino Linotype" w:eastAsia="Palatino Linotype" w:hAnsi="Palatino Linotype" w:cs="Palatino Linotype"/>
          <w:i/>
          <w:sz w:val="22"/>
          <w:szCs w:val="22"/>
        </w:rPr>
        <w:t xml:space="preserve"> al </w:t>
      </w:r>
      <w:r w:rsidRPr="00EB03EB">
        <w:rPr>
          <w:rFonts w:ascii="Palatino Linotype" w:eastAsia="Palatino Linotype" w:hAnsi="Palatino Linotype" w:cs="Palatino Linotype"/>
          <w:b/>
          <w:i/>
          <w:sz w:val="22"/>
          <w:szCs w:val="22"/>
        </w:rPr>
        <w:t>SUJETO OBLIGADO</w:t>
      </w:r>
      <w:r w:rsidRPr="00EB03EB">
        <w:rPr>
          <w:rFonts w:ascii="Palatino Linotype" w:eastAsia="Palatino Linotype" w:hAnsi="Palatino Linotype" w:cs="Palatino Linotype"/>
          <w:i/>
          <w:sz w:val="22"/>
          <w:szCs w:val="22"/>
        </w:rPr>
        <w:t xml:space="preserve"> atienda la Solicitud de Acceso a la Información Pública</w:t>
      </w:r>
      <w:r w:rsidRPr="00EB03EB">
        <w:rPr>
          <w:rFonts w:ascii="Palatino Linotype" w:eastAsia="Palatino Linotype" w:hAnsi="Palatino Linotype" w:cs="Palatino Linotype"/>
          <w:b/>
          <w:i/>
          <w:sz w:val="22"/>
          <w:szCs w:val="22"/>
        </w:rPr>
        <w:t xml:space="preserve"> 00193/IXTAPALU/IP/2024, </w:t>
      </w:r>
      <w:r w:rsidRPr="00EB03EB">
        <w:rPr>
          <w:rFonts w:ascii="Palatino Linotype" w:eastAsia="Palatino Linotype" w:hAnsi="Palatino Linotype" w:cs="Palatino Linotype"/>
          <w:i/>
          <w:sz w:val="22"/>
          <w:szCs w:val="22"/>
        </w:rPr>
        <w:t xml:space="preserve">que dio origen al recurso de revisión </w:t>
      </w:r>
      <w:r w:rsidRPr="00EB03EB">
        <w:rPr>
          <w:rFonts w:ascii="Palatino Linotype" w:eastAsia="Palatino Linotype" w:hAnsi="Palatino Linotype" w:cs="Palatino Linotype"/>
          <w:b/>
          <w:i/>
          <w:sz w:val="22"/>
          <w:szCs w:val="22"/>
        </w:rPr>
        <w:t xml:space="preserve">01194/INFOEM/IP/RR/2024, </w:t>
      </w:r>
      <w:r w:rsidRPr="00EB03EB">
        <w:rPr>
          <w:rFonts w:ascii="Palatino Linotype" w:eastAsia="Palatino Linotype" w:hAnsi="Palatino Linotype" w:cs="Palatino Linotype"/>
          <w:i/>
          <w:sz w:val="22"/>
          <w:szCs w:val="22"/>
        </w:rPr>
        <w:t xml:space="preserve">en términos del </w:t>
      </w:r>
      <w:r w:rsidRPr="00EB03EB">
        <w:rPr>
          <w:rFonts w:ascii="Palatino Linotype" w:eastAsia="Palatino Linotype" w:hAnsi="Palatino Linotype" w:cs="Palatino Linotype"/>
          <w:b/>
          <w:i/>
          <w:sz w:val="22"/>
          <w:szCs w:val="22"/>
        </w:rPr>
        <w:t>CONSIDERANDO CUARTO</w:t>
      </w:r>
      <w:r w:rsidRPr="00EB03EB">
        <w:rPr>
          <w:rFonts w:ascii="Palatino Linotype" w:eastAsia="Palatino Linotype" w:hAnsi="Palatino Linotype" w:cs="Palatino Linotype"/>
          <w:i/>
          <w:sz w:val="22"/>
          <w:szCs w:val="22"/>
        </w:rPr>
        <w:t xml:space="preserve"> de esta resolución y emita respuesta, debiendo observar las excepciones contenidas en la Ley de Transparencia y Acceso a la Información Pública del Estado de México y Municipios.</w:t>
      </w:r>
    </w:p>
    <w:p w14:paraId="243D6DF3"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3AFC583"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bookmarkStart w:id="4" w:name="_heading=h.3znysh7" w:colFirst="0" w:colLast="0"/>
      <w:bookmarkEnd w:id="4"/>
      <w:r w:rsidRPr="00EB03EB">
        <w:rPr>
          <w:rFonts w:ascii="Palatino Linotype" w:eastAsia="Palatino Linotype" w:hAnsi="Palatino Linotype" w:cs="Palatino Linotype"/>
          <w:b/>
          <w:i/>
          <w:sz w:val="22"/>
          <w:szCs w:val="22"/>
        </w:rPr>
        <w:t xml:space="preserve">TERCERO. NOTIFÍQUESE </w:t>
      </w:r>
      <w:r w:rsidRPr="00EB03EB">
        <w:rPr>
          <w:rFonts w:ascii="Palatino Linotype" w:eastAsia="Palatino Linotype" w:hAnsi="Palatino Linotype" w:cs="Palatino Linotype"/>
          <w:i/>
          <w:sz w:val="22"/>
          <w:szCs w:val="22"/>
        </w:rPr>
        <w:t>vía SAIMEX,</w:t>
      </w:r>
      <w:r w:rsidRPr="00EB03EB">
        <w:rPr>
          <w:rFonts w:ascii="Palatino Linotype" w:eastAsia="Palatino Linotype" w:hAnsi="Palatino Linotype" w:cs="Palatino Linotype"/>
          <w:b/>
          <w:i/>
          <w:sz w:val="22"/>
          <w:szCs w:val="22"/>
        </w:rPr>
        <w:t xml:space="preserve"> </w:t>
      </w:r>
      <w:r w:rsidRPr="00EB03EB">
        <w:rPr>
          <w:rFonts w:ascii="Palatino Linotype" w:eastAsia="Palatino Linotype" w:hAnsi="Palatino Linotype" w:cs="Palatino Linotype"/>
          <w:i/>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939224E"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p>
    <w:p w14:paraId="4FE603DE"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CUARTO. NOTIFÍQUESE</w:t>
      </w: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 xml:space="preserve"> </w:t>
      </w:r>
      <w:r w:rsidRPr="00EB03EB">
        <w:rPr>
          <w:rFonts w:ascii="Palatino Linotype" w:eastAsia="Palatino Linotype" w:hAnsi="Palatino Linotype" w:cs="Palatino Linotype"/>
          <w:i/>
          <w:sz w:val="22"/>
          <w:szCs w:val="22"/>
        </w:rPr>
        <w:t xml:space="preserve">vía SAIMEX, a </w:t>
      </w:r>
      <w:r w:rsidRPr="00EB03EB">
        <w:rPr>
          <w:rFonts w:ascii="Palatino Linotype" w:eastAsia="Palatino Linotype" w:hAnsi="Palatino Linotype" w:cs="Palatino Linotype"/>
          <w:b/>
          <w:i/>
          <w:sz w:val="22"/>
          <w:szCs w:val="22"/>
        </w:rPr>
        <w:t>LA PARTE</w:t>
      </w:r>
      <w:r w:rsidRPr="00EB03EB">
        <w:rPr>
          <w:rFonts w:ascii="Palatino Linotype" w:eastAsia="Palatino Linotype" w:hAnsi="Palatino Linotype" w:cs="Palatino Linotype"/>
          <w:i/>
          <w:sz w:val="22"/>
          <w:szCs w:val="22"/>
        </w:rPr>
        <w:t xml:space="preserve"> </w:t>
      </w:r>
      <w:r w:rsidRPr="00EB03EB">
        <w:rPr>
          <w:rFonts w:ascii="Palatino Linotype" w:eastAsia="Palatino Linotype" w:hAnsi="Palatino Linotype" w:cs="Palatino Linotype"/>
          <w:b/>
          <w:i/>
          <w:sz w:val="22"/>
          <w:szCs w:val="22"/>
        </w:rPr>
        <w:t xml:space="preserve">RECURRENTE </w:t>
      </w:r>
      <w:r w:rsidRPr="00EB03EB">
        <w:rPr>
          <w:rFonts w:ascii="Palatino Linotype" w:eastAsia="Palatino Linotype" w:hAnsi="Palatino Linotype" w:cs="Palatino Linotype"/>
          <w:i/>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62F4D51"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FB5E4F5"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QUINTO. NOTIFÍQUESE, </w:t>
      </w:r>
      <w:r w:rsidRPr="00EB03EB">
        <w:rPr>
          <w:rFonts w:ascii="Palatino Linotype" w:eastAsia="Palatino Linotype" w:hAnsi="Palatino Linotype" w:cs="Palatino Linotype"/>
          <w:i/>
          <w:sz w:val="22"/>
          <w:szCs w:val="22"/>
        </w:rPr>
        <w:t xml:space="preserve">a </w:t>
      </w:r>
      <w:r w:rsidRPr="00EB03EB">
        <w:rPr>
          <w:rFonts w:ascii="Palatino Linotype" w:eastAsia="Palatino Linotype" w:hAnsi="Palatino Linotype" w:cs="Palatino Linotype"/>
          <w:b/>
          <w:i/>
          <w:sz w:val="22"/>
          <w:szCs w:val="22"/>
        </w:rPr>
        <w:t xml:space="preserve">LA PARTE RECURRENTE </w:t>
      </w:r>
      <w:r w:rsidRPr="00EB03EB">
        <w:rPr>
          <w:rFonts w:ascii="Palatino Linotype" w:eastAsia="Palatino Linotype" w:hAnsi="Palatino Linotype" w:cs="Palatino Linotype"/>
          <w:i/>
          <w:sz w:val="22"/>
          <w:szCs w:val="22"/>
        </w:rPr>
        <w:t xml:space="preserve">que la respuesta que dé </w:t>
      </w:r>
      <w:r w:rsidRPr="00EB03EB">
        <w:rPr>
          <w:rFonts w:ascii="Palatino Linotype" w:eastAsia="Palatino Linotype" w:hAnsi="Palatino Linotype" w:cs="Palatino Linotype"/>
          <w:b/>
          <w:i/>
          <w:sz w:val="22"/>
          <w:szCs w:val="22"/>
        </w:rPr>
        <w:t>EL SUJETO OBLIGADO</w:t>
      </w:r>
      <w:r w:rsidRPr="00EB03EB">
        <w:rPr>
          <w:rFonts w:ascii="Palatino Linotype" w:eastAsia="Palatino Linotype" w:hAnsi="Palatino Linotype" w:cs="Palatino Linotype"/>
          <w:i/>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201D5E40"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p>
    <w:p w14:paraId="21B58F86"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SEXTO. GÍRESE </w:t>
      </w:r>
      <w:r w:rsidRPr="00EB03EB">
        <w:rPr>
          <w:rFonts w:ascii="Palatino Linotype" w:eastAsia="Palatino Linotype" w:hAnsi="Palatino Linotype" w:cs="Palatino Linotype"/>
          <w:i/>
          <w:sz w:val="22"/>
          <w:szCs w:val="22"/>
        </w:rPr>
        <w:t>oficio a la</w:t>
      </w:r>
      <w:r w:rsidRPr="00EB03EB">
        <w:rPr>
          <w:rFonts w:ascii="Palatino Linotype" w:eastAsia="Palatino Linotype" w:hAnsi="Palatino Linotype" w:cs="Palatino Linotype"/>
          <w:b/>
          <w:i/>
          <w:sz w:val="22"/>
          <w:szCs w:val="22"/>
        </w:rPr>
        <w:t xml:space="preserve"> SECRETARÍA TÉCNICA DEL PLENO </w:t>
      </w:r>
      <w:r w:rsidRPr="00EB03EB">
        <w:rPr>
          <w:rFonts w:ascii="Palatino Linotype" w:eastAsia="Palatino Linotype" w:hAnsi="Palatino Linotype" w:cs="Palatino Linotype"/>
          <w:i/>
          <w:sz w:val="22"/>
          <w:szCs w:val="22"/>
        </w:rPr>
        <w:t xml:space="preserve">de este Instituto a fin de que en ejercicio de sus atribuciones haga del conocimiento del </w:t>
      </w:r>
      <w:r w:rsidRPr="00EB03EB">
        <w:rPr>
          <w:rFonts w:ascii="Palatino Linotype" w:eastAsia="Palatino Linotype" w:hAnsi="Palatino Linotype" w:cs="Palatino Linotype"/>
          <w:b/>
          <w:i/>
          <w:sz w:val="22"/>
          <w:szCs w:val="22"/>
        </w:rPr>
        <w:t>ÓRGANO INTERNO DE CONTROL COMPETENTE</w:t>
      </w:r>
      <w:r w:rsidRPr="00EB03EB">
        <w:rPr>
          <w:rFonts w:ascii="Palatino Linotype" w:eastAsia="Palatino Linotype" w:hAnsi="Palatino Linotype" w:cs="Palatino Linotype"/>
          <w:i/>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EB03EB">
        <w:rPr>
          <w:rFonts w:ascii="Palatino Linotype" w:eastAsia="Palatino Linotype" w:hAnsi="Palatino Linotype" w:cs="Palatino Linotype"/>
          <w:b/>
          <w:i/>
          <w:sz w:val="22"/>
          <w:szCs w:val="22"/>
        </w:rPr>
        <w:t>CONSIDERANDO CUARTO</w:t>
      </w:r>
      <w:r w:rsidRPr="00EB03EB">
        <w:rPr>
          <w:rFonts w:ascii="Palatino Linotype" w:eastAsia="Palatino Linotype" w:hAnsi="Palatino Linotype" w:cs="Palatino Linotype"/>
          <w:i/>
          <w:sz w:val="22"/>
          <w:szCs w:val="22"/>
        </w:rPr>
        <w:t xml:space="preserve"> de este fallo.” </w:t>
      </w:r>
    </w:p>
    <w:p w14:paraId="4D4FCC17"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095561FB"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lastRenderedPageBreak/>
        <w:t xml:space="preserve">9. Notificación de la resolución del recurso de revisión 01194/INFOEM/IP/RR/2024. </w:t>
      </w:r>
      <w:r w:rsidRPr="00EB03EB">
        <w:rPr>
          <w:rFonts w:ascii="Palatino Linotype" w:eastAsia="Palatino Linotype" w:hAnsi="Palatino Linotype" w:cs="Palatino Linotype"/>
          <w:sz w:val="22"/>
          <w:szCs w:val="22"/>
        </w:rPr>
        <w:t>El</w:t>
      </w:r>
      <w:r w:rsidRPr="00EB03EB">
        <w:rPr>
          <w:rFonts w:ascii="Palatino Linotype" w:eastAsia="Palatino Linotype" w:hAnsi="Palatino Linotype" w:cs="Palatino Linotype"/>
          <w:b/>
          <w:sz w:val="22"/>
          <w:szCs w:val="22"/>
        </w:rPr>
        <w:t xml:space="preserve"> ocho de abril de dos mil veinticuatro, </w:t>
      </w:r>
      <w:r w:rsidRPr="00EB03EB">
        <w:rPr>
          <w:rFonts w:ascii="Palatino Linotype" w:eastAsia="Palatino Linotype" w:hAnsi="Palatino Linotype" w:cs="Palatino Linotype"/>
          <w:sz w:val="22"/>
          <w:szCs w:val="22"/>
        </w:rPr>
        <w:t>se notificó a las partes la resolución del medio de impugnación previamente referido, por medio del SAIMEX.</w:t>
      </w:r>
    </w:p>
    <w:p w14:paraId="2B9C8292"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2E49F135"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10. Acuerdo de Cumplimiento/Incumplimiento del Recurso de Revisión 01194/INFOEM/IP/RR/2024.</w:t>
      </w:r>
      <w:r w:rsidRPr="00EB03EB">
        <w:rPr>
          <w:rFonts w:ascii="Palatino Linotype" w:eastAsia="Palatino Linotype" w:hAnsi="Palatino Linotype" w:cs="Palatino Linotype"/>
          <w:sz w:val="22"/>
          <w:szCs w:val="22"/>
        </w:rPr>
        <w:t xml:space="preserve"> El</w:t>
      </w:r>
      <w:r w:rsidRPr="00EB03EB">
        <w:rPr>
          <w:rFonts w:ascii="Palatino Linotype" w:eastAsia="Palatino Linotype" w:hAnsi="Palatino Linotype" w:cs="Palatino Linotype"/>
          <w:b/>
          <w:sz w:val="22"/>
          <w:szCs w:val="22"/>
        </w:rPr>
        <w:t xml:space="preserve"> veinticinco de abril de dos mil veinticuatro, </w:t>
      </w:r>
      <w:r w:rsidRPr="00EB03EB">
        <w:rPr>
          <w:rFonts w:ascii="Palatino Linotype" w:eastAsia="Palatino Linotype" w:hAnsi="Palatino Linotype" w:cs="Palatino Linotype"/>
          <w:sz w:val="22"/>
          <w:szCs w:val="22"/>
        </w:rPr>
        <w:t>de conformidad con el artículo 186, último párrafo de la Ley de Transparencia y Acceso a la Información Pública del Estado de México y Municipios,</w:t>
      </w:r>
      <w:r w:rsidRPr="00EB03EB">
        <w:rPr>
          <w:rFonts w:ascii="Palatino Linotype" w:eastAsia="Palatino Linotype" w:hAnsi="Palatino Linotype" w:cs="Palatino Linotype"/>
          <w:b/>
          <w:sz w:val="22"/>
          <w:szCs w:val="22"/>
        </w:rPr>
        <w:t xml:space="preserve"> el Sujeto Obligado</w:t>
      </w:r>
      <w:r w:rsidRPr="00EB03EB">
        <w:rPr>
          <w:rFonts w:ascii="Palatino Linotype" w:eastAsia="Palatino Linotype" w:hAnsi="Palatino Linotype" w:cs="Palatino Linotype"/>
          <w:sz w:val="22"/>
          <w:szCs w:val="22"/>
        </w:rPr>
        <w:t xml:space="preserve"> debió dar cumplimiento a la resolución del recurso de revisión </w:t>
      </w:r>
      <w:r w:rsidRPr="00EB03EB">
        <w:rPr>
          <w:rFonts w:ascii="Palatino Linotype" w:eastAsia="Palatino Linotype" w:hAnsi="Palatino Linotype" w:cs="Palatino Linotype"/>
          <w:b/>
          <w:sz w:val="22"/>
          <w:szCs w:val="22"/>
        </w:rPr>
        <w:t>01194/INFOEM/IP/RR/2024;</w:t>
      </w:r>
      <w:r w:rsidRPr="00EB03EB">
        <w:rPr>
          <w:rFonts w:ascii="Palatino Linotype" w:eastAsia="Palatino Linotype" w:hAnsi="Palatino Linotype" w:cs="Palatino Linotype"/>
          <w:sz w:val="22"/>
          <w:szCs w:val="22"/>
        </w:rPr>
        <w:t xml:space="preserve"> sin embargo, de las constancias que obran en el expediente electrónico del Sistema de Acceso a la Información Mexiquense, se advierte que omitió dicha acción, por lo que la Dirección de Cumplimientos de la Secretaría Técnica del Pleno de este Organismo Garante notificó el acuerdo de incumplimiento a la resolución dictada por esta Autoridad Mexiquense. </w:t>
      </w:r>
    </w:p>
    <w:p w14:paraId="65B753BF"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514A9E4"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11. Notificación de Apercibimiento al Titular de la Unidad de Transparencia: </w:t>
      </w:r>
      <w:r w:rsidRPr="00EB03EB">
        <w:rPr>
          <w:rFonts w:ascii="Palatino Linotype" w:eastAsia="Palatino Linotype" w:hAnsi="Palatino Linotype" w:cs="Palatino Linotype"/>
          <w:sz w:val="22"/>
          <w:szCs w:val="22"/>
        </w:rPr>
        <w:t xml:space="preserve">En fecha </w:t>
      </w:r>
      <w:r w:rsidRPr="00EB03EB">
        <w:rPr>
          <w:rFonts w:ascii="Palatino Linotype" w:eastAsia="Palatino Linotype" w:hAnsi="Palatino Linotype" w:cs="Palatino Linotype"/>
          <w:b/>
          <w:sz w:val="22"/>
          <w:szCs w:val="22"/>
        </w:rPr>
        <w:t xml:space="preserve">veintidós de mayo de dos mil veinticuatro, </w:t>
      </w:r>
      <w:r w:rsidRPr="00EB03EB">
        <w:rPr>
          <w:rFonts w:ascii="Palatino Linotype" w:eastAsia="Palatino Linotype" w:hAnsi="Palatino Linotype" w:cs="Palatino Linotype"/>
          <w:sz w:val="22"/>
          <w:szCs w:val="22"/>
        </w:rPr>
        <w:t xml:space="preserve">se notificó al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 xml:space="preserve">el oficio número INFOEM/STP/DC/723/2024 del quince de mayo de dos mil veinticuatro, a través del cual la Dirección de Cumplimientos de este Instituto hizo del conocimiento que la emisión del acuerdo de incumplimiento indicado en el punto anterior derivó en la imposición por parte del Pleno de una medida de apremio al Titular de la Unidad de Transparencia, haciendo entrega en ese mismo acto del </w:t>
      </w:r>
      <w:r w:rsidRPr="00EB03EB">
        <w:rPr>
          <w:rFonts w:ascii="Palatino Linotype" w:eastAsia="Palatino Linotype" w:hAnsi="Palatino Linotype" w:cs="Palatino Linotype"/>
          <w:b/>
          <w:sz w:val="22"/>
          <w:szCs w:val="22"/>
        </w:rPr>
        <w:t xml:space="preserve">Acuerdo de calificación de gravedad y propuesta de medida de apremio </w:t>
      </w:r>
      <w:r w:rsidRPr="00EB03EB">
        <w:rPr>
          <w:rFonts w:ascii="Palatino Linotype" w:eastAsia="Palatino Linotype" w:hAnsi="Palatino Linotype" w:cs="Palatino Linotype"/>
          <w:sz w:val="22"/>
          <w:szCs w:val="22"/>
        </w:rPr>
        <w:t xml:space="preserve">del </w:t>
      </w:r>
      <w:r w:rsidRPr="00EB03EB">
        <w:rPr>
          <w:rFonts w:ascii="Palatino Linotype" w:eastAsia="Palatino Linotype" w:hAnsi="Palatino Linotype" w:cs="Palatino Linotype"/>
          <w:b/>
          <w:sz w:val="22"/>
          <w:szCs w:val="22"/>
        </w:rPr>
        <w:t xml:space="preserve">trece de mayo de dos mil veinticuatro, </w:t>
      </w:r>
      <w:r w:rsidRPr="00EB03EB">
        <w:rPr>
          <w:rFonts w:ascii="Palatino Linotype" w:eastAsia="Palatino Linotype" w:hAnsi="Palatino Linotype" w:cs="Palatino Linotype"/>
          <w:sz w:val="22"/>
          <w:szCs w:val="22"/>
        </w:rPr>
        <w:t xml:space="preserve">así como, el </w:t>
      </w:r>
      <w:r w:rsidRPr="00EB03EB">
        <w:rPr>
          <w:rFonts w:ascii="Palatino Linotype" w:eastAsia="Palatino Linotype" w:hAnsi="Palatino Linotype" w:cs="Palatino Linotype"/>
          <w:b/>
          <w:sz w:val="22"/>
          <w:szCs w:val="22"/>
        </w:rPr>
        <w:t>Acuerdo por el que el Pleno de este Instituto impone el Apercibimiento como medida de apremio</w:t>
      </w:r>
      <w:r w:rsidRPr="00EB03EB">
        <w:rPr>
          <w:rFonts w:ascii="Palatino Linotype" w:eastAsia="Palatino Linotype" w:hAnsi="Palatino Linotype" w:cs="Palatino Linotype"/>
          <w:sz w:val="22"/>
          <w:szCs w:val="22"/>
        </w:rPr>
        <w:t xml:space="preserve">; por lo que, a través del oficio de referencia se instruyó que dentro de un plazo no mayor a </w:t>
      </w:r>
      <w:r w:rsidRPr="00EB03EB">
        <w:rPr>
          <w:rFonts w:ascii="Palatino Linotype" w:eastAsia="Palatino Linotype" w:hAnsi="Palatino Linotype" w:cs="Palatino Linotype"/>
          <w:b/>
          <w:sz w:val="22"/>
          <w:szCs w:val="22"/>
        </w:rPr>
        <w:t xml:space="preserve">cinco días hábiles, </w:t>
      </w:r>
      <w:r w:rsidRPr="00EB03EB">
        <w:rPr>
          <w:rFonts w:ascii="Palatino Linotype" w:eastAsia="Palatino Linotype" w:hAnsi="Palatino Linotype" w:cs="Palatino Linotype"/>
          <w:sz w:val="22"/>
          <w:szCs w:val="22"/>
        </w:rPr>
        <w:t>contados a partir del día siguiente al que surta efectos la notificación de la medida de apremio impuesta, se diera cumplimiento a la resolución dictada en el recurso de revisión 01194/INFOEM/IP/RR/2024.</w:t>
      </w:r>
    </w:p>
    <w:p w14:paraId="44C6720F" w14:textId="77777777" w:rsidR="00426CAF" w:rsidRPr="00EB03EB" w:rsidRDefault="00426CAF">
      <w:pPr>
        <w:spacing w:line="360" w:lineRule="auto"/>
        <w:jc w:val="both"/>
        <w:rPr>
          <w:rFonts w:ascii="Palatino Linotype" w:eastAsia="Palatino Linotype" w:hAnsi="Palatino Linotype" w:cs="Palatino Linotype"/>
          <w:b/>
          <w:sz w:val="22"/>
          <w:szCs w:val="22"/>
        </w:rPr>
      </w:pPr>
    </w:p>
    <w:p w14:paraId="0C128850"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12. Entrega de Información sobre Apercibimiento. </w:t>
      </w:r>
      <w:r w:rsidRPr="00EB03EB">
        <w:rPr>
          <w:rFonts w:ascii="Palatino Linotype" w:eastAsia="Palatino Linotype" w:hAnsi="Palatino Linotype" w:cs="Palatino Linotype"/>
          <w:sz w:val="22"/>
          <w:szCs w:val="22"/>
        </w:rPr>
        <w:t xml:space="preserve">El </w:t>
      </w:r>
      <w:r w:rsidRPr="00EB03EB">
        <w:rPr>
          <w:rFonts w:ascii="Palatino Linotype" w:eastAsia="Palatino Linotype" w:hAnsi="Palatino Linotype" w:cs="Palatino Linotype"/>
          <w:b/>
          <w:sz w:val="22"/>
          <w:szCs w:val="22"/>
        </w:rPr>
        <w:t xml:space="preserve">veinticuatro de mayo de dos mil veinticuatro, </w:t>
      </w:r>
      <w:r w:rsidRPr="00EB03EB">
        <w:rPr>
          <w:rFonts w:ascii="Palatino Linotype" w:eastAsia="Palatino Linotype" w:hAnsi="Palatino Linotype" w:cs="Palatino Linotype"/>
          <w:sz w:val="22"/>
          <w:szCs w:val="22"/>
        </w:rPr>
        <w:t xml:space="preserve">el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hizo entrega del archivo electrónico denominado “</w:t>
      </w:r>
      <w:r w:rsidRPr="00EB03EB">
        <w:rPr>
          <w:rFonts w:ascii="Palatino Linotype" w:eastAsia="Palatino Linotype" w:hAnsi="Palatino Linotype" w:cs="Palatino Linotype"/>
          <w:b/>
          <w:i/>
          <w:sz w:val="22"/>
          <w:szCs w:val="22"/>
        </w:rPr>
        <w:t>informe cumplimiento rr 1194-24.pdf</w:t>
      </w:r>
      <w:r w:rsidRPr="00EB03EB">
        <w:rPr>
          <w:rFonts w:ascii="Palatino Linotype" w:eastAsia="Palatino Linotype" w:hAnsi="Palatino Linotype" w:cs="Palatino Linotype"/>
          <w:sz w:val="22"/>
          <w:szCs w:val="22"/>
        </w:rPr>
        <w:t>” que contiene la siguiente información:</w:t>
      </w:r>
    </w:p>
    <w:p w14:paraId="3E0416E4"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3DEEFAA6" w14:textId="77777777" w:rsidR="00426CAF" w:rsidRPr="00EB03EB" w:rsidRDefault="00B0335B">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Oficio IXTA/UTAIN/2291/2024 del veintitrés del mayo de la presente anualidad, mediante el cual Titular de la Unidad de Transparencia rindió informe de cumplimiento, en el que medularmente hace del conocimiento que el incumplimiento derivó de la nula atención por parte de la Dirección de Infraestructuras y Obras Públicas, así como del Instituto Municipal de Cultura Física y Deporte (IMCUFIDE) a quienes se les turnó la solicitud de información; asimismo, refiere que el veintidós de mayo del dos mil veinticuatro requirió a la Tesorería Municipal para que en el ámbito de sus facultades y funciones diera atención a la solicitud en términos de la resolución emitida por este Instituto, y que en misma fecha dicha área se pronunció sobre lo requerido.</w:t>
      </w:r>
    </w:p>
    <w:p w14:paraId="141299A2" w14:textId="77777777" w:rsidR="00426CAF" w:rsidRPr="00EB03EB" w:rsidRDefault="00426CAF">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289CA1D6" w14:textId="77777777" w:rsidR="00426CAF" w:rsidRPr="00EB03EB" w:rsidRDefault="00B0335B">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Oficio IXTA/UTAIN/02021/2024 del veinticinco de abril de dos mil veinticuatro, a través del cual el Titular de la Unidad de Transparencia requirió a la Dirección de Infraestructura y Obras Públicas se dé cumplimiento a la resolución del recurso de revisión dictada por este Instituto.</w:t>
      </w:r>
    </w:p>
    <w:p w14:paraId="1BF95B3F" w14:textId="77777777" w:rsidR="00426CAF" w:rsidRPr="00EB03EB" w:rsidRDefault="00426CAF">
      <w:pPr>
        <w:pBdr>
          <w:top w:val="nil"/>
          <w:left w:val="nil"/>
          <w:bottom w:val="nil"/>
          <w:right w:val="nil"/>
          <w:between w:val="nil"/>
        </w:pBdr>
        <w:ind w:left="708"/>
        <w:rPr>
          <w:rFonts w:ascii="Palatino Linotype" w:eastAsia="Palatino Linotype" w:hAnsi="Palatino Linotype" w:cs="Palatino Linotype"/>
          <w:sz w:val="22"/>
          <w:szCs w:val="22"/>
        </w:rPr>
      </w:pPr>
    </w:p>
    <w:p w14:paraId="482E44D2" w14:textId="77777777" w:rsidR="00426CAF" w:rsidRPr="00EB03EB" w:rsidRDefault="00B0335B">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Oficio IXTA/UTAIN/02022/2024 del veinticinco de abril de dos mil veinticuatro, a través del cual el Titular de la Unidad de Transparencia requirió al Instituto Municipal de Cultura Física y Deporte (IMCUFIDE) se dé cumplimiento a la resolución del recurso de revisión dictada por este Instituto.</w:t>
      </w:r>
    </w:p>
    <w:p w14:paraId="32130A53" w14:textId="77777777" w:rsidR="00426CAF" w:rsidRPr="00EB03EB" w:rsidRDefault="00426CAF">
      <w:pPr>
        <w:pBdr>
          <w:top w:val="nil"/>
          <w:left w:val="nil"/>
          <w:bottom w:val="nil"/>
          <w:right w:val="nil"/>
          <w:between w:val="nil"/>
        </w:pBdr>
        <w:ind w:left="708"/>
        <w:rPr>
          <w:rFonts w:ascii="Palatino Linotype" w:eastAsia="Palatino Linotype" w:hAnsi="Palatino Linotype" w:cs="Palatino Linotype"/>
          <w:sz w:val="22"/>
          <w:szCs w:val="22"/>
        </w:rPr>
      </w:pPr>
    </w:p>
    <w:p w14:paraId="1F7FEA6C" w14:textId="77777777" w:rsidR="00426CAF" w:rsidRPr="00EB03EB" w:rsidRDefault="00B0335B">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Oficio IXTA/UTAIN/02023/2024 del veinticinco de abril de dos mil veinticuatro, a través del cual el Titular de la Unidad de Transparencia comunicó al Presidente Municipal el incumplimiento a la resolución dictada dentro del recurso de revisión por parte de la Dirección de Infraestructuras y Obras Públicas, así como del Instituto Municipal de Cultura Física y Deporte (IMCUFIDE); y, en tal virtud se solicitó girar instrucciones para que fuera atendida dicha resolución toda vez que la Contraloría Interna y Órgano de Vigilancia de este Instituto ha emitido y turnado al Departamento de </w:t>
      </w:r>
      <w:r w:rsidRPr="00EB03EB">
        <w:rPr>
          <w:rFonts w:ascii="Palatino Linotype" w:eastAsia="Palatino Linotype" w:hAnsi="Palatino Linotype" w:cs="Palatino Linotype"/>
          <w:sz w:val="22"/>
          <w:szCs w:val="22"/>
        </w:rPr>
        <w:lastRenderedPageBreak/>
        <w:t>Responsabilidades el Acuerdo de Incumplimiento correspondiente para instaurar las acciones procedentes en términos de la Ley de Responsabilidades de los Servidores Públicos del Estado y Municipios.</w:t>
      </w:r>
    </w:p>
    <w:p w14:paraId="0950E3AA" w14:textId="77777777" w:rsidR="00426CAF" w:rsidRPr="00EB03EB" w:rsidRDefault="00426CAF">
      <w:pPr>
        <w:pBdr>
          <w:top w:val="nil"/>
          <w:left w:val="nil"/>
          <w:bottom w:val="nil"/>
          <w:right w:val="nil"/>
          <w:between w:val="nil"/>
        </w:pBdr>
        <w:ind w:left="708"/>
        <w:rPr>
          <w:rFonts w:ascii="Palatino Linotype" w:eastAsia="Palatino Linotype" w:hAnsi="Palatino Linotype" w:cs="Palatino Linotype"/>
          <w:sz w:val="22"/>
          <w:szCs w:val="22"/>
        </w:rPr>
      </w:pPr>
    </w:p>
    <w:p w14:paraId="7F3AAD99" w14:textId="77777777" w:rsidR="00426CAF" w:rsidRPr="00EB03EB" w:rsidRDefault="00B0335B">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Oficio número INFOEM/STP/DC/DMA/1429/2024 del quince de mayo de dos mil veinticuatro, a través del cual la Jefa del Departamento de Medidas de Apremio de este Instituto notificó al Titular de la Unidad de Transparencia del Sujeto Obligado, el apercibimiento impuesto como medida de apremio por el Pleno de este Organismo Garante del quince de mayo de dos mil veinticuatro y entrega del Acuerdo mediante el cual el Pleno de este Instituto impone el apercibimiento de referencia, así como el acuerdo de calificación mediante el cual la Dirección de Cumplimientos de la Secretaría Técnica de Pleno calificó la gravedad de la falta y propuso la medida de apremio correspondiente.</w:t>
      </w:r>
    </w:p>
    <w:p w14:paraId="0922B34F" w14:textId="77777777" w:rsidR="00426CAF" w:rsidRPr="00EB03EB" w:rsidRDefault="00426CAF">
      <w:pPr>
        <w:pBdr>
          <w:top w:val="nil"/>
          <w:left w:val="nil"/>
          <w:bottom w:val="nil"/>
          <w:right w:val="nil"/>
          <w:between w:val="nil"/>
        </w:pBdr>
        <w:ind w:left="708"/>
        <w:rPr>
          <w:rFonts w:ascii="Palatino Linotype" w:eastAsia="Palatino Linotype" w:hAnsi="Palatino Linotype" w:cs="Palatino Linotype"/>
          <w:sz w:val="22"/>
          <w:szCs w:val="22"/>
        </w:rPr>
      </w:pPr>
    </w:p>
    <w:p w14:paraId="13458065" w14:textId="77777777" w:rsidR="00426CAF" w:rsidRPr="00EB03EB" w:rsidRDefault="00B0335B">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Oficio IXTA/UTAIN/02244/2024 del veintiuno de mayo de dos mil veinticuatro, a través del cual el Titular de la Unidad de Transparencia requirió a la Tesorería Municipal que remitiera la documentación en donde conste la información requerida para dar total atención al recurso de revisión 01194/INFOEM/IP/RR/2024.</w:t>
      </w:r>
    </w:p>
    <w:p w14:paraId="6C5B59FC" w14:textId="77777777" w:rsidR="00426CAF" w:rsidRPr="00EB03EB" w:rsidRDefault="00426CAF">
      <w:pPr>
        <w:pBdr>
          <w:top w:val="nil"/>
          <w:left w:val="nil"/>
          <w:bottom w:val="nil"/>
          <w:right w:val="nil"/>
          <w:between w:val="nil"/>
        </w:pBdr>
        <w:ind w:left="708"/>
        <w:rPr>
          <w:rFonts w:ascii="Palatino Linotype" w:eastAsia="Palatino Linotype" w:hAnsi="Palatino Linotype" w:cs="Palatino Linotype"/>
          <w:sz w:val="22"/>
          <w:szCs w:val="22"/>
        </w:rPr>
      </w:pPr>
    </w:p>
    <w:p w14:paraId="07981AB3" w14:textId="77777777" w:rsidR="00426CAF" w:rsidRPr="00EB03EB" w:rsidRDefault="00B0335B">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Oficio IXTA/TESO/0383/2024 del veintidós de mayo de dos mil veinticuatro, a través del cual el Tesorero Municipal informa al Titular de la Unidad de Transparencia que, con relación a la información  con folio 00193/IXTAPALU/IP/2024, que el nombre correcto de la obra citada en la solicitud de información es: Rehabilitación del Parque Recreativo y Deportivo “La Venta” (Primera Etapa), ubicada en Manuel Altamirano, Colonia La Venta, Ixtapaluca, Estado de México; y, que en tal virtud se remitía el contrato de la obra en mención, señalando que no existen anexos, el cual se indica que se entrega en calidad de proyecto de clasificación para que sea presentado al Comité de Transparencia para la emisión de su versión pública.</w:t>
      </w:r>
    </w:p>
    <w:p w14:paraId="71450C22" w14:textId="77777777" w:rsidR="00426CAF" w:rsidRPr="00EB03EB" w:rsidRDefault="00426CAF">
      <w:pPr>
        <w:pBdr>
          <w:top w:val="nil"/>
          <w:left w:val="nil"/>
          <w:bottom w:val="nil"/>
          <w:right w:val="nil"/>
          <w:between w:val="nil"/>
        </w:pBdr>
        <w:ind w:left="708"/>
        <w:rPr>
          <w:rFonts w:ascii="Palatino Linotype" w:eastAsia="Palatino Linotype" w:hAnsi="Palatino Linotype" w:cs="Palatino Linotype"/>
          <w:sz w:val="22"/>
          <w:szCs w:val="22"/>
        </w:rPr>
      </w:pPr>
    </w:p>
    <w:p w14:paraId="00EF5CA8" w14:textId="77777777" w:rsidR="00426CAF" w:rsidRPr="00EB03EB" w:rsidRDefault="00B0335B">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versión pública, </w:t>
      </w:r>
      <w:r w:rsidRPr="00EB03EB">
        <w:rPr>
          <w:rFonts w:ascii="Palatino Linotype" w:eastAsia="Palatino Linotype" w:hAnsi="Palatino Linotype" w:cs="Palatino Linotype"/>
          <w:b/>
          <w:sz w:val="22"/>
          <w:szCs w:val="22"/>
        </w:rPr>
        <w:t>el contrato de obra pública sobre la base de precios unitarios y tiempo determinado número IXTA/DIOP/FORTAMUN/LPN/007/2023, número de obra FORTAMUN-007, folio SIAVAMEN: 62044, del veinticinco de mayo de dos mil veintitrés,</w:t>
      </w:r>
      <w:r w:rsidRPr="00EB03EB">
        <w:rPr>
          <w:rFonts w:ascii="Palatino Linotype" w:eastAsia="Palatino Linotype" w:hAnsi="Palatino Linotype" w:cs="Palatino Linotype"/>
          <w:sz w:val="22"/>
          <w:szCs w:val="22"/>
        </w:rPr>
        <w:t xml:space="preserve"> celebrado entre el Ayuntamiento de Ixtapaluca, representado por el Presidente Municipal, Secretario del Ayuntamiento, Director de Administración y Finanzas y el Director de Infraestructura y Obras Públicas, en su calidad de </w:t>
      </w:r>
      <w:r w:rsidRPr="00EB03EB">
        <w:rPr>
          <w:rFonts w:ascii="Palatino Linotype" w:eastAsia="Palatino Linotype" w:hAnsi="Palatino Linotype" w:cs="Palatino Linotype"/>
          <w:sz w:val="22"/>
          <w:szCs w:val="22"/>
        </w:rPr>
        <w:lastRenderedPageBreak/>
        <w:t xml:space="preserve">“Contratante”, y una empresa contratista; contrato en el que se testaron los datos correspondientes a: </w:t>
      </w:r>
      <w:r w:rsidRPr="00EB03EB">
        <w:rPr>
          <w:rFonts w:ascii="Palatino Linotype" w:eastAsia="Palatino Linotype" w:hAnsi="Palatino Linotype" w:cs="Palatino Linotype"/>
          <w:sz w:val="22"/>
          <w:szCs w:val="22"/>
          <w:u w:val="single"/>
        </w:rPr>
        <w:t>la denominación o razón social de la moral contratista; el nombre y firma del Administrador Único de la moral contratista; número y volumen del acta o escritura constitutiva de la moral contratista; nombre del Notario Público ante el que se protocolizó dicha escritura pública;  folio de credencial de elector del Administrador Único de la moral contratista; domicilio fiscal y domicilio para oír y recibir notificaciones de la moral contratista; y, el Registro Federal de Contribuyentes de la moral contratista.</w:t>
      </w:r>
    </w:p>
    <w:p w14:paraId="79C24682" w14:textId="77777777" w:rsidR="00426CAF" w:rsidRPr="00EB03EB" w:rsidRDefault="00426CAF">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2D17F33F"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13. Manifestaciones sobre Respuesta del Apercibimiento al Titular de Unidad de Transparencia: </w:t>
      </w:r>
      <w:r w:rsidRPr="00EB03EB">
        <w:rPr>
          <w:rFonts w:ascii="Palatino Linotype" w:eastAsia="Palatino Linotype" w:hAnsi="Palatino Linotype" w:cs="Palatino Linotype"/>
          <w:sz w:val="22"/>
          <w:szCs w:val="22"/>
        </w:rPr>
        <w:t>De la revisión a las constancias que obran en el SAIMEX con motivo del recurso de revisión que nos ocupa, se advierte que las partes fueron omisas en pronunciarse en este apartado:</w:t>
      </w:r>
    </w:p>
    <w:p w14:paraId="0ADB8D3C"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23C5E601"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noProof/>
          <w:sz w:val="22"/>
          <w:szCs w:val="22"/>
          <w:lang w:eastAsia="es-MX"/>
        </w:rPr>
        <w:drawing>
          <wp:inline distT="0" distB="0" distL="0" distR="0" wp14:anchorId="48A02192" wp14:editId="4234C524">
            <wp:extent cx="5581015" cy="1621790"/>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581015" cy="1621790"/>
                    </a:xfrm>
                    <a:prstGeom prst="rect">
                      <a:avLst/>
                    </a:prstGeom>
                    <a:ln/>
                  </pic:spPr>
                </pic:pic>
              </a:graphicData>
            </a:graphic>
          </wp:inline>
        </w:drawing>
      </w:r>
    </w:p>
    <w:p w14:paraId="7A157878" w14:textId="77777777" w:rsidR="00426CAF" w:rsidRPr="00EB03EB" w:rsidRDefault="00426CAF">
      <w:pPr>
        <w:spacing w:line="360" w:lineRule="auto"/>
        <w:jc w:val="both"/>
        <w:rPr>
          <w:rFonts w:ascii="Palatino Linotype" w:eastAsia="Palatino Linotype" w:hAnsi="Palatino Linotype" w:cs="Palatino Linotype"/>
          <w:b/>
          <w:sz w:val="22"/>
          <w:szCs w:val="22"/>
        </w:rPr>
      </w:pPr>
    </w:p>
    <w:p w14:paraId="24BB9812" w14:textId="77777777" w:rsidR="00426CAF" w:rsidRPr="00EB03EB" w:rsidRDefault="00B0335B">
      <w:pPr>
        <w:spacing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14. Interposición del segundo recurso de revisión</w:t>
      </w:r>
      <w:r w:rsidRPr="00EB03EB">
        <w:t xml:space="preserve"> </w:t>
      </w:r>
      <w:r w:rsidRPr="00EB03EB">
        <w:rPr>
          <w:rFonts w:ascii="Palatino Linotype" w:eastAsia="Palatino Linotype" w:hAnsi="Palatino Linotype" w:cs="Palatino Linotype"/>
          <w:b/>
          <w:sz w:val="22"/>
          <w:szCs w:val="22"/>
        </w:rPr>
        <w:t xml:space="preserve">01194/INFOEM/ICR-24/IP/RR/2024. </w:t>
      </w:r>
      <w:r w:rsidRPr="00EB03EB">
        <w:rPr>
          <w:rFonts w:ascii="Palatino Linotype" w:eastAsia="Palatino Linotype" w:hAnsi="Palatino Linotype" w:cs="Palatino Linotype"/>
          <w:sz w:val="22"/>
          <w:szCs w:val="22"/>
        </w:rPr>
        <w:t xml:space="preserve">El </w:t>
      </w:r>
      <w:r w:rsidRPr="00EB03EB">
        <w:rPr>
          <w:rFonts w:ascii="Palatino Linotype" w:eastAsia="Palatino Linotype" w:hAnsi="Palatino Linotype" w:cs="Palatino Linotype"/>
          <w:b/>
          <w:sz w:val="22"/>
          <w:szCs w:val="22"/>
        </w:rPr>
        <w:t>veinticuatro de mayo de dos mil veinticuatro, la parte Recurrente</w:t>
      </w:r>
      <w:r w:rsidRPr="00EB03EB">
        <w:rPr>
          <w:rFonts w:ascii="Palatino Linotype" w:eastAsia="Palatino Linotype" w:hAnsi="Palatino Linotype" w:cs="Palatino Linotype"/>
          <w:sz w:val="22"/>
          <w:szCs w:val="22"/>
        </w:rPr>
        <w:t xml:space="preserve"> se manifestó de la siguiente manera: </w:t>
      </w:r>
    </w:p>
    <w:p w14:paraId="4BC5A369"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781AC7CF" w14:textId="77777777" w:rsidR="00426CAF" w:rsidRPr="00EB03EB" w:rsidRDefault="00B0335B">
      <w:pPr>
        <w:spacing w:line="360" w:lineRule="auto"/>
        <w:ind w:left="567"/>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 xml:space="preserve">Acto impugnado: </w:t>
      </w:r>
    </w:p>
    <w:p w14:paraId="36705A25" w14:textId="77777777" w:rsidR="00426CAF" w:rsidRPr="00EB03EB" w:rsidRDefault="00426CAF">
      <w:pPr>
        <w:pBdr>
          <w:top w:val="nil"/>
          <w:left w:val="nil"/>
          <w:bottom w:val="nil"/>
          <w:right w:val="nil"/>
          <w:between w:val="nil"/>
        </w:pBdr>
        <w:ind w:left="567" w:right="864"/>
        <w:jc w:val="both"/>
        <w:rPr>
          <w:rFonts w:ascii="Palatino Linotype" w:eastAsia="Palatino Linotype" w:hAnsi="Palatino Linotype" w:cs="Palatino Linotype"/>
          <w:i/>
          <w:sz w:val="22"/>
          <w:szCs w:val="22"/>
        </w:rPr>
      </w:pPr>
    </w:p>
    <w:p w14:paraId="0F3F005B" w14:textId="77777777" w:rsidR="00426CAF" w:rsidRPr="00EB03EB" w:rsidRDefault="00B0335B">
      <w:pPr>
        <w:pBdr>
          <w:top w:val="nil"/>
          <w:left w:val="nil"/>
          <w:bottom w:val="nil"/>
          <w:right w:val="nil"/>
          <w:between w:val="nil"/>
        </w:pBdr>
        <w:ind w:left="567"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“La información otorgada por señor Angel Martínez Chavarría Tesorero Municipal de ixtapaluca no cumple con lo que indica el artículo 23, fracción X y artículo 27 de la Ley De Transparencia Acceso a la Información Publica del Estado de México Y </w:t>
      </w:r>
      <w:r w:rsidRPr="00EB03EB">
        <w:rPr>
          <w:rFonts w:ascii="Palatino Linotype" w:eastAsia="Palatino Linotype" w:hAnsi="Palatino Linotype" w:cs="Palatino Linotype"/>
          <w:i/>
          <w:sz w:val="22"/>
          <w:szCs w:val="22"/>
        </w:rPr>
        <w:lastRenderedPageBreak/>
        <w:t>Municipios ya que se encuentra censurada toda la información de la empresa que ejecutó la obra de la cual se solicitó originalmente información. Además no hay información concreta sobre presupuestos o plan de trabajo, por eso mismo se solicitó todo todo documento anexo, así como el mismo proyecto del cual el Titular de la Tesorería municipal nos comenta el nombre correcto de la obra: Rehabilitación del Parque Recreativo y Deportivo “La Venta” (primera etapa).” (Sic)</w:t>
      </w:r>
    </w:p>
    <w:p w14:paraId="7EFD5E66" w14:textId="77777777" w:rsidR="00426CAF" w:rsidRPr="00EB03EB" w:rsidRDefault="00426CAF">
      <w:pPr>
        <w:pBdr>
          <w:top w:val="nil"/>
          <w:left w:val="nil"/>
          <w:bottom w:val="nil"/>
          <w:right w:val="nil"/>
          <w:between w:val="nil"/>
        </w:pBdr>
        <w:ind w:left="567" w:right="864"/>
        <w:jc w:val="both"/>
        <w:rPr>
          <w:rFonts w:ascii="Palatino Linotype" w:eastAsia="Palatino Linotype" w:hAnsi="Palatino Linotype" w:cs="Palatino Linotype"/>
          <w:i/>
          <w:sz w:val="22"/>
          <w:szCs w:val="22"/>
        </w:rPr>
      </w:pPr>
    </w:p>
    <w:p w14:paraId="591B69DC" w14:textId="77777777" w:rsidR="00426CAF" w:rsidRPr="00EB03EB" w:rsidRDefault="00B0335B">
      <w:pPr>
        <w:spacing w:line="360" w:lineRule="auto"/>
        <w:ind w:left="567"/>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 xml:space="preserve">Motivos o razones de inconformidad: </w:t>
      </w:r>
    </w:p>
    <w:p w14:paraId="0BB9120A" w14:textId="77777777" w:rsidR="00426CAF" w:rsidRPr="00EB03EB" w:rsidRDefault="00426CAF">
      <w:pPr>
        <w:pBdr>
          <w:top w:val="nil"/>
          <w:left w:val="nil"/>
          <w:bottom w:val="nil"/>
          <w:right w:val="nil"/>
          <w:between w:val="nil"/>
        </w:pBdr>
        <w:ind w:left="567" w:right="864"/>
        <w:jc w:val="both"/>
        <w:rPr>
          <w:rFonts w:ascii="Palatino Linotype" w:eastAsia="Palatino Linotype" w:hAnsi="Palatino Linotype" w:cs="Palatino Linotype"/>
          <w:i/>
          <w:sz w:val="22"/>
          <w:szCs w:val="22"/>
        </w:rPr>
      </w:pPr>
    </w:p>
    <w:p w14:paraId="55F5B970" w14:textId="77777777" w:rsidR="00426CAF" w:rsidRPr="00EB03EB" w:rsidRDefault="00B0335B">
      <w:pPr>
        <w:pBdr>
          <w:top w:val="nil"/>
          <w:left w:val="nil"/>
          <w:bottom w:val="nil"/>
          <w:right w:val="nil"/>
          <w:between w:val="nil"/>
        </w:pBdr>
        <w:ind w:left="567"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“La información otorgada por el TItular de la Tesoreria municipal no cumple con el artículo 23, fracción X, artículo 24, fracción XIII y artículo 27 la Ley De Transparencia Acceso a la Información Publica del Estado de México Y Municipios, </w:t>
      </w:r>
      <w:r w:rsidRPr="00EB03EB">
        <w:rPr>
          <w:rFonts w:ascii="Palatino Linotype" w:eastAsia="Palatino Linotype" w:hAnsi="Palatino Linotype" w:cs="Palatino Linotype"/>
          <w:b/>
          <w:i/>
          <w:sz w:val="22"/>
          <w:szCs w:val="22"/>
          <w:u w:val="single"/>
        </w:rPr>
        <w:t>ya que dicha información se encuentra censurada respecto a la persona física o moral que ejecutó dicha obra</w:t>
      </w:r>
      <w:r w:rsidRPr="00EB03EB">
        <w:rPr>
          <w:rFonts w:ascii="Palatino Linotype" w:eastAsia="Palatino Linotype" w:hAnsi="Palatino Linotype" w:cs="Palatino Linotype"/>
          <w:i/>
          <w:sz w:val="22"/>
          <w:szCs w:val="22"/>
        </w:rPr>
        <w:t xml:space="preserve"> lo cual no permite un pleno acceso a la información ya que el mismo artículo 23 nos indica Los sujetos obligados deberán hacer pública toda aquella información relativa a los montos y las personas a quienes entreguen, por cualquier motivo, recursos públicos, así como los informes que dichas personas les entreguen sobre el uso y destino de dichos recursos. Los servidores públicos deberán transparentar sus acciones así como garantizar y respetar el derecho de acceso a la información pública.” (Sic) </w:t>
      </w:r>
    </w:p>
    <w:p w14:paraId="4ED7D32E"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8CD6F37"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15. Turno. </w:t>
      </w:r>
      <w:r w:rsidRPr="00EB03EB">
        <w:rPr>
          <w:rFonts w:ascii="Palatino Linotype" w:eastAsia="Palatino Linotype" w:hAnsi="Palatino Linotype" w:cs="Palatino Linotype"/>
          <w:sz w:val="22"/>
          <w:szCs w:val="22"/>
        </w:rPr>
        <w:t>De conformidad con el artículo 185 fracción I de la Ley de Transparencia y Acceso a la Información Pública del Estado de México y Municipios vigente, el recursos de revisión</w:t>
      </w:r>
      <w:r w:rsidRPr="00EB03EB">
        <w:t xml:space="preserve"> </w:t>
      </w:r>
      <w:r w:rsidRPr="00EB03EB">
        <w:rPr>
          <w:rFonts w:ascii="Palatino Linotype" w:eastAsia="Palatino Linotype" w:hAnsi="Palatino Linotype" w:cs="Palatino Linotype"/>
          <w:b/>
          <w:sz w:val="22"/>
          <w:szCs w:val="22"/>
        </w:rPr>
        <w:t xml:space="preserve">01194/INFOEM/ICR-24/IP/RR/2024, </w:t>
      </w:r>
      <w:r w:rsidRPr="00EB03EB">
        <w:rPr>
          <w:rFonts w:ascii="Palatino Linotype" w:eastAsia="Palatino Linotype" w:hAnsi="Palatino Linotype" w:cs="Palatino Linotype"/>
          <w:sz w:val="22"/>
          <w:szCs w:val="22"/>
        </w:rPr>
        <w:t xml:space="preserve">se turnó por el sistema electrónico del Instituto de Transparencia, Acceso a la Información Pública y Protección de Datos Personales del Estado de México y Municipios, a la </w:t>
      </w:r>
      <w:r w:rsidRPr="00EB03EB">
        <w:rPr>
          <w:rFonts w:ascii="Palatino Linotype" w:eastAsia="Palatino Linotype" w:hAnsi="Palatino Linotype" w:cs="Palatino Linotype"/>
          <w:b/>
          <w:sz w:val="22"/>
          <w:szCs w:val="22"/>
        </w:rPr>
        <w:t xml:space="preserve">Comisionada Guadalupe Ramírez Peña, </w:t>
      </w:r>
      <w:r w:rsidRPr="00EB03EB">
        <w:rPr>
          <w:rFonts w:ascii="Palatino Linotype" w:eastAsia="Palatino Linotype" w:hAnsi="Palatino Linotype" w:cs="Palatino Linotype"/>
          <w:sz w:val="22"/>
          <w:szCs w:val="22"/>
        </w:rPr>
        <w:t>a efecto de que analizara sobre su admisión o su desechamiento.</w:t>
      </w:r>
    </w:p>
    <w:p w14:paraId="0C307337" w14:textId="77777777" w:rsidR="00426CAF" w:rsidRPr="00EB03EB" w:rsidRDefault="00426CAF">
      <w:pPr>
        <w:spacing w:line="360" w:lineRule="auto"/>
        <w:ind w:right="51"/>
        <w:jc w:val="both"/>
        <w:rPr>
          <w:rFonts w:ascii="Palatino Linotype" w:eastAsia="Palatino Linotype" w:hAnsi="Palatino Linotype" w:cs="Palatino Linotype"/>
          <w:sz w:val="22"/>
          <w:szCs w:val="22"/>
        </w:rPr>
      </w:pPr>
    </w:p>
    <w:p w14:paraId="39C0BD7A"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16. Admisión del recurso de revisión.</w:t>
      </w:r>
      <w:r w:rsidRPr="00EB03EB">
        <w:rPr>
          <w:rFonts w:ascii="Palatino Linotype" w:eastAsia="Palatino Linotype" w:hAnsi="Palatino Linotype" w:cs="Palatino Linotype"/>
          <w:sz w:val="22"/>
          <w:szCs w:val="22"/>
        </w:rPr>
        <w:t xml:space="preserve"> El </w:t>
      </w:r>
      <w:r w:rsidRPr="00EB03EB">
        <w:rPr>
          <w:rFonts w:ascii="Palatino Linotype" w:eastAsia="Palatino Linotype" w:hAnsi="Palatino Linotype" w:cs="Palatino Linotype"/>
          <w:b/>
          <w:sz w:val="22"/>
          <w:szCs w:val="22"/>
        </w:rPr>
        <w:t xml:space="preserve">veintinueve de mayo de dos mil veinticuatro, </w:t>
      </w:r>
      <w:r w:rsidRPr="00EB03E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w:t>
      </w:r>
      <w:r w:rsidRPr="00EB03EB">
        <w:rPr>
          <w:rFonts w:ascii="Palatino Linotype" w:eastAsia="Palatino Linotype" w:hAnsi="Palatino Linotype" w:cs="Palatino Linotype"/>
          <w:sz w:val="22"/>
          <w:szCs w:val="22"/>
        </w:rPr>
        <w:lastRenderedPageBreak/>
        <w:t xml:space="preserve">manifestaran lo que a su derecho resultara conveniente, ofrecieran pruebas, formularan alegatos y </w:t>
      </w:r>
      <w:r w:rsidRPr="00EB03EB">
        <w:rPr>
          <w:rFonts w:ascii="Palatino Linotype" w:eastAsia="Palatino Linotype" w:hAnsi="Palatino Linotype" w:cs="Palatino Linotype"/>
          <w:b/>
          <w:sz w:val="22"/>
          <w:szCs w:val="22"/>
        </w:rPr>
        <w:t xml:space="preserve">el Sujeto Obligado </w:t>
      </w:r>
      <w:r w:rsidRPr="00EB03EB">
        <w:rPr>
          <w:rFonts w:ascii="Palatino Linotype" w:eastAsia="Palatino Linotype" w:hAnsi="Palatino Linotype" w:cs="Palatino Linotype"/>
          <w:sz w:val="22"/>
          <w:szCs w:val="22"/>
        </w:rPr>
        <w:t>presentara su Informe Justificado.</w:t>
      </w:r>
    </w:p>
    <w:p w14:paraId="3231C983" w14:textId="77777777" w:rsidR="00426CAF" w:rsidRPr="00EB03EB" w:rsidRDefault="00426CAF">
      <w:pPr>
        <w:spacing w:line="360" w:lineRule="auto"/>
        <w:jc w:val="both"/>
        <w:rPr>
          <w:sz w:val="22"/>
          <w:szCs w:val="22"/>
        </w:rPr>
      </w:pPr>
    </w:p>
    <w:p w14:paraId="3B0C786A"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17. Manifestaciones</w:t>
      </w:r>
      <w:r w:rsidRPr="00EB03EB">
        <w:rPr>
          <w:rFonts w:ascii="Palatino Linotype" w:eastAsia="Palatino Linotype" w:hAnsi="Palatino Linotype" w:cs="Palatino Linotype"/>
          <w:sz w:val="22"/>
          <w:szCs w:val="22"/>
        </w:rPr>
        <w:t xml:space="preserve">. De las constancias que obran en los expedientes electrónicos del SAIMEX se desprende que en la etapa de manifestaciones </w:t>
      </w:r>
      <w:r w:rsidRPr="00EB03EB">
        <w:rPr>
          <w:rFonts w:ascii="Palatino Linotype" w:eastAsia="Palatino Linotype" w:hAnsi="Palatino Linotype" w:cs="Palatino Linotype"/>
          <w:b/>
          <w:sz w:val="22"/>
          <w:szCs w:val="22"/>
        </w:rPr>
        <w:t xml:space="preserve">la parte Recurrente </w:t>
      </w:r>
      <w:r w:rsidRPr="00EB03EB">
        <w:rPr>
          <w:rFonts w:ascii="Palatino Linotype" w:eastAsia="Palatino Linotype" w:hAnsi="Palatino Linotype" w:cs="Palatino Linotype"/>
          <w:sz w:val="22"/>
          <w:szCs w:val="22"/>
        </w:rPr>
        <w:t>a través del archivo electrónico denominado “</w:t>
      </w:r>
      <w:r w:rsidRPr="00EB03EB">
        <w:rPr>
          <w:rFonts w:ascii="Palatino Linotype" w:eastAsia="Palatino Linotype" w:hAnsi="Palatino Linotype" w:cs="Palatino Linotype"/>
          <w:b/>
          <w:i/>
          <w:sz w:val="22"/>
          <w:szCs w:val="22"/>
        </w:rPr>
        <w:t>Contrato construcción venta.pdf</w:t>
      </w:r>
      <w:r w:rsidRPr="00EB03EB">
        <w:rPr>
          <w:rFonts w:ascii="Palatino Linotype" w:eastAsia="Palatino Linotype" w:hAnsi="Palatino Linotype" w:cs="Palatino Linotype"/>
          <w:sz w:val="22"/>
          <w:szCs w:val="22"/>
        </w:rPr>
        <w:t xml:space="preserve">” remitió el contrato entregado por el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 xml:space="preserve">y descrito en el antecedente décimo segundo de la presente resolución, reiterando sus motivos de inconformidad hechos valer con relación a la versión pública del contrato proporcionado. </w:t>
      </w:r>
    </w:p>
    <w:p w14:paraId="68743B78"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E1A56F1"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Por su lado, </w:t>
      </w:r>
      <w:r w:rsidRPr="00EB03EB">
        <w:rPr>
          <w:rFonts w:ascii="Palatino Linotype" w:eastAsia="Palatino Linotype" w:hAnsi="Palatino Linotype" w:cs="Palatino Linotype"/>
          <w:b/>
          <w:sz w:val="22"/>
          <w:szCs w:val="22"/>
        </w:rPr>
        <w:t xml:space="preserve">el Sujeto Obligado </w:t>
      </w:r>
      <w:r w:rsidRPr="00EB03EB">
        <w:rPr>
          <w:rFonts w:ascii="Palatino Linotype" w:eastAsia="Palatino Linotype" w:hAnsi="Palatino Linotype" w:cs="Palatino Linotype"/>
          <w:sz w:val="22"/>
          <w:szCs w:val="22"/>
        </w:rPr>
        <w:t xml:space="preserve">en fecha </w:t>
      </w:r>
      <w:r w:rsidRPr="00EB03EB">
        <w:rPr>
          <w:rFonts w:ascii="Palatino Linotype" w:eastAsia="Palatino Linotype" w:hAnsi="Palatino Linotype" w:cs="Palatino Linotype"/>
          <w:b/>
          <w:sz w:val="22"/>
          <w:szCs w:val="22"/>
        </w:rPr>
        <w:t>cinco de julio de dos mil veinticuatro</w:t>
      </w:r>
      <w:r w:rsidRPr="00EB03EB">
        <w:rPr>
          <w:rFonts w:ascii="Palatino Linotype" w:eastAsia="Palatino Linotype" w:hAnsi="Palatino Linotype" w:cs="Palatino Linotype"/>
          <w:sz w:val="22"/>
          <w:szCs w:val="22"/>
        </w:rPr>
        <w:t xml:space="preserve"> rindió su informe justificado a través del archivo electrónico denominado “</w:t>
      </w:r>
      <w:r w:rsidRPr="00EB03EB">
        <w:rPr>
          <w:rFonts w:ascii="Palatino Linotype" w:eastAsia="Palatino Linotype" w:hAnsi="Palatino Linotype" w:cs="Palatino Linotype"/>
          <w:b/>
          <w:i/>
          <w:sz w:val="22"/>
          <w:szCs w:val="22"/>
        </w:rPr>
        <w:t>RR 01194 2024 IMCUFIDE.pdf</w:t>
      </w:r>
      <w:r w:rsidRPr="00EB03EB">
        <w:rPr>
          <w:rFonts w:ascii="Palatino Linotype" w:eastAsia="Palatino Linotype" w:hAnsi="Palatino Linotype" w:cs="Palatino Linotype"/>
          <w:sz w:val="22"/>
          <w:szCs w:val="22"/>
        </w:rPr>
        <w:t>” que contiene el oficio EXT/DG/129/2024 del cinco de julio de dos mil veinticuatro, a través del cual el Director del Instituto Municipal de Cultura Física y Deporte informa que ese Instituto no realizó ninguna ejecución presupuestal con proveedores o constructora para la remodelación de la unidad deportiva Emiliano Zapata.</w:t>
      </w:r>
    </w:p>
    <w:p w14:paraId="6386280D" w14:textId="77777777" w:rsidR="00426CAF" w:rsidRPr="00EB03EB" w:rsidRDefault="00426CAF">
      <w:pPr>
        <w:spacing w:line="360" w:lineRule="auto"/>
        <w:jc w:val="both"/>
        <w:rPr>
          <w:rFonts w:ascii="Palatino Linotype" w:eastAsia="Palatino Linotype" w:hAnsi="Palatino Linotype" w:cs="Palatino Linotype"/>
          <w:b/>
          <w:sz w:val="22"/>
          <w:szCs w:val="22"/>
        </w:rPr>
      </w:pPr>
    </w:p>
    <w:p w14:paraId="2CBB6605"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Documento el anterior, que fue puesto a la vista de la </w:t>
      </w:r>
      <w:r w:rsidRPr="00EB03EB">
        <w:rPr>
          <w:rFonts w:ascii="Palatino Linotype" w:eastAsia="Palatino Linotype" w:hAnsi="Palatino Linotype" w:cs="Palatino Linotype"/>
          <w:b/>
          <w:sz w:val="22"/>
          <w:szCs w:val="22"/>
        </w:rPr>
        <w:t xml:space="preserve">parte Recurrente </w:t>
      </w:r>
      <w:r w:rsidRPr="00EB03EB">
        <w:rPr>
          <w:rFonts w:ascii="Palatino Linotype" w:eastAsia="Palatino Linotype" w:hAnsi="Palatino Linotype" w:cs="Palatino Linotype"/>
          <w:sz w:val="22"/>
          <w:szCs w:val="22"/>
        </w:rPr>
        <w:t xml:space="preserve">el </w:t>
      </w:r>
      <w:r w:rsidRPr="00EB03EB">
        <w:rPr>
          <w:rFonts w:ascii="Palatino Linotype" w:eastAsia="Palatino Linotype" w:hAnsi="Palatino Linotype" w:cs="Palatino Linotype"/>
          <w:b/>
          <w:sz w:val="22"/>
          <w:szCs w:val="22"/>
        </w:rPr>
        <w:t xml:space="preserve">dos de septiembre de dos mil veinticuatro, </w:t>
      </w:r>
      <w:r w:rsidRPr="00EB03EB">
        <w:rPr>
          <w:rFonts w:ascii="Palatino Linotype" w:eastAsia="Palatino Linotype" w:hAnsi="Palatino Linotype" w:cs="Palatino Linotype"/>
          <w:sz w:val="22"/>
          <w:szCs w:val="22"/>
        </w:rPr>
        <w:t>a fin de que hiciera valer manifestaciones o rindiera alegatos que conforme a derecho resultaran procedentes; no obstante, fue omisa en ejercer dicha prerrogativa.</w:t>
      </w:r>
    </w:p>
    <w:p w14:paraId="2C45ABDA" w14:textId="77777777" w:rsidR="00426CAF" w:rsidRPr="00EB03EB" w:rsidRDefault="00426CAF">
      <w:pPr>
        <w:spacing w:line="360" w:lineRule="auto"/>
        <w:rPr>
          <w:sz w:val="22"/>
          <w:szCs w:val="22"/>
        </w:rPr>
      </w:pPr>
    </w:p>
    <w:p w14:paraId="07DEA277" w14:textId="77777777" w:rsidR="00426CAF" w:rsidRPr="00EB03EB" w:rsidRDefault="00B0335B">
      <w:pPr>
        <w:widowControl w:val="0"/>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18. Ampliación del plazo para resolver el recurso 01194/INFOEM/ICR-24/IP/RR/2024.</w:t>
      </w:r>
      <w:r w:rsidRPr="00EB03EB">
        <w:rPr>
          <w:rFonts w:ascii="Palatino Linotype" w:eastAsia="Palatino Linotype" w:hAnsi="Palatino Linotype" w:cs="Palatino Linotype"/>
          <w:sz w:val="22"/>
          <w:szCs w:val="22"/>
        </w:rPr>
        <w:t xml:space="preserve"> El</w:t>
      </w:r>
      <w:r w:rsidRPr="00EB03EB">
        <w:rPr>
          <w:rFonts w:ascii="Palatino Linotype" w:eastAsia="Palatino Linotype" w:hAnsi="Palatino Linotype" w:cs="Palatino Linotype"/>
          <w:b/>
          <w:sz w:val="22"/>
          <w:szCs w:val="22"/>
        </w:rPr>
        <w:t xml:space="preserve"> dos de septiembre de dos mil veinticuatro</w:t>
      </w:r>
      <w:r w:rsidRPr="00EB03EB">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030B61A9" w14:textId="77777777" w:rsidR="00426CAF" w:rsidRPr="00EB03EB" w:rsidRDefault="00426CAF">
      <w:pPr>
        <w:widowControl w:val="0"/>
        <w:spacing w:line="360" w:lineRule="auto"/>
        <w:jc w:val="both"/>
        <w:rPr>
          <w:rFonts w:ascii="Palatino Linotype" w:eastAsia="Palatino Linotype" w:hAnsi="Palatino Linotype" w:cs="Palatino Linotype"/>
          <w:sz w:val="22"/>
          <w:szCs w:val="22"/>
        </w:rPr>
      </w:pPr>
    </w:p>
    <w:p w14:paraId="66AE4D3C"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7D5E385"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 </w:t>
      </w:r>
    </w:p>
    <w:p w14:paraId="7386454C"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11D689A"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 </w:t>
      </w:r>
    </w:p>
    <w:p w14:paraId="60429650"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8D6802"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4CDBFE13"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EAF0794"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0BC28918"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41120668"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6B8C8F75" w14:textId="77777777" w:rsidR="00426CAF" w:rsidRPr="00EB03EB" w:rsidRDefault="00B0335B">
      <w:pPr>
        <w:tabs>
          <w:tab w:val="left" w:pos="709"/>
        </w:tabs>
        <w:spacing w:line="360" w:lineRule="auto"/>
        <w:ind w:left="567" w:right="56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lastRenderedPageBreak/>
        <w:t>a)    Complejidad del asunto:</w:t>
      </w:r>
      <w:r w:rsidRPr="00EB03EB">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14:paraId="0A6866E1" w14:textId="77777777" w:rsidR="00426CAF" w:rsidRPr="00EB03EB" w:rsidRDefault="00B0335B">
      <w:pPr>
        <w:tabs>
          <w:tab w:val="left" w:pos="709"/>
        </w:tabs>
        <w:spacing w:line="360" w:lineRule="auto"/>
        <w:ind w:left="567" w:right="56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b)   Actividad Procesal del interesado</w:t>
      </w:r>
      <w:r w:rsidRPr="00EB03EB">
        <w:rPr>
          <w:rFonts w:ascii="Palatino Linotype" w:eastAsia="Palatino Linotype" w:hAnsi="Palatino Linotype" w:cs="Palatino Linotype"/>
          <w:sz w:val="22"/>
          <w:szCs w:val="22"/>
        </w:rPr>
        <w:t>: Acciones u omisiones del interesado.</w:t>
      </w:r>
    </w:p>
    <w:p w14:paraId="623F8474" w14:textId="77777777" w:rsidR="00426CAF" w:rsidRPr="00EB03EB" w:rsidRDefault="00B0335B">
      <w:pPr>
        <w:tabs>
          <w:tab w:val="left" w:pos="851"/>
        </w:tabs>
        <w:spacing w:line="360" w:lineRule="auto"/>
        <w:ind w:left="567" w:right="56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c)  Conducta de la Autoridad:</w:t>
      </w:r>
      <w:r w:rsidRPr="00EB03EB">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39C93141" w14:textId="77777777" w:rsidR="00426CAF" w:rsidRPr="00EB03EB" w:rsidRDefault="00B0335B">
      <w:pPr>
        <w:tabs>
          <w:tab w:val="left" w:pos="851"/>
        </w:tabs>
        <w:spacing w:line="360" w:lineRule="auto"/>
        <w:ind w:left="567" w:right="56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d) La afectación generada en la situación jurídica de la persona involucrada en el proceso:</w:t>
      </w:r>
      <w:r w:rsidRPr="00EB03EB">
        <w:rPr>
          <w:rFonts w:ascii="Palatino Linotype" w:eastAsia="Palatino Linotype" w:hAnsi="Palatino Linotype" w:cs="Palatino Linotype"/>
          <w:sz w:val="22"/>
          <w:szCs w:val="22"/>
        </w:rPr>
        <w:t xml:space="preserve"> Violación a sus derechos humanos.</w:t>
      </w:r>
    </w:p>
    <w:p w14:paraId="76735FA7" w14:textId="77777777" w:rsidR="00426CAF" w:rsidRPr="00EB03EB" w:rsidRDefault="00426CAF">
      <w:pPr>
        <w:tabs>
          <w:tab w:val="left" w:pos="851"/>
        </w:tabs>
        <w:spacing w:line="360" w:lineRule="auto"/>
        <w:ind w:left="567" w:right="560"/>
        <w:jc w:val="both"/>
        <w:rPr>
          <w:rFonts w:ascii="Palatino Linotype" w:eastAsia="Palatino Linotype" w:hAnsi="Palatino Linotype" w:cs="Palatino Linotype"/>
          <w:sz w:val="22"/>
          <w:szCs w:val="22"/>
        </w:rPr>
      </w:pPr>
    </w:p>
    <w:p w14:paraId="43299017"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C8996F3"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 </w:t>
      </w:r>
    </w:p>
    <w:p w14:paraId="3570C4E4"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Argumento que encuentra sustento en la jurisprudencia P./J. 32/92 emitida por el Pleno de la Suprema Corte de Justicia de la Nación de rubro “</w:t>
      </w:r>
      <w:r w:rsidRPr="00EB03EB">
        <w:rPr>
          <w:rFonts w:ascii="Palatino Linotype" w:eastAsia="Palatino Linotype" w:hAnsi="Palatino Linotype" w:cs="Palatino Linotype"/>
          <w:b/>
          <w:sz w:val="22"/>
          <w:szCs w:val="22"/>
        </w:rPr>
        <w:t>TÉRMINOS PROCESALES. PARA DETERMINAR SI UN FUNCIONARIO JUDICIAL ACTUÓ INDEBIDAMENTE POR NO RESPETARLOS SE DEBE ATENDER AL PRESUPUESTO QUE CONSIDERÓ EL LEGISLADOR AL FIJARLOS Y LAS CARACTERÍSTICAS DEL CASO.”</w:t>
      </w:r>
      <w:r w:rsidRPr="00EB03EB">
        <w:rPr>
          <w:rFonts w:ascii="Palatino Linotype" w:eastAsia="Palatino Linotype" w:hAnsi="Palatino Linotype" w:cs="Palatino Linotype"/>
          <w:sz w:val="22"/>
          <w:szCs w:val="22"/>
        </w:rPr>
        <w:t>, visible en la Gaceta del Seminario Judicial de la Federación con el registro digital 205635.</w:t>
      </w:r>
    </w:p>
    <w:p w14:paraId="423E25C9"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 </w:t>
      </w:r>
    </w:p>
    <w:p w14:paraId="653C6A62"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w:t>
      </w:r>
      <w:r w:rsidRPr="00EB03EB">
        <w:rPr>
          <w:rFonts w:ascii="Palatino Linotype" w:eastAsia="Palatino Linotype" w:hAnsi="Palatino Linotype" w:cs="Palatino Linotype"/>
          <w:sz w:val="22"/>
          <w:szCs w:val="22"/>
        </w:rPr>
        <w:lastRenderedPageBreak/>
        <w:t>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CA0DB0"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377BFBD8"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2A795E51"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 </w:t>
      </w:r>
    </w:p>
    <w:p w14:paraId="0D2422E5" w14:textId="77777777" w:rsidR="00426CAF" w:rsidRPr="00EB03EB" w:rsidRDefault="00B0335B">
      <w:pPr>
        <w:spacing w:line="276" w:lineRule="auto"/>
        <w:ind w:left="567" w:right="56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 “PLAZO RAZONABLE PARA RESOLVER. DIMENSIÓN Y EFECTOS DE ESTE CONCEPTO CUANDO SE ADUCE EXCESIVA CARGA DE TRABAJO.”</w:t>
      </w:r>
      <w:r w:rsidRPr="00EB03EB">
        <w:rPr>
          <w:rFonts w:ascii="Palatino Linotype" w:eastAsia="Palatino Linotype" w:hAnsi="Palatino Linotype" w:cs="Palatino Linotype"/>
          <w:sz w:val="22"/>
          <w:szCs w:val="22"/>
        </w:rPr>
        <w:t xml:space="preserve"> consultable en el Seminario Judicial de la Federación y su gaceta, con el registro digital 2002351.</w:t>
      </w:r>
    </w:p>
    <w:p w14:paraId="3E5B5A06" w14:textId="77777777" w:rsidR="00426CAF" w:rsidRPr="00EB03EB" w:rsidRDefault="00B0335B">
      <w:pPr>
        <w:spacing w:line="276" w:lineRule="auto"/>
        <w:ind w:left="567" w:right="56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 </w:t>
      </w:r>
    </w:p>
    <w:p w14:paraId="51995FCF" w14:textId="77777777" w:rsidR="00426CAF" w:rsidRPr="00EB03EB" w:rsidRDefault="00B0335B">
      <w:pPr>
        <w:spacing w:line="276" w:lineRule="auto"/>
        <w:ind w:left="567" w:right="56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sidRPr="00EB03EB">
        <w:rPr>
          <w:rFonts w:ascii="Palatino Linotype" w:eastAsia="Palatino Linotype" w:hAnsi="Palatino Linotype" w:cs="Palatino Linotype"/>
          <w:sz w:val="22"/>
          <w:szCs w:val="22"/>
        </w:rPr>
        <w:t xml:space="preserve"> visible en el Seminario Judicial de la Federación y su gaceta, con el registro digital 2002350.</w:t>
      </w:r>
    </w:p>
    <w:p w14:paraId="03FD7AEB" w14:textId="77777777" w:rsidR="00426CAF" w:rsidRPr="00EB03EB" w:rsidRDefault="00426CA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E61405F" w14:textId="77777777" w:rsidR="00426CAF" w:rsidRPr="00EB03EB" w:rsidRDefault="00B0335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63EF3C6C" w14:textId="77777777" w:rsidR="00426CAF" w:rsidRPr="00EB03EB" w:rsidRDefault="00426CA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BEDF91D"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19. Cierre de instrucción.</w:t>
      </w:r>
      <w:r w:rsidRPr="00EB03EB">
        <w:rPr>
          <w:rFonts w:ascii="Palatino Linotype" w:eastAsia="Palatino Linotype" w:hAnsi="Palatino Linotype" w:cs="Palatino Linotype"/>
          <w:sz w:val="22"/>
          <w:szCs w:val="22"/>
        </w:rPr>
        <w:t xml:space="preserve"> El</w:t>
      </w:r>
      <w:r w:rsidRPr="00EB03EB">
        <w:rPr>
          <w:rFonts w:ascii="Palatino Linotype" w:eastAsia="Palatino Linotype" w:hAnsi="Palatino Linotype" w:cs="Palatino Linotype"/>
          <w:b/>
          <w:sz w:val="22"/>
          <w:szCs w:val="22"/>
        </w:rPr>
        <w:t xml:space="preserve"> </w:t>
      </w:r>
      <w:r w:rsidR="0042618F" w:rsidRPr="00EB03EB">
        <w:rPr>
          <w:rFonts w:ascii="Palatino Linotype" w:eastAsia="Palatino Linotype" w:hAnsi="Palatino Linotype" w:cs="Palatino Linotype"/>
          <w:b/>
          <w:sz w:val="22"/>
          <w:szCs w:val="22"/>
        </w:rPr>
        <w:t>diez</w:t>
      </w:r>
      <w:r w:rsidRPr="00EB03EB">
        <w:rPr>
          <w:rFonts w:ascii="Palatino Linotype" w:eastAsia="Palatino Linotype" w:hAnsi="Palatino Linotype" w:cs="Palatino Linotype"/>
          <w:b/>
          <w:sz w:val="22"/>
          <w:szCs w:val="22"/>
        </w:rPr>
        <w:t xml:space="preserve"> de septiembre de dos mil veinticuatro,</w:t>
      </w:r>
      <w:r w:rsidRPr="00EB03EB">
        <w:rPr>
          <w:rFonts w:ascii="Palatino Linotype" w:eastAsia="Palatino Linotype" w:hAnsi="Palatino Linotype" w:cs="Palatino Linotype"/>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el mismo día, a través del Sistema de Acceso a la Información Mexiquense.  </w:t>
      </w:r>
    </w:p>
    <w:p w14:paraId="237AAD5F" w14:textId="77777777" w:rsidR="00426CAF" w:rsidRPr="00EB03EB" w:rsidRDefault="00426CAF">
      <w:pPr>
        <w:widowControl w:val="0"/>
        <w:spacing w:line="360" w:lineRule="auto"/>
        <w:jc w:val="both"/>
        <w:rPr>
          <w:rFonts w:ascii="Palatino Linotype" w:eastAsia="Palatino Linotype" w:hAnsi="Palatino Linotype" w:cs="Palatino Linotype"/>
          <w:b/>
          <w:sz w:val="22"/>
          <w:szCs w:val="22"/>
        </w:rPr>
      </w:pPr>
    </w:p>
    <w:p w14:paraId="3459D547" w14:textId="77777777" w:rsidR="00426CAF" w:rsidRPr="00EB03EB" w:rsidRDefault="00B0335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5" w:name="_heading=h.1fob9te" w:colFirst="0" w:colLast="0"/>
      <w:bookmarkEnd w:id="5"/>
      <w:r w:rsidRPr="00EB03EB">
        <w:rPr>
          <w:rFonts w:ascii="Palatino Linotype" w:eastAsia="Palatino Linotype" w:hAnsi="Palatino Linotype" w:cs="Palatino Linotype"/>
          <w:sz w:val="22"/>
          <w:szCs w:val="22"/>
        </w:rPr>
        <w:t>En razón de que fue debidamente sustanciado el expediente electrónico y no existe diligencia pendiente de desahogo, se emite la Resolución que conforme a Derecho proceda, y</w:t>
      </w:r>
    </w:p>
    <w:p w14:paraId="7557CE5F" w14:textId="77777777" w:rsidR="00426CAF" w:rsidRPr="00EB03EB" w:rsidRDefault="00B0335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II. C O N S I D E R A N D O:</w:t>
      </w:r>
    </w:p>
    <w:p w14:paraId="4494FA96" w14:textId="77777777" w:rsidR="00426CAF" w:rsidRPr="00EB03EB" w:rsidRDefault="00426CAF">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225E31DF"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Primero. Competencia.</w:t>
      </w:r>
      <w:r w:rsidRPr="00EB03E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EB03EB">
        <w:rPr>
          <w:rFonts w:ascii="Palatino Linotype" w:eastAsia="Palatino Linotype" w:hAnsi="Palatino Linotype" w:cs="Palatino Linotype"/>
          <w:b/>
          <w:sz w:val="22"/>
          <w:szCs w:val="22"/>
        </w:rPr>
        <w:t>la parte</w:t>
      </w:r>
      <w:r w:rsidRPr="00EB03EB">
        <w:rPr>
          <w:rFonts w:ascii="Palatino Linotype" w:eastAsia="Palatino Linotype" w:hAnsi="Palatino Linotype" w:cs="Palatino Linotype"/>
          <w:sz w:val="22"/>
          <w:szCs w:val="22"/>
        </w:rPr>
        <w:t xml:space="preserve"> </w:t>
      </w:r>
      <w:r w:rsidRPr="00EB03EB">
        <w:rPr>
          <w:rFonts w:ascii="Palatino Linotype" w:eastAsia="Palatino Linotype" w:hAnsi="Palatino Linotype" w:cs="Palatino Linotype"/>
          <w:b/>
          <w:sz w:val="22"/>
          <w:szCs w:val="22"/>
        </w:rPr>
        <w:t>Recurrente</w:t>
      </w:r>
      <w:r w:rsidRPr="00EB03EB">
        <w:rPr>
          <w:rFonts w:ascii="Palatino Linotype" w:eastAsia="Palatino Linotype" w:hAnsi="Palatino Linotype" w:cs="Palatino Linotype"/>
          <w:sz w:val="22"/>
          <w:szCs w:val="22"/>
        </w:rPr>
        <w:t>, conforme a lo dispuesto en los artículos 6, apartado A de la Constitución Política de los Estados Unidos Mexicanos;</w:t>
      </w:r>
      <w:r w:rsidRPr="00EB03EB">
        <w:t xml:space="preserve"> </w:t>
      </w:r>
      <w:r w:rsidRPr="00EB03EB">
        <w:rPr>
          <w:rFonts w:ascii="Palatino Linotype" w:eastAsia="Palatino Linotype" w:hAnsi="Palatino Linotype" w:cs="Palatino Linotype"/>
          <w:sz w:val="22"/>
          <w:szCs w:val="22"/>
        </w:rPr>
        <w:t>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2AC08A3"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6CD419C6" w14:textId="77777777" w:rsidR="00426CAF" w:rsidRPr="00EB03EB" w:rsidRDefault="00B0335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Segundo. Oportunidad y Procedibilidad del Segundo Recurso de Revisión. </w:t>
      </w:r>
      <w:r w:rsidRPr="00EB03EB">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FEDA27D" w14:textId="77777777" w:rsidR="00426CAF" w:rsidRPr="00EB03EB" w:rsidRDefault="00426CA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A7F5BEA"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02F61D4B"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36CE6E55" w14:textId="77777777" w:rsidR="00426CAF" w:rsidRPr="00EB03EB" w:rsidRDefault="00B0335B">
      <w:pPr>
        <w:ind w:left="851"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lastRenderedPageBreak/>
        <w:t xml:space="preserve">“Artículo 178. </w:t>
      </w:r>
      <w:r w:rsidRPr="00EB03E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86B938A" w14:textId="77777777" w:rsidR="00426CAF" w:rsidRPr="00EB03EB" w:rsidRDefault="00426CAF">
      <w:pPr>
        <w:ind w:left="851" w:right="900"/>
        <w:jc w:val="both"/>
        <w:rPr>
          <w:rFonts w:ascii="Palatino Linotype" w:eastAsia="Palatino Linotype" w:hAnsi="Palatino Linotype" w:cs="Palatino Linotype"/>
          <w:i/>
          <w:sz w:val="22"/>
          <w:szCs w:val="22"/>
        </w:rPr>
      </w:pPr>
    </w:p>
    <w:p w14:paraId="4207EBC0" w14:textId="77777777" w:rsidR="00426CAF" w:rsidRPr="00EB03EB" w:rsidRDefault="00B0335B">
      <w:pPr>
        <w:tabs>
          <w:tab w:val="left" w:pos="1418"/>
        </w:tabs>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xml:space="preserve"> remitió la información correspondiente para dar respuesta a la solicitud de información, el </w:t>
      </w:r>
      <w:r w:rsidRPr="00EB03EB">
        <w:rPr>
          <w:rFonts w:ascii="Palatino Linotype" w:eastAsia="Palatino Linotype" w:hAnsi="Palatino Linotype" w:cs="Palatino Linotype"/>
          <w:b/>
          <w:sz w:val="22"/>
          <w:szCs w:val="22"/>
        </w:rPr>
        <w:t>veinticuatro de mayo de dos mil veinticuatro (como se desprende del antecedente décimo segundo de la presente resolución)</w:t>
      </w:r>
      <w:r w:rsidRPr="00EB03EB">
        <w:rPr>
          <w:rFonts w:ascii="Palatino Linotype" w:eastAsia="Palatino Linotype" w:hAnsi="Palatino Linotype" w:cs="Palatino Linotype"/>
          <w:sz w:val="22"/>
          <w:szCs w:val="22"/>
        </w:rPr>
        <w:t xml:space="preserve">, mientras que el recurso de revisión interpuesto por la parte </w:t>
      </w:r>
      <w:r w:rsidRPr="00EB03EB">
        <w:rPr>
          <w:rFonts w:ascii="Palatino Linotype" w:eastAsia="Palatino Linotype" w:hAnsi="Palatino Linotype" w:cs="Palatino Linotype"/>
          <w:b/>
          <w:sz w:val="22"/>
          <w:szCs w:val="22"/>
        </w:rPr>
        <w:t>Recurrente</w:t>
      </w:r>
      <w:r w:rsidRPr="00EB03EB">
        <w:rPr>
          <w:rFonts w:ascii="Palatino Linotype" w:eastAsia="Palatino Linotype" w:hAnsi="Palatino Linotype" w:cs="Palatino Linotype"/>
          <w:sz w:val="22"/>
          <w:szCs w:val="22"/>
        </w:rPr>
        <w:t xml:space="preserve">, se tuvo por presentado el </w:t>
      </w:r>
      <w:r w:rsidRPr="00EB03EB">
        <w:rPr>
          <w:rFonts w:ascii="Palatino Linotype" w:eastAsia="Palatino Linotype" w:hAnsi="Palatino Linotype" w:cs="Palatino Linotype"/>
          <w:b/>
          <w:sz w:val="22"/>
          <w:szCs w:val="22"/>
        </w:rPr>
        <w:t>veinticuatro de mayo de dos mil veinticuatro</w:t>
      </w:r>
      <w:r w:rsidRPr="00EB03EB">
        <w:rPr>
          <w:rFonts w:ascii="Palatino Linotype" w:eastAsia="Palatino Linotype" w:hAnsi="Palatino Linotype" w:cs="Palatino Linotype"/>
          <w:sz w:val="22"/>
          <w:szCs w:val="22"/>
        </w:rPr>
        <w:t>; esto es, el mismo día en que tuvo conocimiento de la respuesta impugnada.</w:t>
      </w:r>
    </w:p>
    <w:p w14:paraId="44EBFDB1" w14:textId="77777777" w:rsidR="00426CAF" w:rsidRPr="00EB03EB" w:rsidRDefault="00426CAF">
      <w:pPr>
        <w:tabs>
          <w:tab w:val="left" w:pos="1418"/>
        </w:tabs>
        <w:spacing w:line="360" w:lineRule="auto"/>
        <w:ind w:right="49"/>
        <w:jc w:val="both"/>
        <w:rPr>
          <w:rFonts w:ascii="Palatino Linotype" w:eastAsia="Palatino Linotype" w:hAnsi="Palatino Linotype" w:cs="Palatino Linotype"/>
          <w:sz w:val="22"/>
          <w:szCs w:val="22"/>
        </w:rPr>
      </w:pPr>
    </w:p>
    <w:p w14:paraId="2C703A15"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6870F5BE"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50906A1E" w14:textId="77777777" w:rsidR="00426CAF" w:rsidRPr="00EB03EB" w:rsidRDefault="00B0335B">
      <w:pPr>
        <w:ind w:left="851"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lastRenderedPageBreak/>
        <w:t>“RECURSO DE RECLAMACIÓN. SU INTERPOSICIÓN NO ES EXTEMPORÁNEA SI SE REALIZA ANTES DE QUE INICIE EL PLAZO PARA HACERLO</w:t>
      </w:r>
      <w:r w:rsidRPr="00EB03EB">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4F43D08C" w14:textId="77777777" w:rsidR="00426CAF" w:rsidRPr="00EB03EB" w:rsidRDefault="00426CAF">
      <w:pPr>
        <w:tabs>
          <w:tab w:val="left" w:pos="1418"/>
        </w:tabs>
        <w:spacing w:line="360" w:lineRule="auto"/>
        <w:ind w:right="49"/>
        <w:jc w:val="both"/>
        <w:rPr>
          <w:rFonts w:ascii="Palatino Linotype" w:eastAsia="Palatino Linotype" w:hAnsi="Palatino Linotype" w:cs="Palatino Linotype"/>
          <w:sz w:val="22"/>
          <w:szCs w:val="22"/>
        </w:rPr>
      </w:pPr>
    </w:p>
    <w:p w14:paraId="77A467EB"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9339323"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AA08DCA"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Asimismo, resulta procedente la interposición del recurso de revisión citado al rubro, toda vez que se actualiza la hipótesis prevista en el artículo 179 fracciones II y V de la ley de la materia, que a la letra dice:</w:t>
      </w:r>
    </w:p>
    <w:p w14:paraId="0C6C63C4"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353C0077" w14:textId="77777777" w:rsidR="00426CAF" w:rsidRPr="00EB03EB" w:rsidRDefault="00B0335B">
      <w:pPr>
        <w:ind w:left="1276" w:right="175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 xml:space="preserve">Artículo 179. </w:t>
      </w:r>
      <w:r w:rsidRPr="00EB03E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9EA99CA" w14:textId="77777777" w:rsidR="00426CAF" w:rsidRPr="00EB03EB" w:rsidRDefault="00B0335B">
      <w:pPr>
        <w:ind w:left="1276" w:right="175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181ABBF1" w14:textId="77777777" w:rsidR="00426CAF" w:rsidRPr="00EB03EB" w:rsidRDefault="00B0335B">
      <w:pPr>
        <w:ind w:left="1276" w:right="175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II. La clasificación de la información;</w:t>
      </w:r>
      <w:r w:rsidRPr="00EB03EB">
        <w:rPr>
          <w:rFonts w:ascii="Palatino Linotype" w:eastAsia="Palatino Linotype" w:hAnsi="Palatino Linotype" w:cs="Palatino Linotype"/>
          <w:i/>
          <w:sz w:val="22"/>
          <w:szCs w:val="22"/>
        </w:rPr>
        <w:br/>
        <w:t>…</w:t>
      </w:r>
    </w:p>
    <w:p w14:paraId="54A8D30F" w14:textId="77777777" w:rsidR="00426CAF" w:rsidRPr="00EB03EB" w:rsidRDefault="00B0335B">
      <w:pPr>
        <w:ind w:left="1276" w:right="175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V. La entrega de información incompleta;” (Sic)</w:t>
      </w:r>
    </w:p>
    <w:p w14:paraId="6BB5BD5D" w14:textId="77777777" w:rsidR="00426CAF" w:rsidRPr="00EB03EB" w:rsidRDefault="00426CAF">
      <w:pPr>
        <w:widowControl w:val="0"/>
        <w:tabs>
          <w:tab w:val="left" w:pos="1701"/>
        </w:tabs>
        <w:spacing w:line="360" w:lineRule="auto"/>
        <w:ind w:right="49"/>
        <w:jc w:val="both"/>
        <w:rPr>
          <w:rFonts w:ascii="Palatino Linotype" w:eastAsia="Palatino Linotype" w:hAnsi="Palatino Linotype" w:cs="Palatino Linotype"/>
          <w:b/>
          <w:sz w:val="22"/>
          <w:szCs w:val="22"/>
        </w:rPr>
      </w:pPr>
    </w:p>
    <w:p w14:paraId="362E8D99" w14:textId="77777777" w:rsidR="00426CAF" w:rsidRPr="00EB03EB" w:rsidRDefault="00B0335B">
      <w:pPr>
        <w:spacing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 xml:space="preserve">Tercero. Materia de la revisión. </w:t>
      </w:r>
      <w:r w:rsidRPr="00EB03EB">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EB03EB">
        <w:rPr>
          <w:rFonts w:ascii="Palatino Linotype" w:eastAsia="Palatino Linotype" w:hAnsi="Palatino Linotype" w:cs="Palatino Linotype"/>
          <w:b/>
          <w:sz w:val="22"/>
          <w:szCs w:val="22"/>
        </w:rPr>
        <w:t xml:space="preserve">verificar si la respuesta </w:t>
      </w:r>
      <w:r w:rsidRPr="00EB03EB">
        <w:rPr>
          <w:rFonts w:ascii="Palatino Linotype" w:eastAsia="Palatino Linotype" w:hAnsi="Palatino Linotype" w:cs="Palatino Linotype"/>
          <w:b/>
          <w:sz w:val="22"/>
          <w:szCs w:val="22"/>
        </w:rPr>
        <w:lastRenderedPageBreak/>
        <w:t xml:space="preserve">otorgada por el Sujeto Obligado en cumplimiento a la resolución aprobada en la Décima Primera Sesión Ordinaria celebrada el tres de abril de dos mil veinticuatro, </w:t>
      </w:r>
      <w:r w:rsidRPr="00EB03EB">
        <w:rPr>
          <w:rFonts w:ascii="Palatino Linotype" w:eastAsia="Palatino Linotype" w:hAnsi="Palatino Linotype" w:cs="Palatino Linotype"/>
          <w:sz w:val="22"/>
          <w:szCs w:val="22"/>
        </w:rPr>
        <w:t xml:space="preserve">recaída al recurso de revisión </w:t>
      </w:r>
      <w:r w:rsidRPr="00EB03EB">
        <w:rPr>
          <w:rFonts w:ascii="Palatino Linotype" w:eastAsia="Palatino Linotype" w:hAnsi="Palatino Linotype" w:cs="Palatino Linotype"/>
          <w:b/>
          <w:sz w:val="22"/>
          <w:szCs w:val="22"/>
        </w:rPr>
        <w:t>01194/INFOEM/IP/RR/2024</w:t>
      </w:r>
      <w:r w:rsidRPr="00EB03EB">
        <w:rPr>
          <w:sz w:val="22"/>
          <w:szCs w:val="22"/>
        </w:rPr>
        <w:t xml:space="preserve">, </w:t>
      </w:r>
      <w:r w:rsidRPr="00EB03EB">
        <w:rPr>
          <w:rFonts w:ascii="Palatino Linotype" w:eastAsia="Palatino Linotype" w:hAnsi="Palatino Linotype" w:cs="Palatino Linotype"/>
          <w:sz w:val="22"/>
          <w:szCs w:val="22"/>
        </w:rPr>
        <w:t xml:space="preserve">y su informe justificado rendido en el presente segundo medio de impugnación son adecuados y suficientes para satisfacer el derecho de acceso a la información pública de la parte </w:t>
      </w:r>
      <w:r w:rsidRPr="00EB03EB">
        <w:rPr>
          <w:rFonts w:ascii="Palatino Linotype" w:eastAsia="Palatino Linotype" w:hAnsi="Palatino Linotype" w:cs="Palatino Linotype"/>
          <w:b/>
          <w:sz w:val="22"/>
          <w:szCs w:val="22"/>
        </w:rPr>
        <w:t>Recurrente</w:t>
      </w:r>
      <w:r w:rsidRPr="00EB03EB">
        <w:rPr>
          <w:rFonts w:ascii="Palatino Linotype" w:eastAsia="Palatino Linotype" w:hAnsi="Palatino Linotype" w:cs="Palatino Linotype"/>
          <w:sz w:val="22"/>
          <w:szCs w:val="22"/>
        </w:rPr>
        <w:t>, o en su defecto, en caso de ser procedente, ordenar la entrega de información.</w:t>
      </w:r>
    </w:p>
    <w:p w14:paraId="32FB0751" w14:textId="77777777" w:rsidR="00426CAF" w:rsidRPr="00EB03EB" w:rsidRDefault="00426CAF">
      <w:pPr>
        <w:spacing w:line="360" w:lineRule="auto"/>
        <w:jc w:val="both"/>
        <w:rPr>
          <w:rFonts w:ascii="Palatino Linotype" w:eastAsia="Palatino Linotype" w:hAnsi="Palatino Linotype" w:cs="Palatino Linotype"/>
          <w:b/>
          <w:sz w:val="22"/>
          <w:szCs w:val="22"/>
        </w:rPr>
      </w:pPr>
    </w:p>
    <w:p w14:paraId="63547502" w14:textId="77777777" w:rsidR="00426CAF" w:rsidRPr="00EB03EB" w:rsidRDefault="00B0335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Cuarto. Estudio del asunto. </w:t>
      </w:r>
      <w:r w:rsidRPr="00EB03EB">
        <w:rPr>
          <w:rFonts w:ascii="Palatino Linotype" w:eastAsia="Palatino Linotype" w:hAnsi="Palatino Linotype" w:cs="Palatino Linotype"/>
          <w:sz w:val="22"/>
          <w:szCs w:val="22"/>
        </w:rPr>
        <w:t xml:space="preserve">Antes de entrar al análisis de los pronunciamientos del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A19AB9D" w14:textId="77777777" w:rsidR="00426CAF" w:rsidRPr="00EB03EB" w:rsidRDefault="00426CAF">
      <w:pPr>
        <w:pBdr>
          <w:top w:val="nil"/>
          <w:left w:val="nil"/>
          <w:bottom w:val="nil"/>
          <w:right w:val="nil"/>
          <w:between w:val="nil"/>
        </w:pBdr>
        <w:spacing w:line="360" w:lineRule="auto"/>
        <w:jc w:val="both"/>
        <w:rPr>
          <w:rFonts w:ascii="Calibri" w:eastAsia="Calibri" w:hAnsi="Calibri" w:cs="Calibri"/>
          <w:sz w:val="22"/>
          <w:szCs w:val="22"/>
        </w:rPr>
      </w:pPr>
    </w:p>
    <w:p w14:paraId="05D9705E" w14:textId="77777777" w:rsidR="00426CAF" w:rsidRPr="00EB03EB" w:rsidRDefault="00B0335B">
      <w:pPr>
        <w:pBdr>
          <w:top w:val="nil"/>
          <w:left w:val="nil"/>
          <w:bottom w:val="nil"/>
          <w:right w:val="nil"/>
          <w:between w:val="nil"/>
        </w:pBdr>
        <w:ind w:left="851" w:right="850"/>
        <w:jc w:val="both"/>
        <w:rPr>
          <w:rFonts w:ascii="Calibri" w:eastAsia="Calibri" w:hAnsi="Calibri" w:cs="Calibri"/>
          <w:sz w:val="22"/>
          <w:szCs w:val="22"/>
        </w:rPr>
      </w:pPr>
      <w:r w:rsidRPr="00EB03E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B03E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1B880D2" w14:textId="77777777" w:rsidR="00426CAF" w:rsidRPr="00EB03EB" w:rsidRDefault="00B0335B">
      <w:pPr>
        <w:pBdr>
          <w:top w:val="nil"/>
          <w:left w:val="nil"/>
          <w:bottom w:val="nil"/>
          <w:right w:val="nil"/>
          <w:between w:val="nil"/>
        </w:pBdr>
        <w:ind w:left="851" w:right="850"/>
        <w:jc w:val="both"/>
        <w:rPr>
          <w:rFonts w:ascii="Calibri" w:eastAsia="Calibri" w:hAnsi="Calibri" w:cs="Calibri"/>
          <w:sz w:val="22"/>
          <w:szCs w:val="22"/>
        </w:rPr>
      </w:pPr>
      <w:r w:rsidRPr="00EB03E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E32B462" w14:textId="77777777" w:rsidR="00426CAF" w:rsidRPr="00EB03EB" w:rsidRDefault="00B0335B">
      <w:pPr>
        <w:pBdr>
          <w:top w:val="nil"/>
          <w:left w:val="nil"/>
          <w:bottom w:val="nil"/>
          <w:right w:val="nil"/>
          <w:between w:val="nil"/>
        </w:pBdr>
        <w:ind w:left="851" w:right="850"/>
        <w:jc w:val="both"/>
        <w:rPr>
          <w:rFonts w:ascii="Calibri" w:eastAsia="Calibri" w:hAnsi="Calibri" w:cs="Calibri"/>
          <w:sz w:val="22"/>
          <w:szCs w:val="22"/>
        </w:rPr>
      </w:pPr>
      <w:r w:rsidRPr="00EB03E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B03E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A3EE102" w14:textId="77777777" w:rsidR="00426CAF" w:rsidRPr="00EB03EB" w:rsidRDefault="00B0335B">
      <w:pPr>
        <w:pBdr>
          <w:top w:val="nil"/>
          <w:left w:val="nil"/>
          <w:bottom w:val="nil"/>
          <w:right w:val="nil"/>
          <w:between w:val="nil"/>
        </w:pBdr>
        <w:ind w:left="851" w:right="850"/>
        <w:jc w:val="both"/>
        <w:rPr>
          <w:rFonts w:ascii="Calibri" w:eastAsia="Calibri" w:hAnsi="Calibri" w:cs="Calibri"/>
          <w:sz w:val="22"/>
          <w:szCs w:val="22"/>
        </w:rPr>
      </w:pPr>
      <w:r w:rsidRPr="00EB03EB">
        <w:rPr>
          <w:rFonts w:ascii="Palatino Linotype" w:eastAsia="Palatino Linotype" w:hAnsi="Palatino Linotype" w:cs="Palatino Linotype"/>
          <w:i/>
          <w:sz w:val="22"/>
          <w:szCs w:val="22"/>
        </w:rPr>
        <w:t>[…]</w:t>
      </w:r>
    </w:p>
    <w:p w14:paraId="794AC631" w14:textId="77777777" w:rsidR="00426CAF" w:rsidRPr="00EB03EB" w:rsidRDefault="00B0335B">
      <w:pPr>
        <w:pBdr>
          <w:top w:val="nil"/>
          <w:left w:val="nil"/>
          <w:bottom w:val="nil"/>
          <w:right w:val="nil"/>
          <w:between w:val="nil"/>
        </w:pBdr>
        <w:ind w:left="851" w:right="901"/>
        <w:jc w:val="both"/>
        <w:rPr>
          <w:rFonts w:ascii="Calibri" w:eastAsia="Calibri" w:hAnsi="Calibri" w:cs="Calibri"/>
          <w:sz w:val="22"/>
          <w:szCs w:val="22"/>
        </w:rPr>
      </w:pPr>
      <w:r w:rsidRPr="00EB03EB">
        <w:rPr>
          <w:rFonts w:ascii="Palatino Linotype" w:eastAsia="Palatino Linotype" w:hAnsi="Palatino Linotype" w:cs="Palatino Linotype"/>
          <w:b/>
          <w:i/>
          <w:sz w:val="22"/>
          <w:szCs w:val="22"/>
        </w:rPr>
        <w:lastRenderedPageBreak/>
        <w:t>“Artículo 6o.</w:t>
      </w:r>
    </w:p>
    <w:p w14:paraId="44A2360B" w14:textId="77777777" w:rsidR="00426CAF" w:rsidRPr="00EB03EB" w:rsidRDefault="00B0335B">
      <w:pPr>
        <w:pBdr>
          <w:top w:val="nil"/>
          <w:left w:val="nil"/>
          <w:bottom w:val="nil"/>
          <w:right w:val="nil"/>
          <w:between w:val="nil"/>
        </w:pBdr>
        <w:ind w:left="851" w:right="901"/>
        <w:jc w:val="both"/>
        <w:rPr>
          <w:rFonts w:ascii="Calibri" w:eastAsia="Calibri" w:hAnsi="Calibri" w:cs="Calibri"/>
          <w:sz w:val="22"/>
          <w:szCs w:val="22"/>
        </w:rPr>
      </w:pPr>
      <w:r w:rsidRPr="00EB03EB">
        <w:rPr>
          <w:rFonts w:ascii="Palatino Linotype" w:eastAsia="Palatino Linotype" w:hAnsi="Palatino Linotype" w:cs="Palatino Linotype"/>
          <w:i/>
          <w:sz w:val="22"/>
          <w:szCs w:val="22"/>
        </w:rPr>
        <w:t>[...]</w:t>
      </w:r>
    </w:p>
    <w:p w14:paraId="1E002195" w14:textId="77777777" w:rsidR="00426CAF" w:rsidRPr="00EB03EB" w:rsidRDefault="00B0335B">
      <w:pPr>
        <w:pBdr>
          <w:top w:val="nil"/>
          <w:left w:val="nil"/>
          <w:bottom w:val="nil"/>
          <w:right w:val="nil"/>
          <w:between w:val="nil"/>
        </w:pBdr>
        <w:ind w:left="851" w:right="851"/>
        <w:jc w:val="both"/>
        <w:rPr>
          <w:rFonts w:ascii="Calibri" w:eastAsia="Calibri" w:hAnsi="Calibri" w:cs="Calibri"/>
          <w:sz w:val="22"/>
          <w:szCs w:val="22"/>
        </w:rPr>
      </w:pPr>
      <w:r w:rsidRPr="00EB03EB">
        <w:rPr>
          <w:rFonts w:ascii="Palatino Linotype" w:eastAsia="Palatino Linotype" w:hAnsi="Palatino Linotype" w:cs="Palatino Linotype"/>
          <w:b/>
          <w:i/>
          <w:sz w:val="22"/>
          <w:szCs w:val="22"/>
        </w:rPr>
        <w:t xml:space="preserve">A. Para el ejercicio del derecho de acceso a la información, la Federación y </w:t>
      </w:r>
      <w:r w:rsidRPr="00EB03EB">
        <w:rPr>
          <w:rFonts w:ascii="Palatino Linotype" w:eastAsia="Palatino Linotype" w:hAnsi="Palatino Linotype" w:cs="Palatino Linotype"/>
          <w:b/>
          <w:i/>
          <w:sz w:val="22"/>
          <w:szCs w:val="22"/>
          <w:u w:val="single"/>
        </w:rPr>
        <w:t>las entidades federativas</w:t>
      </w:r>
      <w:r w:rsidRPr="00EB03EB">
        <w:rPr>
          <w:rFonts w:ascii="Palatino Linotype" w:eastAsia="Palatino Linotype" w:hAnsi="Palatino Linotype" w:cs="Palatino Linotype"/>
          <w:b/>
          <w:i/>
          <w:sz w:val="22"/>
          <w:szCs w:val="22"/>
        </w:rPr>
        <w:t>,</w:t>
      </w:r>
      <w:r w:rsidRPr="00EB03EB">
        <w:rPr>
          <w:rFonts w:ascii="Palatino Linotype" w:eastAsia="Palatino Linotype" w:hAnsi="Palatino Linotype" w:cs="Palatino Linotype"/>
          <w:i/>
          <w:sz w:val="22"/>
          <w:szCs w:val="22"/>
        </w:rPr>
        <w:t xml:space="preserve"> en el ámbito de sus respectivas competencias, se regirán por los siguientes principios y bases:</w:t>
      </w:r>
    </w:p>
    <w:p w14:paraId="061525F4" w14:textId="77777777" w:rsidR="00426CAF" w:rsidRPr="00EB03EB" w:rsidRDefault="00B0335B">
      <w:pPr>
        <w:pBdr>
          <w:top w:val="nil"/>
          <w:left w:val="nil"/>
          <w:bottom w:val="nil"/>
          <w:right w:val="nil"/>
          <w:between w:val="nil"/>
        </w:pBdr>
        <w:ind w:left="851" w:right="851"/>
        <w:jc w:val="both"/>
        <w:rPr>
          <w:rFonts w:ascii="Calibri" w:eastAsia="Calibri" w:hAnsi="Calibri" w:cs="Calibri"/>
          <w:sz w:val="22"/>
          <w:szCs w:val="22"/>
        </w:rPr>
      </w:pPr>
      <w:r w:rsidRPr="00EB03EB">
        <w:rPr>
          <w:rFonts w:ascii="Palatino Linotype" w:eastAsia="Palatino Linotype" w:hAnsi="Palatino Linotype" w:cs="Palatino Linotype"/>
          <w:i/>
          <w:sz w:val="22"/>
          <w:szCs w:val="22"/>
        </w:rPr>
        <w:t> </w:t>
      </w:r>
      <w:r w:rsidRPr="00EB03EB">
        <w:rPr>
          <w:rFonts w:ascii="Palatino Linotype" w:eastAsia="Palatino Linotype" w:hAnsi="Palatino Linotype" w:cs="Palatino Linotype"/>
          <w:b/>
          <w:i/>
          <w:sz w:val="22"/>
          <w:szCs w:val="22"/>
        </w:rPr>
        <w:t xml:space="preserve">I. </w:t>
      </w:r>
      <w:r w:rsidRPr="00EB03E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B03EB">
        <w:rPr>
          <w:rFonts w:ascii="Palatino Linotype" w:eastAsia="Palatino Linotype" w:hAnsi="Palatino Linotype" w:cs="Palatino Linotype"/>
          <w:i/>
          <w:sz w:val="22"/>
          <w:szCs w:val="22"/>
        </w:rPr>
        <w:t xml:space="preserve"> Ejecutivo, Legislativo </w:t>
      </w:r>
      <w:r w:rsidRPr="00EB03EB">
        <w:rPr>
          <w:rFonts w:ascii="Palatino Linotype" w:eastAsia="Palatino Linotype" w:hAnsi="Palatino Linotype" w:cs="Palatino Linotype"/>
          <w:b/>
          <w:i/>
          <w:sz w:val="22"/>
          <w:szCs w:val="22"/>
          <w:u w:val="single"/>
        </w:rPr>
        <w:t>y Judicial</w:t>
      </w:r>
      <w:r w:rsidRPr="00EB03E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B03EB">
        <w:rPr>
          <w:rFonts w:ascii="Palatino Linotype" w:eastAsia="Palatino Linotype" w:hAnsi="Palatino Linotype" w:cs="Palatino Linotype"/>
          <w:b/>
          <w:i/>
          <w:sz w:val="22"/>
          <w:szCs w:val="22"/>
        </w:rPr>
        <w:t>es pública y sólo podrá ser reservada temporalmente por razones de interés público y seguridad nacional,</w:t>
      </w:r>
      <w:r w:rsidRPr="00EB03E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45DA66D" w14:textId="77777777" w:rsidR="00426CAF" w:rsidRPr="00EB03EB" w:rsidRDefault="00B0335B">
      <w:pPr>
        <w:pBdr>
          <w:top w:val="nil"/>
          <w:left w:val="nil"/>
          <w:bottom w:val="nil"/>
          <w:right w:val="nil"/>
          <w:between w:val="nil"/>
        </w:pBdr>
        <w:ind w:left="851" w:right="851"/>
        <w:jc w:val="both"/>
        <w:rPr>
          <w:rFonts w:ascii="Calibri" w:eastAsia="Calibri" w:hAnsi="Calibri" w:cs="Calibri"/>
          <w:sz w:val="22"/>
          <w:szCs w:val="22"/>
        </w:rPr>
      </w:pPr>
      <w:r w:rsidRPr="00EB03EB">
        <w:rPr>
          <w:rFonts w:ascii="Palatino Linotype" w:eastAsia="Palatino Linotype" w:hAnsi="Palatino Linotype" w:cs="Palatino Linotype"/>
          <w:i/>
          <w:sz w:val="22"/>
          <w:szCs w:val="22"/>
        </w:rPr>
        <w:t> </w:t>
      </w:r>
      <w:r w:rsidRPr="00EB03E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7C6AAEB" w14:textId="77777777" w:rsidR="00426CAF" w:rsidRPr="00EB03EB" w:rsidRDefault="00B0335B">
      <w:pPr>
        <w:pBdr>
          <w:top w:val="nil"/>
          <w:left w:val="nil"/>
          <w:bottom w:val="nil"/>
          <w:right w:val="nil"/>
          <w:between w:val="nil"/>
        </w:pBdr>
        <w:ind w:left="851" w:right="851"/>
        <w:jc w:val="both"/>
        <w:rPr>
          <w:rFonts w:ascii="Calibri" w:eastAsia="Calibri" w:hAnsi="Calibri" w:cs="Calibri"/>
          <w:sz w:val="22"/>
          <w:szCs w:val="22"/>
        </w:rPr>
      </w:pPr>
      <w:r w:rsidRPr="00EB03EB">
        <w:rPr>
          <w:rFonts w:ascii="Palatino Linotype" w:eastAsia="Palatino Linotype" w:hAnsi="Palatino Linotype" w:cs="Palatino Linotype"/>
          <w:i/>
          <w:sz w:val="22"/>
          <w:szCs w:val="22"/>
        </w:rPr>
        <w:t> </w:t>
      </w:r>
      <w:r w:rsidRPr="00EB03EB">
        <w:rPr>
          <w:rFonts w:ascii="Palatino Linotype" w:eastAsia="Palatino Linotype" w:hAnsi="Palatino Linotype" w:cs="Palatino Linotype"/>
          <w:b/>
          <w:i/>
          <w:sz w:val="22"/>
          <w:szCs w:val="22"/>
        </w:rPr>
        <w:t xml:space="preserve">III. </w:t>
      </w:r>
      <w:r w:rsidRPr="00EB03E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B03EB">
        <w:rPr>
          <w:rFonts w:ascii="Palatino Linotype" w:eastAsia="Palatino Linotype" w:hAnsi="Palatino Linotype" w:cs="Palatino Linotype"/>
          <w:i/>
          <w:sz w:val="22"/>
          <w:szCs w:val="22"/>
        </w:rPr>
        <w:t xml:space="preserve"> a sus datos personales o a la rectificación de éstos.</w:t>
      </w:r>
    </w:p>
    <w:p w14:paraId="2B97D4DC" w14:textId="77777777" w:rsidR="00426CAF" w:rsidRPr="00EB03EB" w:rsidRDefault="00B0335B">
      <w:pPr>
        <w:pBdr>
          <w:top w:val="nil"/>
          <w:left w:val="nil"/>
          <w:bottom w:val="nil"/>
          <w:right w:val="nil"/>
          <w:between w:val="nil"/>
        </w:pBdr>
        <w:ind w:left="851" w:right="851"/>
        <w:jc w:val="both"/>
        <w:rPr>
          <w:rFonts w:ascii="Calibri" w:eastAsia="Calibri" w:hAnsi="Calibri" w:cs="Calibri"/>
          <w:sz w:val="22"/>
          <w:szCs w:val="22"/>
        </w:rPr>
      </w:pPr>
      <w:r w:rsidRPr="00EB03EB">
        <w:rPr>
          <w:rFonts w:ascii="Palatino Linotype" w:eastAsia="Palatino Linotype" w:hAnsi="Palatino Linotype" w:cs="Palatino Linotype"/>
          <w:i/>
          <w:sz w:val="22"/>
          <w:szCs w:val="22"/>
        </w:rPr>
        <w:t> </w:t>
      </w:r>
      <w:r w:rsidRPr="00EB03EB">
        <w:rPr>
          <w:rFonts w:ascii="Palatino Linotype" w:eastAsia="Palatino Linotype" w:hAnsi="Palatino Linotype" w:cs="Palatino Linotype"/>
          <w:b/>
          <w:i/>
          <w:sz w:val="22"/>
          <w:szCs w:val="22"/>
        </w:rPr>
        <w:t xml:space="preserve">IV. </w:t>
      </w:r>
      <w:r w:rsidRPr="00EB03E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ACDCD71" w14:textId="77777777" w:rsidR="00426CAF" w:rsidRPr="00EB03EB" w:rsidRDefault="00B0335B">
      <w:pPr>
        <w:pBdr>
          <w:top w:val="nil"/>
          <w:left w:val="nil"/>
          <w:bottom w:val="nil"/>
          <w:right w:val="nil"/>
          <w:between w:val="nil"/>
        </w:pBdr>
        <w:ind w:left="851" w:right="851"/>
        <w:jc w:val="both"/>
        <w:rPr>
          <w:rFonts w:ascii="Calibri" w:eastAsia="Calibri" w:hAnsi="Calibri" w:cs="Calibri"/>
          <w:sz w:val="22"/>
          <w:szCs w:val="22"/>
        </w:rPr>
      </w:pPr>
      <w:r w:rsidRPr="00EB03EB">
        <w:rPr>
          <w:rFonts w:ascii="Palatino Linotype" w:eastAsia="Palatino Linotype" w:hAnsi="Palatino Linotype" w:cs="Palatino Linotype"/>
          <w:b/>
          <w:i/>
          <w:sz w:val="22"/>
          <w:szCs w:val="22"/>
        </w:rPr>
        <w:t xml:space="preserve">V. </w:t>
      </w:r>
      <w:r w:rsidRPr="00EB03E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44F59DE" w14:textId="77777777" w:rsidR="00426CAF" w:rsidRPr="00EB03EB" w:rsidRDefault="00B0335B">
      <w:pPr>
        <w:pBdr>
          <w:top w:val="nil"/>
          <w:left w:val="nil"/>
          <w:bottom w:val="nil"/>
          <w:right w:val="nil"/>
          <w:between w:val="nil"/>
        </w:pBdr>
        <w:ind w:left="851" w:right="851"/>
        <w:jc w:val="both"/>
        <w:rPr>
          <w:rFonts w:ascii="Calibri" w:eastAsia="Calibri" w:hAnsi="Calibri" w:cs="Calibri"/>
          <w:sz w:val="22"/>
          <w:szCs w:val="22"/>
        </w:rPr>
      </w:pPr>
      <w:r w:rsidRPr="00EB03EB">
        <w:rPr>
          <w:rFonts w:ascii="Palatino Linotype" w:eastAsia="Palatino Linotype" w:hAnsi="Palatino Linotype" w:cs="Palatino Linotype"/>
          <w:i/>
          <w:sz w:val="22"/>
          <w:szCs w:val="22"/>
        </w:rPr>
        <w:t> </w:t>
      </w:r>
      <w:r w:rsidRPr="00EB03EB">
        <w:rPr>
          <w:rFonts w:ascii="Palatino Linotype" w:eastAsia="Palatino Linotype" w:hAnsi="Palatino Linotype" w:cs="Palatino Linotype"/>
          <w:b/>
          <w:i/>
          <w:sz w:val="22"/>
          <w:szCs w:val="22"/>
        </w:rPr>
        <w:t xml:space="preserve">VI. </w:t>
      </w:r>
      <w:r w:rsidRPr="00EB03E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3377031" w14:textId="77777777" w:rsidR="00426CAF" w:rsidRPr="00EB03EB" w:rsidRDefault="00B0335B">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w:t>
      </w:r>
      <w:r w:rsidRPr="00EB03EB">
        <w:rPr>
          <w:rFonts w:ascii="Palatino Linotype" w:eastAsia="Palatino Linotype" w:hAnsi="Palatino Linotype" w:cs="Palatino Linotype"/>
          <w:b/>
          <w:i/>
          <w:sz w:val="22"/>
          <w:szCs w:val="22"/>
        </w:rPr>
        <w:t xml:space="preserve">VII. </w:t>
      </w:r>
      <w:r w:rsidRPr="00EB03EB">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0D7D9C5" w14:textId="77777777" w:rsidR="00426CAF" w:rsidRPr="00EB03EB" w:rsidRDefault="00426CAF">
      <w:pPr>
        <w:pBdr>
          <w:top w:val="nil"/>
          <w:left w:val="nil"/>
          <w:bottom w:val="nil"/>
          <w:right w:val="nil"/>
          <w:between w:val="nil"/>
        </w:pBdr>
        <w:spacing w:line="276" w:lineRule="auto"/>
        <w:ind w:left="851" w:right="851"/>
        <w:jc w:val="both"/>
        <w:rPr>
          <w:rFonts w:ascii="Calibri" w:eastAsia="Calibri" w:hAnsi="Calibri" w:cs="Calibri"/>
          <w:sz w:val="22"/>
          <w:szCs w:val="22"/>
        </w:rPr>
      </w:pPr>
    </w:p>
    <w:p w14:paraId="23CA4FD5" w14:textId="77777777" w:rsidR="00426CAF" w:rsidRPr="00EB03EB" w:rsidRDefault="00B0335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w:t>
      </w:r>
      <w:r w:rsidRPr="00EB03EB">
        <w:rPr>
          <w:rFonts w:ascii="Palatino Linotype" w:eastAsia="Palatino Linotype" w:hAnsi="Palatino Linotype" w:cs="Palatino Linotype"/>
          <w:sz w:val="22"/>
          <w:szCs w:val="22"/>
        </w:rPr>
        <w:lastRenderedPageBreak/>
        <w:t>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3655C32" w14:textId="77777777" w:rsidR="00426CAF" w:rsidRPr="00EB03EB" w:rsidRDefault="00426CAF">
      <w:pPr>
        <w:pBdr>
          <w:top w:val="nil"/>
          <w:left w:val="nil"/>
          <w:bottom w:val="nil"/>
          <w:right w:val="nil"/>
          <w:between w:val="nil"/>
        </w:pBdr>
        <w:spacing w:line="360" w:lineRule="auto"/>
        <w:jc w:val="both"/>
        <w:rPr>
          <w:rFonts w:ascii="Calibri" w:eastAsia="Calibri" w:hAnsi="Calibri" w:cs="Calibri"/>
          <w:sz w:val="22"/>
          <w:szCs w:val="22"/>
        </w:rPr>
      </w:pPr>
    </w:p>
    <w:p w14:paraId="028EBE63" w14:textId="77777777" w:rsidR="00426CAF" w:rsidRPr="00EB03EB" w:rsidRDefault="00B0335B">
      <w:pPr>
        <w:spacing w:line="276" w:lineRule="auto"/>
        <w:ind w:left="567" w:right="616"/>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Artículo 4</w:t>
      </w:r>
      <w:r w:rsidRPr="00EB03E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92A95BC" w14:textId="77777777" w:rsidR="00426CAF" w:rsidRPr="00EB03EB" w:rsidRDefault="00426CAF">
      <w:pPr>
        <w:spacing w:line="276" w:lineRule="auto"/>
        <w:ind w:left="567" w:right="616"/>
        <w:jc w:val="both"/>
        <w:rPr>
          <w:rFonts w:ascii="Palatino Linotype" w:eastAsia="Palatino Linotype" w:hAnsi="Palatino Linotype" w:cs="Palatino Linotype"/>
          <w:i/>
          <w:sz w:val="22"/>
          <w:szCs w:val="22"/>
        </w:rPr>
      </w:pPr>
    </w:p>
    <w:p w14:paraId="31BF28DD" w14:textId="77777777" w:rsidR="00426CAF" w:rsidRPr="00EB03EB" w:rsidRDefault="00B0335B">
      <w:pPr>
        <w:spacing w:line="276" w:lineRule="auto"/>
        <w:ind w:left="567" w:right="616"/>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B03E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D8F6F6B" w14:textId="77777777" w:rsidR="00426CAF" w:rsidRPr="00EB03EB" w:rsidRDefault="00426CAF">
      <w:pPr>
        <w:spacing w:line="276" w:lineRule="auto"/>
        <w:ind w:left="567" w:right="616"/>
        <w:jc w:val="both"/>
        <w:rPr>
          <w:rFonts w:ascii="Palatino Linotype" w:eastAsia="Palatino Linotype" w:hAnsi="Palatino Linotype" w:cs="Palatino Linotype"/>
          <w:i/>
          <w:sz w:val="22"/>
          <w:szCs w:val="22"/>
        </w:rPr>
      </w:pPr>
    </w:p>
    <w:p w14:paraId="52B21A23" w14:textId="77777777" w:rsidR="00426CAF" w:rsidRPr="00EB03EB" w:rsidRDefault="00B0335B">
      <w:pPr>
        <w:spacing w:line="276" w:lineRule="auto"/>
        <w:ind w:left="567" w:right="616"/>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B03EB">
        <w:rPr>
          <w:rFonts w:ascii="Palatino Linotype" w:eastAsia="Palatino Linotype" w:hAnsi="Palatino Linotype" w:cs="Palatino Linotype"/>
          <w:i/>
          <w:sz w:val="22"/>
          <w:szCs w:val="22"/>
        </w:rPr>
        <w:t>.”</w:t>
      </w:r>
    </w:p>
    <w:p w14:paraId="15A18862"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70F9DF01"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EB03EB">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3CED2D8A"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71F8CA7E" w14:textId="77777777" w:rsidR="00426CAF" w:rsidRPr="00EB03EB" w:rsidRDefault="00B0335B">
      <w:pPr>
        <w:ind w:left="567" w:right="616"/>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“Artículo 12.-</w:t>
      </w:r>
      <w:r w:rsidRPr="00EB03E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07D28ED" w14:textId="77777777" w:rsidR="00426CAF" w:rsidRPr="00EB03EB" w:rsidRDefault="00426CAF">
      <w:pPr>
        <w:ind w:left="567" w:right="616"/>
        <w:jc w:val="both"/>
        <w:rPr>
          <w:rFonts w:ascii="Palatino Linotype" w:eastAsia="Palatino Linotype" w:hAnsi="Palatino Linotype" w:cs="Palatino Linotype"/>
          <w:i/>
          <w:sz w:val="22"/>
          <w:szCs w:val="22"/>
        </w:rPr>
      </w:pPr>
    </w:p>
    <w:p w14:paraId="0C97EE2F" w14:textId="77777777" w:rsidR="00426CAF" w:rsidRPr="00EB03EB" w:rsidRDefault="00B0335B">
      <w:pPr>
        <w:ind w:left="567" w:right="616"/>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B03EB">
        <w:rPr>
          <w:rFonts w:ascii="Palatino Linotype" w:eastAsia="Palatino Linotype" w:hAnsi="Palatino Linotype" w:cs="Palatino Linotype"/>
          <w:i/>
          <w:sz w:val="22"/>
          <w:szCs w:val="22"/>
        </w:rPr>
        <w:t xml:space="preserve">. </w:t>
      </w:r>
      <w:r w:rsidRPr="00EB03EB">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3B992BB6" w14:textId="77777777" w:rsidR="00426CAF" w:rsidRPr="00EB03EB" w:rsidRDefault="00426CAF">
      <w:pPr>
        <w:spacing w:line="360" w:lineRule="auto"/>
        <w:ind w:left="567" w:right="616"/>
        <w:jc w:val="both"/>
        <w:rPr>
          <w:rFonts w:ascii="Palatino Linotype" w:eastAsia="Palatino Linotype" w:hAnsi="Palatino Linotype" w:cs="Palatino Linotype"/>
          <w:i/>
          <w:sz w:val="22"/>
          <w:szCs w:val="22"/>
        </w:rPr>
      </w:pPr>
    </w:p>
    <w:p w14:paraId="7E2EA627" w14:textId="77777777" w:rsidR="00426CAF" w:rsidRPr="00EB03EB" w:rsidRDefault="00B0335B">
      <w:pPr>
        <w:spacing w:line="360" w:lineRule="auto"/>
        <w:ind w:right="-93"/>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5EA9197B" w14:textId="77777777" w:rsidR="00426CAF" w:rsidRPr="00EB03EB" w:rsidRDefault="00426CAF">
      <w:pPr>
        <w:spacing w:line="360" w:lineRule="auto"/>
        <w:ind w:right="-93"/>
        <w:jc w:val="both"/>
        <w:rPr>
          <w:rFonts w:ascii="Palatino Linotype" w:eastAsia="Palatino Linotype" w:hAnsi="Palatino Linotype" w:cs="Palatino Linotype"/>
          <w:sz w:val="22"/>
          <w:szCs w:val="22"/>
        </w:rPr>
      </w:pPr>
    </w:p>
    <w:p w14:paraId="18437281" w14:textId="77777777" w:rsidR="00426CAF" w:rsidRPr="00EB03EB" w:rsidRDefault="00B0335B">
      <w:pPr>
        <w:spacing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EB03EB">
        <w:rPr>
          <w:rFonts w:ascii="Palatino Linotype" w:eastAsia="Palatino Linotype" w:hAnsi="Palatino Linotype" w:cs="Palatino Linotype"/>
          <w:b/>
          <w:sz w:val="22"/>
          <w:szCs w:val="22"/>
        </w:rPr>
        <w:t xml:space="preserve"> </w:t>
      </w:r>
    </w:p>
    <w:p w14:paraId="6E8C8B23" w14:textId="77777777" w:rsidR="00426CAF" w:rsidRPr="00EB03EB" w:rsidRDefault="00426CAF">
      <w:pPr>
        <w:spacing w:line="360" w:lineRule="auto"/>
        <w:jc w:val="both"/>
        <w:rPr>
          <w:rFonts w:ascii="Palatino Linotype" w:eastAsia="Palatino Linotype" w:hAnsi="Palatino Linotype" w:cs="Palatino Linotype"/>
          <w:b/>
          <w:sz w:val="22"/>
          <w:szCs w:val="22"/>
        </w:rPr>
      </w:pPr>
    </w:p>
    <w:p w14:paraId="20C2BA79" w14:textId="77777777" w:rsidR="00426CAF" w:rsidRPr="00EB03EB" w:rsidRDefault="00B0335B">
      <w:pPr>
        <w:ind w:left="567" w:right="616"/>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No existe obligación de elaborar documentos ad hoc para atender las solicitudes de acceso a la información.</w:t>
      </w:r>
      <w:r w:rsidRPr="00EB03E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w:t>
      </w:r>
      <w:r w:rsidRPr="00EB03EB">
        <w:rPr>
          <w:rFonts w:ascii="Palatino Linotype" w:eastAsia="Palatino Linotype" w:hAnsi="Palatino Linotype" w:cs="Palatino Linotype"/>
          <w:i/>
          <w:sz w:val="22"/>
          <w:szCs w:val="22"/>
        </w:rPr>
        <w:lastRenderedPageBreak/>
        <w:t xml:space="preserve">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9787811" w14:textId="77777777" w:rsidR="00426CAF" w:rsidRPr="00EB03EB" w:rsidRDefault="00426CAF">
      <w:pPr>
        <w:spacing w:line="360" w:lineRule="auto"/>
        <w:ind w:right="-93"/>
        <w:jc w:val="both"/>
        <w:rPr>
          <w:rFonts w:ascii="Palatino Linotype" w:eastAsia="Palatino Linotype" w:hAnsi="Palatino Linotype" w:cs="Palatino Linotype"/>
          <w:sz w:val="22"/>
          <w:szCs w:val="22"/>
        </w:rPr>
      </w:pPr>
    </w:p>
    <w:p w14:paraId="4DA30249"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19B89C2"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70085C8"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A192D3C"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32E94B76"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B00C0AA"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26EC0896" w14:textId="77777777" w:rsidR="00426CAF" w:rsidRPr="00EB03EB" w:rsidRDefault="00B0335B">
      <w:pPr>
        <w:ind w:left="567" w:right="616"/>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 xml:space="preserve">Artículo 3. </w:t>
      </w:r>
      <w:r w:rsidRPr="00EB03EB">
        <w:rPr>
          <w:rFonts w:ascii="Palatino Linotype" w:eastAsia="Palatino Linotype" w:hAnsi="Palatino Linotype" w:cs="Palatino Linotype"/>
          <w:i/>
          <w:sz w:val="22"/>
          <w:szCs w:val="22"/>
        </w:rPr>
        <w:t>Para los efectos de la presente Ley se entenderá por:</w:t>
      </w:r>
    </w:p>
    <w:p w14:paraId="48121944" w14:textId="77777777" w:rsidR="00426CAF" w:rsidRPr="00EB03EB" w:rsidRDefault="00B0335B">
      <w:pPr>
        <w:ind w:left="567" w:right="616"/>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lastRenderedPageBreak/>
        <w:t>…</w:t>
      </w:r>
    </w:p>
    <w:p w14:paraId="79601712" w14:textId="77777777" w:rsidR="00426CAF" w:rsidRPr="00EB03EB" w:rsidRDefault="00B0335B">
      <w:pPr>
        <w:ind w:left="567" w:right="616"/>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XI. Documento:</w:t>
      </w:r>
      <w:r w:rsidRPr="00EB03EB">
        <w:rPr>
          <w:rFonts w:ascii="Palatino Linotype" w:eastAsia="Palatino Linotype" w:hAnsi="Palatino Linotype" w:cs="Palatino Linotype"/>
          <w:i/>
          <w:sz w:val="22"/>
          <w:szCs w:val="22"/>
        </w:rPr>
        <w:t xml:space="preserve"> Los expedientes, reportes, estudios, actas</w:t>
      </w:r>
      <w:r w:rsidRPr="00EB03EB">
        <w:rPr>
          <w:rFonts w:ascii="Palatino Linotype" w:eastAsia="Palatino Linotype" w:hAnsi="Palatino Linotype" w:cs="Palatino Linotype"/>
          <w:b/>
          <w:i/>
          <w:sz w:val="22"/>
          <w:szCs w:val="22"/>
        </w:rPr>
        <w:t>,</w:t>
      </w:r>
      <w:r w:rsidRPr="00EB03E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66217C7" w14:textId="77777777" w:rsidR="00426CAF" w:rsidRPr="00EB03EB" w:rsidRDefault="00426CAF">
      <w:pPr>
        <w:spacing w:line="360" w:lineRule="auto"/>
        <w:ind w:left="851" w:right="899"/>
        <w:jc w:val="both"/>
        <w:rPr>
          <w:rFonts w:ascii="Palatino Linotype" w:eastAsia="Palatino Linotype" w:hAnsi="Palatino Linotype" w:cs="Palatino Linotype"/>
          <w:sz w:val="22"/>
          <w:szCs w:val="22"/>
        </w:rPr>
      </w:pPr>
    </w:p>
    <w:p w14:paraId="2C373271"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C96EA59"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24A9353F" w14:textId="77777777" w:rsidR="00426CAF" w:rsidRPr="00EB03EB" w:rsidRDefault="00B0335B">
      <w:pPr>
        <w:ind w:left="567" w:right="616"/>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sz w:val="22"/>
          <w:szCs w:val="22"/>
        </w:rPr>
        <w:t>“</w:t>
      </w:r>
      <w:r w:rsidRPr="00EB03EB">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B03E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A6C6E5C" w14:textId="77777777" w:rsidR="00426CAF" w:rsidRPr="00EB03EB" w:rsidRDefault="00B0335B">
      <w:pPr>
        <w:ind w:left="567" w:right="616"/>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CD262EF" w14:textId="77777777" w:rsidR="00426CAF" w:rsidRPr="00EB03EB" w:rsidRDefault="00B0335B">
      <w:pPr>
        <w:ind w:left="567" w:right="616"/>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E2A6EC6" w14:textId="77777777" w:rsidR="00426CAF" w:rsidRPr="00EB03EB" w:rsidRDefault="00B0335B">
      <w:pPr>
        <w:ind w:left="567" w:right="616"/>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2CE876D3" w14:textId="77777777" w:rsidR="00426CAF" w:rsidRPr="00EB03EB" w:rsidRDefault="00B0335B">
      <w:pPr>
        <w:ind w:left="567" w:right="616"/>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6D234EC5" w14:textId="77777777" w:rsidR="00426CAF" w:rsidRPr="00EB03EB" w:rsidRDefault="00426CAF">
      <w:pPr>
        <w:spacing w:line="276" w:lineRule="auto"/>
        <w:ind w:left="567" w:right="616"/>
        <w:jc w:val="both"/>
        <w:rPr>
          <w:rFonts w:ascii="Palatino Linotype" w:eastAsia="Palatino Linotype" w:hAnsi="Palatino Linotype" w:cs="Palatino Linotype"/>
          <w:b/>
          <w:i/>
          <w:sz w:val="22"/>
          <w:szCs w:val="22"/>
        </w:rPr>
      </w:pPr>
    </w:p>
    <w:p w14:paraId="7E91DEC3"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lastRenderedPageBreak/>
        <w:t xml:space="preserve">De ahí que 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B03EB">
        <w:rPr>
          <w:rFonts w:ascii="Palatino Linotype" w:eastAsia="Palatino Linotype" w:hAnsi="Palatino Linotype" w:cs="Palatino Linotype"/>
          <w:sz w:val="22"/>
          <w:szCs w:val="22"/>
          <w:vertAlign w:val="superscript"/>
        </w:rPr>
        <w:footnoteReference w:id="1"/>
      </w:r>
      <w:r w:rsidRPr="00EB03EB">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B03EB">
        <w:rPr>
          <w:rFonts w:ascii="Palatino Linotype" w:eastAsia="Palatino Linotype" w:hAnsi="Palatino Linotype" w:cs="Palatino Linotype"/>
          <w:sz w:val="22"/>
          <w:szCs w:val="22"/>
          <w:vertAlign w:val="superscript"/>
        </w:rPr>
        <w:footnoteReference w:id="2"/>
      </w:r>
      <w:r w:rsidRPr="00EB03EB">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3D1BE124"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7198F71E" w14:textId="77777777" w:rsidR="00426CAF" w:rsidRPr="00EB03EB" w:rsidRDefault="00B0335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6" w:name="_heading=h.1y810tw" w:colFirst="0" w:colLast="0"/>
      <w:bookmarkEnd w:id="6"/>
      <w:r w:rsidRPr="00EB03EB">
        <w:rPr>
          <w:rFonts w:ascii="Palatino Linotype" w:eastAsia="Palatino Linotype" w:hAnsi="Palatino Linotype" w:cs="Palatino Linotype"/>
          <w:sz w:val="22"/>
          <w:szCs w:val="22"/>
        </w:rPr>
        <w:t xml:space="preserve">Para ello, conviene iniciar el presente estudio señalando que la persona solicitante requirió del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 xml:space="preserve">de la </w:t>
      </w:r>
      <w:r w:rsidRPr="00EB03EB">
        <w:rPr>
          <w:rFonts w:ascii="Palatino Linotype" w:eastAsia="Palatino Linotype" w:hAnsi="Palatino Linotype" w:cs="Palatino Linotype"/>
          <w:b/>
          <w:sz w:val="22"/>
          <w:szCs w:val="22"/>
          <w:u w:val="single"/>
        </w:rPr>
        <w:t>Administración Pública Municipal 2022-2024,</w:t>
      </w:r>
      <w:r w:rsidRPr="00EB03EB">
        <w:rPr>
          <w:rFonts w:ascii="Palatino Linotype" w:eastAsia="Palatino Linotype" w:hAnsi="Palatino Linotype" w:cs="Palatino Linotype"/>
          <w:sz w:val="22"/>
          <w:szCs w:val="22"/>
        </w:rPr>
        <w:t xml:space="preserve"> a la Tesorería Municipal, IMCUFIDE o servidor público/área correspondiente, respecto de la obra “</w:t>
      </w:r>
      <w:r w:rsidRPr="00EB03EB">
        <w:rPr>
          <w:rFonts w:ascii="Palatino Linotype" w:eastAsia="Palatino Linotype" w:hAnsi="Palatino Linotype" w:cs="Palatino Linotype"/>
          <w:i/>
          <w:sz w:val="22"/>
          <w:szCs w:val="22"/>
        </w:rPr>
        <w:t>remodelación de la Unidad Deportiva Emiliano Zapata que se encuentra en Ignacio Zaragoza Manzana 011, La Venta, 56530 Ixtapaluca, Méx</w:t>
      </w:r>
      <w:r w:rsidRPr="00EB03EB">
        <w:rPr>
          <w:rFonts w:ascii="Palatino Linotype" w:eastAsia="Palatino Linotype" w:hAnsi="Palatino Linotype" w:cs="Palatino Linotype"/>
          <w:sz w:val="22"/>
          <w:szCs w:val="22"/>
        </w:rPr>
        <w:t>”, lo siguiente:</w:t>
      </w:r>
    </w:p>
    <w:p w14:paraId="144D4053" w14:textId="77777777" w:rsidR="00426CAF" w:rsidRPr="00EB03EB" w:rsidRDefault="00426CAF">
      <w:pPr>
        <w:widowControl w:val="0"/>
        <w:spacing w:line="360" w:lineRule="auto"/>
        <w:jc w:val="both"/>
        <w:rPr>
          <w:rFonts w:ascii="Palatino Linotype" w:eastAsia="Palatino Linotype" w:hAnsi="Palatino Linotype" w:cs="Palatino Linotype"/>
          <w:sz w:val="22"/>
          <w:szCs w:val="22"/>
        </w:rPr>
      </w:pPr>
    </w:p>
    <w:p w14:paraId="72A95E61" w14:textId="77777777" w:rsidR="00426CAF" w:rsidRPr="00EB03EB" w:rsidRDefault="00B0335B">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Presupuesto ejecutado;</w:t>
      </w:r>
    </w:p>
    <w:p w14:paraId="6696B236" w14:textId="77777777" w:rsidR="00426CAF" w:rsidRPr="00EB03EB" w:rsidRDefault="00B0335B">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Proyecto;</w:t>
      </w:r>
    </w:p>
    <w:p w14:paraId="3E3FAEF0" w14:textId="77777777" w:rsidR="00426CAF" w:rsidRPr="00EB03EB" w:rsidRDefault="00B0335B">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Contratos y sus anexos; y,</w:t>
      </w:r>
    </w:p>
    <w:p w14:paraId="2C27078D" w14:textId="77777777" w:rsidR="00426CAF" w:rsidRPr="00EB03EB" w:rsidRDefault="00B0335B">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Perfil del proveedor o constructora que realizó y/o ejecutó la obra.</w:t>
      </w:r>
    </w:p>
    <w:p w14:paraId="7059884F" w14:textId="77777777" w:rsidR="00426CAF" w:rsidRPr="00EB03EB" w:rsidRDefault="00426CAF">
      <w:pPr>
        <w:widowControl w:val="0"/>
        <w:spacing w:line="360" w:lineRule="auto"/>
        <w:jc w:val="both"/>
        <w:rPr>
          <w:rFonts w:ascii="Palatino Linotype" w:eastAsia="Palatino Linotype" w:hAnsi="Palatino Linotype" w:cs="Palatino Linotype"/>
          <w:sz w:val="22"/>
          <w:szCs w:val="22"/>
        </w:rPr>
      </w:pPr>
    </w:p>
    <w:p w14:paraId="35CF219B" w14:textId="77777777" w:rsidR="00426CAF" w:rsidRPr="00EB03EB" w:rsidRDefault="00B0335B">
      <w:pPr>
        <w:spacing w:line="360" w:lineRule="auto"/>
        <w:ind w:right="49"/>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sz w:val="22"/>
          <w:szCs w:val="22"/>
        </w:rPr>
        <w:lastRenderedPageBreak/>
        <w:t>Con la finalidad de dar cumplimiento a la resolución aprobada en la Décimo Primera Sesión Ordinaria celebrada el</w:t>
      </w:r>
      <w:r w:rsidRPr="00EB03EB">
        <w:t xml:space="preserve"> </w:t>
      </w:r>
      <w:r w:rsidRPr="00EB03EB">
        <w:rPr>
          <w:rFonts w:ascii="Palatino Linotype" w:eastAsia="Palatino Linotype" w:hAnsi="Palatino Linotype" w:cs="Palatino Linotype"/>
          <w:sz w:val="22"/>
          <w:szCs w:val="22"/>
        </w:rPr>
        <w:t xml:space="preserve">tres de abril de dos mil veinticuatro, recaída al recurso de revisión 01194/INFOEM/IP/RR/2024, el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 xml:space="preserve">por conducto de la Titular de la Unidad de Transparencia </w:t>
      </w:r>
      <w:r w:rsidRPr="00EB03EB">
        <w:rPr>
          <w:rFonts w:ascii="Palatino Linotype" w:eastAsia="Palatino Linotype" w:hAnsi="Palatino Linotype" w:cs="Palatino Linotype"/>
          <w:b/>
          <w:sz w:val="22"/>
          <w:szCs w:val="22"/>
        </w:rPr>
        <w:t xml:space="preserve">remitió la información señalada en el antecedente décimo segundo de la presente resolución, </w:t>
      </w:r>
      <w:r w:rsidRPr="00EB03EB">
        <w:rPr>
          <w:rFonts w:ascii="Palatino Linotype" w:eastAsia="Palatino Linotype" w:hAnsi="Palatino Linotype" w:cs="Palatino Linotype"/>
          <w:sz w:val="22"/>
          <w:szCs w:val="22"/>
        </w:rPr>
        <w:t xml:space="preserve">y de la que se advierte que el Tesorero Municipal informa hizo del conocimiento el nombre correcto de la obra citada en la solicitud de información y que corresponde a: </w:t>
      </w:r>
      <w:r w:rsidRPr="00EB03EB">
        <w:rPr>
          <w:rFonts w:ascii="Palatino Linotype" w:eastAsia="Palatino Linotype" w:hAnsi="Palatino Linotype" w:cs="Palatino Linotype"/>
          <w:b/>
          <w:sz w:val="22"/>
          <w:szCs w:val="22"/>
        </w:rPr>
        <w:t>Rehabilitación del Parque Recreativo y Deportivo “La Venta” (Primera Etapa), ubicada en Manuel Altamirano, Colonia La Venta, Ixtapaluca, Estado de México</w:t>
      </w:r>
      <w:r w:rsidRPr="00EB03EB">
        <w:rPr>
          <w:rFonts w:ascii="Palatino Linotype" w:eastAsia="Palatino Linotype" w:hAnsi="Palatino Linotype" w:cs="Palatino Linotype"/>
          <w:sz w:val="22"/>
          <w:szCs w:val="22"/>
        </w:rPr>
        <w:t>; y, que en tal virtud se remitía el contrato de la obra en mención, señalando que no existen anexos, el cual se indica que se entrega en calidad de proyecto de clasificación para que sea presentado al Comité de Transparencia para la emisión de su versión pública.</w:t>
      </w:r>
    </w:p>
    <w:p w14:paraId="66490827" w14:textId="77777777" w:rsidR="00426CAF" w:rsidRPr="00EB03EB" w:rsidRDefault="00426CAF">
      <w:pPr>
        <w:spacing w:line="360" w:lineRule="auto"/>
        <w:ind w:right="49"/>
        <w:jc w:val="both"/>
        <w:rPr>
          <w:rFonts w:ascii="Palatino Linotype" w:eastAsia="Palatino Linotype" w:hAnsi="Palatino Linotype" w:cs="Palatino Linotype"/>
          <w:b/>
          <w:sz w:val="22"/>
          <w:szCs w:val="22"/>
        </w:rPr>
      </w:pPr>
    </w:p>
    <w:p w14:paraId="1ACAC000"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Asimismo, se acompañó en versión pública el contrato de obra pública sobre la base de precios unitarios y tiempo determinado número IXTA/DIOP/FORTAMUN/LPN/007/2023, número de obra FORTAMUN-007, folio SIAVAMEN: 62044, del veinticinco de mayo de dos mil veintitrés, celebrado entre el Ayuntamiento de Ixtapaluca, representado por el Presidente Municipal, Secretario del Ayuntamiento, Director de Administración y Finanzas y el Director de Infraestructura y Obras Públicas, en su calidad de “Contratante”, y una empresa contratista.</w:t>
      </w:r>
    </w:p>
    <w:p w14:paraId="6F346ED4"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498CA903"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este punto, resulta necesario aclarar que para efectos del cumplimiento de la presente resolución, se tendrá como el nombre de la obra pública de la que se solicita la información la siguiente: </w:t>
      </w:r>
      <w:r w:rsidRPr="00EB03EB">
        <w:rPr>
          <w:rFonts w:ascii="Palatino Linotype" w:eastAsia="Palatino Linotype" w:hAnsi="Palatino Linotype" w:cs="Palatino Linotype"/>
          <w:b/>
          <w:sz w:val="22"/>
          <w:szCs w:val="22"/>
        </w:rPr>
        <w:t>Rehabilitación del Parque Recreativo y Deportivo “La Venta” (Primera Etapa), ubicada en Manuel Altamirano, Colonia La Venta, Ixtapaluca, Estado de México</w:t>
      </w:r>
      <w:r w:rsidRPr="00EB03EB">
        <w:rPr>
          <w:rFonts w:ascii="Palatino Linotype" w:eastAsia="Palatino Linotype" w:hAnsi="Palatino Linotype" w:cs="Palatino Linotype"/>
          <w:sz w:val="22"/>
          <w:szCs w:val="22"/>
        </w:rPr>
        <w:t xml:space="preserve">; ello, en virtud de que el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tuvo a bien hacer la precisión correspondiente.</w:t>
      </w:r>
    </w:p>
    <w:p w14:paraId="343CA471" w14:textId="77777777" w:rsidR="00426CAF" w:rsidRPr="00EB03EB" w:rsidRDefault="00426CAF">
      <w:pPr>
        <w:spacing w:line="360" w:lineRule="auto"/>
        <w:ind w:right="49"/>
        <w:jc w:val="both"/>
        <w:rPr>
          <w:rFonts w:ascii="Palatino Linotype" w:eastAsia="Palatino Linotype" w:hAnsi="Palatino Linotype" w:cs="Palatino Linotype"/>
          <w:b/>
          <w:sz w:val="22"/>
          <w:szCs w:val="22"/>
        </w:rPr>
      </w:pPr>
    </w:p>
    <w:p w14:paraId="157D606A" w14:textId="77777777" w:rsidR="00426CAF" w:rsidRPr="00EB03EB" w:rsidRDefault="00426CAF">
      <w:pPr>
        <w:spacing w:line="360" w:lineRule="auto"/>
        <w:ind w:right="49"/>
        <w:jc w:val="both"/>
        <w:rPr>
          <w:rFonts w:ascii="Palatino Linotype" w:eastAsia="Palatino Linotype" w:hAnsi="Palatino Linotype" w:cs="Palatino Linotype"/>
          <w:b/>
          <w:sz w:val="22"/>
          <w:szCs w:val="22"/>
        </w:rPr>
      </w:pPr>
    </w:p>
    <w:p w14:paraId="05E8826D"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Inconforme con la respuesta la parte </w:t>
      </w:r>
      <w:r w:rsidRPr="00EB03EB">
        <w:rPr>
          <w:rFonts w:ascii="Palatino Linotype" w:eastAsia="Palatino Linotype" w:hAnsi="Palatino Linotype" w:cs="Palatino Linotype"/>
          <w:b/>
          <w:sz w:val="22"/>
          <w:szCs w:val="22"/>
        </w:rPr>
        <w:t xml:space="preserve">Recurrente, </w:t>
      </w:r>
      <w:r w:rsidRPr="00EB03EB">
        <w:rPr>
          <w:rFonts w:ascii="Palatino Linotype" w:eastAsia="Palatino Linotype" w:hAnsi="Palatino Linotype" w:cs="Palatino Linotype"/>
          <w:sz w:val="22"/>
          <w:szCs w:val="22"/>
        </w:rPr>
        <w:t>promovió el presente segundo recurso de revisión en el que a manera de motivos de inconformidad se adolece medularmente de la entrega de información incompleta y la clasificación de la información; ello, en virtud de que el particular refiere que en el contrato entregado fue censurada la información de la  empresa que ejecutó la obra y que a su consideración es información pública, y porque no se le entregó el presupuesto o plan de trabajo, anexos, así como el proyecto de la obra.</w:t>
      </w:r>
    </w:p>
    <w:p w14:paraId="43E040C0"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0D20E596"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Admitido el presente recurso de revisión, en términos del artículo 185 fracción II</w:t>
      </w:r>
      <w:r w:rsidRPr="00EB03EB">
        <w:rPr>
          <w:rFonts w:ascii="Palatino Linotype" w:eastAsia="Palatino Linotype" w:hAnsi="Palatino Linotype" w:cs="Palatino Linotype"/>
          <w:sz w:val="22"/>
          <w:szCs w:val="22"/>
          <w:vertAlign w:val="superscript"/>
        </w:rPr>
        <w:footnoteReference w:id="3"/>
      </w:r>
      <w:r w:rsidRPr="00EB03EB">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42146B2E"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2460ACB0" w14:textId="77777777" w:rsidR="00426CAF" w:rsidRPr="00EB03EB" w:rsidRDefault="00B0335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Cabe resaltar que durante la etapa de manifestaciones </w:t>
      </w:r>
      <w:r w:rsidRPr="00EB03EB">
        <w:rPr>
          <w:rFonts w:ascii="Palatino Linotype" w:eastAsia="Palatino Linotype" w:hAnsi="Palatino Linotype" w:cs="Palatino Linotype"/>
          <w:b/>
          <w:sz w:val="22"/>
          <w:szCs w:val="22"/>
        </w:rPr>
        <w:t>el Sujeto Obligado</w:t>
      </w:r>
      <w:r w:rsidRPr="00EB03EB">
        <w:rPr>
          <w:rFonts w:ascii="Palatino Linotype" w:eastAsia="Palatino Linotype" w:hAnsi="Palatino Linotype" w:cs="Palatino Linotype"/>
          <w:sz w:val="22"/>
          <w:szCs w:val="22"/>
        </w:rPr>
        <w:t xml:space="preserve"> rindió su informe justificado, haciendo entrega del oficio EXT/DG/129/2024 del cinco de julio de dos mil veinticuatro, por el que el Director del Instituto Municipal de Cultura Física y Deporte informó que ese Instituto no realizó ninguna ejecución presupuestal con proveedores o constructora para la remodelación de la unidad deportiva Emiliano Zapata.</w:t>
      </w:r>
    </w:p>
    <w:p w14:paraId="2BCDA1C6" w14:textId="77777777" w:rsidR="00426CAF" w:rsidRPr="00EB03EB" w:rsidRDefault="00426CA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AC3E780" w14:textId="77777777" w:rsidR="00426CAF" w:rsidRPr="00EB03EB" w:rsidRDefault="00B0335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Por su lado, la parte </w:t>
      </w:r>
      <w:r w:rsidRPr="00EB03EB">
        <w:rPr>
          <w:rFonts w:ascii="Palatino Linotype" w:eastAsia="Palatino Linotype" w:hAnsi="Palatino Linotype" w:cs="Palatino Linotype"/>
          <w:b/>
          <w:sz w:val="22"/>
          <w:szCs w:val="22"/>
        </w:rPr>
        <w:t xml:space="preserve">Recurrente </w:t>
      </w:r>
      <w:r w:rsidRPr="00EB03EB">
        <w:rPr>
          <w:rFonts w:ascii="Palatino Linotype" w:eastAsia="Palatino Linotype" w:hAnsi="Palatino Linotype" w:cs="Palatino Linotype"/>
          <w:sz w:val="22"/>
          <w:szCs w:val="22"/>
        </w:rPr>
        <w:t>en el periodo de manifestaciones únicamente reiteró sus motivos de inconformidad y adjuntó el contrato entregado por el ente público.</w:t>
      </w:r>
    </w:p>
    <w:p w14:paraId="1894C051" w14:textId="77777777" w:rsidR="00426CAF" w:rsidRPr="00EB03EB" w:rsidRDefault="00426CA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DA29A5A" w14:textId="77777777" w:rsidR="00426CAF" w:rsidRPr="00EB03EB" w:rsidRDefault="00B0335B">
      <w:pPr>
        <w:spacing w:line="360" w:lineRule="auto"/>
        <w:ind w:right="5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este sentido, no pasa inadvertido para este Organismo Garante que los motivos de inconformidad aducidos, no versan sobre la totalidad de la información proporcionada por </w:t>
      </w:r>
      <w:r w:rsidRPr="00EB03EB">
        <w:rPr>
          <w:rFonts w:ascii="Palatino Linotype" w:eastAsia="Palatino Linotype" w:hAnsi="Palatino Linotype" w:cs="Palatino Linotype"/>
          <w:sz w:val="22"/>
          <w:szCs w:val="22"/>
        </w:rPr>
        <w:lastRenderedPageBreak/>
        <w:t xml:space="preserve">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xml:space="preserve">, toda vez que, la parte </w:t>
      </w:r>
      <w:r w:rsidRPr="00EB03EB">
        <w:rPr>
          <w:rFonts w:ascii="Palatino Linotype" w:eastAsia="Palatino Linotype" w:hAnsi="Palatino Linotype" w:cs="Palatino Linotype"/>
          <w:b/>
          <w:sz w:val="22"/>
          <w:szCs w:val="22"/>
        </w:rPr>
        <w:t>Recurrente</w:t>
      </w:r>
      <w:r w:rsidRPr="00EB03EB">
        <w:rPr>
          <w:rFonts w:ascii="Palatino Linotype" w:eastAsia="Palatino Linotype" w:hAnsi="Palatino Linotype" w:cs="Palatino Linotype"/>
          <w:sz w:val="22"/>
          <w:szCs w:val="22"/>
        </w:rPr>
        <w:t xml:space="preserve"> no manifestó inconformidad respecto al </w:t>
      </w:r>
      <w:r w:rsidRPr="00EB03EB">
        <w:rPr>
          <w:rFonts w:ascii="Palatino Linotype" w:eastAsia="Palatino Linotype" w:hAnsi="Palatino Linotype" w:cs="Palatino Linotype"/>
          <w:b/>
          <w:i/>
          <w:sz w:val="22"/>
          <w:szCs w:val="22"/>
        </w:rPr>
        <w:t>perfil del proveedor o constructora que realizó o ejecutó la obra</w:t>
      </w:r>
      <w:r w:rsidRPr="00EB03EB">
        <w:rPr>
          <w:rFonts w:ascii="Palatino Linotype" w:eastAsia="Palatino Linotype" w:hAnsi="Palatino Linotype" w:cs="Palatino Linotype"/>
          <w:sz w:val="22"/>
          <w:szCs w:val="22"/>
          <w:u w:val="single"/>
        </w:rPr>
        <w:t>;</w:t>
      </w:r>
      <w:r w:rsidRPr="00EB03EB">
        <w:rPr>
          <w:rFonts w:ascii="Palatino Linotype" w:eastAsia="Palatino Linotype" w:hAnsi="Palatino Linotype" w:cs="Palatino Linotype"/>
          <w:sz w:val="22"/>
          <w:szCs w:val="22"/>
        </w:rPr>
        <w:t xml:space="preserve"> por lo que, al no ser impugnado dicho punto, el mismo debe declararse consentido, toda vez que, al no haber realizado manifestaciones de inconformidad al respecto, no pueden producirse efectos jurídicos tendentes a revocar, confirmar o modificar el acto reclamado.</w:t>
      </w:r>
    </w:p>
    <w:p w14:paraId="020827A5" w14:textId="77777777" w:rsidR="00426CAF" w:rsidRPr="00EB03EB" w:rsidRDefault="00426CAF">
      <w:pPr>
        <w:spacing w:line="360" w:lineRule="auto"/>
        <w:ind w:right="51"/>
        <w:jc w:val="both"/>
        <w:rPr>
          <w:rFonts w:ascii="Palatino Linotype" w:eastAsia="Palatino Linotype" w:hAnsi="Palatino Linotype" w:cs="Palatino Linotype"/>
          <w:sz w:val="22"/>
          <w:szCs w:val="22"/>
        </w:rPr>
      </w:pPr>
    </w:p>
    <w:p w14:paraId="0DE59A38"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Lo anterior es así, debido a que cuando la parte </w:t>
      </w:r>
      <w:r w:rsidRPr="00EB03EB">
        <w:rPr>
          <w:rFonts w:ascii="Palatino Linotype" w:eastAsia="Palatino Linotype" w:hAnsi="Palatino Linotype" w:cs="Palatino Linotype"/>
          <w:b/>
          <w:sz w:val="22"/>
          <w:szCs w:val="22"/>
        </w:rPr>
        <w:t>Recurrente</w:t>
      </w:r>
      <w:r w:rsidRPr="00EB03EB">
        <w:rPr>
          <w:rFonts w:ascii="Palatino Linotype" w:eastAsia="Palatino Linotype" w:hAnsi="Palatino Linotype" w:cs="Palatino Linotype"/>
          <w:sz w:val="22"/>
          <w:szCs w:val="22"/>
        </w:rPr>
        <w:t xml:space="preserve"> impugna la respuesta del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y éste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C5A0F71"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660F3C43" w14:textId="77777777" w:rsidR="00426CAF" w:rsidRPr="00EB03EB" w:rsidRDefault="00B0335B">
      <w:pPr>
        <w:ind w:left="851"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“REVISIÓN EN AMPARO. LOS RESOLUTIVOS NO COMBATIDOS DEBEN DECLARARSE FIRMES. </w:t>
      </w:r>
      <w:r w:rsidRPr="00EB03EB">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187CADA" w14:textId="77777777" w:rsidR="00426CAF" w:rsidRPr="00EB03EB" w:rsidRDefault="00426CAF">
      <w:pPr>
        <w:ind w:left="851" w:right="900"/>
        <w:jc w:val="both"/>
        <w:rPr>
          <w:rFonts w:ascii="Palatino Linotype" w:eastAsia="Palatino Linotype" w:hAnsi="Palatino Linotype" w:cs="Palatino Linotype"/>
          <w:i/>
          <w:sz w:val="22"/>
          <w:szCs w:val="22"/>
        </w:rPr>
      </w:pPr>
    </w:p>
    <w:p w14:paraId="017DF859" w14:textId="77777777" w:rsidR="00426CAF" w:rsidRPr="00EB03EB" w:rsidRDefault="00B0335B">
      <w:pPr>
        <w:spacing w:line="360" w:lineRule="auto"/>
        <w:jc w:val="both"/>
        <w:rPr>
          <w:rFonts w:ascii="Palatino Linotype" w:eastAsia="Palatino Linotype" w:hAnsi="Palatino Linotype" w:cs="Palatino Linotype"/>
          <w:sz w:val="22"/>
          <w:szCs w:val="22"/>
        </w:rPr>
      </w:pPr>
      <w:bookmarkStart w:id="7" w:name="_heading=h.lnxbz9" w:colFirst="0" w:colLast="0"/>
      <w:bookmarkEnd w:id="7"/>
      <w:r w:rsidRPr="00EB03EB">
        <w:rPr>
          <w:rFonts w:ascii="Palatino Linotype" w:eastAsia="Palatino Linotype" w:hAnsi="Palatino Linotype" w:cs="Palatino Linotype"/>
          <w:sz w:val="22"/>
          <w:szCs w:val="22"/>
        </w:rPr>
        <w:t>Consecuentemente, se insiste, ante la falta de impugnación eficaz, el punto indicado debe declararse consentido por la persona solicitante.</w:t>
      </w:r>
    </w:p>
    <w:p w14:paraId="58AD1811"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038124B0"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0C693115"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3A8CAE7F" w14:textId="77777777" w:rsidR="00426CAF" w:rsidRPr="00EB03EB" w:rsidRDefault="00B0335B">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 xml:space="preserve">Actos consentidos tácitamente. Improcedencia de su análisis. </w:t>
      </w:r>
      <w:r w:rsidRPr="00EB03EB">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20F1CFF" w14:textId="77777777" w:rsidR="00426CAF" w:rsidRPr="00EB03EB" w:rsidRDefault="00426CAF">
      <w:pPr>
        <w:pBdr>
          <w:top w:val="nil"/>
          <w:left w:val="nil"/>
          <w:bottom w:val="nil"/>
          <w:right w:val="nil"/>
          <w:between w:val="nil"/>
        </w:pBdr>
        <w:ind w:left="851" w:right="902"/>
        <w:jc w:val="both"/>
        <w:rPr>
          <w:rFonts w:ascii="Palatino Linotype" w:eastAsia="Palatino Linotype" w:hAnsi="Palatino Linotype" w:cs="Palatino Linotype"/>
          <w:i/>
          <w:sz w:val="22"/>
          <w:szCs w:val="22"/>
        </w:rPr>
      </w:pPr>
    </w:p>
    <w:p w14:paraId="58D83AD3"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7A55A8D6"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33B0112" w14:textId="77777777" w:rsidR="00426CAF" w:rsidRPr="00EB03EB" w:rsidRDefault="00B0335B">
      <w:pPr>
        <w:ind w:left="851"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mallCaps/>
          <w:sz w:val="22"/>
          <w:szCs w:val="22"/>
        </w:rPr>
        <w:t xml:space="preserve">“ACTOS CONSENTIDOS. SON LOS QUE NO SE IMPUGNAN MEDIANTE EL RECURSO IDÓNEO. </w:t>
      </w:r>
      <w:r w:rsidRPr="00EB03EB">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9A4D599"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53A3220D" w14:textId="77777777" w:rsidR="00426CAF" w:rsidRPr="00EB03EB" w:rsidRDefault="00B0335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Dicho lo anterior, se procede al análisis del resto de los agravios hechos valer por la parte </w:t>
      </w:r>
      <w:r w:rsidRPr="00EB03EB">
        <w:rPr>
          <w:rFonts w:ascii="Palatino Linotype" w:eastAsia="Palatino Linotype" w:hAnsi="Palatino Linotype" w:cs="Palatino Linotype"/>
          <w:b/>
          <w:sz w:val="22"/>
          <w:szCs w:val="22"/>
        </w:rPr>
        <w:t xml:space="preserve">Recurrente </w:t>
      </w:r>
      <w:r w:rsidRPr="00EB03EB">
        <w:rPr>
          <w:rFonts w:ascii="Palatino Linotype" w:eastAsia="Palatino Linotype" w:hAnsi="Palatino Linotype" w:cs="Palatino Linotype"/>
          <w:sz w:val="22"/>
          <w:szCs w:val="22"/>
        </w:rPr>
        <w:t>relacionados con la información pública clasificada en el contrato entregado, el presupuesto o plan de trabajo, anexos, así como el proyecto de la obra.</w:t>
      </w:r>
    </w:p>
    <w:p w14:paraId="345E33E6"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1CF9DCF8" w14:textId="77777777" w:rsidR="00426CAF" w:rsidRPr="00EB03EB" w:rsidRDefault="00B0335B">
      <w:pPr>
        <w:spacing w:line="360" w:lineRule="auto"/>
        <w:jc w:val="both"/>
        <w:rPr>
          <w:rFonts w:ascii="Palatino Linotype" w:eastAsia="Palatino Linotype" w:hAnsi="Palatino Linotype" w:cs="Palatino Linotype"/>
          <w:sz w:val="22"/>
          <w:szCs w:val="22"/>
        </w:rPr>
      </w:pPr>
      <w:bookmarkStart w:id="8" w:name="_heading=h.3dy6vkm" w:colFirst="0" w:colLast="0"/>
      <w:bookmarkEnd w:id="8"/>
      <w:r w:rsidRPr="00EB03EB">
        <w:rPr>
          <w:rFonts w:ascii="Palatino Linotype" w:eastAsia="Palatino Linotype" w:hAnsi="Palatino Linotype" w:cs="Palatino Linotype"/>
          <w:sz w:val="22"/>
          <w:szCs w:val="22"/>
        </w:rPr>
        <w:t>Una vez establecidas las posturas de las partes, toda vez que el requerimiento de información versa sobre información relativa a una obra pública, resulta conveniente citar el contenido de los artículos 12.1, fracción III, 12.2., 12.4. fracción I, 12.20, 12.21 y 12.42, fracción I del Libro Décimo Segundo del Código Administrativo del Estado de México, a saber:</w:t>
      </w:r>
    </w:p>
    <w:p w14:paraId="389EC47A"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3DE44081"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“Artículo 12.1.- Este Libro tiene por objeto regular los actos relativos a la planeación, programación, presupuestación, adjudicación, contratación, ejecución y control de la </w:t>
      </w:r>
      <w:r w:rsidRPr="00EB03EB">
        <w:rPr>
          <w:rFonts w:ascii="Palatino Linotype" w:eastAsia="Palatino Linotype" w:hAnsi="Palatino Linotype" w:cs="Palatino Linotype"/>
          <w:i/>
          <w:sz w:val="22"/>
          <w:szCs w:val="22"/>
        </w:rPr>
        <w:lastRenderedPageBreak/>
        <w:t>obra pública, así como los servicios relacionados con la misma que, por sí o por conducto de terceros, realicen:</w:t>
      </w:r>
    </w:p>
    <w:p w14:paraId="788B79F0"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19D1EDAB" w14:textId="77777777" w:rsidR="00426CAF" w:rsidRPr="00EB03EB" w:rsidRDefault="00B0335B">
      <w:pPr>
        <w:ind w:left="567" w:right="560"/>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III. Los ayuntamientos de los municipios del Estado;</w:t>
      </w:r>
    </w:p>
    <w:p w14:paraId="259767CE"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3C760388" w14:textId="77777777" w:rsidR="00426CAF" w:rsidRPr="00EB03EB" w:rsidRDefault="00426CAF">
      <w:pPr>
        <w:ind w:left="567" w:right="560"/>
        <w:jc w:val="both"/>
        <w:rPr>
          <w:rFonts w:ascii="Palatino Linotype" w:eastAsia="Palatino Linotype" w:hAnsi="Palatino Linotype" w:cs="Palatino Linotype"/>
          <w:i/>
          <w:sz w:val="22"/>
          <w:szCs w:val="22"/>
        </w:rPr>
      </w:pPr>
    </w:p>
    <w:p w14:paraId="16724D01"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“Artículo 12.2.- Las disposiciones de este Libro tienen como finalidad asegurar al Gobierno del Estado y a los municipios, las mejores condiciones disponibles en cuanto a precio, calidad, financiamiento, oportunidad y demás circunstancias pertinentes, en la contratación de la obra pública y servicios relacionados con la misma, en un marco de legalidad y transparencia.”</w:t>
      </w:r>
    </w:p>
    <w:p w14:paraId="3A00D59D" w14:textId="77777777" w:rsidR="00426CAF" w:rsidRPr="00EB03EB" w:rsidRDefault="00426CAF">
      <w:pPr>
        <w:ind w:left="567" w:right="560"/>
        <w:jc w:val="both"/>
        <w:rPr>
          <w:rFonts w:ascii="Palatino Linotype" w:eastAsia="Palatino Linotype" w:hAnsi="Palatino Linotype" w:cs="Palatino Linotype"/>
          <w:i/>
          <w:sz w:val="22"/>
          <w:szCs w:val="22"/>
        </w:rPr>
      </w:pPr>
    </w:p>
    <w:p w14:paraId="4D0FAEFE"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“Artículo 12.4.- </w:t>
      </w:r>
      <w:r w:rsidRPr="00EB03EB">
        <w:rPr>
          <w:rFonts w:ascii="Palatino Linotype" w:eastAsia="Palatino Linotype" w:hAnsi="Palatino Linotype" w:cs="Palatino Linotype"/>
          <w:b/>
          <w:i/>
          <w:sz w:val="22"/>
          <w:szCs w:val="22"/>
        </w:rPr>
        <w:t xml:space="preserve">Se considera obra pública todo trabajo que tenga por objeto principal construir, instalar, ampliar, adecuar, remodelar, restaurar, conservar, mantener, modificar o demoler bienes inmuebles propiedad </w:t>
      </w:r>
      <w:r w:rsidRPr="00EB03EB">
        <w:rPr>
          <w:rFonts w:ascii="Palatino Linotype" w:eastAsia="Palatino Linotype" w:hAnsi="Palatino Linotype" w:cs="Palatino Linotype"/>
          <w:i/>
          <w:sz w:val="22"/>
          <w:szCs w:val="22"/>
        </w:rPr>
        <w:t xml:space="preserve">del Estado, de sus dependencias y entidades </w:t>
      </w:r>
      <w:r w:rsidRPr="00EB03EB">
        <w:rPr>
          <w:rFonts w:ascii="Palatino Linotype" w:eastAsia="Palatino Linotype" w:hAnsi="Palatino Linotype" w:cs="Palatino Linotype"/>
          <w:b/>
          <w:i/>
          <w:sz w:val="22"/>
          <w:szCs w:val="22"/>
          <w:u w:val="single"/>
        </w:rPr>
        <w:t>y de los municipios</w:t>
      </w:r>
      <w:r w:rsidRPr="00EB03EB">
        <w:rPr>
          <w:rFonts w:ascii="Palatino Linotype" w:eastAsia="Palatino Linotype" w:hAnsi="Palatino Linotype" w:cs="Palatino Linotype"/>
          <w:i/>
          <w:sz w:val="22"/>
          <w:szCs w:val="22"/>
        </w:rPr>
        <w:t xml:space="preserve"> y sus organismos con cargo a recursos públicos estatales o municipales. </w:t>
      </w:r>
    </w:p>
    <w:p w14:paraId="6DB920A2" w14:textId="77777777" w:rsidR="00426CAF" w:rsidRPr="00EB03EB" w:rsidRDefault="00426CAF">
      <w:pPr>
        <w:ind w:left="567" w:right="560"/>
        <w:jc w:val="both"/>
        <w:rPr>
          <w:rFonts w:ascii="Palatino Linotype" w:eastAsia="Palatino Linotype" w:hAnsi="Palatino Linotype" w:cs="Palatino Linotype"/>
          <w:i/>
          <w:sz w:val="22"/>
          <w:szCs w:val="22"/>
        </w:rPr>
      </w:pPr>
    </w:p>
    <w:p w14:paraId="7225E94D"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Quedan comprendidos dentro de la obra pública:</w:t>
      </w:r>
    </w:p>
    <w:p w14:paraId="337411F4"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06E19589" w14:textId="77777777" w:rsidR="00426CAF" w:rsidRPr="00EB03EB" w:rsidRDefault="00426CAF">
      <w:pPr>
        <w:ind w:left="567" w:right="560"/>
        <w:jc w:val="both"/>
        <w:rPr>
          <w:rFonts w:ascii="Palatino Linotype" w:eastAsia="Palatino Linotype" w:hAnsi="Palatino Linotype" w:cs="Palatino Linotype"/>
          <w:i/>
          <w:sz w:val="22"/>
          <w:szCs w:val="22"/>
        </w:rPr>
      </w:pPr>
    </w:p>
    <w:p w14:paraId="17325EB9" w14:textId="77777777" w:rsidR="00426CAF" w:rsidRPr="00EB03EB" w:rsidRDefault="00B0335B">
      <w:pPr>
        <w:ind w:left="567" w:right="560"/>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I. El mantenimiento, restauración, desmantelamiento o remoción de bienes muebles incorporados o adheridos a un inmueble;</w:t>
      </w:r>
    </w:p>
    <w:p w14:paraId="02688A4B"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 […]”</w:t>
      </w:r>
    </w:p>
    <w:p w14:paraId="7F8E23BA" w14:textId="77777777" w:rsidR="00426CAF" w:rsidRPr="00EB03EB" w:rsidRDefault="00426CAF">
      <w:pPr>
        <w:ind w:left="567" w:right="560"/>
        <w:jc w:val="both"/>
        <w:rPr>
          <w:rFonts w:ascii="Palatino Linotype" w:eastAsia="Palatino Linotype" w:hAnsi="Palatino Linotype" w:cs="Palatino Linotype"/>
          <w:i/>
          <w:sz w:val="22"/>
          <w:szCs w:val="22"/>
        </w:rPr>
      </w:pPr>
    </w:p>
    <w:p w14:paraId="0AFD9787"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“Artículo 12.20.- </w:t>
      </w:r>
      <w:r w:rsidRPr="00EB03EB">
        <w:rPr>
          <w:rFonts w:ascii="Palatino Linotype" w:eastAsia="Palatino Linotype" w:hAnsi="Palatino Linotype" w:cs="Palatino Linotype"/>
          <w:b/>
          <w:i/>
          <w:sz w:val="22"/>
          <w:szCs w:val="22"/>
        </w:rPr>
        <w:t>Los contratos a que se refiere este Libro, se adjudicarán a través de licitaciones públicas, mediante convocatoria pública.”</w:t>
      </w:r>
      <w:r w:rsidRPr="00EB03EB">
        <w:rPr>
          <w:rFonts w:ascii="Palatino Linotype" w:eastAsia="Palatino Linotype" w:hAnsi="Palatino Linotype" w:cs="Palatino Linotype"/>
          <w:i/>
          <w:sz w:val="22"/>
          <w:szCs w:val="22"/>
        </w:rPr>
        <w:t xml:space="preserve"> </w:t>
      </w:r>
    </w:p>
    <w:p w14:paraId="3DAAD150" w14:textId="77777777" w:rsidR="00426CAF" w:rsidRPr="00EB03EB" w:rsidRDefault="00426CAF">
      <w:pPr>
        <w:ind w:left="567" w:right="560"/>
        <w:jc w:val="both"/>
        <w:rPr>
          <w:rFonts w:ascii="Palatino Linotype" w:eastAsia="Palatino Linotype" w:hAnsi="Palatino Linotype" w:cs="Palatino Linotype"/>
          <w:i/>
          <w:sz w:val="22"/>
          <w:szCs w:val="22"/>
        </w:rPr>
      </w:pPr>
    </w:p>
    <w:p w14:paraId="5D2CB789"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“Artículo 12.21.- Las dependencias, entidades y ayuntamientos podrán adjudicar contratos para la ejecución de obra pública o servicios relacionados con la misma mediante las excepciones al procedimiento de licitación siguientes: </w:t>
      </w:r>
    </w:p>
    <w:p w14:paraId="1789FBEE"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 Invitación restringida; </w:t>
      </w:r>
    </w:p>
    <w:p w14:paraId="2392A84A"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II. Adjudicación directa.”</w:t>
      </w:r>
    </w:p>
    <w:p w14:paraId="4C4ED5A8" w14:textId="77777777" w:rsidR="00426CAF" w:rsidRPr="00EB03EB" w:rsidRDefault="00426CAF">
      <w:pPr>
        <w:ind w:left="567" w:right="560"/>
        <w:jc w:val="both"/>
        <w:rPr>
          <w:rFonts w:ascii="Palatino Linotype" w:eastAsia="Palatino Linotype" w:hAnsi="Palatino Linotype" w:cs="Palatino Linotype"/>
          <w:i/>
          <w:sz w:val="22"/>
          <w:szCs w:val="22"/>
        </w:rPr>
      </w:pPr>
    </w:p>
    <w:p w14:paraId="07675F68"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“Artículo 12.42.- Los contratos de obra pública o de servicios relacionados con la misma, podrán ser de tres tipos: </w:t>
      </w:r>
    </w:p>
    <w:p w14:paraId="23C3D64D" w14:textId="77777777" w:rsidR="00426CAF" w:rsidRPr="00EB03EB" w:rsidRDefault="00426CAF">
      <w:pPr>
        <w:ind w:left="567" w:right="560"/>
        <w:jc w:val="both"/>
        <w:rPr>
          <w:rFonts w:ascii="Palatino Linotype" w:eastAsia="Palatino Linotype" w:hAnsi="Palatino Linotype" w:cs="Palatino Linotype"/>
          <w:i/>
          <w:sz w:val="22"/>
          <w:szCs w:val="22"/>
        </w:rPr>
      </w:pPr>
    </w:p>
    <w:p w14:paraId="2B010052" w14:textId="77777777" w:rsidR="00426CAF" w:rsidRPr="00EB03EB" w:rsidRDefault="00B0335B">
      <w:pPr>
        <w:ind w:left="567" w:right="560"/>
        <w:jc w:val="both"/>
        <w:rPr>
          <w:rFonts w:ascii="Palatino Linotype" w:eastAsia="Palatino Linotype" w:hAnsi="Palatino Linotype" w:cs="Palatino Linotype"/>
          <w:b/>
          <w:i/>
          <w:sz w:val="22"/>
          <w:szCs w:val="22"/>
          <w:u w:val="single"/>
        </w:rPr>
      </w:pPr>
      <w:r w:rsidRPr="00EB03EB">
        <w:rPr>
          <w:rFonts w:ascii="Palatino Linotype" w:eastAsia="Palatino Linotype" w:hAnsi="Palatino Linotype" w:cs="Palatino Linotype"/>
          <w:b/>
          <w:i/>
          <w:sz w:val="22"/>
          <w:szCs w:val="22"/>
          <w:u w:val="single"/>
        </w:rPr>
        <w:t>I. Sobre la base de precios unitarios, en cuyo caso el pago que deba cubrirse al contratista se hará por unidad de concepto de trabajo terminado;</w:t>
      </w:r>
    </w:p>
    <w:p w14:paraId="6076140B"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2CEBC410" w14:textId="77777777" w:rsidR="00426CAF" w:rsidRPr="00EB03EB" w:rsidRDefault="00B0335B">
      <w:pPr>
        <w:ind w:left="567" w:right="560"/>
        <w:jc w:val="right"/>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lastRenderedPageBreak/>
        <w:t>(Énfasis añadido)</w:t>
      </w:r>
    </w:p>
    <w:p w14:paraId="6BCD5A06"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0038B92"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De los preceptos anteriores, se advierte que el Código de Procedimientos Administrativos del Estado de México, dispone que es considerada como </w:t>
      </w:r>
      <w:r w:rsidRPr="00EB03EB">
        <w:rPr>
          <w:rFonts w:ascii="Palatino Linotype" w:eastAsia="Palatino Linotype" w:hAnsi="Palatino Linotype" w:cs="Palatino Linotype"/>
          <w:b/>
          <w:sz w:val="22"/>
          <w:szCs w:val="22"/>
          <w:u w:val="single"/>
        </w:rPr>
        <w:t>obra pública</w:t>
      </w:r>
      <w:r w:rsidRPr="00EB03EB">
        <w:rPr>
          <w:rFonts w:ascii="Palatino Linotype" w:eastAsia="Palatino Linotype" w:hAnsi="Palatino Linotype" w:cs="Palatino Linotype"/>
          <w:sz w:val="22"/>
          <w:szCs w:val="22"/>
        </w:rPr>
        <w:t xml:space="preserve">, todo trabajo que tenga por objeto principal construir, instalar, ampliar, </w:t>
      </w:r>
      <w:r w:rsidRPr="00EB03EB">
        <w:rPr>
          <w:rFonts w:ascii="Palatino Linotype" w:eastAsia="Palatino Linotype" w:hAnsi="Palatino Linotype" w:cs="Palatino Linotype"/>
          <w:b/>
          <w:sz w:val="22"/>
          <w:szCs w:val="22"/>
          <w:u w:val="single"/>
        </w:rPr>
        <w:t>adecuar, remodelar,</w:t>
      </w:r>
      <w:r w:rsidRPr="00EB03EB">
        <w:rPr>
          <w:rFonts w:ascii="Palatino Linotype" w:eastAsia="Palatino Linotype" w:hAnsi="Palatino Linotype" w:cs="Palatino Linotype"/>
          <w:sz w:val="22"/>
          <w:szCs w:val="22"/>
        </w:rPr>
        <w:t xml:space="preserve"> </w:t>
      </w:r>
      <w:r w:rsidRPr="00EB03EB">
        <w:rPr>
          <w:rFonts w:ascii="Palatino Linotype" w:eastAsia="Palatino Linotype" w:hAnsi="Palatino Linotype" w:cs="Palatino Linotype"/>
          <w:b/>
          <w:sz w:val="22"/>
          <w:szCs w:val="22"/>
          <w:u w:val="single"/>
        </w:rPr>
        <w:t>restaurar,</w:t>
      </w:r>
      <w:r w:rsidRPr="00EB03EB">
        <w:rPr>
          <w:rFonts w:ascii="Palatino Linotype" w:eastAsia="Palatino Linotype" w:hAnsi="Palatino Linotype" w:cs="Palatino Linotype"/>
          <w:sz w:val="22"/>
          <w:szCs w:val="22"/>
        </w:rPr>
        <w:t xml:space="preserve"> conservar, mantener, </w:t>
      </w:r>
      <w:r w:rsidRPr="00EB03EB">
        <w:rPr>
          <w:rFonts w:ascii="Palatino Linotype" w:eastAsia="Palatino Linotype" w:hAnsi="Palatino Linotype" w:cs="Palatino Linotype"/>
          <w:b/>
          <w:sz w:val="22"/>
          <w:szCs w:val="22"/>
          <w:u w:val="single"/>
        </w:rPr>
        <w:t>modificar</w:t>
      </w:r>
      <w:r w:rsidRPr="00EB03EB">
        <w:rPr>
          <w:rFonts w:ascii="Palatino Linotype" w:eastAsia="Palatino Linotype" w:hAnsi="Palatino Linotype" w:cs="Palatino Linotype"/>
          <w:sz w:val="22"/>
          <w:szCs w:val="22"/>
        </w:rPr>
        <w:t xml:space="preserve"> o demoler </w:t>
      </w:r>
      <w:r w:rsidRPr="00EB03EB">
        <w:rPr>
          <w:rFonts w:ascii="Palatino Linotype" w:eastAsia="Palatino Linotype" w:hAnsi="Palatino Linotype" w:cs="Palatino Linotype"/>
          <w:b/>
          <w:sz w:val="22"/>
          <w:szCs w:val="22"/>
        </w:rPr>
        <w:t>bienes inmuebles propiedad</w:t>
      </w:r>
      <w:r w:rsidRPr="00EB03EB">
        <w:rPr>
          <w:rFonts w:ascii="Palatino Linotype" w:eastAsia="Palatino Linotype" w:hAnsi="Palatino Linotype" w:cs="Palatino Linotype"/>
          <w:sz w:val="22"/>
          <w:szCs w:val="22"/>
        </w:rPr>
        <w:t xml:space="preserve">, entre otros, </w:t>
      </w:r>
      <w:r w:rsidRPr="00EB03EB">
        <w:rPr>
          <w:rFonts w:ascii="Palatino Linotype" w:eastAsia="Palatino Linotype" w:hAnsi="Palatino Linotype" w:cs="Palatino Linotype"/>
          <w:b/>
          <w:sz w:val="22"/>
          <w:szCs w:val="22"/>
        </w:rPr>
        <w:t>de los municipios</w:t>
      </w:r>
      <w:r w:rsidRPr="00EB03EB">
        <w:rPr>
          <w:rFonts w:ascii="Palatino Linotype" w:eastAsia="Palatino Linotype" w:hAnsi="Palatino Linotype" w:cs="Palatino Linotype"/>
          <w:sz w:val="22"/>
          <w:szCs w:val="22"/>
        </w:rPr>
        <w:t>; considerando dentro de estos trabajos, aquellos relacionados con el mantenimiento, restauración, desmantelamiento o remoción de bienes muebles incorporados o adheridos a un inmueble.</w:t>
      </w:r>
    </w:p>
    <w:p w14:paraId="630E2F63"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323CD084"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Consecuentemente, las contrataciones de obra pública pueden llevarse a cabo, entre otros, sobre la base de precios unitarios; esto es, en los que a la persona moral contratista se le realiza el pago por unidad de concepto de trabajo terminado.</w:t>
      </w:r>
    </w:p>
    <w:p w14:paraId="621832D7"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5563489B"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cuanto a los procedimientos de adquisición que el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 xml:space="preserve">puede llevar a cabo conforme la legislación en cita, se encuentran </w:t>
      </w:r>
      <w:r w:rsidRPr="00EB03EB">
        <w:rPr>
          <w:rFonts w:ascii="Palatino Linotype" w:eastAsia="Palatino Linotype" w:hAnsi="Palatino Linotype" w:cs="Palatino Linotype"/>
          <w:b/>
          <w:sz w:val="22"/>
          <w:szCs w:val="22"/>
          <w:u w:val="single"/>
        </w:rPr>
        <w:t xml:space="preserve">las licitaciones públicas, invitación restringida y adjudicación directa, </w:t>
      </w:r>
      <w:r w:rsidRPr="00EB03EB">
        <w:rPr>
          <w:rFonts w:ascii="Palatino Linotype" w:eastAsia="Palatino Linotype" w:hAnsi="Palatino Linotype" w:cs="Palatino Linotype"/>
          <w:sz w:val="22"/>
          <w:szCs w:val="22"/>
          <w:u w:val="single"/>
        </w:rPr>
        <w:t>por la contratación de obra pública.</w:t>
      </w:r>
    </w:p>
    <w:p w14:paraId="5CE54EBA"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640A2F67"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Respecto al procedimiento de </w:t>
      </w:r>
      <w:r w:rsidRPr="00EB03EB">
        <w:rPr>
          <w:rFonts w:ascii="Palatino Linotype" w:eastAsia="Palatino Linotype" w:hAnsi="Palatino Linotype" w:cs="Palatino Linotype"/>
          <w:b/>
          <w:sz w:val="22"/>
          <w:szCs w:val="22"/>
        </w:rPr>
        <w:t>licitación pública</w:t>
      </w:r>
      <w:r w:rsidRPr="00EB03EB">
        <w:rPr>
          <w:rFonts w:ascii="Palatino Linotype" w:eastAsia="Palatino Linotype" w:hAnsi="Palatino Linotype" w:cs="Palatino Linotype"/>
          <w:sz w:val="22"/>
          <w:szCs w:val="22"/>
        </w:rPr>
        <w:t xml:space="preserve">, es de indicar que constituye un procedimiento de contratación en que a través de una declaración unilateral de voluntad contenida en una convocatoria pública, el ente público, se obliga a celebrar un contrato para la adquisición del desarrollo de una obra pública, con aquél interesado que cumpliendo determinados requisitos prefijados en la convocatoria por el ente público de que se trate, ofrezca las mejores condiciones de contratación. </w:t>
      </w:r>
    </w:p>
    <w:p w14:paraId="75C96997"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4AE4CAA1"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lastRenderedPageBreak/>
        <w:t xml:space="preserve">En cuando hace a la </w:t>
      </w:r>
      <w:r w:rsidRPr="00EB03EB">
        <w:rPr>
          <w:rFonts w:ascii="Palatino Linotype" w:eastAsia="Palatino Linotype" w:hAnsi="Palatino Linotype" w:cs="Palatino Linotype"/>
          <w:b/>
          <w:sz w:val="22"/>
          <w:szCs w:val="22"/>
        </w:rPr>
        <w:t>adjudicación directa</w:t>
      </w:r>
      <w:r w:rsidRPr="00EB03EB">
        <w:rPr>
          <w:rFonts w:ascii="Palatino Linotype" w:eastAsia="Palatino Linotype" w:hAnsi="Palatino Linotype" w:cs="Palatino Linotype"/>
          <w:sz w:val="22"/>
          <w:szCs w:val="22"/>
        </w:rPr>
        <w:t xml:space="preserve">, es un procedimiento que se realiza sin puesta en concurrencia y, por ende, sin que exista competencia, adjudicándose el contrato a un proveedor que ha sido preseleccionado para tales efectos por la dependencia o entidad. </w:t>
      </w:r>
    </w:p>
    <w:p w14:paraId="463E573B"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60A55CFB"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Por último, respecto a la </w:t>
      </w:r>
      <w:r w:rsidRPr="00EB03EB">
        <w:rPr>
          <w:rFonts w:ascii="Palatino Linotype" w:eastAsia="Palatino Linotype" w:hAnsi="Palatino Linotype" w:cs="Palatino Linotype"/>
          <w:b/>
          <w:sz w:val="22"/>
          <w:szCs w:val="22"/>
        </w:rPr>
        <w:t xml:space="preserve">invitación restringida </w:t>
      </w:r>
      <w:r w:rsidRPr="00EB03EB">
        <w:rPr>
          <w:rFonts w:ascii="Palatino Linotype" w:eastAsia="Palatino Linotype" w:hAnsi="Palatino Linotype" w:cs="Palatino Linotype"/>
          <w:sz w:val="22"/>
          <w:szCs w:val="22"/>
        </w:rPr>
        <w:t>precisa que es un procedimiento de excepción a la licitación pública que permite al ente público, en forma discrecional, realizar un procedimiento para adquirir, arrendar o contratar, invitando a por lo menos tres oferentes a presentar propuestas.</w:t>
      </w:r>
    </w:p>
    <w:p w14:paraId="42ECEE43" w14:textId="77777777" w:rsidR="00426CAF" w:rsidRPr="00EB03EB" w:rsidRDefault="00426CAF">
      <w:pPr>
        <w:spacing w:line="276" w:lineRule="auto"/>
        <w:ind w:left="567" w:right="616"/>
        <w:jc w:val="both"/>
        <w:rPr>
          <w:rFonts w:ascii="Palatino Linotype" w:eastAsia="Palatino Linotype" w:hAnsi="Palatino Linotype" w:cs="Palatino Linotype"/>
          <w:i/>
          <w:sz w:val="22"/>
          <w:szCs w:val="22"/>
        </w:rPr>
      </w:pPr>
    </w:p>
    <w:p w14:paraId="167D5B75"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tal virtud, resulta necesario señalar que para el presente caso, debido a que se advirtió que la obra pública de la que se requiere la información se relaciona con el procedimiento de </w:t>
      </w:r>
      <w:r w:rsidRPr="00EB03EB">
        <w:rPr>
          <w:rFonts w:ascii="Palatino Linotype" w:eastAsia="Palatino Linotype" w:hAnsi="Palatino Linotype" w:cs="Palatino Linotype"/>
          <w:b/>
          <w:sz w:val="22"/>
          <w:szCs w:val="22"/>
          <w:u w:val="single"/>
        </w:rPr>
        <w:t xml:space="preserve">licitación pública, </w:t>
      </w:r>
      <w:r w:rsidRPr="00EB03EB">
        <w:rPr>
          <w:rFonts w:ascii="Palatino Linotype" w:eastAsia="Palatino Linotype" w:hAnsi="Palatino Linotype" w:cs="Palatino Linotype"/>
          <w:sz w:val="22"/>
          <w:szCs w:val="22"/>
        </w:rPr>
        <w:t>es de indicar que los artículos 12.22, 12.23, fracción I y 12.38 del Libro Décimo Segundo del Código Administrativo del Estado de México; 29 y 30 del Reglamento del Libro Décimo Segundo del Código Administrativo del Estado de México, disponen lo siguiente:</w:t>
      </w:r>
    </w:p>
    <w:p w14:paraId="622A462F"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0AD35923"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“Artículo 12.22.- En el procedimiento de licitación pública deberán establecerse los mismos requisitos y condiciones para todos los participantes, debiendo las dependencias, entidades y ayuntamientos, proporcionarles igual acceso a la información relacionada con dicho procedimiento, a fin de evitar favorecer a algún participante.”</w:t>
      </w:r>
    </w:p>
    <w:p w14:paraId="690F41F2" w14:textId="77777777" w:rsidR="00426CAF" w:rsidRPr="00EB03EB" w:rsidRDefault="00426CAF">
      <w:pPr>
        <w:ind w:left="567" w:right="560"/>
        <w:jc w:val="both"/>
        <w:rPr>
          <w:rFonts w:ascii="Palatino Linotype" w:eastAsia="Palatino Linotype" w:hAnsi="Palatino Linotype" w:cs="Palatino Linotype"/>
          <w:i/>
          <w:sz w:val="22"/>
          <w:szCs w:val="22"/>
        </w:rPr>
      </w:pPr>
    </w:p>
    <w:p w14:paraId="0961BD87"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“Artículo 12.23.- Las licitaciones públicas podrán ser: </w:t>
      </w:r>
    </w:p>
    <w:p w14:paraId="05B0AB01" w14:textId="77777777" w:rsidR="00426CAF" w:rsidRPr="00EB03EB" w:rsidRDefault="00B0335B">
      <w:pPr>
        <w:ind w:left="567" w:right="560"/>
        <w:jc w:val="both"/>
        <w:rPr>
          <w:rFonts w:ascii="Palatino Linotype" w:eastAsia="Palatino Linotype" w:hAnsi="Palatino Linotype" w:cs="Palatino Linotype"/>
          <w:b/>
          <w:i/>
          <w:sz w:val="22"/>
          <w:szCs w:val="22"/>
          <w:u w:val="single"/>
        </w:rPr>
      </w:pPr>
      <w:r w:rsidRPr="00EB03EB">
        <w:rPr>
          <w:rFonts w:ascii="Palatino Linotype" w:eastAsia="Palatino Linotype" w:hAnsi="Palatino Linotype" w:cs="Palatino Linotype"/>
          <w:b/>
          <w:i/>
          <w:sz w:val="22"/>
          <w:szCs w:val="22"/>
          <w:u w:val="single"/>
        </w:rPr>
        <w:t xml:space="preserve">I. Nacionales, cuando únicamente puedan participar personas de nacionalidad mexicana, o </w:t>
      </w:r>
    </w:p>
    <w:p w14:paraId="659CF95D"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II. Internacionales, cuando puedan participar tanto personas de nacionalidad mexicana como extranjera.”</w:t>
      </w:r>
    </w:p>
    <w:p w14:paraId="521740DF" w14:textId="77777777" w:rsidR="00426CAF" w:rsidRPr="00EB03EB" w:rsidRDefault="00426CAF">
      <w:pPr>
        <w:ind w:left="567" w:right="560"/>
        <w:jc w:val="both"/>
        <w:rPr>
          <w:rFonts w:ascii="Palatino Linotype" w:eastAsia="Palatino Linotype" w:hAnsi="Palatino Linotype" w:cs="Palatino Linotype"/>
          <w:i/>
          <w:sz w:val="22"/>
          <w:szCs w:val="22"/>
        </w:rPr>
      </w:pPr>
    </w:p>
    <w:p w14:paraId="61208DEA"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“Artículo 12.38.- La adjudicación de la obra o servicios relacionados con la misma obligará a la dependencia, entidad o ayuntamiento y a la persona en que hubiere recaído, </w:t>
      </w:r>
      <w:r w:rsidRPr="00EB03EB">
        <w:rPr>
          <w:rFonts w:ascii="Palatino Linotype" w:eastAsia="Palatino Linotype" w:hAnsi="Palatino Linotype" w:cs="Palatino Linotype"/>
          <w:b/>
          <w:i/>
          <w:sz w:val="22"/>
          <w:szCs w:val="22"/>
          <w:u w:val="single"/>
        </w:rPr>
        <w:t>a suscribir el contrato respectivo dentro de los diez días hábiles siguientes al de la notificación del fallo.</w:t>
      </w:r>
      <w:r w:rsidRPr="00EB03EB">
        <w:rPr>
          <w:rFonts w:ascii="Palatino Linotype" w:eastAsia="Palatino Linotype" w:hAnsi="Palatino Linotype" w:cs="Palatino Linotype"/>
          <w:i/>
          <w:sz w:val="22"/>
          <w:szCs w:val="22"/>
        </w:rPr>
        <w:t xml:space="preserve"> </w:t>
      </w:r>
    </w:p>
    <w:p w14:paraId="38F14138" w14:textId="77777777" w:rsidR="00426CAF" w:rsidRPr="00EB03EB" w:rsidRDefault="00426CAF">
      <w:pPr>
        <w:ind w:left="567" w:right="560"/>
        <w:jc w:val="both"/>
        <w:rPr>
          <w:rFonts w:ascii="Palatino Linotype" w:eastAsia="Palatino Linotype" w:hAnsi="Palatino Linotype" w:cs="Palatino Linotype"/>
          <w:i/>
          <w:sz w:val="22"/>
          <w:szCs w:val="22"/>
        </w:rPr>
      </w:pPr>
    </w:p>
    <w:p w14:paraId="1A5FDAD0"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lastRenderedPageBreak/>
        <w:t>[…]”</w:t>
      </w:r>
    </w:p>
    <w:p w14:paraId="6A5A0C64" w14:textId="77777777" w:rsidR="00426CAF" w:rsidRPr="00EB03EB" w:rsidRDefault="00426CAF">
      <w:pPr>
        <w:ind w:left="567" w:right="560"/>
        <w:jc w:val="both"/>
        <w:rPr>
          <w:rFonts w:ascii="Palatino Linotype" w:eastAsia="Palatino Linotype" w:hAnsi="Palatino Linotype" w:cs="Palatino Linotype"/>
          <w:i/>
          <w:sz w:val="22"/>
          <w:szCs w:val="22"/>
        </w:rPr>
      </w:pPr>
    </w:p>
    <w:p w14:paraId="1B9A4653" w14:textId="77777777" w:rsidR="00426CAF" w:rsidRPr="00EB03EB" w:rsidRDefault="00426CAF">
      <w:pPr>
        <w:ind w:left="567" w:right="560"/>
        <w:jc w:val="both"/>
        <w:rPr>
          <w:rFonts w:ascii="Palatino Linotype" w:eastAsia="Palatino Linotype" w:hAnsi="Palatino Linotype" w:cs="Palatino Linotype"/>
          <w:i/>
          <w:sz w:val="22"/>
          <w:szCs w:val="22"/>
        </w:rPr>
      </w:pPr>
    </w:p>
    <w:p w14:paraId="0888AA82" w14:textId="77777777" w:rsidR="00426CAF" w:rsidRPr="00EB03EB" w:rsidRDefault="00B0335B">
      <w:pPr>
        <w:ind w:left="567" w:right="560"/>
        <w:jc w:val="center"/>
        <w:rPr>
          <w:rFonts w:ascii="Palatino Linotype" w:eastAsia="Palatino Linotype" w:hAnsi="Palatino Linotype" w:cs="Palatino Linotype"/>
          <w:b/>
          <w:i/>
          <w:sz w:val="22"/>
          <w:szCs w:val="22"/>
          <w:u w:val="single"/>
        </w:rPr>
      </w:pPr>
      <w:r w:rsidRPr="00EB03EB">
        <w:rPr>
          <w:rFonts w:ascii="Palatino Linotype" w:eastAsia="Palatino Linotype" w:hAnsi="Palatino Linotype" w:cs="Palatino Linotype"/>
          <w:b/>
          <w:i/>
          <w:sz w:val="22"/>
          <w:szCs w:val="22"/>
          <w:u w:val="single"/>
        </w:rPr>
        <w:t>Reglamento del Libro Décimo Segundo del Código Administrativo del Estado de México</w:t>
      </w:r>
    </w:p>
    <w:p w14:paraId="7E01F438" w14:textId="77777777" w:rsidR="00426CAF" w:rsidRPr="00EB03EB" w:rsidRDefault="00426CAF">
      <w:pPr>
        <w:ind w:left="567" w:right="560"/>
        <w:jc w:val="center"/>
        <w:rPr>
          <w:rFonts w:ascii="Palatino Linotype" w:eastAsia="Palatino Linotype" w:hAnsi="Palatino Linotype" w:cs="Palatino Linotype"/>
          <w:b/>
          <w:i/>
          <w:sz w:val="22"/>
          <w:szCs w:val="22"/>
          <w:u w:val="single"/>
        </w:rPr>
      </w:pPr>
    </w:p>
    <w:p w14:paraId="2C0314FC"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“Artículo 29.- Las personas interesadas en las licitaciones públicas que norma este Reglamento tendrán sin distinción, igual acceso a la información correspondiente, cumplirán los mismos requisitos y participarán bajo las mismas condiciones.” </w:t>
      </w:r>
    </w:p>
    <w:p w14:paraId="0D48DF24" w14:textId="77777777" w:rsidR="00426CAF" w:rsidRPr="00EB03EB" w:rsidRDefault="00426CAF">
      <w:pPr>
        <w:ind w:left="567" w:right="560"/>
        <w:jc w:val="both"/>
        <w:rPr>
          <w:rFonts w:ascii="Palatino Linotype" w:eastAsia="Palatino Linotype" w:hAnsi="Palatino Linotype" w:cs="Palatino Linotype"/>
          <w:i/>
          <w:sz w:val="22"/>
          <w:szCs w:val="22"/>
        </w:rPr>
      </w:pPr>
    </w:p>
    <w:p w14:paraId="3FA52884"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“Artículo 30.- El procedimiento de licitación pública inicia con la publicación de la convocatoria y concluye con el fallo y adjudicación. Cubrirá las etapas siguientes: </w:t>
      </w:r>
    </w:p>
    <w:p w14:paraId="3E1031E3"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 La formulación de las bases de licitación; </w:t>
      </w:r>
    </w:p>
    <w:p w14:paraId="0E569474"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II. La publicación de la convocatoria; </w:t>
      </w:r>
    </w:p>
    <w:p w14:paraId="2A89E874"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III. La venta de las bases de licitación; </w:t>
      </w:r>
    </w:p>
    <w:p w14:paraId="07A77A78"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IV. La visita al sitio donde se realizarán los trabajos; </w:t>
      </w:r>
    </w:p>
    <w:p w14:paraId="3F11F648"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V. Las juntas de aclaraciones; </w:t>
      </w:r>
    </w:p>
    <w:p w14:paraId="2F21F3D6"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VI. La presentación y apertura de propuestas; </w:t>
      </w:r>
    </w:p>
    <w:p w14:paraId="44941DC0"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VII. La evaluación de propuestas; y </w:t>
      </w:r>
    </w:p>
    <w:p w14:paraId="014633C2" w14:textId="77777777" w:rsidR="00426CAF" w:rsidRPr="00EB03EB" w:rsidRDefault="00B0335B">
      <w:pPr>
        <w:ind w:left="567" w:right="56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VIII. El fallo y adjudicación.”</w:t>
      </w:r>
    </w:p>
    <w:p w14:paraId="7D3C4741"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0C868825"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De lo anterior, se desprende que en el procedimiento de licitación pública, en este caso el Ayuntamiento, debe establecer los mismos requisitos y condiciones para todos los participantes, proporcionando igual acceso a la información relacionada con dicho procedimiento, a fin de evitar favorecer a algún participante.</w:t>
      </w:r>
    </w:p>
    <w:p w14:paraId="2021B84E"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8A8390A"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Asimismo, se dispone que las licitaciones públicas pueden ser nacionales como internacionales; definiendo las</w:t>
      </w:r>
      <w:r w:rsidRPr="00EB03EB">
        <w:rPr>
          <w:rFonts w:ascii="Palatino Linotype" w:eastAsia="Palatino Linotype" w:hAnsi="Palatino Linotype" w:cs="Palatino Linotype"/>
          <w:b/>
          <w:sz w:val="22"/>
          <w:szCs w:val="22"/>
          <w:u w:val="single"/>
        </w:rPr>
        <w:t xml:space="preserve"> primeras</w:t>
      </w:r>
      <w:r w:rsidRPr="00EB03EB">
        <w:rPr>
          <w:rFonts w:ascii="Palatino Linotype" w:eastAsia="Palatino Linotype" w:hAnsi="Palatino Linotype" w:cs="Palatino Linotype"/>
          <w:sz w:val="22"/>
          <w:szCs w:val="22"/>
        </w:rPr>
        <w:t xml:space="preserve">, como aquellas en que sólo pueden participar personas de nacionalidad mexicana; y, </w:t>
      </w:r>
      <w:r w:rsidRPr="00EB03EB">
        <w:rPr>
          <w:rFonts w:ascii="Palatino Linotype" w:eastAsia="Palatino Linotype" w:hAnsi="Palatino Linotype" w:cs="Palatino Linotype"/>
          <w:b/>
          <w:sz w:val="22"/>
          <w:szCs w:val="22"/>
          <w:u w:val="single"/>
        </w:rPr>
        <w:t>las segundas</w:t>
      </w:r>
      <w:r w:rsidRPr="00EB03EB">
        <w:rPr>
          <w:rFonts w:ascii="Palatino Linotype" w:eastAsia="Palatino Linotype" w:hAnsi="Palatino Linotype" w:cs="Palatino Linotype"/>
          <w:sz w:val="22"/>
          <w:szCs w:val="22"/>
        </w:rPr>
        <w:t>, aquellas en las que pueden participar personas de nacionalidad mexicana como extranjera.</w:t>
      </w:r>
    </w:p>
    <w:p w14:paraId="78A11104"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5616C53B"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Consecuentemente, el procedimiento de licitación pública comprende las siguientes fases: la formulación de las bases de licitación; la publicación de la convocatoria; la venta de las </w:t>
      </w:r>
      <w:r w:rsidRPr="00EB03EB">
        <w:rPr>
          <w:rFonts w:ascii="Palatino Linotype" w:eastAsia="Palatino Linotype" w:hAnsi="Palatino Linotype" w:cs="Palatino Linotype"/>
          <w:sz w:val="22"/>
          <w:szCs w:val="22"/>
        </w:rPr>
        <w:lastRenderedPageBreak/>
        <w:t>bases de licitación; la visita al sitio donde se realizarán los trabajos; las juntas de aclaraciones; la presentación y apertura de propuestas; la evaluación de propuestas; y, el fallo y adjudicación.</w:t>
      </w:r>
    </w:p>
    <w:p w14:paraId="42994F29"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0E7EB2DC"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Finalmente, para la adjudicación de la obra, el ente público, en este caso el Ayuntamiento de Ixtapaluca, se encuentra constreñido a suscribir el contrato respectivo dentro de los diez días hábiles siguientes al de la notificación del fallo.</w:t>
      </w:r>
    </w:p>
    <w:p w14:paraId="2DA06908"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7DEA19D7"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Por otro lado, no resulta óbice mencionar que </w:t>
      </w:r>
      <w:r w:rsidRPr="00EB03EB">
        <w:rPr>
          <w:rFonts w:ascii="Palatino Linotype" w:eastAsia="Palatino Linotype" w:hAnsi="Palatino Linotype" w:cs="Palatino Linotype"/>
          <w:b/>
          <w:sz w:val="22"/>
          <w:szCs w:val="22"/>
          <w:u w:val="single"/>
        </w:rPr>
        <w:t>tratándose de una obra pública</w:t>
      </w:r>
      <w:r w:rsidRPr="00EB03EB">
        <w:rPr>
          <w:rFonts w:ascii="Palatino Linotype" w:eastAsia="Palatino Linotype" w:hAnsi="Palatino Linotype" w:cs="Palatino Linotype"/>
          <w:sz w:val="22"/>
          <w:szCs w:val="22"/>
        </w:rPr>
        <w:t xml:space="preserve">, las dependencias, entidades, </w:t>
      </w:r>
      <w:r w:rsidRPr="00EB03EB">
        <w:rPr>
          <w:rFonts w:ascii="Palatino Linotype" w:eastAsia="Palatino Linotype" w:hAnsi="Palatino Linotype" w:cs="Palatino Linotype"/>
          <w:b/>
          <w:sz w:val="22"/>
          <w:szCs w:val="22"/>
          <w:u w:val="single"/>
        </w:rPr>
        <w:t>ayuntamientos</w:t>
      </w:r>
      <w:r w:rsidRPr="00EB03EB">
        <w:rPr>
          <w:rFonts w:ascii="Palatino Linotype" w:eastAsia="Palatino Linotype" w:hAnsi="Palatino Linotype" w:cs="Palatino Linotype"/>
          <w:sz w:val="22"/>
          <w:szCs w:val="22"/>
        </w:rPr>
        <w:t xml:space="preserve">, entre otros, </w:t>
      </w:r>
      <w:r w:rsidRPr="00EB03EB">
        <w:rPr>
          <w:rFonts w:ascii="Palatino Linotype" w:eastAsia="Palatino Linotype" w:hAnsi="Palatino Linotype" w:cs="Palatino Linotype"/>
          <w:b/>
          <w:sz w:val="22"/>
          <w:szCs w:val="22"/>
          <w:u w:val="single"/>
        </w:rPr>
        <w:t>se encuentran constreñidos a acatar el Acuerdo</w:t>
      </w:r>
      <w:r w:rsidRPr="00EB03EB">
        <w:rPr>
          <w:rFonts w:ascii="Palatino Linotype" w:eastAsia="Palatino Linotype" w:hAnsi="Palatino Linotype" w:cs="Palatino Linotype"/>
          <w:sz w:val="22"/>
          <w:szCs w:val="22"/>
        </w:rPr>
        <w:t xml:space="preserve"> del entonces Secretario de Infraestructura </w:t>
      </w:r>
      <w:r w:rsidRPr="00EB03EB">
        <w:rPr>
          <w:rFonts w:ascii="Palatino Linotype" w:eastAsia="Palatino Linotype" w:hAnsi="Palatino Linotype" w:cs="Palatino Linotype"/>
          <w:b/>
          <w:sz w:val="22"/>
          <w:szCs w:val="22"/>
          <w:u w:val="single"/>
        </w:rPr>
        <w:t>por el que se establece el Índice de Expediente Único de Obra Pública</w:t>
      </w:r>
      <w:r w:rsidRPr="00EB03EB">
        <w:rPr>
          <w:rFonts w:ascii="Palatino Linotype" w:eastAsia="Palatino Linotype" w:hAnsi="Palatino Linotype" w:cs="Palatino Linotype"/>
          <w:sz w:val="22"/>
          <w:szCs w:val="22"/>
        </w:rPr>
        <w:t xml:space="preserve"> e Instructivos de Llenado en las modalidades de adjudicación directa, invitación restringida y licitación pública, publicado el dos de diciembre de dos mil dieciséis en el Periódico Oficial "Gaceta del Gobierno" (consultable en el siguiente enlace: </w:t>
      </w:r>
      <w:hyperlink r:id="rId10">
        <w:r w:rsidRPr="00EB03EB">
          <w:rPr>
            <w:rFonts w:ascii="Palatino Linotype" w:eastAsia="Palatino Linotype" w:hAnsi="Palatino Linotype" w:cs="Palatino Linotype"/>
            <w:sz w:val="22"/>
            <w:szCs w:val="22"/>
            <w:u w:val="single"/>
          </w:rPr>
          <w:t>https://legislacion.edomex.gob.mx/sites/legislacion.edomex.gob.mx/files/files/pdf/gct/2016/dic021.pdf</w:t>
        </w:r>
      </w:hyperlink>
      <w:r w:rsidRPr="00EB03EB">
        <w:rPr>
          <w:rFonts w:ascii="Palatino Linotype" w:eastAsia="Palatino Linotype" w:hAnsi="Palatino Linotype" w:cs="Palatino Linotype"/>
          <w:sz w:val="22"/>
          <w:szCs w:val="22"/>
        </w:rPr>
        <w:t xml:space="preserve"> ).</w:t>
      </w:r>
    </w:p>
    <w:p w14:paraId="18EE4751"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0832ABCC" w14:textId="77777777" w:rsidR="00426CAF" w:rsidRPr="00EB03EB" w:rsidRDefault="00B0335B">
      <w:pPr>
        <w:spacing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sz w:val="22"/>
          <w:szCs w:val="22"/>
        </w:rPr>
        <w:t xml:space="preserve">Acuerdo el indicado, que establece los documentos que deben integrar el expediente único de obra pública, y que atendiendo las documentales a las que pretende acceder el particular, se advierte que este debe contar, entre otros, con </w:t>
      </w:r>
      <w:r w:rsidRPr="00EB03EB">
        <w:rPr>
          <w:rFonts w:ascii="Palatino Linotype" w:eastAsia="Palatino Linotype" w:hAnsi="Palatino Linotype" w:cs="Palatino Linotype"/>
          <w:b/>
          <w:sz w:val="22"/>
          <w:szCs w:val="22"/>
        </w:rPr>
        <w:t>el proyecto ejecutivo, el contrato de obra pública y el acta entrega recepción de los trabajos, a saber:</w:t>
      </w:r>
    </w:p>
    <w:p w14:paraId="1AF55B85"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lastRenderedPageBreak/>
        <w:t xml:space="preserve"> </w:t>
      </w:r>
      <w:r w:rsidRPr="00EB03EB">
        <w:rPr>
          <w:rFonts w:ascii="Palatino Linotype" w:eastAsia="Palatino Linotype" w:hAnsi="Palatino Linotype" w:cs="Palatino Linotype"/>
          <w:noProof/>
          <w:sz w:val="22"/>
          <w:szCs w:val="22"/>
          <w:lang w:eastAsia="es-MX"/>
        </w:rPr>
        <w:drawing>
          <wp:inline distT="0" distB="0" distL="0" distR="0" wp14:anchorId="7D7BCD84" wp14:editId="1188402F">
            <wp:extent cx="5572125" cy="2028825"/>
            <wp:effectExtent l="3175" t="3175" r="3175" b="3175"/>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572125" cy="2028825"/>
                    </a:xfrm>
                    <a:prstGeom prst="rect">
                      <a:avLst/>
                    </a:prstGeom>
                    <a:ln w="3175">
                      <a:solidFill>
                        <a:srgbClr val="000000"/>
                      </a:solidFill>
                      <a:prstDash val="solid"/>
                    </a:ln>
                  </pic:spPr>
                </pic:pic>
              </a:graphicData>
            </a:graphic>
          </wp:inline>
        </w:drawing>
      </w:r>
    </w:p>
    <w:p w14:paraId="51C4CFD0" w14:textId="77777777" w:rsidR="00426CAF" w:rsidRPr="00EB03EB" w:rsidRDefault="00B0335B">
      <w:pPr>
        <w:spacing w:line="360" w:lineRule="auto"/>
        <w:jc w:val="center"/>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w:t>
      </w:r>
    </w:p>
    <w:p w14:paraId="066537E2" w14:textId="77777777" w:rsidR="00426CAF" w:rsidRPr="00EB03EB" w:rsidRDefault="00B0335B">
      <w:pPr>
        <w:spacing w:line="360" w:lineRule="auto"/>
        <w:jc w:val="center"/>
        <w:rPr>
          <w:rFonts w:ascii="Palatino Linotype" w:eastAsia="Palatino Linotype" w:hAnsi="Palatino Linotype" w:cs="Palatino Linotype"/>
          <w:sz w:val="22"/>
          <w:szCs w:val="22"/>
        </w:rPr>
      </w:pPr>
      <w:r w:rsidRPr="00EB03EB">
        <w:rPr>
          <w:rFonts w:ascii="Palatino Linotype" w:eastAsia="Palatino Linotype" w:hAnsi="Palatino Linotype" w:cs="Palatino Linotype"/>
          <w:noProof/>
          <w:sz w:val="22"/>
          <w:szCs w:val="22"/>
          <w:lang w:eastAsia="es-MX"/>
        </w:rPr>
        <w:drawing>
          <wp:inline distT="0" distB="0" distL="0" distR="0" wp14:anchorId="33130EE3" wp14:editId="7D2EDCB3">
            <wp:extent cx="5572125" cy="1362075"/>
            <wp:effectExtent l="3175" t="3175" r="3175" b="3175"/>
            <wp:docPr id="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572125" cy="1362075"/>
                    </a:xfrm>
                    <a:prstGeom prst="rect">
                      <a:avLst/>
                    </a:prstGeom>
                    <a:ln w="3175">
                      <a:solidFill>
                        <a:srgbClr val="000000"/>
                      </a:solidFill>
                      <a:prstDash val="solid"/>
                    </a:ln>
                  </pic:spPr>
                </pic:pic>
              </a:graphicData>
            </a:graphic>
          </wp:inline>
        </w:drawing>
      </w:r>
    </w:p>
    <w:p w14:paraId="741D79FE" w14:textId="77777777" w:rsidR="00426CAF" w:rsidRPr="00EB03EB" w:rsidRDefault="00B0335B">
      <w:pPr>
        <w:spacing w:line="360" w:lineRule="auto"/>
        <w:jc w:val="center"/>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w:t>
      </w:r>
    </w:p>
    <w:p w14:paraId="29DDFB83" w14:textId="77777777" w:rsidR="00426CAF" w:rsidRPr="00EB03EB" w:rsidRDefault="00B0335B">
      <w:pPr>
        <w:spacing w:line="360" w:lineRule="auto"/>
        <w:jc w:val="center"/>
        <w:rPr>
          <w:rFonts w:ascii="Palatino Linotype" w:eastAsia="Palatino Linotype" w:hAnsi="Palatino Linotype" w:cs="Palatino Linotype"/>
          <w:sz w:val="22"/>
          <w:szCs w:val="22"/>
        </w:rPr>
      </w:pPr>
      <w:r w:rsidRPr="00EB03EB">
        <w:rPr>
          <w:rFonts w:ascii="Palatino Linotype" w:eastAsia="Palatino Linotype" w:hAnsi="Palatino Linotype" w:cs="Palatino Linotype"/>
          <w:noProof/>
          <w:sz w:val="22"/>
          <w:szCs w:val="22"/>
          <w:lang w:eastAsia="es-MX"/>
        </w:rPr>
        <w:drawing>
          <wp:inline distT="0" distB="0" distL="0" distR="0" wp14:anchorId="09D5AEC0" wp14:editId="659DA8A1">
            <wp:extent cx="5581650" cy="676275"/>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581650" cy="676275"/>
                    </a:xfrm>
                    <a:prstGeom prst="rect">
                      <a:avLst/>
                    </a:prstGeom>
                    <a:ln/>
                  </pic:spPr>
                </pic:pic>
              </a:graphicData>
            </a:graphic>
          </wp:inline>
        </w:drawing>
      </w:r>
      <w:r w:rsidRPr="00EB03EB">
        <w:rPr>
          <w:rFonts w:ascii="Palatino Linotype" w:eastAsia="Palatino Linotype" w:hAnsi="Palatino Linotype" w:cs="Palatino Linotype"/>
          <w:sz w:val="22"/>
          <w:szCs w:val="22"/>
        </w:rPr>
        <w:t>[…]”</w:t>
      </w:r>
    </w:p>
    <w:p w14:paraId="44069C31"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Dichos documentos, son los que de manera enunciativa más no limitativa darían atención a los requerimientos de información del particular, por las siguientes consideraciones:</w:t>
      </w:r>
    </w:p>
    <w:p w14:paraId="4CA2E834"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20B2FC04"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El </w:t>
      </w:r>
      <w:r w:rsidRPr="00EB03EB">
        <w:rPr>
          <w:rFonts w:ascii="Palatino Linotype" w:eastAsia="Palatino Linotype" w:hAnsi="Palatino Linotype" w:cs="Palatino Linotype"/>
          <w:b/>
          <w:sz w:val="22"/>
          <w:szCs w:val="22"/>
          <w:u w:val="single"/>
        </w:rPr>
        <w:t>proyecto ejecutivo</w:t>
      </w:r>
      <w:r w:rsidRPr="00EB03EB">
        <w:rPr>
          <w:rFonts w:ascii="Palatino Linotype" w:eastAsia="Palatino Linotype" w:hAnsi="Palatino Linotype" w:cs="Palatino Linotype"/>
          <w:sz w:val="22"/>
          <w:szCs w:val="22"/>
        </w:rPr>
        <w:t xml:space="preserve">, lo integran los planos de proyectos (que pueden ser: arquitectónicos, estructurales, de detalle, secciones topográficas, levantamientos, catálogo de conceptos de trabajo y cantidades de obra, normas y especificaciones generales y particulares de construcción y el Programa general de ejecución); </w:t>
      </w:r>
      <w:r w:rsidRPr="00EB03EB">
        <w:rPr>
          <w:rFonts w:ascii="Palatino Linotype" w:eastAsia="Palatino Linotype" w:hAnsi="Palatino Linotype" w:cs="Palatino Linotype"/>
          <w:b/>
          <w:sz w:val="22"/>
          <w:szCs w:val="22"/>
        </w:rPr>
        <w:t xml:space="preserve">proyecto que en el caso, al tratarse de la </w:t>
      </w:r>
      <w:r w:rsidRPr="00EB03EB">
        <w:rPr>
          <w:rFonts w:ascii="Palatino Linotype" w:eastAsia="Palatino Linotype" w:hAnsi="Palatino Linotype" w:cs="Palatino Linotype"/>
          <w:b/>
          <w:sz w:val="22"/>
          <w:szCs w:val="22"/>
        </w:rPr>
        <w:lastRenderedPageBreak/>
        <w:t>rehabilitación o remodelación de la unidad deportiva a la que hace referencia el particular, se considera que es información susceptible de entregarse.</w:t>
      </w:r>
    </w:p>
    <w:p w14:paraId="0D7AF93A"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1B7DC65"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El </w:t>
      </w:r>
      <w:r w:rsidRPr="00EB03EB">
        <w:rPr>
          <w:rFonts w:ascii="Palatino Linotype" w:eastAsia="Palatino Linotype" w:hAnsi="Palatino Linotype" w:cs="Palatino Linotype"/>
          <w:b/>
          <w:sz w:val="22"/>
          <w:szCs w:val="22"/>
        </w:rPr>
        <w:t xml:space="preserve">contrato de obra pública, </w:t>
      </w:r>
      <w:r w:rsidRPr="00EB03EB">
        <w:rPr>
          <w:rFonts w:ascii="Palatino Linotype" w:eastAsia="Palatino Linotype" w:hAnsi="Palatino Linotype" w:cs="Palatino Linotype"/>
          <w:sz w:val="22"/>
          <w:szCs w:val="22"/>
        </w:rPr>
        <w:t xml:space="preserve">por atender a la literalidad el requerimiento relativo ha dicho instrumento jurídico requerido por el particular; </w:t>
      </w:r>
      <w:r w:rsidRPr="00EB03EB">
        <w:rPr>
          <w:rFonts w:ascii="Palatino Linotype" w:eastAsia="Palatino Linotype" w:hAnsi="Palatino Linotype" w:cs="Palatino Linotype"/>
          <w:b/>
          <w:sz w:val="22"/>
          <w:szCs w:val="22"/>
        </w:rPr>
        <w:t>máxime que en este instrumento, en el apartado relativo a las declaraciones viene la información relativa a los datos de la empresa contratista que ejecutó o desarrolló la obra pública.</w:t>
      </w:r>
    </w:p>
    <w:p w14:paraId="458EDC9E"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14B26FA5"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El </w:t>
      </w:r>
      <w:r w:rsidRPr="00EB03EB">
        <w:rPr>
          <w:rFonts w:ascii="Palatino Linotype" w:eastAsia="Palatino Linotype" w:hAnsi="Palatino Linotype" w:cs="Palatino Linotype"/>
          <w:b/>
          <w:sz w:val="22"/>
          <w:szCs w:val="22"/>
        </w:rPr>
        <w:t>acta entrega recepción de los trabajos</w:t>
      </w:r>
      <w:r w:rsidRPr="00EB03EB">
        <w:rPr>
          <w:rFonts w:ascii="Palatino Linotype" w:eastAsia="Palatino Linotype" w:hAnsi="Palatino Linotype" w:cs="Palatino Linotype"/>
          <w:sz w:val="22"/>
          <w:szCs w:val="22"/>
        </w:rPr>
        <w:t xml:space="preserve">, </w:t>
      </w:r>
      <w:r w:rsidRPr="00EB03EB">
        <w:rPr>
          <w:rFonts w:ascii="Palatino Linotype" w:eastAsia="Palatino Linotype" w:hAnsi="Palatino Linotype" w:cs="Palatino Linotype"/>
          <w:b/>
          <w:sz w:val="22"/>
          <w:szCs w:val="22"/>
          <w:u w:val="single"/>
        </w:rPr>
        <w:t>la cual da atención al requerimiento relativo al presupuesto ejecutado por la obra</w:t>
      </w:r>
      <w:r w:rsidRPr="00EB03EB">
        <w:rPr>
          <w:rFonts w:ascii="Palatino Linotype" w:eastAsia="Palatino Linotype" w:hAnsi="Palatino Linotype" w:cs="Palatino Linotype"/>
          <w:sz w:val="22"/>
          <w:szCs w:val="22"/>
        </w:rPr>
        <w:t xml:space="preserve">, ya que conforme el artículo 232 del Reglamento del Libro Décimo Segundo del Código Administrativo del Estado de México, entre otros elementos, debe contener: </w:t>
      </w:r>
      <w:r w:rsidRPr="00EB03EB">
        <w:rPr>
          <w:rFonts w:ascii="Palatino Linotype" w:eastAsia="Palatino Linotype" w:hAnsi="Palatino Linotype" w:cs="Palatino Linotype"/>
          <w:b/>
          <w:sz w:val="22"/>
          <w:szCs w:val="22"/>
          <w:u w:val="single"/>
        </w:rPr>
        <w:t>el importe contractual, incluyendo el de los convenios modificatorios,  en donde viene el monto contratado y el ejecutado.</w:t>
      </w:r>
    </w:p>
    <w:p w14:paraId="1C71C30B"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53543604"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Sirve traer a contexto el contenido de dicho precepto legal:</w:t>
      </w:r>
    </w:p>
    <w:p w14:paraId="60A91A0F"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52598CC9" w14:textId="77777777" w:rsidR="00426CAF" w:rsidRPr="00EB03EB" w:rsidRDefault="00B0335B">
      <w:pPr>
        <w:spacing w:line="276" w:lineRule="auto"/>
        <w:ind w:left="567" w:right="567"/>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 xml:space="preserve">Artículo 232.- En la fecha señalada, el contratante recibirá físicamente los trabajos y levantará el acta correspondiente, que contendrá: </w:t>
      </w:r>
    </w:p>
    <w:p w14:paraId="507AE4F8"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 Lugar, fecha y hora en que se levante; </w:t>
      </w:r>
    </w:p>
    <w:p w14:paraId="15AED1CB"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II. Nombre y firma del residente de obra y, en su caso, del supervisor de los trabajos y del superintendente de construcción; </w:t>
      </w:r>
    </w:p>
    <w:p w14:paraId="6EB30819"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III. Nombre y firma de los representantes de las Secretarías del Ramo y de Finanzas, de la Contraloría y del área responsable de operar la obra pública que se recibe; </w:t>
      </w:r>
    </w:p>
    <w:p w14:paraId="654A9F7D" w14:textId="77777777" w:rsidR="00426CAF" w:rsidRPr="00EB03EB" w:rsidRDefault="00B0335B">
      <w:pPr>
        <w:spacing w:line="276" w:lineRule="auto"/>
        <w:ind w:left="567" w:right="567"/>
        <w:jc w:val="both"/>
        <w:rPr>
          <w:rFonts w:ascii="Palatino Linotype" w:eastAsia="Palatino Linotype" w:hAnsi="Palatino Linotype" w:cs="Palatino Linotype"/>
          <w:b/>
          <w:i/>
          <w:sz w:val="22"/>
          <w:szCs w:val="22"/>
          <w:u w:val="single"/>
        </w:rPr>
      </w:pPr>
      <w:r w:rsidRPr="00EB03EB">
        <w:rPr>
          <w:rFonts w:ascii="Palatino Linotype" w:eastAsia="Palatino Linotype" w:hAnsi="Palatino Linotype" w:cs="Palatino Linotype"/>
          <w:b/>
          <w:i/>
          <w:sz w:val="22"/>
          <w:szCs w:val="22"/>
          <w:u w:val="single"/>
        </w:rPr>
        <w:t xml:space="preserve">IV. Descripción de los trabajos que se reciben; </w:t>
      </w:r>
    </w:p>
    <w:p w14:paraId="7AD57AB7" w14:textId="77777777" w:rsidR="00426CAF" w:rsidRPr="00EB03EB" w:rsidRDefault="00B0335B">
      <w:pPr>
        <w:spacing w:line="276" w:lineRule="auto"/>
        <w:ind w:left="567" w:right="567"/>
        <w:jc w:val="both"/>
        <w:rPr>
          <w:rFonts w:ascii="Palatino Linotype" w:eastAsia="Palatino Linotype" w:hAnsi="Palatino Linotype" w:cs="Palatino Linotype"/>
          <w:b/>
          <w:i/>
          <w:sz w:val="22"/>
          <w:szCs w:val="22"/>
          <w:u w:val="single"/>
        </w:rPr>
      </w:pPr>
      <w:r w:rsidRPr="00EB03EB">
        <w:rPr>
          <w:rFonts w:ascii="Palatino Linotype" w:eastAsia="Palatino Linotype" w:hAnsi="Palatino Linotype" w:cs="Palatino Linotype"/>
          <w:b/>
          <w:i/>
          <w:sz w:val="22"/>
          <w:szCs w:val="22"/>
          <w:u w:val="single"/>
        </w:rPr>
        <w:t xml:space="preserve">V. Importe contractual, incluyendo el de los convenios modificatorios; </w:t>
      </w:r>
    </w:p>
    <w:p w14:paraId="6AD1A56E"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VI. Periodo de ejecución de los trabajos, precisando las fechas de inicio y terminación contractual y el plazo en que realmente se ejecutaron, incluyendo los convenios; </w:t>
      </w:r>
    </w:p>
    <w:p w14:paraId="07C45CD5"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u w:val="single"/>
        </w:rPr>
        <w:t>VII. Relación de las estimaciones pagadas y por pagar;</w:t>
      </w:r>
      <w:r w:rsidRPr="00EB03EB">
        <w:rPr>
          <w:rFonts w:ascii="Palatino Linotype" w:eastAsia="Palatino Linotype" w:hAnsi="Palatino Linotype" w:cs="Palatino Linotype"/>
          <w:i/>
          <w:sz w:val="22"/>
          <w:szCs w:val="22"/>
        </w:rPr>
        <w:t xml:space="preserve"> […]”</w:t>
      </w:r>
    </w:p>
    <w:p w14:paraId="132A1233"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5008F88E"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03344B1D" w14:textId="77777777" w:rsidR="00426CAF" w:rsidRPr="00EB03EB" w:rsidRDefault="00B0335B">
      <w:pPr>
        <w:spacing w:before="240" w:after="240" w:line="360" w:lineRule="auto"/>
        <w:jc w:val="both"/>
        <w:rPr>
          <w:sz w:val="22"/>
          <w:szCs w:val="22"/>
        </w:rPr>
      </w:pPr>
      <w:r w:rsidRPr="00EB03EB">
        <w:rPr>
          <w:rFonts w:ascii="Palatino Linotype" w:eastAsia="Palatino Linotype" w:hAnsi="Palatino Linotype" w:cs="Palatino Linotype"/>
          <w:sz w:val="22"/>
          <w:szCs w:val="22"/>
        </w:rPr>
        <w:t xml:space="preserve">A mayor abundamiento, sobre el </w:t>
      </w:r>
      <w:r w:rsidRPr="00EB03EB">
        <w:rPr>
          <w:rFonts w:ascii="Palatino Linotype" w:eastAsia="Palatino Linotype" w:hAnsi="Palatino Linotype" w:cs="Palatino Linotype"/>
          <w:b/>
          <w:sz w:val="22"/>
          <w:szCs w:val="22"/>
        </w:rPr>
        <w:t>requerimiento relativo al presupuesto ejecutado de la obra,</w:t>
      </w:r>
      <w:r w:rsidRPr="00EB03EB">
        <w:rPr>
          <w:rFonts w:ascii="Palatino Linotype" w:eastAsia="Palatino Linotype" w:hAnsi="Palatino Linotype" w:cs="Palatino Linotype"/>
          <w:sz w:val="22"/>
          <w:szCs w:val="22"/>
        </w:rPr>
        <w:t xml:space="preserve"> es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08323DC1" w14:textId="77777777" w:rsidR="00426CAF" w:rsidRPr="00EB03EB" w:rsidRDefault="00B0335B">
      <w:pPr>
        <w:spacing w:before="120" w:after="120"/>
        <w:ind w:left="862" w:right="86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Artículo 342</w:t>
      </w:r>
      <w:r w:rsidRPr="00EB03EB">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0A77BAA9" w14:textId="77777777" w:rsidR="00426CAF" w:rsidRPr="00EB03EB" w:rsidRDefault="00B0335B">
      <w:pPr>
        <w:spacing w:before="120" w:after="120"/>
        <w:ind w:left="862" w:right="862"/>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En el caso de los municipios,</w:t>
      </w:r>
      <w:r w:rsidRPr="00EB03EB">
        <w:rPr>
          <w:rFonts w:ascii="Palatino Linotype" w:eastAsia="Palatino Linotype" w:hAnsi="Palatino Linotype" w:cs="Palatino Linotype"/>
          <w:i/>
          <w:sz w:val="22"/>
          <w:szCs w:val="22"/>
        </w:rPr>
        <w:t xml:space="preserve"> el registro a que se refiere el párrafo anterior, se realizará conforme al sistema y a las disposiciones en materia de </w:t>
      </w:r>
      <w:r w:rsidRPr="00EB03EB">
        <w:rPr>
          <w:rFonts w:ascii="Palatino Linotype" w:eastAsia="Palatino Linotype" w:hAnsi="Palatino Linotype" w:cs="Palatino Linotype"/>
          <w:b/>
          <w:i/>
          <w:sz w:val="22"/>
          <w:szCs w:val="22"/>
        </w:rPr>
        <w:t>planeación, programación, presupuestación, evaluación y contabilidad gubernamental</w:t>
      </w:r>
      <w:r w:rsidRPr="00EB03EB">
        <w:rPr>
          <w:rFonts w:ascii="Palatino Linotype" w:eastAsia="Palatino Linotype" w:hAnsi="Palatino Linotype" w:cs="Palatino Linotype"/>
          <w:i/>
          <w:sz w:val="22"/>
          <w:szCs w:val="22"/>
        </w:rPr>
        <w:t>, que se aprueben en el marco del Sistema de Coordinación Hacendaria del Estado de México</w:t>
      </w:r>
      <w:r w:rsidRPr="00EB03EB">
        <w:rPr>
          <w:rFonts w:ascii="Palatino Linotype" w:eastAsia="Palatino Linotype" w:hAnsi="Palatino Linotype" w:cs="Palatino Linotype"/>
          <w:b/>
          <w:i/>
          <w:sz w:val="22"/>
          <w:szCs w:val="22"/>
        </w:rPr>
        <w:t xml:space="preserve"> </w:t>
      </w:r>
    </w:p>
    <w:p w14:paraId="2E408994" w14:textId="77777777" w:rsidR="00426CAF" w:rsidRPr="00EB03EB" w:rsidRDefault="00B0335B">
      <w:pPr>
        <w:spacing w:before="120" w:after="120"/>
        <w:ind w:left="862" w:right="86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Artículo 343.-</w:t>
      </w:r>
      <w:r w:rsidRPr="00EB03EB">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7CEAB314" w14:textId="77777777" w:rsidR="00426CAF" w:rsidRPr="00EB03EB" w:rsidRDefault="00B0335B">
      <w:pPr>
        <w:spacing w:before="120" w:after="120"/>
        <w:ind w:left="862" w:right="862"/>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i/>
          <w:sz w:val="22"/>
          <w:szCs w:val="22"/>
        </w:rPr>
        <w:t>El sistema de contabilidad sobre base acumulativa total, se sustentará en las normas emitidas por el Consejo Nacional de Armonización Contable.</w:t>
      </w:r>
    </w:p>
    <w:p w14:paraId="52E5080A" w14:textId="77777777" w:rsidR="00426CAF" w:rsidRPr="00EB03EB" w:rsidRDefault="00B0335B">
      <w:pPr>
        <w:spacing w:before="120" w:after="120"/>
        <w:ind w:left="862" w:right="86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Artículo 344</w:t>
      </w:r>
      <w:r w:rsidRPr="00EB03EB">
        <w:rPr>
          <w:rFonts w:ascii="Palatino Linotype" w:eastAsia="Palatino Linotype" w:hAnsi="Palatino Linotype" w:cs="Palatino Linotype"/>
          <w:i/>
          <w:sz w:val="22"/>
          <w:szCs w:val="22"/>
        </w:rPr>
        <w:t xml:space="preserve">.- </w:t>
      </w:r>
      <w:r w:rsidRPr="00EB03EB">
        <w:rPr>
          <w:rFonts w:ascii="Palatino Linotype" w:eastAsia="Palatino Linotype" w:hAnsi="Palatino Linotype" w:cs="Palatino Linotype"/>
          <w:b/>
          <w:i/>
          <w:sz w:val="22"/>
          <w:szCs w:val="22"/>
          <w:u w:val="single"/>
        </w:rPr>
        <w:t>Los Entes Públicos</w:t>
      </w:r>
      <w:r w:rsidRPr="00EB03EB">
        <w:rPr>
          <w:rFonts w:ascii="Palatino Linotype" w:eastAsia="Palatino Linotype" w:hAnsi="Palatino Linotype" w:cs="Palatino Linotype"/>
          <w:i/>
          <w:sz w:val="22"/>
          <w:szCs w:val="22"/>
        </w:rPr>
        <w:t xml:space="preserve">, a través de cualquiera de sus unidades administrativas, de acuerdo con su naturaleza jurídica y según corresponda, </w:t>
      </w:r>
      <w:r w:rsidRPr="00EB03EB">
        <w:rPr>
          <w:rFonts w:ascii="Palatino Linotype" w:eastAsia="Palatino Linotype" w:hAnsi="Palatino Linotype" w:cs="Palatino Linotype"/>
          <w:b/>
          <w:i/>
          <w:sz w:val="22"/>
          <w:szCs w:val="22"/>
          <w:u w:val="single"/>
        </w:rPr>
        <w:t>registrarán contablemente el efecto patrimonial y presupuestal de las operaciones financieras que realicen, en el momento en que ocurran, con base en el sistema y políticas de registro establecidas, en el caso de los Municipios, se hará por la Tesorería.</w:t>
      </w:r>
    </w:p>
    <w:p w14:paraId="3772588D" w14:textId="77777777" w:rsidR="00426CAF" w:rsidRPr="00EB03EB" w:rsidRDefault="00B0335B">
      <w:pPr>
        <w:spacing w:before="120" w:after="120"/>
        <w:ind w:left="862" w:right="86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w:t>
      </w:r>
      <w:r w:rsidRPr="00EB03EB">
        <w:rPr>
          <w:rFonts w:ascii="Palatino Linotype" w:eastAsia="Palatino Linotype" w:hAnsi="Palatino Linotype" w:cs="Palatino Linotype"/>
          <w:i/>
          <w:sz w:val="22"/>
          <w:szCs w:val="22"/>
        </w:rPr>
        <w:t xml:space="preserve">, según </w:t>
      </w:r>
      <w:r w:rsidRPr="00EB03EB">
        <w:rPr>
          <w:rFonts w:ascii="Palatino Linotype" w:eastAsia="Palatino Linotype" w:hAnsi="Palatino Linotype" w:cs="Palatino Linotype"/>
          <w:i/>
          <w:sz w:val="22"/>
          <w:szCs w:val="22"/>
        </w:rPr>
        <w:lastRenderedPageBreak/>
        <w:t xml:space="preserve">corresponda, así como de los órganos internos de control, </w:t>
      </w:r>
      <w:r w:rsidRPr="00EB03EB">
        <w:rPr>
          <w:rFonts w:ascii="Palatino Linotype" w:eastAsia="Palatino Linotype" w:hAnsi="Palatino Linotype" w:cs="Palatino Linotype"/>
          <w:b/>
          <w:i/>
          <w:sz w:val="22"/>
          <w:szCs w:val="22"/>
          <w:u w:val="single"/>
        </w:rPr>
        <w:t>por un término de cinco años,</w:t>
      </w:r>
      <w:r w:rsidRPr="00EB03EB">
        <w:rPr>
          <w:rFonts w:ascii="Palatino Linotype" w:eastAsia="Palatino Linotype" w:hAnsi="Palatino Linotype" w:cs="Palatino Linotype"/>
          <w:i/>
          <w:sz w:val="22"/>
          <w:szCs w:val="22"/>
        </w:rPr>
        <w:t xml:space="preserve"> contados a partir del ejercicio presupuestal siguiente al que corresponda, </w:t>
      </w:r>
      <w:r w:rsidRPr="00EB03EB">
        <w:rPr>
          <w:rFonts w:ascii="Palatino Linotype" w:eastAsia="Palatino Linotype" w:hAnsi="Palatino Linotype" w:cs="Palatino Linotype"/>
          <w:b/>
          <w:i/>
          <w:sz w:val="22"/>
          <w:szCs w:val="22"/>
        </w:rPr>
        <w:t xml:space="preserve">en el caso de los Municipios, dicha obligación </w:t>
      </w:r>
      <w:r w:rsidRPr="00EB03EB">
        <w:rPr>
          <w:rFonts w:ascii="Palatino Linotype" w:eastAsia="Palatino Linotype" w:hAnsi="Palatino Linotype" w:cs="Palatino Linotype"/>
          <w:b/>
          <w:i/>
          <w:sz w:val="22"/>
          <w:szCs w:val="22"/>
          <w:u w:val="single"/>
        </w:rPr>
        <w:t>corresponderá a la Tesorería</w:t>
      </w:r>
      <w:r w:rsidRPr="00EB03EB">
        <w:rPr>
          <w:rFonts w:ascii="Palatino Linotype" w:eastAsia="Palatino Linotype" w:hAnsi="Palatino Linotype" w:cs="Palatino Linotype"/>
          <w:i/>
          <w:sz w:val="22"/>
          <w:szCs w:val="22"/>
          <w:u w:val="single"/>
        </w:rPr>
        <w:t xml:space="preserve">. </w:t>
      </w:r>
    </w:p>
    <w:p w14:paraId="38BBE8CC" w14:textId="77777777" w:rsidR="00426CAF" w:rsidRPr="00EB03EB" w:rsidRDefault="00B0335B">
      <w:pPr>
        <w:spacing w:before="120" w:after="120"/>
        <w:ind w:left="862" w:right="86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Tratándose de documentos de carácter histórico, se estará a lo dispuesto por la legislación de la materia.</w:t>
      </w:r>
    </w:p>
    <w:p w14:paraId="1BDEB034" w14:textId="77777777" w:rsidR="00426CAF" w:rsidRPr="00EB03EB" w:rsidRDefault="00B0335B">
      <w:pPr>
        <w:spacing w:before="120" w:after="120"/>
        <w:ind w:left="862" w:right="862"/>
        <w:jc w:val="both"/>
        <w:rPr>
          <w:rFonts w:ascii="Palatino Linotype" w:eastAsia="Palatino Linotype" w:hAnsi="Palatino Linotype" w:cs="Palatino Linotype"/>
          <w:b/>
          <w:i/>
          <w:sz w:val="22"/>
          <w:szCs w:val="22"/>
          <w:u w:val="single"/>
        </w:rPr>
      </w:pPr>
      <w:r w:rsidRPr="00EB03EB">
        <w:rPr>
          <w:rFonts w:ascii="Palatino Linotype" w:eastAsia="Palatino Linotype" w:hAnsi="Palatino Linotype" w:cs="Palatino Linotype"/>
          <w:b/>
          <w:i/>
          <w:sz w:val="22"/>
          <w:szCs w:val="22"/>
        </w:rPr>
        <w:t xml:space="preserve">Artículo 345.-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w:t>
      </w:r>
      <w:r w:rsidRPr="00EB03EB">
        <w:rPr>
          <w:rFonts w:ascii="Palatino Linotype" w:eastAsia="Palatino Linotype" w:hAnsi="Palatino Linotype" w:cs="Palatino Linotype"/>
          <w:b/>
          <w:i/>
          <w:sz w:val="22"/>
          <w:szCs w:val="22"/>
          <w:u w:val="single"/>
        </w:rPr>
        <w:t xml:space="preserve">Tratándose de los comprobantes fiscales digitales, estos deberán estar agregados en forma electrónica a cada póliza de registro contable. </w:t>
      </w:r>
    </w:p>
    <w:p w14:paraId="491A896A" w14:textId="77777777" w:rsidR="00426CAF" w:rsidRPr="00EB03EB" w:rsidRDefault="00B0335B">
      <w:pPr>
        <w:spacing w:before="120" w:after="120"/>
        <w:ind w:left="862" w:right="86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EB03EB">
        <w:rPr>
          <w:rFonts w:ascii="Palatino Linotype" w:eastAsia="Palatino Linotype" w:hAnsi="Palatino Linotype" w:cs="Palatino Linotype"/>
          <w:b/>
          <w:i/>
          <w:sz w:val="22"/>
          <w:szCs w:val="22"/>
        </w:rPr>
        <w:t>deberán estar agregados en forma electrónica a cada póliza de registro contable</w:t>
      </w:r>
      <w:r w:rsidRPr="00EB03EB">
        <w:rPr>
          <w:rFonts w:ascii="Palatino Linotype" w:eastAsia="Palatino Linotype" w:hAnsi="Palatino Linotype" w:cs="Palatino Linotype"/>
          <w:i/>
          <w:sz w:val="22"/>
          <w:szCs w:val="22"/>
        </w:rPr>
        <w:t xml:space="preserve">. </w:t>
      </w:r>
    </w:p>
    <w:p w14:paraId="1A168F23" w14:textId="77777777" w:rsidR="00426CAF" w:rsidRPr="00EB03EB" w:rsidRDefault="00B0335B">
      <w:pPr>
        <w:spacing w:before="120" w:after="120"/>
        <w:ind w:left="862" w:right="86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El plazo señalado en este artículo empezará a contar a partir de la publicación en el Periódico Oficial, del decreto correspondiente.”</w:t>
      </w:r>
    </w:p>
    <w:p w14:paraId="6E7DED35"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7001ECA2"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14DFEFBA"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6DFC6332"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Al respecto, si bien es cierto que el Código Financiero del Estado de México y Municipios establece la obligación de los organismos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w:t>
      </w:r>
      <w:r w:rsidRPr="00EB03EB">
        <w:rPr>
          <w:rFonts w:ascii="Palatino Linotype" w:eastAsia="Palatino Linotype" w:hAnsi="Palatino Linotype" w:cs="Palatino Linotype"/>
          <w:sz w:val="22"/>
          <w:szCs w:val="22"/>
        </w:rPr>
        <w:lastRenderedPageBreak/>
        <w:t xml:space="preserve">“Glosario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067670F3"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08D7D074" w14:textId="77777777" w:rsidR="00426CAF" w:rsidRPr="00EB03EB" w:rsidRDefault="00B0335B">
      <w:pPr>
        <w:ind w:left="851" w:right="851"/>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 xml:space="preserve">“REGISTRO CONTABLE </w:t>
      </w:r>
    </w:p>
    <w:p w14:paraId="5A64B221" w14:textId="77777777" w:rsidR="00426CAF" w:rsidRPr="00EB03EB" w:rsidRDefault="00B0335B">
      <w:pPr>
        <w:ind w:left="851" w:right="851"/>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Asiento que se realiza en los libros de contabilidad de las actividades relacionadas con el ingreso y egresos de un ente económico.” (Sic)</w:t>
      </w:r>
    </w:p>
    <w:p w14:paraId="64127A79" w14:textId="77777777" w:rsidR="00426CAF" w:rsidRPr="00EB03EB" w:rsidRDefault="00426CAF">
      <w:pPr>
        <w:ind w:left="851" w:right="851"/>
        <w:jc w:val="both"/>
        <w:rPr>
          <w:rFonts w:ascii="Palatino Linotype" w:eastAsia="Palatino Linotype" w:hAnsi="Palatino Linotype" w:cs="Palatino Linotype"/>
          <w:b/>
          <w:i/>
          <w:sz w:val="22"/>
          <w:szCs w:val="22"/>
        </w:rPr>
      </w:pPr>
    </w:p>
    <w:p w14:paraId="33F14FAC" w14:textId="77777777" w:rsidR="00426CAF" w:rsidRPr="00EB03EB" w:rsidRDefault="00B0335B">
      <w:pPr>
        <w:ind w:left="851" w:right="851"/>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“REGISTRO PRESUPUESTARIO</w:t>
      </w:r>
    </w:p>
    <w:p w14:paraId="4B8A398C" w14:textId="77777777" w:rsidR="00426CAF" w:rsidRPr="00EB03EB" w:rsidRDefault="00B0335B">
      <w:pPr>
        <w:ind w:left="851" w:right="851"/>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 (Sic)</w:t>
      </w:r>
    </w:p>
    <w:p w14:paraId="10CE9551" w14:textId="77777777" w:rsidR="00426CAF" w:rsidRPr="00EB03EB" w:rsidRDefault="00B0335B">
      <w:pPr>
        <w:spacing w:before="240" w:after="240"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Por otra parte, se establece que el sistema de contabilidad sobre base acumulativa total se sustentará en los principios de contabilidad gubernamental.</w:t>
      </w:r>
    </w:p>
    <w:p w14:paraId="6042F5A7"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Correlativo a lo anterior, es preciso referir una definición de </w:t>
      </w:r>
      <w:r w:rsidRPr="00EB03EB">
        <w:rPr>
          <w:rFonts w:ascii="Palatino Linotype" w:eastAsia="Palatino Linotype" w:hAnsi="Palatino Linotype" w:cs="Palatino Linotype"/>
          <w:i/>
          <w:sz w:val="22"/>
          <w:szCs w:val="22"/>
        </w:rPr>
        <w:t>póliza contable</w:t>
      </w:r>
      <w:r w:rsidRPr="00EB03EB">
        <w:rPr>
          <w:rFonts w:ascii="Palatino Linotype" w:eastAsia="Palatino Linotype" w:hAnsi="Palatino Linotype" w:cs="Palatino Linotype"/>
          <w:sz w:val="22"/>
          <w:szCs w:val="22"/>
        </w:rPr>
        <w:t xml:space="preserve">, la cual, primeramente, no está definida en el Código Financiero del Estado de México y Municipios; no obstante, los ya mencionados Glosarios la definen como: </w:t>
      </w:r>
    </w:p>
    <w:p w14:paraId="03D6EE79"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67875386" w14:textId="77777777" w:rsidR="00426CAF" w:rsidRPr="00EB03EB" w:rsidRDefault="00B0335B">
      <w:pPr>
        <w:ind w:left="851" w:right="851"/>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PÓLIZA CONTABLE</w:t>
      </w:r>
    </w:p>
    <w:p w14:paraId="4D9C2507" w14:textId="77777777" w:rsidR="00426CAF" w:rsidRPr="00EB03EB" w:rsidRDefault="00B0335B">
      <w:pPr>
        <w:ind w:left="851" w:right="851"/>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Documento en el cual se asientan en forma individual todas y cada una de las operaciones desarrolladas por una institución, así como la información necesaria para la identificación de dichas operaciones.” (sic)</w:t>
      </w:r>
    </w:p>
    <w:p w14:paraId="7A456637" w14:textId="77777777" w:rsidR="00426CAF" w:rsidRPr="00EB03EB" w:rsidRDefault="00426CAF">
      <w:pPr>
        <w:ind w:left="851" w:right="851"/>
        <w:jc w:val="both"/>
        <w:rPr>
          <w:rFonts w:ascii="Palatino Linotype" w:eastAsia="Palatino Linotype" w:hAnsi="Palatino Linotype" w:cs="Palatino Linotype"/>
          <w:i/>
          <w:sz w:val="22"/>
          <w:szCs w:val="22"/>
        </w:rPr>
      </w:pPr>
    </w:p>
    <w:p w14:paraId="536F42AB"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Así, se advierte que la </w:t>
      </w:r>
      <w:r w:rsidRPr="00EB03EB">
        <w:rPr>
          <w:rFonts w:ascii="Palatino Linotype" w:eastAsia="Palatino Linotype" w:hAnsi="Palatino Linotype" w:cs="Palatino Linotype"/>
          <w:i/>
          <w:sz w:val="22"/>
          <w:szCs w:val="22"/>
        </w:rPr>
        <w:t>póliza contable</w:t>
      </w:r>
      <w:r w:rsidRPr="00EB03EB">
        <w:rPr>
          <w:rFonts w:ascii="Palatino Linotype" w:eastAsia="Palatino Linotype" w:hAnsi="Palatino Linotype" w:cs="Palatino Linotype"/>
          <w:sz w:val="22"/>
          <w:szCs w:val="22"/>
        </w:rPr>
        <w:t xml:space="preserve"> constituye un registro contable y presupuestal con el que cuentan los Municipios para el registro de sus operaciones relacionadas con sus </w:t>
      </w:r>
      <w:r w:rsidRPr="00EB03EB">
        <w:rPr>
          <w:rFonts w:ascii="Palatino Linotype" w:eastAsia="Palatino Linotype" w:hAnsi="Palatino Linotype" w:cs="Palatino Linotype"/>
          <w:sz w:val="22"/>
          <w:szCs w:val="22"/>
          <w:u w:val="single"/>
        </w:rPr>
        <w:t>ingresos y egresos</w:t>
      </w:r>
      <w:r w:rsidRPr="00EB03EB">
        <w:rPr>
          <w:rFonts w:ascii="Palatino Linotype" w:eastAsia="Palatino Linotype" w:hAnsi="Palatino Linotype" w:cs="Palatino Linotype"/>
          <w:sz w:val="22"/>
          <w:szCs w:val="22"/>
        </w:rPr>
        <w:t xml:space="preserve"> </w:t>
      </w:r>
      <w:r w:rsidRPr="00EB03EB">
        <w:rPr>
          <w:rFonts w:ascii="Palatino Linotype" w:eastAsia="Palatino Linotype" w:hAnsi="Palatino Linotype" w:cs="Palatino Linotype"/>
          <w:b/>
          <w:sz w:val="22"/>
          <w:szCs w:val="22"/>
        </w:rPr>
        <w:t xml:space="preserve">y se anexan los documentos o comprobantes que justifiquen las </w:t>
      </w:r>
      <w:r w:rsidRPr="00EB03EB">
        <w:rPr>
          <w:rFonts w:ascii="Palatino Linotype" w:eastAsia="Palatino Linotype" w:hAnsi="Palatino Linotype" w:cs="Palatino Linotype"/>
          <w:b/>
          <w:sz w:val="22"/>
          <w:szCs w:val="22"/>
        </w:rPr>
        <w:lastRenderedPageBreak/>
        <w:t>anotaciones y cantidades en ellas registradas</w:t>
      </w:r>
      <w:r w:rsidRPr="00EB03EB">
        <w:rPr>
          <w:rFonts w:ascii="Palatino Linotype" w:eastAsia="Palatino Linotype" w:hAnsi="Palatino Linotype" w:cs="Palatino Linotype"/>
          <w:sz w:val="22"/>
          <w:szCs w:val="22"/>
        </w:rPr>
        <w:t>, lo que permite la identificación plena de dichas operaciones.</w:t>
      </w:r>
    </w:p>
    <w:p w14:paraId="6E5D692B"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109888AA"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este sentido, existen diversos tipos de pólizas contables de acuerdo a las operaciones realizadas, dentro de las cuales, encontramos las </w:t>
      </w:r>
      <w:r w:rsidRPr="00EB03EB">
        <w:rPr>
          <w:rFonts w:ascii="Palatino Linotype" w:eastAsia="Palatino Linotype" w:hAnsi="Palatino Linotype" w:cs="Palatino Linotype"/>
          <w:i/>
          <w:sz w:val="22"/>
          <w:szCs w:val="22"/>
        </w:rPr>
        <w:t>pólizas de egresos e ingresos</w:t>
      </w:r>
      <w:r w:rsidRPr="00EB03EB">
        <w:rPr>
          <w:rFonts w:ascii="Palatino Linotype" w:eastAsia="Palatino Linotype" w:hAnsi="Palatino Linotype" w:cs="Palatino Linotype"/>
          <w:sz w:val="22"/>
          <w:szCs w:val="22"/>
        </w:rPr>
        <w:t xml:space="preserve">, </w:t>
      </w:r>
      <w:r w:rsidRPr="00EB03EB">
        <w:rPr>
          <w:rFonts w:ascii="Palatino Linotype" w:eastAsia="Palatino Linotype" w:hAnsi="Palatino Linotype" w:cs="Palatino Linotype"/>
          <w:b/>
          <w:sz w:val="22"/>
          <w:szCs w:val="22"/>
          <w:u w:val="single"/>
        </w:rPr>
        <w:t>las primeras son aquellas en las cuales se anotan diariamente las operaciones que representan gastos,</w:t>
      </w:r>
      <w:r w:rsidRPr="00EB03EB">
        <w:rPr>
          <w:rFonts w:ascii="Palatino Linotype" w:eastAsia="Palatino Linotype" w:hAnsi="Palatino Linotype" w:cs="Palatino Linotype"/>
          <w:sz w:val="22"/>
          <w:szCs w:val="22"/>
        </w:rPr>
        <w:t xml:space="preserve"> </w:t>
      </w:r>
      <w:r w:rsidRPr="00EB03EB">
        <w:rPr>
          <w:rFonts w:ascii="Palatino Linotype" w:eastAsia="Palatino Linotype" w:hAnsi="Palatino Linotype" w:cs="Palatino Linotype"/>
          <w:b/>
          <w:sz w:val="22"/>
          <w:szCs w:val="22"/>
          <w:u w:val="single"/>
        </w:rPr>
        <w:t>es decir, salidas de dinero para el Sujeto Obligado</w:t>
      </w:r>
      <w:r w:rsidRPr="00EB03EB">
        <w:rPr>
          <w:rFonts w:ascii="Palatino Linotype" w:eastAsia="Palatino Linotype" w:hAnsi="Palatino Linotype" w:cs="Palatino Linotype"/>
          <w:sz w:val="22"/>
          <w:szCs w:val="22"/>
        </w:rPr>
        <w:t>,</w:t>
      </w:r>
      <w:r w:rsidRPr="00EB03EB">
        <w:rPr>
          <w:rFonts w:ascii="Palatino Linotype" w:eastAsia="Palatino Linotype" w:hAnsi="Palatino Linotype" w:cs="Palatino Linotype"/>
          <w:b/>
          <w:sz w:val="22"/>
          <w:szCs w:val="22"/>
          <w:u w:val="single"/>
        </w:rPr>
        <w:t xml:space="preserve"> las que además, deben encontrarse acompañadas de las documentales que sirven de soporte de dicho movimiento</w:t>
      </w:r>
      <w:r w:rsidRPr="00EB03EB">
        <w:rPr>
          <w:rFonts w:ascii="Palatino Linotype" w:eastAsia="Palatino Linotype" w:hAnsi="Palatino Linotype" w:cs="Palatino Linotype"/>
          <w:sz w:val="22"/>
          <w:szCs w:val="22"/>
        </w:rPr>
        <w:t>, y las segundas, registran todas la entradas de dinero independientemente de la modalidad, ya sea en efectivo, transferencia, cheque o pagaré.</w:t>
      </w:r>
    </w:p>
    <w:p w14:paraId="46BFA6C4"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16D9235" w14:textId="77777777" w:rsidR="00426CAF" w:rsidRPr="00EB03EB" w:rsidRDefault="00B0335B">
      <w:pPr>
        <w:spacing w:line="360" w:lineRule="auto"/>
        <w:ind w:right="5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Atento a lo anterior, como ya ha sido mencionado en la normatividad antes citada, </w:t>
      </w:r>
      <w:r w:rsidRPr="00EB03EB">
        <w:rPr>
          <w:rFonts w:ascii="Palatino Linotype" w:eastAsia="Palatino Linotype" w:hAnsi="Palatino Linotype" w:cs="Palatino Linotype"/>
          <w:b/>
          <w:sz w:val="22"/>
          <w:szCs w:val="22"/>
        </w:rPr>
        <w:t>todo registro contable y presupuestal deberá estar soportado con los documentos comprobatorios originales,</w:t>
      </w:r>
      <w:r w:rsidRPr="00EB03EB">
        <w:rPr>
          <w:rFonts w:ascii="Palatino Linotype" w:eastAsia="Palatino Linotype" w:hAnsi="Palatino Linotype" w:cs="Palatino Linotype"/>
          <w:sz w:val="22"/>
          <w:szCs w:val="22"/>
        </w:rPr>
        <w:t xml:space="preserve">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238ECF67" w14:textId="77777777" w:rsidR="00426CAF" w:rsidRPr="00EB03EB" w:rsidRDefault="00426CAF">
      <w:pPr>
        <w:spacing w:line="360" w:lineRule="auto"/>
        <w:ind w:right="49"/>
        <w:jc w:val="both"/>
        <w:rPr>
          <w:rFonts w:ascii="Palatino Linotype" w:eastAsia="Palatino Linotype" w:hAnsi="Palatino Linotype" w:cs="Palatino Linotype"/>
          <w:sz w:val="22"/>
          <w:szCs w:val="22"/>
          <w:u w:val="single"/>
        </w:rPr>
      </w:pPr>
    </w:p>
    <w:p w14:paraId="38B75538"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Así, se puede advertir que, los documentos que puede satisfacer el requerimiento relativo al presupuesto ejecutado, serían precisamente </w:t>
      </w:r>
      <w:r w:rsidRPr="00EB03EB">
        <w:rPr>
          <w:rFonts w:ascii="Palatino Linotype" w:eastAsia="Palatino Linotype" w:hAnsi="Palatino Linotype" w:cs="Palatino Linotype"/>
          <w:b/>
          <w:sz w:val="22"/>
          <w:szCs w:val="22"/>
        </w:rPr>
        <w:t>las pólizas de egresos con sus documentos comprobatorios.</w:t>
      </w:r>
    </w:p>
    <w:p w14:paraId="6C4D2506"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669255A8" w14:textId="77777777" w:rsidR="00426CAF" w:rsidRPr="00EB03EB" w:rsidRDefault="00B0335B">
      <w:pPr>
        <w:spacing w:line="360" w:lineRule="auto"/>
        <w:ind w:right="14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De lo anterior, se advierte que el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cuenta con atribuciones para conocer del tipo de información a la que pretende acceder el particular.</w:t>
      </w:r>
    </w:p>
    <w:p w14:paraId="16ECFF40"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1D08FF56" w14:textId="77777777" w:rsidR="00426CAF" w:rsidRPr="00EB03EB" w:rsidRDefault="00B0335B">
      <w:pPr>
        <w:spacing w:line="360" w:lineRule="auto"/>
        <w:ind w:right="14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lastRenderedPageBreak/>
        <w:t xml:space="preserve">Además, cabe señalar que la información requerida forma parte de las Obligaciones de Transparencia Comunes del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por relacionarse con la información que forma parte de los procedimientos de adquisición, lo que nos permite traer a colación lo dispuesto por la fracción XXIX del artículo 92, de la Ley de Transparencia y Acceso a la Información Pública del Estado de México y Municipios en el cual se aprecia lo siguiente:</w:t>
      </w:r>
    </w:p>
    <w:p w14:paraId="7D384BD9"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73C2BA37" w14:textId="77777777" w:rsidR="00426CAF" w:rsidRPr="00EB03EB" w:rsidRDefault="00B0335B">
      <w:pPr>
        <w:tabs>
          <w:tab w:val="left" w:pos="851"/>
        </w:tabs>
        <w:ind w:left="709"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Artículo 92</w:t>
      </w:r>
      <w:r w:rsidRPr="00EB03EB">
        <w:rPr>
          <w:rFonts w:ascii="Palatino Linotype" w:eastAsia="Palatino Linotype" w:hAnsi="Palatino Linotype" w:cs="Palatino Linotype"/>
          <w:i/>
          <w:sz w:val="22"/>
          <w:szCs w:val="22"/>
        </w:rPr>
        <w:t xml:space="preserve">. </w:t>
      </w:r>
      <w:r w:rsidRPr="00EB03EB">
        <w:rPr>
          <w:rFonts w:ascii="Palatino Linotype" w:eastAsia="Palatino Linotype" w:hAnsi="Palatino Linotype" w:cs="Palatino Linotype"/>
          <w:b/>
          <w:i/>
          <w:sz w:val="22"/>
          <w:szCs w:val="22"/>
          <w:u w:val="single"/>
        </w:rPr>
        <w:t>Los sujetos obligados deberán poner a disposición del público de manera permanente y actualizada de forma sencilla, precisa y entendible, en los respectivos medios electrónicos</w:t>
      </w:r>
      <w:r w:rsidRPr="00EB03EB">
        <w:rPr>
          <w:rFonts w:ascii="Palatino Linotype" w:eastAsia="Palatino Linotype" w:hAnsi="Palatino Linotype" w:cs="Palatino Linotype"/>
          <w:i/>
          <w:sz w:val="22"/>
          <w:szCs w:val="22"/>
        </w:rPr>
        <w:t xml:space="preserve">, de acuerdo con sus facultades, atribuciones, funciones u objeto social, según corresponda, la información, </w:t>
      </w:r>
      <w:r w:rsidRPr="00EB03EB">
        <w:rPr>
          <w:rFonts w:ascii="Palatino Linotype" w:eastAsia="Palatino Linotype" w:hAnsi="Palatino Linotype" w:cs="Palatino Linotype"/>
          <w:b/>
          <w:i/>
          <w:sz w:val="22"/>
          <w:szCs w:val="22"/>
          <w:u w:val="single"/>
        </w:rPr>
        <w:t>por lo menos, de los temas, documentos y políticas que a continuación se señalan</w:t>
      </w:r>
      <w:r w:rsidRPr="00EB03EB">
        <w:rPr>
          <w:rFonts w:ascii="Palatino Linotype" w:eastAsia="Palatino Linotype" w:hAnsi="Palatino Linotype" w:cs="Palatino Linotype"/>
          <w:i/>
          <w:sz w:val="22"/>
          <w:szCs w:val="22"/>
        </w:rPr>
        <w:t>:</w:t>
      </w:r>
    </w:p>
    <w:p w14:paraId="106ECFE3" w14:textId="77777777" w:rsidR="00426CAF" w:rsidRPr="00EB03EB" w:rsidRDefault="00B0335B">
      <w:pPr>
        <w:tabs>
          <w:tab w:val="left" w:pos="851"/>
        </w:tabs>
        <w:ind w:left="709"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0629ED58" w14:textId="77777777" w:rsidR="00426CAF" w:rsidRPr="00EB03EB" w:rsidRDefault="00B0335B">
      <w:pPr>
        <w:tabs>
          <w:tab w:val="left" w:pos="851"/>
        </w:tabs>
        <w:ind w:left="709"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XXIX.</w:t>
      </w:r>
      <w:r w:rsidRPr="00EB03EB">
        <w:rPr>
          <w:rFonts w:ascii="Palatino Linotype" w:eastAsia="Palatino Linotype" w:hAnsi="Palatino Linotype" w:cs="Palatino Linotype"/>
          <w:b/>
          <w:i/>
          <w:sz w:val="22"/>
          <w:szCs w:val="22"/>
        </w:rPr>
        <w:tab/>
      </w:r>
      <w:r w:rsidRPr="00EB03EB">
        <w:rPr>
          <w:rFonts w:ascii="Palatino Linotype" w:eastAsia="Palatino Linotype" w:hAnsi="Palatino Linotype" w:cs="Palatino Linotype"/>
          <w:b/>
          <w:i/>
          <w:sz w:val="22"/>
          <w:szCs w:val="22"/>
          <w:u w:val="single"/>
        </w:rPr>
        <w:t>La información sobre los procesos y resultados sobre procedimientos de adjudicación directa, invitación restringida y licitación de cualquier naturaleza, incluyendo la versión pública del expediente respectivo y de los contratos celebrados</w:t>
      </w:r>
      <w:r w:rsidRPr="00EB03EB">
        <w:rPr>
          <w:rFonts w:ascii="Palatino Linotype" w:eastAsia="Palatino Linotype" w:hAnsi="Palatino Linotype" w:cs="Palatino Linotype"/>
          <w:i/>
          <w:sz w:val="22"/>
          <w:szCs w:val="22"/>
        </w:rPr>
        <w:t xml:space="preserve">, que deberán contener, por los menos, lo siguiente: </w:t>
      </w:r>
    </w:p>
    <w:p w14:paraId="1182ED16" w14:textId="77777777" w:rsidR="00426CAF" w:rsidRPr="00EB03EB" w:rsidRDefault="00426CAF">
      <w:pPr>
        <w:tabs>
          <w:tab w:val="left" w:pos="851"/>
        </w:tabs>
        <w:ind w:left="709" w:right="709"/>
        <w:jc w:val="both"/>
        <w:rPr>
          <w:rFonts w:ascii="Palatino Linotype" w:eastAsia="Palatino Linotype" w:hAnsi="Palatino Linotype" w:cs="Palatino Linotype"/>
          <w:i/>
          <w:sz w:val="22"/>
          <w:szCs w:val="22"/>
        </w:rPr>
      </w:pPr>
    </w:p>
    <w:p w14:paraId="66CE2D98" w14:textId="77777777" w:rsidR="00426CAF" w:rsidRPr="00EB03EB" w:rsidRDefault="00B0335B">
      <w:pPr>
        <w:tabs>
          <w:tab w:val="left" w:pos="851"/>
        </w:tabs>
        <w:ind w:left="709"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a)</w:t>
      </w:r>
      <w:r w:rsidRPr="00EB03EB">
        <w:rPr>
          <w:rFonts w:ascii="Palatino Linotype" w:eastAsia="Palatino Linotype" w:hAnsi="Palatino Linotype" w:cs="Palatino Linotype"/>
          <w:i/>
          <w:sz w:val="22"/>
          <w:szCs w:val="22"/>
        </w:rPr>
        <w:tab/>
        <w:t xml:space="preserve">De licitaciones públicas o procedimientos de invitación restringida: </w:t>
      </w:r>
    </w:p>
    <w:p w14:paraId="0EB820CD"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1)</w:t>
      </w:r>
      <w:r w:rsidRPr="00EB03EB">
        <w:rPr>
          <w:rFonts w:ascii="Palatino Linotype" w:eastAsia="Palatino Linotype" w:hAnsi="Palatino Linotype" w:cs="Palatino Linotype"/>
          <w:i/>
          <w:sz w:val="22"/>
          <w:szCs w:val="22"/>
        </w:rPr>
        <w:tab/>
        <w:t xml:space="preserve">La convocatoria o invitación emitida, así como los fundamentos legales aplicados para llevarla a cabo; </w:t>
      </w:r>
    </w:p>
    <w:p w14:paraId="48CF0042"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2)</w:t>
      </w:r>
      <w:r w:rsidRPr="00EB03EB">
        <w:rPr>
          <w:rFonts w:ascii="Palatino Linotype" w:eastAsia="Palatino Linotype" w:hAnsi="Palatino Linotype" w:cs="Palatino Linotype"/>
          <w:i/>
          <w:sz w:val="22"/>
          <w:szCs w:val="22"/>
        </w:rPr>
        <w:tab/>
        <w:t xml:space="preserve">Los nombres de los participantes o invitados; </w:t>
      </w:r>
    </w:p>
    <w:p w14:paraId="4849CF20"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3)</w:t>
      </w:r>
      <w:r w:rsidRPr="00EB03EB">
        <w:rPr>
          <w:rFonts w:ascii="Palatino Linotype" w:eastAsia="Palatino Linotype" w:hAnsi="Palatino Linotype" w:cs="Palatino Linotype"/>
          <w:i/>
          <w:sz w:val="22"/>
          <w:szCs w:val="22"/>
        </w:rPr>
        <w:tab/>
      </w:r>
      <w:r w:rsidRPr="00EB03EB">
        <w:rPr>
          <w:rFonts w:ascii="Palatino Linotype" w:eastAsia="Palatino Linotype" w:hAnsi="Palatino Linotype" w:cs="Palatino Linotype"/>
          <w:b/>
          <w:i/>
          <w:sz w:val="22"/>
          <w:szCs w:val="22"/>
          <w:u w:val="single"/>
        </w:rPr>
        <w:t xml:space="preserve">El nombre del ganador y las razones que lo justifican; </w:t>
      </w:r>
    </w:p>
    <w:p w14:paraId="529BCEB9"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4)</w:t>
      </w:r>
      <w:r w:rsidRPr="00EB03EB">
        <w:rPr>
          <w:rFonts w:ascii="Palatino Linotype" w:eastAsia="Palatino Linotype" w:hAnsi="Palatino Linotype" w:cs="Palatino Linotype"/>
          <w:i/>
          <w:sz w:val="22"/>
          <w:szCs w:val="22"/>
        </w:rPr>
        <w:tab/>
        <w:t xml:space="preserve">El área solicitante y la responsable de su ejecución; </w:t>
      </w:r>
    </w:p>
    <w:p w14:paraId="3E566FB7"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5)</w:t>
      </w:r>
      <w:r w:rsidRPr="00EB03EB">
        <w:rPr>
          <w:rFonts w:ascii="Palatino Linotype" w:eastAsia="Palatino Linotype" w:hAnsi="Palatino Linotype" w:cs="Palatino Linotype"/>
          <w:i/>
          <w:sz w:val="22"/>
          <w:szCs w:val="22"/>
        </w:rPr>
        <w:tab/>
        <w:t xml:space="preserve">Las convocatorias e invitaciones emitidas; </w:t>
      </w:r>
    </w:p>
    <w:p w14:paraId="15089786"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6)</w:t>
      </w:r>
      <w:r w:rsidRPr="00EB03EB">
        <w:rPr>
          <w:rFonts w:ascii="Palatino Linotype" w:eastAsia="Palatino Linotype" w:hAnsi="Palatino Linotype" w:cs="Palatino Linotype"/>
          <w:i/>
          <w:sz w:val="22"/>
          <w:szCs w:val="22"/>
        </w:rPr>
        <w:tab/>
        <w:t xml:space="preserve">Los dictámenes y fallo de adjudicación; </w:t>
      </w:r>
    </w:p>
    <w:p w14:paraId="05A9B392"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7)</w:t>
      </w:r>
      <w:r w:rsidRPr="00EB03EB">
        <w:rPr>
          <w:rFonts w:ascii="Palatino Linotype" w:eastAsia="Palatino Linotype" w:hAnsi="Palatino Linotype" w:cs="Palatino Linotype"/>
          <w:i/>
          <w:sz w:val="22"/>
          <w:szCs w:val="22"/>
        </w:rPr>
        <w:tab/>
      </w:r>
      <w:r w:rsidRPr="00EB03EB">
        <w:rPr>
          <w:rFonts w:ascii="Palatino Linotype" w:eastAsia="Palatino Linotype" w:hAnsi="Palatino Linotype" w:cs="Palatino Linotype"/>
          <w:b/>
          <w:i/>
          <w:sz w:val="22"/>
          <w:szCs w:val="22"/>
          <w:u w:val="single"/>
        </w:rPr>
        <w:t>El contrato y, en su caso, sus anexos</w:t>
      </w:r>
      <w:r w:rsidRPr="00EB03EB">
        <w:rPr>
          <w:rFonts w:ascii="Palatino Linotype" w:eastAsia="Palatino Linotype" w:hAnsi="Palatino Linotype" w:cs="Palatino Linotype"/>
          <w:i/>
          <w:sz w:val="22"/>
          <w:szCs w:val="22"/>
        </w:rPr>
        <w:t xml:space="preserve">; </w:t>
      </w:r>
    </w:p>
    <w:p w14:paraId="5A5A8AE1"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8)</w:t>
      </w:r>
      <w:r w:rsidRPr="00EB03EB">
        <w:rPr>
          <w:rFonts w:ascii="Palatino Linotype" w:eastAsia="Palatino Linotype" w:hAnsi="Palatino Linotype" w:cs="Palatino Linotype"/>
          <w:i/>
          <w:sz w:val="22"/>
          <w:szCs w:val="22"/>
        </w:rPr>
        <w:tab/>
        <w:t xml:space="preserve">Los mecanismos de vigilancia y supervisión, incluyendo en su caso, los estudios de impacto urbano y ambiental, según corresponda; </w:t>
      </w:r>
    </w:p>
    <w:p w14:paraId="5E8EC555"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9)</w:t>
      </w:r>
      <w:r w:rsidRPr="00EB03EB">
        <w:rPr>
          <w:rFonts w:ascii="Palatino Linotype" w:eastAsia="Palatino Linotype" w:hAnsi="Palatino Linotype" w:cs="Palatino Linotype"/>
          <w:i/>
          <w:sz w:val="22"/>
          <w:szCs w:val="22"/>
        </w:rPr>
        <w:tab/>
        <w:t xml:space="preserve">La partida presupuestal, de conformidad con el clasificador por objeto del gasto, en el caso de ser aplicable; </w:t>
      </w:r>
    </w:p>
    <w:p w14:paraId="263547CA"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10)</w:t>
      </w:r>
      <w:r w:rsidRPr="00EB03EB">
        <w:rPr>
          <w:rFonts w:ascii="Palatino Linotype" w:eastAsia="Palatino Linotype" w:hAnsi="Palatino Linotype" w:cs="Palatino Linotype"/>
          <w:i/>
          <w:sz w:val="22"/>
          <w:szCs w:val="22"/>
        </w:rPr>
        <w:tab/>
        <w:t xml:space="preserve">Origen de los recursos especificando si son federales, estatales o municipales, así como el tipo de fondo de participación o aportación respectiva; </w:t>
      </w:r>
    </w:p>
    <w:p w14:paraId="650FD82A"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11)</w:t>
      </w:r>
      <w:r w:rsidRPr="00EB03EB">
        <w:rPr>
          <w:rFonts w:ascii="Palatino Linotype" w:eastAsia="Palatino Linotype" w:hAnsi="Palatino Linotype" w:cs="Palatino Linotype"/>
          <w:i/>
          <w:sz w:val="22"/>
          <w:szCs w:val="22"/>
        </w:rPr>
        <w:tab/>
        <w:t xml:space="preserve">Los convenios modificatorios que, en su caso, sean firmados, precisando el objeto y la fecha de celebración; </w:t>
      </w:r>
    </w:p>
    <w:p w14:paraId="2BE49D8C"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u w:val="single"/>
        </w:rPr>
        <w:t>12)</w:t>
      </w:r>
      <w:r w:rsidRPr="00EB03EB">
        <w:rPr>
          <w:rFonts w:ascii="Palatino Linotype" w:eastAsia="Palatino Linotype" w:hAnsi="Palatino Linotype" w:cs="Palatino Linotype"/>
          <w:b/>
          <w:i/>
          <w:sz w:val="22"/>
          <w:szCs w:val="22"/>
          <w:u w:val="single"/>
        </w:rPr>
        <w:tab/>
        <w:t>Los informes de avance físico y financiero sobre las obras o servicios contratados;</w:t>
      </w:r>
      <w:r w:rsidRPr="00EB03EB">
        <w:rPr>
          <w:rFonts w:ascii="Palatino Linotype" w:eastAsia="Palatino Linotype" w:hAnsi="Palatino Linotype" w:cs="Palatino Linotype"/>
          <w:i/>
          <w:sz w:val="22"/>
          <w:szCs w:val="22"/>
        </w:rPr>
        <w:t xml:space="preserve"> </w:t>
      </w:r>
    </w:p>
    <w:p w14:paraId="7C7CD8F9"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lastRenderedPageBreak/>
        <w:t>13)</w:t>
      </w:r>
      <w:r w:rsidRPr="00EB03EB">
        <w:rPr>
          <w:rFonts w:ascii="Palatino Linotype" w:eastAsia="Palatino Linotype" w:hAnsi="Palatino Linotype" w:cs="Palatino Linotype"/>
          <w:i/>
          <w:sz w:val="22"/>
          <w:szCs w:val="22"/>
        </w:rPr>
        <w:tab/>
        <w:t xml:space="preserve">El convenio de terminación; y </w:t>
      </w:r>
    </w:p>
    <w:p w14:paraId="5C9CD5D8" w14:textId="77777777" w:rsidR="00426CAF" w:rsidRPr="00EB03EB" w:rsidRDefault="00B0335B">
      <w:pPr>
        <w:tabs>
          <w:tab w:val="left" w:pos="851"/>
        </w:tabs>
        <w:ind w:left="1416" w:right="709"/>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14)</w:t>
      </w:r>
      <w:r w:rsidRPr="00EB03EB">
        <w:rPr>
          <w:rFonts w:ascii="Palatino Linotype" w:eastAsia="Palatino Linotype" w:hAnsi="Palatino Linotype" w:cs="Palatino Linotype"/>
          <w:i/>
          <w:sz w:val="22"/>
          <w:szCs w:val="22"/>
        </w:rPr>
        <w:tab/>
        <w:t>El finiquito. “</w:t>
      </w:r>
    </w:p>
    <w:p w14:paraId="07C4B662"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20958B32" w14:textId="77777777" w:rsidR="00426CAF" w:rsidRPr="00EB03EB" w:rsidRDefault="00B0335B">
      <w:pPr>
        <w:spacing w:line="360" w:lineRule="auto"/>
        <w:ind w:right="14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Acotado lo anterior, dentro de la normatividad que regula al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se advierte que este cuenta con diversas unidades administrativas que pueden dar atención a la solicitud de información del particular, como lo es de manera enunciativa más no limitativa la Tesorería Municipal y la Dirección de Infraestructura y Obras Públicas.</w:t>
      </w:r>
    </w:p>
    <w:p w14:paraId="2409BC7B"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249080D2" w14:textId="77777777" w:rsidR="00426CAF" w:rsidRPr="00EB03EB" w:rsidRDefault="00B0335B">
      <w:pPr>
        <w:spacing w:line="360" w:lineRule="auto"/>
        <w:ind w:right="14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Para comprender lo anterior sirve insertar las atribuciones con las que cuentan dichas unidades administrativas.</w:t>
      </w:r>
    </w:p>
    <w:p w14:paraId="56AAAC5D"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6CA34ED7" w14:textId="77777777" w:rsidR="00426CAF" w:rsidRPr="00EB03EB" w:rsidRDefault="00B0335B">
      <w:pPr>
        <w:spacing w:line="360" w:lineRule="auto"/>
        <w:ind w:right="14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primer lugar, la </w:t>
      </w:r>
      <w:r w:rsidRPr="00EB03EB">
        <w:rPr>
          <w:rFonts w:ascii="Palatino Linotype" w:eastAsia="Palatino Linotype" w:hAnsi="Palatino Linotype" w:cs="Palatino Linotype"/>
          <w:b/>
          <w:sz w:val="22"/>
          <w:szCs w:val="22"/>
        </w:rPr>
        <w:t>Tesorería Municipal</w:t>
      </w:r>
      <w:r w:rsidRPr="00EB03EB">
        <w:rPr>
          <w:rFonts w:ascii="Palatino Linotype" w:eastAsia="Palatino Linotype" w:hAnsi="Palatino Linotype" w:cs="Palatino Linotype"/>
          <w:sz w:val="22"/>
          <w:szCs w:val="22"/>
        </w:rPr>
        <w:t xml:space="preserve"> conforme lo dispuesto en el artículo 73 del Bando Municipal del 2024 del Ayuntamiento de Ixtapaluca, es el órgano de la Administración Pública Municipal facultado para administrar la hacienda pública municipal, así como, la indicada para efectuar las erogaciones contraídas por el Gobierno Municipal, como se sigue:</w:t>
      </w:r>
    </w:p>
    <w:p w14:paraId="50146CE4"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3AA23820"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“ARTÍCULO 73.- De conformidad con los ordenamientos legales aplicables, </w:t>
      </w:r>
      <w:r w:rsidRPr="00EB03EB">
        <w:rPr>
          <w:rFonts w:ascii="Palatino Linotype" w:eastAsia="Palatino Linotype" w:hAnsi="Palatino Linotype" w:cs="Palatino Linotype"/>
          <w:b/>
          <w:i/>
          <w:sz w:val="22"/>
          <w:szCs w:val="22"/>
        </w:rPr>
        <w:t>la Tesorería Municipal</w:t>
      </w:r>
      <w:r w:rsidRPr="00EB03EB">
        <w:rPr>
          <w:rFonts w:ascii="Palatino Linotype" w:eastAsia="Palatino Linotype" w:hAnsi="Palatino Linotype" w:cs="Palatino Linotype"/>
          <w:i/>
          <w:sz w:val="22"/>
          <w:szCs w:val="22"/>
        </w:rPr>
        <w:t xml:space="preserve"> es el órgano de la Administración Pública Municipal facultado para administrar la hacienda pública municipal, así como, </w:t>
      </w:r>
      <w:r w:rsidRPr="00EB03EB">
        <w:rPr>
          <w:rFonts w:ascii="Palatino Linotype" w:eastAsia="Palatino Linotype" w:hAnsi="Palatino Linotype" w:cs="Palatino Linotype"/>
          <w:b/>
          <w:i/>
          <w:sz w:val="22"/>
          <w:szCs w:val="22"/>
          <w:u w:val="single"/>
        </w:rPr>
        <w:t xml:space="preserve">la indicada para efectuar las erogaciones contraídas por el Gobierno Municipal. </w:t>
      </w:r>
    </w:p>
    <w:p w14:paraId="7C500088" w14:textId="77777777" w:rsidR="00426CAF" w:rsidRPr="00EB03EB" w:rsidRDefault="00426CAF">
      <w:pPr>
        <w:spacing w:line="276" w:lineRule="auto"/>
        <w:ind w:left="567" w:right="567"/>
        <w:jc w:val="both"/>
        <w:rPr>
          <w:rFonts w:ascii="Palatino Linotype" w:eastAsia="Palatino Linotype" w:hAnsi="Palatino Linotype" w:cs="Palatino Linotype"/>
          <w:i/>
          <w:sz w:val="22"/>
          <w:szCs w:val="22"/>
        </w:rPr>
      </w:pPr>
    </w:p>
    <w:p w14:paraId="24316A9A"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Así mismo, para llevar a cabo la administración de los ingresos y egresos de la Administración Pública Municipal, la Tesorería coordinará sus actividades con las Dependencias Administrativas, estableciendo políticas y lineamientos, para el control eficiente de la recaudación, recursos materiales y servicios catastrales.”</w:t>
      </w:r>
    </w:p>
    <w:p w14:paraId="16D35FE7"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4612DF1C" w14:textId="77777777" w:rsidR="00426CAF" w:rsidRPr="00EB03EB" w:rsidRDefault="00B0335B">
      <w:pPr>
        <w:spacing w:line="360" w:lineRule="auto"/>
        <w:ind w:right="14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Por su parte, la Dirección de Infraestructura y Obras Públicas, conforme el artículo 5, fracciones XIV, XV y XVI de su reglamento, tiene dentro de sus funciones,</w:t>
      </w:r>
      <w:r w:rsidRPr="00EB03EB">
        <w:t xml:space="preserve"> </w:t>
      </w:r>
      <w:r w:rsidRPr="00EB03EB">
        <w:rPr>
          <w:rFonts w:ascii="Palatino Linotype" w:eastAsia="Palatino Linotype" w:hAnsi="Palatino Linotype" w:cs="Palatino Linotype"/>
          <w:sz w:val="22"/>
          <w:szCs w:val="22"/>
        </w:rPr>
        <w:t xml:space="preserve">convocar a </w:t>
      </w:r>
      <w:r w:rsidRPr="00EB03EB">
        <w:rPr>
          <w:rFonts w:ascii="Palatino Linotype" w:eastAsia="Palatino Linotype" w:hAnsi="Palatino Linotype" w:cs="Palatino Linotype"/>
          <w:sz w:val="22"/>
          <w:szCs w:val="22"/>
        </w:rPr>
        <w:lastRenderedPageBreak/>
        <w:t>Licitación Pública, adjudicando y contratando la obra pública, así como recibir y dar atención a las solicitudes que realiza la ciudadanía en materia de obra pública, como se sigue:</w:t>
      </w:r>
    </w:p>
    <w:p w14:paraId="5D0605DE"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4B1C078A"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“Artículo 5. Corresponde a la </w:t>
      </w:r>
      <w:r w:rsidRPr="00EB03EB">
        <w:rPr>
          <w:rFonts w:ascii="Palatino Linotype" w:eastAsia="Palatino Linotype" w:hAnsi="Palatino Linotype" w:cs="Palatino Linotype"/>
          <w:b/>
          <w:i/>
          <w:sz w:val="22"/>
          <w:szCs w:val="22"/>
          <w:u w:val="single"/>
        </w:rPr>
        <w:t>Dirección de Infraestructura y Obras Públicas,</w:t>
      </w:r>
      <w:r w:rsidRPr="00EB03EB">
        <w:rPr>
          <w:rFonts w:ascii="Palatino Linotype" w:eastAsia="Palatino Linotype" w:hAnsi="Palatino Linotype" w:cs="Palatino Linotype"/>
          <w:i/>
          <w:sz w:val="22"/>
          <w:szCs w:val="22"/>
        </w:rPr>
        <w:t xml:space="preserve"> la atención y seguimiento de los asuntos siguientes:</w:t>
      </w:r>
    </w:p>
    <w:p w14:paraId="0D5A1692"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5420A5EC"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XIV. Proponer al Comité Interno de Obra los calendarios de procedimientos de licitación pública, invitación restringida y adjudicación directa, para obras públicas a financiar con recursos federales, estatales y municipales, </w:t>
      </w:r>
    </w:p>
    <w:p w14:paraId="038A2222"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XV. Convocar a Licitación Pública, adjudicando y contratando la obra pública y los servicios relacionados con la misma, informando de ello a la Dependencia Estatales involucradas; </w:t>
      </w:r>
    </w:p>
    <w:p w14:paraId="654C2C32"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XVI. Recibir y dar contestación a las solicitudes, que ingresa la Ciudadanía en materia de obra pública;</w:t>
      </w:r>
    </w:p>
    <w:p w14:paraId="36485CB2"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1118ED09"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044A39FB" w14:textId="77777777" w:rsidR="00426CAF" w:rsidRPr="00EB03EB" w:rsidRDefault="00B0335B">
      <w:pPr>
        <w:spacing w:line="360" w:lineRule="auto"/>
        <w:ind w:right="14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En el caso es de recordar que quien se pronunció sobre lo requerido fue la Tesorería Municipal y el Director del IMCUFIDE, la primera área quien de la información aportada para dar cumplimiento a la resolución dictada dentro del recurso de revisión 01194/INFOEM/IP/RR/2024, entregó en versión pública el contrato de la obra requerida que será objeto de análisis más adelante; y, la segunda área, quien en términos generales indicó que no realizó ninguna ejecución presupuestal con proveedores o constructora para la obra que refiere el particular.</w:t>
      </w:r>
    </w:p>
    <w:p w14:paraId="2E9EFF24"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24AEE152" w14:textId="77777777" w:rsidR="00426CAF" w:rsidRPr="00EB03EB" w:rsidRDefault="00B0335B">
      <w:pPr>
        <w:spacing w:line="360" w:lineRule="auto"/>
        <w:ind w:right="14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Asimismo, no escapa de la óptica de este Órgano Garante que de las constancias que obran en el expediente aperturado con motivo del presente medio de impugnación, se advierte que se entregaron oficios en los que el Titular de la Unidad de Transparencia requirió a la Dirección de Infraestructura y Obras Públicas en diversas ocasiones diera cumplimiento </w:t>
      </w:r>
      <w:r w:rsidRPr="00EB03EB">
        <w:rPr>
          <w:rFonts w:ascii="Palatino Linotype" w:eastAsia="Palatino Linotype" w:hAnsi="Palatino Linotype" w:cs="Palatino Linotype"/>
          <w:sz w:val="22"/>
          <w:szCs w:val="22"/>
        </w:rPr>
        <w:lastRenderedPageBreak/>
        <w:t>a la resolución dictada dentro del recurso de revisión 01194/INFOEM/IP/RR/2024, siendo esta última en dar atención a lo requerido.</w:t>
      </w:r>
    </w:p>
    <w:p w14:paraId="6406C713"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73101E42" w14:textId="77777777" w:rsidR="00426CAF" w:rsidRPr="00EB03EB" w:rsidRDefault="00B0335B">
      <w:pPr>
        <w:spacing w:line="360" w:lineRule="auto"/>
        <w:ind w:right="14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De lo anterior, se desprende que la Titular de la Unidad de Transparencia dio cumplimiento con el requisito de turnar la  solicitud de información a las unidades administrativas que conforme sus atribuciones pueden contar con la información requerida.</w:t>
      </w:r>
    </w:p>
    <w:p w14:paraId="4C65BB91"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75D99199" w14:textId="77777777" w:rsidR="00426CAF" w:rsidRPr="00EB03EB" w:rsidRDefault="00B0335B">
      <w:pPr>
        <w:widowControl w:val="0"/>
        <w:tabs>
          <w:tab w:val="left" w:pos="1701"/>
          <w:tab w:val="left" w:pos="1843"/>
        </w:tabs>
        <w:spacing w:line="360" w:lineRule="auto"/>
        <w:ind w:right="49"/>
        <w:jc w:val="both"/>
        <w:rPr>
          <w:sz w:val="22"/>
          <w:szCs w:val="22"/>
        </w:rPr>
      </w:pPr>
      <w:r w:rsidRPr="00EB03EB">
        <w:rPr>
          <w:rFonts w:ascii="Palatino Linotype" w:eastAsia="Palatino Linotype" w:hAnsi="Palatino Linotype" w:cs="Palatino Linotype"/>
          <w:sz w:val="22"/>
          <w:szCs w:val="22"/>
        </w:rPr>
        <w:t>Al efecto, el  procedimiento para la atención a las solicitudes de acceso a la información, establecido en los artículos 151, 159, 160, 162, 163, 164, 165 y 166, de la Ley de Transparencia y Acceso a la Información Pública del Estado de México y Municipios, es el siguiente:</w:t>
      </w:r>
    </w:p>
    <w:p w14:paraId="36B39850" w14:textId="77777777" w:rsidR="00426CAF" w:rsidRPr="00EB03EB" w:rsidRDefault="00426CAF">
      <w:pPr>
        <w:spacing w:line="360" w:lineRule="auto"/>
        <w:rPr>
          <w:sz w:val="22"/>
          <w:szCs w:val="22"/>
        </w:rPr>
      </w:pPr>
    </w:p>
    <w:p w14:paraId="22E706F6" w14:textId="77777777" w:rsidR="00426CAF" w:rsidRPr="00EB03EB" w:rsidRDefault="00B0335B">
      <w:pPr>
        <w:numPr>
          <w:ilvl w:val="0"/>
          <w:numId w:val="4"/>
        </w:numPr>
        <w:spacing w:line="276"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402D34D" w14:textId="77777777" w:rsidR="00426CAF" w:rsidRPr="00EB03EB" w:rsidRDefault="00426CAF">
      <w:pPr>
        <w:spacing w:line="276" w:lineRule="auto"/>
        <w:ind w:left="360"/>
        <w:jc w:val="both"/>
        <w:rPr>
          <w:rFonts w:ascii="Palatino Linotype" w:eastAsia="Palatino Linotype" w:hAnsi="Palatino Linotype" w:cs="Palatino Linotype"/>
          <w:sz w:val="22"/>
          <w:szCs w:val="22"/>
        </w:rPr>
      </w:pPr>
    </w:p>
    <w:p w14:paraId="4B70F2D6" w14:textId="77777777" w:rsidR="00426CAF" w:rsidRPr="00EB03EB" w:rsidRDefault="00B0335B">
      <w:pPr>
        <w:numPr>
          <w:ilvl w:val="0"/>
          <w:numId w:val="4"/>
        </w:numPr>
        <w:spacing w:line="276"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720C89E" w14:textId="77777777" w:rsidR="00426CAF" w:rsidRPr="00EB03EB" w:rsidRDefault="00426CAF">
      <w:pPr>
        <w:spacing w:line="276" w:lineRule="auto"/>
        <w:ind w:left="720"/>
        <w:rPr>
          <w:rFonts w:ascii="Palatino Linotype" w:eastAsia="Palatino Linotype" w:hAnsi="Palatino Linotype" w:cs="Palatino Linotype"/>
          <w:sz w:val="22"/>
          <w:szCs w:val="22"/>
        </w:rPr>
      </w:pPr>
    </w:p>
    <w:p w14:paraId="4FBD3D2C" w14:textId="77777777" w:rsidR="00426CAF" w:rsidRPr="00EB03EB" w:rsidRDefault="00B0335B">
      <w:pPr>
        <w:numPr>
          <w:ilvl w:val="0"/>
          <w:numId w:val="4"/>
        </w:numPr>
        <w:spacing w:line="276"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EB03EB">
        <w:rPr>
          <w:rFonts w:ascii="Palatino Linotype" w:eastAsia="Palatino Linotype" w:hAnsi="Palatino Linotype" w:cs="Palatino Linotype"/>
          <w:b/>
          <w:sz w:val="22"/>
          <w:szCs w:val="22"/>
        </w:rPr>
        <w:t>quince días, contados a partir del día siguiente a la presentación de ésta.</w:t>
      </w:r>
      <w:r w:rsidRPr="00EB03EB">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29E0B0C7" w14:textId="77777777" w:rsidR="00426CAF" w:rsidRPr="00EB03EB" w:rsidRDefault="00426CAF">
      <w:pPr>
        <w:spacing w:line="276" w:lineRule="auto"/>
        <w:ind w:left="720"/>
        <w:rPr>
          <w:rFonts w:ascii="Palatino Linotype" w:eastAsia="Palatino Linotype" w:hAnsi="Palatino Linotype" w:cs="Palatino Linotype"/>
          <w:sz w:val="22"/>
          <w:szCs w:val="22"/>
        </w:rPr>
      </w:pPr>
    </w:p>
    <w:p w14:paraId="2BEA9C6F" w14:textId="77777777" w:rsidR="00426CAF" w:rsidRPr="00EB03EB" w:rsidRDefault="00B0335B">
      <w:pPr>
        <w:numPr>
          <w:ilvl w:val="0"/>
          <w:numId w:val="4"/>
        </w:numPr>
        <w:spacing w:line="276" w:lineRule="auto"/>
        <w:jc w:val="both"/>
        <w:rPr>
          <w:rFonts w:ascii="Palatino Linotype" w:eastAsia="Palatino Linotype" w:hAnsi="Palatino Linotype" w:cs="Palatino Linotype"/>
          <w:b/>
          <w:sz w:val="22"/>
          <w:szCs w:val="22"/>
          <w:u w:val="single"/>
        </w:rPr>
      </w:pPr>
      <w:r w:rsidRPr="00EB03EB">
        <w:rPr>
          <w:rFonts w:ascii="Palatino Linotype" w:eastAsia="Palatino Linotype" w:hAnsi="Palatino Linotype" w:cs="Palatino Linotype"/>
          <w:b/>
          <w:sz w:val="22"/>
          <w:szCs w:val="22"/>
          <w:u w:val="single"/>
        </w:rPr>
        <w:lastRenderedPageBreak/>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2801581" w14:textId="77777777" w:rsidR="00426CAF" w:rsidRPr="00EB03EB" w:rsidRDefault="00426CAF">
      <w:pPr>
        <w:spacing w:line="276" w:lineRule="auto"/>
        <w:ind w:left="720"/>
        <w:rPr>
          <w:rFonts w:ascii="Palatino Linotype" w:eastAsia="Palatino Linotype" w:hAnsi="Palatino Linotype" w:cs="Palatino Linotype"/>
          <w:b/>
          <w:sz w:val="22"/>
          <w:szCs w:val="22"/>
          <w:u w:val="single"/>
        </w:rPr>
      </w:pPr>
    </w:p>
    <w:p w14:paraId="66C5E521" w14:textId="77777777" w:rsidR="00426CAF" w:rsidRPr="00EB03EB" w:rsidRDefault="00B0335B">
      <w:pPr>
        <w:numPr>
          <w:ilvl w:val="0"/>
          <w:numId w:val="4"/>
        </w:numPr>
        <w:spacing w:line="276"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0F41913" w14:textId="77777777" w:rsidR="00426CAF" w:rsidRPr="00EB03EB" w:rsidRDefault="00426CAF">
      <w:pPr>
        <w:spacing w:line="276" w:lineRule="auto"/>
        <w:ind w:left="360"/>
        <w:jc w:val="both"/>
        <w:rPr>
          <w:rFonts w:ascii="Palatino Linotype" w:eastAsia="Palatino Linotype" w:hAnsi="Palatino Linotype" w:cs="Palatino Linotype"/>
          <w:b/>
          <w:sz w:val="22"/>
          <w:szCs w:val="22"/>
        </w:rPr>
      </w:pPr>
    </w:p>
    <w:p w14:paraId="3F72D1EF" w14:textId="77777777" w:rsidR="00426CAF" w:rsidRPr="00EB03EB" w:rsidRDefault="00B0335B">
      <w:pPr>
        <w:numPr>
          <w:ilvl w:val="0"/>
          <w:numId w:val="4"/>
        </w:numPr>
        <w:spacing w:line="276"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32EC841C" w14:textId="77777777" w:rsidR="00426CAF" w:rsidRPr="00EB03EB" w:rsidRDefault="00426CAF">
      <w:pPr>
        <w:spacing w:line="360" w:lineRule="auto"/>
        <w:rPr>
          <w:sz w:val="22"/>
          <w:szCs w:val="22"/>
        </w:rPr>
      </w:pPr>
    </w:p>
    <w:p w14:paraId="3694E82F" w14:textId="77777777" w:rsidR="00426CAF" w:rsidRPr="00EB03EB" w:rsidRDefault="00B0335B">
      <w:pPr>
        <w:spacing w:line="360" w:lineRule="auto"/>
        <w:ind w:right="49"/>
        <w:jc w:val="both"/>
        <w:rPr>
          <w:rFonts w:ascii="Palatino Linotype" w:eastAsia="Palatino Linotype" w:hAnsi="Palatino Linotype" w:cs="Palatino Linotype"/>
          <w:b/>
          <w:sz w:val="22"/>
          <w:szCs w:val="22"/>
          <w:u w:val="single"/>
        </w:rPr>
      </w:pPr>
      <w:r w:rsidRPr="00EB03EB">
        <w:rPr>
          <w:rFonts w:ascii="Palatino Linotype" w:eastAsia="Palatino Linotype" w:hAnsi="Palatino Linotype" w:cs="Palatino Linotype"/>
          <w:sz w:val="22"/>
          <w:szCs w:val="22"/>
        </w:rPr>
        <w:t xml:space="preserve">En ese sentido, se tiene que, </w:t>
      </w:r>
      <w:r w:rsidRPr="00EB03EB">
        <w:rPr>
          <w:rFonts w:ascii="Palatino Linotype" w:eastAsia="Palatino Linotype" w:hAnsi="Palatino Linotype" w:cs="Palatino Linotype"/>
          <w:b/>
          <w:sz w:val="22"/>
          <w:szCs w:val="22"/>
          <w:u w:val="single"/>
        </w:rPr>
        <w:t>el procedimiento de búsqueda de la información se tiene por atendido.</w:t>
      </w:r>
    </w:p>
    <w:p w14:paraId="099C2DE4"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47993D00" w14:textId="77777777" w:rsidR="00426CAF" w:rsidRPr="00EB03EB" w:rsidRDefault="00B0335B">
      <w:pPr>
        <w:spacing w:line="360" w:lineRule="auto"/>
        <w:ind w:right="14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Sin embargo, no pasa por desapercibido que independientemente de que la Titular de la Unidad de Transparencia cumplió con su obligación de turnar la solicitud a las unidades administrativas competentes; en el presente asunto se observa que fueron los servidores públicos habilitados, quienes de acuerdo a lo manifestado por la Unidad de Transparencia, no atendieron cabalmente los requerimientos correspondientes.</w:t>
      </w:r>
    </w:p>
    <w:p w14:paraId="5CC5F32D"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310EFECF" w14:textId="77777777" w:rsidR="00426CAF" w:rsidRPr="00EB03EB" w:rsidRDefault="00B0335B">
      <w:pPr>
        <w:spacing w:line="360" w:lineRule="auto"/>
        <w:ind w:right="14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De esta manera, es a través de la presente que se exhorta a los servidores públicos habilitados competentes, que en lo subsecuente atiendan las disposiciones establecidas en la ley en la materia, en tiempo y forma.</w:t>
      </w:r>
    </w:p>
    <w:p w14:paraId="27520F89" w14:textId="77777777" w:rsidR="00426CAF" w:rsidRPr="00EB03EB" w:rsidRDefault="00426CAF">
      <w:pPr>
        <w:spacing w:line="360" w:lineRule="auto"/>
        <w:ind w:right="141"/>
        <w:jc w:val="both"/>
        <w:rPr>
          <w:rFonts w:ascii="Palatino Linotype" w:eastAsia="Palatino Linotype" w:hAnsi="Palatino Linotype" w:cs="Palatino Linotype"/>
          <w:sz w:val="22"/>
          <w:szCs w:val="22"/>
        </w:rPr>
      </w:pPr>
    </w:p>
    <w:p w14:paraId="122AC76D" w14:textId="77777777" w:rsidR="00426CAF" w:rsidRPr="00EB03EB" w:rsidRDefault="00B0335B">
      <w:pPr>
        <w:tabs>
          <w:tab w:val="left" w:pos="851"/>
        </w:tabs>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Acotado lo anterior, en el caso es de recordar que en el presente asunto fue la Tesorería Municipal, quien para efecto de colmar la solicitud de información medularmente entregó lo siguiente:</w:t>
      </w:r>
    </w:p>
    <w:p w14:paraId="0E314D1C"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1467DA9B" w14:textId="77777777" w:rsidR="00426CAF" w:rsidRPr="00EB03EB" w:rsidRDefault="00B0335B">
      <w:pPr>
        <w:numPr>
          <w:ilvl w:val="0"/>
          <w:numId w:val="2"/>
        </w:numPr>
        <w:pBdr>
          <w:top w:val="nil"/>
          <w:left w:val="nil"/>
          <w:bottom w:val="nil"/>
          <w:right w:val="nil"/>
          <w:between w:val="nil"/>
        </w:pBdr>
        <w:tabs>
          <w:tab w:val="left" w:pos="851"/>
        </w:tabs>
        <w:spacing w:line="276" w:lineRule="auto"/>
        <w:jc w:val="both"/>
        <w:rPr>
          <w:rFonts w:ascii="Palatino Linotype" w:eastAsia="Palatino Linotype" w:hAnsi="Palatino Linotype" w:cs="Palatino Linotype"/>
          <w:b/>
          <w:sz w:val="22"/>
          <w:szCs w:val="22"/>
          <w:u w:val="single"/>
        </w:rPr>
      </w:pPr>
      <w:r w:rsidRPr="00EB03EB">
        <w:rPr>
          <w:rFonts w:ascii="Palatino Linotype" w:eastAsia="Palatino Linotype" w:hAnsi="Palatino Linotype" w:cs="Palatino Linotype"/>
          <w:sz w:val="22"/>
          <w:szCs w:val="22"/>
        </w:rPr>
        <w:t xml:space="preserve">Informó que el nombre correcto de la obra citada en la solicitud de información es: Rehabilitación del Parque Recreativo y Deportivo “La Venta” (Primera Etapa), ubicada en Manuel Altamirano, Colonia La Venta, Ixtapaluca, Estado de México; y, que en tal virtud se remitía el contrato de la obra en mención, </w:t>
      </w:r>
      <w:r w:rsidRPr="00EB03EB">
        <w:rPr>
          <w:rFonts w:ascii="Palatino Linotype" w:eastAsia="Palatino Linotype" w:hAnsi="Palatino Linotype" w:cs="Palatino Linotype"/>
          <w:b/>
          <w:sz w:val="22"/>
          <w:szCs w:val="22"/>
          <w:u w:val="single"/>
        </w:rPr>
        <w:t>señalando que no existen anexos.</w:t>
      </w:r>
    </w:p>
    <w:p w14:paraId="6F3A1EF5" w14:textId="77777777" w:rsidR="00426CAF" w:rsidRPr="00EB03EB" w:rsidRDefault="00426CAF">
      <w:pPr>
        <w:pBdr>
          <w:top w:val="nil"/>
          <w:left w:val="nil"/>
          <w:bottom w:val="nil"/>
          <w:right w:val="nil"/>
          <w:between w:val="nil"/>
        </w:pBdr>
        <w:tabs>
          <w:tab w:val="left" w:pos="851"/>
        </w:tabs>
        <w:spacing w:line="276" w:lineRule="auto"/>
        <w:ind w:left="360"/>
        <w:jc w:val="both"/>
        <w:rPr>
          <w:rFonts w:ascii="Palatino Linotype" w:eastAsia="Palatino Linotype" w:hAnsi="Palatino Linotype" w:cs="Palatino Linotype"/>
          <w:b/>
          <w:sz w:val="22"/>
          <w:szCs w:val="22"/>
          <w:u w:val="single"/>
        </w:rPr>
      </w:pPr>
    </w:p>
    <w:p w14:paraId="23C2951E" w14:textId="77777777" w:rsidR="00426CAF" w:rsidRPr="00EB03EB" w:rsidRDefault="00B0335B">
      <w:pPr>
        <w:numPr>
          <w:ilvl w:val="0"/>
          <w:numId w:val="2"/>
        </w:numPr>
        <w:pBdr>
          <w:top w:val="nil"/>
          <w:left w:val="nil"/>
          <w:bottom w:val="nil"/>
          <w:right w:val="nil"/>
          <w:between w:val="nil"/>
        </w:pBdr>
        <w:tabs>
          <w:tab w:val="left" w:pos="851"/>
        </w:tabs>
        <w:spacing w:line="276"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Se entregó en versión pública, </w:t>
      </w:r>
      <w:r w:rsidRPr="00EB03EB">
        <w:rPr>
          <w:rFonts w:ascii="Palatino Linotype" w:eastAsia="Palatino Linotype" w:hAnsi="Palatino Linotype" w:cs="Palatino Linotype"/>
          <w:b/>
          <w:sz w:val="22"/>
          <w:szCs w:val="22"/>
        </w:rPr>
        <w:t>el contrato de obra pública sobre la base de precios unitarios y tiempo determinado número IXTA/DIOP/FORTAMUN/LPN/007/2023, número de obra FORTAMUN-007, folio SIAVAMEN: 62044, del veinticinco de mayo de dos mil veintitrés,</w:t>
      </w:r>
      <w:r w:rsidRPr="00EB03EB">
        <w:rPr>
          <w:rFonts w:ascii="Palatino Linotype" w:eastAsia="Palatino Linotype" w:hAnsi="Palatino Linotype" w:cs="Palatino Linotype"/>
          <w:sz w:val="22"/>
          <w:szCs w:val="22"/>
        </w:rPr>
        <w:t xml:space="preserve"> celebrado entre el Ayuntamiento de Ixtapaluca, representado por el Presidente Municipal, Secretario del Ayuntamiento, Director de Administración y Finanzas y el Director de Infraestructura y Obras Públicas, en su calidad de “Contratante”, y una empresa contratista; </w:t>
      </w:r>
      <w:r w:rsidRPr="00EB03EB">
        <w:rPr>
          <w:rFonts w:ascii="Palatino Linotype" w:eastAsia="Palatino Linotype" w:hAnsi="Palatino Linotype" w:cs="Palatino Linotype"/>
          <w:b/>
          <w:sz w:val="22"/>
          <w:szCs w:val="22"/>
        </w:rPr>
        <w:t>documento que no colma el requerimiento relativo al contrato de la obra pública indicada en la solicitud de información, en virtud de que la versión pública no es correcta, al haberse testado información de índole pública, y por omitir la entrega del acuerdo del Comité de Transparencia que sustenta la misma.</w:t>
      </w:r>
    </w:p>
    <w:p w14:paraId="7ADF59F7"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658B502A" w14:textId="77777777" w:rsidR="00426CAF" w:rsidRPr="00EB03EB" w:rsidRDefault="00B0335B">
      <w:pPr>
        <w:tabs>
          <w:tab w:val="left" w:pos="851"/>
        </w:tabs>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De lo anterior, se advierte que el nombre correcto de la obra de la que el particular requiere la información es </w:t>
      </w:r>
      <w:r w:rsidRPr="00EB03EB">
        <w:rPr>
          <w:rFonts w:ascii="Palatino Linotype" w:eastAsia="Palatino Linotype" w:hAnsi="Palatino Linotype" w:cs="Palatino Linotype"/>
          <w:b/>
          <w:i/>
          <w:sz w:val="22"/>
          <w:szCs w:val="22"/>
        </w:rPr>
        <w:t>“Rehabilitación del Parque Recreativo y Deportivo “La Venta” (Primera Etapa), ubicada en Manuel Altamirano, Colonia La Venta, Ixtapaluca, Estado de México”</w:t>
      </w:r>
      <w:r w:rsidRPr="00EB03EB">
        <w:rPr>
          <w:rFonts w:ascii="Palatino Linotype" w:eastAsia="Palatino Linotype" w:hAnsi="Palatino Linotype" w:cs="Palatino Linotype"/>
          <w:sz w:val="22"/>
          <w:szCs w:val="22"/>
        </w:rPr>
        <w:t>; la cual, para efectos del cumplimiento que se ordene a través de la presente se tomará como la denominación correcta de la obra pública de la cual el particular pretende acceder a diversa información.</w:t>
      </w:r>
    </w:p>
    <w:p w14:paraId="2C8F49A1"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10086E52" w14:textId="77777777" w:rsidR="00426CAF" w:rsidRPr="00EB03EB" w:rsidRDefault="00B0335B">
      <w:pPr>
        <w:tabs>
          <w:tab w:val="left" w:pos="851"/>
        </w:tabs>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lastRenderedPageBreak/>
        <w:t xml:space="preserve">Ahora, sobre el requerimiento analizado bajo el numeral </w:t>
      </w:r>
      <w:r w:rsidRPr="00EB03EB">
        <w:rPr>
          <w:rFonts w:ascii="Palatino Linotype" w:eastAsia="Palatino Linotype" w:hAnsi="Palatino Linotype" w:cs="Palatino Linotype"/>
          <w:b/>
          <w:sz w:val="22"/>
          <w:szCs w:val="22"/>
        </w:rPr>
        <w:t xml:space="preserve">3 </w:t>
      </w:r>
      <w:r w:rsidRPr="00EB03EB">
        <w:rPr>
          <w:rFonts w:ascii="Palatino Linotype" w:eastAsia="Palatino Linotype" w:hAnsi="Palatino Linotype" w:cs="Palatino Linotype"/>
          <w:sz w:val="22"/>
          <w:szCs w:val="22"/>
        </w:rPr>
        <w:t>relativo a “</w:t>
      </w:r>
      <w:r w:rsidRPr="00EB03EB">
        <w:rPr>
          <w:rFonts w:ascii="Palatino Linotype" w:eastAsia="Palatino Linotype" w:hAnsi="Palatino Linotype" w:cs="Palatino Linotype"/>
          <w:b/>
          <w:i/>
          <w:sz w:val="22"/>
          <w:szCs w:val="22"/>
        </w:rPr>
        <w:t>contrato y sus anexos</w:t>
      </w:r>
      <w:r w:rsidRPr="00EB03EB">
        <w:rPr>
          <w:rFonts w:ascii="Palatino Linotype" w:eastAsia="Palatino Linotype" w:hAnsi="Palatino Linotype" w:cs="Palatino Linotype"/>
          <w:sz w:val="22"/>
          <w:szCs w:val="22"/>
        </w:rPr>
        <w:t>”; se tiene por atendido parcialmente, por lo siguiente:</w:t>
      </w:r>
    </w:p>
    <w:p w14:paraId="2E7D088C" w14:textId="77777777" w:rsidR="00426CAF" w:rsidRPr="00EB03EB" w:rsidRDefault="00426CAF">
      <w:pPr>
        <w:tabs>
          <w:tab w:val="left" w:pos="851"/>
        </w:tabs>
        <w:spacing w:line="360" w:lineRule="auto"/>
        <w:jc w:val="both"/>
        <w:rPr>
          <w:rFonts w:ascii="Palatino Linotype" w:eastAsia="Palatino Linotype" w:hAnsi="Palatino Linotype" w:cs="Palatino Linotype"/>
          <w:strike/>
          <w:sz w:val="22"/>
          <w:szCs w:val="22"/>
        </w:rPr>
      </w:pPr>
    </w:p>
    <w:p w14:paraId="0DBDA4A6" w14:textId="77777777" w:rsidR="00426CAF" w:rsidRPr="00EB03EB" w:rsidRDefault="00B0335B">
      <w:pPr>
        <w:tabs>
          <w:tab w:val="left" w:pos="851"/>
        </w:tabs>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En primer lugar, del análisis integral al contrato entregado, no se advierte que el mismo hubiera sido firmado por los contratantes con anexos; situación que hace patente con lo informado por la Tesorería Municipal, cuyo titular en su respuesta señaló que no existían anexos al mismo.</w:t>
      </w:r>
    </w:p>
    <w:p w14:paraId="3F623A37"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36601584" w14:textId="77777777" w:rsidR="00426CAF" w:rsidRPr="00EB03EB" w:rsidRDefault="00B0335B">
      <w:pPr>
        <w:tabs>
          <w:tab w:val="left" w:pos="851"/>
        </w:tabs>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Por lo tanto, resulta dable tener por atendido el requerimiento relativo a los anexos del contrato de la obra pública referida por el particular.</w:t>
      </w:r>
    </w:p>
    <w:p w14:paraId="1F263203"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17595464" w14:textId="77777777" w:rsidR="00426CAF" w:rsidRPr="00EB03EB" w:rsidRDefault="00B0335B">
      <w:pPr>
        <w:tabs>
          <w:tab w:val="left" w:pos="851"/>
        </w:tabs>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Además como se hizo mención, el contrato fue entregado en una incorrecta versión pública, ya que se testó información de índole pública, y se omitió la entrega del acuerdo del Comité de Transparencia que sustenta la misma, como se analizará a continuación:</w:t>
      </w:r>
    </w:p>
    <w:p w14:paraId="590735C0"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04A5F426" w14:textId="77777777" w:rsidR="00426CAF" w:rsidRPr="00EB03EB" w:rsidRDefault="00B0335B">
      <w:pPr>
        <w:spacing w:line="360" w:lineRule="auto"/>
        <w:ind w:right="5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Al respecto, este Organismo Garante considera oportuno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6D9410C5"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45453E5"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Artículo 91. </w:t>
      </w:r>
      <w:r w:rsidRPr="00EB03E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2235B79"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178FE48"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w:t>
      </w:r>
      <w:r w:rsidRPr="00EB03EB">
        <w:rPr>
          <w:rFonts w:ascii="Palatino Linotype" w:eastAsia="Palatino Linotype" w:hAnsi="Palatino Linotype" w:cs="Palatino Linotype"/>
          <w:b/>
          <w:sz w:val="22"/>
          <w:szCs w:val="22"/>
        </w:rPr>
        <w:t xml:space="preserve">información confidencial, </w:t>
      </w:r>
      <w:r w:rsidRPr="00EB03EB">
        <w:rPr>
          <w:rFonts w:ascii="Palatino Linotype" w:eastAsia="Palatino Linotype" w:hAnsi="Palatino Linotype" w:cs="Palatino Linotype"/>
          <w:sz w:val="22"/>
          <w:szCs w:val="22"/>
        </w:rPr>
        <w:t xml:space="preserve">la que se refiera a la información privada y los datos personales concernientes a una persona física o </w:t>
      </w:r>
      <w:r w:rsidRPr="00EB03EB">
        <w:rPr>
          <w:rFonts w:ascii="Palatino Linotype" w:eastAsia="Palatino Linotype" w:hAnsi="Palatino Linotype" w:cs="Palatino Linotype"/>
          <w:sz w:val="22"/>
          <w:szCs w:val="22"/>
        </w:rPr>
        <w:lastRenderedPageBreak/>
        <w:t>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49BFFB61"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651B8F61" w14:textId="77777777" w:rsidR="00426CAF" w:rsidRPr="00EB03EB" w:rsidRDefault="00B0335B">
      <w:pPr>
        <w:tabs>
          <w:tab w:val="left" w:pos="851"/>
        </w:tabs>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De manera que, la Ley de Transparencia y Acceso a la Información Pública del Estado de México y Municipios, en su artículo 143 prevé los siguientes supuestos para clasificar la información como confidencial:</w:t>
      </w:r>
    </w:p>
    <w:p w14:paraId="6D585F97"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2581E83"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Artículo 143. </w:t>
      </w:r>
      <w:r w:rsidRPr="00EB03EB">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39976EC4"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I. </w:t>
      </w:r>
      <w:r w:rsidRPr="00EB03EB">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18133B1"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II. </w:t>
      </w:r>
      <w:r w:rsidRPr="00EB03EB">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54A8C2A6"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III. </w:t>
      </w:r>
      <w:r w:rsidRPr="00EB03EB">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694040BB"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10036D9"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04518C4" w14:textId="77777777" w:rsidR="00426CAF" w:rsidRPr="00EB03EB" w:rsidRDefault="00B0335B">
      <w:pPr>
        <w:pBdr>
          <w:top w:val="nil"/>
          <w:left w:val="nil"/>
          <w:bottom w:val="nil"/>
          <w:right w:val="nil"/>
          <w:between w:val="nil"/>
        </w:pBdr>
        <w:tabs>
          <w:tab w:val="left" w:pos="6222"/>
        </w:tabs>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ab/>
      </w:r>
    </w:p>
    <w:p w14:paraId="55D413A8"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40308EB"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437A06FF" w14:textId="77777777" w:rsidR="00426CAF" w:rsidRPr="00EB03EB" w:rsidRDefault="00B0335B">
      <w:pPr>
        <w:numPr>
          <w:ilvl w:val="0"/>
          <w:numId w:val="6"/>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Se reciba una solicitud de acceso a la información;</w:t>
      </w:r>
    </w:p>
    <w:p w14:paraId="3B6B467E" w14:textId="77777777" w:rsidR="00426CAF" w:rsidRPr="00EB03EB" w:rsidRDefault="00B0335B">
      <w:pPr>
        <w:numPr>
          <w:ilvl w:val="0"/>
          <w:numId w:val="6"/>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Se determine mediante resolución de autoridad competente; y/o</w:t>
      </w:r>
    </w:p>
    <w:p w14:paraId="1D7C3228" w14:textId="77777777" w:rsidR="00426CAF" w:rsidRPr="00EB03EB" w:rsidRDefault="00B0335B">
      <w:pPr>
        <w:numPr>
          <w:ilvl w:val="0"/>
          <w:numId w:val="6"/>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lastRenderedPageBreak/>
        <w:t>Se generen versiones públicas para dar cumplimiento a las obligaciones de transparencia previstas en la Ley.</w:t>
      </w:r>
    </w:p>
    <w:p w14:paraId="409CEEF7" w14:textId="77777777" w:rsidR="00426CAF" w:rsidRPr="00EB03EB" w:rsidRDefault="00426CAF">
      <w:pPr>
        <w:tabs>
          <w:tab w:val="left" w:pos="851"/>
        </w:tabs>
        <w:spacing w:line="360" w:lineRule="auto"/>
        <w:ind w:left="567"/>
        <w:jc w:val="both"/>
        <w:rPr>
          <w:rFonts w:ascii="Palatino Linotype" w:eastAsia="Palatino Linotype" w:hAnsi="Palatino Linotype" w:cs="Palatino Linotype"/>
          <w:sz w:val="22"/>
          <w:szCs w:val="22"/>
        </w:rPr>
      </w:pPr>
    </w:p>
    <w:p w14:paraId="5F8849AD" w14:textId="77777777" w:rsidR="00426CAF" w:rsidRPr="00EB03EB" w:rsidRDefault="00B0335B">
      <w:pPr>
        <w:spacing w:line="360" w:lineRule="auto"/>
        <w:ind w:right="5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En ese sentido, es de precisar que la clasificación de la información no se da por el simple mandato de la ley, sino que es necesario que el</w:t>
      </w:r>
      <w:r w:rsidRPr="00EB03EB">
        <w:rPr>
          <w:rFonts w:ascii="Palatino Linotype" w:eastAsia="Palatino Linotype" w:hAnsi="Palatino Linotype" w:cs="Palatino Linotype"/>
          <w:b/>
          <w:sz w:val="22"/>
          <w:szCs w:val="22"/>
        </w:rPr>
        <w:t xml:space="preserve"> Sujeto Obligado,</w:t>
      </w:r>
      <w:r w:rsidRPr="00EB03EB">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0A7F6AC9"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5305AF0"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Artículo 59. Los servidores públicos habilitados tendrán las funciones siguientes:</w:t>
      </w:r>
    </w:p>
    <w:p w14:paraId="3B1D92B0"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78913A2F"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76720B84"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1030BD1E"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8D3EC9C"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Artículo 53. Las Unidades de Transparencia tendrán las siguientes funciones:</w:t>
      </w:r>
    </w:p>
    <w:p w14:paraId="3528E5CE"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7D04CE19"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X. Presentar ante el Comité, el proyecto de clasificación de información;</w:t>
      </w:r>
    </w:p>
    <w:p w14:paraId="3C63931D"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 </w:t>
      </w:r>
    </w:p>
    <w:p w14:paraId="530F86F1"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15B8A95D"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Artículo 49. Los Comités de Transparencia tendrán las siguientes atribuciones:</w:t>
      </w:r>
    </w:p>
    <w:p w14:paraId="68461825"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64192898"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II. Confirmar, modificar o revocar las determinaciones que en materia de ampliación del plazo de respuesta, clasificación de la información y declaración </w:t>
      </w:r>
      <w:r w:rsidRPr="00EB03EB">
        <w:rPr>
          <w:rFonts w:ascii="Palatino Linotype" w:eastAsia="Palatino Linotype" w:hAnsi="Palatino Linotype" w:cs="Palatino Linotype"/>
          <w:i/>
          <w:sz w:val="22"/>
          <w:szCs w:val="22"/>
        </w:rPr>
        <w:lastRenderedPageBreak/>
        <w:t>de inexistencia o de incompetencia realicen los titulares de las áreas de los sujetos obligados;</w:t>
      </w:r>
    </w:p>
    <w:p w14:paraId="3437314D"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446B27E5"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VIII. Aprobar, modificar o revocar la clasificación de la información;</w:t>
      </w:r>
    </w:p>
    <w:p w14:paraId="5DE65C9F" w14:textId="77777777" w:rsidR="00426CAF" w:rsidRPr="00EB03EB" w:rsidRDefault="00B0335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697C3732" w14:textId="77777777" w:rsidR="00426CAF" w:rsidRPr="00EB03EB" w:rsidRDefault="00426CA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D5E6788"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Bajo tales consideraciones, este Organismo Garante no omite señalar que, si 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EB03EB">
        <w:rPr>
          <w:rFonts w:ascii="Palatino Linotype" w:eastAsia="Palatino Linotype" w:hAnsi="Palatino Linotype" w:cs="Palatino Linotype"/>
          <w:b/>
          <w:sz w:val="22"/>
          <w:szCs w:val="22"/>
        </w:rPr>
        <w:t xml:space="preserve"> </w:t>
      </w:r>
      <w:r w:rsidRPr="00EB03EB">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09B6BB9A"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247CBB3" w14:textId="77777777" w:rsidR="00426CAF" w:rsidRPr="00EB03EB" w:rsidRDefault="00B0335B">
      <w:pPr>
        <w:spacing w:line="360" w:lineRule="auto"/>
        <w:ind w:right="5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w:t>
      </w:r>
      <w:r w:rsidRPr="00EB03EB">
        <w:rPr>
          <w:rFonts w:ascii="Palatino Linotype" w:eastAsia="Palatino Linotype" w:hAnsi="Palatino Linotype" w:cs="Palatino Linotype"/>
          <w:b/>
          <w:sz w:val="22"/>
          <w:szCs w:val="22"/>
        </w:rPr>
        <w:t>confidencial,</w:t>
      </w:r>
      <w:r w:rsidRPr="00EB03EB">
        <w:rPr>
          <w:rFonts w:ascii="Palatino Linotype" w:eastAsia="Palatino Linotype" w:hAnsi="Palatino Linotype" w:cs="Palatino Linotype"/>
          <w:sz w:val="22"/>
          <w:szCs w:val="22"/>
        </w:rPr>
        <w:t xml:space="preserve"> de manera total o </w:t>
      </w:r>
      <w:r w:rsidRPr="00EB03EB">
        <w:rPr>
          <w:rFonts w:ascii="Palatino Linotype" w:eastAsia="Palatino Linotype" w:hAnsi="Palatino Linotype" w:cs="Palatino Linotype"/>
          <w:b/>
          <w:sz w:val="22"/>
          <w:szCs w:val="22"/>
        </w:rPr>
        <w:t xml:space="preserve">parcial </w:t>
      </w:r>
      <w:r w:rsidRPr="00EB03EB">
        <w:rPr>
          <w:rFonts w:ascii="Palatino Linotype" w:eastAsia="Palatino Linotype" w:hAnsi="Palatino Linotype" w:cs="Palatino Linotype"/>
          <w:sz w:val="22"/>
          <w:szCs w:val="22"/>
        </w:rPr>
        <w:t xml:space="preserve">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w:t>
      </w:r>
      <w:r w:rsidRPr="00EB03EB">
        <w:rPr>
          <w:rFonts w:ascii="Palatino Linotype" w:eastAsia="Palatino Linotype" w:hAnsi="Palatino Linotype" w:cs="Palatino Linotype"/>
          <w:b/>
          <w:sz w:val="22"/>
          <w:szCs w:val="22"/>
          <w:u w:val="single"/>
        </w:rPr>
        <w:t>de igual forma en dicho acuerdo se deben exponer de manera clara los fundamentos y razones que llevaron a la autoridad a clasificar la información de acuerdo con lo establecido en el artículo 149 de la Ley de la materia,</w:t>
      </w:r>
      <w:r w:rsidRPr="00EB03EB">
        <w:rPr>
          <w:rFonts w:ascii="Palatino Linotype" w:eastAsia="Palatino Linotype" w:hAnsi="Palatino Linotype" w:cs="Palatino Linotype"/>
          <w:sz w:val="22"/>
          <w:szCs w:val="22"/>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75E7A2D" w14:textId="77777777" w:rsidR="00426CAF" w:rsidRPr="00EB03EB" w:rsidRDefault="00426CA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E81FC9E" w14:textId="77777777" w:rsidR="00426CAF" w:rsidRPr="00EB03EB" w:rsidRDefault="00B0335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No obstante, lo anterior, si bien por el tipo de documento requerido por la persona solicitante, por su naturaleza puede contener datos personales susceptibles de protegerse mediante una </w:t>
      </w:r>
      <w:r w:rsidRPr="00EB03EB">
        <w:rPr>
          <w:rFonts w:ascii="Palatino Linotype" w:eastAsia="Palatino Linotype" w:hAnsi="Palatino Linotype" w:cs="Palatino Linotype"/>
          <w:sz w:val="22"/>
          <w:szCs w:val="22"/>
        </w:rPr>
        <w:lastRenderedPageBreak/>
        <w:t xml:space="preserve">clasificación parcial de la información contenida en el mismo, en el caso, </w:t>
      </w:r>
      <w:r w:rsidRPr="00EB03EB">
        <w:rPr>
          <w:rFonts w:ascii="Palatino Linotype" w:eastAsia="Palatino Linotype" w:hAnsi="Palatino Linotype" w:cs="Palatino Linotype"/>
          <w:b/>
          <w:sz w:val="22"/>
          <w:szCs w:val="22"/>
        </w:rPr>
        <w:t xml:space="preserve">resulta relevante analizar la versión pública del contrato entregado por el Sujeto Obligado con la finalidad de dar cumplimiento a la resolución emitida dentro del recurso de revisión 01194/INFOEM/IP/RR/2024; </w:t>
      </w:r>
      <w:r w:rsidRPr="00EB03EB">
        <w:rPr>
          <w:rFonts w:ascii="Palatino Linotype" w:eastAsia="Palatino Linotype" w:hAnsi="Palatino Linotype" w:cs="Palatino Linotype"/>
          <w:sz w:val="22"/>
          <w:szCs w:val="22"/>
        </w:rPr>
        <w:t>pues aún y cuando el mismo se relaciona con lo peticionado por la persona solicitante, de su análisis se advierte que se eliminaron datos públicos.</w:t>
      </w:r>
    </w:p>
    <w:p w14:paraId="3BC5254C" w14:textId="77777777" w:rsidR="00426CAF" w:rsidRPr="00EB03EB" w:rsidRDefault="00426CAF">
      <w:pPr>
        <w:spacing w:line="360" w:lineRule="auto"/>
        <w:ind w:right="-91"/>
        <w:jc w:val="both"/>
        <w:rPr>
          <w:rFonts w:ascii="Palatino Linotype" w:eastAsia="Palatino Linotype" w:hAnsi="Palatino Linotype" w:cs="Palatino Linotype"/>
          <w:sz w:val="22"/>
          <w:szCs w:val="22"/>
        </w:rPr>
      </w:pPr>
    </w:p>
    <w:p w14:paraId="15349DAB"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tal sentido, se procede a </w:t>
      </w:r>
      <w:r w:rsidRPr="00EB03EB">
        <w:rPr>
          <w:rFonts w:ascii="Palatino Linotype" w:eastAsia="Palatino Linotype" w:hAnsi="Palatino Linotype" w:cs="Palatino Linotype"/>
          <w:b/>
          <w:sz w:val="22"/>
          <w:szCs w:val="22"/>
        </w:rPr>
        <w:t>analizar si los datos testados actualizan la clasificación o no, para que en cumplimiento a la presente resolución se remita en una correcta versión pública acompañada del acuerdo de clasificación emitido por el Comité de Transparencia.</w:t>
      </w:r>
    </w:p>
    <w:p w14:paraId="1E91606C"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4A2CC4A8" w14:textId="77777777" w:rsidR="00426CAF" w:rsidRPr="00EB03EB" w:rsidRDefault="00B0335B">
      <w:pPr>
        <w:numPr>
          <w:ilvl w:val="0"/>
          <w:numId w:val="5"/>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La denominación o razón social de la persona moral contratista, su Registro Federal de Contribuyentes, domicilio fiscal, así como el nombre, firma y rúbrica de su Representante Legal o Administrador Único:</w:t>
      </w:r>
    </w:p>
    <w:p w14:paraId="32814E6D"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25AA8CEE" w14:textId="77777777" w:rsidR="00426CAF" w:rsidRPr="00EB03EB" w:rsidRDefault="00B0335B">
      <w:pPr>
        <w:spacing w:line="360" w:lineRule="auto"/>
        <w:ind w:right="5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Por cuanto hace al </w:t>
      </w:r>
      <w:r w:rsidRPr="00EB03EB">
        <w:rPr>
          <w:rFonts w:ascii="Palatino Linotype" w:eastAsia="Palatino Linotype" w:hAnsi="Palatino Linotype" w:cs="Palatino Linotype"/>
          <w:b/>
          <w:sz w:val="22"/>
          <w:szCs w:val="22"/>
        </w:rPr>
        <w:t xml:space="preserve">Registro Federal de Contribuyentes (RFC) </w:t>
      </w:r>
      <w:r w:rsidRPr="00EB03EB">
        <w:rPr>
          <w:rFonts w:ascii="Palatino Linotype" w:eastAsia="Palatino Linotype" w:hAnsi="Palatino Linotype" w:cs="Palatino Linotype"/>
          <w:sz w:val="22"/>
          <w:szCs w:val="22"/>
        </w:rPr>
        <w:t>y</w:t>
      </w:r>
      <w:r w:rsidRPr="00EB03EB">
        <w:rPr>
          <w:rFonts w:ascii="Palatino Linotype" w:eastAsia="Palatino Linotype" w:hAnsi="Palatino Linotype" w:cs="Palatino Linotype"/>
          <w:b/>
          <w:sz w:val="22"/>
          <w:szCs w:val="22"/>
        </w:rPr>
        <w:t xml:space="preserve"> el domicilio fiscal </w:t>
      </w:r>
      <w:r w:rsidRPr="00EB03EB">
        <w:rPr>
          <w:rFonts w:ascii="Palatino Linotype" w:eastAsia="Palatino Linotype" w:hAnsi="Palatino Linotype" w:cs="Palatino Linotype"/>
          <w:sz w:val="22"/>
          <w:szCs w:val="22"/>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1AED5E6E"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1F4C5EE1" w14:textId="77777777" w:rsidR="00426CAF" w:rsidRPr="00EB03EB" w:rsidRDefault="00B0335B">
      <w:pPr>
        <w:spacing w:line="360" w:lineRule="auto"/>
        <w:ind w:right="5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w:t>
      </w:r>
      <w:r w:rsidRPr="00EB03EB">
        <w:rPr>
          <w:rFonts w:ascii="Palatino Linotype" w:eastAsia="Palatino Linotype" w:hAnsi="Palatino Linotype" w:cs="Palatino Linotype"/>
          <w:sz w:val="22"/>
          <w:szCs w:val="22"/>
        </w:rPr>
        <w:lastRenderedPageBreak/>
        <w:t>encuentran su origen en mayor medida en las contribuciones aportados por los gobernados, por lo que debe transparentarse su ejercicio.</w:t>
      </w:r>
    </w:p>
    <w:p w14:paraId="4FE0AB10"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790F7008" w14:textId="77777777" w:rsidR="00426CAF" w:rsidRPr="00EB03EB" w:rsidRDefault="00B0335B">
      <w:pPr>
        <w:spacing w:line="360" w:lineRule="auto"/>
        <w:ind w:right="5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Además, 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6049E056"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0D301FA2"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Robustece lo anterior el criterio de interpretación reiterado vigente con clave de control SO/008/2019 emitido por el Instituto Nacional de Transparencia, Acceso a la Información y Protección de Datos Personales, INAI, el cual refiere:</w:t>
      </w:r>
    </w:p>
    <w:p w14:paraId="0A3A3BE8" w14:textId="77777777" w:rsidR="00426CAF" w:rsidRPr="00EB03EB" w:rsidRDefault="00426CAF">
      <w:pPr>
        <w:spacing w:line="276" w:lineRule="auto"/>
        <w:ind w:left="567" w:right="567"/>
        <w:jc w:val="both"/>
        <w:rPr>
          <w:rFonts w:ascii="Palatino Linotype" w:eastAsia="Palatino Linotype" w:hAnsi="Palatino Linotype" w:cs="Palatino Linotype"/>
          <w:b/>
          <w:i/>
          <w:sz w:val="22"/>
          <w:szCs w:val="22"/>
        </w:rPr>
      </w:pPr>
    </w:p>
    <w:p w14:paraId="7718F3A4" w14:textId="77777777" w:rsidR="00426CAF" w:rsidRPr="00EB03EB" w:rsidRDefault="00B0335B">
      <w:pPr>
        <w:spacing w:line="276" w:lineRule="auto"/>
        <w:ind w:left="567" w:righ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“Razón social y RFC de personas morales. </w:t>
      </w:r>
      <w:r w:rsidRPr="00EB03EB">
        <w:rPr>
          <w:rFonts w:ascii="Palatino Linotype" w:eastAsia="Palatino Linotype" w:hAnsi="Palatino Linotype" w:cs="Palatino Linotype"/>
          <w:i/>
          <w:sz w:val="22"/>
          <w:szCs w:val="22"/>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1347DBE8"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46CC1A63" w14:textId="77777777" w:rsidR="00426CAF" w:rsidRPr="00EB03EB" w:rsidRDefault="00B0335B">
      <w:pPr>
        <w:spacing w:line="360" w:lineRule="auto"/>
        <w:ind w:right="5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De esta manera, las personas morales que realicen las actividades contratadas por las instituciones, renuncian implícitamente a una parte de su derecho a la intimidad al obtener beneficios y lucros de los recursos públicos por dicha contratación, por lo que </w:t>
      </w:r>
      <w:r w:rsidRPr="00EB03EB">
        <w:rPr>
          <w:rFonts w:ascii="Palatino Linotype" w:eastAsia="Palatino Linotype" w:hAnsi="Palatino Linotype" w:cs="Palatino Linotype"/>
          <w:b/>
          <w:sz w:val="22"/>
          <w:szCs w:val="22"/>
        </w:rPr>
        <w:t>no puede considerarse como información clasificada lo relativo a su nombre, registro federal de contribuyentes y domicilio fiscal</w:t>
      </w:r>
      <w:r w:rsidRPr="00EB03EB">
        <w:rPr>
          <w:rFonts w:ascii="Palatino Linotype" w:eastAsia="Palatino Linotype" w:hAnsi="Palatino Linotype" w:cs="Palatino Linotype"/>
          <w:sz w:val="22"/>
          <w:szCs w:val="22"/>
        </w:rPr>
        <w:t>, atento a que dicha información es la que puede generar certeza en los gobernados en que se está ejerciendo debidamente el presupuesto.</w:t>
      </w:r>
    </w:p>
    <w:p w14:paraId="1F1D3044"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3DD1748C" w14:textId="77777777" w:rsidR="00426CAF" w:rsidRPr="00EB03EB" w:rsidRDefault="00B0335B">
      <w:pPr>
        <w:spacing w:line="360" w:lineRule="auto"/>
        <w:ind w:right="5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Misma situación que ocurre con el </w:t>
      </w:r>
      <w:r w:rsidRPr="00EB03EB">
        <w:rPr>
          <w:rFonts w:ascii="Palatino Linotype" w:eastAsia="Palatino Linotype" w:hAnsi="Palatino Linotype" w:cs="Palatino Linotype"/>
          <w:b/>
          <w:sz w:val="22"/>
          <w:szCs w:val="22"/>
          <w:u w:val="single"/>
        </w:rPr>
        <w:t>domicilio fiscal de las personas morales</w:t>
      </w:r>
      <w:r w:rsidRPr="00EB03EB">
        <w:rPr>
          <w:rFonts w:ascii="Palatino Linotype" w:eastAsia="Palatino Linotype" w:hAnsi="Palatino Linotype" w:cs="Palatino Linotype"/>
          <w:sz w:val="22"/>
          <w:szCs w:val="22"/>
        </w:rPr>
        <w:t xml:space="preserve">, en virtud de que el mismo corresponde al lugar donde lleva acabo sus operaciones comerciales; dato </w:t>
      </w:r>
      <w:r w:rsidRPr="00EB03EB">
        <w:rPr>
          <w:rFonts w:ascii="Palatino Linotype" w:eastAsia="Palatino Linotype" w:hAnsi="Palatino Linotype" w:cs="Palatino Linotype"/>
          <w:sz w:val="22"/>
          <w:szCs w:val="22"/>
        </w:rPr>
        <w:lastRenderedPageBreak/>
        <w:t>que se considera público y no actualiza causal de clasificación como información confidencial.</w:t>
      </w:r>
    </w:p>
    <w:p w14:paraId="27710284"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357A4BC2" w14:textId="77777777" w:rsidR="00426CAF" w:rsidRPr="00EB03EB" w:rsidRDefault="00B0335B">
      <w:pPr>
        <w:spacing w:line="360" w:lineRule="auto"/>
        <w:ind w:right="5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Por otro lado, con relación al </w:t>
      </w:r>
      <w:r w:rsidRPr="00EB03EB">
        <w:rPr>
          <w:rFonts w:ascii="Palatino Linotype" w:eastAsia="Palatino Linotype" w:hAnsi="Palatino Linotype" w:cs="Palatino Linotype"/>
          <w:b/>
          <w:sz w:val="22"/>
          <w:szCs w:val="22"/>
        </w:rPr>
        <w:t>nombre de las personas físicas</w:t>
      </w:r>
      <w:r w:rsidRPr="00EB03EB">
        <w:rPr>
          <w:rFonts w:ascii="Palatino Linotype" w:eastAsia="Palatino Linotype" w:hAnsi="Palatino Linotype" w:cs="Palatino Linotype"/>
          <w:sz w:val="22"/>
          <w:szCs w:val="22"/>
        </w:rPr>
        <w:t xml:space="preserve"> que fungen como </w:t>
      </w:r>
      <w:r w:rsidRPr="00EB03EB">
        <w:rPr>
          <w:rFonts w:ascii="Palatino Linotype" w:eastAsia="Palatino Linotype" w:hAnsi="Palatino Linotype" w:cs="Palatino Linotype"/>
          <w:b/>
          <w:sz w:val="22"/>
          <w:szCs w:val="22"/>
        </w:rPr>
        <w:t>representantes legales y/o administradores únicos de las personas morales</w:t>
      </w:r>
      <w:r w:rsidRPr="00EB03EB">
        <w:rPr>
          <w:rFonts w:ascii="Palatino Linotype" w:eastAsia="Palatino Linotype" w:hAnsi="Palatino Linotype" w:cs="Palatino Linotype"/>
          <w:sz w:val="22"/>
          <w:szCs w:val="22"/>
        </w:rPr>
        <w:t xml:space="preserve">, en su calidad de proveedores, contratistas o prestadores de servicios, </w:t>
      </w:r>
      <w:r w:rsidRPr="00EB03EB">
        <w:rPr>
          <w:rFonts w:ascii="Palatino Linotype" w:eastAsia="Palatino Linotype" w:hAnsi="Palatino Linotype" w:cs="Palatino Linotype"/>
          <w:b/>
          <w:sz w:val="22"/>
          <w:szCs w:val="22"/>
        </w:rPr>
        <w:t>así como la firma y rúbrica de estos</w:t>
      </w:r>
      <w:r w:rsidRPr="00EB03EB">
        <w:rPr>
          <w:rFonts w:ascii="Palatino Linotype" w:eastAsia="Palatino Linotype" w:hAnsi="Palatino Linotype" w:cs="Palatino Linotype"/>
          <w:sz w:val="22"/>
          <w:szCs w:val="22"/>
        </w:rPr>
        <w:t>, que participen en algún  proceso de adquisición en cualquiera de sus modalidades es pública.</w:t>
      </w:r>
    </w:p>
    <w:p w14:paraId="2FB92818" w14:textId="77777777" w:rsidR="00426CAF" w:rsidRPr="00EB03EB" w:rsidRDefault="00426CAF">
      <w:pPr>
        <w:spacing w:line="360" w:lineRule="auto"/>
        <w:ind w:right="51"/>
        <w:jc w:val="both"/>
        <w:rPr>
          <w:rFonts w:ascii="Palatino Linotype" w:eastAsia="Palatino Linotype" w:hAnsi="Palatino Linotype" w:cs="Palatino Linotype"/>
          <w:sz w:val="22"/>
          <w:szCs w:val="22"/>
        </w:rPr>
      </w:pPr>
    </w:p>
    <w:p w14:paraId="6D43F9A8" w14:textId="77777777" w:rsidR="00426CAF" w:rsidRPr="00EB03EB" w:rsidRDefault="00B0335B">
      <w:pPr>
        <w:spacing w:line="360" w:lineRule="auto"/>
        <w:ind w:right="5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Lo anterior, pues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w:t>
      </w:r>
    </w:p>
    <w:p w14:paraId="63CD932C" w14:textId="77777777" w:rsidR="00426CAF" w:rsidRPr="00EB03EB" w:rsidRDefault="00426CAF">
      <w:pPr>
        <w:spacing w:line="360" w:lineRule="auto"/>
        <w:ind w:right="51"/>
        <w:jc w:val="both"/>
        <w:rPr>
          <w:rFonts w:ascii="Palatino Linotype" w:eastAsia="Palatino Linotype" w:hAnsi="Palatino Linotype" w:cs="Palatino Linotype"/>
          <w:sz w:val="22"/>
          <w:szCs w:val="22"/>
        </w:rPr>
      </w:pPr>
    </w:p>
    <w:p w14:paraId="6093E376" w14:textId="77777777" w:rsidR="00426CAF" w:rsidRPr="00EB03EB" w:rsidRDefault="00B0335B">
      <w:pPr>
        <w:spacing w:line="360" w:lineRule="auto"/>
        <w:ind w:right="51"/>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248A15F6" w14:textId="77777777" w:rsidR="00426CAF" w:rsidRPr="00EB03EB" w:rsidRDefault="00426CAF">
      <w:pPr>
        <w:spacing w:line="360" w:lineRule="auto"/>
        <w:ind w:right="51"/>
        <w:jc w:val="both"/>
        <w:rPr>
          <w:rFonts w:ascii="Palatino Linotype" w:eastAsia="Palatino Linotype" w:hAnsi="Palatino Linotype" w:cs="Palatino Linotype"/>
          <w:sz w:val="22"/>
          <w:szCs w:val="22"/>
        </w:rPr>
      </w:pPr>
    </w:p>
    <w:p w14:paraId="60794E04" w14:textId="77777777" w:rsidR="00426CAF" w:rsidRPr="00EB03EB" w:rsidRDefault="00B0335B">
      <w:pPr>
        <w:spacing w:line="276" w:lineRule="auto"/>
        <w:ind w:left="851"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Artículo 23.</w:t>
      </w:r>
      <w:r w:rsidRPr="00EB03EB">
        <w:rPr>
          <w:rFonts w:ascii="Palatino Linotype" w:eastAsia="Palatino Linotype" w:hAnsi="Palatino Linotype" w:cs="Palatino Linotype"/>
          <w:i/>
          <w:sz w:val="22"/>
          <w:szCs w:val="22"/>
        </w:rPr>
        <w:t xml:space="preserve"> (…)</w:t>
      </w:r>
    </w:p>
    <w:p w14:paraId="28B2CC84" w14:textId="77777777" w:rsidR="00426CAF" w:rsidRPr="00EB03EB" w:rsidRDefault="00B0335B">
      <w:pPr>
        <w:spacing w:line="276" w:lineRule="auto"/>
        <w:ind w:left="851"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E5CAE5B" w14:textId="77777777" w:rsidR="00426CAF" w:rsidRPr="00EB03EB" w:rsidRDefault="00426CAF">
      <w:pPr>
        <w:spacing w:line="360" w:lineRule="auto"/>
        <w:ind w:left="851" w:right="902"/>
        <w:jc w:val="both"/>
        <w:rPr>
          <w:rFonts w:ascii="Palatino Linotype" w:eastAsia="Palatino Linotype" w:hAnsi="Palatino Linotype" w:cs="Palatino Linotype"/>
          <w:i/>
          <w:sz w:val="22"/>
          <w:szCs w:val="22"/>
        </w:rPr>
      </w:pPr>
    </w:p>
    <w:p w14:paraId="7499C10E"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49903AC9" w14:textId="77777777" w:rsidR="00426CAF" w:rsidRPr="00EB03EB" w:rsidRDefault="00426CAF">
      <w:pPr>
        <w:spacing w:line="276" w:lineRule="auto"/>
        <w:ind w:left="851" w:right="900"/>
        <w:jc w:val="both"/>
        <w:rPr>
          <w:rFonts w:ascii="Palatino Linotype" w:eastAsia="Palatino Linotype" w:hAnsi="Palatino Linotype" w:cs="Palatino Linotype"/>
          <w:b/>
          <w:i/>
          <w:sz w:val="22"/>
          <w:szCs w:val="22"/>
        </w:rPr>
      </w:pPr>
    </w:p>
    <w:p w14:paraId="3D2BFEDF" w14:textId="77777777" w:rsidR="00426CAF" w:rsidRPr="00EB03EB" w:rsidRDefault="00B0335B">
      <w:pPr>
        <w:spacing w:line="276" w:lineRule="auto"/>
        <w:ind w:left="851"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“Datos de identificación del representante o apoderado legal.</w:t>
      </w:r>
      <w:r w:rsidRPr="00EB03EB">
        <w:rPr>
          <w:rFonts w:ascii="Palatino Linotype" w:eastAsia="Palatino Linotype" w:hAnsi="Palatino Linotype" w:cs="Palatino Linotype"/>
          <w:i/>
          <w:sz w:val="22"/>
          <w:szCs w:val="22"/>
        </w:rPr>
        <w:t xml:space="preserve"> </w:t>
      </w:r>
      <w:r w:rsidRPr="00EB03EB">
        <w:rPr>
          <w:rFonts w:ascii="Palatino Linotype" w:eastAsia="Palatino Linotype" w:hAnsi="Palatino Linotype" w:cs="Palatino Linotype"/>
          <w:b/>
          <w:i/>
          <w:sz w:val="22"/>
          <w:szCs w:val="22"/>
        </w:rPr>
        <w:t xml:space="preserve">Naturaleza jurídica. </w:t>
      </w:r>
      <w:r w:rsidRPr="00EB03EB">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EB03EB">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EB03EB">
        <w:rPr>
          <w:rFonts w:ascii="Palatino Linotype" w:eastAsia="Palatino Linotype" w:hAnsi="Palatino Linotype" w:cs="Palatino Linotype"/>
          <w:i/>
          <w:sz w:val="22"/>
          <w:szCs w:val="22"/>
        </w:rPr>
        <w:t>.”</w:t>
      </w:r>
    </w:p>
    <w:p w14:paraId="5BDD8049"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5B8F511A" w14:textId="77777777" w:rsidR="00426CAF" w:rsidRPr="00EB03EB" w:rsidRDefault="00B0335B">
      <w:pPr>
        <w:tabs>
          <w:tab w:val="left" w:pos="851"/>
        </w:tabs>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De lo anterior, que los datos consistentes en: denominación o razón social de la persona moral contratista, su Registro Federal de Contribuyentes, domicilio fiscal, así como el nombre, firma y rúbrica de su Representante Legal y/o Administrador Único, no actualizan la causal ninguno de los supuestos de clasificación previstos en las fracciones I y II del artículo 143 de la Ley de Transparencia y Acceso a la Información Pública del Estado de México y Municipios.</w:t>
      </w:r>
    </w:p>
    <w:p w14:paraId="24273175"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0EA11545" w14:textId="77777777" w:rsidR="00426CAF" w:rsidRPr="00EB03EB" w:rsidRDefault="00B0335B">
      <w:pPr>
        <w:numPr>
          <w:ilvl w:val="0"/>
          <w:numId w:val="5"/>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Número y volumen del acta o escritura pública constitutiva de la persona moral contratista, así como el nombre del Notario Público ante el que se protocolizó dicha escritura:</w:t>
      </w:r>
    </w:p>
    <w:p w14:paraId="54B9C1A5"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7546BF04"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Sobre el número de escritura pública, volumen y registro, son datos que al encontrarse en testimonio notarial o atestado en Registros Públicos tienen naturaleza de públicos; aunado a que de su integración no arroja información confidencial de los comparecientes que protocolizan un acto jurídico ante Notario Público.</w:t>
      </w:r>
    </w:p>
    <w:p w14:paraId="361AE1C2"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0539922"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Por cuanto hace a la Notaría Pública y nombre del Notario que expidió la escritura</w:t>
      </w:r>
      <w:r w:rsidRPr="00EB03EB">
        <w:t xml:space="preserve"> </w:t>
      </w:r>
      <w:r w:rsidRPr="00EB03EB">
        <w:rPr>
          <w:rFonts w:ascii="Palatino Linotype" w:eastAsia="Palatino Linotype" w:hAnsi="Palatino Linotype" w:cs="Palatino Linotype"/>
          <w:sz w:val="22"/>
          <w:szCs w:val="22"/>
        </w:rPr>
        <w:t>es importante mencionar que existe un Directorio de Notarias Públicas en el Estado de México, por ende, el nombre y domicilio de los Notarios Público al estar en fuentes de acceso público no deben ser considerados confidenciales.</w:t>
      </w:r>
    </w:p>
    <w:p w14:paraId="62267608"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788AF216" w14:textId="77777777" w:rsidR="00426CAF" w:rsidRPr="00EB03EB" w:rsidRDefault="00B0335B">
      <w:pPr>
        <w:tabs>
          <w:tab w:val="left" w:pos="851"/>
        </w:tabs>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De esta manera, dicha información no actualiza los supuestos de clasificación como información confidencial previstos en el artículo 143 de la Ley de Transparencia y Acceso a la Información Pública del Estado de México y Municipios.</w:t>
      </w:r>
    </w:p>
    <w:p w14:paraId="05762663"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20AB6920" w14:textId="77777777" w:rsidR="00426CAF" w:rsidRPr="00EB03EB" w:rsidRDefault="00B0335B">
      <w:pPr>
        <w:numPr>
          <w:ilvl w:val="0"/>
          <w:numId w:val="5"/>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Clave de registro o folio de credencial de elector de la persona física que funge como Administrador Único de la persona moral contratista.</w:t>
      </w:r>
    </w:p>
    <w:p w14:paraId="6AECBD33"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17233FCC" w14:textId="77777777" w:rsidR="00426CAF" w:rsidRPr="00EB03EB" w:rsidRDefault="00B0335B">
      <w:pPr>
        <w:tabs>
          <w:tab w:val="left" w:pos="426"/>
        </w:tabs>
        <w:spacing w:before="240"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w:t>
      </w:r>
      <w:r w:rsidRPr="00EB03EB">
        <w:rPr>
          <w:sz w:val="22"/>
          <w:szCs w:val="22"/>
        </w:rPr>
        <w:t xml:space="preserve"> </w:t>
      </w:r>
      <w:r w:rsidRPr="00EB03EB">
        <w:rPr>
          <w:rFonts w:ascii="Palatino Linotype" w:eastAsia="Palatino Linotype" w:hAnsi="Palatino Linotype" w:cs="Palatino Linotype"/>
          <w:sz w:val="22"/>
          <w:szCs w:val="22"/>
        </w:rPr>
        <w:t xml:space="preserve">de la entidad federativa de nacimiento, letra que identifica el género y una homoclave compuesta de tres dígitos, dando un total de 18 caracteres. </w:t>
      </w:r>
    </w:p>
    <w:p w14:paraId="3E5328BC" w14:textId="77777777" w:rsidR="00426CAF" w:rsidRPr="00EB03EB" w:rsidRDefault="00426CAF">
      <w:pPr>
        <w:tabs>
          <w:tab w:val="left" w:pos="426"/>
        </w:tabs>
        <w:spacing w:line="360" w:lineRule="auto"/>
        <w:ind w:right="49"/>
        <w:jc w:val="both"/>
        <w:rPr>
          <w:rFonts w:ascii="Palatino Linotype" w:eastAsia="Palatino Linotype" w:hAnsi="Palatino Linotype" w:cs="Palatino Linotype"/>
          <w:sz w:val="22"/>
          <w:szCs w:val="22"/>
        </w:rPr>
      </w:pPr>
    </w:p>
    <w:p w14:paraId="174E93E8" w14:textId="77777777" w:rsidR="00426CAF" w:rsidRPr="00EB03EB" w:rsidRDefault="00B0335B">
      <w:pPr>
        <w:tabs>
          <w:tab w:val="left" w:pos="426"/>
        </w:tabs>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 </w:t>
      </w:r>
    </w:p>
    <w:p w14:paraId="3C8CFC6E" w14:textId="77777777" w:rsidR="00426CAF" w:rsidRPr="00EB03EB" w:rsidRDefault="00426CAF">
      <w:pPr>
        <w:tabs>
          <w:tab w:val="left" w:pos="426"/>
        </w:tabs>
        <w:spacing w:line="360" w:lineRule="auto"/>
        <w:ind w:right="49"/>
        <w:jc w:val="both"/>
        <w:rPr>
          <w:rFonts w:ascii="Palatino Linotype" w:eastAsia="Palatino Linotype" w:hAnsi="Palatino Linotype" w:cs="Palatino Linotype"/>
          <w:sz w:val="22"/>
          <w:szCs w:val="22"/>
        </w:rPr>
      </w:pPr>
    </w:p>
    <w:p w14:paraId="07BCD6F0" w14:textId="77777777" w:rsidR="00426CAF" w:rsidRPr="00EB03EB" w:rsidRDefault="00B0335B">
      <w:pPr>
        <w:tabs>
          <w:tab w:val="left" w:pos="426"/>
        </w:tabs>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Por lo tanto, al ser un dato que hace reconocible a una persona física, resulta procedente su clasificación como información confidencial en términos de lo dispuesto por el artículo 143, </w:t>
      </w:r>
      <w:r w:rsidRPr="00EB03EB">
        <w:rPr>
          <w:rFonts w:ascii="Palatino Linotype" w:eastAsia="Palatino Linotype" w:hAnsi="Palatino Linotype" w:cs="Palatino Linotype"/>
          <w:sz w:val="22"/>
          <w:szCs w:val="22"/>
        </w:rPr>
        <w:lastRenderedPageBreak/>
        <w:t xml:space="preserve">fracción I de la Ley de Transparencia y Acceso a la Información Pública del Estado de México y Municipios. </w:t>
      </w:r>
    </w:p>
    <w:p w14:paraId="728E79E5" w14:textId="77777777" w:rsidR="00426CAF" w:rsidRPr="00EB03EB" w:rsidRDefault="00426CAF">
      <w:pPr>
        <w:tabs>
          <w:tab w:val="left" w:pos="851"/>
        </w:tabs>
        <w:spacing w:line="360" w:lineRule="auto"/>
        <w:jc w:val="both"/>
        <w:rPr>
          <w:rFonts w:ascii="Palatino Linotype" w:eastAsia="Palatino Linotype" w:hAnsi="Palatino Linotype" w:cs="Palatino Linotype"/>
          <w:sz w:val="22"/>
          <w:szCs w:val="22"/>
        </w:rPr>
      </w:pPr>
    </w:p>
    <w:p w14:paraId="5EE735AF" w14:textId="77777777" w:rsidR="00426CAF" w:rsidRPr="00EB03EB" w:rsidRDefault="00B0335B">
      <w:pPr>
        <w:numPr>
          <w:ilvl w:val="0"/>
          <w:numId w:val="5"/>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Domicilio para oír y recibir notificaciones de la persona moral contratista:</w:t>
      </w:r>
    </w:p>
    <w:p w14:paraId="67035F33" w14:textId="77777777" w:rsidR="00426CAF" w:rsidRPr="00EB03EB" w:rsidRDefault="00426CAF">
      <w:pPr>
        <w:tabs>
          <w:tab w:val="left" w:pos="851"/>
        </w:tabs>
        <w:spacing w:line="360" w:lineRule="auto"/>
        <w:jc w:val="both"/>
        <w:rPr>
          <w:rFonts w:ascii="Palatino Linotype" w:eastAsia="Palatino Linotype" w:hAnsi="Palatino Linotype" w:cs="Palatino Linotype"/>
        </w:rPr>
      </w:pPr>
    </w:p>
    <w:p w14:paraId="0768258F" w14:textId="77777777" w:rsidR="00426CAF" w:rsidRPr="00EB03EB" w:rsidRDefault="00B0335B">
      <w:pPr>
        <w:tabs>
          <w:tab w:val="left" w:pos="426"/>
        </w:tabs>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w:t>
      </w:r>
    </w:p>
    <w:p w14:paraId="4175A65B" w14:textId="77777777" w:rsidR="00426CAF" w:rsidRPr="00EB03EB" w:rsidRDefault="00426CAF">
      <w:pPr>
        <w:tabs>
          <w:tab w:val="left" w:pos="426"/>
        </w:tabs>
        <w:spacing w:line="360" w:lineRule="auto"/>
        <w:ind w:right="49"/>
        <w:jc w:val="both"/>
        <w:rPr>
          <w:rFonts w:ascii="Palatino Linotype" w:eastAsia="Palatino Linotype" w:hAnsi="Palatino Linotype" w:cs="Palatino Linotype"/>
          <w:sz w:val="22"/>
          <w:szCs w:val="22"/>
        </w:rPr>
      </w:pPr>
    </w:p>
    <w:p w14:paraId="597BCEDE" w14:textId="77777777" w:rsidR="00426CAF" w:rsidRPr="00EB03EB" w:rsidRDefault="00B0335B">
      <w:pPr>
        <w:tabs>
          <w:tab w:val="left" w:pos="426"/>
        </w:tabs>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De la misma manera, lo establece el artículo 29 del Código Civil Federal, al precisar que el domicilio de personas físicas, es el lugar donde residen habitualmente, el lugar del centro principal de sus negocios, donde residan o el lugar donde se encuentren. </w:t>
      </w:r>
    </w:p>
    <w:p w14:paraId="7DBC045E" w14:textId="77777777" w:rsidR="00426CAF" w:rsidRPr="00EB03EB" w:rsidRDefault="00426CAF">
      <w:pPr>
        <w:tabs>
          <w:tab w:val="left" w:pos="426"/>
        </w:tabs>
        <w:spacing w:line="360" w:lineRule="auto"/>
        <w:ind w:right="49"/>
        <w:jc w:val="both"/>
        <w:rPr>
          <w:rFonts w:ascii="Palatino Linotype" w:eastAsia="Palatino Linotype" w:hAnsi="Palatino Linotype" w:cs="Palatino Linotype"/>
          <w:sz w:val="22"/>
          <w:szCs w:val="22"/>
        </w:rPr>
      </w:pPr>
    </w:p>
    <w:p w14:paraId="310095AB" w14:textId="77777777" w:rsidR="00426CAF" w:rsidRPr="00EB03EB" w:rsidRDefault="00B0335B">
      <w:pPr>
        <w:tabs>
          <w:tab w:val="left" w:pos="426"/>
        </w:tabs>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7E7A7CD6" w14:textId="77777777" w:rsidR="00426CAF" w:rsidRPr="00EB03EB" w:rsidRDefault="00426CAF">
      <w:pPr>
        <w:tabs>
          <w:tab w:val="left" w:pos="426"/>
        </w:tabs>
        <w:spacing w:line="360" w:lineRule="auto"/>
        <w:ind w:right="49"/>
        <w:jc w:val="both"/>
        <w:rPr>
          <w:rFonts w:ascii="Palatino Linotype" w:eastAsia="Palatino Linotype" w:hAnsi="Palatino Linotype" w:cs="Palatino Linotype"/>
          <w:sz w:val="22"/>
          <w:szCs w:val="22"/>
        </w:rPr>
      </w:pPr>
    </w:p>
    <w:p w14:paraId="3C141507" w14:textId="77777777" w:rsidR="00426CAF" w:rsidRPr="00EB03EB" w:rsidRDefault="00B0335B">
      <w:pPr>
        <w:tabs>
          <w:tab w:val="left" w:pos="426"/>
        </w:tabs>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Ahora, en este caso, si bien el domicilio proporcionado por la persona moral contratista fue para efectos de oír y recibir notificaciones con relación a la contratación de la obra pública de la que se requirió la información; en el caso, le corresponde al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 xml:space="preserve">realizar un análisis pormenorizado y determinar si el domicilio fiscal de la moral contratista </w:t>
      </w:r>
      <w:r w:rsidRPr="00EB03EB">
        <w:rPr>
          <w:rFonts w:ascii="Palatino Linotype" w:eastAsia="Palatino Linotype" w:hAnsi="Palatino Linotype" w:cs="Palatino Linotype"/>
          <w:sz w:val="22"/>
          <w:szCs w:val="22"/>
        </w:rPr>
        <w:lastRenderedPageBreak/>
        <w:t>coincide con el señalado para oír y recibir notificaciones, deberá dejarse visible en el contrato, por ser un dato público por las consideraciones expuestas.</w:t>
      </w:r>
    </w:p>
    <w:p w14:paraId="69778DF9" w14:textId="77777777" w:rsidR="00426CAF" w:rsidRPr="00EB03EB" w:rsidRDefault="00426CAF">
      <w:pPr>
        <w:tabs>
          <w:tab w:val="left" w:pos="426"/>
        </w:tabs>
        <w:spacing w:line="360" w:lineRule="auto"/>
        <w:ind w:right="49"/>
        <w:jc w:val="both"/>
        <w:rPr>
          <w:rFonts w:ascii="Palatino Linotype" w:eastAsia="Palatino Linotype" w:hAnsi="Palatino Linotype" w:cs="Palatino Linotype"/>
          <w:sz w:val="22"/>
          <w:szCs w:val="22"/>
        </w:rPr>
      </w:pPr>
    </w:p>
    <w:p w14:paraId="2A8E80E5" w14:textId="77777777" w:rsidR="00426CAF" w:rsidRPr="00EB03EB" w:rsidRDefault="00B0335B">
      <w:pPr>
        <w:tabs>
          <w:tab w:val="left" w:pos="426"/>
        </w:tabs>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No obstante, de corresponder dicho domicilio a uno particular, se deberá proceder a su clasificación, de conformidad con la fracción I, del artículo 143 de la Ley de Transparencia y Acceso a la Información Pública del Estado de México y Municipios. </w:t>
      </w:r>
    </w:p>
    <w:p w14:paraId="37F39933" w14:textId="77777777" w:rsidR="00426CAF" w:rsidRPr="00EB03EB" w:rsidRDefault="00426CAF">
      <w:pPr>
        <w:tabs>
          <w:tab w:val="left" w:pos="426"/>
        </w:tabs>
        <w:spacing w:line="360" w:lineRule="auto"/>
        <w:ind w:right="49"/>
        <w:jc w:val="both"/>
        <w:rPr>
          <w:rFonts w:ascii="Palatino Linotype" w:eastAsia="Palatino Linotype" w:hAnsi="Palatino Linotype" w:cs="Palatino Linotype"/>
          <w:sz w:val="22"/>
          <w:szCs w:val="22"/>
        </w:rPr>
      </w:pPr>
    </w:p>
    <w:p w14:paraId="1749025C" w14:textId="77777777" w:rsidR="00426CAF" w:rsidRPr="00EB03EB" w:rsidRDefault="00B0335B">
      <w:pPr>
        <w:tabs>
          <w:tab w:val="left" w:pos="426"/>
        </w:tabs>
        <w:spacing w:line="360" w:lineRule="auto"/>
        <w:ind w:right="49"/>
        <w:jc w:val="both"/>
        <w:rPr>
          <w:rFonts w:ascii="Palatino Linotype" w:eastAsia="Palatino Linotype" w:hAnsi="Palatino Linotype" w:cs="Palatino Linotype"/>
          <w:strike/>
          <w:sz w:val="22"/>
          <w:szCs w:val="22"/>
        </w:rPr>
      </w:pPr>
      <w:r w:rsidRPr="00EB03EB">
        <w:rPr>
          <w:rFonts w:ascii="Palatino Linotype" w:eastAsia="Palatino Linotype" w:hAnsi="Palatino Linotype" w:cs="Palatino Linotype"/>
          <w:sz w:val="22"/>
          <w:szCs w:val="22"/>
        </w:rPr>
        <w:t xml:space="preserve">Por lo que, en cumplimiento a la presente resolución y bajo las consideraciones expuestas el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deberá proceder a entregar el contrato de referencia en versión pública correcta.</w:t>
      </w:r>
    </w:p>
    <w:p w14:paraId="66EC4C2D" w14:textId="77777777" w:rsidR="00426CAF" w:rsidRPr="00EB03EB" w:rsidRDefault="00426CAF">
      <w:pPr>
        <w:tabs>
          <w:tab w:val="left" w:pos="426"/>
        </w:tabs>
        <w:spacing w:line="360" w:lineRule="auto"/>
        <w:ind w:right="49"/>
        <w:jc w:val="both"/>
        <w:rPr>
          <w:rFonts w:ascii="Palatino Linotype" w:eastAsia="Palatino Linotype" w:hAnsi="Palatino Linotype" w:cs="Palatino Linotype"/>
          <w:sz w:val="22"/>
          <w:szCs w:val="22"/>
        </w:rPr>
      </w:pPr>
    </w:p>
    <w:p w14:paraId="12334280" w14:textId="77777777" w:rsidR="00426CAF" w:rsidRPr="00EB03EB" w:rsidRDefault="00B0335B">
      <w:pPr>
        <w:tabs>
          <w:tab w:val="left" w:pos="426"/>
        </w:tabs>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Conforme lo anterior, se tiene que en el caso concreto no se garantizó el derecho de acceso a la información pública del particular, en virtud de que no se aportaron todos los documentos que atendieran su pretensión, aunado a que el contrato que le fue entregado de la obra pública requerida se remitió en una incorrecta versión pública.</w:t>
      </w:r>
    </w:p>
    <w:p w14:paraId="538AEE68" w14:textId="77777777" w:rsidR="00426CAF" w:rsidRPr="00EB03EB" w:rsidRDefault="00426CAF">
      <w:pPr>
        <w:tabs>
          <w:tab w:val="left" w:pos="426"/>
        </w:tabs>
        <w:spacing w:line="360" w:lineRule="auto"/>
        <w:ind w:right="49"/>
        <w:jc w:val="both"/>
        <w:rPr>
          <w:rFonts w:ascii="Palatino Linotype" w:eastAsia="Palatino Linotype" w:hAnsi="Palatino Linotype" w:cs="Palatino Linotype"/>
          <w:sz w:val="22"/>
          <w:szCs w:val="22"/>
        </w:rPr>
      </w:pPr>
    </w:p>
    <w:p w14:paraId="13E8F7AE" w14:textId="77777777" w:rsidR="00426CAF" w:rsidRPr="00EB03EB" w:rsidRDefault="00B0335B">
      <w:pPr>
        <w:tabs>
          <w:tab w:val="left" w:pos="426"/>
        </w:tabs>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tal virtud, resulta dable tener que los motivos de inconformidad hechos valer en el presente medio de impugnación resultan fundados, siendo procedente </w:t>
      </w:r>
      <w:r w:rsidRPr="00EB03EB">
        <w:rPr>
          <w:rFonts w:ascii="Palatino Linotype" w:eastAsia="Palatino Linotype" w:hAnsi="Palatino Linotype" w:cs="Palatino Linotype"/>
          <w:b/>
          <w:sz w:val="22"/>
          <w:szCs w:val="22"/>
        </w:rPr>
        <w:t xml:space="preserve">Modificar </w:t>
      </w:r>
      <w:r w:rsidRPr="00EB03EB">
        <w:rPr>
          <w:rFonts w:ascii="Palatino Linotype" w:eastAsia="Palatino Linotype" w:hAnsi="Palatino Linotype" w:cs="Palatino Linotype"/>
          <w:sz w:val="22"/>
          <w:szCs w:val="22"/>
        </w:rPr>
        <w:t xml:space="preserve">la respuesta del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 xml:space="preserve">y ordenar se entregue, previa búsqueda exhaustiva y razonable, de ser procedente en versión pública, respecto de la obra pública </w:t>
      </w:r>
      <w:r w:rsidRPr="00EB03EB">
        <w:rPr>
          <w:rFonts w:ascii="Palatino Linotype" w:eastAsia="Palatino Linotype" w:hAnsi="Palatino Linotype" w:cs="Palatino Linotype"/>
          <w:b/>
          <w:i/>
          <w:sz w:val="22"/>
          <w:szCs w:val="22"/>
        </w:rPr>
        <w:t xml:space="preserve">“Rehabilitación del Parque Recreativo y Deportivo “La Venta” (Primera Etapa), ubicada en Manuel Altamirano, Colonia La Venta, Ixtapaluca, Estado de México”, </w:t>
      </w:r>
      <w:r w:rsidRPr="00EB03EB">
        <w:rPr>
          <w:rFonts w:ascii="Palatino Linotype" w:eastAsia="Palatino Linotype" w:hAnsi="Palatino Linotype" w:cs="Palatino Linotype"/>
          <w:sz w:val="22"/>
          <w:szCs w:val="22"/>
        </w:rPr>
        <w:t>la siguiente información:</w:t>
      </w:r>
    </w:p>
    <w:p w14:paraId="6B729744" w14:textId="77777777" w:rsidR="00426CAF" w:rsidRPr="00EB03EB" w:rsidRDefault="00426CAF">
      <w:pPr>
        <w:tabs>
          <w:tab w:val="left" w:pos="426"/>
        </w:tabs>
        <w:spacing w:line="360" w:lineRule="auto"/>
        <w:ind w:right="49"/>
        <w:jc w:val="both"/>
        <w:rPr>
          <w:rFonts w:ascii="Palatino Linotype" w:eastAsia="Palatino Linotype" w:hAnsi="Palatino Linotype" w:cs="Palatino Linotype"/>
          <w:sz w:val="22"/>
          <w:szCs w:val="22"/>
        </w:rPr>
      </w:pPr>
    </w:p>
    <w:p w14:paraId="2621E95E" w14:textId="77777777" w:rsidR="00426CAF" w:rsidRPr="00EB03EB" w:rsidRDefault="00B0335B">
      <w:pPr>
        <w:numPr>
          <w:ilvl w:val="0"/>
          <w:numId w:val="7"/>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versión pública correcta, el contrato de obra pública sobre la base de precios unitarios y tiempo determinado número IXTA/DIOP/FORTAMUN/LPN/007/2023, número de obra FORTAMUN-007, folio SIAVAMEN: 62044, del veinticinco de mayo </w:t>
      </w:r>
      <w:r w:rsidRPr="00EB03EB">
        <w:rPr>
          <w:rFonts w:ascii="Palatino Linotype" w:eastAsia="Palatino Linotype" w:hAnsi="Palatino Linotype" w:cs="Palatino Linotype"/>
          <w:sz w:val="22"/>
          <w:szCs w:val="22"/>
        </w:rPr>
        <w:lastRenderedPageBreak/>
        <w:t>de dos mil veintitrés; remitido en cumplimiento a la resolución dictada dentro del recurso de revisión 01194/INFOEM/IP/RR/2024.</w:t>
      </w:r>
    </w:p>
    <w:p w14:paraId="7E027092" w14:textId="77777777" w:rsidR="00426CAF" w:rsidRPr="00EB03EB" w:rsidRDefault="00426CAF">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3EA57E6F" w14:textId="77777777" w:rsidR="00426CAF" w:rsidRPr="00EB03EB" w:rsidRDefault="00B0335B">
      <w:pPr>
        <w:numPr>
          <w:ilvl w:val="0"/>
          <w:numId w:val="7"/>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El documento donde conste el presupuesto ejecutado para dicha obra, al ocho de febrero de dos mil veinticuatro.</w:t>
      </w:r>
    </w:p>
    <w:p w14:paraId="6DF049A7" w14:textId="77777777" w:rsidR="00426CAF" w:rsidRPr="00EB03EB" w:rsidRDefault="00426CAF">
      <w:pPr>
        <w:pBdr>
          <w:top w:val="nil"/>
          <w:left w:val="nil"/>
          <w:bottom w:val="nil"/>
          <w:right w:val="nil"/>
          <w:between w:val="nil"/>
        </w:pBdr>
        <w:spacing w:line="276" w:lineRule="auto"/>
        <w:ind w:left="708"/>
        <w:rPr>
          <w:rFonts w:ascii="Palatino Linotype" w:eastAsia="Palatino Linotype" w:hAnsi="Palatino Linotype" w:cs="Palatino Linotype"/>
          <w:sz w:val="22"/>
          <w:szCs w:val="22"/>
        </w:rPr>
      </w:pPr>
    </w:p>
    <w:p w14:paraId="364689FF" w14:textId="77777777" w:rsidR="00426CAF" w:rsidRPr="00EB03EB" w:rsidRDefault="00B0335B">
      <w:pPr>
        <w:numPr>
          <w:ilvl w:val="0"/>
          <w:numId w:val="7"/>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El proyecto ejecutivo de la obra.</w:t>
      </w:r>
    </w:p>
    <w:p w14:paraId="4B28DEEB" w14:textId="77777777" w:rsidR="00426CAF" w:rsidRPr="00EB03EB" w:rsidRDefault="00426CAF">
      <w:pPr>
        <w:tabs>
          <w:tab w:val="left" w:pos="426"/>
        </w:tabs>
        <w:spacing w:line="360" w:lineRule="auto"/>
        <w:ind w:right="49"/>
        <w:jc w:val="both"/>
        <w:rPr>
          <w:rFonts w:ascii="Palatino Linotype" w:eastAsia="Palatino Linotype" w:hAnsi="Palatino Linotype" w:cs="Palatino Linotype"/>
          <w:sz w:val="22"/>
          <w:szCs w:val="22"/>
        </w:rPr>
      </w:pPr>
    </w:p>
    <w:p w14:paraId="79FCAAB2"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Bajo ese contexto, a criterio de este Órgano Garante resultan </w:t>
      </w:r>
      <w:r w:rsidRPr="00EB03EB">
        <w:rPr>
          <w:rFonts w:ascii="Palatino Linotype" w:eastAsia="Palatino Linotype" w:hAnsi="Palatino Linotype" w:cs="Palatino Linotype"/>
          <w:b/>
          <w:sz w:val="22"/>
          <w:szCs w:val="22"/>
        </w:rPr>
        <w:t>fundadas</w:t>
      </w:r>
      <w:r w:rsidRPr="00EB03EB">
        <w:rPr>
          <w:rFonts w:ascii="Palatino Linotype" w:eastAsia="Palatino Linotype" w:hAnsi="Palatino Linotype" w:cs="Palatino Linotype"/>
          <w:sz w:val="22"/>
          <w:szCs w:val="22"/>
        </w:rPr>
        <w:t xml:space="preserve"> las</w:t>
      </w:r>
      <w:r w:rsidRPr="00EB03EB">
        <w:rPr>
          <w:rFonts w:ascii="Palatino Linotype" w:eastAsia="Palatino Linotype" w:hAnsi="Palatino Linotype" w:cs="Palatino Linotype"/>
          <w:b/>
          <w:sz w:val="22"/>
          <w:szCs w:val="22"/>
        </w:rPr>
        <w:t xml:space="preserve"> </w:t>
      </w:r>
      <w:r w:rsidRPr="00EB03EB">
        <w:rPr>
          <w:rFonts w:ascii="Palatino Linotype" w:eastAsia="Palatino Linotype" w:hAnsi="Palatino Linotype" w:cs="Palatino Linotype"/>
          <w:sz w:val="22"/>
          <w:szCs w:val="22"/>
        </w:rPr>
        <w:t xml:space="preserve">razones o motivos de inconformidad hechos valer por la parte </w:t>
      </w:r>
      <w:r w:rsidRPr="00EB03EB">
        <w:rPr>
          <w:rFonts w:ascii="Palatino Linotype" w:eastAsia="Palatino Linotype" w:hAnsi="Palatino Linotype" w:cs="Palatino Linotype"/>
          <w:b/>
          <w:sz w:val="22"/>
          <w:szCs w:val="22"/>
        </w:rPr>
        <w:t>Recurrente</w:t>
      </w:r>
      <w:r w:rsidRPr="00EB03EB">
        <w:rPr>
          <w:rFonts w:ascii="Palatino Linotype" w:eastAsia="Palatino Linotype" w:hAnsi="Palatino Linotype" w:cs="Palatino Linotype"/>
          <w:sz w:val="22"/>
          <w:szCs w:val="22"/>
        </w:rPr>
        <w:t xml:space="preserve"> en el Recurso de Revisión </w:t>
      </w:r>
      <w:r w:rsidRPr="00EB03EB">
        <w:rPr>
          <w:rFonts w:ascii="Palatino Linotype" w:eastAsia="Palatino Linotype" w:hAnsi="Palatino Linotype" w:cs="Palatino Linotype"/>
          <w:b/>
          <w:sz w:val="22"/>
          <w:szCs w:val="22"/>
        </w:rPr>
        <w:t xml:space="preserve">01194/INFOEM/ICR-24/IP/RR/2024; </w:t>
      </w:r>
      <w:r w:rsidRPr="00EB03EB">
        <w:rPr>
          <w:rFonts w:ascii="Palatino Linotype" w:eastAsia="Palatino Linotype" w:hAnsi="Palatino Linotype" w:cs="Palatino Linotype"/>
          <w:sz w:val="22"/>
          <w:szCs w:val="22"/>
        </w:rPr>
        <w:t xml:space="preserve">siendo procedente </w:t>
      </w:r>
      <w:r w:rsidRPr="00EB03EB">
        <w:rPr>
          <w:rFonts w:ascii="Palatino Linotype" w:eastAsia="Palatino Linotype" w:hAnsi="Palatino Linotype" w:cs="Palatino Linotype"/>
          <w:b/>
          <w:sz w:val="22"/>
          <w:szCs w:val="22"/>
        </w:rPr>
        <w:t xml:space="preserve">Modificar </w:t>
      </w:r>
      <w:r w:rsidRPr="00EB03EB">
        <w:rPr>
          <w:rFonts w:ascii="Palatino Linotype" w:eastAsia="Palatino Linotype" w:hAnsi="Palatino Linotype" w:cs="Palatino Linotype"/>
          <w:sz w:val="22"/>
          <w:szCs w:val="22"/>
        </w:rPr>
        <w:t xml:space="preserve">la respuesta del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y ordenar la entrega de la información antes indicada.</w:t>
      </w:r>
    </w:p>
    <w:p w14:paraId="6D2D59E2" w14:textId="77777777" w:rsidR="00426CAF" w:rsidRPr="00EB03EB" w:rsidRDefault="00426CA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FDE309A"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Quinto. Versión Pública. </w:t>
      </w:r>
      <w:r w:rsidRPr="00EB03EB">
        <w:rPr>
          <w:rFonts w:ascii="Palatino Linotype" w:eastAsia="Palatino Linotype" w:hAnsi="Palatino Linotype" w:cs="Palatino Linotype"/>
          <w:sz w:val="22"/>
          <w:szCs w:val="22"/>
        </w:rPr>
        <w:t xml:space="preserve">Finalmente para la entrega del soporte documental que deberá proporcionar 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09FB8DBE"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12796700"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Por lo que, el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deberá atender las precisiones indicadas en el considerando que antecede en lo relativo a los datos personales que son de carácter público y los que son confidenciales, así como los que en este apartado se analizarán.</w:t>
      </w:r>
    </w:p>
    <w:p w14:paraId="56712E96" w14:textId="77777777" w:rsidR="00426CAF" w:rsidRPr="00EB03EB" w:rsidRDefault="00426CAF">
      <w:pPr>
        <w:spacing w:line="360" w:lineRule="auto"/>
        <w:ind w:right="49"/>
        <w:jc w:val="both"/>
        <w:rPr>
          <w:rFonts w:ascii="Palatino Linotype" w:eastAsia="Palatino Linotype" w:hAnsi="Palatino Linotype" w:cs="Palatino Linotype"/>
          <w:sz w:val="22"/>
          <w:szCs w:val="22"/>
        </w:rPr>
      </w:pPr>
    </w:p>
    <w:p w14:paraId="4F150430" w14:textId="77777777" w:rsidR="00426CAF" w:rsidRPr="00EB03EB" w:rsidRDefault="00B0335B">
      <w:pPr>
        <w:spacing w:line="360"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lastRenderedPageBreak/>
        <w:t>Lo anterior, de conformidad a lo que señalan los artículos 3 fracciones IX, XX, XXI y XLV, 91, 132 fracciones II y III, y 143 fracción I de la Ley de Transparencia y Acceso a la Información Pública del Estado de México y Municipios que establecen:</w:t>
      </w:r>
    </w:p>
    <w:p w14:paraId="744E7B27"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Artículo 3</w:t>
      </w:r>
      <w:r w:rsidRPr="00EB03EB">
        <w:rPr>
          <w:rFonts w:ascii="Palatino Linotype" w:eastAsia="Palatino Linotype" w:hAnsi="Palatino Linotype" w:cs="Palatino Linotype"/>
          <w:i/>
          <w:sz w:val="22"/>
          <w:szCs w:val="22"/>
        </w:rPr>
        <w:t>. Para los efectos de la presente Ley se entenderá por:</w:t>
      </w:r>
    </w:p>
    <w:p w14:paraId="01D77F95"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434626B5"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IX. Datos personales:</w:t>
      </w:r>
      <w:r w:rsidRPr="00EB03EB">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7547D4B4"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XX. Información clasificada</w:t>
      </w:r>
      <w:r w:rsidRPr="00EB03EB">
        <w:rPr>
          <w:rFonts w:ascii="Palatino Linotype" w:eastAsia="Palatino Linotype" w:hAnsi="Palatino Linotype" w:cs="Palatino Linotype"/>
          <w:i/>
          <w:sz w:val="22"/>
          <w:szCs w:val="22"/>
        </w:rPr>
        <w:t>: Aquella considerada por la presente Ley como reservada o confidencial;</w:t>
      </w:r>
    </w:p>
    <w:p w14:paraId="5FB80443"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XXI. Información confidencial:</w:t>
      </w:r>
      <w:r w:rsidRPr="00EB03EB">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1885662"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XLV. Versión pública:</w:t>
      </w:r>
      <w:r w:rsidRPr="00EB03EB">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5666B17C"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3CB3D19E"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Artículo 91. </w:t>
      </w:r>
      <w:r w:rsidRPr="00EB03E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97D5FA2"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Artículo 132. </w:t>
      </w:r>
      <w:r w:rsidRPr="00EB03EB">
        <w:rPr>
          <w:rFonts w:ascii="Palatino Linotype" w:eastAsia="Palatino Linotype" w:hAnsi="Palatino Linotype" w:cs="Palatino Linotype"/>
          <w:i/>
          <w:sz w:val="22"/>
          <w:szCs w:val="22"/>
        </w:rPr>
        <w:t>La clasificación de la información se llevará a cabo en el momento en que:</w:t>
      </w:r>
    </w:p>
    <w:p w14:paraId="39CA9D66"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I</w:t>
      </w:r>
      <w:r w:rsidRPr="00EB03EB">
        <w:rPr>
          <w:rFonts w:ascii="Palatino Linotype" w:eastAsia="Palatino Linotype" w:hAnsi="Palatino Linotype" w:cs="Palatino Linotype"/>
          <w:i/>
          <w:sz w:val="22"/>
          <w:szCs w:val="22"/>
        </w:rPr>
        <w:t>. Se reciba una solicitud de acceso a la información;</w:t>
      </w:r>
    </w:p>
    <w:p w14:paraId="2D0519D6"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II</w:t>
      </w:r>
      <w:r w:rsidRPr="00EB03EB">
        <w:rPr>
          <w:rFonts w:ascii="Palatino Linotype" w:eastAsia="Palatino Linotype" w:hAnsi="Palatino Linotype" w:cs="Palatino Linotype"/>
          <w:i/>
          <w:sz w:val="22"/>
          <w:szCs w:val="22"/>
        </w:rPr>
        <w:t>. Se determine mediante resolución de autoridad competente; o</w:t>
      </w:r>
    </w:p>
    <w:p w14:paraId="37BD0108"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III</w:t>
      </w:r>
      <w:r w:rsidRPr="00EB03EB">
        <w:rPr>
          <w:rFonts w:ascii="Palatino Linotype" w:eastAsia="Palatino Linotype" w:hAnsi="Palatino Linotype" w:cs="Palatino Linotype"/>
          <w:i/>
          <w:sz w:val="22"/>
          <w:szCs w:val="22"/>
        </w:rPr>
        <w:t>. Se generen versiones públicas para dar cumplimiento a las obligaciones de transparencia previstas en esta Ley.</w:t>
      </w:r>
    </w:p>
    <w:p w14:paraId="68DD6506"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10797E36"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Artículo 143</w:t>
      </w:r>
      <w:r w:rsidRPr="00EB03E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FEB87BB"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I.</w:t>
      </w:r>
      <w:r w:rsidRPr="00EB03EB">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9C2C78F"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lastRenderedPageBreak/>
        <w:t>II.</w:t>
      </w:r>
      <w:r w:rsidRPr="00EB03EB">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06E7C63"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III</w:t>
      </w:r>
      <w:r w:rsidRPr="00EB03EB">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19A6A7BA"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97D422B" w14:textId="77777777" w:rsidR="00426CAF" w:rsidRPr="00EB03EB" w:rsidRDefault="00B0335B">
      <w:pPr>
        <w:spacing w:before="120" w:after="120"/>
        <w:ind w:left="567"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5603CEB"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180DE049"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7620CFC"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37990FCA"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siendo estas las siguientes:</w:t>
      </w:r>
    </w:p>
    <w:p w14:paraId="05FF95F9"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39291FEA" w14:textId="77777777" w:rsidR="00426CAF" w:rsidRPr="00EB03EB" w:rsidRDefault="00B0335B">
      <w:pPr>
        <w:spacing w:line="276" w:lineRule="auto"/>
        <w:ind w:lef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“CAPÍTULO VIII </w:t>
      </w:r>
    </w:p>
    <w:p w14:paraId="79BA1F28" w14:textId="77777777" w:rsidR="00426CAF" w:rsidRPr="00EB03EB" w:rsidRDefault="00B0335B">
      <w:pPr>
        <w:spacing w:line="276" w:lineRule="auto"/>
        <w:ind w:left="567"/>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DE LOS ELEMENTOS PARA LA CLASIFICACIÓN </w:t>
      </w:r>
    </w:p>
    <w:p w14:paraId="744A48D9" w14:textId="77777777" w:rsidR="00426CAF" w:rsidRPr="00EB03EB" w:rsidRDefault="00B0335B">
      <w:pPr>
        <w:spacing w:line="276" w:lineRule="auto"/>
        <w:ind w:left="567"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Quincuagésimo. </w:t>
      </w:r>
      <w:r w:rsidRPr="00EB03EB">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w:t>
      </w:r>
      <w:r w:rsidRPr="00EB03EB">
        <w:rPr>
          <w:rFonts w:ascii="Palatino Linotype" w:eastAsia="Palatino Linotype" w:hAnsi="Palatino Linotype" w:cs="Palatino Linotype"/>
          <w:i/>
          <w:sz w:val="22"/>
          <w:szCs w:val="22"/>
        </w:rPr>
        <w:lastRenderedPageBreak/>
        <w:t xml:space="preserve">de documentos o expedientes, siempre y cuando cumplan lo establecido en los presentes Lineamientos, así como en las correspondientes Leyes Generales. </w:t>
      </w:r>
    </w:p>
    <w:p w14:paraId="60D9AEAE" w14:textId="77777777" w:rsidR="00426CAF" w:rsidRPr="00EB03EB" w:rsidRDefault="00B0335B">
      <w:pPr>
        <w:spacing w:line="276" w:lineRule="auto"/>
        <w:ind w:left="567"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Quincuagésimo primero. </w:t>
      </w:r>
      <w:r w:rsidRPr="00EB03EB">
        <w:rPr>
          <w:rFonts w:ascii="Palatino Linotype" w:eastAsia="Palatino Linotype" w:hAnsi="Palatino Linotype" w:cs="Palatino Linotype"/>
          <w:i/>
          <w:sz w:val="22"/>
          <w:szCs w:val="22"/>
        </w:rPr>
        <w:t xml:space="preserve">Toda acta del Comité de Transparencia deberá contener: </w:t>
      </w:r>
    </w:p>
    <w:p w14:paraId="1A0F412C" w14:textId="77777777" w:rsidR="00426CAF" w:rsidRPr="00EB03EB" w:rsidRDefault="00B0335B">
      <w:pPr>
        <w:spacing w:line="276" w:lineRule="auto"/>
        <w:ind w:left="567"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 El número de sesión y fecha; </w:t>
      </w:r>
    </w:p>
    <w:p w14:paraId="56440768" w14:textId="77777777" w:rsidR="00426CAF" w:rsidRPr="00EB03EB" w:rsidRDefault="00B0335B">
      <w:pPr>
        <w:spacing w:line="276" w:lineRule="auto"/>
        <w:ind w:left="567"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II. El nombre del área que solicitó la clasificación de información; </w:t>
      </w:r>
    </w:p>
    <w:p w14:paraId="0ADCF322" w14:textId="77777777" w:rsidR="00426CAF" w:rsidRPr="00EB03EB" w:rsidRDefault="00B0335B">
      <w:pPr>
        <w:spacing w:line="276" w:lineRule="auto"/>
        <w:ind w:left="567"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III. La fundamentación legal y motivación correspondiente; </w:t>
      </w:r>
    </w:p>
    <w:p w14:paraId="5968045D" w14:textId="77777777" w:rsidR="00426CAF" w:rsidRPr="00EB03EB" w:rsidRDefault="00B0335B">
      <w:pPr>
        <w:spacing w:line="276" w:lineRule="auto"/>
        <w:ind w:left="567"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IV. La resolución o resoluciones aprobadas; y </w:t>
      </w:r>
    </w:p>
    <w:p w14:paraId="067C59A7" w14:textId="77777777" w:rsidR="00426CAF" w:rsidRPr="00EB03EB" w:rsidRDefault="00B0335B">
      <w:pPr>
        <w:spacing w:line="276" w:lineRule="auto"/>
        <w:ind w:left="567"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V. La rúbrica o firma digital de cada integrante del Comité de Transparencia. </w:t>
      </w:r>
    </w:p>
    <w:p w14:paraId="6B88046D" w14:textId="77777777" w:rsidR="00426CAF" w:rsidRPr="00EB03EB" w:rsidRDefault="00B0335B">
      <w:pPr>
        <w:spacing w:line="276" w:lineRule="auto"/>
        <w:ind w:left="567"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p>
    <w:p w14:paraId="5C1EC29B" w14:textId="77777777" w:rsidR="00426CAF" w:rsidRPr="00EB03EB" w:rsidRDefault="00B0335B">
      <w:pPr>
        <w:spacing w:line="276" w:lineRule="auto"/>
        <w:ind w:left="567" w:right="900"/>
        <w:jc w:val="both"/>
        <w:rPr>
          <w:rFonts w:ascii="Palatino Linotype" w:eastAsia="Palatino Linotype" w:hAnsi="Palatino Linotype" w:cs="Palatino Linotype"/>
          <w:b/>
          <w:i/>
          <w:sz w:val="22"/>
          <w:szCs w:val="22"/>
          <w:u w:val="single"/>
        </w:rPr>
      </w:pPr>
      <w:r w:rsidRPr="00EB03EB">
        <w:rPr>
          <w:rFonts w:ascii="Palatino Linotype" w:eastAsia="Palatino Linotype" w:hAnsi="Palatino Linotype" w:cs="Palatino Linotype"/>
          <w:i/>
          <w:sz w:val="22"/>
          <w:szCs w:val="22"/>
        </w:rPr>
        <w:t xml:space="preserve">En los casos de resoluciones del Comité de Transparencia en las que se </w:t>
      </w:r>
      <w:r w:rsidRPr="00EB03EB">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231C9BA3" w14:textId="77777777" w:rsidR="00426CAF" w:rsidRPr="00EB03EB" w:rsidRDefault="00B0335B">
      <w:pPr>
        <w:spacing w:line="276" w:lineRule="auto"/>
        <w:ind w:left="567" w:right="900"/>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 xml:space="preserve">Quincuagésimo segundo. </w:t>
      </w:r>
      <w:r w:rsidRPr="00EB03EB">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EB03EB">
        <w:rPr>
          <w:rFonts w:ascii="Palatino Linotype" w:eastAsia="Palatino Linotype" w:hAnsi="Palatino Linotype" w:cs="Palatino Linotype"/>
          <w:b/>
          <w:i/>
          <w:sz w:val="22"/>
          <w:szCs w:val="22"/>
        </w:rPr>
        <w:t>confidencial,</w:t>
      </w:r>
      <w:r w:rsidRPr="00EB03EB">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1B8B8233" w14:textId="77777777" w:rsidR="00426CAF" w:rsidRPr="00EB03EB" w:rsidRDefault="00B0335B">
      <w:pPr>
        <w:spacing w:line="276" w:lineRule="auto"/>
        <w:ind w:left="567"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20EAB07" w14:textId="77777777" w:rsidR="00426CAF" w:rsidRPr="00EB03EB" w:rsidRDefault="00B0335B">
      <w:pPr>
        <w:spacing w:line="276" w:lineRule="auto"/>
        <w:ind w:left="567" w:right="900"/>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17C416D8" w14:textId="77777777" w:rsidR="00426CAF" w:rsidRPr="00EB03EB" w:rsidRDefault="00B0335B">
      <w:pPr>
        <w:spacing w:line="276" w:lineRule="auto"/>
        <w:ind w:left="567" w:right="900"/>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58AD1424" w14:textId="77777777" w:rsidR="00426CAF" w:rsidRPr="00EB03EB" w:rsidRDefault="00B0335B">
      <w:pPr>
        <w:spacing w:line="276" w:lineRule="auto"/>
        <w:ind w:left="567" w:right="900"/>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 xml:space="preserve">III. Señalar las personas o instancias autorizadas a acceder a la información clasificada. </w:t>
      </w:r>
    </w:p>
    <w:p w14:paraId="02EA8159" w14:textId="77777777" w:rsidR="00426CAF" w:rsidRPr="00EB03EB" w:rsidRDefault="00B0335B">
      <w:pPr>
        <w:spacing w:line="276" w:lineRule="auto"/>
        <w:ind w:left="567"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EB03EB">
        <w:rPr>
          <w:rFonts w:ascii="Palatino Linotype" w:eastAsia="Palatino Linotype" w:hAnsi="Palatino Linotype" w:cs="Palatino Linotype"/>
          <w:b/>
          <w:i/>
          <w:sz w:val="22"/>
          <w:szCs w:val="22"/>
          <w:u w:val="single"/>
        </w:rPr>
        <w:t>información confidencial.</w:t>
      </w:r>
      <w:r w:rsidRPr="00EB03EB">
        <w:rPr>
          <w:rFonts w:ascii="Palatino Linotype" w:eastAsia="Palatino Linotype" w:hAnsi="Palatino Linotype" w:cs="Palatino Linotype"/>
          <w:i/>
          <w:sz w:val="22"/>
          <w:szCs w:val="22"/>
        </w:rPr>
        <w:t xml:space="preserve"> </w:t>
      </w:r>
    </w:p>
    <w:p w14:paraId="7970E5C1" w14:textId="77777777" w:rsidR="00426CAF" w:rsidRPr="00EB03EB" w:rsidRDefault="00B0335B">
      <w:pPr>
        <w:spacing w:line="276" w:lineRule="auto"/>
        <w:ind w:left="567" w:right="900"/>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w:t>
      </w:r>
    </w:p>
    <w:p w14:paraId="7B2B26AE" w14:textId="77777777" w:rsidR="00426CAF" w:rsidRPr="00EB03EB" w:rsidRDefault="00B0335B">
      <w:pPr>
        <w:spacing w:line="276" w:lineRule="auto"/>
        <w:ind w:left="567" w:right="900"/>
        <w:jc w:val="both"/>
        <w:rPr>
          <w:rFonts w:ascii="Palatino Linotype" w:eastAsia="Palatino Linotype" w:hAnsi="Palatino Linotype" w:cs="Palatino Linotype"/>
          <w:b/>
          <w:i/>
          <w:sz w:val="22"/>
          <w:szCs w:val="22"/>
        </w:rPr>
      </w:pPr>
      <w:r w:rsidRPr="00EB03EB">
        <w:rPr>
          <w:rFonts w:ascii="Palatino Linotype" w:eastAsia="Palatino Linotype" w:hAnsi="Palatino Linotype" w:cs="Palatino Linotype"/>
          <w:b/>
          <w:i/>
          <w:sz w:val="22"/>
          <w:szCs w:val="22"/>
        </w:rPr>
        <w:t xml:space="preserve">Quincuagésimo cuarto. </w:t>
      </w:r>
      <w:r w:rsidRPr="00EB03EB">
        <w:rPr>
          <w:rFonts w:ascii="Palatino Linotype" w:eastAsia="Palatino Linotype" w:hAnsi="Palatino Linotype" w:cs="Palatino Linotype"/>
          <w:i/>
          <w:sz w:val="22"/>
          <w:szCs w:val="22"/>
        </w:rPr>
        <w:t xml:space="preserve">Cuando el Comité de Transparencia confirme la clasificación de documentos reservados y/o </w:t>
      </w:r>
      <w:r w:rsidRPr="00EB03EB">
        <w:rPr>
          <w:rFonts w:ascii="Palatino Linotype" w:eastAsia="Palatino Linotype" w:hAnsi="Palatino Linotype" w:cs="Palatino Linotype"/>
          <w:b/>
          <w:i/>
          <w:sz w:val="22"/>
          <w:szCs w:val="22"/>
        </w:rPr>
        <w:t>confidenciales</w:t>
      </w:r>
      <w:r w:rsidRPr="00EB03EB">
        <w:rPr>
          <w:rFonts w:ascii="Palatino Linotype" w:eastAsia="Palatino Linotype" w:hAnsi="Palatino Linotype" w:cs="Palatino Linotype"/>
          <w:i/>
          <w:sz w:val="22"/>
          <w:szCs w:val="22"/>
        </w:rPr>
        <w:t xml:space="preserve">, sea total o parcialmente; </w:t>
      </w:r>
      <w:r w:rsidRPr="00EB03EB">
        <w:rPr>
          <w:rFonts w:ascii="Palatino Linotype" w:eastAsia="Palatino Linotype" w:hAnsi="Palatino Linotype" w:cs="Palatino Linotype"/>
          <w:i/>
          <w:sz w:val="22"/>
          <w:szCs w:val="22"/>
        </w:rPr>
        <w:lastRenderedPageBreak/>
        <w:t>se deberá anexar al expediente la resolución que determinó la clasificación o, en su defecto, identificar en la carátula del expediente del cual formen parte, la fecha y sesión del Comité de Transparencia en la que se confirmó dicha clasificación.</w:t>
      </w:r>
      <w:r w:rsidRPr="00EB03EB">
        <w:rPr>
          <w:rFonts w:ascii="Palatino Linotype" w:eastAsia="Palatino Linotype" w:hAnsi="Palatino Linotype" w:cs="Palatino Linotype"/>
          <w:b/>
          <w:i/>
          <w:sz w:val="22"/>
          <w:szCs w:val="22"/>
        </w:rPr>
        <w:t xml:space="preserve"> </w:t>
      </w:r>
    </w:p>
    <w:p w14:paraId="4177E4DC" w14:textId="77777777" w:rsidR="00426CAF" w:rsidRPr="00EB03EB" w:rsidRDefault="00B0335B">
      <w:pPr>
        <w:spacing w:line="276" w:lineRule="auto"/>
        <w:ind w:left="567"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 xml:space="preserve">Quincuagésimo quinto. </w:t>
      </w:r>
      <w:r w:rsidRPr="00EB03EB">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2F93AB4F"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F1FB1F1"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Entorno a lo que aquí nos interesa, los Lineamientos Quincuagésimo sexto, Quincuagésimo séptimo y Quincuagésimo octavo, establecen lo siguiente:</w:t>
      </w:r>
    </w:p>
    <w:p w14:paraId="0DFA45E4"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5557FF6A" w14:textId="77777777" w:rsidR="00426CAF" w:rsidRPr="00EB03EB" w:rsidRDefault="00B0335B">
      <w:pPr>
        <w:ind w:left="851"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w:t>
      </w:r>
      <w:r w:rsidRPr="00EB03EB">
        <w:rPr>
          <w:rFonts w:ascii="Palatino Linotype" w:eastAsia="Palatino Linotype" w:hAnsi="Palatino Linotype" w:cs="Palatino Linotype"/>
          <w:b/>
          <w:i/>
          <w:sz w:val="22"/>
          <w:szCs w:val="22"/>
        </w:rPr>
        <w:t>Quincuagésimo sexto.</w:t>
      </w:r>
      <w:r w:rsidRPr="00EB03EB">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2BEE5934" w14:textId="77777777" w:rsidR="00426CAF" w:rsidRPr="00EB03EB" w:rsidRDefault="00B0335B">
      <w:pPr>
        <w:ind w:left="851"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Quincuagésimo séptimo.</w:t>
      </w:r>
      <w:r w:rsidRPr="00EB03EB">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71E0F59B" w14:textId="77777777" w:rsidR="00426CAF" w:rsidRPr="00EB03EB" w:rsidRDefault="00B0335B">
      <w:pPr>
        <w:ind w:left="851"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I.</w:t>
      </w:r>
      <w:r w:rsidRPr="00EB03EB">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5E3B33B8" w14:textId="77777777" w:rsidR="00426CAF" w:rsidRPr="00EB03EB" w:rsidRDefault="00B0335B">
      <w:pPr>
        <w:ind w:left="851"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II.</w:t>
      </w:r>
      <w:r w:rsidRPr="00EB03EB">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203BEFCA" w14:textId="77777777" w:rsidR="00426CAF" w:rsidRPr="00EB03EB" w:rsidRDefault="00B0335B">
      <w:pPr>
        <w:ind w:left="851"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III.</w:t>
      </w:r>
      <w:r w:rsidRPr="00EB03EB">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366AD8F9" w14:textId="77777777" w:rsidR="00426CAF" w:rsidRPr="00EB03EB" w:rsidRDefault="00B0335B">
      <w:pPr>
        <w:spacing w:line="276" w:lineRule="auto"/>
        <w:ind w:left="851"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internaciones suscritos por el Estado mexicano. </w:t>
      </w:r>
    </w:p>
    <w:p w14:paraId="3C1291F6" w14:textId="77777777" w:rsidR="00426CAF" w:rsidRPr="00EB03EB" w:rsidRDefault="00B0335B">
      <w:pPr>
        <w:spacing w:line="276" w:lineRule="auto"/>
        <w:ind w:left="851" w:right="902"/>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Quincuagésimo octavo</w:t>
      </w:r>
      <w:r w:rsidRPr="00EB03EB">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2F766B7A" w14:textId="77777777" w:rsidR="00426CAF" w:rsidRPr="00EB03EB" w:rsidRDefault="00426CAF">
      <w:pPr>
        <w:spacing w:line="360" w:lineRule="auto"/>
        <w:ind w:left="851" w:right="902"/>
        <w:jc w:val="both"/>
        <w:rPr>
          <w:rFonts w:ascii="Palatino Linotype" w:eastAsia="Palatino Linotype" w:hAnsi="Palatino Linotype" w:cs="Palatino Linotype"/>
          <w:i/>
          <w:sz w:val="22"/>
          <w:szCs w:val="22"/>
        </w:rPr>
      </w:pPr>
    </w:p>
    <w:p w14:paraId="6D05EA61"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lastRenderedPageBreak/>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CURP, el número de cuenta bancaria, RFC que sean exclusivamente de particulares, entre otros.</w:t>
      </w:r>
    </w:p>
    <w:p w14:paraId="16FD7AE2"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155FFC4E"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La </w:t>
      </w:r>
      <w:r w:rsidRPr="00EB03EB">
        <w:rPr>
          <w:rFonts w:ascii="Palatino Linotype" w:eastAsia="Palatino Linotype" w:hAnsi="Palatino Linotype" w:cs="Palatino Linotype"/>
          <w:b/>
          <w:sz w:val="22"/>
          <w:szCs w:val="22"/>
        </w:rPr>
        <w:t>clave única del registro de población,</w:t>
      </w:r>
      <w:r w:rsidRPr="00EB03EB">
        <w:rPr>
          <w:rFonts w:ascii="Palatino Linotype" w:eastAsia="Palatino Linotype" w:hAnsi="Palatino Linotype" w:cs="Palatino Linotype"/>
          <w:i/>
          <w:sz w:val="22"/>
          <w:szCs w:val="22"/>
        </w:rPr>
        <w:t xml:space="preserve"> </w:t>
      </w:r>
      <w:r w:rsidRPr="00EB03EB">
        <w:rPr>
          <w:rFonts w:ascii="Palatino Linotype" w:eastAsia="Palatino Linotype" w:hAnsi="Palatino Linotype" w:cs="Palatino Linotype"/>
          <w:sz w:val="22"/>
          <w:szCs w:val="22"/>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1E5F0BC3"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3F52FFFF" w14:textId="77777777" w:rsidR="00426CAF" w:rsidRPr="00EB03EB" w:rsidRDefault="00B0335B">
      <w:pPr>
        <w:spacing w:line="360" w:lineRule="auto"/>
        <w:ind w:right="5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Igualmente, resulta importante destacar que el </w:t>
      </w:r>
      <w:r w:rsidRPr="00EB03EB">
        <w:rPr>
          <w:rFonts w:ascii="Palatino Linotype" w:eastAsia="Palatino Linotype" w:hAnsi="Palatino Linotype" w:cs="Palatino Linotype"/>
          <w:i/>
          <w:sz w:val="22"/>
          <w:szCs w:val="22"/>
        </w:rPr>
        <w:t>número de cuenta bancaria</w:t>
      </w:r>
      <w:r w:rsidRPr="00EB03EB">
        <w:rPr>
          <w:rFonts w:ascii="Palatino Linotype" w:eastAsia="Palatino Linotype" w:hAnsi="Palatino Linotype" w:cs="Palatino Linotype"/>
          <w:sz w:val="22"/>
          <w:szCs w:val="22"/>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6E33B067"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5003464B" w14:textId="77777777" w:rsidR="00426CAF" w:rsidRPr="00EB03EB" w:rsidRDefault="00B0335B">
      <w:pPr>
        <w:spacing w:line="360" w:lineRule="auto"/>
        <w:ind w:right="5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28AC9439"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7FBF1489" w14:textId="77777777" w:rsidR="00426CAF" w:rsidRPr="00EB03EB" w:rsidRDefault="00B0335B">
      <w:pPr>
        <w:spacing w:line="360" w:lineRule="auto"/>
        <w:ind w:right="5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Además de que, la publicidad de los números de cuenta bancaria de los particulares en nada contribuye a la rendición de cuentas, sino por el contrario, dar a conocer los números </w:t>
      </w:r>
      <w:r w:rsidRPr="00EB03EB">
        <w:rPr>
          <w:rFonts w:ascii="Palatino Linotype" w:eastAsia="Palatino Linotype" w:hAnsi="Palatino Linotype" w:cs="Palatino Linotype"/>
          <w:sz w:val="22"/>
          <w:szCs w:val="22"/>
        </w:rPr>
        <w:lastRenderedPageBreak/>
        <w:t xml:space="preserve">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6083D70F"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3CDE4E10" w14:textId="77777777" w:rsidR="00426CAF" w:rsidRPr="00EB03EB" w:rsidRDefault="00B0335B">
      <w:pPr>
        <w:spacing w:line="360" w:lineRule="auto"/>
        <w:ind w:right="5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esa virtud, este Pleno determina que dicha información no puede ser del dominio público, toda vez que se podría dar un uso inadecuado a la misma o cometer algún ilícito o fraude como ya ha sido expuesto. </w:t>
      </w:r>
    </w:p>
    <w:p w14:paraId="3765A011"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50BA875D" w14:textId="77777777" w:rsidR="00426CAF" w:rsidRPr="00EB03EB" w:rsidRDefault="00B0335B">
      <w:pPr>
        <w:spacing w:line="360" w:lineRule="auto"/>
        <w:ind w:right="5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Es por esta razón que se debe omitir el o los números de cuentas bancarias de particulares en las versiones públicas que del contrato y la o las facturas se hagan, para ser entregadas.</w:t>
      </w:r>
    </w:p>
    <w:p w14:paraId="1EE7D6CD"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3F282C0C" w14:textId="77777777" w:rsidR="00426CAF" w:rsidRPr="00EB03EB" w:rsidRDefault="00B0335B">
      <w:pPr>
        <w:spacing w:line="360" w:lineRule="auto"/>
        <w:ind w:right="50"/>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032E9D55"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2E56789B" w14:textId="77777777" w:rsidR="00426CAF" w:rsidRPr="00EB03EB" w:rsidRDefault="00B0335B">
      <w:pPr>
        <w:spacing w:line="360" w:lineRule="auto"/>
        <w:ind w:right="50"/>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Lo argumentado encuentra sustento en los criterios 10/17 y 11/17 emitidos por el Instituto Nacional de Transparencia, Acceso a la Información y Protección de Datos Personales, INAI, que llevan por rubro y texto los siguientes:</w:t>
      </w:r>
    </w:p>
    <w:p w14:paraId="465DAB07" w14:textId="77777777" w:rsidR="00426CAF" w:rsidRPr="00EB03EB" w:rsidRDefault="00426CAF">
      <w:pPr>
        <w:spacing w:line="360" w:lineRule="auto"/>
        <w:ind w:right="50"/>
        <w:jc w:val="both"/>
        <w:rPr>
          <w:rFonts w:ascii="Palatino Linotype" w:eastAsia="Palatino Linotype" w:hAnsi="Palatino Linotype" w:cs="Palatino Linotype"/>
          <w:sz w:val="22"/>
          <w:szCs w:val="22"/>
        </w:rPr>
      </w:pPr>
    </w:p>
    <w:p w14:paraId="1276F86C" w14:textId="77777777" w:rsidR="00426CAF" w:rsidRPr="00EB03EB" w:rsidRDefault="00B0335B">
      <w:pPr>
        <w:spacing w:line="276" w:lineRule="auto"/>
        <w:ind w:left="851"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“Cuentas bancarias y/o CLABE interbancaria de personas físicas y morales privadas.</w:t>
      </w:r>
      <w:r w:rsidRPr="00EB03EB">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w:t>
      </w:r>
      <w:r w:rsidRPr="00EB03EB">
        <w:rPr>
          <w:rFonts w:ascii="Palatino Linotype" w:eastAsia="Palatino Linotype" w:hAnsi="Palatino Linotype" w:cs="Palatino Linotype"/>
          <w:i/>
          <w:sz w:val="22"/>
          <w:szCs w:val="22"/>
        </w:rPr>
        <w:lastRenderedPageBreak/>
        <w:t>información clasificada con fundamento en los artículos 116 de la Ley General de Transparencia y Acceso a la Información Pública y 113 de la Ley Federal de Transparencia y Acceso a la Información Pública.</w:t>
      </w:r>
    </w:p>
    <w:p w14:paraId="792508A5" w14:textId="77777777" w:rsidR="00426CAF" w:rsidRPr="00EB03EB" w:rsidRDefault="00B0335B">
      <w:pPr>
        <w:spacing w:line="276" w:lineRule="auto"/>
        <w:ind w:left="851" w:right="900"/>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EB03EB">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1CC991BD" w14:textId="77777777" w:rsidR="00426CAF" w:rsidRPr="00EB03EB" w:rsidRDefault="00426CAF">
      <w:pPr>
        <w:spacing w:line="360" w:lineRule="auto"/>
        <w:ind w:right="900"/>
        <w:jc w:val="both"/>
        <w:rPr>
          <w:rFonts w:ascii="Palatino Linotype" w:eastAsia="Palatino Linotype" w:hAnsi="Palatino Linotype" w:cs="Palatino Linotype"/>
          <w:i/>
          <w:sz w:val="22"/>
          <w:szCs w:val="22"/>
        </w:rPr>
      </w:pPr>
    </w:p>
    <w:p w14:paraId="7BE8B36F"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En el caso del </w:t>
      </w:r>
      <w:r w:rsidRPr="00EB03EB">
        <w:rPr>
          <w:rFonts w:ascii="Palatino Linotype" w:eastAsia="Palatino Linotype" w:hAnsi="Palatino Linotype" w:cs="Palatino Linotype"/>
          <w:b/>
          <w:sz w:val="22"/>
          <w:szCs w:val="22"/>
        </w:rPr>
        <w:t>folio fiscal</w:t>
      </w:r>
      <w:r w:rsidRPr="00EB03EB">
        <w:rPr>
          <w:rFonts w:ascii="Palatino Linotype" w:eastAsia="Palatino Linotype" w:hAnsi="Palatino Linotype" w:cs="Palatino Linotype"/>
          <w:sz w:val="22"/>
          <w:szCs w:val="22"/>
        </w:rPr>
        <w:t xml:space="preserve">, la </w:t>
      </w:r>
      <w:r w:rsidRPr="00EB03EB">
        <w:rPr>
          <w:rFonts w:ascii="Palatino Linotype" w:eastAsia="Palatino Linotype" w:hAnsi="Palatino Linotype" w:cs="Palatino Linotype"/>
          <w:b/>
          <w:sz w:val="22"/>
          <w:szCs w:val="22"/>
        </w:rPr>
        <w:t xml:space="preserve">cadena original, </w:t>
      </w:r>
      <w:r w:rsidRPr="00EB03EB">
        <w:rPr>
          <w:rFonts w:ascii="Palatino Linotype" w:eastAsia="Palatino Linotype" w:hAnsi="Palatino Linotype" w:cs="Palatino Linotype"/>
          <w:sz w:val="22"/>
          <w:szCs w:val="22"/>
        </w:rPr>
        <w:t>los</w:t>
      </w:r>
      <w:r w:rsidRPr="00EB03EB">
        <w:rPr>
          <w:rFonts w:ascii="Palatino Linotype" w:eastAsia="Palatino Linotype" w:hAnsi="Palatino Linotype" w:cs="Palatino Linotype"/>
          <w:b/>
          <w:sz w:val="22"/>
          <w:szCs w:val="22"/>
        </w:rPr>
        <w:t xml:space="preserve"> códigos bidimensionales o códigos QR,</w:t>
      </w:r>
      <w:r w:rsidRPr="00EB03EB">
        <w:rPr>
          <w:rFonts w:ascii="Palatino Linotype" w:eastAsia="Palatino Linotype" w:hAnsi="Palatino Linotype" w:cs="Palatino Linotype"/>
          <w:sz w:val="22"/>
          <w:szCs w:val="22"/>
        </w:rPr>
        <w:t xml:space="preserve"> y, en general, cualquier información de carácter fiscal,  pudiera contener un Comprobante Fiscal Digital por Internet, CFDI o bien, una factura  se debe hacer un análisis caso por caso, con la finalidad de determinar si de dicha información se pueden obtener datos personales que no sean susceptibles de conocimiento público, como por ejemplo la 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14:paraId="293896DF"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7B00B1EA"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64B65418"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41C500C0"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w:t>
      </w:r>
      <w:r w:rsidRPr="00EB03EB">
        <w:rPr>
          <w:rFonts w:ascii="Palatino Linotype" w:eastAsia="Palatino Linotype" w:hAnsi="Palatino Linotype" w:cs="Palatino Linotype"/>
          <w:sz w:val="22"/>
          <w:szCs w:val="22"/>
        </w:rPr>
        <w:lastRenderedPageBreak/>
        <w:t xml:space="preserve">que llevaron al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DBA8C09" w14:textId="77777777" w:rsidR="00426CAF" w:rsidRPr="00EB03EB" w:rsidRDefault="00426CA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89AF748"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2C0D5FF9" w14:textId="77777777" w:rsidR="00426CAF" w:rsidRPr="00EB03EB" w:rsidRDefault="00B0335B">
      <w:pPr>
        <w:numPr>
          <w:ilvl w:val="0"/>
          <w:numId w:val="8"/>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R E S U E L V E:</w:t>
      </w:r>
    </w:p>
    <w:p w14:paraId="18278CA1" w14:textId="77777777" w:rsidR="00426CAF" w:rsidRPr="00EB03EB" w:rsidRDefault="00B0335B">
      <w:pPr>
        <w:spacing w:before="240" w:after="240" w:line="360" w:lineRule="auto"/>
        <w:jc w:val="both"/>
        <w:rPr>
          <w:rFonts w:ascii="Palatino Linotype" w:eastAsia="Palatino Linotype" w:hAnsi="Palatino Linotype" w:cs="Palatino Linotype"/>
          <w:b/>
          <w:sz w:val="22"/>
          <w:szCs w:val="22"/>
        </w:rPr>
      </w:pPr>
      <w:r w:rsidRPr="00EB03EB">
        <w:rPr>
          <w:rFonts w:ascii="Palatino Linotype" w:eastAsia="Palatino Linotype" w:hAnsi="Palatino Linotype" w:cs="Palatino Linotype"/>
          <w:b/>
          <w:sz w:val="22"/>
          <w:szCs w:val="22"/>
        </w:rPr>
        <w:t xml:space="preserve">Primero. </w:t>
      </w:r>
      <w:r w:rsidRPr="00EB03EB">
        <w:rPr>
          <w:rFonts w:ascii="Palatino Linotype" w:eastAsia="Palatino Linotype" w:hAnsi="Palatino Linotype" w:cs="Palatino Linotype"/>
          <w:sz w:val="22"/>
          <w:szCs w:val="22"/>
        </w:rPr>
        <w:t xml:space="preserve">Resultan </w:t>
      </w:r>
      <w:r w:rsidRPr="00EB03EB">
        <w:rPr>
          <w:rFonts w:ascii="Palatino Linotype" w:eastAsia="Palatino Linotype" w:hAnsi="Palatino Linotype" w:cs="Palatino Linotype"/>
          <w:b/>
          <w:sz w:val="22"/>
          <w:szCs w:val="22"/>
        </w:rPr>
        <w:t>fundados</w:t>
      </w:r>
      <w:r w:rsidRPr="00EB03EB">
        <w:rPr>
          <w:rFonts w:ascii="Palatino Linotype" w:eastAsia="Palatino Linotype" w:hAnsi="Palatino Linotype" w:cs="Palatino Linotype"/>
          <w:sz w:val="22"/>
          <w:szCs w:val="22"/>
        </w:rPr>
        <w:t xml:space="preserve"> los motivos de inconformidad hechos valer por la parte</w:t>
      </w:r>
      <w:r w:rsidRPr="00EB03EB">
        <w:rPr>
          <w:rFonts w:ascii="Palatino Linotype" w:eastAsia="Palatino Linotype" w:hAnsi="Palatino Linotype" w:cs="Palatino Linotype"/>
          <w:b/>
          <w:sz w:val="22"/>
          <w:szCs w:val="22"/>
        </w:rPr>
        <w:t xml:space="preserve"> Recurrente </w:t>
      </w:r>
      <w:r w:rsidRPr="00EB03EB">
        <w:rPr>
          <w:rFonts w:ascii="Palatino Linotype" w:eastAsia="Palatino Linotype" w:hAnsi="Palatino Linotype" w:cs="Palatino Linotype"/>
          <w:sz w:val="22"/>
          <w:szCs w:val="22"/>
        </w:rPr>
        <w:t xml:space="preserve">en el Recurso de Revisión </w:t>
      </w:r>
      <w:r w:rsidRPr="00EB03EB">
        <w:rPr>
          <w:rFonts w:ascii="Palatino Linotype" w:eastAsia="Palatino Linotype" w:hAnsi="Palatino Linotype" w:cs="Palatino Linotype"/>
          <w:b/>
          <w:sz w:val="22"/>
          <w:szCs w:val="22"/>
        </w:rPr>
        <w:t xml:space="preserve">01194/INFOEM/ICR-24/IP/RR/2024, </w:t>
      </w:r>
      <w:r w:rsidRPr="00EB03EB">
        <w:rPr>
          <w:rFonts w:ascii="Palatino Linotype" w:eastAsia="Palatino Linotype" w:hAnsi="Palatino Linotype" w:cs="Palatino Linotype"/>
          <w:sz w:val="22"/>
          <w:szCs w:val="22"/>
        </w:rPr>
        <w:t xml:space="preserve">por lo que, en términos del Considerando </w:t>
      </w:r>
      <w:r w:rsidRPr="00EB03EB">
        <w:rPr>
          <w:rFonts w:ascii="Palatino Linotype" w:eastAsia="Palatino Linotype" w:hAnsi="Palatino Linotype" w:cs="Palatino Linotype"/>
          <w:b/>
          <w:sz w:val="22"/>
          <w:szCs w:val="22"/>
        </w:rPr>
        <w:t>Cuarto</w:t>
      </w:r>
      <w:r w:rsidRPr="00EB03EB">
        <w:rPr>
          <w:rFonts w:ascii="Palatino Linotype" w:eastAsia="Palatino Linotype" w:hAnsi="Palatino Linotype" w:cs="Palatino Linotype"/>
          <w:sz w:val="22"/>
          <w:szCs w:val="22"/>
        </w:rPr>
        <w:t xml:space="preserve"> de la presente resolución, se</w:t>
      </w:r>
      <w:r w:rsidRPr="00EB03EB">
        <w:rPr>
          <w:rFonts w:ascii="Palatino Linotype" w:eastAsia="Palatino Linotype" w:hAnsi="Palatino Linotype" w:cs="Palatino Linotype"/>
          <w:b/>
          <w:sz w:val="22"/>
          <w:szCs w:val="22"/>
        </w:rPr>
        <w:t xml:space="preserve"> Modifica </w:t>
      </w:r>
      <w:r w:rsidRPr="00EB03EB">
        <w:rPr>
          <w:rFonts w:ascii="Palatino Linotype" w:eastAsia="Palatino Linotype" w:hAnsi="Palatino Linotype" w:cs="Palatino Linotype"/>
          <w:sz w:val="22"/>
          <w:szCs w:val="22"/>
        </w:rPr>
        <w:t xml:space="preserve">la respuesta emitida por el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 xml:space="preserve">en cumplimiento a la resolución del Recurso de Revisión </w:t>
      </w:r>
      <w:r w:rsidRPr="00EB03EB">
        <w:rPr>
          <w:rFonts w:ascii="Palatino Linotype" w:eastAsia="Palatino Linotype" w:hAnsi="Palatino Linotype" w:cs="Palatino Linotype"/>
          <w:b/>
          <w:sz w:val="22"/>
          <w:szCs w:val="22"/>
        </w:rPr>
        <w:t xml:space="preserve">01194/INFOEM/IP/RR/2024. </w:t>
      </w:r>
    </w:p>
    <w:p w14:paraId="404AC6AB" w14:textId="77777777" w:rsidR="00426CAF" w:rsidRPr="00EB03EB" w:rsidRDefault="00B0335B">
      <w:pPr>
        <w:spacing w:before="240" w:after="240" w:line="360" w:lineRule="auto"/>
        <w:jc w:val="both"/>
        <w:rPr>
          <w:rFonts w:ascii="Palatino Linotype" w:eastAsia="Palatino Linotype" w:hAnsi="Palatino Linotype" w:cs="Palatino Linotype"/>
          <w:sz w:val="22"/>
          <w:szCs w:val="22"/>
        </w:rPr>
      </w:pPr>
      <w:bookmarkStart w:id="9" w:name="_heading=h.26in1rg" w:colFirst="0" w:colLast="0"/>
      <w:bookmarkEnd w:id="9"/>
      <w:r w:rsidRPr="00EB03EB">
        <w:rPr>
          <w:rFonts w:ascii="Palatino Linotype" w:eastAsia="Palatino Linotype" w:hAnsi="Palatino Linotype" w:cs="Palatino Linotype"/>
          <w:b/>
          <w:sz w:val="22"/>
          <w:szCs w:val="22"/>
        </w:rPr>
        <w:t>Segundo.</w:t>
      </w:r>
      <w:r w:rsidRPr="00EB03EB">
        <w:rPr>
          <w:rFonts w:ascii="Palatino Linotype" w:eastAsia="Palatino Linotype" w:hAnsi="Palatino Linotype" w:cs="Palatino Linotype"/>
          <w:sz w:val="22"/>
          <w:szCs w:val="22"/>
        </w:rPr>
        <w:t xml:space="preserve"> Se</w:t>
      </w:r>
      <w:r w:rsidRPr="00EB03EB">
        <w:rPr>
          <w:rFonts w:ascii="Palatino Linotype" w:eastAsia="Palatino Linotype" w:hAnsi="Palatino Linotype" w:cs="Palatino Linotype"/>
          <w:b/>
          <w:sz w:val="22"/>
          <w:szCs w:val="22"/>
        </w:rPr>
        <w:t xml:space="preserve"> Ordena </w:t>
      </w:r>
      <w:r w:rsidRPr="00EB03EB">
        <w:rPr>
          <w:rFonts w:ascii="Palatino Linotype" w:eastAsia="Palatino Linotype" w:hAnsi="Palatino Linotype" w:cs="Palatino Linotype"/>
          <w:sz w:val="22"/>
          <w:szCs w:val="22"/>
        </w:rPr>
        <w:t xml:space="preserve">al </w:t>
      </w:r>
      <w:r w:rsidRPr="00EB03EB">
        <w:rPr>
          <w:rFonts w:ascii="Palatino Linotype" w:eastAsia="Palatino Linotype" w:hAnsi="Palatino Linotype" w:cs="Palatino Linotype"/>
          <w:b/>
          <w:sz w:val="22"/>
          <w:szCs w:val="22"/>
        </w:rPr>
        <w:t xml:space="preserve">sujeto obligado </w:t>
      </w:r>
      <w:r w:rsidRPr="00EB03EB">
        <w:rPr>
          <w:rFonts w:ascii="Palatino Linotype" w:eastAsia="Palatino Linotype" w:hAnsi="Palatino Linotype" w:cs="Palatino Linotype"/>
          <w:sz w:val="22"/>
          <w:szCs w:val="22"/>
        </w:rPr>
        <w:t>que, en términos de los considerandos C</w:t>
      </w:r>
      <w:r w:rsidRPr="00EB03EB">
        <w:rPr>
          <w:rFonts w:ascii="Palatino Linotype" w:eastAsia="Palatino Linotype" w:hAnsi="Palatino Linotype" w:cs="Palatino Linotype"/>
          <w:b/>
          <w:sz w:val="22"/>
          <w:szCs w:val="22"/>
        </w:rPr>
        <w:t xml:space="preserve">uarto </w:t>
      </w:r>
      <w:r w:rsidRPr="00EB03EB">
        <w:rPr>
          <w:rFonts w:ascii="Palatino Linotype" w:eastAsia="Palatino Linotype" w:hAnsi="Palatino Linotype" w:cs="Palatino Linotype"/>
          <w:sz w:val="22"/>
          <w:szCs w:val="22"/>
        </w:rPr>
        <w:t>y</w:t>
      </w:r>
      <w:r w:rsidRPr="00EB03EB">
        <w:rPr>
          <w:rFonts w:ascii="Palatino Linotype" w:eastAsia="Palatino Linotype" w:hAnsi="Palatino Linotype" w:cs="Palatino Linotype"/>
          <w:b/>
          <w:sz w:val="22"/>
          <w:szCs w:val="22"/>
        </w:rPr>
        <w:t xml:space="preserve"> Quinto</w:t>
      </w:r>
      <w:r w:rsidRPr="00EB03EB">
        <w:rPr>
          <w:rFonts w:ascii="Palatino Linotype" w:eastAsia="Palatino Linotype" w:hAnsi="Palatino Linotype" w:cs="Palatino Linotype"/>
          <w:sz w:val="22"/>
          <w:szCs w:val="22"/>
        </w:rPr>
        <w:t xml:space="preserve"> de esta resolución, haga entrega vía </w:t>
      </w:r>
      <w:r w:rsidRPr="00EB03EB">
        <w:rPr>
          <w:rFonts w:ascii="Palatino Linotype" w:eastAsia="Palatino Linotype" w:hAnsi="Palatino Linotype" w:cs="Palatino Linotype"/>
          <w:b/>
          <w:sz w:val="22"/>
          <w:szCs w:val="22"/>
        </w:rPr>
        <w:t xml:space="preserve">SAIMEX, </w:t>
      </w:r>
      <w:r w:rsidRPr="00EB03EB">
        <w:rPr>
          <w:rFonts w:ascii="Palatino Linotype" w:eastAsia="Palatino Linotype" w:hAnsi="Palatino Linotype" w:cs="Palatino Linotype"/>
          <w:sz w:val="22"/>
          <w:szCs w:val="22"/>
        </w:rPr>
        <w:t xml:space="preserve">previa búsqueda exhaustiva y razonable, de ser procedente en versión pública, respecto de la obra pública </w:t>
      </w:r>
      <w:r w:rsidRPr="00EB03EB">
        <w:rPr>
          <w:rFonts w:ascii="Palatino Linotype" w:eastAsia="Palatino Linotype" w:hAnsi="Palatino Linotype" w:cs="Palatino Linotype"/>
          <w:b/>
          <w:i/>
          <w:sz w:val="22"/>
          <w:szCs w:val="22"/>
        </w:rPr>
        <w:t xml:space="preserve">“Rehabilitación del Parque Recreativo y Deportivo “La Venta” (Primera Etapa), ubicada en Manuel Altamirano, Colonia La Venta, Ixtapaluca, Estado de México”, </w:t>
      </w:r>
      <w:r w:rsidRPr="00EB03EB">
        <w:rPr>
          <w:rFonts w:ascii="Palatino Linotype" w:eastAsia="Palatino Linotype" w:hAnsi="Palatino Linotype" w:cs="Palatino Linotype"/>
          <w:sz w:val="22"/>
          <w:szCs w:val="22"/>
        </w:rPr>
        <w:t>la siguiente información:</w:t>
      </w:r>
    </w:p>
    <w:p w14:paraId="0FB46138" w14:textId="77777777" w:rsidR="00426CAF" w:rsidRPr="00EB03EB" w:rsidRDefault="00B0335B">
      <w:pPr>
        <w:numPr>
          <w:ilvl w:val="0"/>
          <w:numId w:val="9"/>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lastRenderedPageBreak/>
        <w:t xml:space="preserve">En versión pública correcta, el contrato de obra pública sobre la base de precios unitarios y tiempo determinado número IXTA/DIOP/FORTAMUN/LPN/007/2023, número de obra FORTAMUN-007, folio SIAVAMEN: 62044, del veinticinco de mayo de dos mil veintitrés; </w:t>
      </w:r>
      <w:r w:rsidRPr="00EB03EB">
        <w:rPr>
          <w:rFonts w:ascii="Palatino Linotype" w:eastAsia="Palatino Linotype" w:hAnsi="Palatino Linotype" w:cs="Palatino Linotype"/>
          <w:b/>
          <w:sz w:val="22"/>
          <w:szCs w:val="22"/>
        </w:rPr>
        <w:t>remitido en cumplimiento a la resolución dictada dentro del recurso de revisión 01194/INFOEM/IP/RR/2024.</w:t>
      </w:r>
    </w:p>
    <w:p w14:paraId="160265AE" w14:textId="77777777" w:rsidR="00426CAF" w:rsidRPr="00EB03EB" w:rsidRDefault="00426CAF">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750390DC" w14:textId="77777777" w:rsidR="00426CAF" w:rsidRPr="00EB03EB" w:rsidRDefault="00B0335B">
      <w:pPr>
        <w:numPr>
          <w:ilvl w:val="0"/>
          <w:numId w:val="9"/>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t>El documento donde conste el presupuesto ejecutado para dicha obra, al ocho de febrero de dos mil veinticuatro.</w:t>
      </w:r>
    </w:p>
    <w:p w14:paraId="24D94128" w14:textId="77777777" w:rsidR="00426CAF" w:rsidRPr="00EB03EB" w:rsidRDefault="00426CAF">
      <w:pPr>
        <w:pBdr>
          <w:top w:val="nil"/>
          <w:left w:val="nil"/>
          <w:bottom w:val="nil"/>
          <w:right w:val="nil"/>
          <w:between w:val="nil"/>
        </w:pBdr>
        <w:ind w:left="708"/>
        <w:rPr>
          <w:rFonts w:ascii="Palatino Linotype" w:eastAsia="Palatino Linotype" w:hAnsi="Palatino Linotype" w:cs="Palatino Linotype"/>
          <w:sz w:val="22"/>
          <w:szCs w:val="22"/>
        </w:rPr>
      </w:pPr>
    </w:p>
    <w:p w14:paraId="3DA57153" w14:textId="77777777" w:rsidR="00426CAF" w:rsidRPr="00EB03EB" w:rsidRDefault="00B0335B">
      <w:pPr>
        <w:numPr>
          <w:ilvl w:val="0"/>
          <w:numId w:val="9"/>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bookmarkStart w:id="10" w:name="_heading=h.1t3h5sf" w:colFirst="0" w:colLast="0"/>
      <w:bookmarkEnd w:id="10"/>
      <w:r w:rsidRPr="00EB03EB">
        <w:rPr>
          <w:rFonts w:ascii="Palatino Linotype" w:eastAsia="Palatino Linotype" w:hAnsi="Palatino Linotype" w:cs="Palatino Linotype"/>
          <w:sz w:val="22"/>
          <w:szCs w:val="22"/>
        </w:rPr>
        <w:t>El proyecto ejecutivo de la obra.</w:t>
      </w:r>
    </w:p>
    <w:p w14:paraId="0EF9562C" w14:textId="77777777" w:rsidR="00426CAF" w:rsidRPr="00EB03EB" w:rsidRDefault="00B0335B">
      <w:pPr>
        <w:pBdr>
          <w:top w:val="nil"/>
          <w:left w:val="nil"/>
          <w:bottom w:val="nil"/>
          <w:right w:val="nil"/>
          <w:between w:val="nil"/>
        </w:pBdr>
        <w:spacing w:before="240" w:after="240"/>
        <w:ind w:left="425"/>
        <w:jc w:val="both"/>
        <w:rPr>
          <w:rFonts w:ascii="Palatino Linotype" w:eastAsia="Palatino Linotype" w:hAnsi="Palatino Linotype" w:cs="Palatino Linotype"/>
          <w:i/>
          <w:sz w:val="22"/>
          <w:szCs w:val="22"/>
        </w:rPr>
      </w:pPr>
      <w:r w:rsidRPr="00EB03EB">
        <w:rPr>
          <w:rFonts w:ascii="Palatino Linotype" w:eastAsia="Palatino Linotype" w:hAnsi="Palatino Linotype" w:cs="Palatino Linotype"/>
          <w:i/>
          <w:sz w:val="22"/>
          <w:szCs w:val="22"/>
        </w:rPr>
        <w:t xml:space="preserve">De ser procedente,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EB03EB">
        <w:rPr>
          <w:rFonts w:ascii="Palatino Linotype" w:eastAsia="Palatino Linotype" w:hAnsi="Palatino Linotype" w:cs="Palatino Linotype"/>
          <w:b/>
          <w:i/>
          <w:sz w:val="22"/>
          <w:szCs w:val="22"/>
        </w:rPr>
        <w:t>Recurrente</w:t>
      </w:r>
      <w:r w:rsidRPr="00EB03EB">
        <w:rPr>
          <w:rFonts w:ascii="Palatino Linotype" w:eastAsia="Palatino Linotype" w:hAnsi="Palatino Linotype" w:cs="Palatino Linotype"/>
          <w:i/>
          <w:sz w:val="22"/>
          <w:szCs w:val="22"/>
        </w:rPr>
        <w:t>.</w:t>
      </w:r>
    </w:p>
    <w:p w14:paraId="0E6B815F" w14:textId="77777777" w:rsidR="00426CAF" w:rsidRPr="00EB03EB" w:rsidRDefault="00B0335B">
      <w:pPr>
        <w:spacing w:after="240"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Tercero.  Notifíquese, vía SAIMEX, </w:t>
      </w:r>
      <w:r w:rsidRPr="00EB03EB">
        <w:rPr>
          <w:rFonts w:ascii="Palatino Linotype" w:eastAsia="Palatino Linotype" w:hAnsi="Palatino Linotype" w:cs="Palatino Linotype"/>
          <w:sz w:val="22"/>
          <w:szCs w:val="22"/>
        </w:rPr>
        <w:t xml:space="preserve">la presente resolución al Titular de la Unidad de Transparencia del </w:t>
      </w:r>
      <w:r w:rsidRPr="00EB03EB">
        <w:rPr>
          <w:rFonts w:ascii="Palatino Linotype" w:eastAsia="Palatino Linotype" w:hAnsi="Palatino Linotype" w:cs="Palatino Linotype"/>
          <w:b/>
          <w:sz w:val="22"/>
          <w:szCs w:val="22"/>
        </w:rPr>
        <w:t>Sujeto Obligado</w:t>
      </w:r>
      <w:r w:rsidRPr="00EB03EB">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4ED381"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b/>
          <w:sz w:val="22"/>
          <w:szCs w:val="22"/>
        </w:rPr>
        <w:t xml:space="preserve">Cuarto. Notifíquese, </w:t>
      </w:r>
      <w:r w:rsidRPr="00EB03EB">
        <w:rPr>
          <w:rFonts w:ascii="Palatino Linotype" w:eastAsia="Palatino Linotype" w:hAnsi="Palatino Linotype" w:cs="Palatino Linotype"/>
          <w:sz w:val="22"/>
          <w:szCs w:val="22"/>
        </w:rPr>
        <w:t xml:space="preserve">vía </w:t>
      </w:r>
      <w:r w:rsidRPr="00EB03EB">
        <w:rPr>
          <w:rFonts w:ascii="Palatino Linotype" w:eastAsia="Palatino Linotype" w:hAnsi="Palatino Linotype" w:cs="Palatino Linotype"/>
          <w:b/>
          <w:sz w:val="22"/>
          <w:szCs w:val="22"/>
        </w:rPr>
        <w:t>SAIMEX</w:t>
      </w:r>
      <w:r w:rsidRPr="00EB03EB">
        <w:rPr>
          <w:rFonts w:ascii="Palatino Linotype" w:eastAsia="Palatino Linotype" w:hAnsi="Palatino Linotype" w:cs="Palatino Linotype"/>
          <w:sz w:val="22"/>
          <w:szCs w:val="22"/>
        </w:rPr>
        <w:t>, a la parte</w:t>
      </w:r>
      <w:r w:rsidRPr="00EB03EB">
        <w:rPr>
          <w:rFonts w:ascii="Palatino Linotype" w:eastAsia="Palatino Linotype" w:hAnsi="Palatino Linotype" w:cs="Palatino Linotype"/>
          <w:b/>
          <w:sz w:val="22"/>
          <w:szCs w:val="22"/>
        </w:rPr>
        <w:t xml:space="preserve"> Recurrente </w:t>
      </w:r>
      <w:r w:rsidRPr="00EB03EB">
        <w:rPr>
          <w:rFonts w:ascii="Palatino Linotype" w:eastAsia="Palatino Linotype" w:hAnsi="Palatino Linotype" w:cs="Palatino Linotype"/>
          <w:sz w:val="22"/>
          <w:szCs w:val="22"/>
        </w:rPr>
        <w:t xml:space="preserve">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6414EC54" w14:textId="77777777" w:rsidR="00426CAF" w:rsidRPr="00EB03EB" w:rsidRDefault="00426CAF">
      <w:pPr>
        <w:spacing w:line="360" w:lineRule="auto"/>
        <w:jc w:val="both"/>
        <w:rPr>
          <w:rFonts w:ascii="Palatino Linotype" w:eastAsia="Palatino Linotype" w:hAnsi="Palatino Linotype" w:cs="Palatino Linotype"/>
          <w:sz w:val="22"/>
          <w:szCs w:val="22"/>
        </w:rPr>
      </w:pPr>
    </w:p>
    <w:p w14:paraId="11BB4502" w14:textId="77777777" w:rsidR="00426CAF" w:rsidRPr="00EB03EB" w:rsidRDefault="00B0335B">
      <w:pPr>
        <w:spacing w:line="360" w:lineRule="auto"/>
        <w:jc w:val="both"/>
        <w:rPr>
          <w:rFonts w:ascii="Palatino Linotype" w:eastAsia="Palatino Linotype" w:hAnsi="Palatino Linotype" w:cs="Palatino Linotype"/>
          <w:sz w:val="22"/>
          <w:szCs w:val="22"/>
        </w:rPr>
      </w:pPr>
      <w:r w:rsidRPr="00EB03EB">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DE SEPTIEMBRE DE DOS MIL VEINTICUATRO, ANTE EL SECRETARIO TÉCNICO DEL PLENO, ALEXIS TAPIA RAMÍREZ.</w:t>
      </w:r>
    </w:p>
    <w:p w14:paraId="5853262E" w14:textId="77777777" w:rsidR="00426CAF" w:rsidRPr="00EB03EB" w:rsidRDefault="00426CAF">
      <w:pPr>
        <w:tabs>
          <w:tab w:val="left" w:pos="426"/>
        </w:tabs>
        <w:spacing w:line="360" w:lineRule="auto"/>
        <w:ind w:right="49"/>
        <w:jc w:val="both"/>
        <w:rPr>
          <w:rFonts w:ascii="Palatino Linotype" w:eastAsia="Palatino Linotype" w:hAnsi="Palatino Linotype" w:cs="Palatino Linotype"/>
          <w:sz w:val="22"/>
          <w:szCs w:val="22"/>
        </w:rPr>
      </w:pPr>
    </w:p>
    <w:p w14:paraId="08ECA55B" w14:textId="77777777" w:rsidR="00426CAF" w:rsidRPr="00EB03EB" w:rsidRDefault="00426CAF">
      <w:pPr>
        <w:sectPr w:rsidR="00426CAF" w:rsidRPr="00EB03EB">
          <w:headerReference w:type="default" r:id="rId14"/>
          <w:footerReference w:type="default" r:id="rId15"/>
          <w:headerReference w:type="first" r:id="rId16"/>
          <w:footerReference w:type="first" r:id="rId17"/>
          <w:pgSz w:w="12240" w:h="15840"/>
          <w:pgMar w:top="1985" w:right="1750" w:bottom="1701" w:left="1701" w:header="709" w:footer="709" w:gutter="0"/>
          <w:pgNumType w:start="1"/>
          <w:cols w:space="720"/>
          <w:titlePg/>
        </w:sectPr>
      </w:pPr>
    </w:p>
    <w:p w14:paraId="79904416" w14:textId="77777777" w:rsidR="00426CAF" w:rsidRPr="00EB03EB" w:rsidRDefault="00426CAF">
      <w:pPr>
        <w:rPr>
          <w:sz w:val="22"/>
          <w:szCs w:val="22"/>
        </w:rPr>
      </w:pPr>
      <w:bookmarkStart w:id="11" w:name="_heading=h.2et92p0" w:colFirst="0" w:colLast="0"/>
      <w:bookmarkEnd w:id="11"/>
    </w:p>
    <w:p w14:paraId="2E90EA64" w14:textId="77777777" w:rsidR="00426CAF" w:rsidRPr="00EB03EB" w:rsidRDefault="00426CAF">
      <w:pPr>
        <w:rPr>
          <w:sz w:val="22"/>
          <w:szCs w:val="22"/>
        </w:rPr>
      </w:pPr>
    </w:p>
    <w:sectPr w:rsidR="00426CAF" w:rsidRPr="00EB03EB">
      <w:headerReference w:type="first" r:id="rId18"/>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E18B" w14:textId="77777777" w:rsidR="000F7B03" w:rsidRDefault="000F7B03">
      <w:r>
        <w:separator/>
      </w:r>
    </w:p>
  </w:endnote>
  <w:endnote w:type="continuationSeparator" w:id="0">
    <w:p w14:paraId="653D1663" w14:textId="77777777" w:rsidR="000F7B03" w:rsidRDefault="000F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1DE0" w14:textId="77777777" w:rsidR="00426CAF" w:rsidRDefault="00B0335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B03EB">
      <w:rPr>
        <w:rFonts w:ascii="Arial" w:eastAsia="Arial" w:hAnsi="Arial" w:cs="Arial"/>
        <w:b/>
        <w:noProof/>
        <w:color w:val="000000"/>
        <w:sz w:val="20"/>
        <w:szCs w:val="20"/>
      </w:rPr>
      <w:t>65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B03EB">
      <w:rPr>
        <w:rFonts w:ascii="Arial" w:eastAsia="Arial" w:hAnsi="Arial" w:cs="Arial"/>
        <w:b/>
        <w:noProof/>
        <w:color w:val="000000"/>
        <w:sz w:val="20"/>
        <w:szCs w:val="20"/>
      </w:rPr>
      <w:t>67</w:t>
    </w:r>
    <w:r>
      <w:rPr>
        <w:rFonts w:ascii="Arial" w:eastAsia="Arial" w:hAnsi="Arial" w:cs="Arial"/>
        <w:b/>
        <w:color w:val="000000"/>
        <w:sz w:val="20"/>
        <w:szCs w:val="20"/>
      </w:rPr>
      <w:fldChar w:fldCharType="end"/>
    </w:r>
  </w:p>
  <w:p w14:paraId="5D13EE5E" w14:textId="77777777" w:rsidR="00426CAF" w:rsidRDefault="00426CAF">
    <w:pPr>
      <w:pBdr>
        <w:top w:val="nil"/>
        <w:left w:val="nil"/>
        <w:bottom w:val="nil"/>
        <w:right w:val="nil"/>
        <w:between w:val="nil"/>
      </w:pBdr>
      <w:tabs>
        <w:tab w:val="center" w:pos="4252"/>
        <w:tab w:val="right" w:pos="8504"/>
      </w:tabs>
      <w:rPr>
        <w:color w:val="000000"/>
      </w:rPr>
    </w:pPr>
  </w:p>
  <w:p w14:paraId="60AC7DBD" w14:textId="77777777" w:rsidR="00426CAF" w:rsidRDefault="00426CA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90CB" w14:textId="77777777" w:rsidR="00426CAF" w:rsidRDefault="00B0335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B03EB">
      <w:rPr>
        <w:rFonts w:ascii="Arial" w:eastAsia="Arial" w:hAnsi="Arial" w:cs="Arial"/>
        <w:b/>
        <w:noProof/>
        <w:color w:val="000000"/>
        <w:sz w:val="20"/>
        <w:szCs w:val="20"/>
      </w:rPr>
      <w:t>67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B03EB">
      <w:rPr>
        <w:rFonts w:ascii="Arial" w:eastAsia="Arial" w:hAnsi="Arial" w:cs="Arial"/>
        <w:b/>
        <w:noProof/>
        <w:color w:val="000000"/>
        <w:sz w:val="20"/>
        <w:szCs w:val="20"/>
      </w:rPr>
      <w:t>67</w:t>
    </w:r>
    <w:r>
      <w:rPr>
        <w:rFonts w:ascii="Arial" w:eastAsia="Arial" w:hAnsi="Arial" w:cs="Arial"/>
        <w:b/>
        <w:color w:val="000000"/>
        <w:sz w:val="20"/>
        <w:szCs w:val="20"/>
      </w:rPr>
      <w:fldChar w:fldCharType="end"/>
    </w:r>
  </w:p>
  <w:p w14:paraId="4B3BB8BA" w14:textId="77777777" w:rsidR="00426CAF" w:rsidRDefault="00426CA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E082" w14:textId="77777777" w:rsidR="000F7B03" w:rsidRDefault="000F7B03">
      <w:r>
        <w:separator/>
      </w:r>
    </w:p>
  </w:footnote>
  <w:footnote w:type="continuationSeparator" w:id="0">
    <w:p w14:paraId="182FCBF8" w14:textId="77777777" w:rsidR="000F7B03" w:rsidRDefault="000F7B03">
      <w:r>
        <w:continuationSeparator/>
      </w:r>
    </w:p>
  </w:footnote>
  <w:footnote w:id="1">
    <w:p w14:paraId="03538ADB" w14:textId="77777777" w:rsidR="00426CAF" w:rsidRDefault="00B0335B">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702ADA1" w14:textId="77777777" w:rsidR="00426CAF" w:rsidRDefault="00B0335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7CCBCA8F" w14:textId="77777777" w:rsidR="00426CAF" w:rsidRDefault="00B0335B">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126D553" w14:textId="77777777" w:rsidR="00426CAF" w:rsidRDefault="00B0335B">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EC0A" w14:textId="77777777" w:rsidR="00426CAF" w:rsidRDefault="00B0335B">
    <w:pPr>
      <w:widowControl w:val="0"/>
      <w:pBdr>
        <w:top w:val="nil"/>
        <w:left w:val="nil"/>
        <w:bottom w:val="nil"/>
        <w:right w:val="nil"/>
        <w:between w:val="nil"/>
      </w:pBdr>
      <w:spacing w:line="276" w:lineRule="auto"/>
      <w:rPr>
        <w:rFonts w:ascii="Calibri" w:eastAsia="Calibri" w:hAnsi="Calibri" w:cs="Calibri"/>
      </w:rPr>
    </w:pPr>
    <w:r>
      <w:rPr>
        <w:noProof/>
        <w:lang w:eastAsia="es-MX"/>
      </w:rPr>
      <w:drawing>
        <wp:anchor distT="0" distB="0" distL="0" distR="0" simplePos="0" relativeHeight="251658240" behindDoc="1" locked="0" layoutInCell="1" hidden="0" allowOverlap="1" wp14:anchorId="6009DAE3" wp14:editId="751F1B2A">
          <wp:simplePos x="0" y="0"/>
          <wp:positionH relativeFrom="column">
            <wp:posOffset>-1102991</wp:posOffset>
          </wp:positionH>
          <wp:positionV relativeFrom="paragraph">
            <wp:posOffset>-457831</wp:posOffset>
          </wp:positionV>
          <wp:extent cx="7635163" cy="9944100"/>
          <wp:effectExtent l="0" t="0" r="0" b="0"/>
          <wp:wrapNone/>
          <wp:docPr id="3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635163" cy="9944100"/>
                  </a:xfrm>
                  <a:prstGeom prst="rect">
                    <a:avLst/>
                  </a:prstGeom>
                  <a:ln/>
                </pic:spPr>
              </pic:pic>
            </a:graphicData>
          </a:graphic>
        </wp:anchor>
      </w:drawing>
    </w:r>
  </w:p>
  <w:tbl>
    <w:tblPr>
      <w:tblStyle w:val="af0"/>
      <w:tblW w:w="6520" w:type="dxa"/>
      <w:tblInd w:w="2405" w:type="dxa"/>
      <w:tblLayout w:type="fixed"/>
      <w:tblLook w:val="0400" w:firstRow="0" w:lastRow="0" w:firstColumn="0" w:lastColumn="0" w:noHBand="0" w:noVBand="1"/>
    </w:tblPr>
    <w:tblGrid>
      <w:gridCol w:w="2552"/>
      <w:gridCol w:w="3968"/>
    </w:tblGrid>
    <w:tr w:rsidR="00426CAF" w14:paraId="07F957AA" w14:textId="77777777">
      <w:tc>
        <w:tcPr>
          <w:tcW w:w="2552" w:type="dxa"/>
          <w:vAlign w:val="center"/>
        </w:tcPr>
        <w:p w14:paraId="602FDD6D" w14:textId="77777777" w:rsidR="00426CAF" w:rsidRDefault="00B033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vAlign w:val="center"/>
        </w:tcPr>
        <w:p w14:paraId="274E755E" w14:textId="77777777" w:rsidR="00426CAF" w:rsidRDefault="00B0335B">
          <w:pPr>
            <w:ind w:right="-25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01194/INFOEM/ICR-24/IP/RR/2024</w:t>
          </w:r>
        </w:p>
      </w:tc>
    </w:tr>
    <w:tr w:rsidR="00426CAF" w14:paraId="00173403" w14:textId="77777777">
      <w:trPr>
        <w:trHeight w:val="228"/>
      </w:trPr>
      <w:tc>
        <w:tcPr>
          <w:tcW w:w="2552" w:type="dxa"/>
          <w:vAlign w:val="center"/>
        </w:tcPr>
        <w:p w14:paraId="03A4D74C" w14:textId="77777777" w:rsidR="00426CAF" w:rsidRDefault="00B033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vAlign w:val="center"/>
        </w:tcPr>
        <w:p w14:paraId="65E43D79" w14:textId="77777777" w:rsidR="00426CAF" w:rsidRDefault="00B0335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Ixtapaluca </w:t>
          </w:r>
        </w:p>
      </w:tc>
    </w:tr>
    <w:tr w:rsidR="00426CAF" w14:paraId="6D07FA66" w14:textId="77777777">
      <w:tc>
        <w:tcPr>
          <w:tcW w:w="2552" w:type="dxa"/>
          <w:vAlign w:val="center"/>
        </w:tcPr>
        <w:p w14:paraId="1532FD88" w14:textId="77777777" w:rsidR="00426CAF" w:rsidRDefault="00B033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vAlign w:val="center"/>
        </w:tcPr>
        <w:p w14:paraId="603504DA" w14:textId="77777777" w:rsidR="00426CAF" w:rsidRDefault="00B0335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61E158F" w14:textId="77777777" w:rsidR="00426CAF" w:rsidRDefault="00B0335B">
    <w:pPr>
      <w:rPr>
        <w:rFonts w:ascii="Calibri" w:eastAsia="Calibri" w:hAnsi="Calibri" w:cs="Calibri"/>
      </w:rPr>
    </w:pP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88DC" w14:textId="77777777" w:rsidR="00426CAF" w:rsidRDefault="00B0335B">
    <w:pPr>
      <w:pBdr>
        <w:top w:val="nil"/>
        <w:left w:val="nil"/>
        <w:bottom w:val="nil"/>
        <w:right w:val="nil"/>
        <w:between w:val="nil"/>
      </w:pBdr>
      <w:tabs>
        <w:tab w:val="center" w:pos="4252"/>
        <w:tab w:val="right" w:pos="8504"/>
      </w:tabs>
      <w:jc w:val="both"/>
      <w:rPr>
        <w:rFonts w:ascii="Calibri" w:eastAsia="Calibri" w:hAnsi="Calibri" w:cs="Calibri"/>
      </w:rPr>
    </w:pPr>
    <w:r>
      <w:rPr>
        <w:rFonts w:ascii="Calibri" w:eastAsia="Calibri" w:hAnsi="Calibri" w:cs="Calibri"/>
      </w:rPr>
      <w:t xml:space="preserve">                                  </w:t>
    </w:r>
    <w:r>
      <w:rPr>
        <w:noProof/>
        <w:lang w:eastAsia="es-MX"/>
      </w:rPr>
      <w:drawing>
        <wp:anchor distT="0" distB="0" distL="0" distR="0" simplePos="0" relativeHeight="251659264" behindDoc="1" locked="0" layoutInCell="1" hidden="0" allowOverlap="1" wp14:anchorId="45621F41" wp14:editId="6055EA56">
          <wp:simplePos x="0" y="0"/>
          <wp:positionH relativeFrom="column">
            <wp:posOffset>-1076321</wp:posOffset>
          </wp:positionH>
          <wp:positionV relativeFrom="paragraph">
            <wp:posOffset>-474976</wp:posOffset>
          </wp:positionV>
          <wp:extent cx="7635240" cy="9942830"/>
          <wp:effectExtent l="0" t="0" r="0" b="0"/>
          <wp:wrapNone/>
          <wp:docPr id="3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1"/>
      <w:tblW w:w="6455" w:type="dxa"/>
      <w:tblInd w:w="2612" w:type="dxa"/>
      <w:tblLayout w:type="fixed"/>
      <w:tblLook w:val="0400" w:firstRow="0" w:lastRow="0" w:firstColumn="0" w:lastColumn="0" w:noHBand="0" w:noVBand="1"/>
    </w:tblPr>
    <w:tblGrid>
      <w:gridCol w:w="2551"/>
      <w:gridCol w:w="3904"/>
    </w:tblGrid>
    <w:tr w:rsidR="00426CAF" w14:paraId="2D730592" w14:textId="77777777">
      <w:tc>
        <w:tcPr>
          <w:tcW w:w="2551" w:type="dxa"/>
          <w:vAlign w:val="center"/>
        </w:tcPr>
        <w:p w14:paraId="6A3F31D1" w14:textId="77777777" w:rsidR="00426CAF" w:rsidRDefault="00B033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04" w:type="dxa"/>
          <w:vAlign w:val="center"/>
        </w:tcPr>
        <w:p w14:paraId="15670D39" w14:textId="77777777" w:rsidR="00426CAF" w:rsidRDefault="00B0335B">
          <w:pPr>
            <w:ind w:right="-12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01194/INFOEM/ICR-24/IP/RR/2024</w:t>
          </w:r>
        </w:p>
      </w:tc>
    </w:tr>
    <w:tr w:rsidR="00426CAF" w14:paraId="7381EE72" w14:textId="77777777">
      <w:tc>
        <w:tcPr>
          <w:tcW w:w="2551" w:type="dxa"/>
          <w:vAlign w:val="center"/>
        </w:tcPr>
        <w:p w14:paraId="30A97EEB" w14:textId="77777777" w:rsidR="00426CAF" w:rsidRDefault="00B0335B">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04" w:type="dxa"/>
          <w:vAlign w:val="center"/>
        </w:tcPr>
        <w:p w14:paraId="7176BEC8" w14:textId="5F729C92" w:rsidR="00426CAF" w:rsidRDefault="004D00B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 XXXXXX </w:t>
          </w:r>
        </w:p>
      </w:tc>
    </w:tr>
    <w:tr w:rsidR="00426CAF" w14:paraId="33E1595D" w14:textId="77777777">
      <w:trPr>
        <w:trHeight w:val="228"/>
      </w:trPr>
      <w:tc>
        <w:tcPr>
          <w:tcW w:w="2551" w:type="dxa"/>
          <w:vAlign w:val="center"/>
        </w:tcPr>
        <w:p w14:paraId="5AA58BEA" w14:textId="77777777" w:rsidR="00426CAF" w:rsidRDefault="00B033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04" w:type="dxa"/>
          <w:vAlign w:val="center"/>
        </w:tcPr>
        <w:p w14:paraId="1BF57DA1" w14:textId="77777777" w:rsidR="00426CAF" w:rsidRDefault="00B0335B">
          <w:pPr>
            <w:ind w:right="45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426CAF" w14:paraId="06C42147" w14:textId="77777777">
      <w:tc>
        <w:tcPr>
          <w:tcW w:w="2551" w:type="dxa"/>
          <w:vAlign w:val="center"/>
        </w:tcPr>
        <w:p w14:paraId="672E1063" w14:textId="77777777" w:rsidR="00426CAF" w:rsidRDefault="00B033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04" w:type="dxa"/>
          <w:vAlign w:val="center"/>
        </w:tcPr>
        <w:p w14:paraId="6D378A5E" w14:textId="77777777" w:rsidR="00426CAF" w:rsidRDefault="00B0335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D3D4E47" w14:textId="77777777" w:rsidR="00426CAF" w:rsidRDefault="00426CAF">
    <w:pPr>
      <w:pBdr>
        <w:top w:val="nil"/>
        <w:left w:val="nil"/>
        <w:bottom w:val="nil"/>
        <w:right w:val="nil"/>
        <w:between w:val="nil"/>
      </w:pBdr>
      <w:tabs>
        <w:tab w:val="center" w:pos="4252"/>
        <w:tab w:val="right" w:pos="8504"/>
      </w:tabs>
      <w:rPr>
        <w:rFonts w:ascii="Calibri" w:eastAsia="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BC5E" w14:textId="77777777" w:rsidR="00426CAF" w:rsidRDefault="00426CAF">
    <w:pPr>
      <w:widowControl w:val="0"/>
      <w:pBdr>
        <w:top w:val="nil"/>
        <w:left w:val="nil"/>
        <w:bottom w:val="nil"/>
        <w:right w:val="nil"/>
        <w:between w:val="nil"/>
      </w:pBdr>
      <w:spacing w:line="276" w:lineRule="auto"/>
      <w:rPr>
        <w:rFonts w:ascii="Calibri" w:eastAsia="Calibri" w:hAnsi="Calibri" w:cs="Calibri"/>
      </w:rPr>
    </w:pPr>
  </w:p>
  <w:tbl>
    <w:tblPr>
      <w:tblStyle w:val="af2"/>
      <w:tblW w:w="6520" w:type="dxa"/>
      <w:tblInd w:w="2405" w:type="dxa"/>
      <w:tblLayout w:type="fixed"/>
      <w:tblLook w:val="0400" w:firstRow="0" w:lastRow="0" w:firstColumn="0" w:lastColumn="0" w:noHBand="0" w:noVBand="1"/>
    </w:tblPr>
    <w:tblGrid>
      <w:gridCol w:w="2552"/>
      <w:gridCol w:w="3968"/>
    </w:tblGrid>
    <w:tr w:rsidR="00426CAF" w14:paraId="2AAF0BDD" w14:textId="77777777">
      <w:tc>
        <w:tcPr>
          <w:tcW w:w="2552" w:type="dxa"/>
          <w:vAlign w:val="center"/>
        </w:tcPr>
        <w:p w14:paraId="38A546A1" w14:textId="77777777" w:rsidR="00426CAF" w:rsidRDefault="00B033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vAlign w:val="center"/>
        </w:tcPr>
        <w:p w14:paraId="3793584B" w14:textId="77777777" w:rsidR="00426CAF" w:rsidRDefault="00B0335B">
          <w:pPr>
            <w:ind w:right="-25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01194/INFOEM/ICR-24/IP/RR/2024</w:t>
          </w:r>
        </w:p>
      </w:tc>
    </w:tr>
    <w:tr w:rsidR="00426CAF" w14:paraId="58B23E4F" w14:textId="77777777">
      <w:trPr>
        <w:trHeight w:val="228"/>
      </w:trPr>
      <w:tc>
        <w:tcPr>
          <w:tcW w:w="2552" w:type="dxa"/>
          <w:vAlign w:val="center"/>
        </w:tcPr>
        <w:p w14:paraId="1866F63A" w14:textId="77777777" w:rsidR="00426CAF" w:rsidRDefault="00B033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vAlign w:val="center"/>
        </w:tcPr>
        <w:p w14:paraId="4100D9D9" w14:textId="77777777" w:rsidR="00426CAF" w:rsidRDefault="00B0335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Ixtapaluca </w:t>
          </w:r>
        </w:p>
      </w:tc>
    </w:tr>
    <w:tr w:rsidR="00426CAF" w14:paraId="451F1AC1" w14:textId="77777777">
      <w:tc>
        <w:tcPr>
          <w:tcW w:w="2552" w:type="dxa"/>
          <w:vAlign w:val="center"/>
        </w:tcPr>
        <w:p w14:paraId="490D4CCB" w14:textId="77777777" w:rsidR="00426CAF" w:rsidRDefault="00B033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vAlign w:val="center"/>
        </w:tcPr>
        <w:p w14:paraId="1E47D766" w14:textId="77777777" w:rsidR="00426CAF" w:rsidRDefault="00B0335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5522884" w14:textId="77777777" w:rsidR="00426CAF" w:rsidRDefault="00B0335B">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eastAsia="es-MX"/>
      </w:rPr>
      <w:drawing>
        <wp:anchor distT="0" distB="0" distL="0" distR="0" simplePos="0" relativeHeight="251660288" behindDoc="1" locked="0" layoutInCell="1" hidden="0" allowOverlap="1" wp14:anchorId="5B0BCA65" wp14:editId="6E6066C5">
          <wp:simplePos x="0" y="0"/>
          <wp:positionH relativeFrom="column">
            <wp:posOffset>-1080134</wp:posOffset>
          </wp:positionH>
          <wp:positionV relativeFrom="paragraph">
            <wp:posOffset>-871854</wp:posOffset>
          </wp:positionV>
          <wp:extent cx="7635163" cy="9944100"/>
          <wp:effectExtent l="0" t="0" r="0" b="0"/>
          <wp:wrapNone/>
          <wp:docPr id="4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635163" cy="9944100"/>
                  </a:xfrm>
                  <a:prstGeom prst="rect">
                    <a:avLst/>
                  </a:prstGeom>
                  <a:ln/>
                </pic:spPr>
              </pic:pic>
            </a:graphicData>
          </a:graphic>
        </wp:anchor>
      </w:drawing>
    </w:r>
  </w:p>
  <w:p w14:paraId="4BE937F4" w14:textId="77777777" w:rsidR="00426CAF" w:rsidRDefault="00426CA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51F4"/>
    <w:multiLevelType w:val="multilevel"/>
    <w:tmpl w:val="86C47C2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B5429"/>
    <w:multiLevelType w:val="multilevel"/>
    <w:tmpl w:val="EDFCA62A"/>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D314C"/>
    <w:multiLevelType w:val="multilevel"/>
    <w:tmpl w:val="B5DE74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239962EA"/>
    <w:multiLevelType w:val="multilevel"/>
    <w:tmpl w:val="D21C3680"/>
    <w:lvl w:ilvl="0">
      <w:start w:val="1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5CF39C7"/>
    <w:multiLevelType w:val="multilevel"/>
    <w:tmpl w:val="9780A33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3B11C46"/>
    <w:multiLevelType w:val="multilevel"/>
    <w:tmpl w:val="DB18D1D4"/>
    <w:lvl w:ilvl="0">
      <w:start w:val="1"/>
      <w:numFmt w:val="low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E325BE"/>
    <w:multiLevelType w:val="multilevel"/>
    <w:tmpl w:val="2EAAB7D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B717E83"/>
    <w:multiLevelType w:val="multilevel"/>
    <w:tmpl w:val="71CAC8A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CE8205B"/>
    <w:multiLevelType w:val="multilevel"/>
    <w:tmpl w:val="12769FE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6"/>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AF"/>
    <w:rsid w:val="000F7B03"/>
    <w:rsid w:val="00202BBD"/>
    <w:rsid w:val="0042618F"/>
    <w:rsid w:val="00426CAF"/>
    <w:rsid w:val="004D00B0"/>
    <w:rsid w:val="00936D42"/>
    <w:rsid w:val="00B0335B"/>
    <w:rsid w:val="00C437F3"/>
    <w:rsid w:val="00DE61FE"/>
    <w:rsid w:val="00EB0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625A"/>
  <w15:docId w15:val="{E6A0CA74-9B04-4C5A-880D-1888280C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91A4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
    <w:name w:val="10"/>
    <w:basedOn w:val="TableNormal10"/>
    <w:tblPr>
      <w:tblStyleRowBandSize w:val="1"/>
      <w:tblStyleColBandSize w:val="1"/>
      <w:tblCellMar>
        <w:left w:w="115" w:type="dxa"/>
        <w:right w:w="115" w:type="dxa"/>
      </w:tblCellMar>
    </w:tblPr>
  </w:style>
  <w:style w:type="table" w:customStyle="1" w:styleId="9">
    <w:name w:val="9"/>
    <w:basedOn w:val="TableNormal10"/>
    <w:tblPr>
      <w:tblStyleRowBandSize w:val="1"/>
      <w:tblStyleColBandSize w:val="1"/>
      <w:tblCellMar>
        <w:left w:w="115" w:type="dxa"/>
        <w:right w:w="115" w:type="dxa"/>
      </w:tblCellMar>
    </w:tblPr>
  </w:style>
  <w:style w:type="table" w:customStyle="1" w:styleId="8">
    <w:name w:val="8"/>
    <w:basedOn w:val="TableNormal10"/>
    <w:tblPr>
      <w:tblStyleRowBandSize w:val="1"/>
      <w:tblStyleColBandSize w:val="1"/>
      <w:tblCellMar>
        <w:left w:w="115" w:type="dxa"/>
        <w:right w:w="115" w:type="dxa"/>
      </w:tblCellMar>
    </w:tbl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20"/>
    <w:tblPr>
      <w:tblStyleRowBandSize w:val="1"/>
      <w:tblStyleColBandSize w:val="1"/>
      <w:tblCellMar>
        <w:left w:w="115" w:type="dxa"/>
        <w:right w:w="115" w:type="dxa"/>
      </w:tblCellMar>
    </w:tblPr>
  </w:style>
  <w:style w:type="table" w:customStyle="1" w:styleId="5">
    <w:name w:val="5"/>
    <w:basedOn w:val="TableNormal20"/>
    <w:tblPr>
      <w:tblStyleRowBandSize w:val="1"/>
      <w:tblStyleColBandSize w:val="1"/>
      <w:tblCellMar>
        <w:left w:w="115" w:type="dxa"/>
        <w:right w:w="115" w:type="dxa"/>
      </w:tblCellMar>
    </w:tblPr>
  </w:style>
  <w:style w:type="table" w:customStyle="1" w:styleId="4">
    <w:name w:val="4"/>
    <w:basedOn w:val="TableNormal30"/>
    <w:tblPr>
      <w:tblStyleRowBandSize w:val="1"/>
      <w:tblStyleColBandSize w:val="1"/>
      <w:tblCellMar>
        <w:left w:w="115" w:type="dxa"/>
        <w:right w:w="115" w:type="dxa"/>
      </w:tblCellMar>
    </w:tblPr>
  </w:style>
  <w:style w:type="table" w:customStyle="1" w:styleId="3">
    <w:name w:val="3"/>
    <w:basedOn w:val="TableNormal30"/>
    <w:tblPr>
      <w:tblStyleRowBandSize w:val="1"/>
      <w:tblStyleColBandSize w:val="1"/>
      <w:tblCellMar>
        <w:left w:w="115" w:type="dxa"/>
        <w:right w:w="115" w:type="dxa"/>
      </w:tblCellMar>
    </w:tblPr>
  </w:style>
  <w:style w:type="table" w:customStyle="1" w:styleId="2">
    <w:name w:val="2"/>
    <w:basedOn w:val="TableNormal40"/>
    <w:tblPr>
      <w:tblStyleRowBandSize w:val="1"/>
      <w:tblStyleColBandSize w:val="1"/>
      <w:tblCellMar>
        <w:left w:w="115" w:type="dxa"/>
        <w:right w:w="115" w:type="dxa"/>
      </w:tblCellMar>
    </w:tblPr>
  </w:style>
  <w:style w:type="table" w:customStyle="1" w:styleId="1">
    <w:name w:val="1"/>
    <w:basedOn w:val="TableNormal40"/>
    <w:tblPr>
      <w:tblStyleRowBandSize w:val="1"/>
      <w:tblStyleColBandSize w:val="1"/>
      <w:tblCellMar>
        <w:left w:w="115" w:type="dxa"/>
        <w:right w:w="115" w:type="dxa"/>
      </w:tblCellMar>
    </w:tblPr>
  </w:style>
  <w:style w:type="paragraph" w:customStyle="1" w:styleId="Default">
    <w:name w:val="Default"/>
    <w:rsid w:val="00913B61"/>
    <w:pPr>
      <w:autoSpaceDE w:val="0"/>
      <w:autoSpaceDN w:val="0"/>
      <w:adjustRightInd w:val="0"/>
    </w:pPr>
    <w:rPr>
      <w:rFonts w:ascii="Palatino Linotype" w:eastAsiaTheme="minorHAnsi" w:hAnsi="Palatino Linotype" w:cs="Palatino Linotype"/>
      <w:color w:val="000000"/>
      <w:lang w:eastAsia="en-US"/>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D3011C"/>
    <w:pPr>
      <w:numPr>
        <w:numId w:val="3"/>
      </w:numPr>
      <w:contextualSpacing/>
    </w:pPr>
    <w:rPr>
      <w:lang w:eastAsia="es-MX"/>
    </w:rPr>
  </w:style>
  <w:style w:type="paragraph" w:styleId="Listaconvietas">
    <w:name w:val="List Bullet"/>
    <w:basedOn w:val="Normal"/>
    <w:uiPriority w:val="99"/>
    <w:unhideWhenUsed/>
    <w:rsid w:val="00D3011C"/>
    <w:pPr>
      <w:tabs>
        <w:tab w:val="num" w:pos="720"/>
      </w:tabs>
      <w:ind w:left="720" w:hanging="720"/>
      <w:contextualSpacing/>
    </w:pPr>
    <w:rPr>
      <w:lang w:eastAsia="es-MX"/>
    </w:rPr>
  </w:style>
  <w:style w:type="paragraph" w:styleId="Listaconvietas3">
    <w:name w:val="List Bullet 3"/>
    <w:basedOn w:val="Normal"/>
    <w:uiPriority w:val="99"/>
    <w:unhideWhenUsed/>
    <w:rsid w:val="00D3011C"/>
    <w:pPr>
      <w:tabs>
        <w:tab w:val="num" w:pos="720"/>
      </w:tabs>
      <w:ind w:left="720" w:hanging="720"/>
      <w:contextualSpacing/>
    </w:pPr>
    <w:rPr>
      <w:lang w:val="es-ES" w:eastAsia="es-MX"/>
    </w:rPr>
  </w:style>
  <w:style w:type="table" w:customStyle="1" w:styleId="Tabladelista1clara-nfasis111">
    <w:name w:val="Tabla de lista 1 clara - Énfasis 111"/>
    <w:basedOn w:val="Tablanormal"/>
    <w:uiPriority w:val="46"/>
    <w:rsid w:val="00C051D2"/>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Cita">
    <w:name w:val="Quote"/>
    <w:basedOn w:val="Normal"/>
    <w:next w:val="Normal"/>
    <w:link w:val="CitaCar"/>
    <w:uiPriority w:val="29"/>
    <w:qFormat/>
    <w:rsid w:val="00EF686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EF686E"/>
    <w:rPr>
      <w:i/>
      <w:iCs/>
      <w:color w:val="404040" w:themeColor="text1" w:themeTint="BF"/>
      <w:lang w:eastAsia="es-ES"/>
    </w:r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paragraph" w:styleId="Citadestacada">
    <w:name w:val="Intense Quote"/>
    <w:basedOn w:val="Normal"/>
    <w:next w:val="Normal"/>
    <w:link w:val="CitadestacadaCar"/>
    <w:uiPriority w:val="30"/>
    <w:qFormat/>
    <w:rsid w:val="00171C2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71C25"/>
    <w:rPr>
      <w:i/>
      <w:iCs/>
      <w:color w:val="5B9BD5" w:themeColor="accent1"/>
      <w:lang w:eastAsia="es-ES"/>
    </w:r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islacion.edomex.gob.mx/sites/legislacion.edomex.gob.mx/files/files/pdf/gct/2016/dic02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twhWrJtDRhjRDt55IoG5BUxWw==">CgMxLjAyCWguMzBqMHpsbDIIaC50eWpjd3QyCWguMnM4ZXlvMTIJaC4zcmRjcmpuMgloLjN6bnlzaDcyCWguMWZvYjl0ZTIJaC4xeTgxMHR3MghoLmxueGJ6OTIJaC4zZHk2dmttMgloLjI2aW4xcmcyCWguMXQzaDVzZjIJaC4yZXQ5MnAwOAByITFUU21WM0RvZzZBYmYzc3Q2ZklVV25QLU9aZDNveGhwbw==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18431</Words>
  <Characters>101372</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2024-09-13T06:55:00Z</cp:lastPrinted>
  <dcterms:created xsi:type="dcterms:W3CDTF">2024-09-23T18:05:00Z</dcterms:created>
  <dcterms:modified xsi:type="dcterms:W3CDTF">2024-09-23T18:05:00Z</dcterms:modified>
</cp:coreProperties>
</file>