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2B" w:rsidRPr="0019238A" w:rsidRDefault="00F0192B" w:rsidP="0019238A">
      <w:pPr>
        <w:widowControl w:val="0"/>
        <w:pBdr>
          <w:top w:val="nil"/>
          <w:left w:val="nil"/>
          <w:bottom w:val="nil"/>
          <w:right w:val="nil"/>
          <w:between w:val="nil"/>
        </w:pBdr>
        <w:spacing w:line="360" w:lineRule="auto"/>
        <w:ind w:right="-234"/>
        <w:rPr>
          <w:rFonts w:ascii="Palatino Linotype" w:hAnsi="Palatino Linotype"/>
        </w:rPr>
      </w:pPr>
    </w:p>
    <w:p w:rsidR="00F0192B" w:rsidRPr="0046551F" w:rsidRDefault="006F14C3" w:rsidP="0019238A">
      <w:pPr>
        <w:tabs>
          <w:tab w:val="left" w:pos="3465"/>
        </w:tabs>
        <w:spacing w:line="360" w:lineRule="auto"/>
        <w:ind w:right="-234"/>
        <w:jc w:val="both"/>
        <w:rPr>
          <w:rFonts w:ascii="Palatino Linotype" w:eastAsia="Palatino Linotype" w:hAnsi="Palatino Linotype" w:cs="Palatino Linotype"/>
        </w:rPr>
      </w:pPr>
      <w:r w:rsidRPr="0046551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72180" w:rsidRPr="0046551F">
        <w:rPr>
          <w:rFonts w:ascii="Palatino Linotype" w:eastAsia="Palatino Linotype" w:hAnsi="Palatino Linotype" w:cs="Palatino Linotype"/>
        </w:rPr>
        <w:t xml:space="preserve">dieciocho </w:t>
      </w:r>
      <w:r w:rsidR="001F51A8" w:rsidRPr="0046551F">
        <w:rPr>
          <w:rFonts w:ascii="Palatino Linotype" w:eastAsia="Palatino Linotype" w:hAnsi="Palatino Linotype" w:cs="Palatino Linotype"/>
        </w:rPr>
        <w:t xml:space="preserve">(18) </w:t>
      </w:r>
      <w:r w:rsidR="00172180" w:rsidRPr="0046551F">
        <w:rPr>
          <w:rFonts w:ascii="Palatino Linotype" w:eastAsia="Palatino Linotype" w:hAnsi="Palatino Linotype" w:cs="Palatino Linotype"/>
        </w:rPr>
        <w:t>de diciembre</w:t>
      </w:r>
      <w:r w:rsidRPr="0046551F">
        <w:rPr>
          <w:rFonts w:ascii="Palatino Linotype" w:eastAsia="Palatino Linotype" w:hAnsi="Palatino Linotype" w:cs="Palatino Linotype"/>
        </w:rPr>
        <w:t xml:space="preserve"> de dos mil veinticuatro.</w:t>
      </w:r>
    </w:p>
    <w:p w:rsidR="00F0192B" w:rsidRPr="0046551F" w:rsidRDefault="00F0192B" w:rsidP="0019238A">
      <w:pPr>
        <w:tabs>
          <w:tab w:val="left" w:pos="3465"/>
        </w:tabs>
        <w:spacing w:line="360" w:lineRule="auto"/>
        <w:ind w:right="-234"/>
        <w:jc w:val="both"/>
        <w:rPr>
          <w:rFonts w:ascii="Palatino Linotype" w:eastAsia="Palatino Linotype" w:hAnsi="Palatino Linotype" w:cs="Palatino Linotype"/>
        </w:rPr>
      </w:pPr>
    </w:p>
    <w:p w:rsidR="00F0192B" w:rsidRPr="0046551F" w:rsidRDefault="006F14C3" w:rsidP="0019238A">
      <w:pPr>
        <w:spacing w:line="360" w:lineRule="auto"/>
        <w:ind w:right="-234"/>
        <w:jc w:val="both"/>
        <w:rPr>
          <w:rFonts w:ascii="Palatino Linotype" w:eastAsia="Palatino Linotype" w:hAnsi="Palatino Linotype" w:cs="Palatino Linotype"/>
        </w:rPr>
      </w:pPr>
      <w:r w:rsidRPr="0046551F">
        <w:rPr>
          <w:rFonts w:ascii="Palatino Linotype" w:eastAsia="Palatino Linotype" w:hAnsi="Palatino Linotype" w:cs="Palatino Linotype"/>
          <w:b/>
        </w:rPr>
        <w:t xml:space="preserve">VISTAS </w:t>
      </w:r>
      <w:r w:rsidRPr="0046551F">
        <w:rPr>
          <w:rFonts w:ascii="Palatino Linotype" w:eastAsia="Palatino Linotype" w:hAnsi="Palatino Linotype" w:cs="Palatino Linotype"/>
        </w:rPr>
        <w:t>las constancias para resolver el recurso de revisión</w:t>
      </w:r>
      <w:r w:rsidR="001F51A8" w:rsidRPr="0046551F">
        <w:rPr>
          <w:rFonts w:ascii="Palatino Linotype" w:eastAsia="Palatino Linotype" w:hAnsi="Palatino Linotype" w:cs="Palatino Linotype"/>
          <w:color w:val="000000"/>
          <w:sz w:val="22"/>
          <w:szCs w:val="22"/>
        </w:rPr>
        <w:t xml:space="preserve"> </w:t>
      </w:r>
      <w:r w:rsidRPr="0046551F">
        <w:rPr>
          <w:rFonts w:ascii="Palatino Linotype" w:eastAsia="Palatino Linotype" w:hAnsi="Palatino Linotype" w:cs="Palatino Linotype"/>
        </w:rPr>
        <w:t xml:space="preserve">presentado por </w:t>
      </w:r>
      <w:r w:rsidR="0046551F" w:rsidRPr="0046551F">
        <w:rPr>
          <w:rFonts w:ascii="Palatino Linotype" w:eastAsia="Palatino Linotype" w:hAnsi="Palatino Linotype" w:cs="Palatino Linotype"/>
          <w:b/>
          <w:color w:val="000000"/>
        </w:rPr>
        <w:t>XXXXXXXXXXXX</w:t>
      </w:r>
      <w:r w:rsidRPr="0046551F">
        <w:rPr>
          <w:rFonts w:ascii="Palatino Linotype" w:eastAsia="Palatino Linotype" w:hAnsi="Palatino Linotype" w:cs="Palatino Linotype"/>
          <w:b/>
        </w:rPr>
        <w:t>,</w:t>
      </w:r>
      <w:r w:rsidRPr="0046551F">
        <w:rPr>
          <w:rFonts w:ascii="Palatino Linotype" w:eastAsia="Palatino Linotype" w:hAnsi="Palatino Linotype" w:cs="Palatino Linotype"/>
        </w:rPr>
        <w:t xml:space="preserve"> </w:t>
      </w:r>
      <w:r w:rsidR="00172180" w:rsidRPr="0046551F">
        <w:rPr>
          <w:rFonts w:ascii="Palatino Linotype" w:eastAsia="Palatino Linotype" w:hAnsi="Palatino Linotype" w:cs="Palatino Linotype"/>
        </w:rPr>
        <w:t xml:space="preserve">a quien </w:t>
      </w:r>
      <w:r w:rsidRPr="0046551F">
        <w:rPr>
          <w:rFonts w:ascii="Palatino Linotype" w:eastAsia="Palatino Linotype" w:hAnsi="Palatino Linotype" w:cs="Palatino Linotype"/>
        </w:rPr>
        <w:t xml:space="preserve">en lo sucesivo se denominará como </w:t>
      </w:r>
      <w:r w:rsidR="00172180" w:rsidRPr="0046551F">
        <w:rPr>
          <w:rFonts w:ascii="Palatino Linotype" w:eastAsia="Palatino Linotype" w:hAnsi="Palatino Linotype" w:cs="Palatino Linotype"/>
          <w:b/>
        </w:rPr>
        <w:t>LA RECURRENTE</w:t>
      </w:r>
      <w:r w:rsidRPr="0046551F">
        <w:rPr>
          <w:rFonts w:ascii="Palatino Linotype" w:eastAsia="Palatino Linotype" w:hAnsi="Palatino Linotype" w:cs="Palatino Linotype"/>
          <w:b/>
        </w:rPr>
        <w:t>,</w:t>
      </w:r>
      <w:r w:rsidRPr="0046551F">
        <w:rPr>
          <w:rFonts w:ascii="Palatino Linotype" w:eastAsia="Palatino Linotype" w:hAnsi="Palatino Linotype" w:cs="Palatino Linotype"/>
        </w:rPr>
        <w:t xml:space="preserve"> en contra de la respuesta otorgada a la solicitud de información </w:t>
      </w:r>
      <w:r w:rsidR="00172180" w:rsidRPr="0046551F">
        <w:rPr>
          <w:rFonts w:ascii="Palatino Linotype" w:eastAsia="Palatino Linotype" w:hAnsi="Palatino Linotype" w:cs="Palatino Linotype"/>
          <w:b/>
        </w:rPr>
        <w:t>00247/TEPOTZOT/IP/2024</w:t>
      </w:r>
      <w:r w:rsidRPr="0046551F">
        <w:rPr>
          <w:rFonts w:ascii="Palatino Linotype" w:eastAsia="Palatino Linotype" w:hAnsi="Palatino Linotype" w:cs="Palatino Linotype"/>
        </w:rPr>
        <w:t xml:space="preserve">, por parte del </w:t>
      </w:r>
      <w:r w:rsidR="00172180" w:rsidRPr="0046551F">
        <w:rPr>
          <w:rFonts w:ascii="Palatino Linotype" w:eastAsia="Palatino Linotype" w:hAnsi="Palatino Linotype" w:cs="Palatino Linotype"/>
          <w:b/>
        </w:rPr>
        <w:t>Ayuntamiento de Tepotzotlán</w:t>
      </w:r>
      <w:r w:rsidRPr="0046551F">
        <w:rPr>
          <w:rFonts w:ascii="Palatino Linotype" w:eastAsia="Palatino Linotype" w:hAnsi="Palatino Linotype" w:cs="Palatino Linotype"/>
          <w:b/>
        </w:rPr>
        <w:t xml:space="preserve">, </w:t>
      </w:r>
      <w:r w:rsidRPr="0046551F">
        <w:rPr>
          <w:rFonts w:ascii="Palatino Linotype" w:eastAsia="Palatino Linotype" w:hAnsi="Palatino Linotype" w:cs="Palatino Linotype"/>
        </w:rPr>
        <w:t xml:space="preserve">en adelante </w:t>
      </w:r>
      <w:r w:rsidRPr="0046551F">
        <w:rPr>
          <w:rFonts w:ascii="Palatino Linotype" w:eastAsia="Palatino Linotype" w:hAnsi="Palatino Linotype" w:cs="Palatino Linotype"/>
          <w:b/>
        </w:rPr>
        <w:t xml:space="preserve">EL SUJETO OBLIGADO, </w:t>
      </w:r>
      <w:r w:rsidRPr="0046551F">
        <w:rPr>
          <w:rFonts w:ascii="Palatino Linotype" w:eastAsia="Palatino Linotype" w:hAnsi="Palatino Linotype" w:cs="Palatino Linotype"/>
        </w:rPr>
        <w:t xml:space="preserve">que dio origen al Recurso de Revisión </w:t>
      </w:r>
      <w:r w:rsidR="00172180" w:rsidRPr="0046551F">
        <w:rPr>
          <w:rFonts w:ascii="Palatino Linotype" w:eastAsia="Palatino Linotype" w:hAnsi="Palatino Linotype" w:cs="Palatino Linotype"/>
          <w:b/>
          <w:color w:val="000000"/>
        </w:rPr>
        <w:t>07093/INFOEM/IP/RR/2024</w:t>
      </w:r>
      <w:r w:rsidRPr="0046551F">
        <w:rPr>
          <w:rFonts w:ascii="Palatino Linotype" w:eastAsia="Palatino Linotype" w:hAnsi="Palatino Linotype" w:cs="Palatino Linotype"/>
          <w:color w:val="000000"/>
        </w:rPr>
        <w:t>;</w:t>
      </w:r>
      <w:r w:rsidRPr="0046551F">
        <w:rPr>
          <w:rFonts w:ascii="Palatino Linotype" w:eastAsia="Palatino Linotype" w:hAnsi="Palatino Linotype" w:cs="Palatino Linotype"/>
        </w:rPr>
        <w:t xml:space="preserve"> emite la presente resolución con base en los siguientes:</w:t>
      </w:r>
    </w:p>
    <w:p w:rsidR="00F0192B" w:rsidRPr="0046551F" w:rsidRDefault="00F0192B" w:rsidP="0019238A">
      <w:pPr>
        <w:spacing w:line="360" w:lineRule="auto"/>
        <w:ind w:right="-234"/>
        <w:jc w:val="both"/>
        <w:rPr>
          <w:rFonts w:ascii="Palatino Linotype" w:eastAsia="Palatino Linotype" w:hAnsi="Palatino Linotype" w:cs="Palatino Linotype"/>
        </w:rPr>
      </w:pPr>
    </w:p>
    <w:p w:rsidR="00F0192B" w:rsidRPr="0046551F" w:rsidRDefault="006F14C3" w:rsidP="0019238A">
      <w:pPr>
        <w:pStyle w:val="Ttulo1"/>
        <w:spacing w:before="0" w:line="360" w:lineRule="auto"/>
        <w:ind w:right="-234"/>
        <w:jc w:val="center"/>
        <w:rPr>
          <w:rFonts w:ascii="Palatino Linotype" w:eastAsia="Palatino Linotype" w:hAnsi="Palatino Linotype" w:cs="Palatino Linotype"/>
          <w:b/>
          <w:color w:val="000000"/>
          <w:sz w:val="24"/>
          <w:szCs w:val="24"/>
        </w:rPr>
      </w:pPr>
      <w:bookmarkStart w:id="0" w:name="_heading=h.gjdgxs" w:colFirst="0" w:colLast="0"/>
      <w:bookmarkEnd w:id="0"/>
      <w:r w:rsidRPr="0046551F">
        <w:rPr>
          <w:rFonts w:ascii="Palatino Linotype" w:eastAsia="Palatino Linotype" w:hAnsi="Palatino Linotype" w:cs="Palatino Linotype"/>
          <w:b/>
          <w:color w:val="000000"/>
          <w:sz w:val="24"/>
          <w:szCs w:val="24"/>
        </w:rPr>
        <w:t>A N T E C E D E N T E S</w:t>
      </w:r>
    </w:p>
    <w:p w:rsidR="00F0192B" w:rsidRPr="0046551F" w:rsidRDefault="00F0192B" w:rsidP="0019238A">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El día</w:t>
      </w:r>
      <w:r w:rsidRPr="0046551F">
        <w:rPr>
          <w:rFonts w:ascii="Palatino Linotype" w:eastAsia="Palatino Linotype" w:hAnsi="Palatino Linotype" w:cs="Palatino Linotype"/>
          <w:b/>
          <w:color w:val="000000"/>
        </w:rPr>
        <w:t xml:space="preserve"> </w:t>
      </w:r>
      <w:r w:rsidR="00172180" w:rsidRPr="0046551F">
        <w:rPr>
          <w:rFonts w:ascii="Palatino Linotype" w:eastAsia="Palatino Linotype" w:hAnsi="Palatino Linotype" w:cs="Palatino Linotype"/>
          <w:b/>
          <w:color w:val="000000"/>
        </w:rPr>
        <w:t>veinticuatro de septiembre</w:t>
      </w:r>
      <w:r w:rsidRPr="0046551F">
        <w:rPr>
          <w:rFonts w:ascii="Palatino Linotype" w:eastAsia="Palatino Linotype" w:hAnsi="Palatino Linotype" w:cs="Palatino Linotype"/>
          <w:b/>
          <w:color w:val="000000"/>
        </w:rPr>
        <w:t xml:space="preserve"> de dos mil veinticuatro</w:t>
      </w:r>
      <w:r w:rsidRPr="0046551F">
        <w:rPr>
          <w:rFonts w:ascii="Palatino Linotype" w:eastAsia="Palatino Linotype" w:hAnsi="Palatino Linotype" w:cs="Palatino Linotype"/>
          <w:color w:val="000000"/>
        </w:rPr>
        <w:t>,</w:t>
      </w:r>
      <w:r w:rsidRPr="0046551F">
        <w:rPr>
          <w:rFonts w:ascii="Palatino Linotype" w:eastAsia="Palatino Linotype" w:hAnsi="Palatino Linotype" w:cs="Palatino Linotype"/>
          <w:b/>
          <w:color w:val="000000"/>
        </w:rPr>
        <w:t xml:space="preserve"> </w:t>
      </w:r>
      <w:r w:rsidRPr="0046551F">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F0192B" w:rsidRPr="0046551F" w:rsidRDefault="00F0192B" w:rsidP="0019238A">
      <w:pPr>
        <w:pBdr>
          <w:top w:val="nil"/>
          <w:left w:val="nil"/>
          <w:bottom w:val="nil"/>
          <w:right w:val="nil"/>
          <w:between w:val="nil"/>
        </w:pBdr>
        <w:tabs>
          <w:tab w:val="left" w:pos="0"/>
        </w:tabs>
        <w:spacing w:line="360" w:lineRule="auto"/>
        <w:ind w:left="360" w:right="-234"/>
        <w:jc w:val="both"/>
        <w:rPr>
          <w:rFonts w:ascii="Palatino Linotype" w:eastAsia="Palatino Linotype" w:hAnsi="Palatino Linotype" w:cs="Palatino Linotype"/>
        </w:rPr>
      </w:pPr>
    </w:p>
    <w:p w:rsidR="00F0192B" w:rsidRPr="0046551F" w:rsidRDefault="006F14C3" w:rsidP="0019238A">
      <w:pPr>
        <w:pBdr>
          <w:top w:val="nil"/>
          <w:left w:val="nil"/>
          <w:bottom w:val="nil"/>
          <w:right w:val="nil"/>
          <w:between w:val="nil"/>
        </w:pBdr>
        <w:spacing w:line="360" w:lineRule="auto"/>
        <w:ind w:left="567" w:right="-234"/>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i/>
          <w:color w:val="000000"/>
        </w:rPr>
        <w:t>“</w:t>
      </w:r>
      <w:r w:rsidR="00FE678E" w:rsidRPr="0046551F">
        <w:rPr>
          <w:rFonts w:ascii="Palatino Linotype" w:eastAsia="Palatino Linotype" w:hAnsi="Palatino Linotype" w:cs="Palatino Linotype"/>
          <w:i/>
          <w:color w:val="000000"/>
        </w:rPr>
        <w:t>Solicito el Programa Anual de Adquisiciones del ejercicio 2024 del municipio de Tepotzotlán Estado de México.</w:t>
      </w:r>
      <w:r w:rsidRPr="0046551F">
        <w:rPr>
          <w:rFonts w:ascii="Palatino Linotype" w:eastAsia="Palatino Linotype" w:hAnsi="Palatino Linotype" w:cs="Palatino Linotype"/>
          <w:i/>
          <w:color w:val="000000"/>
        </w:rPr>
        <w:t>”</w:t>
      </w:r>
    </w:p>
    <w:p w:rsidR="00F0192B" w:rsidRPr="0046551F" w:rsidRDefault="00F0192B" w:rsidP="0019238A">
      <w:pPr>
        <w:pBdr>
          <w:top w:val="nil"/>
          <w:left w:val="nil"/>
          <w:bottom w:val="nil"/>
          <w:right w:val="nil"/>
          <w:between w:val="nil"/>
        </w:pBdr>
        <w:spacing w:line="360" w:lineRule="auto"/>
        <w:ind w:left="851" w:right="-234"/>
        <w:jc w:val="both"/>
        <w:rPr>
          <w:rFonts w:ascii="Palatino Linotype" w:eastAsia="Palatino Linotype" w:hAnsi="Palatino Linotype" w:cs="Palatino Linotype"/>
          <w:color w:val="000000"/>
        </w:rPr>
      </w:pPr>
    </w:p>
    <w:p w:rsidR="00F0192B" w:rsidRPr="0046551F" w:rsidRDefault="006F14C3" w:rsidP="0019238A">
      <w:pPr>
        <w:numPr>
          <w:ilvl w:val="0"/>
          <w:numId w:val="2"/>
        </w:num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Se eligió como modalidad de entrega de la información: A través del </w:t>
      </w:r>
      <w:r w:rsidRPr="0046551F">
        <w:rPr>
          <w:rFonts w:ascii="Palatino Linotype" w:eastAsia="Palatino Linotype" w:hAnsi="Palatino Linotype" w:cs="Palatino Linotype"/>
          <w:b/>
          <w:color w:val="000000"/>
        </w:rPr>
        <w:t>SAIMEX.</w:t>
      </w:r>
    </w:p>
    <w:p w:rsidR="005736D0" w:rsidRPr="0046551F" w:rsidRDefault="005736D0" w:rsidP="0019238A">
      <w:p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lastRenderedPageBreak/>
        <w:t>El</w:t>
      </w:r>
      <w:r w:rsidRPr="0046551F">
        <w:rPr>
          <w:rFonts w:ascii="Palatino Linotype" w:eastAsia="Palatino Linotype" w:hAnsi="Palatino Linotype" w:cs="Palatino Linotype"/>
          <w:b/>
          <w:color w:val="000000"/>
        </w:rPr>
        <w:t xml:space="preserve"> </w:t>
      </w:r>
      <w:r w:rsidR="0011432F" w:rsidRPr="0046551F">
        <w:rPr>
          <w:rFonts w:ascii="Palatino Linotype" w:eastAsia="Palatino Linotype" w:hAnsi="Palatino Linotype" w:cs="Palatino Linotype"/>
          <w:b/>
          <w:color w:val="000000"/>
        </w:rPr>
        <w:t>dieciséis de octubre</w:t>
      </w:r>
      <w:r w:rsidRPr="0046551F">
        <w:rPr>
          <w:rFonts w:ascii="Palatino Linotype" w:eastAsia="Palatino Linotype" w:hAnsi="Palatino Linotype" w:cs="Palatino Linotype"/>
          <w:b/>
          <w:color w:val="000000"/>
        </w:rPr>
        <w:t xml:space="preserve"> dos mil veinticuatro</w:t>
      </w:r>
      <w:r w:rsidRPr="0046551F">
        <w:rPr>
          <w:rFonts w:ascii="Palatino Linotype" w:eastAsia="Palatino Linotype" w:hAnsi="Palatino Linotype" w:cs="Palatino Linotype"/>
          <w:color w:val="000000"/>
        </w:rPr>
        <w:t xml:space="preserve">, el </w:t>
      </w:r>
      <w:r w:rsidRPr="0046551F">
        <w:rPr>
          <w:rFonts w:ascii="Palatino Linotype" w:eastAsia="Palatino Linotype" w:hAnsi="Palatino Linotype" w:cs="Palatino Linotype"/>
          <w:b/>
          <w:color w:val="000000"/>
        </w:rPr>
        <w:t>SUJETO OBLIGADO,</w:t>
      </w:r>
      <w:r w:rsidRPr="0046551F">
        <w:rPr>
          <w:rFonts w:ascii="Palatino Linotype" w:eastAsia="Palatino Linotype" w:hAnsi="Palatino Linotype" w:cs="Palatino Linotype"/>
          <w:color w:val="000000"/>
        </w:rPr>
        <w:t xml:space="preserve"> realizó una solicitud de </w:t>
      </w:r>
      <w:r w:rsidR="0011432F" w:rsidRPr="0046551F">
        <w:rPr>
          <w:rFonts w:ascii="Palatino Linotype" w:eastAsia="Palatino Linotype" w:hAnsi="Palatino Linotype" w:cs="Palatino Linotype"/>
          <w:color w:val="000000"/>
        </w:rPr>
        <w:t>prórroga para</w:t>
      </w:r>
      <w:r w:rsidRPr="0046551F">
        <w:rPr>
          <w:rFonts w:ascii="Palatino Linotype" w:eastAsia="Palatino Linotype" w:hAnsi="Palatino Linotype" w:cs="Palatino Linotype"/>
          <w:color w:val="000000"/>
        </w:rPr>
        <w:t xml:space="preserve"> </w:t>
      </w:r>
      <w:r w:rsidR="0011432F" w:rsidRPr="0046551F">
        <w:rPr>
          <w:rFonts w:ascii="Palatino Linotype" w:eastAsia="Palatino Linotype" w:hAnsi="Palatino Linotype" w:cs="Palatino Linotype"/>
          <w:color w:val="000000"/>
        </w:rPr>
        <w:t xml:space="preserve">dar contestación a la solicitud de información, </w:t>
      </w:r>
      <w:r w:rsidRPr="0046551F">
        <w:rPr>
          <w:rFonts w:ascii="Palatino Linotype" w:eastAsia="Palatino Linotype" w:hAnsi="Palatino Linotype" w:cs="Palatino Linotype"/>
          <w:color w:val="000000"/>
        </w:rPr>
        <w:t>en los siguientes términos:</w:t>
      </w:r>
    </w:p>
    <w:p w:rsidR="0011432F" w:rsidRPr="0046551F" w:rsidRDefault="006F14C3" w:rsidP="0019238A">
      <w:pPr>
        <w:pBdr>
          <w:top w:val="nil"/>
          <w:left w:val="nil"/>
          <w:bottom w:val="nil"/>
          <w:right w:val="nil"/>
          <w:between w:val="nil"/>
        </w:pBdr>
        <w:tabs>
          <w:tab w:val="left" w:pos="0"/>
        </w:tabs>
        <w:spacing w:line="360" w:lineRule="auto"/>
        <w:ind w:left="567" w:right="-234"/>
        <w:jc w:val="both"/>
        <w:rPr>
          <w:rFonts w:ascii="Palatino Linotype" w:eastAsia="Palatino Linotype" w:hAnsi="Palatino Linotype" w:cs="Palatino Linotype"/>
          <w:i/>
          <w:color w:val="000000"/>
        </w:rPr>
      </w:pPr>
      <w:r w:rsidRPr="0046551F">
        <w:rPr>
          <w:rFonts w:ascii="Palatino Linotype" w:eastAsia="Palatino Linotype" w:hAnsi="Palatino Linotype" w:cs="Palatino Linotype"/>
          <w:i/>
          <w:color w:val="000000"/>
        </w:rPr>
        <w:t>“</w:t>
      </w:r>
      <w:r w:rsidR="0011432F" w:rsidRPr="0046551F">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F0192B" w:rsidRPr="0046551F" w:rsidRDefault="0011432F" w:rsidP="0019238A">
      <w:pPr>
        <w:pBdr>
          <w:top w:val="nil"/>
          <w:left w:val="nil"/>
          <w:bottom w:val="nil"/>
          <w:right w:val="nil"/>
          <w:between w:val="nil"/>
        </w:pBdr>
        <w:tabs>
          <w:tab w:val="left" w:pos="0"/>
        </w:tabs>
        <w:spacing w:line="360" w:lineRule="auto"/>
        <w:ind w:left="567" w:right="-234"/>
        <w:jc w:val="both"/>
        <w:rPr>
          <w:rFonts w:ascii="Palatino Linotype" w:eastAsia="Palatino Linotype" w:hAnsi="Palatino Linotype" w:cs="Palatino Linotype"/>
          <w:i/>
          <w:color w:val="000000"/>
        </w:rPr>
      </w:pPr>
      <w:r w:rsidRPr="0046551F">
        <w:rPr>
          <w:rFonts w:ascii="Palatino Linotype" w:eastAsia="Palatino Linotype" w:hAnsi="Palatino Linotype" w:cs="Palatino Linotype"/>
          <w:i/>
          <w:color w:val="000000"/>
        </w:rPr>
        <w:t>DE ACUERDO A LA OCTOGÉSIMA SEGUNDA SESIÓN EXTRAORDINARIA 2024 DEL COMITÉ DE TRANSPARENCIA DE FECHA 16 DE OCTUBRE DE 2024, EN EL ACUERDO 02/SE/82/CT/2024: Se aprueba por unanimidad la prórroga para atender la solicitud de información con número de folio 00247/TEPOTZOT/IP/2024, realizada por el particular.”</w:t>
      </w:r>
    </w:p>
    <w:p w:rsidR="0011432F" w:rsidRPr="0046551F" w:rsidRDefault="0011432F" w:rsidP="0019238A">
      <w:pPr>
        <w:pBdr>
          <w:top w:val="nil"/>
          <w:left w:val="nil"/>
          <w:bottom w:val="nil"/>
          <w:right w:val="nil"/>
          <w:between w:val="nil"/>
        </w:pBdr>
        <w:tabs>
          <w:tab w:val="left" w:pos="0"/>
        </w:tabs>
        <w:spacing w:line="360" w:lineRule="auto"/>
        <w:ind w:left="567" w:right="-234"/>
        <w:jc w:val="both"/>
        <w:rPr>
          <w:rFonts w:ascii="Palatino Linotype" w:eastAsia="Palatino Linotype" w:hAnsi="Palatino Linotype" w:cs="Palatino Linotype"/>
          <w:i/>
          <w:color w:val="000000"/>
        </w:rPr>
      </w:pPr>
    </w:p>
    <w:p w:rsidR="0011432F" w:rsidRPr="0046551F" w:rsidRDefault="0011432F"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hAnsi="Palatino Linotype" w:cs="Arial"/>
          <w:color w:val="222222"/>
          <w:lang w:eastAsia="es-MX"/>
        </w:rPr>
      </w:pPr>
      <w:r w:rsidRPr="0046551F">
        <w:rPr>
          <w:rFonts w:ascii="Palatino Linotype" w:hAnsi="Palatino Linotype" w:cs="Arial"/>
          <w:color w:val="222222"/>
          <w:lang w:eastAsia="es-MX"/>
        </w:rPr>
        <w:t>Prórroga que resulta</w:t>
      </w:r>
      <w:r w:rsidRPr="0046551F">
        <w:rPr>
          <w:rFonts w:ascii="Palatino Linotype" w:hAnsi="Palatino Linotype" w:cs="Arial"/>
          <w:b/>
          <w:i/>
          <w:color w:val="222222"/>
          <w:lang w:eastAsia="es-MX"/>
        </w:rPr>
        <w:t xml:space="preserve"> </w:t>
      </w:r>
      <w:r w:rsidRPr="0046551F">
        <w:rPr>
          <w:rFonts w:ascii="Palatino Linotype" w:hAnsi="Palatino Linotype" w:cs="Arial"/>
          <w:color w:val="000000" w:themeColor="text1"/>
          <w:lang w:eastAsia="es-MX"/>
        </w:rPr>
        <w:t xml:space="preserve">indebida, infundada </w:t>
      </w:r>
      <w:r w:rsidRPr="0046551F">
        <w:rPr>
          <w:rFonts w:ascii="Palatino Linotype" w:hAnsi="Palatino Linotype" w:cs="Arial"/>
          <w:color w:val="222222"/>
          <w:lang w:eastAsia="es-MX"/>
        </w:rPr>
        <w:t xml:space="preserve">y con falta de motivación, que si bien, fue </w:t>
      </w:r>
      <w:r w:rsidRPr="0046551F">
        <w:rPr>
          <w:rFonts w:ascii="Palatino Linotype" w:eastAsia="Palatino Linotype" w:hAnsi="Palatino Linotype" w:cs="Palatino Linotype"/>
          <w:color w:val="000000"/>
        </w:rPr>
        <w:t>otorgada</w:t>
      </w:r>
      <w:r w:rsidRPr="0046551F">
        <w:rPr>
          <w:rFonts w:ascii="Palatino Linotype" w:hAnsi="Palatino Linotype" w:cs="Arial"/>
          <w:color w:val="222222"/>
          <w:lang w:eastAsia="es-MX"/>
        </w:rPr>
        <w:t>, carece de toda validez; toda vez que el artículo 163 de la ley de la materia señala lo siguiente:</w:t>
      </w:r>
    </w:p>
    <w:p w:rsidR="0011432F" w:rsidRPr="0046551F" w:rsidRDefault="0011432F" w:rsidP="0019238A">
      <w:pPr>
        <w:pStyle w:val="Prrafodelista"/>
        <w:shd w:val="clear" w:color="auto" w:fill="FFFFFF"/>
        <w:spacing w:line="360" w:lineRule="auto"/>
        <w:ind w:left="709" w:right="616"/>
        <w:jc w:val="both"/>
        <w:rPr>
          <w:rFonts w:ascii="Palatino Linotype" w:hAnsi="Palatino Linotype" w:cs="Arial"/>
          <w:i/>
          <w:iCs/>
          <w:color w:val="222222"/>
          <w:lang w:eastAsia="es-MX"/>
        </w:rPr>
      </w:pPr>
      <w:r w:rsidRPr="0046551F">
        <w:rPr>
          <w:rFonts w:ascii="Palatino Linotype" w:hAnsi="Palatino Linotype" w:cs="Arial"/>
          <w:b/>
          <w:bCs/>
          <w:i/>
          <w:iCs/>
          <w:color w:val="222222"/>
          <w:lang w:eastAsia="es-MX"/>
        </w:rPr>
        <w:t>Artículo 163. </w:t>
      </w:r>
      <w:r w:rsidRPr="0046551F">
        <w:rPr>
          <w:rFonts w:ascii="Palatino Linotype" w:hAnsi="Palatino Linotype" w:cs="Arial"/>
          <w:i/>
          <w:iCs/>
          <w:color w:val="222222"/>
          <w:lang w:eastAsia="es-MX"/>
        </w:rPr>
        <w:t>La Unidad de Transparencia deberá notificar la respuesta a la solicitud al interesado en el menor tiempo posible, que no podrá exceder de quince días hábiles, contados a partir del día siguiente a la presentación de aquélla.</w:t>
      </w:r>
    </w:p>
    <w:p w:rsidR="0011432F" w:rsidRPr="0046551F" w:rsidRDefault="0011432F" w:rsidP="0019238A">
      <w:pPr>
        <w:pStyle w:val="Prrafodelista"/>
        <w:shd w:val="clear" w:color="auto" w:fill="FFFFFF"/>
        <w:spacing w:line="360" w:lineRule="auto"/>
        <w:ind w:left="709" w:right="616"/>
        <w:jc w:val="both"/>
        <w:rPr>
          <w:rFonts w:ascii="Palatino Linotype" w:hAnsi="Palatino Linotype" w:cs="Arial"/>
          <w:color w:val="222222"/>
          <w:lang w:eastAsia="es-MX"/>
        </w:rPr>
      </w:pPr>
    </w:p>
    <w:p w:rsidR="0011432F" w:rsidRPr="0046551F" w:rsidRDefault="0011432F" w:rsidP="0019238A">
      <w:pPr>
        <w:pStyle w:val="Prrafodelista"/>
        <w:shd w:val="clear" w:color="auto" w:fill="FFFFFF"/>
        <w:spacing w:line="360" w:lineRule="auto"/>
        <w:ind w:left="709" w:right="616"/>
        <w:jc w:val="both"/>
        <w:rPr>
          <w:rFonts w:ascii="Palatino Linotype" w:hAnsi="Palatino Linotype" w:cs="Arial"/>
          <w:i/>
          <w:iCs/>
          <w:color w:val="222222"/>
          <w:lang w:eastAsia="es-MX"/>
        </w:rPr>
      </w:pPr>
      <w:r w:rsidRPr="0046551F">
        <w:rPr>
          <w:rFonts w:ascii="Palatino Linotype" w:hAnsi="Palatino Linotype" w:cs="Arial"/>
          <w:i/>
          <w:iCs/>
          <w:color w:val="222222"/>
          <w:lang w:eastAsia="es-MX"/>
        </w:rPr>
        <w:t xml:space="preserve">Excepcionalmente, el plazo referido en el párrafo anterior podrá ampliarse hasta por siete días hábiles más, siempre y cuando existan razones fundadas y motivadas, las cuales deberán ser aprobadas por el Comité de Transparencia, </w:t>
      </w:r>
      <w:r w:rsidRPr="0046551F">
        <w:rPr>
          <w:rFonts w:ascii="Palatino Linotype" w:hAnsi="Palatino Linotype" w:cs="Arial"/>
          <w:i/>
          <w:iCs/>
          <w:color w:val="222222"/>
          <w:lang w:eastAsia="es-MX"/>
        </w:rPr>
        <w:lastRenderedPageBreak/>
        <w:t>mediante la emisión de una resolución que deberá notificarse al solicitante, antes de su vencimiento. No podrán invocarse como causales de ampliación del plazo motivos que supongan negligencia o descuido del sujeto obligado en el desahogo de la solicitud.”</w:t>
      </w:r>
    </w:p>
    <w:p w:rsidR="0019238A" w:rsidRPr="0046551F" w:rsidRDefault="0019238A" w:rsidP="0019238A">
      <w:pPr>
        <w:pStyle w:val="Prrafodelista"/>
        <w:shd w:val="clear" w:color="auto" w:fill="FFFFFF"/>
        <w:spacing w:line="360" w:lineRule="auto"/>
        <w:ind w:left="709" w:right="616"/>
        <w:jc w:val="both"/>
        <w:rPr>
          <w:rFonts w:ascii="Palatino Linotype" w:hAnsi="Palatino Linotype" w:cs="Arial"/>
          <w:i/>
          <w:iCs/>
          <w:color w:val="222222"/>
          <w:lang w:eastAsia="es-MX"/>
        </w:rPr>
      </w:pPr>
    </w:p>
    <w:p w:rsidR="0011432F" w:rsidRPr="0046551F" w:rsidRDefault="0011432F"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hAnsi="Palatino Linotype" w:cs="Arial"/>
          <w:b/>
          <w:bCs/>
          <w:color w:val="222222"/>
          <w:lang w:eastAsia="es-MX"/>
        </w:rPr>
      </w:pPr>
      <w:r w:rsidRPr="0046551F">
        <w:rPr>
          <w:rFonts w:ascii="Palatino Linotype" w:hAnsi="Palatino Linotype" w:cs="Arial"/>
          <w:color w:val="222222"/>
          <w:lang w:eastAsia="es-MX"/>
        </w:rPr>
        <w:t xml:space="preserve">Solo en aquellos </w:t>
      </w:r>
      <w:r w:rsidRPr="0046551F">
        <w:rPr>
          <w:rFonts w:ascii="Palatino Linotype" w:hAnsi="Palatino Linotype" w:cs="Arial"/>
          <w:b/>
          <w:color w:val="222222"/>
          <w:lang w:eastAsia="es-MX"/>
        </w:rPr>
        <w:t>casos excepcionales</w:t>
      </w:r>
      <w:r w:rsidRPr="0046551F">
        <w:rPr>
          <w:rFonts w:ascii="Palatino Linotype" w:hAnsi="Palatino Linotype" w:cs="Arial"/>
          <w:color w:val="222222"/>
          <w:lang w:eastAsia="es-MX"/>
        </w:rPr>
        <w:t xml:space="preserve"> el </w:t>
      </w:r>
      <w:r w:rsidRPr="0046551F">
        <w:rPr>
          <w:rFonts w:ascii="Palatino Linotype" w:hAnsi="Palatino Linotype" w:cs="Arial"/>
          <w:b/>
          <w:bCs/>
          <w:color w:val="222222"/>
          <w:lang w:eastAsia="es-MX"/>
        </w:rPr>
        <w:t xml:space="preserve">SUJETO OBLIGADO </w:t>
      </w:r>
      <w:r w:rsidRPr="0046551F">
        <w:rPr>
          <w:rFonts w:ascii="Palatino Linotype" w:hAnsi="Palatino Linotype" w:cs="Arial"/>
          <w:color w:val="222222"/>
          <w:lang w:eastAsia="es-MX"/>
        </w:rPr>
        <w:t xml:space="preserve">podrá solicitar se amplíe el termino de quince días para proporcionar respuesta a cualquier solicitud de </w:t>
      </w:r>
      <w:r w:rsidRPr="0046551F">
        <w:rPr>
          <w:rFonts w:ascii="Palatino Linotype" w:hAnsi="Palatino Linotype" w:cs="Arial"/>
          <w:color w:val="000000" w:themeColor="text1"/>
        </w:rPr>
        <w:t>información</w:t>
      </w:r>
      <w:r w:rsidRPr="0046551F">
        <w:rPr>
          <w:rFonts w:ascii="Palatino Linotype" w:hAnsi="Palatino Linotype" w:cs="Arial"/>
          <w:color w:val="222222"/>
          <w:lang w:eastAsia="es-MX"/>
        </w:rPr>
        <w:t xml:space="preserve">, plazo que podrá ser prorrogado por otros siete días más, siempre y cuando medien razones que justifiquen la ampliación, las cuales deberán estar </w:t>
      </w:r>
      <w:r w:rsidRPr="0046551F">
        <w:rPr>
          <w:rFonts w:ascii="Palatino Linotype" w:hAnsi="Palatino Linotype" w:cs="Arial"/>
          <w:b/>
          <w:color w:val="222222"/>
          <w:u w:val="single"/>
          <w:lang w:eastAsia="es-MX"/>
        </w:rPr>
        <w:t>fundadas y motivadas</w:t>
      </w:r>
      <w:r w:rsidRPr="0046551F">
        <w:rPr>
          <w:rFonts w:ascii="Palatino Linotype" w:hAnsi="Palatino Linotype" w:cs="Arial"/>
          <w:color w:val="222222"/>
          <w:lang w:eastAsia="es-MX"/>
        </w:rPr>
        <w:t xml:space="preserve">,  mismas que </w:t>
      </w:r>
      <w:r w:rsidRPr="0046551F">
        <w:rPr>
          <w:rFonts w:ascii="Palatino Linotype" w:hAnsi="Palatino Linotype" w:cs="Arial"/>
          <w:b/>
          <w:color w:val="222222"/>
          <w:lang w:eastAsia="es-MX"/>
        </w:rPr>
        <w:t xml:space="preserve">deberán ser aprobadas por los integrantes de su Comité de Transparencia mediante la emisión de una resolución </w:t>
      </w:r>
      <w:r w:rsidRPr="0046551F">
        <w:rPr>
          <w:rFonts w:ascii="Palatino Linotype" w:hAnsi="Palatino Linotype" w:cs="Arial"/>
          <w:color w:val="222222"/>
          <w:lang w:eastAsia="es-MX"/>
        </w:rPr>
        <w:t xml:space="preserve">que deberá notificarse al solicitante. Situación que, en el caso concreto, evidentemente no ocurrió </w:t>
      </w:r>
    </w:p>
    <w:p w:rsidR="0011432F" w:rsidRPr="0046551F" w:rsidRDefault="0011432F" w:rsidP="0019238A">
      <w:pPr>
        <w:pStyle w:val="Prrafodelista"/>
        <w:spacing w:line="360" w:lineRule="auto"/>
        <w:ind w:left="0"/>
        <w:jc w:val="both"/>
        <w:rPr>
          <w:rFonts w:ascii="Palatino Linotype" w:hAnsi="Palatino Linotype" w:cs="Arial"/>
          <w:color w:val="222222"/>
          <w:lang w:eastAsia="es-MX"/>
        </w:rPr>
      </w:pPr>
    </w:p>
    <w:p w:rsidR="0011432F" w:rsidRPr="0046551F" w:rsidRDefault="0011432F"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hAnsi="Palatino Linotype" w:cs="Arial"/>
          <w:color w:val="222222"/>
          <w:lang w:eastAsia="es-MX"/>
        </w:rPr>
      </w:pPr>
      <w:r w:rsidRPr="0046551F">
        <w:rPr>
          <w:rFonts w:ascii="Palatino Linotype" w:hAnsi="Palatino Linotype" w:cs="Arial"/>
          <w:color w:val="222222"/>
          <w:lang w:eastAsia="es-MX"/>
        </w:rPr>
        <w:t xml:space="preserve">Lo anterior implica una alta responsabilidad, toda vez que dicha prórroga deberá recaer en un documento, debidamente </w:t>
      </w:r>
      <w:r w:rsidRPr="0046551F">
        <w:rPr>
          <w:rFonts w:ascii="Palatino Linotype" w:hAnsi="Palatino Linotype" w:cs="Arial"/>
          <w:b/>
          <w:color w:val="222222"/>
          <w:lang w:eastAsia="es-MX"/>
        </w:rPr>
        <w:t>validado y firmado</w:t>
      </w:r>
      <w:r w:rsidRPr="0046551F">
        <w:rPr>
          <w:rFonts w:ascii="Palatino Linotype" w:hAnsi="Palatino Linotype" w:cs="Arial"/>
          <w:color w:val="222222"/>
          <w:lang w:eastAsia="es-MX"/>
        </w:rPr>
        <w:t xml:space="preserve"> por los integrantes del Comité, lo cual obviamente no ocurrió en la prorroga emitida por el Ayuntamiento</w:t>
      </w:r>
      <w:r w:rsidRPr="0046551F">
        <w:rPr>
          <w:rFonts w:ascii="Palatino Linotype" w:hAnsi="Palatino Linotype" w:cs="Arial"/>
          <w:b/>
          <w:color w:val="222222"/>
          <w:lang w:eastAsia="es-MX"/>
        </w:rPr>
        <w:t xml:space="preserve"> de Tepotzotlán</w:t>
      </w:r>
      <w:r w:rsidRPr="0046551F">
        <w:rPr>
          <w:rFonts w:ascii="Palatino Linotype" w:hAnsi="Palatino Linotype" w:cs="Arial"/>
          <w:color w:val="222222"/>
          <w:lang w:eastAsia="es-MX"/>
        </w:rPr>
        <w:t>, toda vez que el titular de la unidad de información, actuando en forma individual requirió la prórroga, sin que existiera de por medio razones fundadas y motivadas, mucho menos existió un documento emitido por el comité de transparencia, violentando lo dispuesto en el artículo 163 de la Ley de Transparencia y Acceso a la Información Pública del Estado de México y Municipios</w:t>
      </w:r>
      <w:r w:rsidRPr="0046551F">
        <w:rPr>
          <w:rFonts w:ascii="Palatino Linotype" w:hAnsi="Palatino Linotype" w:cs="Arial"/>
          <w:i/>
          <w:iCs/>
          <w:color w:val="222222"/>
          <w:lang w:eastAsia="es-MX"/>
        </w:rPr>
        <w:t>.</w:t>
      </w:r>
    </w:p>
    <w:p w:rsidR="0011432F" w:rsidRPr="0046551F" w:rsidRDefault="0011432F" w:rsidP="0019238A">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lastRenderedPageBreak/>
        <w:t>El</w:t>
      </w:r>
      <w:r w:rsidR="0011432F" w:rsidRPr="0046551F">
        <w:rPr>
          <w:rFonts w:ascii="Palatino Linotype" w:eastAsia="Palatino Linotype" w:hAnsi="Palatino Linotype" w:cs="Palatino Linotype"/>
          <w:b/>
          <w:color w:val="000000"/>
        </w:rPr>
        <w:t xml:space="preserve"> seis</w:t>
      </w:r>
      <w:r w:rsidRPr="0046551F">
        <w:rPr>
          <w:rFonts w:ascii="Palatino Linotype" w:eastAsia="Palatino Linotype" w:hAnsi="Palatino Linotype" w:cs="Palatino Linotype"/>
          <w:b/>
          <w:color w:val="000000"/>
        </w:rPr>
        <w:t xml:space="preserve"> de </w:t>
      </w:r>
      <w:r w:rsidR="0011432F" w:rsidRPr="0046551F">
        <w:rPr>
          <w:rFonts w:ascii="Palatino Linotype" w:eastAsia="Palatino Linotype" w:hAnsi="Palatino Linotype" w:cs="Palatino Linotype"/>
          <w:b/>
          <w:color w:val="000000"/>
        </w:rPr>
        <w:t>noviembre</w:t>
      </w:r>
      <w:r w:rsidRPr="0046551F">
        <w:rPr>
          <w:rFonts w:ascii="Palatino Linotype" w:eastAsia="Palatino Linotype" w:hAnsi="Palatino Linotype" w:cs="Palatino Linotype"/>
          <w:b/>
          <w:color w:val="000000"/>
        </w:rPr>
        <w:t xml:space="preserve"> de dos mil veinticuatro</w:t>
      </w:r>
      <w:r w:rsidRPr="0046551F">
        <w:rPr>
          <w:rFonts w:ascii="Palatino Linotype" w:eastAsia="Palatino Linotype" w:hAnsi="Palatino Linotype" w:cs="Palatino Linotype"/>
          <w:color w:val="000000"/>
        </w:rPr>
        <w:t xml:space="preserve">, el particular interpuso el recurso de revisión en contra de la </w:t>
      </w:r>
      <w:r w:rsidR="0011432F" w:rsidRPr="0046551F">
        <w:rPr>
          <w:rFonts w:ascii="Palatino Linotype" w:eastAsia="Palatino Linotype" w:hAnsi="Palatino Linotype" w:cs="Palatino Linotype"/>
          <w:color w:val="000000"/>
        </w:rPr>
        <w:t xml:space="preserve">falta de </w:t>
      </w:r>
      <w:r w:rsidRPr="0046551F">
        <w:rPr>
          <w:rFonts w:ascii="Palatino Linotype" w:eastAsia="Palatino Linotype" w:hAnsi="Palatino Linotype" w:cs="Palatino Linotype"/>
          <w:color w:val="000000"/>
        </w:rPr>
        <w:t>respuesta, realizando las siguientes manifestaciones:</w:t>
      </w:r>
    </w:p>
    <w:p w:rsidR="00F0192B" w:rsidRPr="0046551F" w:rsidRDefault="006F14C3" w:rsidP="0019238A">
      <w:pPr>
        <w:numPr>
          <w:ilvl w:val="0"/>
          <w:numId w:val="8"/>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rPr>
      </w:pPr>
      <w:bookmarkStart w:id="1" w:name="_heading=h.1fob9te" w:colFirst="0" w:colLast="0"/>
      <w:bookmarkEnd w:id="1"/>
      <w:r w:rsidRPr="0046551F">
        <w:rPr>
          <w:rFonts w:ascii="Palatino Linotype" w:eastAsia="Palatino Linotype" w:hAnsi="Palatino Linotype" w:cs="Palatino Linotype"/>
          <w:b/>
          <w:color w:val="000000"/>
        </w:rPr>
        <w:t xml:space="preserve">Acto impugnado: </w:t>
      </w:r>
      <w:r w:rsidRPr="0046551F">
        <w:rPr>
          <w:rFonts w:ascii="Palatino Linotype" w:eastAsia="Palatino Linotype" w:hAnsi="Palatino Linotype" w:cs="Palatino Linotype"/>
          <w:i/>
          <w:color w:val="000000"/>
        </w:rPr>
        <w:t>“</w:t>
      </w:r>
      <w:r w:rsidR="0011432F" w:rsidRPr="0046551F">
        <w:rPr>
          <w:rFonts w:ascii="Palatino Linotype" w:eastAsia="Palatino Linotype" w:hAnsi="Palatino Linotype" w:cs="Palatino Linotype"/>
          <w:i/>
          <w:color w:val="000000"/>
        </w:rPr>
        <w:t>No se ha obtenido respuesta por parte del ayuntamiento de Tepotzotlán a la solicitud "Se solicita el programa anual de adquisiciones del ejercicio fiscal 2024".</w:t>
      </w:r>
      <w:r w:rsidRPr="0046551F">
        <w:rPr>
          <w:rFonts w:ascii="Palatino Linotype" w:eastAsia="Palatino Linotype" w:hAnsi="Palatino Linotype" w:cs="Palatino Linotype"/>
          <w:i/>
          <w:color w:val="000000"/>
        </w:rPr>
        <w:t xml:space="preserve">” </w:t>
      </w:r>
    </w:p>
    <w:p w:rsidR="00597B38" w:rsidRPr="0046551F" w:rsidRDefault="00597B38" w:rsidP="0019238A">
      <w:pPr>
        <w:pBdr>
          <w:top w:val="nil"/>
          <w:left w:val="nil"/>
          <w:bottom w:val="nil"/>
          <w:right w:val="nil"/>
          <w:between w:val="nil"/>
        </w:pBdr>
        <w:spacing w:line="360" w:lineRule="auto"/>
        <w:ind w:left="851" w:right="-234"/>
        <w:jc w:val="both"/>
        <w:rPr>
          <w:rFonts w:ascii="Palatino Linotype" w:eastAsia="Palatino Linotype" w:hAnsi="Palatino Linotype" w:cs="Palatino Linotype"/>
          <w:i/>
          <w:color w:val="000000"/>
        </w:rPr>
      </w:pPr>
    </w:p>
    <w:p w:rsidR="00F0192B" w:rsidRPr="0046551F" w:rsidRDefault="006F14C3" w:rsidP="0019238A">
      <w:pPr>
        <w:numPr>
          <w:ilvl w:val="0"/>
          <w:numId w:val="8"/>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rPr>
      </w:pPr>
      <w:r w:rsidRPr="0046551F">
        <w:rPr>
          <w:rFonts w:ascii="Palatino Linotype" w:eastAsia="Palatino Linotype" w:hAnsi="Palatino Linotype" w:cs="Palatino Linotype"/>
          <w:b/>
          <w:color w:val="000000"/>
        </w:rPr>
        <w:t xml:space="preserve">RAZONES O MOTIVOS DE LA INCONFORMIDAD: </w:t>
      </w:r>
      <w:r w:rsidRPr="0046551F">
        <w:rPr>
          <w:rFonts w:ascii="Palatino Linotype" w:eastAsia="Palatino Linotype" w:hAnsi="Palatino Linotype" w:cs="Palatino Linotype"/>
          <w:i/>
          <w:color w:val="000000"/>
        </w:rPr>
        <w:t>“</w:t>
      </w:r>
      <w:r w:rsidR="0011432F" w:rsidRPr="0046551F">
        <w:rPr>
          <w:rFonts w:ascii="Palatino Linotype" w:eastAsia="Palatino Linotype" w:hAnsi="Palatino Linotype" w:cs="Palatino Linotype"/>
          <w:i/>
          <w:color w:val="000000"/>
        </w:rPr>
        <w:t xml:space="preserve">Presento mi inconformidad ante la falta de respuesta de la solicitud mencionada ya que el ayuntamiento solicito una prorroga el 16 de octubre de 2024 y ya se cumplió el plazo solicitado para entregar dicha información y aún no entregan nada. Anexo documento de la solicitud de </w:t>
      </w:r>
      <w:proofErr w:type="spellStart"/>
      <w:r w:rsidR="0011432F" w:rsidRPr="0046551F">
        <w:rPr>
          <w:rFonts w:ascii="Palatino Linotype" w:eastAsia="Palatino Linotype" w:hAnsi="Palatino Linotype" w:cs="Palatino Linotype"/>
          <w:i/>
          <w:color w:val="000000"/>
        </w:rPr>
        <w:t>prorroga</w:t>
      </w:r>
      <w:proofErr w:type="spellEnd"/>
      <w:r w:rsidR="0011432F" w:rsidRPr="0046551F">
        <w:rPr>
          <w:rFonts w:ascii="Palatino Linotype" w:eastAsia="Palatino Linotype" w:hAnsi="Palatino Linotype" w:cs="Palatino Linotype"/>
          <w:i/>
          <w:color w:val="000000"/>
        </w:rPr>
        <w:t xml:space="preserve"> por parte del ayuntamiento de Tepotzotlán.</w:t>
      </w:r>
      <w:r w:rsidRPr="0046551F">
        <w:rPr>
          <w:rFonts w:ascii="Palatino Linotype" w:eastAsia="Palatino Linotype" w:hAnsi="Palatino Linotype" w:cs="Palatino Linotype"/>
          <w:i/>
          <w:color w:val="000000"/>
        </w:rPr>
        <w:t xml:space="preserve">” </w:t>
      </w:r>
      <w:r w:rsidRPr="0046551F">
        <w:rPr>
          <w:rFonts w:ascii="Palatino Linotype" w:eastAsia="Palatino Linotype" w:hAnsi="Palatino Linotype" w:cs="Palatino Linotype"/>
          <w:color w:val="000000"/>
        </w:rPr>
        <w:t>(Sic)</w:t>
      </w:r>
    </w:p>
    <w:p w:rsidR="0011432F" w:rsidRPr="0046551F" w:rsidRDefault="0011432F" w:rsidP="0019238A">
      <w:pPr>
        <w:pStyle w:val="Prrafodelista"/>
        <w:spacing w:line="360" w:lineRule="auto"/>
        <w:rPr>
          <w:rFonts w:ascii="Palatino Linotype" w:eastAsia="Palatino Linotype" w:hAnsi="Palatino Linotype" w:cs="Palatino Linotype"/>
          <w:i/>
          <w:color w:val="000000"/>
        </w:rPr>
      </w:pPr>
    </w:p>
    <w:p w:rsidR="0011432F" w:rsidRPr="0046551F" w:rsidRDefault="0011432F" w:rsidP="0019238A">
      <w:pPr>
        <w:numPr>
          <w:ilvl w:val="0"/>
          <w:numId w:val="8"/>
        </w:numPr>
        <w:pBdr>
          <w:top w:val="nil"/>
          <w:left w:val="nil"/>
          <w:bottom w:val="nil"/>
          <w:right w:val="nil"/>
          <w:between w:val="nil"/>
        </w:pBdr>
        <w:spacing w:line="360" w:lineRule="auto"/>
        <w:ind w:left="850" w:right="-232" w:hanging="357"/>
        <w:jc w:val="both"/>
        <w:rPr>
          <w:rFonts w:ascii="Palatino Linotype" w:eastAsia="Palatino Linotype" w:hAnsi="Palatino Linotype" w:cs="Palatino Linotype"/>
          <w:i/>
          <w:color w:val="000000"/>
        </w:rPr>
      </w:pPr>
      <w:r w:rsidRPr="0046551F">
        <w:rPr>
          <w:rFonts w:ascii="Palatino Linotype" w:eastAsia="Palatino Linotype" w:hAnsi="Palatino Linotype" w:cs="Palatino Linotype"/>
          <w:color w:val="000000"/>
        </w:rPr>
        <w:t xml:space="preserve">Adjunto un archivo denominado </w:t>
      </w:r>
      <w:r w:rsidRPr="0046551F">
        <w:rPr>
          <w:rFonts w:ascii="Palatino Linotype" w:eastAsia="Palatino Linotype" w:hAnsi="Palatino Linotype" w:cs="Palatino Linotype"/>
          <w:b/>
          <w:i/>
          <w:color w:val="000000"/>
        </w:rPr>
        <w:t>folio 247.zip</w:t>
      </w:r>
      <w:r w:rsidRPr="0046551F">
        <w:rPr>
          <w:rFonts w:ascii="Palatino Linotype" w:eastAsia="Palatino Linotype" w:hAnsi="Palatino Linotype" w:cs="Palatino Linotype"/>
          <w:color w:val="000000"/>
        </w:rPr>
        <w:t>, cuyo contenido corresponde al escrito de prorroga anteriormente transcrito.</w:t>
      </w:r>
    </w:p>
    <w:p w:rsidR="00F0192B" w:rsidRPr="0046551F" w:rsidRDefault="00F0192B" w:rsidP="0019238A">
      <w:pPr>
        <w:pBdr>
          <w:top w:val="nil"/>
          <w:left w:val="nil"/>
          <w:bottom w:val="nil"/>
          <w:right w:val="nil"/>
          <w:between w:val="nil"/>
        </w:pBdr>
        <w:spacing w:line="360" w:lineRule="auto"/>
        <w:ind w:left="720" w:right="-234"/>
        <w:rPr>
          <w:rFonts w:ascii="Palatino Linotype" w:eastAsia="Palatino Linotype" w:hAnsi="Palatino Linotype" w:cs="Palatino Linotype"/>
          <w:i/>
          <w:color w:val="000000"/>
        </w:rPr>
      </w:pP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w:t>
      </w:r>
      <w:r w:rsidR="00172180" w:rsidRPr="0046551F">
        <w:rPr>
          <w:rFonts w:ascii="Palatino Linotype" w:eastAsia="Palatino Linotype" w:hAnsi="Palatino Linotype" w:cs="Palatino Linotype"/>
          <w:b/>
          <w:color w:val="000000"/>
        </w:rPr>
        <w:t>LA RECURRENTE</w:t>
      </w:r>
      <w:r w:rsidRPr="0046551F">
        <w:rPr>
          <w:rFonts w:ascii="Palatino Linotype" w:eastAsia="Palatino Linotype" w:hAnsi="Palatino Linotype" w:cs="Palatino Linotype"/>
          <w:color w:val="000000"/>
        </w:rPr>
        <w:t xml:space="preserve"> </w:t>
      </w:r>
      <w:r w:rsidRPr="0046551F">
        <w:rPr>
          <w:rFonts w:ascii="Palatino Linotype" w:eastAsia="Palatino Linotype" w:hAnsi="Palatino Linotype" w:cs="Palatino Linotype"/>
        </w:rPr>
        <w:t>manifiesta</w:t>
      </w:r>
      <w:r w:rsidRPr="0046551F">
        <w:rPr>
          <w:rFonts w:ascii="Palatino Linotype" w:eastAsia="Palatino Linotype" w:hAnsi="Palatino Linotype" w:cs="Palatino Linotype"/>
          <w:color w:val="000000"/>
        </w:rPr>
        <w:t xml:space="preserve"> lo que a su derecho conviniera, </w:t>
      </w:r>
      <w:r w:rsidRPr="0046551F">
        <w:rPr>
          <w:rFonts w:ascii="Palatino Linotype" w:eastAsia="Palatino Linotype" w:hAnsi="Palatino Linotype" w:cs="Palatino Linotype"/>
        </w:rPr>
        <w:t>ofreciera</w:t>
      </w:r>
      <w:r w:rsidRPr="0046551F">
        <w:rPr>
          <w:rFonts w:ascii="Palatino Linotype" w:eastAsia="Palatino Linotype" w:hAnsi="Palatino Linotype" w:cs="Palatino Linotype"/>
          <w:color w:val="000000"/>
        </w:rPr>
        <w:t xml:space="preserve"> pruebas y alegatos, y el Sujeto Obligado presentará el Informe Justificado.</w:t>
      </w:r>
    </w:p>
    <w:p w:rsidR="0011432F" w:rsidRPr="0046551F" w:rsidRDefault="0011432F"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11432F" w:rsidRPr="0046551F" w:rsidRDefault="00172180"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b/>
          <w:color w:val="000000"/>
        </w:rPr>
        <w:t>LA</w:t>
      </w:r>
      <w:r w:rsidRPr="0046551F">
        <w:rPr>
          <w:rFonts w:ascii="Palatino Linotype" w:eastAsia="Palatino Linotype" w:hAnsi="Palatino Linotype" w:cs="Palatino Linotype"/>
          <w:color w:val="000000"/>
        </w:rPr>
        <w:t xml:space="preserve"> </w:t>
      </w:r>
      <w:r w:rsidRPr="0046551F">
        <w:rPr>
          <w:rFonts w:ascii="Palatino Linotype" w:eastAsia="Palatino Linotype" w:hAnsi="Palatino Linotype" w:cs="Palatino Linotype"/>
          <w:b/>
          <w:color w:val="000000"/>
        </w:rPr>
        <w:t>RECURRENTE</w:t>
      </w:r>
      <w:r w:rsidR="006F14C3" w:rsidRPr="0046551F">
        <w:rPr>
          <w:rFonts w:ascii="Palatino Linotype" w:eastAsia="Palatino Linotype" w:hAnsi="Palatino Linotype" w:cs="Palatino Linotype"/>
          <w:b/>
          <w:color w:val="000000"/>
        </w:rPr>
        <w:t xml:space="preserve"> </w:t>
      </w:r>
      <w:r w:rsidR="0011432F" w:rsidRPr="0046551F">
        <w:rPr>
          <w:rFonts w:ascii="Palatino Linotype" w:eastAsia="Palatino Linotype" w:hAnsi="Palatino Linotype" w:cs="Palatino Linotype"/>
          <w:color w:val="000000"/>
        </w:rPr>
        <w:t>adjunta el archivo de nominado</w:t>
      </w:r>
      <w:r w:rsidR="0011432F" w:rsidRPr="0046551F">
        <w:rPr>
          <w:rFonts w:ascii="Palatino Linotype" w:eastAsia="Palatino Linotype" w:hAnsi="Palatino Linotype" w:cs="Palatino Linotype"/>
          <w:b/>
          <w:color w:val="000000"/>
        </w:rPr>
        <w:t xml:space="preserve"> DOP-1811-2024.pdf,</w:t>
      </w:r>
      <w:r w:rsidR="00415301" w:rsidRPr="0046551F">
        <w:rPr>
          <w:rFonts w:ascii="Palatino Linotype" w:eastAsia="Palatino Linotype" w:hAnsi="Palatino Linotype" w:cs="Palatino Linotype"/>
          <w:color w:val="000000"/>
        </w:rPr>
        <w:t xml:space="preserve"> que corresponde a la respuesta de una solicitud de información diversa,</w:t>
      </w:r>
      <w:r w:rsidR="0011432F" w:rsidRPr="0046551F">
        <w:rPr>
          <w:rFonts w:ascii="Palatino Linotype" w:eastAsia="Palatino Linotype" w:hAnsi="Palatino Linotype" w:cs="Palatino Linotype"/>
          <w:b/>
          <w:color w:val="000000"/>
        </w:rPr>
        <w:t xml:space="preserve"> </w:t>
      </w:r>
      <w:r w:rsidR="0011432F" w:rsidRPr="0046551F">
        <w:rPr>
          <w:rFonts w:ascii="Palatino Linotype" w:eastAsia="Palatino Linotype" w:hAnsi="Palatino Linotype" w:cs="Palatino Linotype"/>
          <w:color w:val="000000"/>
        </w:rPr>
        <w:t>acompañado del siguiente texto: "</w:t>
      </w:r>
      <w:r w:rsidR="0011432F" w:rsidRPr="0046551F">
        <w:rPr>
          <w:rFonts w:ascii="Palatino Linotype" w:eastAsia="Palatino Linotype" w:hAnsi="Palatino Linotype" w:cs="Palatino Linotype"/>
          <w:i/>
          <w:color w:val="000000"/>
        </w:rPr>
        <w:t xml:space="preserve">Como se puede observar en el archivo que es el Programa Anual de Obra </w:t>
      </w:r>
      <w:r w:rsidR="0011432F" w:rsidRPr="0046551F">
        <w:rPr>
          <w:rFonts w:ascii="Palatino Linotype" w:eastAsia="Palatino Linotype" w:hAnsi="Palatino Linotype" w:cs="Palatino Linotype"/>
          <w:i/>
          <w:color w:val="000000"/>
        </w:rPr>
        <w:lastRenderedPageBreak/>
        <w:t xml:space="preserve">(PAO) del 2022 y lo pongo como ejemplo porque en el PAO del 2019, 2020, 2021, 2022, 2023 y 2024 el 90% de los procesos de adjudicación son Invitaciones Restringidas, el 7% son Adjudicaciones Directas y solo el 3% aproximadamente son Licitaciones Públicas lo que nos lleva a pensar que no se </w:t>
      </w:r>
      <w:proofErr w:type="spellStart"/>
      <w:r w:rsidR="0011432F" w:rsidRPr="0046551F">
        <w:rPr>
          <w:rFonts w:ascii="Palatino Linotype" w:eastAsia="Palatino Linotype" w:hAnsi="Palatino Linotype" w:cs="Palatino Linotype"/>
          <w:i/>
          <w:color w:val="000000"/>
        </w:rPr>
        <w:t>estan</w:t>
      </w:r>
      <w:proofErr w:type="spellEnd"/>
      <w:r w:rsidR="0011432F" w:rsidRPr="0046551F">
        <w:rPr>
          <w:rFonts w:ascii="Palatino Linotype" w:eastAsia="Palatino Linotype" w:hAnsi="Palatino Linotype" w:cs="Palatino Linotype"/>
          <w:i/>
          <w:color w:val="000000"/>
        </w:rPr>
        <w:t xml:space="preserve"> realizando con los principios de una licitación que son, TRANSPARENCIA, EQUIDAD, COMPTENCIA, DEBIDO PROCESO, INTEGRIDAD, ECONOMÍA, APERTURA Y RENDICIÓN DE CUENTAS, por lo tanto no se puede seguir dando prorrogas al ayuntamiento de Tepotzotlán para no así entregar la información que debe ser PÚBLICA sobre quienes son las empresas que </w:t>
      </w:r>
      <w:proofErr w:type="spellStart"/>
      <w:r w:rsidR="0011432F" w:rsidRPr="0046551F">
        <w:rPr>
          <w:rFonts w:ascii="Palatino Linotype" w:eastAsia="Palatino Linotype" w:hAnsi="Palatino Linotype" w:cs="Palatino Linotype"/>
          <w:i/>
          <w:color w:val="000000"/>
        </w:rPr>
        <w:t>estan</w:t>
      </w:r>
      <w:proofErr w:type="spellEnd"/>
      <w:r w:rsidR="0011432F" w:rsidRPr="0046551F">
        <w:rPr>
          <w:rFonts w:ascii="Palatino Linotype" w:eastAsia="Palatino Linotype" w:hAnsi="Palatino Linotype" w:cs="Palatino Linotype"/>
          <w:i/>
          <w:color w:val="000000"/>
        </w:rPr>
        <w:t xml:space="preserve"> brindando servicio al municipio</w:t>
      </w:r>
      <w:r w:rsidR="0011432F" w:rsidRPr="0046551F">
        <w:rPr>
          <w:rFonts w:ascii="Palatino Linotype" w:eastAsia="Palatino Linotype" w:hAnsi="Palatino Linotype" w:cs="Palatino Linotype"/>
          <w:color w:val="000000"/>
        </w:rPr>
        <w:t>."</w:t>
      </w:r>
    </w:p>
    <w:p w:rsidR="0011432F" w:rsidRPr="0046551F" w:rsidRDefault="0011432F" w:rsidP="0019238A">
      <w:pPr>
        <w:pStyle w:val="Prrafodelista"/>
        <w:spacing w:line="360" w:lineRule="auto"/>
        <w:rPr>
          <w:rFonts w:ascii="Palatino Linotype" w:eastAsia="Palatino Linotype" w:hAnsi="Palatino Linotype" w:cs="Palatino Linotype"/>
          <w:color w:val="000000"/>
        </w:rPr>
      </w:pPr>
    </w:p>
    <w:p w:rsidR="00F0192B" w:rsidRPr="0046551F" w:rsidRDefault="00415301"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Por su parte el </w:t>
      </w:r>
      <w:r w:rsidRPr="0046551F">
        <w:rPr>
          <w:rFonts w:ascii="Palatino Linotype" w:eastAsia="Palatino Linotype" w:hAnsi="Palatino Linotype" w:cs="Palatino Linotype"/>
          <w:b/>
          <w:color w:val="000000"/>
        </w:rPr>
        <w:t>SUJETO OBLIGADO</w:t>
      </w:r>
      <w:r w:rsidRPr="0046551F">
        <w:rPr>
          <w:rFonts w:ascii="Palatino Linotype" w:eastAsia="Palatino Linotype" w:hAnsi="Palatino Linotype" w:cs="Palatino Linotype"/>
          <w:color w:val="000000"/>
        </w:rPr>
        <w:t>,</w:t>
      </w:r>
      <w:r w:rsidRPr="0046551F">
        <w:rPr>
          <w:rFonts w:ascii="Palatino Linotype" w:eastAsia="Palatino Linotype" w:hAnsi="Palatino Linotype" w:cs="Palatino Linotype"/>
          <w:b/>
          <w:color w:val="000000"/>
        </w:rPr>
        <w:t xml:space="preserve"> </w:t>
      </w:r>
      <w:r w:rsidRPr="0046551F">
        <w:rPr>
          <w:rFonts w:ascii="Palatino Linotype" w:eastAsia="Palatino Linotype" w:hAnsi="Palatino Linotype" w:cs="Palatino Linotype"/>
          <w:color w:val="000000"/>
        </w:rPr>
        <w:t>remitió el archivo</w:t>
      </w:r>
      <w:r w:rsidR="002816C9" w:rsidRPr="0046551F">
        <w:rPr>
          <w:rFonts w:ascii="Palatino Linotype" w:eastAsia="Palatino Linotype" w:hAnsi="Palatino Linotype" w:cs="Palatino Linotype"/>
          <w:color w:val="000000"/>
        </w:rPr>
        <w:t xml:space="preserve"> denominado</w:t>
      </w:r>
      <w:r w:rsidRPr="0046551F">
        <w:rPr>
          <w:rFonts w:ascii="Palatino Linotype" w:eastAsia="Palatino Linotype" w:hAnsi="Palatino Linotype" w:cs="Palatino Linotype"/>
          <w:b/>
          <w:i/>
          <w:color w:val="000000"/>
        </w:rPr>
        <w:t xml:space="preserve"> DAyF-P-398-2024.pdf, </w:t>
      </w:r>
      <w:r w:rsidRPr="0046551F">
        <w:rPr>
          <w:rFonts w:ascii="Palatino Linotype" w:eastAsia="Palatino Linotype" w:hAnsi="Palatino Linotype" w:cs="Palatino Linotype"/>
          <w:color w:val="000000"/>
        </w:rPr>
        <w:t>cuyo contenido corresponde</w:t>
      </w:r>
      <w:r w:rsidR="002816C9" w:rsidRPr="0046551F">
        <w:rPr>
          <w:rFonts w:ascii="Palatino Linotype" w:hAnsi="Palatino Linotype"/>
        </w:rPr>
        <w:t xml:space="preserve"> </w:t>
      </w:r>
      <w:r w:rsidR="002816C9" w:rsidRPr="0046551F">
        <w:rPr>
          <w:rFonts w:ascii="Palatino Linotype" w:eastAsia="Palatino Linotype" w:hAnsi="Palatino Linotype" w:cs="Palatino Linotype"/>
          <w:color w:val="000000"/>
        </w:rPr>
        <w:t>a un oficio signado por el Director de Administración y Finanzas, mediante el cual informa que se remite el Programa Anual de Adquisiciones 2024.</w:t>
      </w:r>
    </w:p>
    <w:p w:rsidR="002816C9" w:rsidRPr="0046551F" w:rsidRDefault="002816C9" w:rsidP="0019238A">
      <w:pPr>
        <w:pStyle w:val="Prrafodelista"/>
        <w:spacing w:line="360" w:lineRule="auto"/>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color w:val="000000"/>
        </w:rPr>
      </w:pPr>
      <w:bookmarkStart w:id="2" w:name="_heading=h.3znysh7" w:colFirst="0" w:colLast="0"/>
      <w:bookmarkEnd w:id="2"/>
      <w:r w:rsidRPr="0046551F">
        <w:rPr>
          <w:rFonts w:ascii="Palatino Linotype" w:eastAsia="Palatino Linotype" w:hAnsi="Palatino Linotype" w:cs="Palatino Linotype"/>
          <w:color w:val="000000"/>
        </w:rPr>
        <w:t xml:space="preserve">Seguidamente, en fecha </w:t>
      </w:r>
      <w:r w:rsidR="00415301" w:rsidRPr="0046551F">
        <w:rPr>
          <w:rFonts w:ascii="Palatino Linotype" w:eastAsia="Palatino Linotype" w:hAnsi="Palatino Linotype" w:cs="Palatino Linotype"/>
          <w:b/>
          <w:color w:val="000000"/>
        </w:rPr>
        <w:t>dieciocho de diciembre</w:t>
      </w:r>
      <w:r w:rsidRPr="0046551F">
        <w:rPr>
          <w:rFonts w:ascii="Palatino Linotype" w:eastAsia="Palatino Linotype" w:hAnsi="Palatino Linotype" w:cs="Palatino Linotype"/>
          <w:b/>
          <w:color w:val="000000"/>
        </w:rPr>
        <w:t xml:space="preserve"> de dos mil veinticuatro</w:t>
      </w:r>
      <w:r w:rsidRPr="0046551F">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F0192B" w:rsidRPr="0046551F" w:rsidRDefault="00F0192B" w:rsidP="0019238A">
      <w:pPr>
        <w:pBdr>
          <w:top w:val="nil"/>
          <w:left w:val="nil"/>
          <w:bottom w:val="nil"/>
          <w:right w:val="nil"/>
          <w:between w:val="nil"/>
        </w:pBdr>
        <w:spacing w:line="360" w:lineRule="auto"/>
        <w:ind w:left="720" w:right="-234"/>
        <w:rPr>
          <w:rFonts w:ascii="Palatino Linotype" w:eastAsia="Palatino Linotype" w:hAnsi="Palatino Linotype" w:cs="Palatino Linotype"/>
          <w:b/>
          <w:color w:val="000000"/>
        </w:rPr>
      </w:pPr>
    </w:p>
    <w:p w:rsidR="00F0192B" w:rsidRPr="0046551F" w:rsidRDefault="006F14C3" w:rsidP="0019238A">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r w:rsidRPr="0046551F">
        <w:rPr>
          <w:rFonts w:ascii="Palatino Linotype" w:eastAsia="Palatino Linotype" w:hAnsi="Palatino Linotype" w:cs="Palatino Linotype"/>
          <w:b/>
          <w:color w:val="000000"/>
        </w:rPr>
        <w:t>C O N S I D E R A C I O N E S</w:t>
      </w:r>
    </w:p>
    <w:p w:rsidR="00F0192B" w:rsidRPr="0046551F" w:rsidRDefault="00F0192B" w:rsidP="0019238A">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p>
    <w:p w:rsidR="00F0192B" w:rsidRPr="0046551F"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3" w:name="_heading=h.2et92p0" w:colFirst="0" w:colLast="0"/>
      <w:bookmarkEnd w:id="3"/>
      <w:r w:rsidRPr="0046551F">
        <w:rPr>
          <w:rFonts w:ascii="Palatino Linotype" w:eastAsia="Palatino Linotype" w:hAnsi="Palatino Linotype" w:cs="Palatino Linotype"/>
          <w:b/>
          <w:color w:val="000000"/>
          <w:sz w:val="24"/>
          <w:szCs w:val="24"/>
        </w:rPr>
        <w:t>PRIMERA. Competencia</w:t>
      </w: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w:t>
      </w:r>
      <w:r w:rsidRPr="0046551F">
        <w:rPr>
          <w:rFonts w:ascii="Palatino Linotype" w:eastAsia="Palatino Linotype" w:hAnsi="Palatino Linotype" w:cs="Palatino Linotype"/>
          <w:color w:val="000000"/>
        </w:rPr>
        <w:lastRenderedPageBreak/>
        <w:t>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0192B" w:rsidRPr="0046551F" w:rsidRDefault="00F0192B"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F0192B" w:rsidRPr="0046551F"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4" w:name="_heading=h.tyjcwt" w:colFirst="0" w:colLast="0"/>
      <w:bookmarkEnd w:id="4"/>
      <w:r w:rsidRPr="0046551F">
        <w:rPr>
          <w:rFonts w:ascii="Palatino Linotype" w:eastAsia="Palatino Linotype" w:hAnsi="Palatino Linotype" w:cs="Palatino Linotype"/>
          <w:b/>
          <w:color w:val="000000"/>
          <w:sz w:val="24"/>
          <w:szCs w:val="24"/>
        </w:rPr>
        <w:t>SEGUNDA. Procedencia.</w:t>
      </w: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46551F">
        <w:rPr>
          <w:rFonts w:ascii="Palatino Linotype" w:eastAsia="Palatino Linotype" w:hAnsi="Palatino Linotype" w:cs="Palatino Linotype"/>
        </w:rPr>
        <w:t xml:space="preserve">El artículo 178 de la Ley de Transparencia y Acceso a la Información Pública del Estado de México y Municipios establece que el solicitante </w:t>
      </w:r>
      <w:proofErr w:type="spellStart"/>
      <w:r w:rsidRPr="0046551F">
        <w:rPr>
          <w:rFonts w:ascii="Palatino Linotype" w:eastAsia="Palatino Linotype" w:hAnsi="Palatino Linotype" w:cs="Palatino Linotype"/>
        </w:rPr>
        <w:t>podra</w:t>
      </w:r>
      <w:proofErr w:type="spellEnd"/>
      <w:r w:rsidRPr="0046551F">
        <w:rPr>
          <w:rFonts w:ascii="Palatino Linotype" w:eastAsia="Palatino Linotype" w:hAnsi="Palatino Linotype" w:cs="Palatino Linotype"/>
        </w:rPr>
        <w:t xml:space="preserve">́ interponer, por sí mismo o a </w:t>
      </w:r>
      <w:r w:rsidRPr="0046551F">
        <w:rPr>
          <w:rFonts w:ascii="Palatino Linotype" w:eastAsia="Palatino Linotype" w:hAnsi="Palatino Linotype" w:cs="Palatino Linotype"/>
          <w:color w:val="000000"/>
        </w:rPr>
        <w:t>través</w:t>
      </w:r>
      <w:r w:rsidRPr="0046551F">
        <w:rPr>
          <w:rFonts w:ascii="Palatino Linotype" w:eastAsia="Palatino Linotype" w:hAnsi="Palatino Linotype" w:cs="Palatino Linotype"/>
        </w:rPr>
        <w:t xml:space="preserve">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F0192B" w:rsidRPr="0046551F" w:rsidRDefault="00F0192B" w:rsidP="0019238A">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46551F">
        <w:rPr>
          <w:rFonts w:ascii="Palatino Linotype" w:eastAsia="Palatino Linotype" w:hAnsi="Palatino Linotype" w:cs="Palatino Linotype"/>
        </w:rPr>
        <w:t xml:space="preserve">El artículo 180 de la Ley de Transparencia y Acceso a la Información Pública del Estado de México y Municipios, señala los requisitos que deberán contener los </w:t>
      </w:r>
      <w:r w:rsidRPr="0046551F">
        <w:rPr>
          <w:rFonts w:ascii="Palatino Linotype" w:eastAsia="Palatino Linotype" w:hAnsi="Palatino Linotype" w:cs="Palatino Linotype"/>
        </w:rPr>
        <w:lastRenderedPageBreak/>
        <w:t xml:space="preserve">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46551F">
        <w:rPr>
          <w:rFonts w:ascii="Palatino Linotype" w:eastAsia="Palatino Linotype" w:hAnsi="Palatino Linotype" w:cs="Palatino Linotype"/>
          <w:b/>
        </w:rPr>
        <w:t>RECURRENTE</w:t>
      </w:r>
      <w:r w:rsidRPr="0046551F">
        <w:rPr>
          <w:rFonts w:ascii="Palatino Linotype" w:eastAsia="Palatino Linotype" w:hAnsi="Palatino Linotype" w:cs="Palatino Linotype"/>
        </w:rPr>
        <w:t xml:space="preserve">, por lo que, en el presente caso, al haber sido presentado el recurso de revisión vía </w:t>
      </w:r>
      <w:r w:rsidRPr="0046551F">
        <w:rPr>
          <w:rFonts w:ascii="Palatino Linotype" w:eastAsia="Palatino Linotype" w:hAnsi="Palatino Linotype" w:cs="Palatino Linotype"/>
          <w:b/>
        </w:rPr>
        <w:t>SAIMEX</w:t>
      </w:r>
      <w:r w:rsidRPr="0046551F">
        <w:rPr>
          <w:rFonts w:ascii="Palatino Linotype" w:eastAsia="Palatino Linotype" w:hAnsi="Palatino Linotype" w:cs="Palatino Linotype"/>
        </w:rPr>
        <w:t>, dicho requisito resulta innecesario.</w:t>
      </w:r>
    </w:p>
    <w:p w:rsidR="00F0192B" w:rsidRPr="0046551F" w:rsidRDefault="00F0192B" w:rsidP="0019238A">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46551F">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46551F">
        <w:rPr>
          <w:rFonts w:ascii="Palatino Linotype" w:eastAsia="Palatino Linotype" w:hAnsi="Palatino Linotype" w:cs="Palatino Linotype"/>
          <w:b/>
        </w:rPr>
        <w:t>SUJETO OBLIGADO</w:t>
      </w:r>
      <w:r w:rsidRPr="0046551F">
        <w:rPr>
          <w:rFonts w:ascii="Palatino Linotype" w:eastAsia="Palatino Linotype" w:hAnsi="Palatino Linotype" w:cs="Palatino Linotype"/>
        </w:rPr>
        <w:t xml:space="preserve">, hipótesis jurídica que se actualiza en este caso, aunado a que la parte </w:t>
      </w:r>
      <w:r w:rsidRPr="0046551F">
        <w:rPr>
          <w:rFonts w:ascii="Palatino Linotype" w:eastAsia="Palatino Linotype" w:hAnsi="Palatino Linotype" w:cs="Palatino Linotype"/>
          <w:b/>
        </w:rPr>
        <w:t>RECURRENTE</w:t>
      </w:r>
      <w:r w:rsidRPr="0046551F">
        <w:rPr>
          <w:rFonts w:ascii="Palatino Linotype" w:eastAsia="Palatino Linotype" w:hAnsi="Palatino Linotype" w:cs="Palatino Linotype"/>
        </w:rPr>
        <w:t xml:space="preserve"> combate falta de trámite por el </w:t>
      </w:r>
      <w:r w:rsidRPr="0046551F">
        <w:rPr>
          <w:rFonts w:ascii="Palatino Linotype" w:eastAsia="Palatino Linotype" w:hAnsi="Palatino Linotype" w:cs="Palatino Linotype"/>
          <w:b/>
        </w:rPr>
        <w:t>SUJETO OBLIGADO</w:t>
      </w:r>
      <w:r w:rsidRPr="0046551F">
        <w:rPr>
          <w:rFonts w:ascii="Palatino Linotype" w:eastAsia="Palatino Linotype" w:hAnsi="Palatino Linotype" w:cs="Palatino Linotype"/>
        </w:rPr>
        <w:t xml:space="preserve"> y expresa motivos de inconformidad en contra de dicha circunstancia.</w:t>
      </w:r>
    </w:p>
    <w:p w:rsidR="00F0192B" w:rsidRPr="0046551F" w:rsidRDefault="00F0192B" w:rsidP="0019238A">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46551F">
        <w:rPr>
          <w:rFonts w:ascii="Palatino Linotype" w:eastAsia="Palatino Linotype" w:hAnsi="Palatino Linotype" w:cs="Palatino Linotype"/>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F0192B" w:rsidRPr="0046551F" w:rsidRDefault="00F0192B" w:rsidP="0019238A">
      <w:pPr>
        <w:pBdr>
          <w:top w:val="nil"/>
          <w:left w:val="nil"/>
          <w:bottom w:val="nil"/>
          <w:right w:val="nil"/>
          <w:between w:val="nil"/>
        </w:pBdr>
        <w:spacing w:line="360" w:lineRule="auto"/>
        <w:ind w:right="-234"/>
        <w:rPr>
          <w:rFonts w:ascii="Palatino Linotype" w:eastAsia="Palatino Linotype" w:hAnsi="Palatino Linotype" w:cs="Palatino Linotype"/>
          <w:color w:val="000000"/>
        </w:rPr>
      </w:pPr>
    </w:p>
    <w:p w:rsidR="00F0192B" w:rsidRPr="0046551F" w:rsidRDefault="006F14C3" w:rsidP="0019238A">
      <w:pPr>
        <w:pStyle w:val="Ttulo1"/>
        <w:spacing w:before="0" w:line="360" w:lineRule="auto"/>
        <w:ind w:right="-234"/>
        <w:rPr>
          <w:rFonts w:ascii="Palatino Linotype" w:eastAsia="Palatino Linotype" w:hAnsi="Palatino Linotype" w:cs="Palatino Linotype"/>
          <w:b/>
          <w:color w:val="000000"/>
          <w:sz w:val="24"/>
          <w:szCs w:val="24"/>
        </w:rPr>
      </w:pPr>
      <w:bookmarkStart w:id="5" w:name="_heading=h.3dy6vkm" w:colFirst="0" w:colLast="0"/>
      <w:bookmarkEnd w:id="5"/>
      <w:r w:rsidRPr="0046551F">
        <w:rPr>
          <w:rFonts w:ascii="Palatino Linotype" w:eastAsia="Palatino Linotype" w:hAnsi="Palatino Linotype" w:cs="Palatino Linotype"/>
          <w:b/>
          <w:color w:val="000000"/>
          <w:sz w:val="24"/>
          <w:szCs w:val="24"/>
        </w:rPr>
        <w:t>TERCERA. Descripción de hechos y planteamiento de la controversia.</w:t>
      </w:r>
    </w:p>
    <w:p w:rsidR="00F0192B" w:rsidRPr="0046551F"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Se solicitó tener acceso, a la información que a continuación se simplifica:</w:t>
      </w:r>
    </w:p>
    <w:p w:rsidR="002816C9" w:rsidRPr="0046551F" w:rsidRDefault="002816C9"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F0192B" w:rsidRPr="0046551F" w:rsidRDefault="002816C9" w:rsidP="0019238A">
      <w:pPr>
        <w:numPr>
          <w:ilvl w:val="0"/>
          <w:numId w:val="1"/>
        </w:numPr>
        <w:pBdr>
          <w:top w:val="nil"/>
          <w:left w:val="nil"/>
          <w:bottom w:val="nil"/>
          <w:right w:val="nil"/>
          <w:between w:val="nil"/>
        </w:pBdr>
        <w:spacing w:line="360" w:lineRule="auto"/>
        <w:ind w:left="777" w:right="-232" w:hanging="357"/>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b/>
          <w:color w:val="000000"/>
        </w:rPr>
        <w:t>Programa Anual de Adquisiciones del ejercicio fiscal 2024.</w:t>
      </w:r>
    </w:p>
    <w:p w:rsidR="00F0192B" w:rsidRPr="0046551F" w:rsidRDefault="00597B38"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rPr>
        <w:lastRenderedPageBreak/>
        <w:t>Atento a lo anterior</w:t>
      </w:r>
      <w:r w:rsidR="006F14C3" w:rsidRPr="0046551F">
        <w:rPr>
          <w:rFonts w:ascii="Palatino Linotype" w:eastAsia="Palatino Linotype" w:hAnsi="Palatino Linotype" w:cs="Palatino Linotype"/>
        </w:rPr>
        <w:t>, el Sujeto Obligado</w:t>
      </w:r>
      <w:r w:rsidR="006F14C3" w:rsidRPr="0046551F">
        <w:rPr>
          <w:rFonts w:ascii="Palatino Linotype" w:eastAsia="Palatino Linotype" w:hAnsi="Palatino Linotype" w:cs="Palatino Linotype"/>
          <w:b/>
        </w:rPr>
        <w:t xml:space="preserve"> </w:t>
      </w:r>
      <w:r w:rsidR="006F14C3" w:rsidRPr="0046551F">
        <w:rPr>
          <w:rFonts w:ascii="Palatino Linotype" w:eastAsia="Palatino Linotype" w:hAnsi="Palatino Linotype" w:cs="Palatino Linotype"/>
        </w:rPr>
        <w:t xml:space="preserve">remitió los archivos ya descritos en el anterior Párrafo 2. Inconforme </w:t>
      </w:r>
      <w:r w:rsidRPr="0046551F">
        <w:rPr>
          <w:rFonts w:ascii="Palatino Linotype" w:eastAsia="Palatino Linotype" w:hAnsi="Palatino Linotype" w:cs="Palatino Linotype"/>
        </w:rPr>
        <w:t xml:space="preserve">el Particular, </w:t>
      </w:r>
      <w:r w:rsidR="006F14C3" w:rsidRPr="0046551F">
        <w:rPr>
          <w:rFonts w:ascii="Palatino Linotype" w:eastAsia="Palatino Linotype" w:hAnsi="Palatino Linotype" w:cs="Palatino Linotype"/>
        </w:rPr>
        <w:t xml:space="preserve">interpuso recurso de revisión argumentando sustancialmente la </w:t>
      </w:r>
      <w:r w:rsidR="008B05B1" w:rsidRPr="0046551F">
        <w:rPr>
          <w:rFonts w:ascii="Palatino Linotype" w:eastAsia="Palatino Linotype" w:hAnsi="Palatino Linotype" w:cs="Palatino Linotype"/>
        </w:rPr>
        <w:t>falta de respuesta</w:t>
      </w:r>
      <w:r w:rsidR="006F14C3" w:rsidRPr="0046551F">
        <w:rPr>
          <w:rFonts w:ascii="Palatino Linotype" w:eastAsia="Palatino Linotype" w:hAnsi="Palatino Linotype" w:cs="Palatino Linotype"/>
        </w:rPr>
        <w:t>.</w:t>
      </w:r>
    </w:p>
    <w:p w:rsidR="00F0192B" w:rsidRPr="0046551F" w:rsidRDefault="00F0192B" w:rsidP="0019238A">
      <w:pPr>
        <w:spacing w:line="360" w:lineRule="auto"/>
        <w:ind w:right="-234"/>
        <w:jc w:val="both"/>
        <w:rPr>
          <w:rFonts w:ascii="Palatino Linotype" w:eastAsia="Palatino Linotype" w:hAnsi="Palatino Linotype" w:cs="Palatino Linotype"/>
          <w:color w:val="000000"/>
        </w:rPr>
      </w:pPr>
    </w:p>
    <w:p w:rsidR="00F0192B" w:rsidRPr="0046551F" w:rsidRDefault="006F14C3" w:rsidP="0019238A">
      <w:pPr>
        <w:numPr>
          <w:ilvl w:val="0"/>
          <w:numId w:val="3"/>
        </w:numPr>
        <w:spacing w:line="360" w:lineRule="auto"/>
        <w:ind w:left="0" w:right="-234" w:firstLine="0"/>
        <w:jc w:val="both"/>
        <w:rPr>
          <w:rFonts w:ascii="Palatino Linotype" w:eastAsia="Palatino Linotype" w:hAnsi="Palatino Linotype" w:cs="Palatino Linotype"/>
        </w:rPr>
      </w:pPr>
      <w:r w:rsidRPr="0046551F">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8B05B1" w:rsidRPr="0046551F">
        <w:rPr>
          <w:rFonts w:ascii="Palatino Linotype" w:eastAsia="Palatino Linotype" w:hAnsi="Palatino Linotype" w:cs="Palatino Linotype"/>
        </w:rPr>
        <w:t>VI</w:t>
      </w:r>
      <w:r w:rsidRPr="0046551F">
        <w:rPr>
          <w:rFonts w:ascii="Palatino Linotype" w:eastAsia="Palatino Linotype" w:hAnsi="Palatino Linotype" w:cs="Palatino Linotype"/>
        </w:rPr>
        <w:t>I</w:t>
      </w:r>
      <w:r w:rsidRPr="0046551F">
        <w:rPr>
          <w:rFonts w:ascii="Palatino Linotype" w:eastAsia="Palatino Linotype" w:hAnsi="Palatino Linotype" w:cs="Palatino Linotype"/>
          <w:b/>
        </w:rPr>
        <w:t xml:space="preserve"> </w:t>
      </w:r>
      <w:r w:rsidRPr="0046551F">
        <w:rPr>
          <w:rFonts w:ascii="Palatino Linotype" w:eastAsia="Palatino Linotype" w:hAnsi="Palatino Linotype" w:cs="Palatino Linotype"/>
        </w:rPr>
        <w:t>de la Ley de Transparencia y Acceso a la Información Pública del Estado de</w:t>
      </w:r>
      <w:r w:rsidRPr="0046551F">
        <w:rPr>
          <w:rFonts w:ascii="Palatino Linotype" w:eastAsia="Palatino Linotype" w:hAnsi="Palatino Linotype" w:cs="Palatino Linotype"/>
          <w:b/>
        </w:rPr>
        <w:t xml:space="preserve"> </w:t>
      </w:r>
      <w:r w:rsidRPr="0046551F">
        <w:rPr>
          <w:rFonts w:ascii="Palatino Linotype" w:eastAsia="Palatino Linotype" w:hAnsi="Palatino Linotype" w:cs="Palatino Linotype"/>
        </w:rPr>
        <w:t>México</w:t>
      </w:r>
      <w:r w:rsidRPr="0046551F">
        <w:rPr>
          <w:rFonts w:ascii="Palatino Linotype" w:eastAsia="Palatino Linotype" w:hAnsi="Palatino Linotype" w:cs="Palatino Linotype"/>
          <w:b/>
        </w:rPr>
        <w:t xml:space="preserve"> </w:t>
      </w:r>
      <w:r w:rsidRPr="0046551F">
        <w:rPr>
          <w:rFonts w:ascii="Palatino Linotype" w:eastAsia="Palatino Linotype" w:hAnsi="Palatino Linotype" w:cs="Palatino Linotype"/>
        </w:rPr>
        <w:t>y</w:t>
      </w:r>
      <w:r w:rsidRPr="0046551F">
        <w:rPr>
          <w:rFonts w:ascii="Palatino Linotype" w:eastAsia="Palatino Linotype" w:hAnsi="Palatino Linotype" w:cs="Palatino Linotype"/>
          <w:b/>
        </w:rPr>
        <w:t xml:space="preserve"> </w:t>
      </w:r>
      <w:r w:rsidRPr="0046551F">
        <w:rPr>
          <w:rFonts w:ascii="Palatino Linotype" w:eastAsia="Palatino Linotype" w:hAnsi="Palatino Linotype" w:cs="Palatino Linotype"/>
        </w:rPr>
        <w:t xml:space="preserve">Municipios; </w:t>
      </w:r>
      <w:r w:rsidRPr="0046551F">
        <w:rPr>
          <w:rFonts w:ascii="Palatino Linotype" w:eastAsia="Palatino Linotype" w:hAnsi="Palatino Linotype" w:cs="Palatino Linotype"/>
          <w:color w:val="000000"/>
        </w:rPr>
        <w:t xml:space="preserve">fracción que determina la hipótesis relativa a la </w:t>
      </w:r>
      <w:r w:rsidR="008B05B1" w:rsidRPr="0046551F">
        <w:rPr>
          <w:rFonts w:ascii="Palatino Linotype" w:eastAsia="Palatino Linotype" w:hAnsi="Palatino Linotype" w:cs="Palatino Linotype"/>
          <w:color w:val="000000"/>
        </w:rPr>
        <w:t>falta de respuesta</w:t>
      </w:r>
      <w:r w:rsidRPr="0046551F">
        <w:rPr>
          <w:rFonts w:ascii="Palatino Linotype" w:eastAsia="Palatino Linotype" w:hAnsi="Palatino Linotype" w:cs="Palatino Linotype"/>
          <w:color w:val="000000"/>
        </w:rPr>
        <w:t xml:space="preserve">; </w:t>
      </w:r>
      <w:r w:rsidRPr="0046551F">
        <w:rPr>
          <w:rFonts w:ascii="Palatino Linotype" w:eastAsia="Palatino Linotype" w:hAnsi="Palatino Linotype" w:cs="Palatino Linotype"/>
        </w:rPr>
        <w:t xml:space="preserve">contexto del cual se dolió </w:t>
      </w:r>
      <w:r w:rsidR="00172180" w:rsidRPr="0046551F">
        <w:rPr>
          <w:rFonts w:ascii="Palatino Linotype" w:eastAsia="Palatino Linotype" w:hAnsi="Palatino Linotype" w:cs="Palatino Linotype"/>
          <w:b/>
        </w:rPr>
        <w:t>LA RECURRENTE</w:t>
      </w:r>
      <w:r w:rsidRPr="0046551F">
        <w:rPr>
          <w:rFonts w:ascii="Palatino Linotype" w:eastAsia="Palatino Linotype" w:hAnsi="Palatino Linotype" w:cs="Palatino Linotype"/>
        </w:rPr>
        <w:t xml:space="preserve"> al momento de interponer su inconformidad.</w:t>
      </w:r>
      <w:r w:rsidRPr="0046551F">
        <w:rPr>
          <w:rFonts w:ascii="Palatino Linotype" w:eastAsia="Palatino Linotype" w:hAnsi="Palatino Linotype" w:cs="Palatino Linotype"/>
          <w:color w:val="000000"/>
        </w:rPr>
        <w:t xml:space="preserve"> De modo tal que el presente recurso de revisión se </w:t>
      </w:r>
      <w:r w:rsidRPr="0046551F">
        <w:rPr>
          <w:rFonts w:ascii="Palatino Linotype" w:eastAsia="Palatino Linotype" w:hAnsi="Palatino Linotype" w:cs="Palatino Linotype"/>
        </w:rPr>
        <w:t>abocará</w:t>
      </w:r>
      <w:r w:rsidRPr="0046551F">
        <w:rPr>
          <w:rFonts w:ascii="Palatino Linotype" w:eastAsia="Palatino Linotype" w:hAnsi="Palatino Linotype" w:cs="Palatino Linotype"/>
          <w:color w:val="000000"/>
        </w:rPr>
        <w:t xml:space="preserve"> en determinar si el Sujeto Obligado con su respuesta ciertamente actualiza la causal de procedencia</w:t>
      </w:r>
      <w:r w:rsidRPr="0046551F">
        <w:rPr>
          <w:rFonts w:ascii="Palatino Linotype" w:eastAsia="Palatino Linotype" w:hAnsi="Palatino Linotype" w:cs="Palatino Linotype"/>
          <w:b/>
          <w:color w:val="000000"/>
        </w:rPr>
        <w:t xml:space="preserve"> </w:t>
      </w:r>
      <w:r w:rsidRPr="0046551F">
        <w:rPr>
          <w:rFonts w:ascii="Palatino Linotype" w:eastAsia="Palatino Linotype" w:hAnsi="Palatino Linotype" w:cs="Palatino Linotype"/>
          <w:color w:val="000000"/>
        </w:rPr>
        <w:t xml:space="preserve">señalada. </w:t>
      </w:r>
    </w:p>
    <w:p w:rsidR="00F0192B" w:rsidRPr="0046551F" w:rsidRDefault="00F0192B" w:rsidP="0019238A">
      <w:pPr>
        <w:spacing w:line="360" w:lineRule="auto"/>
        <w:ind w:right="-234"/>
        <w:jc w:val="both"/>
        <w:rPr>
          <w:rFonts w:ascii="Palatino Linotype" w:eastAsia="Palatino Linotype" w:hAnsi="Palatino Linotype" w:cs="Palatino Linotype"/>
        </w:rPr>
      </w:pPr>
    </w:p>
    <w:p w:rsidR="00F0192B" w:rsidRPr="0046551F"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6" w:name="_heading=h.1t3h5sf" w:colFirst="0" w:colLast="0"/>
      <w:bookmarkEnd w:id="6"/>
      <w:r w:rsidRPr="0046551F">
        <w:rPr>
          <w:rFonts w:ascii="Palatino Linotype" w:eastAsia="Palatino Linotype" w:hAnsi="Palatino Linotype" w:cs="Palatino Linotype"/>
          <w:b/>
          <w:color w:val="000000"/>
          <w:sz w:val="24"/>
          <w:szCs w:val="24"/>
        </w:rPr>
        <w:t xml:space="preserve">CUARTA. </w:t>
      </w:r>
      <w:r w:rsidR="008B05B1" w:rsidRPr="0046551F">
        <w:rPr>
          <w:rFonts w:ascii="Palatino Linotype" w:eastAsia="Palatino Linotype" w:hAnsi="Palatino Linotype" w:cs="Palatino Linotype"/>
          <w:b/>
          <w:color w:val="000000"/>
          <w:sz w:val="24"/>
          <w:szCs w:val="24"/>
        </w:rPr>
        <w:t>Estudio y resolución</w:t>
      </w:r>
      <w:r w:rsidR="005736D0" w:rsidRPr="0046551F">
        <w:rPr>
          <w:rFonts w:ascii="Palatino Linotype" w:eastAsia="Palatino Linotype" w:hAnsi="Palatino Linotype" w:cs="Palatino Linotype"/>
          <w:b/>
          <w:color w:val="000000"/>
          <w:sz w:val="24"/>
          <w:szCs w:val="24"/>
        </w:rPr>
        <w:t>.</w:t>
      </w:r>
    </w:p>
    <w:p w:rsidR="00242CCC" w:rsidRPr="0046551F" w:rsidRDefault="00242CCC" w:rsidP="0019238A">
      <w:pPr>
        <w:keepNext/>
        <w:keepLines/>
        <w:numPr>
          <w:ilvl w:val="1"/>
          <w:numId w:val="12"/>
        </w:numPr>
        <w:spacing w:line="360" w:lineRule="auto"/>
        <w:ind w:left="851"/>
        <w:contextualSpacing/>
        <w:jc w:val="both"/>
        <w:outlineLvl w:val="1"/>
        <w:rPr>
          <w:rFonts w:ascii="Palatino Linotype" w:eastAsia="MS Gothic" w:hAnsi="Palatino Linotype"/>
          <w:b/>
        </w:rPr>
      </w:pPr>
      <w:bookmarkStart w:id="7" w:name="_Toc498528948"/>
      <w:bookmarkStart w:id="8" w:name="_Toc71234379"/>
      <w:bookmarkStart w:id="9" w:name="_Toc83901397"/>
      <w:r w:rsidRPr="0046551F">
        <w:rPr>
          <w:rFonts w:ascii="Palatino Linotype" w:eastAsia="MS Gothic" w:hAnsi="Palatino Linotype"/>
          <w:b/>
        </w:rPr>
        <w:t>De</w:t>
      </w:r>
      <w:bookmarkEnd w:id="7"/>
      <w:r w:rsidRPr="0046551F">
        <w:rPr>
          <w:rFonts w:ascii="Palatino Linotype" w:eastAsia="MS Gothic" w:hAnsi="Palatino Linotype"/>
          <w:b/>
        </w:rPr>
        <w:t>l Derecho de Acceso a la Información.</w:t>
      </w:r>
      <w:bookmarkEnd w:id="8"/>
      <w:bookmarkEnd w:id="9"/>
    </w:p>
    <w:p w:rsidR="00242CCC" w:rsidRPr="0046551F" w:rsidRDefault="00242CCC" w:rsidP="0019238A">
      <w:pPr>
        <w:numPr>
          <w:ilvl w:val="0"/>
          <w:numId w:val="3"/>
        </w:numPr>
        <w:spacing w:line="360" w:lineRule="auto"/>
        <w:ind w:left="0" w:right="-234" w:firstLine="0"/>
        <w:jc w:val="both"/>
        <w:rPr>
          <w:rFonts w:ascii="Palatino Linotype" w:eastAsia="MS Mincho" w:hAnsi="Palatino Linotype"/>
          <w:color w:val="000000"/>
        </w:rPr>
      </w:pPr>
      <w:r w:rsidRPr="0046551F">
        <w:rPr>
          <w:rFonts w:ascii="Palatino Linotype" w:hAnsi="Palatino Linotype"/>
        </w:rPr>
        <w:t>E</w:t>
      </w:r>
      <w:r w:rsidRPr="0046551F">
        <w:rPr>
          <w:rFonts w:ascii="Palatino Linotype" w:hAnsi="Palatino Linotype" w:cs="Arial"/>
          <w:color w:val="000000"/>
          <w:lang w:eastAsia="es-MX"/>
        </w:rPr>
        <w:t xml:space="preserve">l Derecho de Acceso a la Información Pública, es un derecho humano </w:t>
      </w:r>
      <w:r w:rsidRPr="0046551F">
        <w:rPr>
          <w:rFonts w:ascii="Palatino Linotype" w:eastAsia="Palatino Linotype" w:hAnsi="Palatino Linotype" w:cs="Palatino Linotype"/>
        </w:rPr>
        <w:t>reconocido</w:t>
      </w:r>
      <w:r w:rsidRPr="0046551F">
        <w:rPr>
          <w:rFonts w:ascii="Palatino Linotype" w:hAnsi="Palatino Linotype" w:cs="Arial"/>
          <w:color w:val="000000"/>
          <w:lang w:eastAsia="es-MX"/>
        </w:rPr>
        <w:t xml:space="preserve">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46551F">
        <w:rPr>
          <w:rFonts w:ascii="Palatino Linotype" w:hAnsi="Palatino Linotype" w:cs="Arial"/>
          <w:color w:val="000000"/>
        </w:rPr>
        <w:t xml:space="preserve">. </w:t>
      </w:r>
    </w:p>
    <w:p w:rsidR="00242CCC" w:rsidRPr="0046551F" w:rsidRDefault="00242CCC" w:rsidP="0019238A">
      <w:pPr>
        <w:spacing w:line="360" w:lineRule="auto"/>
        <w:ind w:right="49"/>
        <w:contextualSpacing/>
        <w:jc w:val="both"/>
        <w:rPr>
          <w:rFonts w:ascii="Palatino Linotype" w:eastAsia="MS Mincho" w:hAnsi="Palatino Linotype"/>
          <w:color w:val="000000"/>
        </w:rPr>
      </w:pPr>
    </w:p>
    <w:p w:rsidR="00242CCC" w:rsidRPr="0046551F" w:rsidRDefault="00242CCC" w:rsidP="0019238A">
      <w:pPr>
        <w:numPr>
          <w:ilvl w:val="0"/>
          <w:numId w:val="3"/>
        </w:numPr>
        <w:spacing w:line="360" w:lineRule="auto"/>
        <w:ind w:left="0" w:right="-234" w:firstLine="0"/>
        <w:jc w:val="both"/>
        <w:rPr>
          <w:rFonts w:ascii="Palatino Linotype" w:hAnsi="Palatino Linotype"/>
        </w:rPr>
      </w:pPr>
      <w:r w:rsidRPr="0046551F">
        <w:rPr>
          <w:rFonts w:ascii="Palatino Linotype" w:hAnsi="Palatino Linotype"/>
        </w:rPr>
        <w:t xml:space="preserve">Definiendo el Derecho de Acceso a la Información Pública como: </w:t>
      </w:r>
      <w:r w:rsidRPr="0046551F">
        <w:rPr>
          <w:rFonts w:ascii="Palatino Linotype" w:hAnsi="Palatino Linotype"/>
          <w:i/>
          <w:color w:val="000000"/>
        </w:rPr>
        <w:t>La igualdad de oportunidades para recibir, buscar e impartir información</w:t>
      </w:r>
      <w:r w:rsidRPr="0046551F">
        <w:rPr>
          <w:rFonts w:ascii="Palatino Linotype" w:hAnsi="Palatino Linotype"/>
          <w:i/>
          <w:color w:val="000000"/>
          <w:vertAlign w:val="superscript"/>
        </w:rPr>
        <w:footnoteReference w:id="1"/>
      </w:r>
      <w:r w:rsidRPr="0046551F">
        <w:rPr>
          <w:rFonts w:ascii="Palatino Linotype" w:hAnsi="Palatino Linotype"/>
          <w:i/>
          <w:color w:val="000000"/>
        </w:rPr>
        <w:t xml:space="preserve">en posesión de cualquier autoridad, </w:t>
      </w:r>
      <w:r w:rsidRPr="0046551F">
        <w:rPr>
          <w:rFonts w:ascii="Palatino Linotype" w:hAnsi="Palatino Linotype"/>
        </w:rPr>
        <w:lastRenderedPageBreak/>
        <w:t>entidad</w:t>
      </w:r>
      <w:r w:rsidRPr="0046551F">
        <w:rPr>
          <w:rFonts w:ascii="Palatino Linotype" w:hAnsi="Palatino Linotype"/>
          <w:i/>
          <w:color w:val="000000"/>
        </w:rPr>
        <w:t>,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6551F">
        <w:rPr>
          <w:rFonts w:ascii="Palatino Linotype" w:hAnsi="Palatino Linotype"/>
          <w:i/>
          <w:color w:val="000000"/>
          <w:vertAlign w:val="superscript"/>
        </w:rPr>
        <w:footnoteReference w:id="2"/>
      </w:r>
      <w:r w:rsidRPr="0046551F">
        <w:rPr>
          <w:rFonts w:ascii="Palatino Linotype" w:hAnsi="Palatino Linotype"/>
          <w:color w:val="000000"/>
        </w:rPr>
        <w:t>que se constituye como una herramienta fundamental para ejercer</w:t>
      </w:r>
      <w:r w:rsidRPr="0046551F">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46551F">
        <w:rPr>
          <w:rFonts w:ascii="Palatino Linotype" w:hAnsi="Palatino Linotype"/>
          <w:i/>
          <w:color w:val="000000"/>
          <w:vertAlign w:val="superscript"/>
        </w:rPr>
        <w:footnoteReference w:id="3"/>
      </w:r>
      <w:r w:rsidRPr="0046551F">
        <w:rPr>
          <w:rFonts w:ascii="Palatino Linotype" w:hAnsi="Palatino Linotype"/>
          <w:color w:val="000000"/>
        </w:rPr>
        <w:t>fomentando</w:t>
      </w:r>
      <w:r w:rsidRPr="0046551F">
        <w:rPr>
          <w:rFonts w:ascii="Palatino Linotype" w:hAnsi="Palatino Linotype"/>
          <w:i/>
          <w:color w:val="000000"/>
        </w:rPr>
        <w:t xml:space="preserve"> la transparencia de las actividades estatales y </w:t>
      </w:r>
      <w:r w:rsidRPr="0046551F">
        <w:rPr>
          <w:rFonts w:ascii="Palatino Linotype" w:hAnsi="Palatino Linotype"/>
          <w:color w:val="000000"/>
        </w:rPr>
        <w:t>promoviendo</w:t>
      </w:r>
      <w:r w:rsidRPr="0046551F">
        <w:rPr>
          <w:rFonts w:ascii="Palatino Linotype" w:hAnsi="Palatino Linotype"/>
          <w:i/>
          <w:color w:val="000000"/>
        </w:rPr>
        <w:t xml:space="preserve"> la responsabilidad de los funcionarios sobre su gestión pública,</w:t>
      </w:r>
      <w:r w:rsidRPr="0046551F">
        <w:rPr>
          <w:rFonts w:ascii="Palatino Linotype" w:hAnsi="Palatino Linotype"/>
          <w:i/>
          <w:color w:val="000000"/>
          <w:vertAlign w:val="superscript"/>
        </w:rPr>
        <w:footnoteReference w:id="4"/>
      </w:r>
      <w:r w:rsidRPr="0046551F">
        <w:rPr>
          <w:rFonts w:ascii="Palatino Linotype" w:hAnsi="Palatino Linotype"/>
          <w:color w:val="000000"/>
        </w:rPr>
        <w:t>que permite</w:t>
      </w:r>
      <w:r w:rsidRPr="0046551F">
        <w:rPr>
          <w:rFonts w:ascii="Palatino Linotype" w:hAnsi="Palatino Linotype"/>
          <w:i/>
          <w:color w:val="000000"/>
        </w:rPr>
        <w:t xml:space="preserve"> saber qué están haciendo los gobiernos por sus pueblos, sin lo cual la verdad languidecería y la participación en el gobierno permanecería fragmentada.</w:t>
      </w:r>
    </w:p>
    <w:p w:rsidR="00242CCC" w:rsidRPr="0046551F" w:rsidRDefault="00242CCC" w:rsidP="0019238A">
      <w:pPr>
        <w:spacing w:line="360" w:lineRule="auto"/>
        <w:contextualSpacing/>
        <w:jc w:val="both"/>
        <w:rPr>
          <w:rFonts w:ascii="Palatino Linotype" w:hAnsi="Palatino Linotype"/>
        </w:rPr>
      </w:pPr>
    </w:p>
    <w:p w:rsidR="00242CCC" w:rsidRPr="0046551F" w:rsidRDefault="00242CCC" w:rsidP="0019238A">
      <w:pPr>
        <w:numPr>
          <w:ilvl w:val="0"/>
          <w:numId w:val="3"/>
        </w:numPr>
        <w:spacing w:line="360" w:lineRule="auto"/>
        <w:ind w:left="0" w:right="-234" w:firstLine="0"/>
        <w:jc w:val="both"/>
        <w:rPr>
          <w:rFonts w:ascii="Palatino Linotype" w:hAnsi="Palatino Linotype"/>
        </w:rPr>
      </w:pPr>
      <w:r w:rsidRPr="0046551F">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rsidR="00242CCC" w:rsidRPr="0046551F" w:rsidRDefault="00242CCC" w:rsidP="0019238A">
      <w:pPr>
        <w:spacing w:line="360" w:lineRule="auto"/>
        <w:contextualSpacing/>
        <w:jc w:val="both"/>
        <w:rPr>
          <w:rFonts w:ascii="Palatino Linotype" w:hAnsi="Palatino Linotype"/>
        </w:rPr>
      </w:pPr>
    </w:p>
    <w:p w:rsidR="00242CCC" w:rsidRPr="0046551F" w:rsidRDefault="00242CCC" w:rsidP="0019238A">
      <w:pPr>
        <w:spacing w:line="360" w:lineRule="auto"/>
        <w:ind w:left="567" w:right="567"/>
        <w:contextualSpacing/>
        <w:jc w:val="both"/>
        <w:rPr>
          <w:rFonts w:ascii="Palatino Linotype" w:hAnsi="Palatino Linotype"/>
          <w:i/>
        </w:rPr>
      </w:pPr>
      <w:r w:rsidRPr="0046551F">
        <w:rPr>
          <w:rFonts w:ascii="Palatino Linotype" w:hAnsi="Palatino Linotype"/>
          <w:i/>
        </w:rPr>
        <w:t>“</w:t>
      </w:r>
      <w:r w:rsidRPr="0046551F">
        <w:rPr>
          <w:rFonts w:ascii="Palatino Linotype" w:hAnsi="Palatino Linotype"/>
          <w:b/>
          <w:i/>
        </w:rPr>
        <w:t>Artículo 1.-</w:t>
      </w:r>
      <w:r w:rsidRPr="0046551F">
        <w:rPr>
          <w:rFonts w:ascii="Palatino Linotype" w:hAnsi="Palatino Linotype"/>
          <w:i/>
        </w:rPr>
        <w:t xml:space="preserve"> </w:t>
      </w:r>
    </w:p>
    <w:p w:rsidR="00242CCC" w:rsidRPr="0046551F" w:rsidRDefault="00242CCC" w:rsidP="0019238A">
      <w:pPr>
        <w:spacing w:line="360" w:lineRule="auto"/>
        <w:ind w:left="567" w:right="567"/>
        <w:contextualSpacing/>
        <w:jc w:val="both"/>
        <w:rPr>
          <w:rFonts w:ascii="Palatino Linotype" w:hAnsi="Palatino Linotype"/>
          <w:i/>
        </w:rPr>
      </w:pPr>
      <w:r w:rsidRPr="0046551F">
        <w:rPr>
          <w:rFonts w:ascii="Palatino Linotype" w:hAnsi="Palatino Linotype"/>
          <w:i/>
        </w:rPr>
        <w:t>(…)</w:t>
      </w:r>
    </w:p>
    <w:p w:rsidR="00242CCC" w:rsidRPr="0046551F" w:rsidRDefault="00242CCC" w:rsidP="0019238A">
      <w:pPr>
        <w:spacing w:line="360" w:lineRule="auto"/>
        <w:ind w:left="567" w:right="567"/>
        <w:contextualSpacing/>
        <w:jc w:val="both"/>
        <w:rPr>
          <w:rFonts w:ascii="Palatino Linotype" w:hAnsi="Palatino Linotype"/>
          <w:i/>
        </w:rPr>
      </w:pPr>
      <w:r w:rsidRPr="0046551F">
        <w:rPr>
          <w:rFonts w:ascii="Palatino Linotype" w:hAnsi="Palatino Linotype"/>
          <w:i/>
        </w:rPr>
        <w:t>Todas las</w:t>
      </w:r>
      <w:r w:rsidRPr="0046551F">
        <w:rPr>
          <w:rFonts w:ascii="Palatino Linotype" w:hAnsi="Palatino Linotype"/>
        </w:rPr>
        <w:t xml:space="preserve"> </w:t>
      </w:r>
      <w:r w:rsidRPr="0046551F">
        <w:rPr>
          <w:rFonts w:ascii="Palatino Linotype" w:hAnsi="Palatino Linotype"/>
          <w:i/>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w:t>
      </w:r>
      <w:r w:rsidRPr="0046551F">
        <w:rPr>
          <w:rFonts w:ascii="Palatino Linotype" w:hAnsi="Palatino Linotype"/>
          <w:i/>
        </w:rPr>
        <w:lastRenderedPageBreak/>
        <w:t>y reparar las violaciones a los derechos humanos, en los términos que establezca la ley.</w:t>
      </w:r>
    </w:p>
    <w:p w:rsidR="00242CCC" w:rsidRPr="0046551F" w:rsidRDefault="00242CCC" w:rsidP="0019238A">
      <w:pPr>
        <w:spacing w:line="360" w:lineRule="auto"/>
        <w:ind w:left="567" w:right="567"/>
        <w:contextualSpacing/>
        <w:jc w:val="both"/>
        <w:rPr>
          <w:rFonts w:ascii="Palatino Linotype" w:hAnsi="Palatino Linotype"/>
        </w:rPr>
      </w:pPr>
      <w:r w:rsidRPr="0046551F">
        <w:rPr>
          <w:rFonts w:ascii="Palatino Linotype" w:hAnsi="Palatino Linotype"/>
          <w:i/>
        </w:rPr>
        <w:t>(…)</w:t>
      </w:r>
      <w:r w:rsidRPr="0046551F">
        <w:rPr>
          <w:rFonts w:ascii="Palatino Linotype" w:hAnsi="Palatino Linotype"/>
        </w:rPr>
        <w:t>”.</w:t>
      </w:r>
    </w:p>
    <w:p w:rsidR="00242CCC" w:rsidRPr="0046551F" w:rsidRDefault="00242CCC" w:rsidP="0019238A">
      <w:pPr>
        <w:spacing w:line="360" w:lineRule="auto"/>
        <w:ind w:left="567" w:right="567"/>
        <w:contextualSpacing/>
        <w:jc w:val="both"/>
        <w:rPr>
          <w:rFonts w:ascii="Palatino Linotype" w:hAnsi="Palatino Linotype"/>
        </w:rPr>
      </w:pPr>
      <w:r w:rsidRPr="0046551F">
        <w:rPr>
          <w:rFonts w:ascii="Palatino Linotype" w:hAnsi="Palatino Linotype"/>
        </w:rPr>
        <w:t>(Énfasis Añadido)</w:t>
      </w:r>
    </w:p>
    <w:p w:rsidR="00242CCC" w:rsidRPr="0046551F" w:rsidRDefault="00242CCC" w:rsidP="0019238A">
      <w:pPr>
        <w:spacing w:line="360" w:lineRule="auto"/>
        <w:ind w:right="567"/>
        <w:contextualSpacing/>
        <w:jc w:val="both"/>
        <w:rPr>
          <w:rFonts w:ascii="Palatino Linotype" w:hAnsi="Palatino Linotype"/>
        </w:rPr>
      </w:pPr>
    </w:p>
    <w:p w:rsidR="00242CCC" w:rsidRPr="0046551F" w:rsidRDefault="00242CCC" w:rsidP="0019238A">
      <w:pPr>
        <w:numPr>
          <w:ilvl w:val="0"/>
          <w:numId w:val="3"/>
        </w:numPr>
        <w:spacing w:line="360" w:lineRule="auto"/>
        <w:ind w:left="0" w:right="-234" w:firstLine="0"/>
        <w:jc w:val="both"/>
        <w:rPr>
          <w:rFonts w:ascii="Palatino Linotype" w:hAnsi="Palatino Linotype"/>
          <w:i/>
        </w:rPr>
      </w:pPr>
      <w:r w:rsidRPr="0046551F">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242CCC" w:rsidRPr="0046551F" w:rsidRDefault="00242CCC" w:rsidP="0019238A">
      <w:pPr>
        <w:spacing w:line="360" w:lineRule="auto"/>
        <w:contextualSpacing/>
        <w:jc w:val="both"/>
        <w:rPr>
          <w:rFonts w:ascii="Palatino Linotype" w:hAnsi="Palatino Linotype"/>
          <w:i/>
        </w:rPr>
      </w:pPr>
    </w:p>
    <w:p w:rsidR="00242CCC" w:rsidRPr="0046551F" w:rsidRDefault="00242CCC" w:rsidP="0019238A">
      <w:pPr>
        <w:numPr>
          <w:ilvl w:val="0"/>
          <w:numId w:val="3"/>
        </w:numPr>
        <w:spacing w:line="360" w:lineRule="auto"/>
        <w:ind w:left="0" w:right="-234" w:firstLine="0"/>
        <w:jc w:val="both"/>
        <w:rPr>
          <w:rFonts w:ascii="Palatino Linotype" w:hAnsi="Palatino Linotype"/>
        </w:rPr>
      </w:pPr>
      <w:r w:rsidRPr="0046551F">
        <w:rPr>
          <w:rFonts w:ascii="Palatino Linotype" w:hAnsi="Palatino Linotype"/>
        </w:rPr>
        <w:t xml:space="preserve">Así, conforme a la Constitución Política de las Estado Unidos Mexicanos </w:t>
      </w:r>
      <w:r w:rsidRPr="0046551F">
        <w:rPr>
          <w:rFonts w:ascii="Palatino Linotype" w:eastAsia="Calibri" w:hAnsi="Palatino Linotype"/>
        </w:rPr>
        <w:t xml:space="preserve">y la Constitución </w:t>
      </w:r>
      <w:r w:rsidRPr="0046551F">
        <w:rPr>
          <w:rFonts w:ascii="Palatino Linotype" w:hAnsi="Palatino Linotype"/>
        </w:rPr>
        <w:t>Política</w:t>
      </w:r>
      <w:r w:rsidRPr="0046551F">
        <w:rPr>
          <w:rFonts w:ascii="Palatino Linotype" w:eastAsia="Calibri" w:hAnsi="Palatino Linotype"/>
        </w:rPr>
        <w:t xml:space="preserve"> del Estado Libre y Soberano de México respectivamente</w:t>
      </w:r>
      <w:r w:rsidRPr="0046551F">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242CCC" w:rsidRPr="0046551F" w:rsidRDefault="00242CCC" w:rsidP="0019238A">
      <w:pPr>
        <w:tabs>
          <w:tab w:val="left" w:pos="0"/>
        </w:tabs>
        <w:spacing w:line="360" w:lineRule="auto"/>
        <w:contextualSpacing/>
        <w:jc w:val="both"/>
        <w:rPr>
          <w:rFonts w:ascii="Palatino Linotype" w:hAnsi="Palatino Linotype"/>
        </w:rPr>
      </w:pPr>
    </w:p>
    <w:p w:rsidR="00242CCC" w:rsidRPr="0046551F" w:rsidRDefault="00242CCC" w:rsidP="0019238A">
      <w:pPr>
        <w:spacing w:line="360" w:lineRule="auto"/>
        <w:ind w:left="567" w:right="567"/>
        <w:jc w:val="center"/>
        <w:rPr>
          <w:rFonts w:ascii="Palatino Linotype" w:hAnsi="Palatino Linotype" w:cs="Arial"/>
          <w:b/>
          <w:bCs/>
          <w:i/>
        </w:rPr>
      </w:pPr>
      <w:r w:rsidRPr="0046551F">
        <w:rPr>
          <w:rFonts w:ascii="Palatino Linotype" w:hAnsi="Palatino Linotype" w:cs="Arial"/>
          <w:bCs/>
          <w:i/>
        </w:rPr>
        <w:t xml:space="preserve"> </w:t>
      </w:r>
      <w:r w:rsidRPr="0046551F">
        <w:rPr>
          <w:rFonts w:ascii="Palatino Linotype" w:hAnsi="Palatino Linotype" w:cs="Arial"/>
          <w:b/>
          <w:bCs/>
          <w:i/>
        </w:rPr>
        <w:t>Constitución Política de los Estados Unidos Mexicanos</w:t>
      </w:r>
    </w:p>
    <w:p w:rsidR="00242CCC" w:rsidRPr="0046551F" w:rsidRDefault="00242CCC" w:rsidP="0019238A">
      <w:pPr>
        <w:spacing w:line="360" w:lineRule="auto"/>
        <w:ind w:left="567" w:right="567"/>
        <w:jc w:val="both"/>
        <w:rPr>
          <w:rFonts w:ascii="Palatino Linotype" w:hAnsi="Palatino Linotype" w:cs="Arial"/>
          <w:b/>
          <w:bCs/>
          <w:i/>
        </w:rPr>
      </w:pPr>
      <w:r w:rsidRPr="0046551F">
        <w:rPr>
          <w:rFonts w:ascii="Palatino Linotype" w:hAnsi="Palatino Linotype" w:cs="Arial"/>
          <w:b/>
          <w:bCs/>
          <w:i/>
        </w:rPr>
        <w:t>“Artículo 6.</w:t>
      </w:r>
      <w:r w:rsidRPr="0046551F">
        <w:rPr>
          <w:rFonts w:ascii="Palatino Linotype" w:hAnsi="Palatino Linotype" w:cs="Arial"/>
          <w:bCs/>
          <w:i/>
        </w:rPr>
        <w:t xml:space="preserve"> …</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Cs/>
          <w:i/>
        </w:rPr>
        <w:t>…</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Cs/>
          <w:i/>
        </w:rPr>
        <w:t>Para efectos de lo dispuesto en el presente artículo se observará lo siguiente:</w:t>
      </w:r>
    </w:p>
    <w:p w:rsidR="00242CCC" w:rsidRPr="0046551F" w:rsidRDefault="00242CCC" w:rsidP="0019238A">
      <w:pPr>
        <w:spacing w:line="360" w:lineRule="auto"/>
        <w:ind w:left="567" w:right="567"/>
        <w:jc w:val="both"/>
        <w:rPr>
          <w:rFonts w:ascii="Palatino Linotype" w:hAnsi="Palatino Linotype" w:cs="Arial"/>
          <w:b/>
          <w:bCs/>
          <w:i/>
        </w:rPr>
      </w:pPr>
      <w:r w:rsidRPr="0046551F">
        <w:rPr>
          <w:rFonts w:ascii="Palatino Linotype" w:hAnsi="Palatino Linotype" w:cs="Arial"/>
          <w:b/>
          <w:bCs/>
          <w:i/>
        </w:rPr>
        <w:t>A</w:t>
      </w:r>
      <w:r w:rsidRPr="0046551F">
        <w:rPr>
          <w:rFonts w:ascii="Palatino Linotype" w:hAnsi="Palatino Linotype" w:cs="Arial"/>
          <w:bCs/>
          <w:i/>
        </w:rPr>
        <w:t xml:space="preserve">. </w:t>
      </w:r>
      <w:r w:rsidRPr="0046551F">
        <w:rPr>
          <w:rFonts w:ascii="Palatino Linotype" w:hAnsi="Palatino Linotype" w:cs="Arial"/>
          <w:b/>
          <w:bCs/>
          <w:i/>
        </w:rPr>
        <w:t>Para el ejercicio del derecho de acceso a la información</w:t>
      </w:r>
      <w:r w:rsidRPr="0046551F">
        <w:rPr>
          <w:rFonts w:ascii="Palatino Linotype" w:hAnsi="Palatino Linotype" w:cs="Arial"/>
          <w:bCs/>
          <w:i/>
        </w:rPr>
        <w:t xml:space="preserve">, la Federación y </w:t>
      </w:r>
      <w:r w:rsidRPr="0046551F">
        <w:rPr>
          <w:rFonts w:ascii="Palatino Linotype" w:hAnsi="Palatino Linotype" w:cs="Arial"/>
          <w:b/>
          <w:bCs/>
          <w:i/>
        </w:rPr>
        <w:t>las entidades federativas, en el ámbito de sus respectivas competencias, se regirán por los siguientes principios y bases:</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
          <w:bCs/>
          <w:i/>
        </w:rPr>
        <w:lastRenderedPageBreak/>
        <w:t xml:space="preserve">I. </w:t>
      </w:r>
      <w:r w:rsidRPr="0046551F">
        <w:rPr>
          <w:rFonts w:ascii="Palatino Linotype" w:hAnsi="Palatino Linotype" w:cs="Arial"/>
          <w:b/>
          <w:bCs/>
          <w:i/>
        </w:rPr>
        <w:tab/>
        <w:t>Toda la información en posesión de cualquier</w:t>
      </w:r>
      <w:r w:rsidRPr="0046551F">
        <w:rPr>
          <w:rFonts w:ascii="Palatino Linotype" w:hAnsi="Palatino Linotype" w:cs="Arial"/>
          <w:bCs/>
          <w:i/>
        </w:rPr>
        <w:t xml:space="preserve"> </w:t>
      </w:r>
      <w:r w:rsidRPr="0046551F">
        <w:rPr>
          <w:rFonts w:ascii="Palatino Linotype" w:hAnsi="Palatino Linotype" w:cs="Arial"/>
          <w:b/>
          <w:bCs/>
          <w:i/>
        </w:rPr>
        <w:t>autoridad</w:t>
      </w:r>
      <w:r w:rsidRPr="0046551F">
        <w:rPr>
          <w:rFonts w:ascii="Palatino Linotype" w:hAnsi="Palatino Linotype" w:cs="Arial"/>
          <w:bCs/>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6551F">
        <w:rPr>
          <w:rFonts w:ascii="Palatino Linotype" w:hAnsi="Palatino Linotype" w:cs="Arial"/>
          <w:b/>
          <w:bCs/>
          <w:i/>
        </w:rPr>
        <w:t>municipal</w:t>
      </w:r>
      <w:r w:rsidRPr="0046551F">
        <w:rPr>
          <w:rFonts w:ascii="Palatino Linotype" w:hAnsi="Palatino Linotype" w:cs="Arial"/>
          <w:bCs/>
          <w:i/>
        </w:rPr>
        <w:t xml:space="preserve">, </w:t>
      </w:r>
      <w:r w:rsidRPr="0046551F">
        <w:rPr>
          <w:rFonts w:ascii="Palatino Linotype" w:hAnsi="Palatino Linotype" w:cs="Arial"/>
          <w:b/>
          <w:bCs/>
          <w:i/>
        </w:rPr>
        <w:t>es pública</w:t>
      </w:r>
      <w:r w:rsidRPr="0046551F">
        <w:rPr>
          <w:rFonts w:ascii="Palatino Linotype" w:hAnsi="Palatino Linotype" w:cs="Arial"/>
          <w:bCs/>
          <w:i/>
        </w:rPr>
        <w:t xml:space="preserve"> y sólo podrá ser reservada temporalmente por razones de interés público y seguridad nacional, en los términos que fijen las leyes. </w:t>
      </w:r>
      <w:r w:rsidRPr="0046551F">
        <w:rPr>
          <w:rFonts w:ascii="Palatino Linotype" w:hAnsi="Palatino Linotype" w:cs="Arial"/>
          <w:b/>
          <w:bCs/>
          <w:i/>
        </w:rPr>
        <w:t>En la interpretación de este derecho deberá prevalecer el principio de máxima publicidad. Los sujetos obligados deberán documentar todo acto que derive del ejercicio de sus facultades, competencias o funciones</w:t>
      </w:r>
      <w:r w:rsidRPr="0046551F">
        <w:rPr>
          <w:rFonts w:ascii="Palatino Linotype" w:hAnsi="Palatino Linotype" w:cs="Arial"/>
          <w:bCs/>
          <w:i/>
        </w:rPr>
        <w:t>, la ley determinará los supuestos específicos bajo los cuales procederá la declaración de inexistencia de la información.”</w:t>
      </w:r>
    </w:p>
    <w:p w:rsidR="00242CCC" w:rsidRPr="0046551F" w:rsidRDefault="00242CCC" w:rsidP="0019238A">
      <w:pPr>
        <w:pStyle w:val="Prrafodelista"/>
        <w:tabs>
          <w:tab w:val="left" w:pos="567"/>
        </w:tabs>
        <w:spacing w:line="360" w:lineRule="auto"/>
        <w:ind w:left="567" w:right="567"/>
        <w:jc w:val="both"/>
        <w:rPr>
          <w:rFonts w:ascii="Palatino Linotype" w:hAnsi="Palatino Linotype" w:cs="Arial"/>
          <w:bCs/>
        </w:rPr>
      </w:pPr>
      <w:r w:rsidRPr="0046551F">
        <w:rPr>
          <w:rFonts w:ascii="Palatino Linotype" w:hAnsi="Palatino Linotype" w:cs="Arial"/>
          <w:bCs/>
        </w:rPr>
        <w:t>(Énfasis añadido)</w:t>
      </w:r>
    </w:p>
    <w:p w:rsidR="00242CCC" w:rsidRPr="0046551F" w:rsidRDefault="00242CCC" w:rsidP="0019238A">
      <w:pPr>
        <w:pStyle w:val="Prrafodelista"/>
        <w:tabs>
          <w:tab w:val="left" w:pos="567"/>
        </w:tabs>
        <w:spacing w:line="360" w:lineRule="auto"/>
        <w:ind w:left="567" w:right="567"/>
        <w:jc w:val="both"/>
        <w:rPr>
          <w:rFonts w:ascii="Palatino Linotype" w:hAnsi="Palatino Linotype" w:cs="Arial"/>
          <w:bCs/>
        </w:rPr>
      </w:pPr>
    </w:p>
    <w:p w:rsidR="00242CCC" w:rsidRPr="0046551F" w:rsidRDefault="00242CCC" w:rsidP="0019238A">
      <w:pPr>
        <w:spacing w:line="360" w:lineRule="auto"/>
        <w:ind w:left="567" w:right="567"/>
        <w:jc w:val="center"/>
        <w:rPr>
          <w:rFonts w:ascii="Palatino Linotype" w:hAnsi="Palatino Linotype" w:cs="Arial"/>
          <w:b/>
          <w:bCs/>
          <w:i/>
        </w:rPr>
      </w:pPr>
      <w:r w:rsidRPr="0046551F">
        <w:rPr>
          <w:rFonts w:ascii="Palatino Linotype" w:hAnsi="Palatino Linotype" w:cs="Arial"/>
          <w:b/>
          <w:bCs/>
          <w:i/>
        </w:rPr>
        <w:t>Constitución Política del Estado Libre y Soberano de México</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
          <w:bCs/>
          <w:i/>
        </w:rPr>
        <w:t>“Artículo 5</w:t>
      </w:r>
      <w:r w:rsidRPr="0046551F">
        <w:rPr>
          <w:rFonts w:ascii="Palatino Linotype" w:hAnsi="Palatino Linotype" w:cs="Arial"/>
          <w:bCs/>
          <w:i/>
        </w:rPr>
        <w:t>.</w:t>
      </w:r>
      <w:proofErr w:type="gramStart"/>
      <w:r w:rsidRPr="0046551F">
        <w:rPr>
          <w:rFonts w:ascii="Palatino Linotype" w:hAnsi="Palatino Linotype" w:cs="Arial"/>
          <w:bCs/>
          <w:i/>
        </w:rPr>
        <w:t>- …</w:t>
      </w:r>
      <w:proofErr w:type="gramEnd"/>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Cs/>
          <w:i/>
        </w:rPr>
        <w:t>…</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
          <w:bCs/>
          <w:i/>
        </w:rPr>
        <w:t>El derecho a la información será garantizado por el Estado. La ley establecerá las previsiones que permitan asegurar la protección, el respeto y la difusión de este derecho</w:t>
      </w:r>
      <w:r w:rsidRPr="0046551F">
        <w:rPr>
          <w:rFonts w:ascii="Palatino Linotype" w:hAnsi="Palatino Linotype" w:cs="Arial"/>
          <w:bCs/>
          <w:i/>
        </w:rPr>
        <w:t>.</w:t>
      </w: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Cs/>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42CCC" w:rsidRPr="0046551F" w:rsidRDefault="00242CCC" w:rsidP="0019238A">
      <w:pPr>
        <w:spacing w:line="360" w:lineRule="auto"/>
        <w:ind w:left="567" w:right="567"/>
        <w:jc w:val="both"/>
        <w:rPr>
          <w:rFonts w:ascii="Palatino Linotype" w:hAnsi="Palatino Linotype" w:cs="Arial"/>
          <w:bCs/>
          <w:i/>
        </w:rPr>
      </w:pPr>
    </w:p>
    <w:p w:rsidR="00242CCC" w:rsidRPr="0046551F" w:rsidRDefault="00242CCC" w:rsidP="0019238A">
      <w:pPr>
        <w:spacing w:line="360" w:lineRule="auto"/>
        <w:ind w:left="567" w:right="567"/>
        <w:jc w:val="both"/>
        <w:rPr>
          <w:rFonts w:ascii="Palatino Linotype" w:hAnsi="Palatino Linotype" w:cs="Arial"/>
          <w:bCs/>
          <w:i/>
        </w:rPr>
      </w:pPr>
      <w:r w:rsidRPr="0046551F">
        <w:rPr>
          <w:rFonts w:ascii="Palatino Linotype" w:hAnsi="Palatino Linotype" w:cs="Arial"/>
          <w:b/>
          <w:bCs/>
          <w:i/>
        </w:rPr>
        <w:t>Este derecho se regirá por los principios y bases siguientes</w:t>
      </w:r>
      <w:r w:rsidRPr="0046551F">
        <w:rPr>
          <w:rFonts w:ascii="Palatino Linotype" w:hAnsi="Palatino Linotype" w:cs="Arial"/>
          <w:bCs/>
          <w:i/>
        </w:rPr>
        <w:t>:</w:t>
      </w:r>
    </w:p>
    <w:p w:rsidR="00242CCC" w:rsidRPr="0046551F" w:rsidRDefault="00242CCC" w:rsidP="0019238A">
      <w:pPr>
        <w:pStyle w:val="Prrafodelista"/>
        <w:numPr>
          <w:ilvl w:val="0"/>
          <w:numId w:val="13"/>
        </w:numPr>
        <w:spacing w:line="360" w:lineRule="auto"/>
        <w:ind w:left="567" w:right="567" w:firstLine="0"/>
        <w:jc w:val="both"/>
        <w:rPr>
          <w:rFonts w:ascii="Palatino Linotype" w:hAnsi="Palatino Linotype" w:cs="Arial"/>
          <w:bCs/>
          <w:i/>
        </w:rPr>
      </w:pPr>
      <w:r w:rsidRPr="0046551F">
        <w:rPr>
          <w:rFonts w:ascii="Palatino Linotype" w:hAnsi="Palatino Linotype" w:cs="Arial"/>
          <w:b/>
          <w:bCs/>
          <w:i/>
        </w:rPr>
        <w:t>Toda la información en posesión de cualquier autoridad, entidad, órgano y organismos de los</w:t>
      </w:r>
      <w:r w:rsidRPr="0046551F">
        <w:rPr>
          <w:rFonts w:ascii="Palatino Linotype" w:hAnsi="Palatino Linotype" w:cs="Arial"/>
          <w:bCs/>
          <w:i/>
        </w:rPr>
        <w:t xml:space="preserve"> Poderes Ejecutivo, Legislativo y Judicial, órganos autónomos, partidos políticos, fideicomisos y fondos públicos estatales y </w:t>
      </w:r>
      <w:r w:rsidRPr="0046551F">
        <w:rPr>
          <w:rFonts w:ascii="Palatino Linotype" w:hAnsi="Palatino Linotype" w:cs="Arial"/>
          <w:b/>
          <w:bCs/>
          <w:i/>
        </w:rPr>
        <w:t>municipales</w:t>
      </w:r>
      <w:r w:rsidRPr="0046551F">
        <w:rPr>
          <w:rFonts w:ascii="Palatino Linotype" w:hAnsi="Palatino Linotype" w:cs="Arial"/>
          <w:bCs/>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6551F">
        <w:rPr>
          <w:rFonts w:ascii="Palatino Linotype" w:hAnsi="Palatino Linotype" w:cs="Arial"/>
          <w:b/>
          <w:bCs/>
          <w:i/>
        </w:rPr>
        <w:t>es pública</w:t>
      </w:r>
      <w:r w:rsidRPr="0046551F">
        <w:rPr>
          <w:rFonts w:ascii="Palatino Linotype" w:hAnsi="Palatino Linotype" w:cs="Arial"/>
          <w:bCs/>
          <w:i/>
        </w:rPr>
        <w:t xml:space="preserve"> y sólo podrá ser reservada temporalmente por razones previstas en la Constitución Política de los Estados Unidos Mexicanos de interés público y seguridad, en los términos que fijen las leyes. </w:t>
      </w:r>
      <w:r w:rsidRPr="0046551F">
        <w:rPr>
          <w:rFonts w:ascii="Palatino Linotype" w:hAnsi="Palatino Linotype" w:cs="Arial"/>
          <w:b/>
          <w:bCs/>
          <w:i/>
        </w:rPr>
        <w:t>En la interpretación de este derecho deberá prevalecer el principio de máxima publicidad</w:t>
      </w:r>
      <w:r w:rsidRPr="0046551F">
        <w:rPr>
          <w:rFonts w:ascii="Palatino Linotype" w:hAnsi="Palatino Linotype" w:cs="Arial"/>
          <w:bCs/>
          <w:i/>
        </w:rPr>
        <w:t xml:space="preserve">. </w:t>
      </w:r>
      <w:r w:rsidRPr="0046551F">
        <w:rPr>
          <w:rFonts w:ascii="Palatino Linotype" w:hAnsi="Palatino Linotype" w:cs="Arial"/>
          <w:b/>
          <w:bCs/>
          <w:i/>
        </w:rPr>
        <w:t>Los sujetos obligados deberán documentar todo acto que derive del ejercicio de sus facultades, competencias o funciones</w:t>
      </w:r>
      <w:r w:rsidRPr="0046551F">
        <w:rPr>
          <w:rFonts w:ascii="Palatino Linotype" w:hAnsi="Palatino Linotype" w:cs="Arial"/>
          <w:bCs/>
          <w:i/>
        </w:rPr>
        <w:t>, la ley determinará los supuestos específicos bajo los cuales procederá la declaración de inexistencia de la información.”</w:t>
      </w:r>
    </w:p>
    <w:p w:rsidR="00242CCC" w:rsidRPr="0046551F" w:rsidRDefault="00242CCC" w:rsidP="0019238A">
      <w:pPr>
        <w:pStyle w:val="Prrafodelista"/>
        <w:tabs>
          <w:tab w:val="left" w:pos="567"/>
        </w:tabs>
        <w:spacing w:line="360" w:lineRule="auto"/>
        <w:ind w:left="567" w:right="567"/>
        <w:jc w:val="both"/>
        <w:rPr>
          <w:rFonts w:ascii="Palatino Linotype" w:hAnsi="Palatino Linotype" w:cs="Arial"/>
          <w:bCs/>
        </w:rPr>
      </w:pPr>
      <w:r w:rsidRPr="0046551F">
        <w:rPr>
          <w:rFonts w:ascii="Palatino Linotype" w:hAnsi="Palatino Linotype" w:cs="Arial"/>
          <w:bCs/>
        </w:rPr>
        <w:t>(Énfasis añadido)</w:t>
      </w:r>
    </w:p>
    <w:p w:rsidR="00242CCC" w:rsidRPr="0046551F" w:rsidRDefault="00242CCC" w:rsidP="0019238A">
      <w:pPr>
        <w:spacing w:line="360" w:lineRule="auto"/>
        <w:ind w:left="567" w:right="567"/>
        <w:jc w:val="both"/>
        <w:rPr>
          <w:rFonts w:ascii="Palatino Linotype" w:hAnsi="Palatino Linotype"/>
          <w:i/>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46551F">
        <w:rPr>
          <w:rFonts w:ascii="Palatino Linotype" w:hAnsi="Palatino Linotype" w:cs="Arial"/>
          <w:i/>
        </w:rPr>
        <w:t xml:space="preserve">por </w:t>
      </w:r>
      <w:r w:rsidRPr="0046551F">
        <w:rPr>
          <w:rFonts w:ascii="Palatino Linotype" w:hAnsi="Palatino Linotype"/>
        </w:rPr>
        <w:t>los</w:t>
      </w:r>
      <w:r w:rsidRPr="0046551F">
        <w:rPr>
          <w:rFonts w:ascii="Palatino Linotype" w:hAnsi="Palatino Linotype" w:cs="Arial"/>
          <w:i/>
        </w:rPr>
        <w:t xml:space="preserve"> principios de simplicidad, rapidez gratuidad del procedimiento, auxilio y orientación a los particulares</w:t>
      </w:r>
      <w:r w:rsidRPr="0046551F">
        <w:rPr>
          <w:rFonts w:ascii="Palatino Linotype" w:hAnsi="Palatino Linotype" w:cs="Arial"/>
        </w:rPr>
        <w:t>, contemplando el derecho de las personas con discapacidad y hablantes de lengua indígena.</w:t>
      </w:r>
    </w:p>
    <w:p w:rsidR="00242CCC" w:rsidRPr="0046551F" w:rsidRDefault="00242CCC" w:rsidP="0019238A">
      <w:pPr>
        <w:pStyle w:val="Prrafodelista"/>
        <w:spacing w:line="360" w:lineRule="auto"/>
        <w:ind w:left="0"/>
        <w:jc w:val="both"/>
        <w:rPr>
          <w:rFonts w:ascii="Palatino Linotype" w:hAnsi="Palatino Linotype" w:cs="Arial"/>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cs="Arial"/>
        </w:rPr>
        <w:lastRenderedPageBreak/>
        <w:t xml:space="preserve">El Derecho de Acceso a la Información se garantiza y respeta oportunamente, y según lo que dispone la Ley, las </w:t>
      </w:r>
      <w:r w:rsidRPr="0046551F">
        <w:rPr>
          <w:rFonts w:ascii="Palatino Linotype" w:hAnsi="Palatino Linotype" w:cs="Arial"/>
          <w:i/>
        </w:rPr>
        <w:t>solicitudes de acceso a la información</w:t>
      </w:r>
      <w:r w:rsidRPr="0046551F">
        <w:rPr>
          <w:rFonts w:ascii="Palatino Linotype" w:hAnsi="Palatino Linotype" w:cs="Arial"/>
        </w:rPr>
        <w:t>.</w:t>
      </w:r>
    </w:p>
    <w:p w:rsidR="00242CCC" w:rsidRPr="0046551F" w:rsidRDefault="00242CCC" w:rsidP="0019238A">
      <w:pPr>
        <w:pStyle w:val="Prrafodelista"/>
        <w:spacing w:line="360" w:lineRule="auto"/>
        <w:rPr>
          <w:rFonts w:ascii="Palatino Linotype" w:hAnsi="Palatino Linotype" w:cs="Arial"/>
        </w:rPr>
      </w:pPr>
    </w:p>
    <w:p w:rsidR="00242CCC" w:rsidRPr="0046551F" w:rsidRDefault="00242CCC" w:rsidP="0019238A">
      <w:pPr>
        <w:keepNext/>
        <w:keepLines/>
        <w:numPr>
          <w:ilvl w:val="1"/>
          <w:numId w:val="12"/>
        </w:numPr>
        <w:spacing w:line="360" w:lineRule="auto"/>
        <w:ind w:left="851"/>
        <w:contextualSpacing/>
        <w:jc w:val="both"/>
        <w:outlineLvl w:val="1"/>
        <w:rPr>
          <w:rFonts w:ascii="Palatino Linotype" w:eastAsia="MS Gothic" w:hAnsi="Palatino Linotype"/>
          <w:b/>
        </w:rPr>
      </w:pPr>
      <w:bookmarkStart w:id="10" w:name="_Toc70428585"/>
      <w:bookmarkStart w:id="11" w:name="_Toc71234380"/>
      <w:bookmarkStart w:id="12" w:name="_Toc83901398"/>
      <w:r w:rsidRPr="0046551F">
        <w:rPr>
          <w:rFonts w:ascii="Palatino Linotype" w:eastAsia="MS Gothic" w:hAnsi="Palatino Linotype"/>
          <w:b/>
        </w:rPr>
        <w:t>Del deber de las autoridades de promover, respetar, proteger y garantizar el derecho de acceso a la información pública.</w:t>
      </w:r>
      <w:bookmarkEnd w:id="10"/>
      <w:bookmarkEnd w:id="11"/>
      <w:bookmarkEnd w:id="12"/>
      <w:r w:rsidRPr="0046551F">
        <w:rPr>
          <w:rFonts w:ascii="Palatino Linotype" w:eastAsia="MS Gothic" w:hAnsi="Palatino Linotype"/>
          <w:b/>
        </w:rPr>
        <w:t xml:space="preserve"> </w:t>
      </w:r>
    </w:p>
    <w:p w:rsidR="00242CCC" w:rsidRPr="0046551F" w:rsidRDefault="00242CCC" w:rsidP="0019238A">
      <w:pPr>
        <w:pStyle w:val="Prrafodelista"/>
        <w:spacing w:line="360" w:lineRule="auto"/>
        <w:rPr>
          <w:rFonts w:ascii="Palatino Linotype" w:hAnsi="Palatino Linotype" w:cs="Arial"/>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rPr>
        <w:t xml:space="preserve">Con fundamento en el artículo 150 de la Ley de Transparencia y Acceso a la Información Pública del Estado de México y Municipios, la solicitud de información es la </w:t>
      </w:r>
      <w:r w:rsidRPr="0046551F">
        <w:rPr>
          <w:rFonts w:ascii="Palatino Linotype" w:hAnsi="Palatino Linotype" w:cs="Arial"/>
        </w:rPr>
        <w:t>garantía</w:t>
      </w:r>
      <w:r w:rsidRPr="0046551F">
        <w:rPr>
          <w:rFonts w:ascii="Palatino Linotype" w:hAnsi="Palatino Linotype"/>
        </w:rPr>
        <w:t xml:space="preserve"> primaria del Derecho de Acceso a la información Pública, además, establece que se regirá </w:t>
      </w:r>
      <w:r w:rsidRPr="0046551F">
        <w:rPr>
          <w:rFonts w:ascii="Palatino Linotype" w:hAnsi="Palatino Linotype" w:cs="Arial"/>
        </w:rPr>
        <w:t>por los principios de simplicidad, rapidez gratuidad del procedimiento, auxilio y orientación a los particulares, contemplando el derecho de las personas con discapacidad y hablantes de lengua indígena.</w:t>
      </w:r>
    </w:p>
    <w:p w:rsidR="00242CCC" w:rsidRPr="0046551F" w:rsidRDefault="00242CCC" w:rsidP="0019238A">
      <w:pPr>
        <w:pStyle w:val="Prrafodelista"/>
        <w:spacing w:line="360" w:lineRule="auto"/>
        <w:ind w:left="0"/>
        <w:jc w:val="both"/>
        <w:rPr>
          <w:rFonts w:ascii="Palatino Linotype" w:hAnsi="Palatino Linotype"/>
          <w:b/>
          <w:i/>
        </w:rPr>
      </w:pPr>
    </w:p>
    <w:p w:rsidR="00242CCC" w:rsidRPr="0046551F" w:rsidRDefault="00242CCC" w:rsidP="0019238A">
      <w:pPr>
        <w:numPr>
          <w:ilvl w:val="0"/>
          <w:numId w:val="3"/>
        </w:numPr>
        <w:spacing w:line="360" w:lineRule="auto"/>
        <w:ind w:left="0" w:right="-234" w:firstLine="0"/>
        <w:jc w:val="both"/>
        <w:rPr>
          <w:rFonts w:ascii="Palatino Linotype" w:hAnsi="Palatino Linotype"/>
          <w:b/>
        </w:rPr>
      </w:pPr>
      <w:r w:rsidRPr="0046551F">
        <w:rPr>
          <w:rFonts w:ascii="Palatino Linotype" w:hAnsi="Palatino Linotype"/>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rsidR="00242CCC" w:rsidRPr="0046551F" w:rsidRDefault="00242CCC" w:rsidP="0019238A">
      <w:pPr>
        <w:pStyle w:val="Prrafodelista"/>
        <w:spacing w:line="360" w:lineRule="auto"/>
        <w:rPr>
          <w:rFonts w:ascii="Palatino Linotype" w:hAnsi="Palatino Linotype"/>
          <w:b/>
        </w:rPr>
      </w:pPr>
    </w:p>
    <w:p w:rsidR="00242CCC" w:rsidRPr="0046551F" w:rsidRDefault="00242CCC" w:rsidP="0019238A">
      <w:pPr>
        <w:numPr>
          <w:ilvl w:val="0"/>
          <w:numId w:val="3"/>
        </w:numPr>
        <w:spacing w:line="360" w:lineRule="auto"/>
        <w:ind w:left="0" w:right="-234" w:firstLine="0"/>
        <w:jc w:val="both"/>
        <w:rPr>
          <w:rFonts w:ascii="Palatino Linotype" w:hAnsi="Palatino Linotype"/>
        </w:rPr>
      </w:pPr>
      <w:r w:rsidRPr="0046551F">
        <w:rPr>
          <w:rFonts w:ascii="Palatino Linotype" w:hAnsi="Palatino Linotype"/>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rsidR="00242CCC" w:rsidRPr="0046551F" w:rsidRDefault="00242CCC" w:rsidP="0019238A">
      <w:pPr>
        <w:pStyle w:val="Prrafodelista"/>
        <w:spacing w:line="360" w:lineRule="auto"/>
        <w:ind w:left="567" w:right="567"/>
        <w:jc w:val="both"/>
        <w:rPr>
          <w:rFonts w:ascii="Palatino Linotype" w:hAnsi="Palatino Linotype"/>
          <w:b/>
          <w:i/>
        </w:rPr>
      </w:pPr>
      <w:r w:rsidRPr="0046551F">
        <w:rPr>
          <w:rFonts w:ascii="Palatino Linotype" w:hAnsi="Palatino Linotype"/>
          <w:i/>
        </w:rPr>
        <w:lastRenderedPageBreak/>
        <w:t>“</w:t>
      </w:r>
      <w:r w:rsidRPr="0046551F">
        <w:rPr>
          <w:rFonts w:ascii="Palatino Linotype" w:hAnsi="Palatino Linotype"/>
          <w:b/>
          <w:i/>
        </w:rPr>
        <w:t>Artículo 163.</w:t>
      </w:r>
      <w:r w:rsidRPr="0046551F">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 </w:t>
      </w:r>
    </w:p>
    <w:p w:rsidR="00242CCC" w:rsidRPr="0046551F" w:rsidRDefault="00242CCC" w:rsidP="0019238A">
      <w:pPr>
        <w:pStyle w:val="Prrafodelista"/>
        <w:spacing w:line="360" w:lineRule="auto"/>
        <w:ind w:left="851" w:right="567"/>
        <w:jc w:val="both"/>
        <w:rPr>
          <w:rFonts w:ascii="Palatino Linotype" w:hAnsi="Palatino Linotype"/>
          <w:i/>
        </w:rPr>
      </w:pPr>
      <w:r w:rsidRPr="0046551F">
        <w:rPr>
          <w:rFonts w:ascii="Palatino Linotype" w:hAnsi="Palatino Linotype"/>
          <w:i/>
        </w:rPr>
        <w:t>(…)”</w:t>
      </w:r>
    </w:p>
    <w:p w:rsidR="00242CCC" w:rsidRPr="0046551F" w:rsidRDefault="00242CCC" w:rsidP="0019238A">
      <w:pPr>
        <w:pStyle w:val="Prrafodelista"/>
        <w:spacing w:line="360" w:lineRule="auto"/>
        <w:ind w:left="851" w:right="567"/>
        <w:jc w:val="both"/>
        <w:rPr>
          <w:rFonts w:ascii="Palatino Linotype" w:hAnsi="Palatino Linotype"/>
          <w:b/>
          <w:i/>
        </w:rPr>
      </w:pPr>
    </w:p>
    <w:p w:rsidR="00242CCC" w:rsidRPr="0046551F" w:rsidRDefault="00242CCC" w:rsidP="0019238A">
      <w:pPr>
        <w:pStyle w:val="Prrafodelista"/>
        <w:spacing w:line="360" w:lineRule="auto"/>
        <w:ind w:left="567" w:right="567"/>
        <w:jc w:val="both"/>
        <w:rPr>
          <w:rFonts w:ascii="Palatino Linotype" w:hAnsi="Palatino Linotype"/>
          <w:i/>
        </w:rPr>
      </w:pPr>
      <w:r w:rsidRPr="0046551F">
        <w:rPr>
          <w:rFonts w:ascii="Palatino Linotype" w:hAnsi="Palatino Linotype"/>
          <w:i/>
        </w:rPr>
        <w:t>“</w:t>
      </w:r>
      <w:r w:rsidRPr="0046551F">
        <w:rPr>
          <w:rFonts w:ascii="Palatino Linotype" w:hAnsi="Palatino Linotype"/>
          <w:b/>
          <w:i/>
        </w:rPr>
        <w:t>Artículo 166.</w:t>
      </w:r>
      <w:r w:rsidRPr="0046551F">
        <w:rPr>
          <w:rFonts w:ascii="Palatino Linotype" w:hAnsi="Palatino Linotype"/>
          <w:i/>
        </w:rPr>
        <w:t xml:space="preserve"> La obligación de acceso a la información pública se tendrá por cumplida cuando el solicitante tenga a su disposición la información requerida, o cuando realice la consulta de la misma en el lugar en el que ésta se localice.”</w:t>
      </w:r>
    </w:p>
    <w:p w:rsidR="00242CCC" w:rsidRPr="0046551F" w:rsidRDefault="00242CCC" w:rsidP="0019238A">
      <w:pPr>
        <w:pStyle w:val="Prrafodelista"/>
        <w:spacing w:line="360" w:lineRule="auto"/>
        <w:ind w:left="851" w:right="567"/>
        <w:jc w:val="both"/>
        <w:rPr>
          <w:rFonts w:ascii="Palatino Linotype" w:hAnsi="Palatino Linotype"/>
          <w:i/>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cs="Arial"/>
        </w:rPr>
        <w:t xml:space="preserve">En este caso, la solicitud de información que formuló la particular como parte de su </w:t>
      </w:r>
      <w:r w:rsidRPr="0046551F">
        <w:rPr>
          <w:rFonts w:ascii="Palatino Linotype" w:hAnsi="Palatino Linotype"/>
        </w:rPr>
        <w:t>derecho</w:t>
      </w:r>
      <w:r w:rsidRPr="0046551F">
        <w:rPr>
          <w:rFonts w:ascii="Palatino Linotype" w:hAnsi="Palatino Linotype" w:cs="Arial"/>
        </w:rPr>
        <w:t xml:space="preserve"> de acceso a la información pública, no fue atendida, dado que el </w:t>
      </w:r>
      <w:r w:rsidRPr="0046551F">
        <w:rPr>
          <w:rFonts w:ascii="Palatino Linotype" w:hAnsi="Palatino Linotype" w:cs="Arial"/>
          <w:b/>
        </w:rPr>
        <w:t xml:space="preserve">SUJETO </w:t>
      </w:r>
      <w:r w:rsidRPr="0046551F">
        <w:rPr>
          <w:rFonts w:ascii="Palatino Linotype" w:hAnsi="Palatino Linotype"/>
        </w:rPr>
        <w:t>OBLIGADO</w:t>
      </w:r>
      <w:r w:rsidRPr="0046551F">
        <w:rPr>
          <w:rFonts w:ascii="Palatino Linotype" w:hAnsi="Palatino Linotype" w:cs="Arial"/>
        </w:rPr>
        <w:t xml:space="preserve"> fue omiso en emitir una respuesta.</w:t>
      </w:r>
    </w:p>
    <w:p w:rsidR="00242CCC" w:rsidRPr="0046551F" w:rsidRDefault="00242CCC" w:rsidP="0019238A">
      <w:pPr>
        <w:spacing w:line="360" w:lineRule="auto"/>
        <w:contextualSpacing/>
        <w:jc w:val="both"/>
        <w:rPr>
          <w:rFonts w:ascii="Palatino Linotype" w:hAnsi="Palatino Linotype" w:cs="Arial"/>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cs="Arial"/>
        </w:rPr>
        <w:t xml:space="preserve">Por tanto, en cumplimiento a las obligaciones que la Constitución Federal , la Constitución Estatal y la Ley de la materia el </w:t>
      </w:r>
      <w:r w:rsidRPr="0046551F">
        <w:rPr>
          <w:rFonts w:ascii="Palatino Linotype" w:hAnsi="Palatino Linotype" w:cs="Arial"/>
          <w:b/>
        </w:rPr>
        <w:t>SUJETO OBLIGADO</w:t>
      </w:r>
      <w:r w:rsidRPr="0046551F">
        <w:rPr>
          <w:rFonts w:ascii="Palatino Linotype" w:hAnsi="Palatino Linotype" w:cs="Arial"/>
        </w:rPr>
        <w:t xml:space="preserve"> está constreñido a dar atención a las solicitudes de información que a través del </w:t>
      </w:r>
      <w:r w:rsidRPr="0046551F">
        <w:rPr>
          <w:rFonts w:ascii="Palatino Linotype" w:hAnsi="Palatino Linotype" w:cs="Arial"/>
          <w:b/>
        </w:rPr>
        <w:t>SAIMEX</w:t>
      </w:r>
      <w:r w:rsidRPr="0046551F">
        <w:rPr>
          <w:rFonts w:ascii="Palatino Linotype" w:hAnsi="Palatino Linotype" w:cs="Aria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46551F">
        <w:rPr>
          <w:rFonts w:ascii="Palatino Linotype" w:hAnsi="Palatino Linotype" w:cs="Arial"/>
          <w:b/>
        </w:rPr>
        <w:t>SAIME</w:t>
      </w:r>
      <w:r w:rsidRPr="0046551F">
        <w:rPr>
          <w:rFonts w:ascii="Palatino Linotype" w:hAnsi="Palatino Linotype" w:cs="Arial"/>
        </w:rPr>
        <w:t xml:space="preserve">X, el </w:t>
      </w:r>
      <w:r w:rsidRPr="0046551F">
        <w:rPr>
          <w:rFonts w:ascii="Palatino Linotype" w:hAnsi="Palatino Linotype" w:cs="Arial"/>
          <w:b/>
        </w:rPr>
        <w:t>SUJETO OBLIGADO</w:t>
      </w:r>
      <w:r w:rsidRPr="0046551F">
        <w:rPr>
          <w:rFonts w:ascii="Palatino Linotype" w:hAnsi="Palatino Linotype" w:cs="Arial"/>
        </w:rPr>
        <w:t xml:space="preserve"> fue omiso en dar respuesta a las solicitudes. </w:t>
      </w:r>
    </w:p>
    <w:p w:rsidR="00242CCC" w:rsidRPr="0046551F" w:rsidRDefault="00242CCC" w:rsidP="0019238A">
      <w:pPr>
        <w:pStyle w:val="Prrafodelista"/>
        <w:spacing w:line="360" w:lineRule="auto"/>
        <w:rPr>
          <w:rFonts w:ascii="Palatino Linotype" w:hAnsi="Palatino Linotype" w:cs="Arial"/>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rPr>
      </w:pPr>
      <w:r w:rsidRPr="0046551F">
        <w:rPr>
          <w:rFonts w:ascii="Palatino Linotype" w:hAnsi="Palatino Linotype"/>
        </w:rPr>
        <w:t xml:space="preserve">Por lo tanto, al no haber atendido ninguno de los deberes establecidos por la norma </w:t>
      </w:r>
      <w:r w:rsidRPr="0046551F">
        <w:rPr>
          <w:rFonts w:ascii="Palatino Linotype" w:hAnsi="Palatino Linotype" w:cs="Arial"/>
        </w:rPr>
        <w:t>para</w:t>
      </w:r>
      <w:r w:rsidRPr="0046551F">
        <w:rPr>
          <w:rFonts w:ascii="Palatino Linotype" w:hAnsi="Palatino Linotype"/>
        </w:rPr>
        <w:t xml:space="preserve"> la atención de las solicitudes de acceso a la información y al no haber respondido de ninguna manera a la solicitud, la falta de respuesta implica un </w:t>
      </w:r>
      <w:r w:rsidRPr="0046551F">
        <w:rPr>
          <w:rFonts w:ascii="Palatino Linotype" w:hAnsi="Palatino Linotype"/>
        </w:rPr>
        <w:lastRenderedPageBreak/>
        <w:t>incumplimiento al deber de atender las solicitudes y en consecuencia una afectación al derecho.</w:t>
      </w:r>
    </w:p>
    <w:p w:rsidR="00242CCC" w:rsidRPr="0046551F" w:rsidRDefault="00242CCC" w:rsidP="0019238A">
      <w:pPr>
        <w:spacing w:line="360" w:lineRule="auto"/>
        <w:contextualSpacing/>
        <w:jc w:val="both"/>
        <w:rPr>
          <w:rFonts w:ascii="Palatino Linotype" w:hAnsi="Palatino Linotype" w:cs="Arial"/>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eastAsia="Calibri" w:hAnsi="Palatino Linotype"/>
        </w:rPr>
        <w:t xml:space="preserve">No sobra decir que, al actuar de esta forma, el </w:t>
      </w:r>
      <w:r w:rsidRPr="0046551F">
        <w:rPr>
          <w:rFonts w:ascii="Palatino Linotype" w:eastAsia="Calibri" w:hAnsi="Palatino Linotype"/>
          <w:b/>
        </w:rPr>
        <w:t>SUJETO OBLIGADO</w:t>
      </w:r>
      <w:r w:rsidRPr="0046551F">
        <w:rPr>
          <w:rFonts w:ascii="Palatino Linotype" w:eastAsia="Calibri" w:hAnsi="Palatino Linotype"/>
        </w:rPr>
        <w:t xml:space="preserve"> incumple con el primer mandato contenido en el párrafo tercero del artículo primero de la </w:t>
      </w:r>
      <w:r w:rsidRPr="0046551F">
        <w:rPr>
          <w:rFonts w:ascii="Palatino Linotype" w:hAnsi="Palatino Linotype"/>
        </w:rPr>
        <w:t>Constitución</w:t>
      </w:r>
      <w:r w:rsidRPr="0046551F">
        <w:rPr>
          <w:rFonts w:ascii="Palatino Linotype" w:eastAsia="Calibri" w:hAnsi="Palatino Linotype"/>
        </w:rPr>
        <w:t xml:space="preserve"> Política de los Estados Unidos Mexicanos que establece el deber de todas las autoridades, </w:t>
      </w:r>
      <w:r w:rsidRPr="0046551F">
        <w:rPr>
          <w:rFonts w:ascii="Palatino Linotype" w:eastAsia="Calibri" w:hAnsi="Palatino Linotype"/>
          <w:i/>
        </w:rPr>
        <w:t xml:space="preserve">en el ámbito de sus atribuciones, </w:t>
      </w:r>
      <w:r w:rsidRPr="0046551F">
        <w:rPr>
          <w:rFonts w:ascii="Palatino Linotype" w:eastAsia="Calibri" w:hAnsi="Palatino Linotype"/>
          <w:b/>
          <w:i/>
        </w:rPr>
        <w:t>de promover</w:t>
      </w:r>
      <w:r w:rsidRPr="0046551F">
        <w:rPr>
          <w:rFonts w:ascii="Palatino Linotype" w:eastAsia="Calibri" w:hAnsi="Palatino Linotype"/>
          <w:i/>
        </w:rPr>
        <w:t xml:space="preserve">, </w:t>
      </w:r>
      <w:r w:rsidRPr="0046551F">
        <w:rPr>
          <w:rFonts w:ascii="Palatino Linotype" w:eastAsia="Calibri" w:hAnsi="Palatino Linotype"/>
          <w:b/>
          <w:i/>
        </w:rPr>
        <w:t>respetar, proteger y</w:t>
      </w:r>
      <w:r w:rsidRPr="0046551F">
        <w:rPr>
          <w:rFonts w:ascii="Palatino Linotype" w:eastAsia="Calibri" w:hAnsi="Palatino Linotype"/>
          <w:i/>
        </w:rPr>
        <w:t xml:space="preserve"> </w:t>
      </w:r>
      <w:r w:rsidRPr="0046551F">
        <w:rPr>
          <w:rFonts w:ascii="Palatino Linotype" w:eastAsia="Calibri" w:hAnsi="Palatino Linotype"/>
          <w:b/>
          <w:i/>
        </w:rPr>
        <w:t>garantizar</w:t>
      </w:r>
      <w:r w:rsidRPr="0046551F">
        <w:rPr>
          <w:rFonts w:ascii="Palatino Linotype" w:eastAsia="Calibri" w:hAnsi="Palatino Linotype"/>
          <w:i/>
        </w:rPr>
        <w:t xml:space="preserve"> los derechos humanos.</w:t>
      </w:r>
      <w:r w:rsidRPr="0046551F">
        <w:rPr>
          <w:rFonts w:ascii="Palatino Linotype" w:eastAsia="Calibri" w:hAnsi="Palatino Linotype"/>
        </w:rPr>
        <w:t xml:space="preserve"> Por lo tanto, la falta de respuesta a una solicitud de acceso a la información constituye un incumplimiento del </w:t>
      </w:r>
      <w:r w:rsidRPr="0046551F">
        <w:rPr>
          <w:rFonts w:ascii="Palatino Linotype" w:eastAsia="Calibri" w:hAnsi="Palatino Linotype"/>
          <w:b/>
        </w:rPr>
        <w:t>SUJETO OBLIGADO</w:t>
      </w:r>
      <w:r w:rsidRPr="0046551F">
        <w:rPr>
          <w:rFonts w:ascii="Palatino Linotype" w:eastAsia="Calibri" w:hAnsi="Palatino Linotype"/>
        </w:rPr>
        <w:t xml:space="preserve"> a su deber de garantizar el derecho, lo que constituye una vulneración al mismo y resulta. </w:t>
      </w:r>
    </w:p>
    <w:p w:rsidR="00242CCC" w:rsidRPr="0046551F" w:rsidRDefault="00242CCC" w:rsidP="0019238A">
      <w:pPr>
        <w:pStyle w:val="Prrafodelista"/>
        <w:spacing w:line="360" w:lineRule="auto"/>
        <w:rPr>
          <w:rFonts w:ascii="Palatino Linotype" w:hAnsi="Palatino Linotype" w:cs="Arial"/>
          <w:color w:val="000000"/>
        </w:rPr>
      </w:pPr>
    </w:p>
    <w:p w:rsidR="00242CCC" w:rsidRPr="0046551F" w:rsidRDefault="00242CCC" w:rsidP="0019238A">
      <w:pPr>
        <w:numPr>
          <w:ilvl w:val="0"/>
          <w:numId w:val="3"/>
        </w:numPr>
        <w:spacing w:line="360" w:lineRule="auto"/>
        <w:ind w:left="0" w:right="-234" w:firstLine="0"/>
        <w:jc w:val="both"/>
        <w:rPr>
          <w:rFonts w:ascii="Palatino Linotype" w:hAnsi="Palatino Linotype"/>
        </w:rPr>
      </w:pPr>
      <w:r w:rsidRPr="0046551F">
        <w:rPr>
          <w:rFonts w:ascii="Palatino Linotype" w:hAnsi="Palatino Linotype"/>
        </w:rPr>
        <w:t xml:space="preserve">A su vez, la </w:t>
      </w:r>
      <w:r w:rsidRPr="0046551F">
        <w:rPr>
          <w:rFonts w:ascii="Palatino Linotype" w:hAnsi="Palatino Linotype"/>
          <w:b/>
        </w:rPr>
        <w:t xml:space="preserve">Ley de Transparencia y Acceso a la Información Pública del Estado de </w:t>
      </w:r>
      <w:r w:rsidRPr="0046551F">
        <w:rPr>
          <w:rFonts w:ascii="Palatino Linotype" w:eastAsia="Calibri" w:hAnsi="Palatino Linotype"/>
        </w:rPr>
        <w:t>México</w:t>
      </w:r>
      <w:r w:rsidRPr="0046551F">
        <w:rPr>
          <w:rFonts w:ascii="Palatino Linotype" w:hAnsi="Palatino Linotype"/>
          <w:b/>
        </w:rPr>
        <w:t xml:space="preserve"> y Municipios, </w:t>
      </w:r>
      <w:r w:rsidRPr="0046551F">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46551F">
        <w:rPr>
          <w:rFonts w:ascii="Palatino Linotype" w:hAnsi="Palatino Linotype"/>
          <w:b/>
        </w:rPr>
        <w:t xml:space="preserve"> </w:t>
      </w:r>
      <w:r w:rsidRPr="0046551F">
        <w:rPr>
          <w:rFonts w:ascii="Palatino Linotype" w:hAnsi="Palatino Linotype"/>
        </w:rPr>
        <w:t xml:space="preserve">establece que </w:t>
      </w:r>
      <w:r w:rsidRPr="0046551F">
        <w:rPr>
          <w:rFonts w:ascii="Palatino Linotype" w:hAnsi="Palatino Linotype"/>
          <w:b/>
          <w:i/>
          <w:u w:val="single"/>
        </w:rPr>
        <w:t>el recurso de revisión es la garantía secundaria</w:t>
      </w:r>
      <w:r w:rsidRPr="0046551F">
        <w:rPr>
          <w:rFonts w:ascii="Palatino Linotype" w:hAnsi="Palatino Linotype"/>
          <w:b/>
          <w:i/>
        </w:rPr>
        <w:t xml:space="preserve"> mediante la cual se pretende reparar cualquier posible afectación al derecho de acceso a la información pública</w:t>
      </w:r>
      <w:r w:rsidRPr="0046551F">
        <w:rPr>
          <w:rFonts w:ascii="Palatino Linotype" w:hAnsi="Palatino Linotype"/>
          <w:b/>
        </w:rPr>
        <w:t>, s</w:t>
      </w:r>
      <w:r w:rsidRPr="0046551F">
        <w:rPr>
          <w:rFonts w:ascii="Palatino Linotype" w:hAnsi="Palatino Linotype"/>
        </w:rPr>
        <w:t xml:space="preserve">iendo éste el medio a través del cual, este Órgano Garante </w:t>
      </w:r>
      <w:r w:rsidRPr="0046551F">
        <w:rPr>
          <w:rFonts w:ascii="Palatino Linotype" w:eastAsia="Calibri" w:hAnsi="Palatino Linotype"/>
        </w:rPr>
        <w:t>después</w:t>
      </w:r>
      <w:r w:rsidRPr="0046551F">
        <w:rPr>
          <w:rFonts w:ascii="Palatino Linotype" w:hAnsi="Palatino Linotype"/>
        </w:rPr>
        <w:t xml:space="preserve"> de realizar el análisis al procedimiento de acceso a la información, podrá determinar la posible afectación y de ser el caso ordenar la reparación a la violación del derecho en cuestión. </w:t>
      </w:r>
    </w:p>
    <w:p w:rsidR="00242CCC" w:rsidRPr="0046551F" w:rsidRDefault="00242CCC" w:rsidP="0019238A">
      <w:pPr>
        <w:spacing w:line="360" w:lineRule="auto"/>
        <w:contextualSpacing/>
        <w:jc w:val="both"/>
        <w:rPr>
          <w:rFonts w:ascii="Palatino Linotype" w:hAnsi="Palatino Linotype"/>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eastAsia="Calibri" w:hAnsi="Palatino Linotype"/>
        </w:rPr>
        <w:t xml:space="preserve">De acuerdo a lo dispuesto por el artículo 53 fracción II de la Ley de la materia, las </w:t>
      </w:r>
      <w:r w:rsidRPr="0046551F">
        <w:rPr>
          <w:rFonts w:ascii="Palatino Linotype" w:hAnsi="Palatino Linotype"/>
        </w:rPr>
        <w:t>unidades</w:t>
      </w:r>
      <w:r w:rsidRPr="0046551F">
        <w:rPr>
          <w:rFonts w:ascii="Palatino Linotype" w:eastAsia="Calibri" w:hAnsi="Palatino Linotype"/>
        </w:rPr>
        <w:t xml:space="preserve"> de transparencia tienen entre sus principales funciones la de recibir, tramitar y dar respuesta a las solicitudes de accesos a la información: </w:t>
      </w:r>
    </w:p>
    <w:p w:rsidR="00242CCC" w:rsidRPr="0046551F" w:rsidRDefault="00242CCC" w:rsidP="0019238A">
      <w:pPr>
        <w:spacing w:line="360" w:lineRule="auto"/>
        <w:ind w:right="49"/>
        <w:contextualSpacing/>
        <w:jc w:val="both"/>
        <w:rPr>
          <w:rFonts w:ascii="Palatino Linotype" w:hAnsi="Palatino Linotype" w:cs="Arial"/>
          <w:color w:val="000000"/>
        </w:rPr>
      </w:pPr>
    </w:p>
    <w:p w:rsidR="00242CCC" w:rsidRPr="0046551F" w:rsidRDefault="00242CCC" w:rsidP="0019238A">
      <w:pPr>
        <w:spacing w:line="360" w:lineRule="auto"/>
        <w:ind w:left="567" w:right="567"/>
        <w:jc w:val="both"/>
        <w:rPr>
          <w:rFonts w:ascii="Palatino Linotype" w:hAnsi="Palatino Linotype"/>
          <w:i/>
        </w:rPr>
      </w:pPr>
      <w:r w:rsidRPr="0046551F">
        <w:rPr>
          <w:rFonts w:ascii="Palatino Linotype" w:hAnsi="Palatino Linotype"/>
          <w:i/>
        </w:rPr>
        <w:t>“</w:t>
      </w:r>
      <w:r w:rsidRPr="0046551F">
        <w:rPr>
          <w:rFonts w:ascii="Palatino Linotype" w:hAnsi="Palatino Linotype"/>
          <w:b/>
          <w:i/>
        </w:rPr>
        <w:t>Artículo 53.</w:t>
      </w:r>
      <w:r w:rsidRPr="0046551F">
        <w:rPr>
          <w:rFonts w:ascii="Palatino Linotype" w:hAnsi="Palatino Linotype"/>
          <w:i/>
        </w:rPr>
        <w:t xml:space="preserve"> Las Unidades de Transparencia tendrán las siguientes funciones:</w:t>
      </w:r>
    </w:p>
    <w:p w:rsidR="00242CCC" w:rsidRPr="0046551F" w:rsidRDefault="00242CCC" w:rsidP="0019238A">
      <w:pPr>
        <w:spacing w:line="360" w:lineRule="auto"/>
        <w:ind w:left="567" w:right="567"/>
        <w:jc w:val="both"/>
        <w:rPr>
          <w:rFonts w:ascii="Palatino Linotype" w:hAnsi="Palatino Linotype"/>
          <w:i/>
        </w:rPr>
      </w:pPr>
      <w:r w:rsidRPr="0046551F">
        <w:rPr>
          <w:rFonts w:ascii="Palatino Linotype" w:hAnsi="Palatino Linotype"/>
          <w:i/>
        </w:rPr>
        <w:t>(…)</w:t>
      </w:r>
    </w:p>
    <w:p w:rsidR="00242CCC" w:rsidRPr="0046551F" w:rsidRDefault="00242CCC" w:rsidP="0019238A">
      <w:pPr>
        <w:spacing w:line="360" w:lineRule="auto"/>
        <w:ind w:left="567" w:right="567"/>
        <w:jc w:val="both"/>
        <w:rPr>
          <w:rFonts w:ascii="Palatino Linotype" w:hAnsi="Palatino Linotype"/>
          <w:i/>
        </w:rPr>
      </w:pPr>
      <w:r w:rsidRPr="0046551F">
        <w:rPr>
          <w:rFonts w:ascii="Palatino Linotype" w:hAnsi="Palatino Linotype"/>
          <w:i/>
        </w:rPr>
        <w:t>III. Auxiliar a los particulares en la elaboración de solicitudes de acceso a la información y, en su caso, orientarlos sobre los sujetos obligados competentes conforme a la normatividad aplicable;</w:t>
      </w:r>
    </w:p>
    <w:p w:rsidR="00242CCC" w:rsidRPr="0046551F" w:rsidRDefault="00242CCC" w:rsidP="0019238A">
      <w:pPr>
        <w:spacing w:line="360" w:lineRule="auto"/>
        <w:ind w:left="567" w:right="567"/>
        <w:jc w:val="both"/>
        <w:rPr>
          <w:rFonts w:ascii="Palatino Linotype" w:hAnsi="Palatino Linotype"/>
          <w:i/>
        </w:rPr>
      </w:pPr>
      <w:r w:rsidRPr="0046551F">
        <w:rPr>
          <w:rFonts w:ascii="Palatino Linotype" w:hAnsi="Palatino Linotype"/>
          <w:i/>
        </w:rPr>
        <w:t xml:space="preserve">(…)” </w:t>
      </w:r>
    </w:p>
    <w:p w:rsidR="00242CCC" w:rsidRPr="0046551F" w:rsidRDefault="00242CCC" w:rsidP="0019238A">
      <w:pPr>
        <w:spacing w:line="360" w:lineRule="auto"/>
        <w:ind w:left="567" w:right="567"/>
        <w:jc w:val="both"/>
        <w:rPr>
          <w:rFonts w:ascii="Palatino Linotype" w:hAnsi="Palatino Linotype"/>
        </w:rPr>
      </w:pPr>
      <w:r w:rsidRPr="0046551F">
        <w:rPr>
          <w:rFonts w:ascii="Palatino Linotype" w:hAnsi="Palatino Linotype"/>
        </w:rPr>
        <w:t>(Énfasis Añadido)</w:t>
      </w:r>
    </w:p>
    <w:p w:rsidR="00242CCC" w:rsidRPr="0046551F" w:rsidRDefault="00242CCC" w:rsidP="0019238A">
      <w:pPr>
        <w:spacing w:line="360" w:lineRule="auto"/>
        <w:contextualSpacing/>
        <w:jc w:val="both"/>
        <w:rPr>
          <w:rFonts w:ascii="Palatino Linotype" w:eastAsia="Calibri" w:hAnsi="Palatino Linotype"/>
        </w:rPr>
      </w:pPr>
    </w:p>
    <w:p w:rsidR="00242CCC" w:rsidRPr="0046551F" w:rsidRDefault="00242CCC" w:rsidP="0019238A">
      <w:pPr>
        <w:numPr>
          <w:ilvl w:val="0"/>
          <w:numId w:val="3"/>
        </w:numPr>
        <w:spacing w:line="360" w:lineRule="auto"/>
        <w:ind w:left="0" w:right="-234" w:firstLine="0"/>
        <w:jc w:val="both"/>
        <w:rPr>
          <w:rFonts w:ascii="Palatino Linotype" w:eastAsia="Calibri" w:hAnsi="Palatino Linotype"/>
        </w:rPr>
      </w:pPr>
      <w:r w:rsidRPr="0046551F">
        <w:rPr>
          <w:rFonts w:ascii="Palatino Linotype" w:eastAsia="Calibri" w:hAnsi="Palatino Linotype"/>
        </w:rPr>
        <w:t xml:space="preserve">Establecido lo anterior, resulta evidente que las razones o motivos de inconformidad hechos valer en el recurso de revisión resultan </w:t>
      </w:r>
      <w:r w:rsidRPr="0046551F">
        <w:rPr>
          <w:rFonts w:ascii="Palatino Linotype" w:eastAsia="Calibri" w:hAnsi="Palatino Linotype"/>
          <w:b/>
        </w:rPr>
        <w:t>fundadas y procedentes</w:t>
      </w:r>
      <w:r w:rsidRPr="0046551F">
        <w:rPr>
          <w:rFonts w:ascii="Palatino Linotype" w:eastAsia="Calibri" w:hAnsi="Palatino Linotype"/>
        </w:rPr>
        <w:t xml:space="preserve">, debido a que el </w:t>
      </w:r>
      <w:r w:rsidRPr="0046551F">
        <w:rPr>
          <w:rFonts w:ascii="Palatino Linotype" w:eastAsia="Calibri" w:hAnsi="Palatino Linotype"/>
          <w:b/>
        </w:rPr>
        <w:t>SUJETO OBLIGADO</w:t>
      </w:r>
      <w:r w:rsidRPr="0046551F">
        <w:rPr>
          <w:rFonts w:ascii="Palatino Linotype" w:eastAsia="Calibri" w:hAnsi="Palatino Linotype"/>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rsidR="00242CCC" w:rsidRPr="0046551F" w:rsidRDefault="00242CCC" w:rsidP="0019238A">
      <w:pPr>
        <w:spacing w:line="360" w:lineRule="auto"/>
        <w:contextualSpacing/>
        <w:rPr>
          <w:rFonts w:ascii="Palatino Linotype" w:eastAsia="Calibri" w:hAnsi="Palatino Linotype"/>
          <w:lang w:val="es-ES"/>
        </w:rPr>
      </w:pPr>
    </w:p>
    <w:p w:rsidR="00242CCC" w:rsidRPr="0046551F" w:rsidRDefault="00242CCC"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hAnsi="Palatino Linotype" w:cs="Arial"/>
          <w:color w:val="000000"/>
        </w:rPr>
        <w:t xml:space="preserve">Dicho lo anterior, también es dable establecer que el </w:t>
      </w:r>
      <w:r w:rsidRPr="0046551F">
        <w:rPr>
          <w:rFonts w:ascii="Palatino Linotype" w:hAnsi="Palatino Linotype" w:cs="Arial"/>
          <w:b/>
          <w:color w:val="000000"/>
        </w:rPr>
        <w:t>SUJETO OBLIGADO</w:t>
      </w:r>
      <w:r w:rsidRPr="0046551F">
        <w:rPr>
          <w:rFonts w:ascii="Palatino Linotype" w:hAnsi="Palatino Linotype" w:cs="Arial"/>
          <w:color w:val="000000"/>
        </w:rPr>
        <w:t xml:space="preserve"> en un hecho posterior a la </w:t>
      </w:r>
      <w:r w:rsidRPr="0046551F">
        <w:rPr>
          <w:rFonts w:ascii="Palatino Linotype" w:eastAsia="Calibri" w:hAnsi="Palatino Linotype"/>
        </w:rPr>
        <w:t>interposición</w:t>
      </w:r>
      <w:r w:rsidRPr="0046551F">
        <w:rPr>
          <w:rFonts w:ascii="Palatino Linotype" w:hAnsi="Palatino Linotype" w:cs="Arial"/>
          <w:color w:val="000000"/>
        </w:rPr>
        <w:t xml:space="preserve"> del recurso de revisión, en la etapa de manifestaciones  y en calidad de informe justificado, remitió el Programa Anual de Adquisiciones 2024, constante de 60 fojas</w:t>
      </w:r>
      <w:r w:rsidR="004461C2" w:rsidRPr="0046551F">
        <w:rPr>
          <w:rFonts w:ascii="Palatino Linotype" w:hAnsi="Palatino Linotype" w:cs="Arial"/>
          <w:color w:val="000000"/>
        </w:rPr>
        <w:t xml:space="preserve">. </w:t>
      </w:r>
    </w:p>
    <w:p w:rsidR="004461C2" w:rsidRPr="0046551F" w:rsidRDefault="004461C2" w:rsidP="0019238A">
      <w:pPr>
        <w:pStyle w:val="Prrafodelista"/>
        <w:spacing w:line="360" w:lineRule="auto"/>
        <w:rPr>
          <w:rFonts w:ascii="Palatino Linotype" w:hAnsi="Palatino Linotype" w:cs="Arial"/>
          <w:color w:val="000000"/>
        </w:rPr>
      </w:pPr>
    </w:p>
    <w:p w:rsidR="004461C2" w:rsidRPr="0046551F" w:rsidRDefault="004461C2"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hAnsi="Palatino Linotype" w:cs="Arial"/>
          <w:color w:val="000000"/>
        </w:rPr>
        <w:t xml:space="preserve">Del análisis a la documental de referencia, se advierte que ciertamente corresponde a lo solicitado de manera preliminar al corresponder como previamente </w:t>
      </w:r>
      <w:r w:rsidRPr="0046551F">
        <w:rPr>
          <w:rFonts w:ascii="Palatino Linotype" w:hAnsi="Palatino Linotype" w:cs="Arial"/>
          <w:color w:val="000000"/>
        </w:rPr>
        <w:lastRenderedPageBreak/>
        <w:t xml:space="preserve">ya se estableció, al Programa Anual de Adquisiciones (PAA) que corresponde al documento planificado que elaboran los entes públicos para gestionar y organizar de manera eficiente las compras, adquisiciones, arrendamientos y contrataciones de bienes, servicios y obras que se requerirán durante un ejercicio fiscal; luego entonces se omite un análisis pormenorizado de la fuente obligacional del </w:t>
      </w:r>
      <w:r w:rsidRPr="0046551F">
        <w:rPr>
          <w:rFonts w:ascii="Palatino Linotype" w:hAnsi="Palatino Linotype" w:cs="Arial"/>
          <w:b/>
          <w:color w:val="000000"/>
        </w:rPr>
        <w:t>SUJETO OBLIGADO</w:t>
      </w:r>
      <w:r w:rsidRPr="0046551F">
        <w:rPr>
          <w:rFonts w:ascii="Palatino Linotype" w:hAnsi="Palatino Linotype" w:cs="Arial"/>
          <w:color w:val="000000"/>
        </w:rPr>
        <w:t xml:space="preserve"> para determinar si genera, posee o administra lo solicitado, al ya haber sido remitido.</w:t>
      </w:r>
    </w:p>
    <w:p w:rsidR="004461C2" w:rsidRPr="0046551F" w:rsidRDefault="004461C2" w:rsidP="0019238A">
      <w:pPr>
        <w:pStyle w:val="Prrafodelista"/>
        <w:spacing w:line="360" w:lineRule="auto"/>
        <w:rPr>
          <w:rFonts w:ascii="Palatino Linotype" w:hAnsi="Palatino Linotype" w:cs="Arial"/>
          <w:color w:val="000000"/>
        </w:rPr>
      </w:pPr>
    </w:p>
    <w:p w:rsidR="004461C2" w:rsidRPr="0046551F" w:rsidRDefault="004461C2"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hAnsi="Palatino Linotype" w:cs="Arial"/>
          <w:color w:val="000000"/>
        </w:rPr>
        <w:t>No obstante, no se considera que lo entregada colme a cabalidad el derecho del solicitante; toda vez que de la revisión al documento de referencia, se advierte que se encuentra parcialmente ilegible</w:t>
      </w:r>
      <w:r w:rsidR="000F63AD" w:rsidRPr="0046551F">
        <w:rPr>
          <w:rFonts w:ascii="Palatino Linotype" w:hAnsi="Palatino Linotype" w:cs="Arial"/>
          <w:color w:val="000000"/>
        </w:rPr>
        <w:t>.</w:t>
      </w:r>
    </w:p>
    <w:p w:rsidR="000F63AD" w:rsidRPr="0046551F" w:rsidRDefault="000F63AD" w:rsidP="0019238A">
      <w:pPr>
        <w:pStyle w:val="Prrafodelista"/>
        <w:spacing w:line="360" w:lineRule="auto"/>
        <w:rPr>
          <w:rFonts w:ascii="Palatino Linotype" w:hAnsi="Palatino Linotype" w:cs="Arial"/>
          <w:color w:val="000000"/>
        </w:rPr>
      </w:pPr>
    </w:p>
    <w:p w:rsidR="000F63AD" w:rsidRPr="0046551F" w:rsidRDefault="000F63AD" w:rsidP="0019238A">
      <w:pPr>
        <w:numPr>
          <w:ilvl w:val="0"/>
          <w:numId w:val="3"/>
        </w:numPr>
        <w:spacing w:line="360" w:lineRule="auto"/>
        <w:ind w:left="0" w:right="-234" w:firstLine="0"/>
        <w:jc w:val="both"/>
        <w:rPr>
          <w:rFonts w:ascii="Palatino Linotype" w:eastAsia="Times New Roman" w:hAnsi="Palatino Linotype" w:cs="Arial"/>
          <w:lang w:val="es-ES"/>
        </w:rPr>
      </w:pPr>
      <w:r w:rsidRPr="0046551F">
        <w:rPr>
          <w:rFonts w:ascii="Palatino Linotype" w:eastAsia="Times New Roman" w:hAnsi="Palatino Linotype" w:cs="Arial"/>
          <w:color w:val="222222"/>
          <w:lang w:eastAsia="es-MX"/>
        </w:rPr>
        <w:t xml:space="preserve">Por lo anteriormente expuesto, es de precisar que la información documental que </w:t>
      </w:r>
      <w:r w:rsidRPr="0046551F">
        <w:rPr>
          <w:rFonts w:ascii="Palatino Linotype" w:hAnsi="Palatino Linotype" w:cs="Arial"/>
          <w:color w:val="000000"/>
        </w:rPr>
        <w:t>entregue</w:t>
      </w:r>
      <w:r w:rsidRPr="0046551F">
        <w:rPr>
          <w:rFonts w:ascii="Palatino Linotype" w:eastAsia="Times New Roman" w:hAnsi="Palatino Linotype" w:cs="Arial"/>
          <w:color w:val="222222"/>
          <w:lang w:eastAsia="es-MX"/>
        </w:rPr>
        <w:t xml:space="preserve"> el </w:t>
      </w:r>
      <w:r w:rsidRPr="0046551F">
        <w:rPr>
          <w:rFonts w:ascii="Palatino Linotype" w:eastAsia="Times New Roman" w:hAnsi="Palatino Linotype" w:cs="Arial"/>
          <w:b/>
          <w:color w:val="222222"/>
          <w:lang w:eastAsia="es-MX"/>
        </w:rPr>
        <w:t>SUJETO OBLIGADO</w:t>
      </w:r>
      <w:r w:rsidRPr="0046551F">
        <w:rPr>
          <w:rFonts w:ascii="Palatino Linotype" w:eastAsia="Times New Roman" w:hAnsi="Palatino Linotype" w:cs="Arial"/>
          <w:color w:val="222222"/>
          <w:lang w:eastAsia="es-MX"/>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rsidR="000F63AD" w:rsidRPr="0046551F" w:rsidRDefault="000F63AD" w:rsidP="0019238A">
      <w:pPr>
        <w:pStyle w:val="Prrafodelista"/>
        <w:spacing w:line="360" w:lineRule="auto"/>
        <w:ind w:left="0"/>
        <w:jc w:val="both"/>
        <w:rPr>
          <w:rFonts w:ascii="Palatino Linotype" w:eastAsia="Times New Roman" w:hAnsi="Palatino Linotype" w:cs="Arial"/>
          <w:lang w:val="es-ES"/>
        </w:rPr>
      </w:pPr>
    </w:p>
    <w:p w:rsidR="000F63AD" w:rsidRPr="0046551F" w:rsidRDefault="000F63AD" w:rsidP="0019238A">
      <w:pPr>
        <w:numPr>
          <w:ilvl w:val="0"/>
          <w:numId w:val="3"/>
        </w:numPr>
        <w:spacing w:line="360" w:lineRule="auto"/>
        <w:ind w:left="0" w:right="-234" w:firstLine="0"/>
        <w:jc w:val="both"/>
        <w:rPr>
          <w:rFonts w:ascii="Palatino Linotype" w:eastAsia="Times New Roman" w:hAnsi="Palatino Linotype" w:cs="Arial"/>
          <w:lang w:val="es-ES"/>
        </w:rPr>
      </w:pPr>
      <w:r w:rsidRPr="0046551F">
        <w:rPr>
          <w:rFonts w:ascii="Palatino Linotype" w:eastAsia="Times New Roman" w:hAnsi="Palatino Linotype" w:cs="Arial"/>
          <w:color w:val="000000" w:themeColor="text1"/>
        </w:rPr>
        <w:t xml:space="preserve">Sirve de apoyo a lo anterior como criterio orientador la tesis número II. 1°. C.T. 55 C, publicada en el Semanario Judicial de la Federación y su Gaceta bajo el número </w:t>
      </w:r>
      <w:r w:rsidRPr="0046551F">
        <w:rPr>
          <w:rFonts w:ascii="Palatino Linotype" w:eastAsia="Times New Roman" w:hAnsi="Palatino Linotype" w:cs="Arial"/>
          <w:color w:val="222222"/>
          <w:lang w:eastAsia="es-MX"/>
        </w:rPr>
        <w:t>de3</w:t>
      </w:r>
      <w:r w:rsidRPr="0046551F">
        <w:rPr>
          <w:rFonts w:ascii="Palatino Linotype" w:eastAsia="Times New Roman" w:hAnsi="Palatino Linotype" w:cs="Arial"/>
          <w:color w:val="000000" w:themeColor="text1"/>
        </w:rPr>
        <w:t xml:space="preserve"> registro 201,412, que a la letra dice:</w:t>
      </w:r>
    </w:p>
    <w:p w:rsidR="000F63AD" w:rsidRPr="0046551F" w:rsidRDefault="000F63AD" w:rsidP="0019238A">
      <w:pPr>
        <w:spacing w:line="360" w:lineRule="auto"/>
        <w:ind w:left="567" w:right="567"/>
        <w:jc w:val="both"/>
        <w:rPr>
          <w:rFonts w:ascii="Palatino Linotype" w:eastAsia="Times New Roman" w:hAnsi="Palatino Linotype" w:cs="Arial"/>
          <w:bCs/>
          <w:i/>
          <w:iCs/>
          <w:color w:val="000000" w:themeColor="text1"/>
          <w:lang w:val="es-ES"/>
        </w:rPr>
      </w:pPr>
      <w:r w:rsidRPr="0046551F">
        <w:rPr>
          <w:rFonts w:ascii="Palatino Linotype" w:eastAsia="Times New Roman" w:hAnsi="Palatino Linotype" w:cs="Arial"/>
          <w:b/>
          <w:bCs/>
          <w:i/>
          <w:iCs/>
          <w:color w:val="000000" w:themeColor="text1"/>
          <w:lang w:val="es-ES"/>
        </w:rPr>
        <w:t xml:space="preserve">COTEJO DE COPIAS FOTOSTÁTICAS ILEGIBLES. AL NO SER POSIBLE CONSTATAR SU AUTENTICIDAD ES INÚTIL E </w:t>
      </w:r>
      <w:r w:rsidRPr="0046551F">
        <w:rPr>
          <w:rFonts w:ascii="Palatino Linotype" w:eastAsia="Times New Roman" w:hAnsi="Palatino Linotype" w:cs="Arial"/>
          <w:b/>
          <w:bCs/>
          <w:i/>
          <w:iCs/>
          <w:color w:val="000000" w:themeColor="text1"/>
          <w:lang w:val="es-ES"/>
        </w:rPr>
        <w:lastRenderedPageBreak/>
        <w:t>INTRASCENDENTE SU PERFECCIONAMIENTO, POR LO QUE LA JUNTA ESTÁ IMPEDIDA PARA ORDENAR SU DESAHOGO</w:t>
      </w:r>
      <w:r w:rsidRPr="0046551F">
        <w:rPr>
          <w:rFonts w:ascii="Palatino Linotype" w:eastAsia="Times New Roman" w:hAnsi="Palatino Linotype" w:cs="Arial"/>
          <w:bCs/>
          <w:i/>
          <w:iCs/>
          <w:color w:val="000000" w:themeColor="text1"/>
          <w:lang w:val="es-ES"/>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rsidR="0019238A" w:rsidRPr="0046551F" w:rsidRDefault="0019238A" w:rsidP="0019238A">
      <w:pPr>
        <w:spacing w:line="360" w:lineRule="auto"/>
        <w:ind w:left="567" w:right="567"/>
        <w:jc w:val="both"/>
        <w:rPr>
          <w:rFonts w:ascii="Palatino Linotype" w:eastAsia="Times New Roman" w:hAnsi="Palatino Linotype" w:cs="Arial"/>
          <w:bCs/>
          <w:i/>
          <w:iCs/>
          <w:color w:val="000000" w:themeColor="text1"/>
          <w:lang w:val="es-ES"/>
        </w:rPr>
      </w:pPr>
    </w:p>
    <w:p w:rsidR="000F63AD" w:rsidRPr="0046551F" w:rsidRDefault="000F63AD" w:rsidP="0019238A">
      <w:pPr>
        <w:numPr>
          <w:ilvl w:val="0"/>
          <w:numId w:val="3"/>
        </w:numPr>
        <w:spacing w:line="360" w:lineRule="auto"/>
        <w:ind w:left="0" w:right="-234" w:firstLine="0"/>
        <w:jc w:val="both"/>
        <w:rPr>
          <w:rFonts w:ascii="Palatino Linotype" w:hAnsi="Palatino Linotype" w:cs="Arial"/>
          <w:color w:val="000000"/>
        </w:rPr>
      </w:pPr>
      <w:r w:rsidRPr="0046551F">
        <w:rPr>
          <w:rFonts w:ascii="Palatino Linotype" w:eastAsia="Times New Roman" w:hAnsi="Palatino Linotype" w:cs="Arial"/>
          <w:bCs/>
          <w:color w:val="000000" w:themeColor="text1"/>
          <w:lang w:val="es-ES"/>
        </w:rPr>
        <w:t xml:space="preserve">Por lo anterior, el </w:t>
      </w:r>
      <w:r w:rsidRPr="0046551F">
        <w:rPr>
          <w:rFonts w:ascii="Palatino Linotype" w:eastAsia="Times New Roman" w:hAnsi="Palatino Linotype" w:cs="Arial"/>
          <w:b/>
          <w:bCs/>
          <w:color w:val="000000" w:themeColor="text1"/>
          <w:lang w:val="es-ES"/>
        </w:rPr>
        <w:t>SUJETO OBLIGADO</w:t>
      </w:r>
      <w:r w:rsidRPr="0046551F">
        <w:rPr>
          <w:rFonts w:ascii="Palatino Linotype" w:eastAsia="Times New Roman" w:hAnsi="Palatino Linotype" w:cs="Arial"/>
          <w:bCs/>
          <w:color w:val="000000" w:themeColor="text1"/>
          <w:lang w:val="es-ES"/>
        </w:rPr>
        <w:t xml:space="preserve"> al momento en que dé respuesta a cualquier </w:t>
      </w:r>
      <w:r w:rsidRPr="0046551F">
        <w:rPr>
          <w:rFonts w:ascii="Palatino Linotype" w:eastAsia="Times New Roman" w:hAnsi="Palatino Linotype" w:cs="Arial"/>
          <w:color w:val="000000" w:themeColor="text1"/>
        </w:rPr>
        <w:t>solicitud</w:t>
      </w:r>
      <w:r w:rsidRPr="0046551F">
        <w:rPr>
          <w:rFonts w:ascii="Palatino Linotype" w:eastAsia="Times New Roman" w:hAnsi="Palatino Linotype" w:cs="Arial"/>
          <w:bCs/>
          <w:color w:val="000000" w:themeColor="text1"/>
          <w:lang w:val="es-ES"/>
        </w:rPr>
        <w:t xml:space="preserve">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w:t>
      </w:r>
      <w:r w:rsidR="00A91799" w:rsidRPr="0046551F">
        <w:rPr>
          <w:rFonts w:ascii="Palatino Linotype" w:eastAsia="Times New Roman" w:hAnsi="Palatino Linotype" w:cs="Arial"/>
          <w:bCs/>
          <w:color w:val="000000" w:themeColor="text1"/>
          <w:lang w:val="es-ES"/>
        </w:rPr>
        <w:t>LA RECURRENTE</w:t>
      </w:r>
      <w:r w:rsidRPr="0046551F">
        <w:rPr>
          <w:rFonts w:ascii="Palatino Linotype" w:eastAsia="Times New Roman" w:hAnsi="Palatino Linotype" w:cs="Arial"/>
          <w:bCs/>
          <w:color w:val="000000" w:themeColor="text1"/>
          <w:lang w:val="es-ES"/>
        </w:rPr>
        <w:t>.</w:t>
      </w:r>
    </w:p>
    <w:p w:rsidR="000F63AD" w:rsidRPr="0046551F" w:rsidRDefault="000F63AD" w:rsidP="0019238A">
      <w:pPr>
        <w:spacing w:line="360" w:lineRule="auto"/>
        <w:ind w:right="-234"/>
        <w:jc w:val="both"/>
        <w:rPr>
          <w:rFonts w:ascii="Palatino Linotype" w:eastAsia="Times New Roman" w:hAnsi="Palatino Linotype" w:cs="Tahoma"/>
          <w:bCs/>
        </w:rPr>
      </w:pPr>
    </w:p>
    <w:p w:rsidR="00A91799" w:rsidRPr="0046551F" w:rsidRDefault="00A91799" w:rsidP="0019238A">
      <w:pPr>
        <w:pStyle w:val="Prrafodelista"/>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rPr>
      </w:pPr>
      <w:r w:rsidRPr="0046551F">
        <w:rPr>
          <w:rFonts w:ascii="Palatino Linotype" w:eastAsia="Palatino Linotype" w:hAnsi="Palatino Linotype" w:cs="Palatino Linotype"/>
          <w:b/>
        </w:rPr>
        <w:t>Vista a la Secretaría Técnica del Pleno</w:t>
      </w: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En el caso en estudio, ha quedado acreditado que el Ayuntamiento de Tepotzotlán, omitió dar respuesta en el plazo señalado en el artículo 163 de la Ley de Transparencia y Acceso a la Información Pública del Estado de México y Municipios. </w:t>
      </w: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lastRenderedPageBreak/>
        <w:t xml:space="preserve">Al respecto, el artículo 36, fracción X, del ordenamiento jurídico en cita, establece que es atribución de este Instituto hacer del conocimiento al Área competente de cada Sujeto Obligado las infracciones a esta Ley. </w:t>
      </w:r>
    </w:p>
    <w:p w:rsidR="00A91799" w:rsidRPr="0046551F" w:rsidRDefault="00A91799" w:rsidP="0019238A">
      <w:pPr>
        <w:spacing w:line="360" w:lineRule="auto"/>
        <w:ind w:right="-93"/>
        <w:rPr>
          <w:rFonts w:ascii="Palatino Linotype" w:hAnsi="Palatino Linotype"/>
        </w:rPr>
      </w:pP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A91799" w:rsidRPr="0046551F" w:rsidRDefault="00A91799" w:rsidP="0019238A">
      <w:pPr>
        <w:spacing w:line="360" w:lineRule="auto"/>
        <w:ind w:right="-93"/>
        <w:rPr>
          <w:rFonts w:ascii="Palatino Linotype" w:hAnsi="Palatino Linotype"/>
        </w:rPr>
      </w:pP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A91799" w:rsidRPr="0046551F" w:rsidRDefault="00A91799" w:rsidP="0019238A">
      <w:pPr>
        <w:spacing w:line="360" w:lineRule="auto"/>
        <w:ind w:right="-93"/>
        <w:rPr>
          <w:rFonts w:ascii="Palatino Linotype" w:hAnsi="Palatino Linotype"/>
        </w:rPr>
      </w:pP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rsidR="00A91799" w:rsidRPr="0046551F" w:rsidRDefault="00A91799" w:rsidP="0019238A">
      <w:pPr>
        <w:spacing w:line="360" w:lineRule="auto"/>
        <w:ind w:right="-93"/>
        <w:rPr>
          <w:rFonts w:ascii="Palatino Linotype" w:hAnsi="Palatino Linotype"/>
        </w:rPr>
      </w:pPr>
    </w:p>
    <w:p w:rsidR="00A91799" w:rsidRPr="0046551F" w:rsidRDefault="00A91799"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46551F">
        <w:rPr>
          <w:rFonts w:ascii="Palatino Linotype" w:eastAsia="Palatino Linotype" w:hAnsi="Palatino Linotype" w:cs="Palatino Linotype"/>
          <w:color w:val="000000"/>
        </w:rPr>
        <w:lastRenderedPageBreak/>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A91799" w:rsidRPr="0046551F" w:rsidRDefault="00A91799" w:rsidP="0019238A">
      <w:pPr>
        <w:spacing w:line="360" w:lineRule="auto"/>
        <w:ind w:right="-234"/>
        <w:jc w:val="both"/>
        <w:rPr>
          <w:rFonts w:ascii="Palatino Linotype" w:eastAsia="Times New Roman" w:hAnsi="Palatino Linotype" w:cs="Tahoma"/>
          <w:bCs/>
        </w:rPr>
      </w:pPr>
    </w:p>
    <w:p w:rsidR="00597B38" w:rsidRPr="0046551F" w:rsidRDefault="00597B38" w:rsidP="0019238A">
      <w:pPr>
        <w:numPr>
          <w:ilvl w:val="0"/>
          <w:numId w:val="3"/>
        </w:numPr>
        <w:spacing w:line="360" w:lineRule="auto"/>
        <w:ind w:left="0" w:right="-234" w:firstLine="0"/>
        <w:jc w:val="both"/>
        <w:rPr>
          <w:rFonts w:ascii="Palatino Linotype" w:eastAsia="Times New Roman" w:hAnsi="Palatino Linotype" w:cs="Tahoma"/>
          <w:bCs/>
        </w:rPr>
      </w:pPr>
      <w:r w:rsidRPr="0046551F">
        <w:rPr>
          <w:rFonts w:ascii="Palatino Linotype" w:eastAsia="Times New Roman" w:hAnsi="Palatino Linotype" w:cs="Tahoma"/>
          <w:bCs/>
        </w:rPr>
        <w:t xml:space="preserve">Por anteriormente expuesto y fundado, el Pleno de este Instituto de Transparencia, Acceso a la </w:t>
      </w:r>
      <w:r w:rsidRPr="0046551F">
        <w:rPr>
          <w:rFonts w:ascii="Palatino Linotype" w:eastAsia="Palatino Linotype" w:hAnsi="Palatino Linotype" w:cs="Palatino Linotype"/>
          <w:color w:val="000000"/>
        </w:rPr>
        <w:t>Información</w:t>
      </w:r>
      <w:r w:rsidRPr="0046551F">
        <w:rPr>
          <w:rFonts w:ascii="Palatino Linotype" w:eastAsia="Times New Roman" w:hAnsi="Palatino Linotype" w:cs="Tahoma"/>
          <w:bCs/>
        </w:rPr>
        <w:t xml:space="preserve"> Pública y Protección de Datos Personales del Estado de México y Municipios</w:t>
      </w:r>
      <w:r w:rsidR="00077F29" w:rsidRPr="0046551F">
        <w:rPr>
          <w:rFonts w:ascii="Palatino Linotype" w:eastAsia="Times New Roman" w:hAnsi="Palatino Linotype" w:cs="Tahoma"/>
          <w:bCs/>
        </w:rPr>
        <w:t>, emite los siguientes</w:t>
      </w:r>
      <w:r w:rsidRPr="0046551F">
        <w:rPr>
          <w:rFonts w:ascii="Palatino Linotype" w:eastAsia="Times New Roman" w:hAnsi="Palatino Linotype" w:cs="Tahoma"/>
          <w:bCs/>
        </w:rPr>
        <w:t>:</w:t>
      </w:r>
    </w:p>
    <w:p w:rsidR="00597B38" w:rsidRPr="0046551F" w:rsidRDefault="00597B38" w:rsidP="0019238A">
      <w:pPr>
        <w:pStyle w:val="Prrafodelista"/>
        <w:spacing w:line="360" w:lineRule="auto"/>
        <w:ind w:right="-234"/>
        <w:rPr>
          <w:rFonts w:ascii="Palatino Linotype" w:eastAsia="Palatino Linotype" w:hAnsi="Palatino Linotype" w:cs="Palatino Linotype"/>
          <w:color w:val="000000"/>
        </w:rPr>
      </w:pPr>
    </w:p>
    <w:p w:rsidR="00F0192B" w:rsidRPr="0046551F" w:rsidRDefault="00F0192B" w:rsidP="0019238A">
      <w:pPr>
        <w:pBdr>
          <w:top w:val="nil"/>
          <w:left w:val="nil"/>
          <w:bottom w:val="nil"/>
          <w:right w:val="nil"/>
          <w:between w:val="nil"/>
        </w:pBdr>
        <w:spacing w:line="360" w:lineRule="auto"/>
        <w:ind w:left="720" w:right="-234"/>
        <w:rPr>
          <w:rFonts w:ascii="Palatino Linotype" w:eastAsia="Palatino Linotype" w:hAnsi="Palatino Linotype" w:cs="Palatino Linotype"/>
          <w:color w:val="000000"/>
        </w:rPr>
      </w:pPr>
    </w:p>
    <w:p w:rsidR="00F0192B" w:rsidRPr="0046551F" w:rsidRDefault="006F14C3" w:rsidP="0019238A">
      <w:pPr>
        <w:spacing w:line="360" w:lineRule="auto"/>
        <w:ind w:right="-234"/>
        <w:jc w:val="center"/>
        <w:rPr>
          <w:rFonts w:ascii="Palatino Linotype" w:eastAsia="Palatino Linotype" w:hAnsi="Palatino Linotype" w:cs="Palatino Linotype"/>
          <w:b/>
        </w:rPr>
      </w:pPr>
      <w:r w:rsidRPr="0046551F">
        <w:rPr>
          <w:rFonts w:ascii="Palatino Linotype" w:eastAsia="Palatino Linotype" w:hAnsi="Palatino Linotype" w:cs="Palatino Linotype"/>
          <w:b/>
        </w:rPr>
        <w:t>R E S O L U T I V O S</w:t>
      </w:r>
    </w:p>
    <w:p w:rsidR="000F63AD" w:rsidRPr="0046551F" w:rsidRDefault="000F63AD" w:rsidP="0019238A">
      <w:pPr>
        <w:spacing w:line="360" w:lineRule="auto"/>
        <w:ind w:right="-234"/>
        <w:jc w:val="center"/>
        <w:rPr>
          <w:rFonts w:ascii="Palatino Linotype" w:eastAsia="Palatino Linotype" w:hAnsi="Palatino Linotype" w:cs="Palatino Linotype"/>
          <w:b/>
        </w:rPr>
      </w:pPr>
    </w:p>
    <w:p w:rsidR="000F63AD" w:rsidRPr="0046551F" w:rsidRDefault="000F63AD" w:rsidP="0019238A">
      <w:pPr>
        <w:spacing w:line="360" w:lineRule="auto"/>
        <w:jc w:val="both"/>
        <w:rPr>
          <w:rFonts w:ascii="Palatino Linotype" w:hAnsi="Palatino Linotype" w:cs="Arial"/>
          <w:bCs/>
        </w:rPr>
      </w:pPr>
      <w:bookmarkStart w:id="13" w:name="_heading=h.30j0zll" w:colFirst="0" w:colLast="0"/>
      <w:bookmarkEnd w:id="13"/>
      <w:r w:rsidRPr="0046551F">
        <w:rPr>
          <w:rFonts w:ascii="Palatino Linotype" w:hAnsi="Palatino Linotype" w:cs="Arial"/>
          <w:b/>
        </w:rPr>
        <w:t xml:space="preserve">PRIMERO. </w:t>
      </w:r>
      <w:r w:rsidRPr="0046551F">
        <w:rPr>
          <w:rFonts w:ascii="Palatino Linotype" w:hAnsi="Palatino Linotype" w:cs="Arial"/>
        </w:rPr>
        <w:t>Resultan fundadas las</w:t>
      </w:r>
      <w:r w:rsidRPr="0046551F">
        <w:rPr>
          <w:rFonts w:ascii="Palatino Linotype" w:hAnsi="Palatino Linotype" w:cs="Arial"/>
          <w:b/>
        </w:rPr>
        <w:t xml:space="preserve"> </w:t>
      </w:r>
      <w:r w:rsidRPr="0046551F">
        <w:rPr>
          <w:rFonts w:ascii="Palatino Linotype" w:hAnsi="Palatino Linotype" w:cs="Arial"/>
          <w:lang w:val="es-ES"/>
        </w:rPr>
        <w:t>razones y motivos de inconformidad hechos valer en el recurso de revisión</w:t>
      </w:r>
      <w:r w:rsidRPr="0046551F">
        <w:rPr>
          <w:rFonts w:ascii="Palatino Linotype" w:hAnsi="Palatino Linotype" w:cs="Arial"/>
          <w:b/>
          <w:bCs/>
        </w:rPr>
        <w:t xml:space="preserve"> </w:t>
      </w:r>
      <w:r w:rsidR="00A91799" w:rsidRPr="0046551F">
        <w:rPr>
          <w:rFonts w:ascii="Palatino Linotype" w:eastAsiaTheme="minorHAnsi" w:hAnsi="Palatino Linotype" w:cs="AppleSystemUIFontBold"/>
          <w:b/>
          <w:bCs/>
          <w:lang w:eastAsia="en-US"/>
        </w:rPr>
        <w:t>07093</w:t>
      </w:r>
      <w:r w:rsidRPr="0046551F">
        <w:rPr>
          <w:rFonts w:ascii="Palatino Linotype" w:eastAsiaTheme="minorHAnsi" w:hAnsi="Palatino Linotype" w:cs="AppleSystemUIFontBold"/>
          <w:b/>
          <w:bCs/>
          <w:lang w:eastAsia="en-US"/>
        </w:rPr>
        <w:t>/INFOEM/IP/RR/2024</w:t>
      </w:r>
      <w:r w:rsidRPr="0046551F">
        <w:rPr>
          <w:rFonts w:ascii="Palatino Linotype" w:eastAsiaTheme="minorHAnsi" w:hAnsi="Palatino Linotype" w:cs="AppleSystemUIFontBold"/>
          <w:bCs/>
          <w:lang w:eastAsia="en-US"/>
        </w:rPr>
        <w:t xml:space="preserve"> en </w:t>
      </w:r>
      <w:r w:rsidRPr="0046551F">
        <w:rPr>
          <w:rFonts w:ascii="Palatino Linotype" w:hAnsi="Palatino Linotype" w:cs="Arial"/>
          <w:bCs/>
        </w:rPr>
        <w:t xml:space="preserve">términos del </w:t>
      </w:r>
      <w:r w:rsidRPr="0046551F">
        <w:rPr>
          <w:rFonts w:ascii="Palatino Linotype" w:hAnsi="Palatino Linotype" w:cs="Arial"/>
          <w:b/>
          <w:bCs/>
        </w:rPr>
        <w:t>Considerando</w:t>
      </w:r>
      <w:r w:rsidR="00A91799" w:rsidRPr="0046551F">
        <w:rPr>
          <w:rFonts w:ascii="Palatino Linotype" w:hAnsi="Palatino Linotype" w:cs="Arial"/>
          <w:b/>
          <w:bCs/>
        </w:rPr>
        <w:t xml:space="preserve"> Cuarto </w:t>
      </w:r>
      <w:r w:rsidR="00A91799" w:rsidRPr="0046551F">
        <w:rPr>
          <w:rFonts w:ascii="Palatino Linotype" w:hAnsi="Palatino Linotype" w:cs="Arial"/>
          <w:bCs/>
        </w:rPr>
        <w:t>de la presente R</w:t>
      </w:r>
      <w:r w:rsidRPr="0046551F">
        <w:rPr>
          <w:rFonts w:ascii="Palatino Linotype" w:hAnsi="Palatino Linotype" w:cs="Arial"/>
          <w:bCs/>
        </w:rPr>
        <w:t>esolución.</w:t>
      </w:r>
    </w:p>
    <w:p w:rsidR="000F63AD" w:rsidRPr="0046551F" w:rsidRDefault="000F63AD" w:rsidP="0019238A">
      <w:pPr>
        <w:spacing w:line="360" w:lineRule="auto"/>
        <w:jc w:val="both"/>
        <w:rPr>
          <w:rFonts w:ascii="Palatino Linotype" w:hAnsi="Palatino Linotype" w:cs="Arial"/>
          <w:bCs/>
        </w:rPr>
      </w:pPr>
    </w:p>
    <w:p w:rsidR="000F63AD" w:rsidRPr="0046551F" w:rsidRDefault="000F63AD" w:rsidP="0019238A">
      <w:pPr>
        <w:spacing w:line="360" w:lineRule="auto"/>
        <w:jc w:val="both"/>
        <w:rPr>
          <w:rFonts w:ascii="Palatino Linotype" w:eastAsia="Calibri" w:hAnsi="Palatino Linotype" w:cs="Arial"/>
          <w:lang w:val="es-ES"/>
        </w:rPr>
      </w:pPr>
      <w:r w:rsidRPr="0046551F">
        <w:rPr>
          <w:rFonts w:ascii="Palatino Linotype" w:eastAsia="Calibri" w:hAnsi="Palatino Linotype" w:cs="Arial"/>
          <w:b/>
          <w:bCs/>
          <w:lang w:val="es-ES"/>
        </w:rPr>
        <w:t xml:space="preserve">SEGUNDO. </w:t>
      </w:r>
      <w:r w:rsidRPr="0046551F">
        <w:rPr>
          <w:rFonts w:ascii="Palatino Linotype" w:eastAsia="Calibri" w:hAnsi="Palatino Linotype" w:cs="Arial"/>
          <w:lang w:val="es-ES"/>
        </w:rPr>
        <w:t xml:space="preserve">Se </w:t>
      </w:r>
      <w:r w:rsidRPr="0046551F">
        <w:rPr>
          <w:rFonts w:ascii="Palatino Linotype" w:eastAsia="Calibri" w:hAnsi="Palatino Linotype" w:cs="Arial"/>
          <w:b/>
          <w:lang w:val="es-ES"/>
        </w:rPr>
        <w:t xml:space="preserve">ORDENA </w:t>
      </w:r>
      <w:r w:rsidRPr="0046551F">
        <w:rPr>
          <w:rFonts w:ascii="Palatino Linotype" w:eastAsia="Calibri" w:hAnsi="Palatino Linotype" w:cs="Arial"/>
          <w:lang w:val="es-ES"/>
        </w:rPr>
        <w:t xml:space="preserve">al </w:t>
      </w:r>
      <w:r w:rsidRPr="0046551F">
        <w:rPr>
          <w:rFonts w:ascii="Palatino Linotype" w:eastAsia="MS Mincho" w:hAnsi="Palatino Linotype"/>
          <w:b/>
        </w:rPr>
        <w:t xml:space="preserve">Ayuntamiento de </w:t>
      </w:r>
      <w:r w:rsidR="00A91799" w:rsidRPr="0046551F">
        <w:rPr>
          <w:rFonts w:ascii="Palatino Linotype" w:eastAsia="MS Mincho" w:hAnsi="Palatino Linotype"/>
          <w:b/>
        </w:rPr>
        <w:t>Tepotzotlán</w:t>
      </w:r>
      <w:r w:rsidRPr="0046551F">
        <w:rPr>
          <w:rFonts w:ascii="Palatino Linotype" w:eastAsia="Calibri" w:hAnsi="Palatino Linotype" w:cs="Arial"/>
          <w:lang w:val="es-ES"/>
        </w:rPr>
        <w:t xml:space="preserve"> dar atención a la solicitud de información</w:t>
      </w:r>
      <w:r w:rsidRPr="0046551F">
        <w:rPr>
          <w:rFonts w:ascii="Palatino Linotype" w:hAnsi="Palatino Linotype"/>
        </w:rPr>
        <w:t xml:space="preserve"> </w:t>
      </w:r>
      <w:r w:rsidRPr="0046551F">
        <w:rPr>
          <w:rFonts w:ascii="Palatino Linotype" w:hAnsi="Palatino Linotype"/>
          <w:b/>
        </w:rPr>
        <w:t xml:space="preserve"> </w:t>
      </w:r>
      <w:r w:rsidR="00A91799" w:rsidRPr="0046551F">
        <w:rPr>
          <w:rFonts w:ascii="Palatino Linotype" w:hAnsi="Palatino Linotype"/>
          <w:b/>
        </w:rPr>
        <w:t>00247/TEPOTZOT/IP/2024</w:t>
      </w:r>
      <w:r w:rsidRPr="0046551F">
        <w:rPr>
          <w:rFonts w:ascii="Palatino Linotype" w:hAnsi="Palatino Linotype"/>
          <w:b/>
        </w:rPr>
        <w:t xml:space="preserve"> </w:t>
      </w:r>
      <w:r w:rsidRPr="0046551F">
        <w:rPr>
          <w:rFonts w:ascii="Palatino Linotype" w:eastAsia="Calibri" w:hAnsi="Palatino Linotype" w:cs="Arial"/>
          <w:lang w:val="es-ES"/>
        </w:rPr>
        <w:t xml:space="preserve">y, entregar vía </w:t>
      </w:r>
      <w:r w:rsidRPr="0046551F">
        <w:rPr>
          <w:rFonts w:ascii="Palatino Linotype" w:eastAsia="Calibri" w:hAnsi="Palatino Linotype" w:cs="Arial"/>
        </w:rPr>
        <w:t xml:space="preserve">Sistema de Acceso a Información Mexiquense </w:t>
      </w:r>
      <w:r w:rsidRPr="0046551F">
        <w:rPr>
          <w:rFonts w:ascii="Palatino Linotype" w:eastAsia="Calibri" w:hAnsi="Palatino Linotype" w:cs="Arial"/>
          <w:b/>
        </w:rPr>
        <w:t>(</w:t>
      </w:r>
      <w:r w:rsidRPr="0046551F">
        <w:rPr>
          <w:rFonts w:ascii="Palatino Linotype" w:eastAsia="Calibri" w:hAnsi="Palatino Linotype" w:cs="Arial"/>
          <w:b/>
          <w:lang w:val="es-ES"/>
        </w:rPr>
        <w:t>SAIMEX)</w:t>
      </w:r>
      <w:r w:rsidR="00A91799" w:rsidRPr="0046551F">
        <w:rPr>
          <w:rFonts w:ascii="Palatino Linotype" w:eastAsia="Calibri" w:hAnsi="Palatino Linotype" w:cs="Arial"/>
          <w:lang w:val="es-ES"/>
        </w:rPr>
        <w:t>, la siguiente información de manera legible:</w:t>
      </w:r>
    </w:p>
    <w:p w:rsidR="00A91799" w:rsidRPr="0046551F" w:rsidRDefault="00A91799" w:rsidP="0019238A">
      <w:pPr>
        <w:spacing w:line="360" w:lineRule="auto"/>
        <w:jc w:val="both"/>
        <w:rPr>
          <w:rFonts w:ascii="Palatino Linotype" w:eastAsia="Calibri" w:hAnsi="Palatino Linotype" w:cs="Arial"/>
          <w:b/>
          <w:lang w:val="es-ES"/>
        </w:rPr>
      </w:pPr>
    </w:p>
    <w:p w:rsidR="00A91799" w:rsidRPr="0046551F" w:rsidRDefault="00A91799" w:rsidP="0019238A">
      <w:pPr>
        <w:pStyle w:val="Prrafodelista"/>
        <w:numPr>
          <w:ilvl w:val="0"/>
          <w:numId w:val="15"/>
        </w:numPr>
        <w:spacing w:line="360" w:lineRule="auto"/>
        <w:jc w:val="both"/>
        <w:rPr>
          <w:rFonts w:ascii="Palatino Linotype" w:eastAsia="Calibri" w:hAnsi="Palatino Linotype" w:cs="Arial"/>
          <w:b/>
          <w:lang w:val="es-ES"/>
        </w:rPr>
      </w:pPr>
      <w:r w:rsidRPr="0046551F">
        <w:rPr>
          <w:rFonts w:ascii="Palatino Linotype" w:eastAsia="Calibri" w:hAnsi="Palatino Linotype" w:cs="Arial"/>
          <w:b/>
          <w:lang w:val="es-ES"/>
        </w:rPr>
        <w:t>Programa Anual de Adquisiciones del ejercicio fiscal 2024.</w:t>
      </w:r>
    </w:p>
    <w:p w:rsidR="000F63AD" w:rsidRPr="0046551F" w:rsidRDefault="000F63AD" w:rsidP="0019238A">
      <w:pPr>
        <w:spacing w:line="360" w:lineRule="auto"/>
        <w:jc w:val="both"/>
        <w:rPr>
          <w:rFonts w:ascii="Palatino Linotype" w:eastAsia="Calibri" w:hAnsi="Palatino Linotype" w:cs="Arial"/>
          <w:lang w:val="es-ES"/>
        </w:rPr>
      </w:pPr>
    </w:p>
    <w:p w:rsidR="000F63AD" w:rsidRPr="0046551F" w:rsidRDefault="000F63AD" w:rsidP="0019238A">
      <w:pPr>
        <w:tabs>
          <w:tab w:val="left" w:pos="8080"/>
        </w:tabs>
        <w:spacing w:line="360" w:lineRule="auto"/>
        <w:ind w:right="49"/>
        <w:contextualSpacing/>
        <w:jc w:val="both"/>
        <w:rPr>
          <w:rFonts w:ascii="Palatino Linotype" w:eastAsia="Palatino Linotype" w:hAnsi="Palatino Linotype" w:cs="Palatino Linotype"/>
          <w:b/>
        </w:rPr>
      </w:pPr>
      <w:r w:rsidRPr="0046551F">
        <w:rPr>
          <w:rFonts w:ascii="Palatino Linotype" w:eastAsia="Palatino Linotype" w:hAnsi="Palatino Linotype" w:cs="Palatino Linotype"/>
          <w:b/>
        </w:rPr>
        <w:lastRenderedPageBreak/>
        <w:t xml:space="preserve">TERCERO. Notifíquese </w:t>
      </w:r>
      <w:r w:rsidRPr="0046551F">
        <w:rPr>
          <w:rFonts w:ascii="Palatino Linotype" w:eastAsia="Palatino Linotype" w:hAnsi="Palatino Linotype" w:cs="Palatino Linotype"/>
        </w:rPr>
        <w:t>la presente resolución al Titular de la Unidad de Transparencia del Sujeto Obligado</w:t>
      </w:r>
      <w:r w:rsidR="00A91799" w:rsidRPr="0046551F">
        <w:rPr>
          <w:rFonts w:ascii="Palatino Linotype" w:eastAsia="Palatino Linotype" w:hAnsi="Palatino Linotype" w:cs="Palatino Linotype"/>
        </w:rPr>
        <w:t xml:space="preserve"> vía </w:t>
      </w:r>
      <w:r w:rsidR="00A91799" w:rsidRPr="0046551F">
        <w:rPr>
          <w:rFonts w:ascii="Palatino Linotype" w:eastAsia="Palatino Linotype" w:hAnsi="Palatino Linotype" w:cs="Palatino Linotype"/>
          <w:b/>
        </w:rPr>
        <w:t>SAIMEX</w:t>
      </w:r>
      <w:r w:rsidRPr="0046551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F63AD" w:rsidRPr="0046551F" w:rsidRDefault="000F63AD" w:rsidP="0019238A">
      <w:pPr>
        <w:shd w:val="clear" w:color="auto" w:fill="FFFFFF"/>
        <w:spacing w:line="360" w:lineRule="auto"/>
        <w:jc w:val="both"/>
        <w:rPr>
          <w:rFonts w:ascii="Palatino Linotype" w:hAnsi="Palatino Linotype" w:cs="Arial"/>
          <w:b/>
        </w:rPr>
      </w:pPr>
    </w:p>
    <w:p w:rsidR="000F63AD" w:rsidRPr="0046551F" w:rsidRDefault="000F63AD" w:rsidP="0019238A">
      <w:pPr>
        <w:shd w:val="clear" w:color="auto" w:fill="FFFFFF"/>
        <w:spacing w:line="360" w:lineRule="auto"/>
        <w:jc w:val="both"/>
        <w:rPr>
          <w:rFonts w:ascii="Palatino Linotype" w:eastAsia="MS Mincho" w:hAnsi="Palatino Linotype"/>
        </w:rPr>
      </w:pPr>
      <w:r w:rsidRPr="0046551F">
        <w:rPr>
          <w:rFonts w:ascii="Palatino Linotype" w:hAnsi="Palatino Linotype" w:cs="Arial"/>
          <w:b/>
        </w:rPr>
        <w:t xml:space="preserve">CUARTO. </w:t>
      </w:r>
      <w:r w:rsidRPr="0046551F">
        <w:rPr>
          <w:rFonts w:ascii="Palatino Linotype" w:hAnsi="Palatino Linotype"/>
          <w:bCs/>
          <w:lang w:val="es-ES"/>
        </w:rPr>
        <w:t>Notifíquese a</w:t>
      </w:r>
      <w:r w:rsidRPr="0046551F">
        <w:rPr>
          <w:rFonts w:ascii="Palatino Linotype" w:hAnsi="Palatino Linotype"/>
          <w:b/>
          <w:bCs/>
          <w:lang w:val="es-ES"/>
        </w:rPr>
        <w:t xml:space="preserve"> </w:t>
      </w:r>
      <w:r w:rsidR="00A91799" w:rsidRPr="0046551F">
        <w:rPr>
          <w:rFonts w:ascii="Palatino Linotype" w:hAnsi="Palatino Linotype"/>
          <w:b/>
          <w:bCs/>
          <w:lang w:val="es-ES"/>
        </w:rPr>
        <w:t>LA RECURRENTE</w:t>
      </w:r>
      <w:r w:rsidRPr="0046551F">
        <w:rPr>
          <w:rFonts w:ascii="Palatino Linotype" w:hAnsi="Palatino Linotype"/>
          <w:b/>
        </w:rPr>
        <w:t xml:space="preserve"> </w:t>
      </w:r>
      <w:r w:rsidRPr="0046551F">
        <w:rPr>
          <w:rFonts w:ascii="Palatino Linotype" w:hAnsi="Palatino Linotype"/>
        </w:rPr>
        <w:t xml:space="preserve">la presente </w:t>
      </w:r>
      <w:r w:rsidR="0019238A" w:rsidRPr="0046551F">
        <w:rPr>
          <w:rFonts w:ascii="Palatino Linotype" w:hAnsi="Palatino Linotype"/>
        </w:rPr>
        <w:t>R</w:t>
      </w:r>
      <w:r w:rsidRPr="0046551F">
        <w:rPr>
          <w:rFonts w:ascii="Palatino Linotype" w:hAnsi="Palatino Linotype"/>
        </w:rPr>
        <w:t xml:space="preserve">esolución, </w:t>
      </w:r>
      <w:r w:rsidRPr="0046551F">
        <w:rPr>
          <w:rFonts w:ascii="Palatino Linotype" w:eastAsia="Palatino Linotype" w:hAnsi="Palatino Linotype" w:cs="Palatino Linotype"/>
        </w:rPr>
        <w:t>vía</w:t>
      </w:r>
      <w:r w:rsidRPr="0046551F">
        <w:rPr>
          <w:rFonts w:ascii="Palatino Linotype" w:eastAsia="Palatino Linotype" w:hAnsi="Palatino Linotype" w:cs="Palatino Linotype"/>
          <w:b/>
        </w:rPr>
        <w:t xml:space="preserve"> SAIMEX</w:t>
      </w:r>
      <w:r w:rsidRPr="0046551F">
        <w:rPr>
          <w:rFonts w:ascii="Palatino Linotype" w:eastAsia="MS Mincho" w:hAnsi="Palatino Linotype"/>
        </w:rPr>
        <w:t>.</w:t>
      </w:r>
    </w:p>
    <w:p w:rsidR="00A91799" w:rsidRPr="0046551F" w:rsidRDefault="00A91799" w:rsidP="0019238A">
      <w:pPr>
        <w:shd w:val="clear" w:color="auto" w:fill="FFFFFF"/>
        <w:spacing w:line="360" w:lineRule="auto"/>
        <w:jc w:val="both"/>
        <w:rPr>
          <w:rFonts w:ascii="Palatino Linotype" w:eastAsia="MS Mincho" w:hAnsi="Palatino Linotype"/>
        </w:rPr>
      </w:pPr>
    </w:p>
    <w:p w:rsidR="000F63AD" w:rsidRPr="0046551F" w:rsidRDefault="000F63AD" w:rsidP="0019238A">
      <w:pPr>
        <w:shd w:val="clear" w:color="auto" w:fill="FFFFFF"/>
        <w:spacing w:line="360" w:lineRule="auto"/>
        <w:jc w:val="both"/>
        <w:rPr>
          <w:rFonts w:ascii="Palatino Linotype" w:eastAsia="MS Mincho" w:hAnsi="Palatino Linotype"/>
          <w:lang w:val="es-ES"/>
        </w:rPr>
      </w:pPr>
      <w:r w:rsidRPr="0046551F">
        <w:rPr>
          <w:rFonts w:ascii="Palatino Linotype" w:eastAsia="MS Mincho" w:hAnsi="Palatino Linotype"/>
          <w:b/>
        </w:rPr>
        <w:t>QUINTO.</w:t>
      </w:r>
      <w:r w:rsidRPr="0046551F">
        <w:rPr>
          <w:rFonts w:ascii="Palatino Linotype" w:eastAsia="MS Mincho" w:hAnsi="Palatino Linotype"/>
        </w:rPr>
        <w:t xml:space="preserve"> </w:t>
      </w:r>
      <w:r w:rsidRPr="0046551F">
        <w:rPr>
          <w:rFonts w:ascii="Palatino Linotype" w:eastAsia="MS Mincho" w:hAnsi="Palatino Linotype"/>
          <w:lang w:val="es-ES"/>
        </w:rPr>
        <w:t xml:space="preserve">Se hace del conocimiento de </w:t>
      </w:r>
      <w:r w:rsidR="00A91799" w:rsidRPr="0046551F">
        <w:rPr>
          <w:rFonts w:ascii="Palatino Linotype" w:eastAsia="MS Mincho" w:hAnsi="Palatino Linotype"/>
          <w:b/>
          <w:lang w:val="es-ES"/>
        </w:rPr>
        <w:t>LA RECURRENTE</w:t>
      </w:r>
      <w:r w:rsidRPr="0046551F">
        <w:rPr>
          <w:rFonts w:ascii="Palatino Linotype" w:hAnsi="Palatino Linotype"/>
          <w:b/>
        </w:rPr>
        <w:t xml:space="preserve"> </w:t>
      </w:r>
      <w:r w:rsidRPr="0046551F">
        <w:rPr>
          <w:rFonts w:ascii="Palatino Linotype" w:hAnsi="Palatino Linotype"/>
        </w:rPr>
        <w:t>q</w:t>
      </w:r>
      <w:proofErr w:type="spellStart"/>
      <w:r w:rsidRPr="0046551F">
        <w:rPr>
          <w:rFonts w:ascii="Palatino Linotype" w:eastAsia="MS Mincho" w:hAnsi="Palatino Linotype"/>
          <w:lang w:val="es-ES"/>
        </w:rPr>
        <w:t>ue</w:t>
      </w:r>
      <w:proofErr w:type="spellEnd"/>
      <w:r w:rsidRPr="0046551F">
        <w:rPr>
          <w:rFonts w:ascii="Palatino Linotype" w:eastAsia="MS Mincho" w:hAnsi="Palatino Linotype"/>
          <w:lang w:val="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46551F">
        <w:rPr>
          <w:rFonts w:ascii="Palatino Linotype" w:eastAsia="MS Mincho" w:hAnsi="Palatino Linotype"/>
          <w:bCs/>
          <w:lang w:val="es-ES"/>
        </w:rPr>
        <w:t>vía juicio de amparo</w:t>
      </w:r>
      <w:r w:rsidRPr="0046551F">
        <w:rPr>
          <w:rFonts w:ascii="Palatino Linotype" w:eastAsia="MS Mincho" w:hAnsi="Palatino Linotype"/>
          <w:lang w:val="es-ES"/>
        </w:rPr>
        <w:t> en los términos de las leyes aplicables.</w:t>
      </w:r>
    </w:p>
    <w:p w:rsidR="000F63AD" w:rsidRPr="0046551F" w:rsidRDefault="000F63AD" w:rsidP="0019238A">
      <w:pPr>
        <w:shd w:val="clear" w:color="auto" w:fill="FFFFFF"/>
        <w:spacing w:line="360" w:lineRule="auto"/>
        <w:jc w:val="both"/>
        <w:rPr>
          <w:rFonts w:ascii="Palatino Linotype" w:eastAsia="MS Mincho" w:hAnsi="Palatino Linotype"/>
          <w:lang w:val="es-ES"/>
        </w:rPr>
      </w:pPr>
    </w:p>
    <w:p w:rsidR="000F63AD" w:rsidRPr="0046551F" w:rsidRDefault="000F63AD" w:rsidP="0019238A">
      <w:pPr>
        <w:spacing w:line="360" w:lineRule="auto"/>
        <w:jc w:val="both"/>
        <w:rPr>
          <w:rFonts w:ascii="Palatino Linotype" w:eastAsia="MS Mincho" w:hAnsi="Palatino Linotype"/>
          <w:lang w:val="es-ES"/>
        </w:rPr>
      </w:pPr>
      <w:r w:rsidRPr="0046551F">
        <w:rPr>
          <w:rFonts w:ascii="Palatino Linotype" w:eastAsia="MS Mincho" w:hAnsi="Palatino Linotype"/>
          <w:b/>
        </w:rPr>
        <w:t xml:space="preserve">SEXTO. </w:t>
      </w:r>
      <w:r w:rsidRPr="0046551F">
        <w:rPr>
          <w:rFonts w:ascii="Palatino Linotype" w:eastAsia="MS Mincho" w:hAnsi="Palatino Linotype"/>
          <w:lang w:val="es-ES"/>
        </w:rPr>
        <w:t xml:space="preserve">Hágase del conocimiento de </w:t>
      </w:r>
      <w:r w:rsidR="00A91799" w:rsidRPr="0046551F">
        <w:rPr>
          <w:rFonts w:ascii="Palatino Linotype" w:eastAsia="MS Mincho" w:hAnsi="Palatino Linotype"/>
          <w:b/>
          <w:lang w:val="es-ES"/>
        </w:rPr>
        <w:t>LA RECURRENTE</w:t>
      </w:r>
      <w:r w:rsidRPr="0046551F">
        <w:rPr>
          <w:rFonts w:ascii="Palatino Linotype" w:eastAsia="MS Mincho" w:hAnsi="Palatino Linotype"/>
          <w:lang w:val="es-ES"/>
        </w:rPr>
        <w:t xml:space="preserve"> que la respuesta que dé el</w:t>
      </w:r>
      <w:r w:rsidRPr="0046551F">
        <w:rPr>
          <w:rFonts w:ascii="Palatino Linotype" w:eastAsia="MS Mincho" w:hAnsi="Palatino Linotype"/>
          <w:b/>
          <w:lang w:val="es-ES"/>
        </w:rPr>
        <w:t xml:space="preserve"> SUJETO OBLIGADO</w:t>
      </w:r>
      <w:r w:rsidRPr="0046551F">
        <w:rPr>
          <w:rFonts w:ascii="Palatino Linotype" w:eastAsia="MS Mincho" w:hAnsi="Palatino Linotype"/>
          <w:lang w:val="es-ES"/>
        </w:rPr>
        <w:t xml:space="preserve"> derivada de la presente resolución es susceptible de ser impugnada nuevamente, mediante recurso de revisión, ante el Instituto, en términos </w:t>
      </w:r>
      <w:r w:rsidRPr="0046551F">
        <w:rPr>
          <w:rFonts w:ascii="Palatino Linotype" w:eastAsia="MS Mincho" w:hAnsi="Palatino Linotype"/>
          <w:lang w:val="es-ES"/>
        </w:rPr>
        <w:lastRenderedPageBreak/>
        <w:t>del artículo 179, último párrafo de la Ley de Transparencia y Acceso a la Información Pública del Estado de México y Municipios.</w:t>
      </w:r>
    </w:p>
    <w:p w:rsidR="000F63AD" w:rsidRPr="0046551F" w:rsidRDefault="000F63AD" w:rsidP="0019238A">
      <w:pPr>
        <w:spacing w:line="360" w:lineRule="auto"/>
        <w:jc w:val="both"/>
        <w:rPr>
          <w:rFonts w:ascii="Palatino Linotype" w:eastAsia="MS Mincho" w:hAnsi="Palatino Linotype"/>
          <w:b/>
        </w:rPr>
      </w:pPr>
    </w:p>
    <w:p w:rsidR="00A91799" w:rsidRPr="0046551F" w:rsidRDefault="00A91799" w:rsidP="0019238A">
      <w:pPr>
        <w:spacing w:line="360" w:lineRule="auto"/>
        <w:jc w:val="both"/>
        <w:rPr>
          <w:rFonts w:ascii="Palatino Linotype" w:eastAsia="Palatino Linotype" w:hAnsi="Palatino Linotype" w:cs="Palatino Linotype"/>
        </w:rPr>
      </w:pPr>
      <w:r w:rsidRPr="0046551F">
        <w:rPr>
          <w:rFonts w:ascii="Palatino Linotype" w:eastAsia="Palatino Linotype" w:hAnsi="Palatino Linotype" w:cs="Palatino Linotype"/>
          <w:b/>
        </w:rPr>
        <w:t>SEXTO</w:t>
      </w:r>
      <w:r w:rsidRPr="0046551F">
        <w:rPr>
          <w:rFonts w:ascii="Palatino Linotype" w:eastAsia="Palatino Linotype" w:hAnsi="Palatino Linotype" w:cs="Palatino Linotype"/>
        </w:rPr>
        <w:t xml:space="preserve">. </w:t>
      </w:r>
      <w:r w:rsidRPr="0046551F">
        <w:rPr>
          <w:rFonts w:ascii="Palatino Linotype" w:eastAsia="Palatino Linotype" w:hAnsi="Palatino Linotype" w:cs="Palatino Linotype"/>
          <w:b/>
        </w:rPr>
        <w:t>Gírese</w:t>
      </w:r>
      <w:r w:rsidRPr="0046551F">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rsidR="0019238A" w:rsidRPr="0046551F" w:rsidRDefault="0019238A" w:rsidP="0019238A">
      <w:pPr>
        <w:spacing w:line="360" w:lineRule="auto"/>
        <w:jc w:val="both"/>
        <w:rPr>
          <w:rFonts w:ascii="Palatino Linotype" w:eastAsia="Palatino Linotype" w:hAnsi="Palatino Linotype" w:cs="Palatino Linotype"/>
        </w:rPr>
      </w:pPr>
    </w:p>
    <w:p w:rsidR="001F51A8" w:rsidRPr="003C7186" w:rsidRDefault="001F51A8" w:rsidP="001F51A8">
      <w:pPr>
        <w:spacing w:line="360" w:lineRule="auto"/>
        <w:ind w:left="-142" w:right="-234" w:firstLine="1"/>
        <w:jc w:val="both"/>
        <w:rPr>
          <w:rFonts w:ascii="Palatino Linotype" w:hAnsi="Palatino Linotype"/>
        </w:rPr>
      </w:pPr>
      <w:r w:rsidRPr="0046551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4" w:name="_GoBack"/>
      <w:bookmarkEnd w:id="14"/>
      <w:r w:rsidRPr="003C7186">
        <w:rPr>
          <w:rFonts w:ascii="Palatino Linotype" w:hAnsi="Palatino Linotype"/>
        </w:rPr>
        <w:t xml:space="preserve"> </w:t>
      </w: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firstLine="1"/>
        <w:jc w:val="both"/>
        <w:rPr>
          <w:rFonts w:ascii="Palatino Linotype" w:eastAsia="Palatino Linotype" w:hAnsi="Palatino Linotype" w:cs="Palatino Linotype"/>
        </w:rPr>
      </w:pPr>
    </w:p>
    <w:p w:rsidR="00F0192B" w:rsidRPr="0019238A" w:rsidRDefault="00F0192B" w:rsidP="0019238A">
      <w:pPr>
        <w:spacing w:line="360" w:lineRule="auto"/>
        <w:ind w:right="-234"/>
        <w:jc w:val="both"/>
        <w:rPr>
          <w:rFonts w:ascii="Palatino Linotype" w:eastAsia="Palatino Linotype" w:hAnsi="Palatino Linotype" w:cs="Palatino Linotype"/>
        </w:rPr>
      </w:pPr>
    </w:p>
    <w:p w:rsidR="00F0192B" w:rsidRPr="0019238A" w:rsidRDefault="00F0192B" w:rsidP="0019238A">
      <w:pPr>
        <w:spacing w:line="360" w:lineRule="auto"/>
        <w:ind w:right="-234"/>
        <w:jc w:val="both"/>
        <w:rPr>
          <w:rFonts w:ascii="Palatino Linotype" w:eastAsia="Palatino Linotype" w:hAnsi="Palatino Linotype" w:cs="Palatino Linotype"/>
        </w:rPr>
      </w:pPr>
    </w:p>
    <w:p w:rsidR="00F0192B" w:rsidRPr="0019238A" w:rsidRDefault="00F0192B" w:rsidP="0019238A">
      <w:pPr>
        <w:spacing w:line="360" w:lineRule="auto"/>
        <w:ind w:right="-234"/>
        <w:jc w:val="both"/>
        <w:rPr>
          <w:rFonts w:ascii="Palatino Linotype" w:eastAsia="Palatino Linotype" w:hAnsi="Palatino Linotype" w:cs="Palatino Linotype"/>
        </w:rPr>
      </w:pPr>
    </w:p>
    <w:p w:rsidR="00F0192B" w:rsidRPr="0019238A" w:rsidRDefault="00F0192B" w:rsidP="0019238A">
      <w:pPr>
        <w:tabs>
          <w:tab w:val="left" w:pos="3374"/>
        </w:tabs>
        <w:spacing w:line="360" w:lineRule="auto"/>
        <w:ind w:right="-234"/>
        <w:rPr>
          <w:rFonts w:ascii="Palatino Linotype" w:eastAsia="Palatino Linotype" w:hAnsi="Palatino Linotype" w:cs="Palatino Linotype"/>
        </w:rPr>
      </w:pPr>
    </w:p>
    <w:p w:rsidR="00F0192B" w:rsidRPr="0019238A" w:rsidRDefault="00F0192B" w:rsidP="0019238A">
      <w:pPr>
        <w:tabs>
          <w:tab w:val="left" w:pos="3374"/>
        </w:tabs>
        <w:spacing w:line="360" w:lineRule="auto"/>
        <w:ind w:right="-234"/>
        <w:rPr>
          <w:rFonts w:ascii="Palatino Linotype" w:eastAsia="Palatino Linotype" w:hAnsi="Palatino Linotype" w:cs="Palatino Linotype"/>
        </w:rPr>
      </w:pPr>
    </w:p>
    <w:p w:rsidR="006E4900" w:rsidRPr="0019238A" w:rsidRDefault="006E4900" w:rsidP="0019238A">
      <w:pPr>
        <w:tabs>
          <w:tab w:val="left" w:pos="3374"/>
        </w:tabs>
        <w:spacing w:line="360" w:lineRule="auto"/>
        <w:ind w:right="-234"/>
        <w:rPr>
          <w:rFonts w:ascii="Palatino Linotype" w:eastAsia="Palatino Linotype" w:hAnsi="Palatino Linotype" w:cs="Palatino Linotype"/>
        </w:rPr>
      </w:pPr>
    </w:p>
    <w:sectPr w:rsidR="006E4900" w:rsidRPr="0019238A">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987" w:rsidRDefault="008E1987">
      <w:r>
        <w:separator/>
      </w:r>
    </w:p>
  </w:endnote>
  <w:endnote w:type="continuationSeparator" w:id="0">
    <w:p w:rsidR="008E1987" w:rsidRDefault="008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99" w:rsidRDefault="00A9179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6551F">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6551F">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A91799" w:rsidRDefault="00A9179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99" w:rsidRDefault="00A9179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6551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6551F">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A91799" w:rsidRDefault="00A9179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987" w:rsidRDefault="008E1987">
      <w:r>
        <w:separator/>
      </w:r>
    </w:p>
  </w:footnote>
  <w:footnote w:type="continuationSeparator" w:id="0">
    <w:p w:rsidR="008E1987" w:rsidRDefault="008E1987">
      <w:r>
        <w:continuationSeparator/>
      </w:r>
    </w:p>
  </w:footnote>
  <w:footnote w:id="1">
    <w:p w:rsidR="00A91799" w:rsidRDefault="00A91799" w:rsidP="00242CCC">
      <w:pPr>
        <w:pStyle w:val="Textonotapie"/>
      </w:pPr>
      <w:r>
        <w:rPr>
          <w:rStyle w:val="Refdenotaalpie"/>
        </w:rPr>
        <w:footnoteRef/>
      </w:r>
      <w:r>
        <w:t xml:space="preserve"> Convención Americana sobre Derechos Humanos. Artículo 13.</w:t>
      </w:r>
    </w:p>
  </w:footnote>
  <w:footnote w:id="2">
    <w:p w:rsidR="00A91799" w:rsidRDefault="00A91799" w:rsidP="00242CCC">
      <w:pPr>
        <w:pStyle w:val="Textonotapie"/>
      </w:pPr>
      <w:r>
        <w:rPr>
          <w:rStyle w:val="Refdenotaalpie"/>
        </w:rPr>
        <w:footnoteRef/>
      </w:r>
      <w:r>
        <w:t xml:space="preserve"> Constitución Política de los Estados Unidos Mexicanos. Artículo sexto, sección A, fracción I.</w:t>
      </w:r>
    </w:p>
  </w:footnote>
  <w:footnote w:id="3">
    <w:p w:rsidR="00A91799" w:rsidRDefault="00A91799" w:rsidP="00242CC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A91799" w:rsidRDefault="00A91799" w:rsidP="00242CCC">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99" w:rsidRDefault="008E198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99" w:rsidRDefault="00A91799">
    <w:pPr>
      <w:widowControl w:val="0"/>
      <w:pBdr>
        <w:top w:val="nil"/>
        <w:left w:val="nil"/>
        <w:bottom w:val="nil"/>
        <w:right w:val="nil"/>
        <w:between w:val="nil"/>
      </w:pBdr>
      <w:spacing w:line="276" w:lineRule="auto"/>
      <w:rPr>
        <w:color w:val="000000"/>
      </w:rPr>
    </w:pPr>
  </w:p>
  <w:tbl>
    <w:tblPr>
      <w:tblStyle w:val="a4"/>
      <w:tblW w:w="7485" w:type="dxa"/>
      <w:tblInd w:w="2694" w:type="dxa"/>
      <w:tblLayout w:type="fixed"/>
      <w:tblLook w:val="0400" w:firstRow="0" w:lastRow="0" w:firstColumn="0" w:lastColumn="0" w:noHBand="0" w:noVBand="1"/>
    </w:tblPr>
    <w:tblGrid>
      <w:gridCol w:w="2970"/>
      <w:gridCol w:w="4515"/>
    </w:tblGrid>
    <w:tr w:rsidR="00A91799">
      <w:trPr>
        <w:trHeight w:val="227"/>
      </w:trPr>
      <w:tc>
        <w:tcPr>
          <w:tcW w:w="2970" w:type="dxa"/>
          <w:vAlign w:val="center"/>
        </w:tcPr>
        <w:p w:rsidR="00A91799" w:rsidRDefault="00A9179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rsidR="00A91799" w:rsidRDefault="00A91799" w:rsidP="00172180">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0709</w:t>
          </w:r>
          <w:r w:rsidRPr="000E2EAC">
            <w:rPr>
              <w:rFonts w:ascii="Palatino Linotype" w:eastAsia="Palatino Linotype" w:hAnsi="Palatino Linotype" w:cs="Palatino Linotype"/>
              <w:color w:val="000000"/>
              <w:sz w:val="22"/>
              <w:szCs w:val="22"/>
            </w:rPr>
            <w:t>3/INFOEM/IP/RR/2024</w:t>
          </w:r>
        </w:p>
      </w:tc>
    </w:tr>
    <w:tr w:rsidR="00A91799">
      <w:trPr>
        <w:trHeight w:val="242"/>
      </w:trPr>
      <w:tc>
        <w:tcPr>
          <w:tcW w:w="2970" w:type="dxa"/>
          <w:vAlign w:val="center"/>
        </w:tcPr>
        <w:p w:rsidR="00A91799" w:rsidRDefault="00A9179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rsidR="00A91799" w:rsidRDefault="00A91799">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sidRPr="00172180">
            <w:rPr>
              <w:rFonts w:ascii="Palatino Linotype" w:eastAsia="Palatino Linotype" w:hAnsi="Palatino Linotype" w:cs="Palatino Linotype"/>
              <w:color w:val="000000"/>
              <w:sz w:val="22"/>
              <w:szCs w:val="22"/>
            </w:rPr>
            <w:t>Ayuntamiento de Tepotzotlán</w:t>
          </w:r>
        </w:p>
      </w:tc>
    </w:tr>
    <w:tr w:rsidR="00A91799">
      <w:trPr>
        <w:trHeight w:val="342"/>
      </w:trPr>
      <w:tc>
        <w:tcPr>
          <w:tcW w:w="2970" w:type="dxa"/>
          <w:vAlign w:val="center"/>
        </w:tcPr>
        <w:p w:rsidR="00A91799" w:rsidRDefault="00A9179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rsidR="00A91799" w:rsidRDefault="00A91799">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91799" w:rsidRDefault="008E1987">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99" w:rsidRDefault="00A91799">
    <w:pPr>
      <w:widowControl w:val="0"/>
      <w:pBdr>
        <w:top w:val="nil"/>
        <w:left w:val="nil"/>
        <w:bottom w:val="nil"/>
        <w:right w:val="nil"/>
        <w:between w:val="nil"/>
      </w:pBdr>
      <w:spacing w:line="276" w:lineRule="auto"/>
      <w:rPr>
        <w:color w:val="000000"/>
        <w:sz w:val="14"/>
        <w:szCs w:val="14"/>
      </w:rPr>
    </w:pPr>
  </w:p>
  <w:tbl>
    <w:tblPr>
      <w:tblStyle w:val="a5"/>
      <w:tblW w:w="7755" w:type="dxa"/>
      <w:tblInd w:w="2552" w:type="dxa"/>
      <w:tblLayout w:type="fixed"/>
      <w:tblLook w:val="0400" w:firstRow="0" w:lastRow="0" w:firstColumn="0" w:lastColumn="0" w:noHBand="0" w:noVBand="1"/>
    </w:tblPr>
    <w:tblGrid>
      <w:gridCol w:w="2970"/>
      <w:gridCol w:w="4785"/>
    </w:tblGrid>
    <w:tr w:rsidR="00A91799">
      <w:trPr>
        <w:trHeight w:val="227"/>
      </w:trPr>
      <w:tc>
        <w:tcPr>
          <w:tcW w:w="2970" w:type="dxa"/>
          <w:vAlign w:val="center"/>
        </w:tcPr>
        <w:p w:rsidR="00A91799" w:rsidRDefault="00A9179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85" w:type="dxa"/>
          <w:vAlign w:val="center"/>
        </w:tcPr>
        <w:p w:rsidR="00A91799" w:rsidRDefault="00A91799" w:rsidP="00172180">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sidRPr="000E2EAC">
            <w:rPr>
              <w:rFonts w:ascii="Palatino Linotype" w:eastAsia="Palatino Linotype" w:hAnsi="Palatino Linotype" w:cs="Palatino Linotype"/>
              <w:color w:val="000000"/>
              <w:sz w:val="22"/>
              <w:szCs w:val="22"/>
            </w:rPr>
            <w:t>0</w:t>
          </w:r>
          <w:r>
            <w:rPr>
              <w:rFonts w:ascii="Palatino Linotype" w:eastAsia="Palatino Linotype" w:hAnsi="Palatino Linotype" w:cs="Palatino Linotype"/>
              <w:color w:val="000000"/>
              <w:sz w:val="22"/>
              <w:szCs w:val="22"/>
            </w:rPr>
            <w:t>709</w:t>
          </w:r>
          <w:r w:rsidRPr="000E2EAC">
            <w:rPr>
              <w:rFonts w:ascii="Palatino Linotype" w:eastAsia="Palatino Linotype" w:hAnsi="Palatino Linotype" w:cs="Palatino Linotype"/>
              <w:color w:val="000000"/>
              <w:sz w:val="22"/>
              <w:szCs w:val="22"/>
            </w:rPr>
            <w:t>3/INFOEM/IP/RR/2024</w:t>
          </w:r>
        </w:p>
      </w:tc>
    </w:tr>
    <w:tr w:rsidR="00A91799">
      <w:trPr>
        <w:trHeight w:val="242"/>
      </w:trPr>
      <w:tc>
        <w:tcPr>
          <w:tcW w:w="2970" w:type="dxa"/>
          <w:vAlign w:val="center"/>
        </w:tcPr>
        <w:p w:rsidR="00A91799" w:rsidRDefault="00A9179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85" w:type="dxa"/>
        </w:tcPr>
        <w:p w:rsidR="00A91799" w:rsidRDefault="0046551F">
          <w:pPr>
            <w:pBdr>
              <w:top w:val="nil"/>
              <w:left w:val="nil"/>
              <w:bottom w:val="nil"/>
              <w:right w:val="nil"/>
              <w:between w:val="nil"/>
            </w:pBdr>
            <w:tabs>
              <w:tab w:val="center" w:pos="4419"/>
              <w:tab w:val="right" w:pos="8838"/>
              <w:tab w:val="left" w:pos="521"/>
            </w:tabs>
            <w:ind w:right="-113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w:t>
          </w:r>
        </w:p>
      </w:tc>
    </w:tr>
    <w:tr w:rsidR="00A91799">
      <w:trPr>
        <w:trHeight w:val="342"/>
      </w:trPr>
      <w:tc>
        <w:tcPr>
          <w:tcW w:w="2970" w:type="dxa"/>
          <w:vAlign w:val="center"/>
        </w:tcPr>
        <w:p w:rsidR="00A91799" w:rsidRDefault="00A9179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85" w:type="dxa"/>
          <w:vAlign w:val="center"/>
        </w:tcPr>
        <w:p w:rsidR="00A91799" w:rsidRDefault="00A91799">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sidRPr="00172180">
            <w:rPr>
              <w:rFonts w:ascii="Palatino Linotype" w:eastAsia="Palatino Linotype" w:hAnsi="Palatino Linotype" w:cs="Palatino Linotype"/>
              <w:color w:val="000000"/>
              <w:sz w:val="22"/>
              <w:szCs w:val="22"/>
            </w:rPr>
            <w:t>Ayuntamiento de Tepotzotlán</w:t>
          </w:r>
        </w:p>
      </w:tc>
    </w:tr>
    <w:tr w:rsidR="00A91799">
      <w:trPr>
        <w:trHeight w:val="342"/>
      </w:trPr>
      <w:tc>
        <w:tcPr>
          <w:tcW w:w="2970" w:type="dxa"/>
          <w:vAlign w:val="center"/>
        </w:tcPr>
        <w:p w:rsidR="00A91799" w:rsidRDefault="00A9179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85" w:type="dxa"/>
          <w:vAlign w:val="center"/>
        </w:tcPr>
        <w:p w:rsidR="00A91799" w:rsidRDefault="00A91799">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91799" w:rsidRDefault="008E1987">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0E40"/>
    <w:multiLevelType w:val="multilevel"/>
    <w:tmpl w:val="DF3467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502A0"/>
    <w:multiLevelType w:val="multilevel"/>
    <w:tmpl w:val="CB16A9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D926EF"/>
    <w:multiLevelType w:val="multilevel"/>
    <w:tmpl w:val="B6509B2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580CF4"/>
    <w:multiLevelType w:val="multilevel"/>
    <w:tmpl w:val="21924AC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191F7494"/>
    <w:multiLevelType w:val="multilevel"/>
    <w:tmpl w:val="4EAEFE4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9A668F"/>
    <w:multiLevelType w:val="hybridMultilevel"/>
    <w:tmpl w:val="64185C26"/>
    <w:lvl w:ilvl="0" w:tplc="4FDC11C0">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094823"/>
    <w:multiLevelType w:val="multilevel"/>
    <w:tmpl w:val="4942E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1B5923"/>
    <w:multiLevelType w:val="hybridMultilevel"/>
    <w:tmpl w:val="9C201B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0" w15:restartNumberingAfterBreak="0">
    <w:nsid w:val="4FFE1110"/>
    <w:multiLevelType w:val="multilevel"/>
    <w:tmpl w:val="74264450"/>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11" w15:restartNumberingAfterBreak="0">
    <w:nsid w:val="503B1BEE"/>
    <w:multiLevelType w:val="hybridMultilevel"/>
    <w:tmpl w:val="7E0AB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75479"/>
    <w:multiLevelType w:val="multilevel"/>
    <w:tmpl w:val="F63C1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8051FE"/>
    <w:multiLevelType w:val="multilevel"/>
    <w:tmpl w:val="900A51E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6C27F4"/>
    <w:multiLevelType w:val="multilevel"/>
    <w:tmpl w:val="F4C4922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3"/>
  </w:num>
  <w:num w:numId="2">
    <w:abstractNumId w:val="16"/>
  </w:num>
  <w:num w:numId="3">
    <w:abstractNumId w:val="15"/>
  </w:num>
  <w:num w:numId="4">
    <w:abstractNumId w:val="14"/>
  </w:num>
  <w:num w:numId="5">
    <w:abstractNumId w:val="0"/>
  </w:num>
  <w:num w:numId="6">
    <w:abstractNumId w:val="7"/>
  </w:num>
  <w:num w:numId="7">
    <w:abstractNumId w:val="1"/>
  </w:num>
  <w:num w:numId="8">
    <w:abstractNumId w:val="10"/>
  </w:num>
  <w:num w:numId="9">
    <w:abstractNumId w:val="2"/>
  </w:num>
  <w:num w:numId="10">
    <w:abstractNumId w:val="13"/>
  </w:num>
  <w:num w:numId="11">
    <w:abstractNumId w:val="5"/>
  </w:num>
  <w:num w:numId="12">
    <w:abstractNumId w:val="12"/>
  </w:num>
  <w:num w:numId="13">
    <w:abstractNumId w:val="9"/>
  </w:num>
  <w:num w:numId="14">
    <w:abstractNumId w:val="6"/>
  </w:num>
  <w:num w:numId="15">
    <w:abstractNumId w:val="8"/>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2B"/>
    <w:rsid w:val="00077F29"/>
    <w:rsid w:val="000E2EAC"/>
    <w:rsid w:val="000F63AD"/>
    <w:rsid w:val="0011432F"/>
    <w:rsid w:val="00172180"/>
    <w:rsid w:val="0019238A"/>
    <w:rsid w:val="001E72A0"/>
    <w:rsid w:val="001F51A8"/>
    <w:rsid w:val="00242CCC"/>
    <w:rsid w:val="002816C9"/>
    <w:rsid w:val="00391EDF"/>
    <w:rsid w:val="00415301"/>
    <w:rsid w:val="004461C2"/>
    <w:rsid w:val="0046551F"/>
    <w:rsid w:val="00474D56"/>
    <w:rsid w:val="005736D0"/>
    <w:rsid w:val="00597B38"/>
    <w:rsid w:val="005B7D9B"/>
    <w:rsid w:val="006E4900"/>
    <w:rsid w:val="006F14C3"/>
    <w:rsid w:val="008B05B1"/>
    <w:rsid w:val="008E1987"/>
    <w:rsid w:val="009E467C"/>
    <w:rsid w:val="00A91799"/>
    <w:rsid w:val="00BA6926"/>
    <w:rsid w:val="00BB4DA4"/>
    <w:rsid w:val="00DF5BB7"/>
    <w:rsid w:val="00E06420"/>
    <w:rsid w:val="00EA3840"/>
    <w:rsid w:val="00F0192B"/>
    <w:rsid w:val="00F05B23"/>
    <w:rsid w:val="00FE6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9F4404-6E92-4BEE-8926-144ABDBC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9D709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Sinespaciado">
    <w:name w:val="No Spacing"/>
    <w:aliases w:val="Francesa,INAI,Fundamentos"/>
    <w:link w:val="SinespaciadoCar"/>
    <w:uiPriority w:val="1"/>
    <w:qFormat/>
    <w:rsid w:val="003A6840"/>
    <w:rPr>
      <w:rFonts w:ascii="Times New Roman" w:eastAsia="Times New Roman" w:hAnsi="Times New Roman" w:cs="Times New Roman"/>
      <w:lang w:val="es-MX" w:eastAsia="es-ES"/>
    </w:rPr>
  </w:style>
  <w:style w:type="character" w:customStyle="1" w:styleId="SinespaciadoCar">
    <w:name w:val="Sin espaciado Car"/>
    <w:aliases w:val="Francesa Car,INAI Car,Fundamentos Car"/>
    <w:link w:val="Sinespaciado"/>
    <w:uiPriority w:val="1"/>
    <w:qFormat/>
    <w:locked/>
    <w:rsid w:val="003A6840"/>
    <w:rPr>
      <w:rFonts w:ascii="Times New Roman" w:eastAsia="Times New Roman" w:hAnsi="Times New Roman" w:cs="Times New Roman"/>
      <w:lang w:val="es-MX" w:eastAsia="es-ES"/>
    </w:rPr>
  </w:style>
  <w:style w:type="paragraph" w:styleId="Textoindependiente">
    <w:name w:val="Body Text"/>
    <w:basedOn w:val="Normal"/>
    <w:link w:val="TextoindependienteCar"/>
    <w:rsid w:val="00C53DE7"/>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C53DE7"/>
    <w:rPr>
      <w:rFonts w:ascii="Arial" w:eastAsia="Times New Roman" w:hAnsi="Arial" w:cs="Times New Roman"/>
      <w:szCs w:val="20"/>
      <w:lang w:val="es-MX" w:eastAsia="es-ES_tradnl"/>
    </w:rPr>
  </w:style>
  <w:style w:type="character" w:styleId="Textoennegrita">
    <w:name w:val="Strong"/>
    <w:basedOn w:val="Fuentedeprrafopredeter"/>
    <w:uiPriority w:val="22"/>
    <w:qFormat/>
    <w:rsid w:val="00E256E4"/>
    <w:rPr>
      <w:b/>
      <w:bCs/>
    </w:rPr>
  </w:style>
  <w:style w:type="table" w:customStyle="1" w:styleId="a3">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gvWf9hgS1mOS35iPCra4GEc9Q==">CgMxLjAyCGguZ2pkZ3hzMgloLjFmb2I5dGUyCWguM3pueXNoNzIJaC4yZXQ5MnAwMghoLnR5amN3dDIJaC4zZHk2dmttMgloLjF0M2g1c2YyCWguMzVua3VuMjIJaC4zMGowemxsOAByITFsVlZqOW13cklRQjc4R2RnY0M1RmJSektkTV9ZT2VzOA==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12D2AD-E4D9-42D4-AA94-F80A69F9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4788</Words>
  <Characters>26339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INFOEM403</cp:lastModifiedBy>
  <cp:revision>4</cp:revision>
  <dcterms:created xsi:type="dcterms:W3CDTF">2024-12-12T20:07:00Z</dcterms:created>
  <dcterms:modified xsi:type="dcterms:W3CDTF">2025-01-24T16:43:00Z</dcterms:modified>
</cp:coreProperties>
</file>