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A94E99" w14:textId="5B409D9D" w:rsidR="0009491C" w:rsidRPr="00360DF2" w:rsidRDefault="0009491C" w:rsidP="00390FFA">
      <w:pPr>
        <w:shd w:val="clear" w:color="auto" w:fill="FFFFFF"/>
        <w:spacing w:after="0" w:line="360" w:lineRule="auto"/>
        <w:jc w:val="both"/>
        <w:rPr>
          <w:rFonts w:ascii="Palatino Linotype" w:eastAsia="Times New Roman" w:hAnsi="Palatino Linotype" w:cs="Arial"/>
          <w:color w:val="000000"/>
          <w:sz w:val="24"/>
          <w:szCs w:val="24"/>
          <w:lang w:eastAsia="es-MX"/>
        </w:rPr>
      </w:pPr>
      <w:r w:rsidRPr="00360DF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04B19">
        <w:rPr>
          <w:rFonts w:ascii="Palatino Linotype" w:eastAsia="Times New Roman" w:hAnsi="Palatino Linotype" w:cs="Arial"/>
          <w:color w:val="000000"/>
          <w:sz w:val="24"/>
          <w:szCs w:val="24"/>
          <w:lang w:eastAsia="es-MX"/>
        </w:rPr>
        <w:t xml:space="preserve">trece de noviembre </w:t>
      </w:r>
      <w:r w:rsidRPr="00360DF2">
        <w:rPr>
          <w:rFonts w:ascii="Palatino Linotype" w:eastAsia="Times New Roman" w:hAnsi="Palatino Linotype" w:cs="Arial"/>
          <w:color w:val="000000"/>
          <w:sz w:val="24"/>
          <w:szCs w:val="24"/>
          <w:lang w:eastAsia="es-MX"/>
        </w:rPr>
        <w:t>de dos mil veinti</w:t>
      </w:r>
      <w:r w:rsidR="00390FFA">
        <w:rPr>
          <w:rFonts w:ascii="Palatino Linotype" w:eastAsia="Times New Roman" w:hAnsi="Palatino Linotype" w:cs="Arial"/>
          <w:color w:val="000000"/>
          <w:sz w:val="24"/>
          <w:szCs w:val="24"/>
          <w:lang w:eastAsia="es-MX"/>
        </w:rPr>
        <w:t>cuatro</w:t>
      </w:r>
      <w:r w:rsidRPr="00360DF2">
        <w:rPr>
          <w:rFonts w:ascii="Palatino Linotype" w:eastAsia="Times New Roman" w:hAnsi="Palatino Linotype" w:cs="Arial"/>
          <w:color w:val="000000"/>
          <w:sz w:val="24"/>
          <w:szCs w:val="24"/>
          <w:lang w:eastAsia="es-MX"/>
        </w:rPr>
        <w:t>.</w:t>
      </w:r>
    </w:p>
    <w:p w14:paraId="223916E8" w14:textId="77777777" w:rsidR="0009491C" w:rsidRPr="00360DF2" w:rsidRDefault="0009491C" w:rsidP="00390FF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3307529" w14:textId="123C5ED5" w:rsidR="0009491C" w:rsidRPr="00360DF2" w:rsidRDefault="0009491C" w:rsidP="00390FFA">
      <w:pPr>
        <w:tabs>
          <w:tab w:val="left" w:pos="1701"/>
        </w:tabs>
        <w:spacing w:after="0" w:line="360" w:lineRule="auto"/>
        <w:jc w:val="both"/>
        <w:rPr>
          <w:rFonts w:ascii="Palatino Linotype" w:hAnsi="Palatino Linotype" w:cs="Arial"/>
          <w:b/>
          <w:sz w:val="24"/>
          <w:szCs w:val="24"/>
        </w:rPr>
      </w:pPr>
      <w:r w:rsidRPr="00360DF2">
        <w:rPr>
          <w:rFonts w:ascii="Palatino Linotype" w:hAnsi="Palatino Linotype" w:cs="Arial"/>
          <w:b/>
          <w:sz w:val="24"/>
          <w:szCs w:val="24"/>
        </w:rPr>
        <w:t>VISTO</w:t>
      </w:r>
      <w:r w:rsidRPr="00360DF2">
        <w:rPr>
          <w:rFonts w:ascii="Palatino Linotype" w:hAnsi="Palatino Linotype" w:cs="Arial"/>
          <w:sz w:val="24"/>
          <w:szCs w:val="24"/>
        </w:rPr>
        <w:t xml:space="preserve"> el expediente electrónico formado con motivo del</w:t>
      </w:r>
      <w:r w:rsidR="00A46C0B">
        <w:rPr>
          <w:rFonts w:ascii="Palatino Linotype" w:hAnsi="Palatino Linotype" w:cs="Arial"/>
          <w:sz w:val="24"/>
          <w:szCs w:val="24"/>
        </w:rPr>
        <w:t xml:space="preserve"> recurso de revisión con número </w:t>
      </w:r>
      <w:bookmarkStart w:id="0" w:name="_GoBack"/>
      <w:r w:rsidR="003960E0">
        <w:rPr>
          <w:rFonts w:ascii="Palatino Linotype" w:hAnsi="Palatino Linotype" w:cs="Arial"/>
          <w:b/>
          <w:bCs/>
          <w:sz w:val="24"/>
          <w:szCs w:val="24"/>
          <w:lang w:eastAsia="es-MX"/>
        </w:rPr>
        <w:t>06085/INFOEM/IP/RR/2024</w:t>
      </w:r>
      <w:bookmarkEnd w:id="0"/>
      <w:r w:rsidRPr="00360DF2">
        <w:rPr>
          <w:rFonts w:ascii="Palatino Linotype" w:hAnsi="Palatino Linotype" w:cs="Arial"/>
          <w:sz w:val="24"/>
          <w:szCs w:val="24"/>
        </w:rPr>
        <w:t xml:space="preserve">, </w:t>
      </w:r>
      <w:r w:rsidRPr="00360DF2">
        <w:rPr>
          <w:rFonts w:ascii="Palatino Linotype" w:eastAsia="Palatino Linotype" w:hAnsi="Palatino Linotype" w:cs="Palatino Linotype"/>
          <w:color w:val="000000"/>
          <w:sz w:val="24"/>
          <w:szCs w:val="24"/>
        </w:rPr>
        <w:t xml:space="preserve">interpuesto por </w:t>
      </w:r>
      <w:r w:rsidR="003321A2">
        <w:rPr>
          <w:rFonts w:ascii="Palatino Linotype" w:eastAsia="Palatino Linotype" w:hAnsi="Palatino Linotype" w:cs="Palatino Linotype"/>
          <w:bCs/>
          <w:color w:val="000000"/>
          <w:sz w:val="24"/>
          <w:szCs w:val="24"/>
        </w:rPr>
        <w:t>un particular de manera anónima</w:t>
      </w:r>
      <w:r w:rsidRPr="00360DF2">
        <w:rPr>
          <w:rFonts w:ascii="Palatino Linotype" w:eastAsia="Palatino Linotype" w:hAnsi="Palatino Linotype" w:cs="Palatino Linotype"/>
          <w:color w:val="000000"/>
          <w:sz w:val="24"/>
          <w:szCs w:val="24"/>
        </w:rPr>
        <w:t>,</w:t>
      </w:r>
      <w:r w:rsidR="0061125D">
        <w:rPr>
          <w:rFonts w:ascii="Palatino Linotype" w:eastAsia="Palatino Linotype" w:hAnsi="Palatino Linotype" w:cs="Palatino Linotype"/>
          <w:color w:val="000000"/>
          <w:sz w:val="24"/>
          <w:szCs w:val="24"/>
        </w:rPr>
        <w:t xml:space="preserve"> quien </w:t>
      </w:r>
      <w:r w:rsidRPr="00360DF2">
        <w:rPr>
          <w:rFonts w:ascii="Palatino Linotype" w:eastAsia="Palatino Linotype" w:hAnsi="Palatino Linotype" w:cs="Palatino Linotype"/>
          <w:color w:val="000000"/>
          <w:sz w:val="24"/>
          <w:szCs w:val="24"/>
        </w:rPr>
        <w:t xml:space="preserve">en lo sucesivo </w:t>
      </w:r>
      <w:r w:rsidR="0061125D">
        <w:rPr>
          <w:rFonts w:ascii="Palatino Linotype" w:eastAsia="Palatino Linotype" w:hAnsi="Palatino Linotype" w:cs="Palatino Linotype"/>
          <w:color w:val="000000"/>
          <w:sz w:val="24"/>
          <w:szCs w:val="24"/>
        </w:rPr>
        <w:t xml:space="preserve">se le denominara como la parte </w:t>
      </w:r>
      <w:r w:rsidRPr="00360DF2">
        <w:rPr>
          <w:rFonts w:ascii="Palatino Linotype" w:eastAsia="Palatino Linotype" w:hAnsi="Palatino Linotype" w:cs="Palatino Linotype"/>
          <w:b/>
          <w:color w:val="000000"/>
          <w:sz w:val="24"/>
          <w:szCs w:val="24"/>
        </w:rPr>
        <w:t>Recurrente</w:t>
      </w:r>
      <w:r w:rsidRPr="00360DF2">
        <w:rPr>
          <w:rFonts w:ascii="Palatino Linotype" w:eastAsia="Palatino Linotype" w:hAnsi="Palatino Linotype" w:cs="Palatino Linotype"/>
          <w:color w:val="000000"/>
          <w:sz w:val="24"/>
          <w:szCs w:val="24"/>
        </w:rPr>
        <w:t xml:space="preserve">, </w:t>
      </w:r>
      <w:r w:rsidRPr="00360DF2">
        <w:rPr>
          <w:rFonts w:ascii="Palatino Linotype" w:hAnsi="Palatino Linotype" w:cs="Arial"/>
          <w:sz w:val="24"/>
          <w:szCs w:val="24"/>
        </w:rPr>
        <w:t xml:space="preserve">en contra de la falta de respuesta del </w:t>
      </w:r>
      <w:r w:rsidR="003960E0">
        <w:rPr>
          <w:rFonts w:ascii="Palatino Linotype" w:hAnsi="Palatino Linotype" w:cs="Arial"/>
          <w:b/>
          <w:sz w:val="24"/>
          <w:szCs w:val="24"/>
        </w:rPr>
        <w:t>Secretariado Ejecutivo del Sistema Estatal de Seguridad Pública</w:t>
      </w:r>
      <w:r w:rsidRPr="00360DF2">
        <w:rPr>
          <w:rFonts w:ascii="Palatino Linotype" w:hAnsi="Palatino Linotype" w:cs="Arial"/>
          <w:b/>
          <w:sz w:val="24"/>
          <w:szCs w:val="24"/>
        </w:rPr>
        <w:t xml:space="preserve">, </w:t>
      </w:r>
      <w:r w:rsidRPr="00360DF2">
        <w:rPr>
          <w:rFonts w:ascii="Palatino Linotype" w:hAnsi="Palatino Linotype" w:cs="Arial"/>
          <w:sz w:val="24"/>
          <w:szCs w:val="24"/>
        </w:rPr>
        <w:t>en lo subsecuente</w:t>
      </w:r>
      <w:r w:rsidRPr="00360DF2">
        <w:rPr>
          <w:rFonts w:ascii="Palatino Linotype" w:hAnsi="Palatino Linotype" w:cs="Arial"/>
          <w:b/>
          <w:sz w:val="24"/>
          <w:szCs w:val="24"/>
        </w:rPr>
        <w:t xml:space="preserve"> el Sujeto Obligado, </w:t>
      </w:r>
      <w:r w:rsidRPr="00360DF2">
        <w:rPr>
          <w:rFonts w:ascii="Palatino Linotype" w:hAnsi="Palatino Linotype" w:cs="Arial"/>
          <w:sz w:val="24"/>
          <w:szCs w:val="24"/>
        </w:rPr>
        <w:t>se procede a dictar la presente resolución.</w:t>
      </w:r>
    </w:p>
    <w:p w14:paraId="750B662E" w14:textId="77777777" w:rsidR="0009491C" w:rsidRPr="00360DF2" w:rsidRDefault="0009491C" w:rsidP="00390FFA">
      <w:pPr>
        <w:tabs>
          <w:tab w:val="left" w:pos="6960"/>
        </w:tabs>
        <w:spacing w:after="0" w:line="360" w:lineRule="auto"/>
        <w:jc w:val="both"/>
        <w:rPr>
          <w:rFonts w:ascii="Palatino Linotype" w:hAnsi="Palatino Linotype" w:cs="Arial"/>
          <w:sz w:val="24"/>
          <w:szCs w:val="24"/>
        </w:rPr>
      </w:pPr>
    </w:p>
    <w:p w14:paraId="515BED12" w14:textId="77777777" w:rsidR="0009491C" w:rsidRPr="00360DF2" w:rsidRDefault="0009491C" w:rsidP="00390FFA">
      <w:pPr>
        <w:spacing w:after="0" w:line="360" w:lineRule="auto"/>
        <w:jc w:val="center"/>
        <w:rPr>
          <w:rFonts w:ascii="Palatino Linotype" w:hAnsi="Palatino Linotype" w:cs="Arial"/>
          <w:b/>
          <w:sz w:val="28"/>
          <w:szCs w:val="24"/>
        </w:rPr>
      </w:pPr>
      <w:r w:rsidRPr="00360DF2">
        <w:rPr>
          <w:rFonts w:ascii="Palatino Linotype" w:hAnsi="Palatino Linotype" w:cs="Arial"/>
          <w:b/>
          <w:sz w:val="28"/>
          <w:szCs w:val="24"/>
        </w:rPr>
        <w:t>A N T E C E D E N T E S</w:t>
      </w:r>
    </w:p>
    <w:p w14:paraId="4EA2ADC5" w14:textId="77777777" w:rsidR="0009491C" w:rsidRPr="00360DF2" w:rsidRDefault="0009491C" w:rsidP="00390FFA">
      <w:pPr>
        <w:spacing w:after="0" w:line="360" w:lineRule="auto"/>
        <w:rPr>
          <w:rFonts w:ascii="Palatino Linotype" w:hAnsi="Palatino Linotype" w:cs="Arial"/>
          <w:b/>
          <w:sz w:val="24"/>
          <w:szCs w:val="24"/>
        </w:rPr>
      </w:pPr>
    </w:p>
    <w:p w14:paraId="51F13D6D" w14:textId="36F57A08" w:rsidR="0009491C" w:rsidRPr="00360DF2" w:rsidRDefault="0009491C" w:rsidP="00390FFA">
      <w:pPr>
        <w:spacing w:after="0" w:line="360" w:lineRule="auto"/>
        <w:jc w:val="both"/>
        <w:rPr>
          <w:rFonts w:ascii="Palatino Linotype" w:hAnsi="Palatino Linotype" w:cs="Arial"/>
          <w:sz w:val="24"/>
          <w:szCs w:val="24"/>
        </w:rPr>
      </w:pPr>
      <w:r w:rsidRPr="00360DF2">
        <w:rPr>
          <w:rFonts w:ascii="Palatino Linotype" w:hAnsi="Palatino Linotype" w:cs="Arial"/>
          <w:b/>
          <w:sz w:val="28"/>
          <w:szCs w:val="28"/>
        </w:rPr>
        <w:t xml:space="preserve">PRIMERO. </w:t>
      </w:r>
      <w:r w:rsidRPr="00360DF2">
        <w:rPr>
          <w:rFonts w:ascii="Palatino Linotype" w:hAnsi="Palatino Linotype" w:cs="Arial"/>
          <w:sz w:val="24"/>
          <w:szCs w:val="24"/>
        </w:rPr>
        <w:t xml:space="preserve">Con fecha </w:t>
      </w:r>
      <w:r w:rsidR="003960E0">
        <w:rPr>
          <w:rFonts w:ascii="Palatino Linotype" w:hAnsi="Palatino Linotype" w:cs="Arial"/>
          <w:sz w:val="24"/>
          <w:szCs w:val="24"/>
        </w:rPr>
        <w:t>seis de octubre</w:t>
      </w:r>
      <w:r w:rsidR="003321A2">
        <w:rPr>
          <w:rFonts w:ascii="Palatino Linotype" w:hAnsi="Palatino Linotype" w:cs="Arial"/>
          <w:sz w:val="24"/>
          <w:szCs w:val="24"/>
        </w:rPr>
        <w:t xml:space="preserve"> </w:t>
      </w:r>
      <w:r w:rsidR="00390FFA">
        <w:rPr>
          <w:rFonts w:ascii="Palatino Linotype" w:hAnsi="Palatino Linotype" w:cs="Arial"/>
          <w:sz w:val="24"/>
          <w:szCs w:val="24"/>
        </w:rPr>
        <w:t>de dos mil veinticuatro</w:t>
      </w:r>
      <w:r w:rsidRPr="00360DF2">
        <w:rPr>
          <w:rFonts w:ascii="Palatino Linotype" w:hAnsi="Palatino Linotype" w:cs="Arial"/>
          <w:sz w:val="24"/>
          <w:szCs w:val="24"/>
        </w:rPr>
        <w:t xml:space="preserve">, </w:t>
      </w:r>
      <w:r w:rsidR="0061125D">
        <w:rPr>
          <w:rFonts w:ascii="Palatino Linotype" w:hAnsi="Palatino Linotype" w:cs="Arial"/>
          <w:sz w:val="24"/>
          <w:szCs w:val="24"/>
        </w:rPr>
        <w:t>la parte</w:t>
      </w:r>
      <w:r w:rsidRPr="00360DF2">
        <w:rPr>
          <w:rFonts w:ascii="Palatino Linotype" w:hAnsi="Palatino Linotype" w:cs="Arial"/>
          <w:b/>
          <w:sz w:val="24"/>
          <w:szCs w:val="24"/>
        </w:rPr>
        <w:t xml:space="preserve"> Recurrente</w:t>
      </w:r>
      <w:r w:rsidRPr="00360DF2">
        <w:rPr>
          <w:rFonts w:ascii="Palatino Linotype" w:hAnsi="Palatino Linotype" w:cs="Arial"/>
          <w:sz w:val="24"/>
          <w:szCs w:val="24"/>
        </w:rPr>
        <w:t xml:space="preserve"> presentó a través de</w:t>
      </w:r>
      <w:r w:rsidR="003960E0">
        <w:rPr>
          <w:rFonts w:ascii="Palatino Linotype" w:hAnsi="Palatino Linotype" w:cs="Arial"/>
          <w:sz w:val="24"/>
          <w:szCs w:val="24"/>
        </w:rPr>
        <w:t xml:space="preserve"> </w:t>
      </w:r>
      <w:r w:rsidRPr="00360DF2">
        <w:rPr>
          <w:rFonts w:ascii="Palatino Linotype" w:hAnsi="Palatino Linotype" w:cs="Arial"/>
          <w:sz w:val="24"/>
          <w:szCs w:val="24"/>
        </w:rPr>
        <w:t>l</w:t>
      </w:r>
      <w:r w:rsidR="003960E0">
        <w:rPr>
          <w:rFonts w:ascii="Palatino Linotype" w:hAnsi="Palatino Linotype" w:cs="Arial"/>
          <w:sz w:val="24"/>
          <w:szCs w:val="24"/>
        </w:rPr>
        <w:t xml:space="preserve">a Plataforma Nacional de Transparencia </w:t>
      </w:r>
      <w:r w:rsidR="003960E0" w:rsidRPr="003960E0">
        <w:rPr>
          <w:rFonts w:ascii="Palatino Linotype" w:hAnsi="Palatino Linotype" w:cs="Arial"/>
          <w:b/>
          <w:bCs/>
          <w:sz w:val="24"/>
          <w:szCs w:val="24"/>
        </w:rPr>
        <w:t>PNT</w:t>
      </w:r>
      <w:r w:rsidR="003960E0">
        <w:rPr>
          <w:rFonts w:ascii="Palatino Linotype" w:hAnsi="Palatino Linotype" w:cs="Arial"/>
          <w:sz w:val="24"/>
          <w:szCs w:val="24"/>
        </w:rPr>
        <w:t xml:space="preserve">, la cual se encuentra estrechamente vinculada con el </w:t>
      </w:r>
      <w:r w:rsidRPr="00360DF2">
        <w:rPr>
          <w:rFonts w:ascii="Palatino Linotype" w:hAnsi="Palatino Linotype" w:cs="Arial"/>
          <w:sz w:val="24"/>
          <w:szCs w:val="24"/>
        </w:rPr>
        <w:t xml:space="preserve">Sistema de Acceso a la Información Mexiquense, en lo posterior el </w:t>
      </w:r>
      <w:r w:rsidRPr="00360DF2">
        <w:rPr>
          <w:rFonts w:ascii="Palatino Linotype" w:hAnsi="Palatino Linotype" w:cs="Arial"/>
          <w:b/>
          <w:sz w:val="24"/>
          <w:szCs w:val="24"/>
        </w:rPr>
        <w:t>SAIMEX</w:t>
      </w:r>
      <w:r w:rsidRPr="00360DF2">
        <w:rPr>
          <w:rFonts w:ascii="Palatino Linotype" w:hAnsi="Palatino Linotype" w:cs="Arial"/>
          <w:sz w:val="24"/>
          <w:szCs w:val="24"/>
        </w:rPr>
        <w:t xml:space="preserve">, ante </w:t>
      </w:r>
      <w:r w:rsidRPr="00360DF2">
        <w:rPr>
          <w:rFonts w:ascii="Palatino Linotype" w:hAnsi="Palatino Linotype" w:cs="Arial"/>
          <w:b/>
          <w:sz w:val="24"/>
          <w:szCs w:val="24"/>
        </w:rPr>
        <w:t>el Sujeto Obligado</w:t>
      </w:r>
      <w:r w:rsidRPr="00360DF2">
        <w:rPr>
          <w:rFonts w:ascii="Palatino Linotype" w:hAnsi="Palatino Linotype" w:cs="Arial"/>
          <w:sz w:val="24"/>
          <w:szCs w:val="24"/>
        </w:rPr>
        <w:t>, solicitud de acceso a la información pública, registrada bajo el número de expediente</w:t>
      </w:r>
      <w:r w:rsidRPr="00360DF2">
        <w:rPr>
          <w:rFonts w:ascii="Palatino Linotype" w:hAnsi="Palatino Linotype" w:cs="Arial"/>
          <w:b/>
          <w:sz w:val="24"/>
          <w:szCs w:val="24"/>
        </w:rPr>
        <w:t xml:space="preserve"> </w:t>
      </w:r>
      <w:r w:rsidR="003960E0">
        <w:rPr>
          <w:rFonts w:ascii="Palatino Linotype" w:hAnsi="Palatino Linotype" w:cs="Arial"/>
          <w:b/>
          <w:sz w:val="24"/>
          <w:szCs w:val="24"/>
        </w:rPr>
        <w:t>00164/SESESP/IP/2024</w:t>
      </w:r>
      <w:r w:rsidRPr="00360DF2">
        <w:rPr>
          <w:rFonts w:ascii="Palatino Linotype" w:hAnsi="Palatino Linotype" w:cs="Arial"/>
          <w:sz w:val="24"/>
          <w:szCs w:val="24"/>
          <w:lang w:eastAsia="es-MX"/>
        </w:rPr>
        <w:t>,</w:t>
      </w:r>
      <w:r w:rsidRPr="00360DF2">
        <w:rPr>
          <w:rFonts w:ascii="Palatino Linotype" w:hAnsi="Palatino Linotype" w:cs="Arial"/>
          <w:b/>
          <w:sz w:val="24"/>
          <w:szCs w:val="24"/>
          <w:lang w:eastAsia="es-MX"/>
        </w:rPr>
        <w:t xml:space="preserve"> </w:t>
      </w:r>
      <w:r w:rsidRPr="00360DF2">
        <w:rPr>
          <w:rFonts w:ascii="Palatino Linotype" w:hAnsi="Palatino Linotype" w:cs="Arial"/>
          <w:sz w:val="24"/>
          <w:szCs w:val="24"/>
        </w:rPr>
        <w:t>mediante la cual solicitó información en el tenor siguiente:</w:t>
      </w:r>
    </w:p>
    <w:p w14:paraId="2ECE56CA" w14:textId="77777777" w:rsidR="0009491C" w:rsidRPr="00360DF2" w:rsidRDefault="0009491C" w:rsidP="00390FFA">
      <w:pPr>
        <w:tabs>
          <w:tab w:val="left" w:pos="5647"/>
        </w:tabs>
        <w:spacing w:after="0" w:line="360" w:lineRule="auto"/>
        <w:ind w:right="850"/>
        <w:jc w:val="both"/>
        <w:rPr>
          <w:rFonts w:ascii="Palatino Linotype" w:eastAsia="Times New Roman" w:hAnsi="Palatino Linotype" w:cs="Times New Roman"/>
          <w:sz w:val="24"/>
          <w:szCs w:val="24"/>
          <w:lang w:eastAsia="es-ES"/>
        </w:rPr>
      </w:pPr>
    </w:p>
    <w:p w14:paraId="5A52599B" w14:textId="77777777" w:rsidR="003960E0" w:rsidRPr="003960E0" w:rsidRDefault="0009491C" w:rsidP="003960E0">
      <w:pPr>
        <w:tabs>
          <w:tab w:val="left" w:pos="5647"/>
        </w:tabs>
        <w:spacing w:after="0" w:line="240" w:lineRule="auto"/>
        <w:ind w:left="567" w:right="567"/>
        <w:jc w:val="both"/>
        <w:rPr>
          <w:rFonts w:ascii="Palatino Linotype" w:eastAsia="Times New Roman" w:hAnsi="Palatino Linotype" w:cs="Times New Roman"/>
          <w:i/>
          <w:szCs w:val="24"/>
          <w:lang w:eastAsia="es-ES"/>
        </w:rPr>
      </w:pPr>
      <w:r w:rsidRPr="00360DF2">
        <w:rPr>
          <w:rFonts w:ascii="Palatino Linotype" w:eastAsia="Times New Roman" w:hAnsi="Palatino Linotype" w:cs="Times New Roman"/>
          <w:i/>
          <w:szCs w:val="24"/>
          <w:lang w:val="es-ES_tradnl" w:eastAsia="es-ES"/>
        </w:rPr>
        <w:t>“</w:t>
      </w:r>
      <w:r w:rsidR="003960E0" w:rsidRPr="003960E0">
        <w:rPr>
          <w:rFonts w:ascii="Palatino Linotype" w:eastAsia="Times New Roman" w:hAnsi="Palatino Linotype" w:cs="Times New Roman"/>
          <w:i/>
          <w:szCs w:val="24"/>
          <w:lang w:eastAsia="es-ES"/>
        </w:rPr>
        <w:t>Se presenta esta solicitud de información en un esfuerzo por contar con información sistematizada acerca de los ejes que componen el desarrollo policial.</w:t>
      </w:r>
    </w:p>
    <w:p w14:paraId="3CE45534" w14:textId="516365A5" w:rsidR="0009491C" w:rsidRPr="0016791B" w:rsidRDefault="003960E0" w:rsidP="003960E0">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sidRPr="003960E0">
        <w:rPr>
          <w:rFonts w:ascii="Palatino Linotype" w:eastAsia="Times New Roman" w:hAnsi="Palatino Linotype" w:cs="Times New Roman"/>
          <w:i/>
          <w:szCs w:val="24"/>
          <w:lang w:eastAsia="es-ES"/>
        </w:rPr>
        <w:t>Favor de remitir de manera electrónica, el soporte documental que se detalla a continuación, especificando el nombre del archivo adjunto. En caso de no</w:t>
      </w:r>
      <w:r w:rsidR="00C6044C">
        <w:rPr>
          <w:rFonts w:ascii="Palatino Linotype" w:eastAsia="Times New Roman" w:hAnsi="Palatino Linotype" w:cs="Times New Roman"/>
          <w:i/>
          <w:szCs w:val="24"/>
          <w:lang w:eastAsia="es-ES"/>
        </w:rPr>
        <w:t xml:space="preserve"> </w:t>
      </w:r>
      <w:r w:rsidRPr="003960E0">
        <w:rPr>
          <w:rFonts w:ascii="Palatino Linotype" w:eastAsia="Times New Roman" w:hAnsi="Palatino Linotype" w:cs="Times New Roman"/>
          <w:i/>
          <w:szCs w:val="24"/>
          <w:lang w:eastAsia="es-ES"/>
        </w:rPr>
        <w:t>contar con el documento solicitado, responder “no existe” en la casilla del nombre del archivo.</w:t>
      </w:r>
      <w:r w:rsidR="0009491C" w:rsidRPr="00360DF2">
        <w:rPr>
          <w:rFonts w:ascii="Palatino Linotype" w:eastAsia="Times New Roman" w:hAnsi="Palatino Linotype" w:cs="Times New Roman"/>
          <w:i/>
          <w:szCs w:val="24"/>
          <w:lang w:val="es-ES_tradnl" w:eastAsia="es-ES"/>
        </w:rPr>
        <w:t>”</w:t>
      </w:r>
      <w:r w:rsidR="0016791B">
        <w:rPr>
          <w:rFonts w:ascii="Palatino Linotype" w:eastAsia="Times New Roman" w:hAnsi="Palatino Linotype" w:cs="Times New Roman"/>
          <w:szCs w:val="24"/>
          <w:lang w:val="es-ES_tradnl" w:eastAsia="es-ES"/>
        </w:rPr>
        <w:t xml:space="preserve"> (</w:t>
      </w:r>
      <w:proofErr w:type="gramStart"/>
      <w:r w:rsidR="0016791B">
        <w:rPr>
          <w:rFonts w:ascii="Palatino Linotype" w:eastAsia="Times New Roman" w:hAnsi="Palatino Linotype" w:cs="Times New Roman"/>
          <w:szCs w:val="24"/>
          <w:lang w:val="es-ES_tradnl" w:eastAsia="es-ES"/>
        </w:rPr>
        <w:t>sic</w:t>
      </w:r>
      <w:proofErr w:type="gramEnd"/>
      <w:r w:rsidR="0016791B">
        <w:rPr>
          <w:rFonts w:ascii="Palatino Linotype" w:eastAsia="Times New Roman" w:hAnsi="Palatino Linotype" w:cs="Times New Roman"/>
          <w:szCs w:val="24"/>
          <w:lang w:val="es-ES_tradnl" w:eastAsia="es-ES"/>
        </w:rPr>
        <w:t>)</w:t>
      </w:r>
    </w:p>
    <w:p w14:paraId="33045E57" w14:textId="3A66C843" w:rsidR="00C6044C" w:rsidRDefault="00C6044C" w:rsidP="00390FFA">
      <w:pPr>
        <w:spacing w:after="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Se hace constar que se encuentra adjunto a la solicitud, el documento electrónico que contiene lo siguiente:</w:t>
      </w:r>
    </w:p>
    <w:p w14:paraId="141D843D" w14:textId="4B66E017" w:rsidR="00C6044C" w:rsidRDefault="00C6044C" w:rsidP="00390FFA">
      <w:pPr>
        <w:spacing w:after="0" w:line="360" w:lineRule="auto"/>
        <w:jc w:val="both"/>
        <w:rPr>
          <w:rFonts w:ascii="Palatino Linotype" w:eastAsia="Times New Roman" w:hAnsi="Palatino Linotype" w:cs="Times New Roman"/>
          <w:sz w:val="24"/>
          <w:szCs w:val="24"/>
          <w:lang w:val="es-ES_tradnl" w:eastAsia="es-ES"/>
        </w:rPr>
      </w:pPr>
    </w:p>
    <w:p w14:paraId="531F2636" w14:textId="77777777" w:rsidR="00C6044C" w:rsidRPr="00C6044C" w:rsidRDefault="00C6044C" w:rsidP="00C6044C">
      <w:pPr>
        <w:spacing w:after="0" w:line="240" w:lineRule="auto"/>
        <w:ind w:left="567" w:right="567"/>
        <w:jc w:val="both"/>
        <w:rPr>
          <w:rFonts w:ascii="Palatino Linotype" w:eastAsia="Times New Roman" w:hAnsi="Palatino Linotype" w:cs="Times New Roman"/>
          <w:b/>
          <w:bCs/>
          <w:i/>
          <w:iCs/>
          <w:lang w:val="es-419" w:eastAsia="es-ES"/>
        </w:rPr>
      </w:pPr>
      <w:r>
        <w:rPr>
          <w:rFonts w:ascii="Palatino Linotype" w:eastAsia="Times New Roman" w:hAnsi="Palatino Linotype" w:cs="Times New Roman"/>
          <w:i/>
          <w:iCs/>
          <w:lang w:val="es-ES_tradnl" w:eastAsia="es-ES"/>
        </w:rPr>
        <w:t>“</w:t>
      </w:r>
      <w:r w:rsidRPr="00C6044C">
        <w:rPr>
          <w:rFonts w:ascii="Palatino Linotype" w:eastAsia="Times New Roman" w:hAnsi="Palatino Linotype" w:cs="Times New Roman"/>
          <w:b/>
          <w:bCs/>
          <w:i/>
          <w:iCs/>
          <w:lang w:val="es-419" w:eastAsia="es-ES"/>
        </w:rPr>
        <w:t>Solicitud de Información</w:t>
      </w:r>
    </w:p>
    <w:p w14:paraId="1831B759" w14:textId="5084C14F" w:rsid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Se presenta esta solicitud de información en un esfuerzo por contar con información sistematizada ac</w:t>
      </w:r>
      <w:r>
        <w:rPr>
          <w:rFonts w:ascii="Palatino Linotype" w:eastAsia="Times New Roman" w:hAnsi="Palatino Linotype" w:cs="Times New Roman"/>
          <w:i/>
          <w:iCs/>
          <w:lang w:val="es-419" w:eastAsia="es-ES"/>
        </w:rPr>
        <w:t xml:space="preserve">erca del </w:t>
      </w:r>
      <w:r w:rsidRPr="00C6044C">
        <w:rPr>
          <w:rFonts w:ascii="Palatino Linotype" w:eastAsia="Times New Roman" w:hAnsi="Palatino Linotype" w:cs="Times New Roman"/>
          <w:b/>
          <w:bCs/>
          <w:i/>
          <w:iCs/>
          <w:lang w:val="es-419" w:eastAsia="es-ES"/>
        </w:rPr>
        <w:t>desarrollo policial de la Guardia Nacional (GN),</w:t>
      </w:r>
      <w:r w:rsidRPr="00C6044C">
        <w:rPr>
          <w:rFonts w:ascii="Palatino Linotype" w:eastAsia="Times New Roman" w:hAnsi="Palatino Linotype" w:cs="Times New Roman"/>
          <w:i/>
          <w:iCs/>
          <w:lang w:val="es-419" w:eastAsia="es-ES"/>
        </w:rPr>
        <w:t xml:space="preserve"> toda vez que el artículo 21 párrafo décimo de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 xml:space="preserve">Constitución Política de los Estados Unidos Mexicanos establece que: </w:t>
      </w:r>
    </w:p>
    <w:p w14:paraId="7A635A1B" w14:textId="77777777" w:rsidR="00AC0581" w:rsidRPr="00C6044C" w:rsidRDefault="00AC0581" w:rsidP="00C6044C">
      <w:pPr>
        <w:spacing w:after="0" w:line="240" w:lineRule="auto"/>
        <w:ind w:left="567" w:right="567"/>
        <w:jc w:val="both"/>
        <w:rPr>
          <w:rFonts w:ascii="Palatino Linotype" w:eastAsia="Times New Roman" w:hAnsi="Palatino Linotype" w:cs="Times New Roman"/>
          <w:i/>
          <w:iCs/>
          <w:lang w:val="es-419" w:eastAsia="es-ES"/>
        </w:rPr>
      </w:pPr>
    </w:p>
    <w:p w14:paraId="0C4300B5" w14:textId="6C97FECC" w:rsid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“Las instituciones de seguridad pública, incluyendo la Guardia Nacional, serán de carácter</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civil, disciplinado y profesional. El Ministerio Público y las instituciones policiales de los</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tres órdenes de gobierno deberán coordinarse entre sí para cumplir los fines de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 xml:space="preserve">seguridad pública y </w:t>
      </w:r>
      <w:r w:rsidRPr="00C6044C">
        <w:rPr>
          <w:rFonts w:ascii="Palatino Linotype" w:eastAsia="Times New Roman" w:hAnsi="Palatino Linotype" w:cs="Times New Roman"/>
          <w:b/>
          <w:bCs/>
          <w:i/>
          <w:iCs/>
          <w:lang w:val="es-419" w:eastAsia="es-ES"/>
        </w:rPr>
        <w:t>conformarán el Sistema Nacional de Seguridad Pública</w:t>
      </w:r>
      <w:r w:rsidRPr="00C6044C">
        <w:rPr>
          <w:rFonts w:ascii="Palatino Linotype" w:eastAsia="Times New Roman" w:hAnsi="Palatino Linotype" w:cs="Times New Roman"/>
          <w:i/>
          <w:iCs/>
          <w:lang w:val="es-419" w:eastAsia="es-ES"/>
        </w:rPr>
        <w:t>, que</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estará sujeto a las siguientes bases mínimas:”</w:t>
      </w:r>
    </w:p>
    <w:p w14:paraId="1E16D6F7" w14:textId="77777777" w:rsidR="00AC0581" w:rsidRPr="00C6044C" w:rsidRDefault="00AC0581" w:rsidP="00AC0581">
      <w:pPr>
        <w:spacing w:after="0" w:line="240" w:lineRule="auto"/>
        <w:ind w:left="709" w:right="567"/>
        <w:jc w:val="both"/>
        <w:rPr>
          <w:rFonts w:ascii="Palatino Linotype" w:eastAsia="Times New Roman" w:hAnsi="Palatino Linotype" w:cs="Times New Roman"/>
          <w:i/>
          <w:iCs/>
          <w:lang w:val="es-419" w:eastAsia="es-ES"/>
        </w:rPr>
      </w:pPr>
    </w:p>
    <w:p w14:paraId="2DF3CEBD" w14:textId="0DFDABCF" w:rsidR="00C6044C" w:rsidRP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a) La regulación de la selección, ingreso, formación, permanencia, evaluación, reconocimiento y certificación de los integrantes de las instituciones de seguridad</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pública. La operación y desarrollo de estas acciones será competencia de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Federación, las entidades federativas y los Municipios en el ámbito de sus</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 xml:space="preserve">respectivas atribuciones. </w:t>
      </w:r>
    </w:p>
    <w:p w14:paraId="6C09EDE3" w14:textId="79357DE4" w:rsidR="00C6044C" w:rsidRP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b) El establecimiento de un sistema nacional de información en seguridad pública 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cargo de la Federación al que ésta, las entidades federativas y los Municipios, 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través de las dependencias responsables de la seguridad pública, proporcionarán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 xml:space="preserve">información de que dispongan en la materia, conforme a la ley… </w:t>
      </w:r>
    </w:p>
    <w:p w14:paraId="53F7FDBF" w14:textId="77777777" w:rsidR="00C6044C" w:rsidRP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proofErr w:type="gramStart"/>
      <w:r w:rsidRPr="00C6044C">
        <w:rPr>
          <w:rFonts w:ascii="Palatino Linotype" w:eastAsia="Times New Roman" w:hAnsi="Palatino Linotype" w:cs="Times New Roman"/>
          <w:i/>
          <w:iCs/>
          <w:lang w:val="es-419" w:eastAsia="es-ES"/>
        </w:rPr>
        <w:t>c) …</w:t>
      </w:r>
      <w:proofErr w:type="gramEnd"/>
    </w:p>
    <w:p w14:paraId="105A4151" w14:textId="7C0CD4B9" w:rsidR="00C6044C" w:rsidRP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La Federación contará con una institución policial de carácter civil denominada Guardia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Nacional, cuyos fines son los señalados en el párrafo noveno de este artículo,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coordinación y colaboración con las entidades federativas y Municipios, así como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salvaguarda de los bienes y recursos de la Nación.</w:t>
      </w:r>
    </w:p>
    <w:p w14:paraId="19F16059" w14:textId="3A5C640D" w:rsidR="00C6044C" w:rsidRP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La ley determinará la estructura orgánica y de dirección de la Guardia Nacional, que</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estará adscrita a la secretaría del ramo de seguridad pública, que formulará la Estrategia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Nacional de Seguridad Pública, los respectivos programas, políticas y acciones.</w:t>
      </w:r>
    </w:p>
    <w:p w14:paraId="6C15A5EA" w14:textId="4457F9E1" w:rsidR="00C6044C" w:rsidRPr="00C6044C" w:rsidRDefault="00C6044C" w:rsidP="00AC0581">
      <w:pPr>
        <w:spacing w:after="0" w:line="240" w:lineRule="auto"/>
        <w:ind w:left="709"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La formación y el desempeño de los integrantes de la Guardia Nacional y de las demás</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instituciones policiales se regirán por una doctrina policial fundada en el servicio a la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sociedad, la disciplina, el respeto a los derechos humanos, al imperio de la ley, al mando</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superior, y en lo conducente a la perspectiva de género.</w:t>
      </w:r>
    </w:p>
    <w:p w14:paraId="158AE85D" w14:textId="77777777"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 </w:t>
      </w:r>
    </w:p>
    <w:p w14:paraId="0D00F00F" w14:textId="77777777"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Y de la Ley General del Sistema Nacional de Seguridad Pública en su artículo 18:</w:t>
      </w:r>
    </w:p>
    <w:p w14:paraId="780632BB" w14:textId="77777777"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Artículo 18.- Corresponde al Secretario Ejecutivo del Sistema: </w:t>
      </w:r>
    </w:p>
    <w:p w14:paraId="20D5347C" w14:textId="77777777"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lastRenderedPageBreak/>
        <w:t>…</w:t>
      </w:r>
    </w:p>
    <w:p w14:paraId="065C19F0" w14:textId="26331711"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VIII. </w:t>
      </w:r>
      <w:r w:rsidRPr="00C6044C">
        <w:rPr>
          <w:rFonts w:ascii="Palatino Linotype" w:eastAsia="Times New Roman" w:hAnsi="Palatino Linotype" w:cs="Times New Roman"/>
          <w:b/>
          <w:bCs/>
          <w:i/>
          <w:iCs/>
          <w:lang w:val="es-419" w:eastAsia="es-ES"/>
        </w:rPr>
        <w:t>Verificar el cumplimiento de las disposiciones de esta Ley</w:t>
      </w:r>
      <w:r w:rsidRPr="00C6044C">
        <w:rPr>
          <w:rFonts w:ascii="Palatino Linotype" w:eastAsia="Times New Roman" w:hAnsi="Palatino Linotype" w:cs="Times New Roman"/>
          <w:i/>
          <w:iCs/>
          <w:lang w:val="es-419" w:eastAsia="es-ES"/>
        </w:rPr>
        <w:t>, los convenios</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generales y específicos en la materia, así como las demás disposiciones aplicables e</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informar lo conducente al Consejo Nacional;</w:t>
      </w:r>
    </w:p>
    <w:p w14:paraId="5AA93959" w14:textId="1720F0CB"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IX. Proponer al Consejo Nacional las políticas, lineamientos, protocolos y acciones para</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el buen desempeño de las Instituciones de Seguridad Pública;</w:t>
      </w:r>
    </w:p>
    <w:p w14:paraId="3E024FA2" w14:textId="522A12FA"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XV. </w:t>
      </w:r>
      <w:r w:rsidRPr="00C6044C">
        <w:rPr>
          <w:rFonts w:ascii="Palatino Linotype" w:eastAsia="Times New Roman" w:hAnsi="Palatino Linotype" w:cs="Times New Roman"/>
          <w:b/>
          <w:bCs/>
          <w:i/>
          <w:iCs/>
          <w:lang w:val="es-419" w:eastAsia="es-ES"/>
        </w:rPr>
        <w:t>Colaborar con las instituciones de seguridad pública que integran el Sistema,</w:t>
      </w:r>
      <w:r w:rsidR="00AC0581">
        <w:rPr>
          <w:rFonts w:ascii="Palatino Linotype" w:eastAsia="Times New Roman" w:hAnsi="Palatino Linotype" w:cs="Times New Roman"/>
          <w:b/>
          <w:bCs/>
          <w:i/>
          <w:iCs/>
          <w:lang w:val="es-419" w:eastAsia="es-ES"/>
        </w:rPr>
        <w:t xml:space="preserve"> </w:t>
      </w:r>
      <w:r w:rsidRPr="00C6044C">
        <w:rPr>
          <w:rFonts w:ascii="Palatino Linotype" w:eastAsia="Times New Roman" w:hAnsi="Palatino Linotype" w:cs="Times New Roman"/>
          <w:i/>
          <w:iCs/>
          <w:lang w:val="es-419" w:eastAsia="es-ES"/>
        </w:rPr>
        <w:t xml:space="preserve">para fortalecer y </w:t>
      </w:r>
      <w:proofErr w:type="spellStart"/>
      <w:r w:rsidRPr="00C6044C">
        <w:rPr>
          <w:rFonts w:ascii="Palatino Linotype" w:eastAsia="Times New Roman" w:hAnsi="Palatino Linotype" w:cs="Times New Roman"/>
          <w:i/>
          <w:iCs/>
          <w:lang w:val="es-419" w:eastAsia="es-ES"/>
        </w:rPr>
        <w:t>eficientar</w:t>
      </w:r>
      <w:proofErr w:type="spellEnd"/>
      <w:r w:rsidRPr="00C6044C">
        <w:rPr>
          <w:rFonts w:ascii="Palatino Linotype" w:eastAsia="Times New Roman" w:hAnsi="Palatino Linotype" w:cs="Times New Roman"/>
          <w:i/>
          <w:iCs/>
          <w:lang w:val="es-419" w:eastAsia="es-ES"/>
        </w:rPr>
        <w:t xml:space="preserve"> los mecanismos de coordinación; en especial en el impulso de</w:t>
      </w:r>
      <w:r w:rsidR="00AC0581">
        <w:rPr>
          <w:rFonts w:ascii="Palatino Linotype" w:eastAsia="Times New Roman" w:hAnsi="Palatino Linotype" w:cs="Times New Roman"/>
          <w:i/>
          <w:iCs/>
          <w:lang w:val="es-419" w:eastAsia="es-ES"/>
        </w:rPr>
        <w:t xml:space="preserve"> </w:t>
      </w:r>
      <w:r w:rsidRPr="00C6044C">
        <w:rPr>
          <w:rFonts w:ascii="Palatino Linotype" w:eastAsia="Times New Roman" w:hAnsi="Palatino Linotype" w:cs="Times New Roman"/>
          <w:i/>
          <w:iCs/>
          <w:lang w:val="es-419" w:eastAsia="es-ES"/>
        </w:rPr>
        <w:t>las carreras Ministerial, Policial y Pericial;</w:t>
      </w:r>
    </w:p>
    <w:p w14:paraId="79B5D749" w14:textId="77777777"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w:t>
      </w:r>
    </w:p>
    <w:p w14:paraId="36244AC0" w14:textId="741DFCE2"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XXIV. Coordinar la </w:t>
      </w:r>
      <w:r w:rsidRPr="00C6044C">
        <w:rPr>
          <w:rFonts w:ascii="Palatino Linotype" w:eastAsia="Times New Roman" w:hAnsi="Palatino Linotype" w:cs="Times New Roman"/>
          <w:b/>
          <w:bCs/>
          <w:i/>
          <w:iCs/>
          <w:lang w:val="es-419" w:eastAsia="es-ES"/>
        </w:rPr>
        <w:t>homologación de la Carrera Policial, la Profesionalización y el</w:t>
      </w:r>
      <w:r w:rsidR="00AC0581">
        <w:rPr>
          <w:rFonts w:ascii="Palatino Linotype" w:eastAsia="Times New Roman" w:hAnsi="Palatino Linotype" w:cs="Times New Roman"/>
          <w:b/>
          <w:bCs/>
          <w:i/>
          <w:iCs/>
          <w:lang w:val="es-419" w:eastAsia="es-ES"/>
        </w:rPr>
        <w:t xml:space="preserve"> </w:t>
      </w:r>
      <w:r w:rsidRPr="00C6044C">
        <w:rPr>
          <w:rFonts w:ascii="Palatino Linotype" w:eastAsia="Times New Roman" w:hAnsi="Palatino Linotype" w:cs="Times New Roman"/>
          <w:b/>
          <w:bCs/>
          <w:i/>
          <w:iCs/>
          <w:lang w:val="es-419" w:eastAsia="es-ES"/>
        </w:rPr>
        <w:t>Régimen Disciplinario en las Instituciones de Seguridad Pública,</w:t>
      </w:r>
      <w:r w:rsidRPr="00C6044C">
        <w:rPr>
          <w:rFonts w:ascii="Palatino Linotype" w:eastAsia="Times New Roman" w:hAnsi="Palatino Linotype" w:cs="Times New Roman"/>
          <w:i/>
          <w:iCs/>
          <w:lang w:val="es-419" w:eastAsia="es-ES"/>
        </w:rPr>
        <w:t xml:space="preserve"> y</w:t>
      </w:r>
    </w:p>
    <w:p w14:paraId="44AFBA95" w14:textId="29546F88"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p>
    <w:p w14:paraId="385670D1" w14:textId="15657BCF"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Se solicita remitir de manera electrónica, </w:t>
      </w:r>
      <w:r w:rsidRPr="00C6044C">
        <w:rPr>
          <w:rFonts w:ascii="Palatino Linotype" w:eastAsia="Times New Roman" w:hAnsi="Palatino Linotype" w:cs="Times New Roman"/>
          <w:i/>
          <w:iCs/>
          <w:u w:val="single"/>
          <w:lang w:val="es-419" w:eastAsia="es-ES"/>
        </w:rPr>
        <w:t>el soporte documental correspondiente de la información que obre</w:t>
      </w:r>
      <w:r w:rsidR="00AC0581" w:rsidRPr="00777011">
        <w:rPr>
          <w:rFonts w:ascii="Palatino Linotype" w:eastAsia="Times New Roman" w:hAnsi="Palatino Linotype" w:cs="Times New Roman"/>
          <w:i/>
          <w:iCs/>
          <w:u w:val="single"/>
          <w:lang w:val="es-419" w:eastAsia="es-ES"/>
        </w:rPr>
        <w:t xml:space="preserve"> </w:t>
      </w:r>
      <w:r w:rsidRPr="00C6044C">
        <w:rPr>
          <w:rFonts w:ascii="Palatino Linotype" w:eastAsia="Times New Roman" w:hAnsi="Palatino Linotype" w:cs="Times New Roman"/>
          <w:i/>
          <w:iCs/>
          <w:u w:val="single"/>
          <w:lang w:val="es-419" w:eastAsia="es-ES"/>
        </w:rPr>
        <w:t>en su acervo, especificando el nombre del archivo adjunto. En caso de no contar con el documento solicitado,</w:t>
      </w:r>
      <w:r w:rsidR="00AC0581" w:rsidRPr="00777011">
        <w:rPr>
          <w:rFonts w:ascii="Palatino Linotype" w:eastAsia="Times New Roman" w:hAnsi="Palatino Linotype" w:cs="Times New Roman"/>
          <w:i/>
          <w:iCs/>
          <w:u w:val="single"/>
          <w:lang w:val="es-419" w:eastAsia="es-ES"/>
        </w:rPr>
        <w:t xml:space="preserve"> </w:t>
      </w:r>
      <w:r w:rsidRPr="00C6044C">
        <w:rPr>
          <w:rFonts w:ascii="Palatino Linotype" w:eastAsia="Times New Roman" w:hAnsi="Palatino Linotype" w:cs="Times New Roman"/>
          <w:i/>
          <w:iCs/>
          <w:u w:val="single"/>
          <w:lang w:val="es-419" w:eastAsia="es-ES"/>
        </w:rPr>
        <w:t>responder</w:t>
      </w:r>
      <w:r w:rsidRPr="00C6044C">
        <w:rPr>
          <w:rFonts w:ascii="Palatino Linotype" w:eastAsia="Times New Roman" w:hAnsi="Palatino Linotype" w:cs="Times New Roman"/>
          <w:i/>
          <w:iCs/>
          <w:lang w:val="es-419" w:eastAsia="es-ES"/>
        </w:rPr>
        <w:t xml:space="preserve"> “no existe” en la casilla del nombre del archivo.  </w:t>
      </w:r>
    </w:p>
    <w:p w14:paraId="6732DEC3" w14:textId="77777777" w:rsidR="00C6044C" w:rsidRPr="00C6044C" w:rsidRDefault="00C6044C" w:rsidP="00C6044C">
      <w:pPr>
        <w:spacing w:after="0" w:line="240" w:lineRule="auto"/>
        <w:ind w:left="567" w:right="567"/>
        <w:jc w:val="both"/>
        <w:rPr>
          <w:rFonts w:ascii="Palatino Linotype" w:eastAsia="Times New Roman" w:hAnsi="Palatino Linotype" w:cs="Times New Roman"/>
          <w:b/>
          <w:bCs/>
          <w:i/>
          <w:iCs/>
          <w:lang w:val="es-419" w:eastAsia="es-ES"/>
        </w:rPr>
      </w:pPr>
    </w:p>
    <w:p w14:paraId="2598BAB4" w14:textId="77777777"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Tabla 1. General  </w:t>
      </w:r>
    </w:p>
    <w:p w14:paraId="1A8FBBF5" w14:textId="6366BBFE" w:rsidR="00C6044C" w:rsidRDefault="00C6044C" w:rsidP="00AC0581">
      <w:pPr>
        <w:spacing w:after="0" w:line="240" w:lineRule="auto"/>
        <w:ind w:left="567" w:right="567"/>
        <w:jc w:val="center"/>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noProof/>
          <w:lang w:eastAsia="es-MX"/>
        </w:rPr>
        <w:drawing>
          <wp:inline distT="0" distB="0" distL="0" distR="0" wp14:anchorId="0D24554F" wp14:editId="3E7EDABD">
            <wp:extent cx="2896614" cy="32772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3150" cy="3295917"/>
                    </a:xfrm>
                    <a:prstGeom prst="rect">
                      <a:avLst/>
                    </a:prstGeom>
                  </pic:spPr>
                </pic:pic>
              </a:graphicData>
            </a:graphic>
          </wp:inline>
        </w:drawing>
      </w:r>
    </w:p>
    <w:p w14:paraId="7746E506" w14:textId="568AC05D" w:rsidR="00C6044C" w:rsidRDefault="00C6044C" w:rsidP="00AC0581">
      <w:pPr>
        <w:spacing w:after="0" w:line="240" w:lineRule="auto"/>
        <w:ind w:left="567" w:right="567"/>
        <w:jc w:val="center"/>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noProof/>
          <w:lang w:eastAsia="es-MX"/>
        </w:rPr>
        <w:lastRenderedPageBreak/>
        <w:drawing>
          <wp:inline distT="0" distB="0" distL="0" distR="0" wp14:anchorId="24029A56" wp14:editId="4A468047">
            <wp:extent cx="4608807" cy="6064301"/>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3523" cy="6123139"/>
                    </a:xfrm>
                    <a:prstGeom prst="rect">
                      <a:avLst/>
                    </a:prstGeom>
                  </pic:spPr>
                </pic:pic>
              </a:graphicData>
            </a:graphic>
          </wp:inline>
        </w:drawing>
      </w:r>
    </w:p>
    <w:p w14:paraId="4211282E" w14:textId="1A760CD7" w:rsidR="00C6044C" w:rsidRDefault="00C6044C" w:rsidP="00AC0581">
      <w:pPr>
        <w:spacing w:after="0" w:line="240" w:lineRule="auto"/>
        <w:ind w:left="567" w:right="567"/>
        <w:jc w:val="center"/>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noProof/>
          <w:lang w:eastAsia="es-MX"/>
        </w:rPr>
        <w:lastRenderedPageBreak/>
        <w:drawing>
          <wp:inline distT="0" distB="0" distL="0" distR="0" wp14:anchorId="3DD75AD7" wp14:editId="09C4AF91">
            <wp:extent cx="5144218" cy="732574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218" cy="7325747"/>
                    </a:xfrm>
                    <a:prstGeom prst="rect">
                      <a:avLst/>
                    </a:prstGeom>
                  </pic:spPr>
                </pic:pic>
              </a:graphicData>
            </a:graphic>
          </wp:inline>
        </w:drawing>
      </w:r>
    </w:p>
    <w:p w14:paraId="3F4C1A5F" w14:textId="228C069D" w:rsidR="00C6044C" w:rsidRDefault="00C6044C" w:rsidP="00AC0581">
      <w:pPr>
        <w:spacing w:after="0" w:line="240" w:lineRule="auto"/>
        <w:ind w:left="567" w:right="567"/>
        <w:jc w:val="center"/>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noProof/>
          <w:lang w:eastAsia="es-MX"/>
        </w:rPr>
        <w:lastRenderedPageBreak/>
        <w:drawing>
          <wp:inline distT="0" distB="0" distL="0" distR="0" wp14:anchorId="70E67087" wp14:editId="72CF542E">
            <wp:extent cx="3673739" cy="2406701"/>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7305" cy="2415588"/>
                    </a:xfrm>
                    <a:prstGeom prst="rect">
                      <a:avLst/>
                    </a:prstGeom>
                  </pic:spPr>
                </pic:pic>
              </a:graphicData>
            </a:graphic>
          </wp:inline>
        </w:drawing>
      </w:r>
    </w:p>
    <w:p w14:paraId="42050C69" w14:textId="56B9E71E" w:rsid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p>
    <w:p w14:paraId="24AF9D3A" w14:textId="233C6F3B" w:rsidR="00C6044C" w:rsidRPr="00AC0581" w:rsidRDefault="00C6044C" w:rsidP="00C6044C">
      <w:pPr>
        <w:spacing w:after="0" w:line="240" w:lineRule="auto"/>
        <w:ind w:left="567" w:right="567"/>
        <w:jc w:val="both"/>
        <w:rPr>
          <w:rFonts w:ascii="Palatino Linotype" w:eastAsia="Times New Roman" w:hAnsi="Palatino Linotype" w:cs="Times New Roman"/>
          <w:b/>
          <w:bCs/>
          <w:i/>
          <w:iCs/>
          <w:lang w:val="es-419" w:eastAsia="es-ES"/>
        </w:rPr>
      </w:pPr>
      <w:r w:rsidRPr="00AC0581">
        <w:rPr>
          <w:rFonts w:ascii="Palatino Linotype" w:eastAsia="Times New Roman" w:hAnsi="Palatino Linotype" w:cs="Times New Roman"/>
          <w:b/>
          <w:bCs/>
          <w:i/>
          <w:iCs/>
          <w:lang w:val="es-419" w:eastAsia="es-ES"/>
        </w:rPr>
        <w:t xml:space="preserve">2. Favor de proporcionar la información requerida en las siguientes tablas. Los rubros que no sean respondidos se asumirán como no existentes. </w:t>
      </w:r>
    </w:p>
    <w:p w14:paraId="407467D5" w14:textId="77777777" w:rsid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p>
    <w:p w14:paraId="002F7FC2" w14:textId="6083EEFE" w:rsidR="00C6044C" w:rsidRP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 xml:space="preserve">Tabla 2 Estado de fuerza de la GN (sólo personal operativo) por escala jerárquica para los años 2023 y 2024. </w:t>
      </w:r>
    </w:p>
    <w:p w14:paraId="34E454F9" w14:textId="16DD68C4" w:rsidR="00C6044C" w:rsidRDefault="00C6044C" w:rsidP="00C6044C">
      <w:pPr>
        <w:spacing w:after="0" w:line="240" w:lineRule="auto"/>
        <w:ind w:left="567" w:right="567"/>
        <w:jc w:val="both"/>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lang w:val="es-419" w:eastAsia="es-ES"/>
        </w:rPr>
        <w:t>Indicar número.</w:t>
      </w:r>
    </w:p>
    <w:p w14:paraId="4708EB03" w14:textId="77777777" w:rsidR="00AC0581" w:rsidRPr="00C6044C" w:rsidRDefault="00AC0581" w:rsidP="00C6044C">
      <w:pPr>
        <w:spacing w:after="0" w:line="240" w:lineRule="auto"/>
        <w:ind w:left="567" w:right="567"/>
        <w:jc w:val="both"/>
        <w:rPr>
          <w:rFonts w:ascii="Palatino Linotype" w:eastAsia="Times New Roman" w:hAnsi="Palatino Linotype" w:cs="Times New Roman"/>
          <w:i/>
          <w:iCs/>
          <w:lang w:val="es-419" w:eastAsia="es-ES"/>
        </w:rPr>
      </w:pPr>
    </w:p>
    <w:p w14:paraId="7DFF39D6" w14:textId="1598D491" w:rsidR="00C6044C" w:rsidRPr="00C6044C" w:rsidRDefault="00C6044C" w:rsidP="00C6044C">
      <w:pPr>
        <w:spacing w:after="0" w:line="240" w:lineRule="auto"/>
        <w:ind w:left="567" w:right="567"/>
        <w:jc w:val="center"/>
        <w:rPr>
          <w:rFonts w:ascii="Palatino Linotype" w:eastAsia="Times New Roman" w:hAnsi="Palatino Linotype" w:cs="Times New Roman"/>
          <w:i/>
          <w:iCs/>
          <w:lang w:val="es-419" w:eastAsia="es-ES"/>
        </w:rPr>
      </w:pPr>
      <w:r w:rsidRPr="00C6044C">
        <w:rPr>
          <w:rFonts w:ascii="Palatino Linotype" w:eastAsia="Times New Roman" w:hAnsi="Palatino Linotype" w:cs="Times New Roman"/>
          <w:i/>
          <w:iCs/>
          <w:noProof/>
          <w:lang w:eastAsia="es-MX"/>
        </w:rPr>
        <w:drawing>
          <wp:inline distT="0" distB="0" distL="0" distR="0" wp14:anchorId="231F8988" wp14:editId="1F67AFDA">
            <wp:extent cx="3789274" cy="2187191"/>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3121" cy="2189411"/>
                    </a:xfrm>
                    <a:prstGeom prst="rect">
                      <a:avLst/>
                    </a:prstGeom>
                  </pic:spPr>
                </pic:pic>
              </a:graphicData>
            </a:graphic>
          </wp:inline>
        </w:drawing>
      </w:r>
    </w:p>
    <w:p w14:paraId="0BBA4D3C" w14:textId="4CC01CE3"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01210763" w14:textId="445F195F" w:rsidR="00C6044C" w:rsidRDefault="00C6044C" w:rsidP="00C6044C">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0F5D2908" wp14:editId="03FBD161">
            <wp:extent cx="5239481" cy="71447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9481" cy="7144747"/>
                    </a:xfrm>
                    <a:prstGeom prst="rect">
                      <a:avLst/>
                    </a:prstGeom>
                  </pic:spPr>
                </pic:pic>
              </a:graphicData>
            </a:graphic>
          </wp:inline>
        </w:drawing>
      </w:r>
    </w:p>
    <w:p w14:paraId="06D91863" w14:textId="518932C1"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176CF713" w14:textId="62214728" w:rsidR="00C6044C" w:rsidRDefault="00C6044C" w:rsidP="00AC0581">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31B3BC9F" wp14:editId="4683A6EA">
            <wp:extent cx="4801717" cy="648858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0356" cy="6500256"/>
                    </a:xfrm>
                    <a:prstGeom prst="rect">
                      <a:avLst/>
                    </a:prstGeom>
                  </pic:spPr>
                </pic:pic>
              </a:graphicData>
            </a:graphic>
          </wp:inline>
        </w:drawing>
      </w:r>
    </w:p>
    <w:p w14:paraId="5EB16310" w14:textId="56324EA1"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62FF4CF4" w14:textId="4B06DE36" w:rsidR="00C6044C" w:rsidRDefault="00C6044C" w:rsidP="00AC0581">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6187A996" wp14:editId="2C81D5E1">
            <wp:extent cx="5325218" cy="7430537"/>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5218" cy="7430537"/>
                    </a:xfrm>
                    <a:prstGeom prst="rect">
                      <a:avLst/>
                    </a:prstGeom>
                  </pic:spPr>
                </pic:pic>
              </a:graphicData>
            </a:graphic>
          </wp:inline>
        </w:drawing>
      </w:r>
    </w:p>
    <w:p w14:paraId="3EE405BF" w14:textId="5BCF0BDA" w:rsidR="00C6044C" w:rsidRDefault="00C6044C" w:rsidP="00C6044C">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31069C50" wp14:editId="65A7750A">
            <wp:extent cx="5363323" cy="7573432"/>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3323" cy="7573432"/>
                    </a:xfrm>
                    <a:prstGeom prst="rect">
                      <a:avLst/>
                    </a:prstGeom>
                  </pic:spPr>
                </pic:pic>
              </a:graphicData>
            </a:graphic>
          </wp:inline>
        </w:drawing>
      </w:r>
    </w:p>
    <w:p w14:paraId="1650D3AD" w14:textId="1303EF1B" w:rsidR="00C6044C" w:rsidRDefault="00C6044C" w:rsidP="00C6044C">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18F8A385" wp14:editId="15A5EE73">
            <wp:extent cx="5372850" cy="7363853"/>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850" cy="7363853"/>
                    </a:xfrm>
                    <a:prstGeom prst="rect">
                      <a:avLst/>
                    </a:prstGeom>
                  </pic:spPr>
                </pic:pic>
              </a:graphicData>
            </a:graphic>
          </wp:inline>
        </w:drawing>
      </w:r>
    </w:p>
    <w:p w14:paraId="5104597F" w14:textId="76F02209" w:rsidR="00C6044C" w:rsidRDefault="00C6044C" w:rsidP="00C6044C">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7556A708" wp14:editId="1852D02D">
            <wp:extent cx="5239481" cy="70494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481" cy="7049484"/>
                    </a:xfrm>
                    <a:prstGeom prst="rect">
                      <a:avLst/>
                    </a:prstGeom>
                  </pic:spPr>
                </pic:pic>
              </a:graphicData>
            </a:graphic>
          </wp:inline>
        </w:drawing>
      </w:r>
    </w:p>
    <w:p w14:paraId="6D42C459" w14:textId="35737C4D"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2A745417" w14:textId="4BCAC016"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3C37DBA4" w14:textId="4DBBD502" w:rsidR="00C6044C" w:rsidRDefault="00C6044C" w:rsidP="00C6044C">
      <w:pPr>
        <w:spacing w:after="0" w:line="240" w:lineRule="auto"/>
        <w:ind w:left="567" w:right="567"/>
        <w:jc w:val="center"/>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39E77C67" wp14:editId="009C4A9F">
            <wp:extent cx="5182323" cy="6544588"/>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2323" cy="6544588"/>
                    </a:xfrm>
                    <a:prstGeom prst="rect">
                      <a:avLst/>
                    </a:prstGeom>
                  </pic:spPr>
                </pic:pic>
              </a:graphicData>
            </a:graphic>
          </wp:inline>
        </w:drawing>
      </w:r>
    </w:p>
    <w:p w14:paraId="6FE900FB" w14:textId="58D7852F"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5F1D3A68" w14:textId="43582577"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27A213A2" wp14:editId="0FD7F9AF">
            <wp:extent cx="5258534" cy="7039957"/>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8534" cy="7039957"/>
                    </a:xfrm>
                    <a:prstGeom prst="rect">
                      <a:avLst/>
                    </a:prstGeom>
                  </pic:spPr>
                </pic:pic>
              </a:graphicData>
            </a:graphic>
          </wp:inline>
        </w:drawing>
      </w:r>
    </w:p>
    <w:p w14:paraId="38A8750A" w14:textId="319EE56A"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p>
    <w:p w14:paraId="37D3D2C0" w14:textId="0BDE9C5D"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76215181" wp14:editId="7740CB21">
            <wp:extent cx="5229955" cy="7344800"/>
            <wp:effectExtent l="0" t="0" r="889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9955" cy="7344800"/>
                    </a:xfrm>
                    <a:prstGeom prst="rect">
                      <a:avLst/>
                    </a:prstGeom>
                  </pic:spPr>
                </pic:pic>
              </a:graphicData>
            </a:graphic>
          </wp:inline>
        </w:drawing>
      </w:r>
    </w:p>
    <w:p w14:paraId="0836C592" w14:textId="176986D0"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46658CED" wp14:editId="40DC3A80">
            <wp:extent cx="5258534" cy="7459116"/>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8534" cy="7459116"/>
                    </a:xfrm>
                    <a:prstGeom prst="rect">
                      <a:avLst/>
                    </a:prstGeom>
                  </pic:spPr>
                </pic:pic>
              </a:graphicData>
            </a:graphic>
          </wp:inline>
        </w:drawing>
      </w:r>
    </w:p>
    <w:p w14:paraId="5E0D6936" w14:textId="36CA04E9"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7F2B3D6D" wp14:editId="38E0762F">
            <wp:extent cx="5487166" cy="734480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7166" cy="7344800"/>
                    </a:xfrm>
                    <a:prstGeom prst="rect">
                      <a:avLst/>
                    </a:prstGeom>
                  </pic:spPr>
                </pic:pic>
              </a:graphicData>
            </a:graphic>
          </wp:inline>
        </w:drawing>
      </w:r>
    </w:p>
    <w:p w14:paraId="7EA5C46C" w14:textId="4EF12911"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14C1409A" wp14:editId="54D81C1A">
            <wp:extent cx="5334744" cy="739243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4744" cy="7392432"/>
                    </a:xfrm>
                    <a:prstGeom prst="rect">
                      <a:avLst/>
                    </a:prstGeom>
                  </pic:spPr>
                </pic:pic>
              </a:graphicData>
            </a:graphic>
          </wp:inline>
        </w:drawing>
      </w:r>
    </w:p>
    <w:p w14:paraId="58CBA327" w14:textId="5E76B678"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0B42F5D6" wp14:editId="22DDB6DC">
            <wp:extent cx="5306165" cy="7573432"/>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6165" cy="7573432"/>
                    </a:xfrm>
                    <a:prstGeom prst="rect">
                      <a:avLst/>
                    </a:prstGeom>
                  </pic:spPr>
                </pic:pic>
              </a:graphicData>
            </a:graphic>
          </wp:inline>
        </w:drawing>
      </w:r>
    </w:p>
    <w:p w14:paraId="65F34713" w14:textId="29D7A917"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517EA08F" wp14:editId="01E2798D">
            <wp:extent cx="5306165" cy="7611537"/>
            <wp:effectExtent l="0" t="0" r="889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6165" cy="7611537"/>
                    </a:xfrm>
                    <a:prstGeom prst="rect">
                      <a:avLst/>
                    </a:prstGeom>
                  </pic:spPr>
                </pic:pic>
              </a:graphicData>
            </a:graphic>
          </wp:inline>
        </w:drawing>
      </w:r>
    </w:p>
    <w:p w14:paraId="675FF50B" w14:textId="4A07250A"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091E184B" wp14:editId="6296B0BD">
            <wp:extent cx="5277587" cy="7535327"/>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7587" cy="7535327"/>
                    </a:xfrm>
                    <a:prstGeom prst="rect">
                      <a:avLst/>
                    </a:prstGeom>
                  </pic:spPr>
                </pic:pic>
              </a:graphicData>
            </a:graphic>
          </wp:inline>
        </w:drawing>
      </w:r>
    </w:p>
    <w:p w14:paraId="0F24DD6F" w14:textId="63461F1B" w:rsidR="00C6044C" w:rsidRDefault="00C6044C" w:rsidP="00C6044C">
      <w:pPr>
        <w:spacing w:after="0" w:line="240" w:lineRule="auto"/>
        <w:ind w:left="567" w:right="567"/>
        <w:jc w:val="both"/>
        <w:rPr>
          <w:rFonts w:ascii="Palatino Linotype" w:eastAsia="Times New Roman" w:hAnsi="Palatino Linotype" w:cs="Times New Roman"/>
          <w:i/>
          <w:iCs/>
          <w:lang w:val="es-ES_tradnl" w:eastAsia="es-ES"/>
        </w:rPr>
      </w:pPr>
      <w:r w:rsidRPr="00C6044C">
        <w:rPr>
          <w:rFonts w:ascii="Palatino Linotype" w:eastAsia="Times New Roman" w:hAnsi="Palatino Linotype" w:cs="Times New Roman"/>
          <w:i/>
          <w:iCs/>
          <w:noProof/>
          <w:lang w:eastAsia="es-MX"/>
        </w:rPr>
        <w:lastRenderedPageBreak/>
        <w:drawing>
          <wp:inline distT="0" distB="0" distL="0" distR="0" wp14:anchorId="1424402E" wp14:editId="4DBED15E">
            <wp:extent cx="5287113" cy="65731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7113" cy="657317"/>
                    </a:xfrm>
                    <a:prstGeom prst="rect">
                      <a:avLst/>
                    </a:prstGeom>
                  </pic:spPr>
                </pic:pic>
              </a:graphicData>
            </a:graphic>
          </wp:inline>
        </w:drawing>
      </w:r>
    </w:p>
    <w:p w14:paraId="333F40C7" w14:textId="77777777" w:rsidR="00C6044C" w:rsidRDefault="00C6044C" w:rsidP="00390FFA">
      <w:pPr>
        <w:spacing w:after="0" w:line="360" w:lineRule="auto"/>
        <w:jc w:val="both"/>
        <w:rPr>
          <w:rFonts w:ascii="Palatino Linotype" w:eastAsia="Times New Roman" w:hAnsi="Palatino Linotype" w:cs="Times New Roman"/>
          <w:sz w:val="24"/>
          <w:szCs w:val="24"/>
          <w:lang w:val="es-ES_tradnl" w:eastAsia="es-ES"/>
        </w:rPr>
      </w:pPr>
    </w:p>
    <w:p w14:paraId="510D9153" w14:textId="49A3FD75" w:rsidR="0009491C" w:rsidRDefault="0009491C" w:rsidP="00390FFA">
      <w:pPr>
        <w:spacing w:after="0" w:line="360" w:lineRule="auto"/>
        <w:jc w:val="both"/>
        <w:rPr>
          <w:rFonts w:ascii="Palatino Linotype" w:eastAsia="Times New Roman" w:hAnsi="Palatino Linotype" w:cs="Times New Roman"/>
          <w:sz w:val="24"/>
          <w:szCs w:val="24"/>
          <w:lang w:val="es-ES_tradnl" w:eastAsia="es-ES"/>
        </w:rPr>
      </w:pPr>
      <w:r w:rsidRPr="00360DF2">
        <w:rPr>
          <w:rFonts w:ascii="Palatino Linotype" w:eastAsia="Times New Roman" w:hAnsi="Palatino Linotype" w:cs="Times New Roman"/>
          <w:sz w:val="24"/>
          <w:szCs w:val="24"/>
          <w:lang w:val="es-ES_tradnl" w:eastAsia="es-ES"/>
        </w:rPr>
        <w:t xml:space="preserve">Modalidad de entrega: </w:t>
      </w:r>
      <w:r w:rsidR="003960E0" w:rsidRPr="003960E0">
        <w:rPr>
          <w:rFonts w:ascii="Palatino Linotype" w:eastAsia="Times New Roman" w:hAnsi="Palatino Linotype" w:cs="Times New Roman"/>
          <w:b/>
          <w:i/>
          <w:sz w:val="24"/>
          <w:szCs w:val="24"/>
          <w:lang w:val="es-ES_tradnl" w:eastAsia="es-ES"/>
        </w:rPr>
        <w:t>Correo electrónico</w:t>
      </w:r>
      <w:r w:rsidR="003960E0">
        <w:rPr>
          <w:rFonts w:ascii="Palatino Linotype" w:eastAsia="Times New Roman" w:hAnsi="Palatino Linotype" w:cs="Times New Roman"/>
          <w:b/>
          <w:i/>
          <w:sz w:val="24"/>
          <w:szCs w:val="24"/>
          <w:lang w:val="es-ES_tradnl" w:eastAsia="es-ES"/>
        </w:rPr>
        <w:t xml:space="preserve"> y </w:t>
      </w:r>
      <w:r w:rsidR="003960E0" w:rsidRPr="003960E0">
        <w:rPr>
          <w:rFonts w:ascii="Palatino Linotype" w:eastAsia="Times New Roman" w:hAnsi="Palatino Linotype" w:cs="Times New Roman"/>
          <w:b/>
          <w:i/>
          <w:sz w:val="24"/>
          <w:szCs w:val="24"/>
          <w:lang w:val="es-ES_tradnl" w:eastAsia="es-ES"/>
        </w:rPr>
        <w:t>Electrónico a través del sistema de solicitudes de acceso la</w:t>
      </w:r>
      <w:r w:rsidR="003960E0">
        <w:rPr>
          <w:rFonts w:ascii="Palatino Linotype" w:eastAsia="Times New Roman" w:hAnsi="Palatino Linotype" w:cs="Times New Roman"/>
          <w:b/>
          <w:i/>
          <w:sz w:val="24"/>
          <w:szCs w:val="24"/>
          <w:lang w:val="es-ES_tradnl" w:eastAsia="es-ES"/>
        </w:rPr>
        <w:t xml:space="preserve"> Plataforma Nacional de Transparencia</w:t>
      </w:r>
    </w:p>
    <w:p w14:paraId="6F47551F" w14:textId="77777777" w:rsidR="003960E0" w:rsidRPr="00B075DB" w:rsidRDefault="003960E0" w:rsidP="00390FFA">
      <w:pPr>
        <w:spacing w:after="0" w:line="360" w:lineRule="auto"/>
        <w:jc w:val="both"/>
        <w:rPr>
          <w:rFonts w:ascii="Palatino Linotype" w:eastAsia="Times New Roman" w:hAnsi="Palatino Linotype" w:cs="Times New Roman"/>
          <w:sz w:val="24"/>
          <w:szCs w:val="24"/>
          <w:lang w:val="es-ES_tradnl" w:eastAsia="es-ES"/>
        </w:rPr>
      </w:pPr>
    </w:p>
    <w:p w14:paraId="0EAC54C1" w14:textId="47C5064F" w:rsidR="0009491C" w:rsidRDefault="0009491C" w:rsidP="00390FFA">
      <w:pPr>
        <w:pBdr>
          <w:top w:val="nil"/>
          <w:left w:val="nil"/>
          <w:bottom w:val="nil"/>
          <w:right w:val="nil"/>
          <w:between w:val="nil"/>
        </w:pBdr>
        <w:spacing w:after="0" w:line="360" w:lineRule="auto"/>
        <w:contextualSpacing/>
        <w:jc w:val="both"/>
        <w:rPr>
          <w:rFonts w:ascii="Palatino Linotype" w:hAnsi="Palatino Linotype" w:cs="Arial"/>
          <w:sz w:val="24"/>
          <w:szCs w:val="24"/>
        </w:rPr>
      </w:pPr>
      <w:r w:rsidRPr="00360DF2">
        <w:rPr>
          <w:rFonts w:ascii="Palatino Linotype" w:eastAsia="Palatino Linotype" w:hAnsi="Palatino Linotype" w:cs="Palatino Linotype"/>
          <w:b/>
          <w:color w:val="000000"/>
          <w:sz w:val="28"/>
          <w:szCs w:val="26"/>
        </w:rPr>
        <w:t>SEGUNDO</w:t>
      </w:r>
      <w:r w:rsidRPr="00360DF2">
        <w:rPr>
          <w:rFonts w:ascii="Palatino Linotype" w:eastAsia="Palatino Linotype" w:hAnsi="Palatino Linotype" w:cs="Palatino Linotype"/>
          <w:b/>
          <w:color w:val="000000"/>
          <w:sz w:val="26"/>
          <w:szCs w:val="26"/>
        </w:rPr>
        <w:t xml:space="preserve">. </w:t>
      </w:r>
      <w:r w:rsidR="00946989">
        <w:rPr>
          <w:rFonts w:ascii="Palatino Linotype" w:hAnsi="Palatino Linotype" w:cs="Arial"/>
          <w:sz w:val="24"/>
          <w:szCs w:val="24"/>
        </w:rPr>
        <w:t>De conformidad con las constancias que integran el expediente electrónico, se observa que</w:t>
      </w:r>
      <w:r w:rsidR="003321A2">
        <w:rPr>
          <w:rFonts w:ascii="Palatino Linotype" w:hAnsi="Palatino Linotype" w:cs="Arial"/>
          <w:sz w:val="24"/>
          <w:szCs w:val="24"/>
        </w:rPr>
        <w:t xml:space="preserve">, en fecha </w:t>
      </w:r>
      <w:r w:rsidR="00AC0581">
        <w:rPr>
          <w:rFonts w:ascii="Palatino Linotype" w:hAnsi="Palatino Linotype" w:cs="Arial"/>
          <w:sz w:val="24"/>
          <w:szCs w:val="24"/>
        </w:rPr>
        <w:t xml:space="preserve">nueve de octubre </w:t>
      </w:r>
      <w:r w:rsidR="003321A2">
        <w:rPr>
          <w:rFonts w:ascii="Palatino Linotype" w:hAnsi="Palatino Linotype" w:cs="Arial"/>
          <w:sz w:val="24"/>
          <w:szCs w:val="24"/>
        </w:rPr>
        <w:t xml:space="preserve">de dos mil veinticuatro, </w:t>
      </w:r>
      <w:r w:rsidR="00946989">
        <w:rPr>
          <w:rFonts w:ascii="Palatino Linotype" w:hAnsi="Palatino Linotype" w:cs="Arial"/>
          <w:sz w:val="24"/>
          <w:szCs w:val="24"/>
        </w:rPr>
        <w:t xml:space="preserve">el </w:t>
      </w:r>
      <w:r w:rsidR="00946989" w:rsidRPr="00946989">
        <w:rPr>
          <w:rFonts w:ascii="Palatino Linotype" w:hAnsi="Palatino Linotype" w:cs="Arial"/>
          <w:b/>
          <w:sz w:val="24"/>
          <w:szCs w:val="24"/>
        </w:rPr>
        <w:t>Sujeto Obligado</w:t>
      </w:r>
      <w:r w:rsidR="00946989">
        <w:rPr>
          <w:rFonts w:ascii="Palatino Linotype" w:hAnsi="Palatino Linotype" w:cs="Arial"/>
          <w:sz w:val="24"/>
          <w:szCs w:val="24"/>
        </w:rPr>
        <w:t xml:space="preserve"> </w:t>
      </w:r>
      <w:r w:rsidR="00AC0581">
        <w:rPr>
          <w:rFonts w:ascii="Palatino Linotype" w:hAnsi="Palatino Linotype" w:cs="Arial"/>
          <w:sz w:val="24"/>
          <w:szCs w:val="24"/>
        </w:rPr>
        <w:t xml:space="preserve">notificó su </w:t>
      </w:r>
      <w:r w:rsidR="00AC0581" w:rsidRPr="00AC0581">
        <w:rPr>
          <w:rFonts w:ascii="Palatino Linotype" w:hAnsi="Palatino Linotype" w:cs="Arial"/>
          <w:b/>
          <w:bCs/>
          <w:sz w:val="24"/>
          <w:szCs w:val="24"/>
        </w:rPr>
        <w:t>notoria incompetencia</w:t>
      </w:r>
      <w:r w:rsidR="00AC0581">
        <w:rPr>
          <w:rFonts w:ascii="Palatino Linotype" w:hAnsi="Palatino Linotype" w:cs="Arial"/>
          <w:sz w:val="24"/>
          <w:szCs w:val="24"/>
        </w:rPr>
        <w:t>,</w:t>
      </w:r>
      <w:r w:rsidR="003321A2">
        <w:rPr>
          <w:rFonts w:ascii="Palatino Linotype" w:hAnsi="Palatino Linotype" w:cs="Arial"/>
          <w:sz w:val="24"/>
          <w:szCs w:val="24"/>
        </w:rPr>
        <w:t xml:space="preserve"> en los términos siguientes:</w:t>
      </w:r>
    </w:p>
    <w:p w14:paraId="3F85D761" w14:textId="0CA47CCF" w:rsidR="003321A2" w:rsidRDefault="003321A2" w:rsidP="00390FFA">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1D54B923" w14:textId="07E91CFE" w:rsidR="003321A2" w:rsidRPr="003321A2" w:rsidRDefault="003321A2" w:rsidP="003321A2">
      <w:pPr>
        <w:pBdr>
          <w:top w:val="nil"/>
          <w:left w:val="nil"/>
          <w:bottom w:val="nil"/>
          <w:right w:val="nil"/>
          <w:between w:val="nil"/>
        </w:pBdr>
        <w:spacing w:after="0" w:line="240" w:lineRule="auto"/>
        <w:ind w:left="567" w:right="567"/>
        <w:contextualSpacing/>
        <w:jc w:val="both"/>
        <w:rPr>
          <w:rFonts w:ascii="Palatino Linotype" w:hAnsi="Palatino Linotype" w:cs="Arial"/>
          <w:i/>
          <w:iCs/>
        </w:rPr>
      </w:pPr>
      <w:r>
        <w:rPr>
          <w:rFonts w:ascii="Palatino Linotype" w:hAnsi="Palatino Linotype" w:cs="Arial"/>
          <w:i/>
          <w:iCs/>
        </w:rPr>
        <w:t>“</w:t>
      </w:r>
      <w:r w:rsidR="00AC0581" w:rsidRPr="00AC0581">
        <w:rPr>
          <w:rFonts w:ascii="Palatino Linotype" w:hAnsi="Palatino Linotype" w:cs="Arial"/>
          <w:i/>
          <w:iCs/>
        </w:rPr>
        <w:t>La Unidad de Transparencia del Secretariado Ejecutivo del Sistema Estatal de Seguridad Pública, atiende la solicitud de información pública mediante oficio 206B0110000100S/SP/UT/593/2024, de fecha 09 de octubre del 2024, el cual también ha sido enviado al correo electrónico proporcionado.</w:t>
      </w:r>
      <w:r>
        <w:rPr>
          <w:rFonts w:ascii="Palatino Linotype" w:hAnsi="Palatino Linotype" w:cs="Arial"/>
          <w:i/>
          <w:iCs/>
        </w:rPr>
        <w:t>”</w:t>
      </w:r>
    </w:p>
    <w:p w14:paraId="3A4DFE8B" w14:textId="5D2AFBC0" w:rsidR="003321A2" w:rsidRDefault="003321A2" w:rsidP="00390FFA">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5508EC1C" w14:textId="144F7047" w:rsidR="003321A2" w:rsidRPr="003321A2" w:rsidRDefault="003321A2" w:rsidP="00AC0581">
      <w:pPr>
        <w:pBdr>
          <w:top w:val="nil"/>
          <w:left w:val="nil"/>
          <w:bottom w:val="nil"/>
          <w:right w:val="nil"/>
          <w:between w:val="nil"/>
        </w:pBdr>
        <w:spacing w:after="0" w:line="360" w:lineRule="auto"/>
        <w:contextualSpacing/>
        <w:jc w:val="both"/>
        <w:rPr>
          <w:rFonts w:ascii="Palatino Linotype" w:hAnsi="Palatino Linotype" w:cs="Arial"/>
          <w:sz w:val="24"/>
          <w:szCs w:val="24"/>
        </w:rPr>
      </w:pPr>
      <w:r>
        <w:rPr>
          <w:rFonts w:ascii="Palatino Linotype" w:hAnsi="Palatino Linotype" w:cs="Arial"/>
          <w:sz w:val="24"/>
          <w:szCs w:val="24"/>
        </w:rPr>
        <w:t xml:space="preserve">Asimismo, se hace constar que adjuntó los documentos electrónicos denominados </w:t>
      </w:r>
      <w:r>
        <w:rPr>
          <w:rFonts w:ascii="Palatino Linotype" w:hAnsi="Palatino Linotype" w:cs="Arial"/>
          <w:i/>
          <w:iCs/>
          <w:sz w:val="24"/>
          <w:szCs w:val="24"/>
        </w:rPr>
        <w:t>“</w:t>
      </w:r>
      <w:r w:rsidR="00AC0581" w:rsidRPr="00AC0581">
        <w:rPr>
          <w:rFonts w:ascii="Palatino Linotype" w:hAnsi="Palatino Linotype" w:cs="Arial"/>
          <w:b/>
          <w:bCs/>
          <w:i/>
          <w:iCs/>
          <w:sz w:val="24"/>
          <w:szCs w:val="24"/>
        </w:rPr>
        <w:t>Correo Respuesta 00164.pdf</w:t>
      </w:r>
      <w:r w:rsidR="00AC0581" w:rsidRPr="00AC0581">
        <w:rPr>
          <w:rFonts w:ascii="Palatino Linotype" w:hAnsi="Palatino Linotype" w:cs="Arial"/>
          <w:sz w:val="24"/>
          <w:szCs w:val="24"/>
        </w:rPr>
        <w:t xml:space="preserve"> y </w:t>
      </w:r>
      <w:r w:rsidR="00AC0581" w:rsidRPr="00AC0581">
        <w:rPr>
          <w:rFonts w:ascii="Palatino Linotype" w:hAnsi="Palatino Linotype" w:cs="Arial"/>
          <w:b/>
          <w:bCs/>
          <w:i/>
          <w:iCs/>
          <w:sz w:val="24"/>
          <w:szCs w:val="24"/>
        </w:rPr>
        <w:t>Respuesta 00164.pdf</w:t>
      </w:r>
      <w:r>
        <w:rPr>
          <w:rFonts w:ascii="Palatino Linotype" w:hAnsi="Palatino Linotype" w:cs="Arial"/>
          <w:i/>
          <w:iCs/>
          <w:sz w:val="24"/>
          <w:szCs w:val="24"/>
        </w:rPr>
        <w:t>”</w:t>
      </w:r>
      <w:r>
        <w:rPr>
          <w:rFonts w:ascii="Palatino Linotype" w:hAnsi="Palatino Linotype" w:cs="Arial"/>
          <w:sz w:val="24"/>
          <w:szCs w:val="24"/>
        </w:rPr>
        <w:t>, los cuales se omite la descripción de su contenido en este apartado, atendiendo que serán objeto de estudio en párrafos posteriores, ello en obvio de repeticiones innecesarias.</w:t>
      </w:r>
    </w:p>
    <w:p w14:paraId="043C27CA" w14:textId="77777777" w:rsidR="0048739B" w:rsidRPr="00360DF2" w:rsidRDefault="0048739B" w:rsidP="00390FFA">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12CF224A" w14:textId="2C03217C" w:rsidR="0009491C" w:rsidRDefault="0048739B" w:rsidP="00390FFA">
      <w:pPr>
        <w:spacing w:after="0" w:line="360" w:lineRule="auto"/>
        <w:jc w:val="both"/>
        <w:rPr>
          <w:rFonts w:ascii="Palatino Linotype" w:hAnsi="Palatino Linotype" w:cs="Arial"/>
          <w:sz w:val="24"/>
          <w:szCs w:val="24"/>
        </w:rPr>
      </w:pPr>
      <w:r>
        <w:rPr>
          <w:rFonts w:ascii="Palatino Linotype" w:hAnsi="Palatino Linotype" w:cs="Arial"/>
          <w:b/>
          <w:sz w:val="28"/>
          <w:szCs w:val="24"/>
        </w:rPr>
        <w:t>TERCERO</w:t>
      </w:r>
      <w:r w:rsidR="0009491C" w:rsidRPr="00360DF2">
        <w:rPr>
          <w:rFonts w:ascii="Palatino Linotype" w:hAnsi="Palatino Linotype" w:cs="Arial"/>
          <w:b/>
          <w:sz w:val="24"/>
          <w:szCs w:val="24"/>
        </w:rPr>
        <w:t xml:space="preserve">. </w:t>
      </w:r>
      <w:r w:rsidR="0009491C" w:rsidRPr="00360DF2">
        <w:rPr>
          <w:rFonts w:ascii="Palatino Linotype" w:hAnsi="Palatino Linotype" w:cs="Arial"/>
          <w:sz w:val="24"/>
          <w:szCs w:val="24"/>
        </w:rPr>
        <w:t xml:space="preserve">Inconforme ante la respuesta del </w:t>
      </w:r>
      <w:r w:rsidR="0009491C" w:rsidRPr="00360DF2">
        <w:rPr>
          <w:rFonts w:ascii="Palatino Linotype" w:hAnsi="Palatino Linotype" w:cs="Arial"/>
          <w:b/>
          <w:sz w:val="24"/>
          <w:szCs w:val="24"/>
        </w:rPr>
        <w:t>Sujeto Obligado</w:t>
      </w:r>
      <w:r w:rsidR="0009491C" w:rsidRPr="00360DF2">
        <w:rPr>
          <w:rFonts w:ascii="Palatino Linotype" w:hAnsi="Palatino Linotype" w:cs="Arial"/>
          <w:sz w:val="24"/>
          <w:szCs w:val="24"/>
        </w:rPr>
        <w:t xml:space="preserve">, </w:t>
      </w:r>
      <w:r w:rsidR="0061125D">
        <w:rPr>
          <w:rFonts w:ascii="Palatino Linotype" w:hAnsi="Palatino Linotype" w:cs="Arial"/>
          <w:sz w:val="24"/>
          <w:szCs w:val="24"/>
        </w:rPr>
        <w:t>la parte</w:t>
      </w:r>
      <w:r w:rsidR="0009491C" w:rsidRPr="00360DF2">
        <w:rPr>
          <w:rFonts w:ascii="Palatino Linotype" w:hAnsi="Palatino Linotype" w:cs="Arial"/>
          <w:sz w:val="24"/>
          <w:szCs w:val="24"/>
        </w:rPr>
        <w:t xml:space="preserve"> </w:t>
      </w:r>
      <w:r w:rsidR="0009491C" w:rsidRPr="00360DF2">
        <w:rPr>
          <w:rFonts w:ascii="Palatino Linotype" w:hAnsi="Palatino Linotype" w:cs="Arial"/>
          <w:b/>
          <w:sz w:val="24"/>
          <w:szCs w:val="24"/>
        </w:rPr>
        <w:t>Recurrente</w:t>
      </w:r>
      <w:r w:rsidR="0009491C" w:rsidRPr="00360DF2">
        <w:rPr>
          <w:rFonts w:ascii="Palatino Linotype" w:hAnsi="Palatino Linotype" w:cs="Arial"/>
          <w:sz w:val="24"/>
          <w:szCs w:val="24"/>
        </w:rPr>
        <w:t xml:space="preserve"> en fecha </w:t>
      </w:r>
      <w:r w:rsidR="00AC0581">
        <w:rPr>
          <w:rFonts w:ascii="Palatino Linotype" w:hAnsi="Palatino Linotype" w:cs="Arial"/>
          <w:sz w:val="24"/>
          <w:szCs w:val="24"/>
        </w:rPr>
        <w:t xml:space="preserve">nueve de octubre de </w:t>
      </w:r>
      <w:r w:rsidR="00390FFA">
        <w:rPr>
          <w:rFonts w:ascii="Palatino Linotype" w:hAnsi="Palatino Linotype" w:cs="Arial"/>
          <w:sz w:val="24"/>
          <w:szCs w:val="24"/>
        </w:rPr>
        <w:t>dos mil veinticuatro</w:t>
      </w:r>
      <w:r w:rsidR="0009491C" w:rsidRPr="00360DF2">
        <w:rPr>
          <w:rFonts w:ascii="Palatino Linotype" w:hAnsi="Palatino Linotype" w:cs="Arial"/>
          <w:sz w:val="24"/>
          <w:szCs w:val="24"/>
        </w:rPr>
        <w:t>, interpuso recurso de revisión, que fue registrado</w:t>
      </w:r>
      <w:r w:rsidR="0009491C" w:rsidRPr="00360DF2">
        <w:rPr>
          <w:rFonts w:ascii="Palatino Linotype" w:hAnsi="Palatino Linotype" w:cs="Arial"/>
          <w:b/>
          <w:sz w:val="24"/>
          <w:szCs w:val="24"/>
        </w:rPr>
        <w:t xml:space="preserve"> </w:t>
      </w:r>
      <w:r w:rsidR="0009491C" w:rsidRPr="00360DF2">
        <w:rPr>
          <w:rFonts w:ascii="Palatino Linotype" w:hAnsi="Palatino Linotype" w:cs="Arial"/>
          <w:sz w:val="24"/>
          <w:szCs w:val="24"/>
        </w:rPr>
        <w:t xml:space="preserve">en el sistema electrónico con número de expediente </w:t>
      </w:r>
      <w:r w:rsidR="003960E0">
        <w:rPr>
          <w:rFonts w:ascii="Palatino Linotype" w:hAnsi="Palatino Linotype" w:cs="Arial"/>
          <w:b/>
          <w:bCs/>
          <w:sz w:val="24"/>
          <w:szCs w:val="24"/>
          <w:lang w:eastAsia="es-MX"/>
        </w:rPr>
        <w:t>06085/INFOEM/IP/RR/2024</w:t>
      </w:r>
      <w:r w:rsidR="0009491C" w:rsidRPr="00360DF2">
        <w:rPr>
          <w:rFonts w:ascii="Palatino Linotype" w:hAnsi="Palatino Linotype" w:cs="Arial"/>
          <w:sz w:val="24"/>
          <w:szCs w:val="24"/>
        </w:rPr>
        <w:t>, aduciendo como acto impugnado</w:t>
      </w:r>
      <w:r w:rsidR="00390FFA">
        <w:rPr>
          <w:rFonts w:ascii="Palatino Linotype" w:hAnsi="Palatino Linotype" w:cs="Arial"/>
          <w:sz w:val="24"/>
          <w:szCs w:val="24"/>
        </w:rPr>
        <w:t xml:space="preserve"> y razones o motivos de inconformidad</w:t>
      </w:r>
      <w:r w:rsidR="003321A2">
        <w:rPr>
          <w:rFonts w:ascii="Palatino Linotype" w:hAnsi="Palatino Linotype" w:cs="Arial"/>
          <w:sz w:val="24"/>
          <w:szCs w:val="24"/>
        </w:rPr>
        <w:t xml:space="preserve"> los </w:t>
      </w:r>
      <w:r w:rsidR="00AC0581">
        <w:rPr>
          <w:rFonts w:ascii="Palatino Linotype" w:hAnsi="Palatino Linotype" w:cs="Arial"/>
          <w:sz w:val="24"/>
          <w:szCs w:val="24"/>
        </w:rPr>
        <w:t>siguientes</w:t>
      </w:r>
      <w:r w:rsidR="0009491C" w:rsidRPr="00360DF2">
        <w:rPr>
          <w:rFonts w:ascii="Palatino Linotype" w:hAnsi="Palatino Linotype" w:cs="Arial"/>
          <w:sz w:val="24"/>
          <w:szCs w:val="24"/>
        </w:rPr>
        <w:t>:</w:t>
      </w:r>
    </w:p>
    <w:p w14:paraId="094E70E8" w14:textId="4B08BFD7" w:rsidR="0009491C" w:rsidRPr="00360DF2" w:rsidRDefault="0009491C" w:rsidP="00390FFA">
      <w:pPr>
        <w:pStyle w:val="Prrafodelista"/>
        <w:spacing w:line="360" w:lineRule="auto"/>
        <w:ind w:left="0"/>
        <w:jc w:val="both"/>
        <w:rPr>
          <w:rFonts w:ascii="Palatino Linotype" w:hAnsi="Palatino Linotype" w:cs="Arial"/>
          <w:b/>
        </w:rPr>
      </w:pPr>
      <w:r w:rsidRPr="00360DF2">
        <w:rPr>
          <w:rFonts w:ascii="Palatino Linotype" w:hAnsi="Palatino Linotype" w:cs="Arial"/>
          <w:b/>
        </w:rPr>
        <w:lastRenderedPageBreak/>
        <w:t>Acto Impugnado</w:t>
      </w:r>
      <w:r w:rsidR="003321A2">
        <w:rPr>
          <w:rFonts w:ascii="Palatino Linotype" w:hAnsi="Palatino Linotype" w:cs="Arial"/>
          <w:b/>
        </w:rPr>
        <w:t xml:space="preserve"> y razones o motivos de inconformidad:</w:t>
      </w:r>
    </w:p>
    <w:p w14:paraId="214E3AA4" w14:textId="77777777" w:rsidR="0009491C" w:rsidRPr="00360DF2" w:rsidRDefault="0009491C" w:rsidP="00390FFA">
      <w:pPr>
        <w:pStyle w:val="Prrafodelista"/>
        <w:spacing w:line="360" w:lineRule="auto"/>
        <w:ind w:left="0"/>
        <w:jc w:val="both"/>
        <w:rPr>
          <w:rFonts w:ascii="Palatino Linotype" w:hAnsi="Palatino Linotype" w:cs="Arial"/>
          <w:b/>
        </w:rPr>
      </w:pPr>
    </w:p>
    <w:p w14:paraId="512C6E8F" w14:textId="326EF10E" w:rsidR="0009491C" w:rsidRPr="00360DF2" w:rsidRDefault="0009491C" w:rsidP="00390FFA">
      <w:pPr>
        <w:spacing w:after="0" w:line="240" w:lineRule="auto"/>
        <w:ind w:left="567" w:right="567"/>
        <w:jc w:val="both"/>
        <w:rPr>
          <w:rFonts w:ascii="Palatino Linotype" w:hAnsi="Palatino Linotype"/>
          <w:i/>
          <w:color w:val="000000"/>
        </w:rPr>
      </w:pPr>
      <w:r w:rsidRPr="00360DF2">
        <w:rPr>
          <w:rFonts w:ascii="Palatino Linotype" w:hAnsi="Palatino Linotype" w:cs="Arial"/>
          <w:i/>
        </w:rPr>
        <w:t>“</w:t>
      </w:r>
      <w:bookmarkStart w:id="1" w:name="_Hlk173740429"/>
      <w:r w:rsidR="00AC0581" w:rsidRPr="00AC0581">
        <w:rPr>
          <w:rFonts w:ascii="Palatino Linotype" w:hAnsi="Palatino Linotype"/>
          <w:i/>
          <w:color w:val="000000"/>
        </w:rPr>
        <w:t>En relación con la respuesta obtenida por el sujeto obligado a través de esta plataforma con número de oficio 206B0110000100S/SP/UT/593/2024, de fecha 09 de octubre del 2024; en la que se declara incompetencia para atender la solicitud.</w:t>
      </w:r>
      <w:r w:rsidRPr="00360DF2">
        <w:rPr>
          <w:rFonts w:ascii="Palatino Linotype" w:hAnsi="Palatino Linotype"/>
          <w:i/>
          <w:color w:val="000000"/>
        </w:rPr>
        <w:t>” (</w:t>
      </w:r>
      <w:proofErr w:type="gramStart"/>
      <w:r w:rsidRPr="00360DF2">
        <w:rPr>
          <w:rFonts w:ascii="Palatino Linotype" w:hAnsi="Palatino Linotype"/>
          <w:i/>
          <w:color w:val="000000"/>
        </w:rPr>
        <w:t>sic</w:t>
      </w:r>
      <w:proofErr w:type="gramEnd"/>
      <w:r w:rsidRPr="00360DF2">
        <w:rPr>
          <w:rFonts w:ascii="Palatino Linotype" w:hAnsi="Palatino Linotype"/>
          <w:i/>
          <w:color w:val="000000"/>
        </w:rPr>
        <w:t>)</w:t>
      </w:r>
      <w:bookmarkEnd w:id="1"/>
    </w:p>
    <w:p w14:paraId="309A3AA4" w14:textId="0B9C434C" w:rsidR="0009491C" w:rsidRDefault="0009491C" w:rsidP="00390FFA">
      <w:pPr>
        <w:spacing w:after="0" w:line="360" w:lineRule="auto"/>
        <w:jc w:val="both"/>
        <w:rPr>
          <w:rFonts w:ascii="Palatino Linotype" w:hAnsi="Palatino Linotype" w:cs="Arial"/>
          <w:sz w:val="24"/>
          <w:szCs w:val="24"/>
        </w:rPr>
      </w:pPr>
    </w:p>
    <w:p w14:paraId="06554391" w14:textId="42678A9A" w:rsidR="00AC0581" w:rsidRPr="00360DF2" w:rsidRDefault="00AC0581" w:rsidP="00AC0581">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100DBFAF" w14:textId="77777777" w:rsidR="00AC0581" w:rsidRPr="00360DF2" w:rsidRDefault="00AC0581" w:rsidP="00AC0581">
      <w:pPr>
        <w:pStyle w:val="Prrafodelista"/>
        <w:spacing w:line="360" w:lineRule="auto"/>
        <w:ind w:left="0"/>
        <w:jc w:val="both"/>
        <w:rPr>
          <w:rFonts w:ascii="Palatino Linotype" w:hAnsi="Palatino Linotype" w:cs="Arial"/>
          <w:b/>
        </w:rPr>
      </w:pPr>
    </w:p>
    <w:p w14:paraId="7A7F6447" w14:textId="21586CD7" w:rsidR="00AC0581" w:rsidRDefault="00AC0581" w:rsidP="00AC0581">
      <w:pPr>
        <w:spacing w:after="0" w:line="240" w:lineRule="auto"/>
        <w:ind w:left="567" w:right="567"/>
        <w:jc w:val="both"/>
        <w:rPr>
          <w:rFonts w:ascii="Palatino Linotype" w:hAnsi="Palatino Linotype"/>
          <w:iCs/>
          <w:color w:val="000000"/>
        </w:rPr>
      </w:pPr>
      <w:r w:rsidRPr="00360DF2">
        <w:rPr>
          <w:rFonts w:ascii="Palatino Linotype" w:hAnsi="Palatino Linotype" w:cs="Arial"/>
          <w:i/>
        </w:rPr>
        <w:t>“</w:t>
      </w:r>
      <w:r w:rsidR="009C4B22" w:rsidRPr="009C4B22">
        <w:rPr>
          <w:rFonts w:ascii="Palatino Linotype" w:hAnsi="Palatino Linotype"/>
          <w:i/>
          <w:color w:val="000000"/>
        </w:rPr>
        <w:t xml:space="preserve">La solicitud formulada contenía erróneamente la Guardia Nacional, por lo que </w:t>
      </w:r>
      <w:r w:rsidR="009C4B22" w:rsidRPr="009C4B22">
        <w:rPr>
          <w:rFonts w:ascii="Palatino Linotype" w:hAnsi="Palatino Linotype"/>
          <w:i/>
          <w:color w:val="000000"/>
          <w:u w:val="single"/>
        </w:rPr>
        <w:t>se reenvía la solicitud corregida</w:t>
      </w:r>
      <w:r w:rsidR="009C4B22" w:rsidRPr="009C4B22">
        <w:rPr>
          <w:rFonts w:ascii="Palatino Linotype" w:hAnsi="Palatino Linotype"/>
          <w:i/>
          <w:color w:val="000000"/>
        </w:rPr>
        <w:t xml:space="preserve"> en donde se hace referencia a la información que está en poder del sujeto obligado Secretariado Ejecutivo del Sistema Estatal de Seguridad Pública del Estado de México</w:t>
      </w:r>
      <w:r w:rsidRPr="00360DF2">
        <w:rPr>
          <w:rFonts w:ascii="Palatino Linotype" w:hAnsi="Palatino Linotype"/>
          <w:i/>
          <w:color w:val="000000"/>
        </w:rPr>
        <w:t>” (sic)</w:t>
      </w:r>
    </w:p>
    <w:p w14:paraId="585440FB" w14:textId="20843E98" w:rsidR="009C4B22" w:rsidRPr="009C4B22" w:rsidRDefault="009C4B22" w:rsidP="009C4B22">
      <w:pPr>
        <w:spacing w:after="0" w:line="240" w:lineRule="auto"/>
        <w:ind w:left="567" w:right="567"/>
        <w:jc w:val="right"/>
        <w:rPr>
          <w:rFonts w:ascii="Palatino Linotype" w:hAnsi="Palatino Linotype"/>
          <w:iCs/>
          <w:color w:val="000000"/>
        </w:rPr>
      </w:pPr>
      <w:r>
        <w:rPr>
          <w:rFonts w:ascii="Palatino Linotype" w:hAnsi="Palatino Linotype" w:cs="Arial"/>
          <w:iCs/>
        </w:rPr>
        <w:t>(Énfasis añadido)</w:t>
      </w:r>
    </w:p>
    <w:p w14:paraId="04CE62C6" w14:textId="0C621ADA" w:rsidR="00AC0581" w:rsidRDefault="00AC0581" w:rsidP="00390FFA">
      <w:pPr>
        <w:spacing w:after="0" w:line="360" w:lineRule="auto"/>
        <w:jc w:val="both"/>
        <w:rPr>
          <w:rFonts w:ascii="Palatino Linotype" w:hAnsi="Palatino Linotype" w:cs="Arial"/>
          <w:sz w:val="24"/>
          <w:szCs w:val="24"/>
        </w:rPr>
      </w:pPr>
    </w:p>
    <w:p w14:paraId="2AACC835" w14:textId="143C4B21" w:rsidR="009C4B22" w:rsidRDefault="009C4B22" w:rsidP="00390FF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la parte </w:t>
      </w:r>
      <w:r w:rsidRPr="009C4B22">
        <w:rPr>
          <w:rFonts w:ascii="Palatino Linotype" w:hAnsi="Palatino Linotype" w:cs="Arial"/>
          <w:b/>
          <w:bCs/>
          <w:sz w:val="24"/>
          <w:szCs w:val="24"/>
        </w:rPr>
        <w:t>Recurrente</w:t>
      </w:r>
      <w:r>
        <w:rPr>
          <w:rFonts w:ascii="Palatino Linotype" w:hAnsi="Palatino Linotype" w:cs="Arial"/>
          <w:sz w:val="24"/>
          <w:szCs w:val="24"/>
        </w:rPr>
        <w:t xml:space="preserve"> al momento de interponer el recurso de revisión, adjunto el archivo </w:t>
      </w:r>
      <w:r>
        <w:rPr>
          <w:rFonts w:ascii="Palatino Linotype" w:hAnsi="Palatino Linotype" w:cs="Arial"/>
          <w:i/>
          <w:iCs/>
          <w:sz w:val="24"/>
          <w:szCs w:val="24"/>
        </w:rPr>
        <w:t>“</w:t>
      </w:r>
      <w:r w:rsidRPr="00D74D90">
        <w:rPr>
          <w:rFonts w:ascii="Palatino Linotype" w:hAnsi="Palatino Linotype" w:cs="Arial"/>
          <w:b/>
          <w:bCs/>
          <w:i/>
          <w:iCs/>
          <w:sz w:val="24"/>
          <w:szCs w:val="24"/>
        </w:rPr>
        <w:t>Solicitud 2024-SESESP-Edomex.pdf</w:t>
      </w:r>
      <w:r>
        <w:rPr>
          <w:rFonts w:ascii="Palatino Linotype" w:hAnsi="Palatino Linotype" w:cs="Arial"/>
          <w:i/>
          <w:iCs/>
          <w:sz w:val="24"/>
          <w:szCs w:val="24"/>
        </w:rPr>
        <w:t>”</w:t>
      </w:r>
      <w:r>
        <w:rPr>
          <w:rFonts w:ascii="Palatino Linotype" w:hAnsi="Palatino Linotype" w:cs="Arial"/>
          <w:sz w:val="24"/>
          <w:szCs w:val="24"/>
        </w:rPr>
        <w:t xml:space="preserve">, </w:t>
      </w:r>
      <w:r w:rsidR="00D74D90">
        <w:rPr>
          <w:rFonts w:ascii="Palatino Linotype" w:hAnsi="Palatino Linotype" w:cs="Arial"/>
          <w:sz w:val="24"/>
          <w:szCs w:val="24"/>
        </w:rPr>
        <w:t>de cuyo contenido se advierte lo siguiente:</w:t>
      </w:r>
    </w:p>
    <w:p w14:paraId="681AEA88" w14:textId="6BA4506D" w:rsidR="00D74D90" w:rsidRDefault="00D74D90" w:rsidP="00390FFA">
      <w:pPr>
        <w:spacing w:after="0" w:line="360" w:lineRule="auto"/>
        <w:jc w:val="both"/>
        <w:rPr>
          <w:rFonts w:ascii="Palatino Linotype" w:hAnsi="Palatino Linotype" w:cs="Arial"/>
          <w:sz w:val="24"/>
          <w:szCs w:val="24"/>
        </w:rPr>
      </w:pPr>
    </w:p>
    <w:p w14:paraId="19AE4A74" w14:textId="1DCD37AA" w:rsidR="00D74D90" w:rsidRPr="009C4B22" w:rsidRDefault="00D74D90" w:rsidP="00D74D90">
      <w:pPr>
        <w:spacing w:after="0" w:line="360" w:lineRule="auto"/>
        <w:jc w:val="center"/>
        <w:rPr>
          <w:rFonts w:ascii="Palatino Linotype" w:hAnsi="Palatino Linotype" w:cs="Arial"/>
          <w:sz w:val="24"/>
          <w:szCs w:val="24"/>
        </w:rPr>
      </w:pPr>
      <w:r w:rsidRPr="00D74D90">
        <w:rPr>
          <w:rFonts w:ascii="Palatino Linotype" w:hAnsi="Palatino Linotype" w:cs="Arial"/>
          <w:noProof/>
          <w:sz w:val="24"/>
          <w:szCs w:val="24"/>
          <w:lang w:eastAsia="es-MX"/>
        </w:rPr>
        <w:drawing>
          <wp:inline distT="0" distB="0" distL="0" distR="0" wp14:anchorId="64DD3784" wp14:editId="1EEDC32D">
            <wp:extent cx="3537217" cy="2545689"/>
            <wp:effectExtent l="0" t="0" r="635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1520" cy="2555982"/>
                    </a:xfrm>
                    <a:prstGeom prst="rect">
                      <a:avLst/>
                    </a:prstGeom>
                  </pic:spPr>
                </pic:pic>
              </a:graphicData>
            </a:graphic>
          </wp:inline>
        </w:drawing>
      </w:r>
    </w:p>
    <w:p w14:paraId="4CD2A246" w14:textId="77777777" w:rsidR="009C4B22" w:rsidRDefault="009C4B22" w:rsidP="00390FFA">
      <w:pPr>
        <w:spacing w:after="0" w:line="360" w:lineRule="auto"/>
        <w:jc w:val="both"/>
        <w:rPr>
          <w:rFonts w:ascii="Palatino Linotype" w:hAnsi="Palatino Linotype" w:cs="Arial"/>
          <w:sz w:val="24"/>
          <w:szCs w:val="24"/>
        </w:rPr>
      </w:pPr>
    </w:p>
    <w:p w14:paraId="2B64337B" w14:textId="77777777" w:rsidR="00D74D90" w:rsidRDefault="0048739B" w:rsidP="00D74D90">
      <w:pPr>
        <w:spacing w:after="0" w:line="360" w:lineRule="auto"/>
        <w:ind w:right="49"/>
        <w:jc w:val="both"/>
        <w:rPr>
          <w:rFonts w:ascii="Palatino Linotype" w:eastAsia="Times New Roman" w:hAnsi="Palatino Linotype" w:cs="Arial"/>
          <w:sz w:val="24"/>
          <w:szCs w:val="24"/>
          <w:lang w:val="es-ES_tradnl" w:eastAsia="es-ES"/>
        </w:rPr>
      </w:pPr>
      <w:r>
        <w:rPr>
          <w:rFonts w:ascii="Palatino Linotype" w:eastAsia="Times New Roman" w:hAnsi="Palatino Linotype" w:cs="Arial"/>
          <w:b/>
          <w:sz w:val="28"/>
          <w:szCs w:val="28"/>
          <w:lang w:val="es-ES_tradnl" w:eastAsia="es-ES"/>
        </w:rPr>
        <w:lastRenderedPageBreak/>
        <w:t>CUARTO</w:t>
      </w:r>
      <w:r w:rsidR="0009491C" w:rsidRPr="00360DF2">
        <w:rPr>
          <w:rFonts w:ascii="Palatino Linotype" w:eastAsia="Times New Roman" w:hAnsi="Palatino Linotype" w:cs="Arial"/>
          <w:b/>
          <w:sz w:val="28"/>
          <w:szCs w:val="28"/>
          <w:lang w:val="es-ES_tradnl" w:eastAsia="es-ES"/>
        </w:rPr>
        <w:t xml:space="preserve">. </w:t>
      </w:r>
      <w:r w:rsidR="00D74D90">
        <w:rPr>
          <w:rFonts w:ascii="Palatino Linotype" w:eastAsia="Times New Roman" w:hAnsi="Palatino Linotype" w:cs="Arial"/>
          <w:sz w:val="24"/>
          <w:szCs w:val="24"/>
          <w:lang w:val="es-ES_tradnl" w:eastAsia="es-ES"/>
        </w:rPr>
        <w:t>R</w:t>
      </w:r>
      <w:r w:rsidR="00D74D90" w:rsidRPr="00360DF2">
        <w:rPr>
          <w:rFonts w:ascii="Palatino Linotype" w:eastAsia="Times New Roman" w:hAnsi="Palatino Linotype" w:cs="Arial"/>
          <w:sz w:val="24"/>
          <w:szCs w:val="24"/>
          <w:lang w:val="es-ES_tradnl" w:eastAsia="es-ES"/>
        </w:rPr>
        <w:t xml:space="preserve">ecurso de </w:t>
      </w:r>
      <w:r w:rsidR="00D74D90">
        <w:rPr>
          <w:rFonts w:ascii="Palatino Linotype" w:eastAsia="Times New Roman" w:hAnsi="Palatino Linotype" w:cs="Arial"/>
          <w:sz w:val="24"/>
          <w:szCs w:val="24"/>
          <w:lang w:val="es-ES_tradnl" w:eastAsia="es-ES"/>
        </w:rPr>
        <w:t xml:space="preserve">revisión del </w:t>
      </w:r>
      <w:r w:rsidR="00D74D90" w:rsidRPr="00360DF2">
        <w:rPr>
          <w:rFonts w:ascii="Palatino Linotype" w:eastAsia="Times New Roman" w:hAnsi="Palatino Linotype" w:cs="Arial"/>
          <w:sz w:val="24"/>
          <w:szCs w:val="24"/>
          <w:lang w:val="es-ES_tradnl" w:eastAsia="es-ES"/>
        </w:rPr>
        <w:t>que</w:t>
      </w:r>
      <w:r w:rsidR="00D74D90" w:rsidRPr="00360DF2">
        <w:rPr>
          <w:rFonts w:ascii="Palatino Linotype" w:eastAsia="Times New Roman" w:hAnsi="Palatino Linotype" w:cs="Arial"/>
          <w:sz w:val="24"/>
          <w:szCs w:val="24"/>
          <w:lang w:val="es-ES" w:eastAsia="es-ES"/>
        </w:rPr>
        <w:t xml:space="preserve"> se trata</w:t>
      </w:r>
      <w:r w:rsidR="00D74D90">
        <w:rPr>
          <w:rFonts w:ascii="Palatino Linotype" w:eastAsia="Times New Roman" w:hAnsi="Palatino Linotype" w:cs="Arial"/>
          <w:sz w:val="24"/>
          <w:szCs w:val="24"/>
          <w:lang w:val="es-ES" w:eastAsia="es-ES"/>
        </w:rPr>
        <w:t>, el cual,</w:t>
      </w:r>
      <w:r w:rsidR="00D74D90" w:rsidRPr="00360DF2">
        <w:rPr>
          <w:rFonts w:ascii="Palatino Linotype" w:eastAsia="Times New Roman" w:hAnsi="Palatino Linotype" w:cs="Arial"/>
          <w:sz w:val="24"/>
          <w:szCs w:val="24"/>
          <w:lang w:val="es-ES_tradnl" w:eastAsia="es-ES"/>
        </w:rPr>
        <w:t xml:space="preserve"> se envió electrónicamente al Instituto de </w:t>
      </w:r>
      <w:r w:rsidR="00D74D90" w:rsidRPr="00360DF2">
        <w:rPr>
          <w:rFonts w:ascii="Palatino Linotype" w:eastAsia="Arial Unicode MS" w:hAnsi="Palatino Linotype" w:cs="Arial"/>
          <w:sz w:val="24"/>
          <w:szCs w:val="24"/>
          <w:lang w:val="es-ES" w:eastAsia="es-ES"/>
        </w:rPr>
        <w:t>Transparencia</w:t>
      </w:r>
      <w:r w:rsidR="00D74D90" w:rsidRPr="00360DF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D74D90" w:rsidRPr="00360DF2">
        <w:rPr>
          <w:rFonts w:ascii="Palatino Linotype" w:eastAsia="Times New Roman" w:hAnsi="Palatino Linotype" w:cs="Times New Roman"/>
          <w:sz w:val="24"/>
          <w:szCs w:val="24"/>
          <w:lang w:val="es-ES" w:eastAsia="es-ES"/>
        </w:rPr>
        <w:t>Ley de Transparencia y Acceso a la Información Pública del Estado de México y Municipios</w:t>
      </w:r>
      <w:r w:rsidR="00D74D90" w:rsidRPr="00360DF2">
        <w:rPr>
          <w:rFonts w:ascii="Palatino Linotype" w:eastAsia="Times New Roman" w:hAnsi="Palatino Linotype" w:cs="Arial"/>
          <w:sz w:val="24"/>
          <w:szCs w:val="24"/>
          <w:lang w:val="es-ES_tradnl" w:eastAsia="es-ES"/>
        </w:rPr>
        <w:t>, se turnó a través del</w:t>
      </w:r>
      <w:r w:rsidR="00D74D90" w:rsidRPr="00360DF2">
        <w:rPr>
          <w:rFonts w:ascii="Palatino Linotype" w:eastAsia="Arial Unicode MS" w:hAnsi="Palatino Linotype" w:cs="Arial"/>
          <w:sz w:val="24"/>
          <w:szCs w:val="24"/>
          <w:lang w:val="es-ES_tradnl" w:eastAsia="es-ES"/>
        </w:rPr>
        <w:t xml:space="preserve"> </w:t>
      </w:r>
      <w:r w:rsidR="00D74D90" w:rsidRPr="00360DF2">
        <w:rPr>
          <w:rFonts w:ascii="Palatino Linotype" w:eastAsia="Arial Unicode MS" w:hAnsi="Palatino Linotype" w:cs="Arial"/>
          <w:b/>
          <w:sz w:val="24"/>
          <w:szCs w:val="24"/>
          <w:lang w:val="es-ES_tradnl" w:eastAsia="es-ES"/>
        </w:rPr>
        <w:t>SAIMEX</w:t>
      </w:r>
      <w:r w:rsidR="00D74D90" w:rsidRPr="00360DF2">
        <w:rPr>
          <w:rFonts w:ascii="Palatino Linotype" w:eastAsia="Times New Roman" w:hAnsi="Palatino Linotype" w:cs="Times New Roman"/>
          <w:sz w:val="24"/>
          <w:szCs w:val="24"/>
          <w:lang w:val="es-ES" w:eastAsia="es-ES"/>
        </w:rPr>
        <w:t xml:space="preserve"> al </w:t>
      </w:r>
      <w:r w:rsidR="00D74D90" w:rsidRPr="00360DF2">
        <w:rPr>
          <w:rFonts w:ascii="Palatino Linotype" w:eastAsia="Times New Roman" w:hAnsi="Palatino Linotype" w:cs="Arial"/>
          <w:sz w:val="24"/>
          <w:szCs w:val="24"/>
          <w:lang w:val="es-ES_tradnl" w:eastAsia="es-ES"/>
        </w:rPr>
        <w:t xml:space="preserve">Comisionado Presidente </w:t>
      </w:r>
      <w:r w:rsidR="00D74D90" w:rsidRPr="00360DF2">
        <w:rPr>
          <w:rFonts w:ascii="Palatino Linotype" w:eastAsia="Times New Roman" w:hAnsi="Palatino Linotype" w:cs="Arial"/>
          <w:b/>
          <w:sz w:val="24"/>
          <w:szCs w:val="24"/>
          <w:lang w:val="es-ES_tradnl" w:eastAsia="es-ES"/>
        </w:rPr>
        <w:t xml:space="preserve">JOSÉ MARTÍNEZ VILCHIS, </w:t>
      </w:r>
      <w:r w:rsidR="00D74D90" w:rsidRPr="00360DF2">
        <w:rPr>
          <w:rFonts w:ascii="Palatino Linotype" w:eastAsia="Times New Roman" w:hAnsi="Palatino Linotype" w:cs="Arial"/>
          <w:sz w:val="24"/>
          <w:szCs w:val="24"/>
          <w:lang w:val="es-ES_tradnl" w:eastAsia="es-ES"/>
        </w:rPr>
        <w:t xml:space="preserve">a efecto de que decretara su admisión o </w:t>
      </w:r>
      <w:proofErr w:type="spellStart"/>
      <w:r w:rsidR="00D74D90" w:rsidRPr="00360DF2">
        <w:rPr>
          <w:rFonts w:ascii="Palatino Linotype" w:eastAsia="Times New Roman" w:hAnsi="Palatino Linotype" w:cs="Arial"/>
          <w:sz w:val="24"/>
          <w:szCs w:val="24"/>
          <w:lang w:val="es-ES_tradnl" w:eastAsia="es-ES"/>
        </w:rPr>
        <w:t>desechamiento</w:t>
      </w:r>
      <w:proofErr w:type="spellEnd"/>
      <w:r w:rsidR="00D74D90" w:rsidRPr="00360DF2">
        <w:rPr>
          <w:rFonts w:ascii="Palatino Linotype" w:eastAsia="Times New Roman" w:hAnsi="Palatino Linotype" w:cs="Arial"/>
          <w:sz w:val="24"/>
          <w:szCs w:val="24"/>
          <w:lang w:val="es-ES_tradnl" w:eastAsia="es-ES"/>
        </w:rPr>
        <w:t>.</w:t>
      </w:r>
    </w:p>
    <w:p w14:paraId="2200A7A4" w14:textId="77777777" w:rsidR="00D74D90" w:rsidRDefault="00D74D90" w:rsidP="00390FFA">
      <w:pPr>
        <w:spacing w:after="0" w:line="360" w:lineRule="auto"/>
        <w:ind w:right="49"/>
        <w:jc w:val="both"/>
        <w:rPr>
          <w:rFonts w:ascii="Palatino Linotype" w:eastAsia="Times New Roman" w:hAnsi="Palatino Linotype" w:cs="Arial"/>
          <w:sz w:val="24"/>
          <w:szCs w:val="24"/>
          <w:lang w:val="es-ES_tradnl" w:eastAsia="es-ES"/>
        </w:rPr>
      </w:pPr>
    </w:p>
    <w:p w14:paraId="5E163634" w14:textId="024CB6B6" w:rsidR="0009491C" w:rsidRPr="00360DF2" w:rsidRDefault="0009491C" w:rsidP="00390FFA">
      <w:pPr>
        <w:spacing w:after="0" w:line="360" w:lineRule="auto"/>
        <w:ind w:right="49"/>
        <w:jc w:val="both"/>
        <w:rPr>
          <w:rFonts w:ascii="Palatino Linotype" w:eastAsia="Times New Roman" w:hAnsi="Palatino Linotype" w:cs="Arial"/>
          <w:sz w:val="24"/>
          <w:szCs w:val="24"/>
          <w:lang w:val="es-ES" w:eastAsia="es-ES"/>
        </w:rPr>
      </w:pPr>
      <w:r w:rsidRPr="00360DF2">
        <w:rPr>
          <w:rFonts w:ascii="Palatino Linotype" w:eastAsia="Times New Roman" w:hAnsi="Palatino Linotype" w:cs="Arial"/>
          <w:sz w:val="24"/>
          <w:szCs w:val="24"/>
          <w:lang w:val="es-ES_tradnl" w:eastAsia="es-ES"/>
        </w:rPr>
        <w:t>E</w:t>
      </w:r>
      <w:r w:rsidRPr="00360DF2">
        <w:rPr>
          <w:rFonts w:ascii="Palatino Linotype" w:eastAsia="Times New Roman" w:hAnsi="Palatino Linotype" w:cs="Arial"/>
          <w:sz w:val="24"/>
          <w:szCs w:val="24"/>
          <w:lang w:val="es-ES" w:eastAsia="es-ES"/>
        </w:rPr>
        <w:t xml:space="preserve">n fecha </w:t>
      </w:r>
      <w:r w:rsidR="00D74D90">
        <w:rPr>
          <w:rFonts w:ascii="Palatino Linotype" w:hAnsi="Palatino Linotype" w:cs="Arial"/>
          <w:sz w:val="24"/>
          <w:szCs w:val="24"/>
        </w:rPr>
        <w:t xml:space="preserve">catorce de octubre </w:t>
      </w:r>
      <w:r w:rsidR="00390FFA">
        <w:rPr>
          <w:rFonts w:ascii="Palatino Linotype" w:hAnsi="Palatino Linotype" w:cs="Arial"/>
          <w:sz w:val="24"/>
          <w:szCs w:val="24"/>
        </w:rPr>
        <w:t>de dos mil veinticuatro</w:t>
      </w:r>
      <w:r w:rsidRPr="00360DF2">
        <w:rPr>
          <w:rFonts w:ascii="Palatino Linotype" w:eastAsia="Times New Roman" w:hAnsi="Palatino Linotype" w:cs="Arial"/>
          <w:sz w:val="24"/>
          <w:szCs w:val="24"/>
          <w:lang w:val="es-ES" w:eastAsia="es-ES"/>
        </w:rPr>
        <w:t xml:space="preserve">, atento a lo dispuesto en el </w:t>
      </w:r>
      <w:r w:rsidRPr="00360DF2">
        <w:rPr>
          <w:rFonts w:ascii="Palatino Linotype" w:eastAsia="Times New Roman" w:hAnsi="Palatino Linotype" w:cs="Arial"/>
          <w:sz w:val="24"/>
          <w:szCs w:val="24"/>
          <w:lang w:val="es-ES_tradnl" w:eastAsia="es-ES"/>
        </w:rPr>
        <w:t>artículo</w:t>
      </w:r>
      <w:r w:rsidRPr="00360DF2">
        <w:rPr>
          <w:rFonts w:ascii="Palatino Linotype" w:eastAsia="Times New Roman" w:hAnsi="Palatino Linotype" w:cs="Arial"/>
          <w:sz w:val="24"/>
          <w:szCs w:val="24"/>
          <w:lang w:val="es-ES" w:eastAsia="es-ES"/>
        </w:rPr>
        <w:t xml:space="preserve"> 185 fracciones I, II y IV </w:t>
      </w:r>
      <w:r w:rsidRPr="00360DF2">
        <w:rPr>
          <w:rFonts w:ascii="Palatino Linotype" w:eastAsia="Times New Roman" w:hAnsi="Palatino Linotype" w:cs="Arial"/>
          <w:sz w:val="24"/>
          <w:szCs w:val="24"/>
          <w:lang w:val="es-ES_tradnl" w:eastAsia="es-ES"/>
        </w:rPr>
        <w:t xml:space="preserve">de la </w:t>
      </w:r>
      <w:r w:rsidRPr="00360DF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360DF2">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14:paraId="152A5CF5" w14:textId="77777777" w:rsidR="0009491C" w:rsidRPr="00360DF2" w:rsidRDefault="0009491C" w:rsidP="00390FFA">
      <w:pPr>
        <w:spacing w:after="0" w:line="360" w:lineRule="auto"/>
        <w:jc w:val="both"/>
        <w:rPr>
          <w:rFonts w:ascii="Palatino Linotype" w:hAnsi="Palatino Linotype" w:cs="Arial"/>
          <w:sz w:val="24"/>
          <w:szCs w:val="28"/>
          <w:lang w:val="es-ES"/>
        </w:rPr>
      </w:pPr>
    </w:p>
    <w:p w14:paraId="153CE458" w14:textId="4C4C87F0" w:rsidR="0009491C" w:rsidRDefault="0048739B" w:rsidP="00390FFA">
      <w:pPr>
        <w:spacing w:after="0" w:line="360" w:lineRule="auto"/>
        <w:jc w:val="both"/>
        <w:rPr>
          <w:rFonts w:ascii="Palatino Linotype" w:hAnsi="Palatino Linotype" w:cs="Arial"/>
          <w:sz w:val="24"/>
          <w:szCs w:val="24"/>
        </w:rPr>
      </w:pPr>
      <w:r>
        <w:rPr>
          <w:rFonts w:ascii="Palatino Linotype" w:eastAsia="Times New Roman" w:hAnsi="Palatino Linotype" w:cs="Arial"/>
          <w:b/>
          <w:sz w:val="28"/>
          <w:szCs w:val="28"/>
          <w:lang w:val="es-ES_tradnl" w:eastAsia="es-ES"/>
        </w:rPr>
        <w:t>QUINTO</w:t>
      </w:r>
      <w:r w:rsidR="0009491C" w:rsidRPr="00360DF2">
        <w:rPr>
          <w:rFonts w:ascii="Palatino Linotype" w:hAnsi="Palatino Linotype" w:cs="Arial"/>
          <w:b/>
          <w:sz w:val="28"/>
          <w:szCs w:val="28"/>
        </w:rPr>
        <w:t xml:space="preserve">. </w:t>
      </w:r>
      <w:r w:rsidR="0009491C" w:rsidRPr="00360DF2">
        <w:rPr>
          <w:rFonts w:ascii="Palatino Linotype" w:hAnsi="Palatino Linotype" w:cs="Arial"/>
          <w:sz w:val="24"/>
          <w:szCs w:val="24"/>
        </w:rPr>
        <w:t>Una vez abierta la etapa de instrucción, se advierte que</w:t>
      </w:r>
      <w:r w:rsidR="00D74D90">
        <w:rPr>
          <w:rFonts w:ascii="Palatino Linotype" w:hAnsi="Palatino Linotype" w:cs="Arial"/>
          <w:sz w:val="24"/>
          <w:szCs w:val="24"/>
        </w:rPr>
        <w:t xml:space="preserve">, </w:t>
      </w:r>
      <w:r w:rsidR="0009491C" w:rsidRPr="00360DF2">
        <w:rPr>
          <w:rFonts w:ascii="Palatino Linotype" w:hAnsi="Palatino Linotype" w:cs="Arial"/>
          <w:sz w:val="24"/>
          <w:szCs w:val="24"/>
        </w:rPr>
        <w:t xml:space="preserve">el </w:t>
      </w:r>
      <w:r w:rsidR="0009491C" w:rsidRPr="00360DF2">
        <w:rPr>
          <w:rFonts w:ascii="Palatino Linotype" w:hAnsi="Palatino Linotype" w:cs="Arial"/>
          <w:b/>
          <w:sz w:val="24"/>
          <w:szCs w:val="24"/>
        </w:rPr>
        <w:t>Sujeto Obligado</w:t>
      </w:r>
      <w:r w:rsidR="0009491C" w:rsidRPr="00360DF2">
        <w:rPr>
          <w:rFonts w:ascii="Palatino Linotype" w:hAnsi="Palatino Linotype" w:cs="Arial"/>
          <w:sz w:val="24"/>
          <w:szCs w:val="24"/>
        </w:rPr>
        <w:t xml:space="preserve"> </w:t>
      </w:r>
      <w:r w:rsidR="00D74D90">
        <w:rPr>
          <w:rFonts w:ascii="Palatino Linotype" w:hAnsi="Palatino Linotype" w:cs="Arial"/>
          <w:sz w:val="24"/>
          <w:szCs w:val="24"/>
        </w:rPr>
        <w:t xml:space="preserve">rindió su informe justificado por medio del documento </w:t>
      </w:r>
      <w:r w:rsidR="00D74D90">
        <w:rPr>
          <w:rFonts w:ascii="Palatino Linotype" w:hAnsi="Palatino Linotype" w:cs="Arial"/>
          <w:i/>
          <w:iCs/>
          <w:sz w:val="24"/>
          <w:szCs w:val="24"/>
        </w:rPr>
        <w:t>“</w:t>
      </w:r>
      <w:r w:rsidR="00D74D90" w:rsidRPr="00D74D90">
        <w:rPr>
          <w:rFonts w:ascii="Palatino Linotype" w:hAnsi="Palatino Linotype" w:cs="Arial"/>
          <w:b/>
          <w:bCs/>
          <w:i/>
          <w:iCs/>
          <w:sz w:val="24"/>
          <w:szCs w:val="24"/>
        </w:rPr>
        <w:t>Informe Justificado del Recurso de Revisión 06085 del 2024.pdf</w:t>
      </w:r>
      <w:r w:rsidR="00D74D90">
        <w:rPr>
          <w:rFonts w:ascii="Palatino Linotype" w:hAnsi="Palatino Linotype" w:cs="Arial"/>
          <w:i/>
          <w:iCs/>
          <w:sz w:val="24"/>
          <w:szCs w:val="24"/>
        </w:rPr>
        <w:t>”</w:t>
      </w:r>
      <w:r w:rsidR="00D74D90">
        <w:rPr>
          <w:rFonts w:ascii="Palatino Linotype" w:hAnsi="Palatino Linotype" w:cs="Arial"/>
          <w:sz w:val="24"/>
          <w:szCs w:val="24"/>
        </w:rPr>
        <w:t xml:space="preserve">, a través del cual ratificó el ser incompetente para poseer la información, asimismo, argumento la improcedencia de modificación de la solicitud de información. Informe justificado que fue puesto a la vista de </w:t>
      </w:r>
      <w:r w:rsidR="0009491C" w:rsidRPr="00360DF2">
        <w:rPr>
          <w:rFonts w:ascii="Palatino Linotype" w:hAnsi="Palatino Linotype" w:cs="Arial"/>
          <w:sz w:val="24"/>
          <w:szCs w:val="24"/>
        </w:rPr>
        <w:t>la</w:t>
      </w:r>
      <w:r w:rsidR="0061125D">
        <w:rPr>
          <w:rFonts w:ascii="Palatino Linotype" w:hAnsi="Palatino Linotype" w:cs="Arial"/>
          <w:sz w:val="24"/>
          <w:szCs w:val="24"/>
        </w:rPr>
        <w:t xml:space="preserve"> parte</w:t>
      </w:r>
      <w:r w:rsidR="0009491C" w:rsidRPr="00360DF2">
        <w:rPr>
          <w:rFonts w:ascii="Palatino Linotype" w:hAnsi="Palatino Linotype" w:cs="Arial"/>
          <w:sz w:val="24"/>
          <w:szCs w:val="24"/>
        </w:rPr>
        <w:t xml:space="preserve"> </w:t>
      </w:r>
      <w:r w:rsidR="0009491C" w:rsidRPr="00360DF2">
        <w:rPr>
          <w:rFonts w:ascii="Palatino Linotype" w:hAnsi="Palatino Linotype" w:cs="Arial"/>
          <w:b/>
          <w:sz w:val="24"/>
          <w:szCs w:val="24"/>
        </w:rPr>
        <w:t>Recurrente,</w:t>
      </w:r>
      <w:r w:rsidR="0009491C" w:rsidRPr="00360DF2">
        <w:rPr>
          <w:rFonts w:ascii="Palatino Linotype" w:hAnsi="Palatino Linotype" w:cs="Arial"/>
          <w:sz w:val="24"/>
          <w:szCs w:val="24"/>
        </w:rPr>
        <w:t xml:space="preserve"> a efecto que presentara las manifestaciones que a sus intereses conviniera, </w:t>
      </w:r>
      <w:r w:rsidR="00D74D90">
        <w:rPr>
          <w:rFonts w:ascii="Palatino Linotype" w:hAnsi="Palatino Linotype" w:cs="Arial"/>
          <w:sz w:val="24"/>
          <w:szCs w:val="24"/>
        </w:rPr>
        <w:t>sin que obre constancia del desahogo a la misma</w:t>
      </w:r>
      <w:r w:rsidR="0009491C" w:rsidRPr="00360DF2">
        <w:rPr>
          <w:rFonts w:ascii="Palatino Linotype" w:hAnsi="Palatino Linotype" w:cs="Arial"/>
          <w:sz w:val="24"/>
          <w:szCs w:val="24"/>
        </w:rPr>
        <w:t>.</w:t>
      </w:r>
    </w:p>
    <w:p w14:paraId="5C10C66E" w14:textId="77777777" w:rsidR="004F4AE5" w:rsidRPr="00360DF2" w:rsidRDefault="004F4AE5" w:rsidP="00390FFA">
      <w:pPr>
        <w:spacing w:after="0" w:line="360" w:lineRule="auto"/>
        <w:jc w:val="both"/>
        <w:rPr>
          <w:rFonts w:ascii="Palatino Linotype" w:hAnsi="Palatino Linotype" w:cs="Arial"/>
          <w:sz w:val="24"/>
          <w:szCs w:val="24"/>
        </w:rPr>
      </w:pPr>
    </w:p>
    <w:p w14:paraId="0A994839" w14:textId="77777777" w:rsidR="0009491C" w:rsidRPr="00360DF2" w:rsidRDefault="0009491C" w:rsidP="00390FFA">
      <w:pPr>
        <w:spacing w:after="0" w:line="360" w:lineRule="auto"/>
        <w:jc w:val="both"/>
        <w:rPr>
          <w:rFonts w:ascii="Palatino Linotype" w:hAnsi="Palatino Linotype" w:cs="Arial"/>
          <w:sz w:val="24"/>
          <w:szCs w:val="24"/>
        </w:rPr>
      </w:pPr>
      <w:r w:rsidRPr="00360DF2">
        <w:rPr>
          <w:rFonts w:ascii="Palatino Linotype" w:hAnsi="Palatino Linotype" w:cs="Arial"/>
          <w:sz w:val="24"/>
          <w:szCs w:val="24"/>
        </w:rPr>
        <w:lastRenderedPageBreak/>
        <w:t xml:space="preserve">Así mismo se aprecia que no se llevaron a cabo audiencias durante la sustanciación del recurso de revisión, ni se ofrecieron pruebas por parte del hoy </w:t>
      </w:r>
      <w:r w:rsidRPr="00360DF2">
        <w:rPr>
          <w:rFonts w:ascii="Palatino Linotype" w:hAnsi="Palatino Linotype" w:cs="Arial"/>
          <w:b/>
          <w:sz w:val="24"/>
          <w:szCs w:val="24"/>
        </w:rPr>
        <w:t>Recurrente</w:t>
      </w:r>
      <w:r w:rsidRPr="00360DF2">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35747984" w14:textId="77777777" w:rsidR="0009491C" w:rsidRPr="00360DF2" w:rsidRDefault="0009491C" w:rsidP="00390FFA">
      <w:pPr>
        <w:spacing w:after="0" w:line="360" w:lineRule="auto"/>
        <w:jc w:val="both"/>
        <w:rPr>
          <w:rFonts w:ascii="Palatino Linotype" w:hAnsi="Palatino Linotype" w:cs="Arial"/>
          <w:sz w:val="24"/>
          <w:szCs w:val="24"/>
        </w:rPr>
      </w:pPr>
    </w:p>
    <w:p w14:paraId="50668961" w14:textId="4F41C207" w:rsidR="0009491C" w:rsidRDefault="00565327" w:rsidP="00390FFA">
      <w:pPr>
        <w:spacing w:after="0" w:line="360" w:lineRule="auto"/>
        <w:jc w:val="both"/>
        <w:rPr>
          <w:rFonts w:ascii="Palatino Linotype" w:hAnsi="Palatino Linotype" w:cs="Arial"/>
          <w:sz w:val="24"/>
          <w:szCs w:val="24"/>
        </w:rPr>
      </w:pPr>
      <w:r>
        <w:rPr>
          <w:rFonts w:ascii="Palatino Linotype" w:eastAsia="Times New Roman" w:hAnsi="Palatino Linotype" w:cs="Arial"/>
          <w:b/>
          <w:sz w:val="28"/>
          <w:szCs w:val="28"/>
          <w:lang w:val="es-ES_tradnl" w:eastAsia="es-ES"/>
        </w:rPr>
        <w:t>SEXTO.</w:t>
      </w:r>
      <w:r w:rsidRPr="00360DF2">
        <w:rPr>
          <w:rFonts w:ascii="Palatino Linotype" w:hAnsi="Palatino Linotype" w:cs="Arial"/>
          <w:sz w:val="24"/>
          <w:szCs w:val="24"/>
        </w:rPr>
        <w:t xml:space="preserve"> </w:t>
      </w:r>
      <w:r>
        <w:rPr>
          <w:rFonts w:ascii="Palatino Linotype" w:hAnsi="Palatino Linotype" w:cs="Arial"/>
          <w:sz w:val="24"/>
          <w:szCs w:val="24"/>
        </w:rPr>
        <w:t>Una</w:t>
      </w:r>
      <w:r w:rsidR="0009491C" w:rsidRPr="00360DF2">
        <w:rPr>
          <w:rFonts w:ascii="Palatino Linotype" w:hAnsi="Palatino Linotype" w:cs="Arial"/>
          <w:sz w:val="24"/>
          <w:szCs w:val="24"/>
        </w:rPr>
        <w:t xml:space="preserve"> vez transcurrido el periodo otorgado a las partes de siete días hábiles para realizar sus manifestaciones en el acuerdo de admisión, y no habiendo prueba pendiente por desahogar, ni que documentos que integrar al expediente electrónico, se decretó el </w:t>
      </w:r>
      <w:r w:rsidR="005353D4">
        <w:rPr>
          <w:rFonts w:ascii="Palatino Linotype" w:hAnsi="Palatino Linotype" w:cs="Arial"/>
          <w:sz w:val="24"/>
          <w:szCs w:val="24"/>
        </w:rPr>
        <w:t xml:space="preserve">veintinueve de octubre </w:t>
      </w:r>
      <w:r w:rsidR="00390FFA">
        <w:rPr>
          <w:rFonts w:ascii="Palatino Linotype" w:hAnsi="Palatino Linotype" w:cs="Arial"/>
          <w:sz w:val="24"/>
          <w:szCs w:val="24"/>
        </w:rPr>
        <w:t>de dos mil veinticuatro</w:t>
      </w:r>
      <w:r w:rsidR="0009491C" w:rsidRPr="00360DF2">
        <w:rPr>
          <w:rFonts w:ascii="Palatino Linotype" w:hAnsi="Palatino Linotype" w:cs="Arial"/>
          <w:sz w:val="24"/>
          <w:szCs w:val="24"/>
        </w:rPr>
        <w:t>, en términos del artículo 185 fracción VI de la Ley de Transparencia y Acceso a la Información Pública del Estado de México y Municipios, ordenándose turnar los expedientes a la resolución que en derecho proceda.</w:t>
      </w:r>
    </w:p>
    <w:p w14:paraId="08B13292" w14:textId="77777777" w:rsidR="0048739B" w:rsidRPr="00360DF2" w:rsidRDefault="0048739B" w:rsidP="00390FFA">
      <w:pPr>
        <w:spacing w:after="0" w:line="360" w:lineRule="auto"/>
        <w:jc w:val="both"/>
        <w:rPr>
          <w:rFonts w:ascii="Palatino Linotype" w:hAnsi="Palatino Linotype" w:cs="Arial"/>
          <w:sz w:val="24"/>
          <w:szCs w:val="24"/>
        </w:rPr>
      </w:pPr>
    </w:p>
    <w:p w14:paraId="10EDC6D6" w14:textId="77777777" w:rsidR="0009491C" w:rsidRPr="00360DF2" w:rsidRDefault="0009491C" w:rsidP="00390FFA">
      <w:pPr>
        <w:spacing w:after="0" w:line="360" w:lineRule="auto"/>
        <w:jc w:val="center"/>
        <w:rPr>
          <w:rFonts w:ascii="Palatino Linotype" w:hAnsi="Palatino Linotype" w:cs="Arial"/>
          <w:sz w:val="24"/>
          <w:szCs w:val="24"/>
        </w:rPr>
      </w:pPr>
      <w:r w:rsidRPr="00360DF2">
        <w:rPr>
          <w:rFonts w:ascii="Palatino Linotype" w:hAnsi="Palatino Linotype" w:cs="Arial"/>
          <w:b/>
          <w:sz w:val="28"/>
          <w:szCs w:val="24"/>
        </w:rPr>
        <w:t xml:space="preserve">C O N S I D E R A N D O </w:t>
      </w:r>
    </w:p>
    <w:p w14:paraId="0CF1B146" w14:textId="77777777" w:rsidR="0009491C" w:rsidRPr="00360DF2" w:rsidRDefault="0009491C" w:rsidP="00390FFA">
      <w:pPr>
        <w:spacing w:after="0" w:line="360" w:lineRule="auto"/>
        <w:jc w:val="both"/>
        <w:rPr>
          <w:rFonts w:ascii="Palatino Linotype" w:hAnsi="Palatino Linotype" w:cs="Arial"/>
          <w:sz w:val="24"/>
          <w:szCs w:val="28"/>
        </w:rPr>
      </w:pPr>
    </w:p>
    <w:p w14:paraId="2F2A8061" w14:textId="77777777" w:rsidR="0009491C" w:rsidRPr="00360DF2" w:rsidRDefault="0009491C" w:rsidP="00390FFA">
      <w:pPr>
        <w:spacing w:after="0" w:line="360" w:lineRule="auto"/>
        <w:jc w:val="both"/>
        <w:rPr>
          <w:rFonts w:ascii="Palatino Linotype" w:hAnsi="Palatino Linotype" w:cs="Arial"/>
          <w:sz w:val="28"/>
          <w:szCs w:val="28"/>
        </w:rPr>
      </w:pPr>
      <w:r w:rsidRPr="00360DF2">
        <w:rPr>
          <w:rFonts w:ascii="Palatino Linotype" w:hAnsi="Palatino Linotype" w:cs="Arial"/>
          <w:b/>
          <w:sz w:val="28"/>
          <w:szCs w:val="28"/>
        </w:rPr>
        <w:t xml:space="preserve">PRIMERO. </w:t>
      </w:r>
      <w:r w:rsidRPr="00360DF2">
        <w:rPr>
          <w:rFonts w:ascii="Palatino Linotype" w:hAnsi="Palatino Linotype" w:cs="Arial"/>
          <w:b/>
          <w:sz w:val="26"/>
          <w:szCs w:val="26"/>
        </w:rPr>
        <w:t>De la competencia</w:t>
      </w:r>
      <w:r w:rsidRPr="00360DF2">
        <w:rPr>
          <w:rFonts w:ascii="Palatino Linotype" w:hAnsi="Palatino Linotype" w:cs="Arial"/>
          <w:sz w:val="26"/>
          <w:szCs w:val="26"/>
        </w:rPr>
        <w:t>.</w:t>
      </w:r>
    </w:p>
    <w:p w14:paraId="0C8BDAB0" w14:textId="77777777" w:rsidR="0009491C" w:rsidRDefault="0009491C" w:rsidP="00390FFA">
      <w:pPr>
        <w:spacing w:after="0" w:line="360" w:lineRule="auto"/>
        <w:jc w:val="both"/>
        <w:rPr>
          <w:rFonts w:ascii="Palatino Linotype" w:hAnsi="Palatino Linotype" w:cs="Arial"/>
          <w:sz w:val="24"/>
          <w:szCs w:val="24"/>
        </w:rPr>
      </w:pPr>
      <w:r w:rsidRPr="00EC2AB8">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w:t>
      </w:r>
      <w:r w:rsidR="0061125D">
        <w:rPr>
          <w:rFonts w:ascii="Palatino Linotype" w:hAnsi="Palatino Linotype" w:cs="Arial"/>
          <w:sz w:val="24"/>
          <w:szCs w:val="24"/>
        </w:rPr>
        <w:t>segundo, trigésimo tercero</w:t>
      </w:r>
      <w:r w:rsidRPr="00EC2AB8">
        <w:rPr>
          <w:rFonts w:ascii="Palatino Linotype" w:hAnsi="Palatino Linotype" w:cs="Arial"/>
          <w:sz w:val="24"/>
          <w:szCs w:val="24"/>
        </w:rPr>
        <w:t xml:space="preserve"> y trigésimo </w:t>
      </w:r>
      <w:r w:rsidR="0061125D">
        <w:rPr>
          <w:rFonts w:ascii="Palatino Linotype" w:hAnsi="Palatino Linotype" w:cs="Arial"/>
          <w:sz w:val="24"/>
          <w:szCs w:val="24"/>
        </w:rPr>
        <w:t>cuarto</w:t>
      </w:r>
      <w:r w:rsidRPr="00EC2AB8">
        <w:rPr>
          <w:rFonts w:ascii="Palatino Linotype" w:hAnsi="Palatino Linotype" w:cs="Arial"/>
          <w:sz w:val="24"/>
          <w:szCs w:val="24"/>
        </w:rPr>
        <w:t xml:space="preserve">, fracciones IV y V, de la Constitución Política del Estado Libre y Soberano de México; artículos 1, 2 fracción II, 13, 29, 36 fracciones I y II, 176, 178, 179, 181 párrafo tercero y 185 de la Ley de Transparencia y Acceso a la Información Pública del Estado de México </w:t>
      </w:r>
      <w:r w:rsidRPr="00EC2AB8">
        <w:rPr>
          <w:rFonts w:ascii="Palatino Linotype" w:hAnsi="Palatino Linotype" w:cs="Arial"/>
          <w:sz w:val="24"/>
          <w:szCs w:val="24"/>
        </w:rPr>
        <w:lastRenderedPageBreak/>
        <w:t>y Municipios; 6, 9 fracciones I y XXIII, y 11 del Reglamento Interior del Instituto de Transparencia, Acceso a la Información Pública y Protección de Datos Personales del Estado de México y Municipios.</w:t>
      </w:r>
    </w:p>
    <w:p w14:paraId="6C51566B" w14:textId="77777777" w:rsidR="0048739B" w:rsidRPr="00360DF2" w:rsidRDefault="0048739B" w:rsidP="00390FFA">
      <w:pPr>
        <w:spacing w:after="0" w:line="360" w:lineRule="auto"/>
        <w:jc w:val="both"/>
        <w:rPr>
          <w:rFonts w:ascii="Palatino Linotype" w:hAnsi="Palatino Linotype" w:cs="Arial"/>
          <w:sz w:val="24"/>
          <w:szCs w:val="24"/>
        </w:rPr>
      </w:pPr>
    </w:p>
    <w:p w14:paraId="076D47D4" w14:textId="77777777" w:rsidR="0009491C" w:rsidRPr="00360DF2" w:rsidRDefault="0009491C" w:rsidP="00390FFA">
      <w:pPr>
        <w:autoSpaceDE w:val="0"/>
        <w:autoSpaceDN w:val="0"/>
        <w:adjustRightInd w:val="0"/>
        <w:spacing w:after="0" w:line="360" w:lineRule="auto"/>
        <w:jc w:val="both"/>
        <w:rPr>
          <w:rFonts w:ascii="Palatino Linotype" w:hAnsi="Palatino Linotype" w:cs="Arial"/>
          <w:b/>
          <w:sz w:val="28"/>
          <w:szCs w:val="28"/>
        </w:rPr>
      </w:pPr>
      <w:r w:rsidRPr="00360DF2">
        <w:rPr>
          <w:rFonts w:ascii="Palatino Linotype" w:hAnsi="Palatino Linotype" w:cs="Arial"/>
          <w:b/>
          <w:sz w:val="28"/>
          <w:szCs w:val="28"/>
        </w:rPr>
        <w:t xml:space="preserve">SEGUNDO. </w:t>
      </w:r>
      <w:r w:rsidRPr="00360DF2">
        <w:rPr>
          <w:rFonts w:ascii="Palatino Linotype" w:hAnsi="Palatino Linotype" w:cs="Arial"/>
          <w:b/>
          <w:sz w:val="26"/>
          <w:szCs w:val="26"/>
        </w:rPr>
        <w:t>Alcance del recurso de revisión.</w:t>
      </w:r>
      <w:r w:rsidRPr="00360DF2">
        <w:rPr>
          <w:rFonts w:ascii="Palatino Linotype" w:hAnsi="Palatino Linotype" w:cs="Arial"/>
          <w:b/>
          <w:sz w:val="28"/>
          <w:szCs w:val="28"/>
        </w:rPr>
        <w:t xml:space="preserve"> </w:t>
      </w:r>
    </w:p>
    <w:p w14:paraId="0669345C" w14:textId="4460D3F4" w:rsidR="0009491C" w:rsidRDefault="0009491C"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360DF2">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1B01C91" w14:textId="6C44DA36" w:rsidR="005353D4" w:rsidRDefault="005353D4"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AEE1376"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 xml:space="preserve">Así mismo, esta Ponencia considera importante abordar el análisis de los requisitos de </w:t>
      </w:r>
      <w:proofErr w:type="spellStart"/>
      <w:r w:rsidRPr="005353D4">
        <w:rPr>
          <w:rFonts w:ascii="Palatino Linotype" w:hAnsi="Palatino Linotype" w:cs="Arial"/>
          <w:sz w:val="24"/>
          <w:szCs w:val="24"/>
        </w:rPr>
        <w:t>procedibilidad</w:t>
      </w:r>
      <w:proofErr w:type="spellEnd"/>
      <w:r w:rsidRPr="005353D4">
        <w:rPr>
          <w:rFonts w:ascii="Palatino Linotype" w:hAnsi="Palatino Linotype" w:cs="Arial"/>
          <w:sz w:val="24"/>
          <w:szCs w:val="24"/>
        </w:rPr>
        <w:t xml:space="preserve"> de los recursos de revisión, así el artículo 180 de la Ley de Transparencia y Acceso a la Información Pública del Estado de México y Municipios, que establece lo siguiente:</w:t>
      </w:r>
    </w:p>
    <w:p w14:paraId="7A6D7027"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537483A6"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r w:rsidRPr="005353D4">
        <w:rPr>
          <w:rFonts w:ascii="Palatino Linotype" w:hAnsi="Palatino Linotype" w:cs="Arial"/>
          <w:b/>
          <w:i/>
          <w:szCs w:val="24"/>
        </w:rPr>
        <w:t>Artículo 180</w:t>
      </w:r>
      <w:r w:rsidRPr="005353D4">
        <w:rPr>
          <w:rFonts w:ascii="Palatino Linotype" w:hAnsi="Palatino Linotype" w:cs="Arial"/>
          <w:i/>
          <w:szCs w:val="24"/>
        </w:rPr>
        <w:t xml:space="preserve">. El recurso de revisión contendrá: </w:t>
      </w:r>
    </w:p>
    <w:p w14:paraId="37EB5E55"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w:t>
      </w:r>
      <w:r w:rsidRPr="005353D4">
        <w:rPr>
          <w:rFonts w:ascii="Palatino Linotype" w:hAnsi="Palatino Linotype" w:cs="Arial"/>
          <w:i/>
          <w:szCs w:val="24"/>
        </w:rPr>
        <w:t xml:space="preserve">. El Sujeto Obligado ante la cual se presentó la solicitud; </w:t>
      </w:r>
    </w:p>
    <w:p w14:paraId="5B8EB35A"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II</w:t>
      </w:r>
      <w:r w:rsidRPr="005353D4">
        <w:rPr>
          <w:rFonts w:ascii="Palatino Linotype" w:hAnsi="Palatino Linotype" w:cs="Arial"/>
          <w:i/>
          <w:szCs w:val="24"/>
        </w:rPr>
        <w:t xml:space="preserve">. </w:t>
      </w:r>
      <w:r w:rsidRPr="005353D4">
        <w:rPr>
          <w:rFonts w:ascii="Palatino Linotype" w:hAnsi="Palatino Linotype" w:cs="Arial"/>
          <w:i/>
          <w:szCs w:val="24"/>
          <w:u w:val="single"/>
        </w:rPr>
        <w:t>El nombre del solicitante</w:t>
      </w:r>
      <w:r w:rsidRPr="005353D4">
        <w:rPr>
          <w:rFonts w:ascii="Palatino Linotype" w:hAnsi="Palatino Linotype" w:cs="Arial"/>
          <w:i/>
          <w:szCs w:val="24"/>
        </w:rPr>
        <w:t xml:space="preserve"> que recurre o de su representante y, en su caso, del tercero interesado, así como la dirección o medio que señale para recibir notificaciones; </w:t>
      </w:r>
    </w:p>
    <w:p w14:paraId="0C8360AF"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III</w:t>
      </w:r>
      <w:r w:rsidRPr="005353D4">
        <w:rPr>
          <w:rFonts w:ascii="Palatino Linotype" w:hAnsi="Palatino Linotype" w:cs="Arial"/>
          <w:i/>
          <w:szCs w:val="24"/>
        </w:rPr>
        <w:t xml:space="preserve">. El número de folio de respuesta de la solicitud de acceso; </w:t>
      </w:r>
    </w:p>
    <w:p w14:paraId="2720DD03"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IV</w:t>
      </w:r>
      <w:r w:rsidRPr="005353D4">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32CB81D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V</w:t>
      </w:r>
      <w:r w:rsidRPr="005353D4">
        <w:rPr>
          <w:rFonts w:ascii="Palatino Linotype" w:hAnsi="Palatino Linotype" w:cs="Arial"/>
          <w:i/>
          <w:szCs w:val="24"/>
        </w:rPr>
        <w:t xml:space="preserve">. El acto que se recurre; </w:t>
      </w:r>
    </w:p>
    <w:p w14:paraId="44413FCB"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VI</w:t>
      </w:r>
      <w:r w:rsidRPr="005353D4">
        <w:rPr>
          <w:rFonts w:ascii="Palatino Linotype" w:hAnsi="Palatino Linotype" w:cs="Arial"/>
          <w:i/>
          <w:szCs w:val="24"/>
        </w:rPr>
        <w:t xml:space="preserve">. Las razones o motivos de inconformidad; </w:t>
      </w:r>
    </w:p>
    <w:p w14:paraId="1639200C"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lastRenderedPageBreak/>
        <w:t>VII</w:t>
      </w:r>
      <w:r w:rsidRPr="005353D4">
        <w:rPr>
          <w:rFonts w:ascii="Palatino Linotype" w:hAnsi="Palatino Linotype" w:cs="Arial"/>
          <w:i/>
          <w:szCs w:val="24"/>
        </w:rPr>
        <w:t xml:space="preserve">. La copia de la respuesta que se impugna y, en su caso, de la notificación correspondiente, en el caso de respuesta de la solicitud; y </w:t>
      </w:r>
    </w:p>
    <w:p w14:paraId="288F22E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VIII</w:t>
      </w:r>
      <w:r w:rsidRPr="005353D4">
        <w:rPr>
          <w:rFonts w:ascii="Palatino Linotype" w:hAnsi="Palatino Linotype" w:cs="Arial"/>
          <w:i/>
          <w:szCs w:val="24"/>
        </w:rPr>
        <w:t xml:space="preserve">. Firma del Recurrente, en su caso, cuando se presente por escrito, requisito sin el cual se dará trámite al recurso. </w:t>
      </w:r>
    </w:p>
    <w:p w14:paraId="163B011D"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 xml:space="preserve">Adicionalmente, se podrán anexar las pruebas y demás elementos que considere procedentes someter a juicio del Instituto. </w:t>
      </w:r>
    </w:p>
    <w:p w14:paraId="70A67F6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 xml:space="preserve">En ningún caso será necesario que el particular ratifique el recurso de revisión interpuesto. </w:t>
      </w:r>
    </w:p>
    <w:p w14:paraId="3E72E318"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u w:val="single"/>
        </w:rPr>
      </w:pPr>
      <w:r w:rsidRPr="005353D4">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587EE49D"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p>
    <w:p w14:paraId="17152D29" w14:textId="77777777" w:rsidR="005353D4" w:rsidRPr="005353D4" w:rsidRDefault="005353D4" w:rsidP="005353D4">
      <w:pPr>
        <w:autoSpaceDE w:val="0"/>
        <w:autoSpaceDN w:val="0"/>
        <w:adjustRightInd w:val="0"/>
        <w:spacing w:after="0" w:line="240" w:lineRule="auto"/>
        <w:ind w:left="567" w:right="567"/>
        <w:jc w:val="right"/>
        <w:rPr>
          <w:rFonts w:ascii="Palatino Linotype" w:hAnsi="Palatino Linotype" w:cs="Arial"/>
          <w:szCs w:val="24"/>
        </w:rPr>
      </w:pPr>
      <w:r w:rsidRPr="005353D4">
        <w:rPr>
          <w:rFonts w:ascii="Palatino Linotype" w:hAnsi="Palatino Linotype" w:cs="Arial"/>
          <w:szCs w:val="24"/>
        </w:rPr>
        <w:t>(Énfasis añadido)</w:t>
      </w:r>
    </w:p>
    <w:p w14:paraId="2272345F"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124FD603"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en el apartado de “DATOS DEL SOLICITANTE”, no señalo como nombre o seudónimo con el cual desee identificarse, por lo que no tiene certeza sobre su identidad, lo que en estricto sentido, no se colmarían los requisitos establecidos en el citado artículo 180 de la Ley de Transparencia.</w:t>
      </w:r>
    </w:p>
    <w:p w14:paraId="1BD1FF18"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6233F291"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5353D4">
        <w:rPr>
          <w:rFonts w:ascii="Palatino Linotype" w:hAnsi="Palatino Linotype" w:cs="Arial"/>
          <w:i/>
          <w:sz w:val="24"/>
          <w:szCs w:val="24"/>
        </w:rPr>
        <w:t>sine qua non</w:t>
      </w:r>
      <w:r w:rsidRPr="005353D4">
        <w:rPr>
          <w:rFonts w:ascii="Palatino Linotype" w:hAnsi="Palatino Linotype" w:cs="Arial"/>
          <w:sz w:val="24"/>
          <w:szCs w:val="24"/>
        </w:rPr>
        <w:t xml:space="preserve"> que los particulares y, en su caso, los Recurrentes deban señalar, por el contrario la Ley de Transparencia </w:t>
      </w:r>
      <w:r w:rsidRPr="005353D4">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7DED7D03"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1AE1E237"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6B010D9"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0B834FDE" w14:textId="77777777" w:rsidR="005353D4" w:rsidRPr="005353D4" w:rsidRDefault="005353D4" w:rsidP="005353D4">
      <w:pPr>
        <w:autoSpaceDE w:val="0"/>
        <w:autoSpaceDN w:val="0"/>
        <w:adjustRightInd w:val="0"/>
        <w:spacing w:after="0" w:line="240" w:lineRule="auto"/>
        <w:jc w:val="center"/>
        <w:rPr>
          <w:rFonts w:ascii="Palatino Linotype" w:hAnsi="Palatino Linotype" w:cs="Arial"/>
          <w:b/>
          <w:i/>
        </w:rPr>
      </w:pPr>
      <w:r w:rsidRPr="005353D4">
        <w:rPr>
          <w:rFonts w:ascii="Palatino Linotype" w:hAnsi="Palatino Linotype" w:cs="Arial"/>
          <w:b/>
          <w:i/>
        </w:rPr>
        <w:t>Constitución Política de los Estados Unidos Mexicanos</w:t>
      </w:r>
    </w:p>
    <w:p w14:paraId="479BB4DD" w14:textId="77777777" w:rsidR="005353D4" w:rsidRPr="005353D4" w:rsidRDefault="005353D4" w:rsidP="005353D4">
      <w:pPr>
        <w:autoSpaceDE w:val="0"/>
        <w:autoSpaceDN w:val="0"/>
        <w:adjustRightInd w:val="0"/>
        <w:spacing w:after="0" w:line="240" w:lineRule="auto"/>
        <w:jc w:val="both"/>
        <w:rPr>
          <w:rFonts w:ascii="Palatino Linotype" w:hAnsi="Palatino Linotype" w:cs="Arial"/>
        </w:rPr>
      </w:pPr>
    </w:p>
    <w:p w14:paraId="3B766B7C"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rPr>
      </w:pPr>
      <w:r w:rsidRPr="005353D4">
        <w:rPr>
          <w:rFonts w:ascii="Palatino Linotype" w:hAnsi="Palatino Linotype" w:cs="Arial"/>
          <w:i/>
        </w:rPr>
        <w:t>“</w:t>
      </w:r>
      <w:r w:rsidRPr="005353D4">
        <w:rPr>
          <w:rFonts w:ascii="Palatino Linotype" w:hAnsi="Palatino Linotype" w:cs="Arial"/>
          <w:b/>
          <w:i/>
        </w:rPr>
        <w:t>Artículo 6o</w:t>
      </w:r>
      <w:r w:rsidRPr="005353D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9064EC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2094D97"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Para efectos de lo dispuesto en el presente artículo se observará lo siguiente:</w:t>
      </w:r>
    </w:p>
    <w:p w14:paraId="09F241CC"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A</w:t>
      </w:r>
      <w:r w:rsidRPr="005353D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2DD2DB78"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w:t>
      </w:r>
      <w:r w:rsidRPr="005353D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5353D4">
        <w:rPr>
          <w:rFonts w:ascii="Palatino Linotype" w:hAnsi="Palatino Linotype" w:cs="Arial"/>
          <w:i/>
          <w:szCs w:val="24"/>
        </w:rPr>
        <w:lastRenderedPageBreak/>
        <w:t>funciones, la ley determinará los supuestos específicos bajo los cuales procederá la declaración de inexistencia de la información.</w:t>
      </w:r>
    </w:p>
    <w:p w14:paraId="0D3A5274"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p>
    <w:p w14:paraId="1179E70A"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III.</w:t>
      </w:r>
      <w:r w:rsidRPr="005353D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CA11545"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p>
    <w:p w14:paraId="1AB9B91B"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V</w:t>
      </w:r>
      <w:r w:rsidRPr="005353D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1FF0DC2"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VI.</w:t>
      </w:r>
      <w:r w:rsidRPr="005353D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10BFBA3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p>
    <w:p w14:paraId="2657E205"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La ley establecerá aquella información que se considere reservada o confidencial.</w:t>
      </w:r>
    </w:p>
    <w:p w14:paraId="14868DF8"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p>
    <w:p w14:paraId="090126C2" w14:textId="77777777" w:rsidR="005353D4" w:rsidRPr="005353D4" w:rsidRDefault="005353D4" w:rsidP="005353D4">
      <w:pPr>
        <w:autoSpaceDE w:val="0"/>
        <w:autoSpaceDN w:val="0"/>
        <w:adjustRightInd w:val="0"/>
        <w:spacing w:after="0" w:line="240" w:lineRule="auto"/>
        <w:ind w:left="567" w:right="567"/>
        <w:jc w:val="center"/>
        <w:rPr>
          <w:rFonts w:ascii="Palatino Linotype" w:hAnsi="Palatino Linotype" w:cs="Arial"/>
          <w:b/>
          <w:i/>
          <w:szCs w:val="24"/>
        </w:rPr>
      </w:pPr>
      <w:r w:rsidRPr="005353D4">
        <w:rPr>
          <w:rFonts w:ascii="Palatino Linotype" w:hAnsi="Palatino Linotype" w:cs="Arial"/>
          <w:b/>
          <w:i/>
          <w:szCs w:val="24"/>
        </w:rPr>
        <w:t>Constitución Política del Estado Libre y Soberano de México</w:t>
      </w:r>
    </w:p>
    <w:p w14:paraId="0C3894C8"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p>
    <w:p w14:paraId="71B067E3"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r w:rsidRPr="005353D4">
        <w:rPr>
          <w:rFonts w:ascii="Palatino Linotype" w:hAnsi="Palatino Linotype" w:cs="Arial"/>
          <w:b/>
          <w:i/>
          <w:szCs w:val="24"/>
        </w:rPr>
        <w:t>Artículo 5</w:t>
      </w:r>
      <w:r w:rsidRPr="005353D4">
        <w:rPr>
          <w:rFonts w:ascii="Palatino Linotype" w:hAnsi="Palatino Linotype" w:cs="Arial"/>
          <w:i/>
          <w:szCs w:val="24"/>
        </w:rPr>
        <w:t xml:space="preserve">. … </w:t>
      </w:r>
    </w:p>
    <w:p w14:paraId="178E6841"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p>
    <w:p w14:paraId="4D42319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7F7585F5"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A0FDDD"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Este derecho se regirá por los principios y bases siguientes:</w:t>
      </w:r>
    </w:p>
    <w:p w14:paraId="6D37FCD8"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t>I</w:t>
      </w:r>
      <w:r w:rsidRPr="005353D4">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EBEA73"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p>
    <w:p w14:paraId="508DFA8B"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b/>
          <w:i/>
          <w:szCs w:val="24"/>
        </w:rPr>
        <w:lastRenderedPageBreak/>
        <w:t>III</w:t>
      </w:r>
      <w:r w:rsidRPr="005353D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71D18C3F" w14:textId="77777777" w:rsidR="005353D4" w:rsidRPr="005353D4" w:rsidRDefault="005353D4" w:rsidP="005353D4">
      <w:pPr>
        <w:autoSpaceDE w:val="0"/>
        <w:autoSpaceDN w:val="0"/>
        <w:adjustRightInd w:val="0"/>
        <w:spacing w:after="0" w:line="240" w:lineRule="auto"/>
        <w:ind w:left="567" w:right="567"/>
        <w:jc w:val="right"/>
        <w:rPr>
          <w:rFonts w:ascii="Palatino Linotype" w:hAnsi="Palatino Linotype" w:cs="Arial"/>
          <w:i/>
          <w:szCs w:val="24"/>
        </w:rPr>
      </w:pPr>
      <w:r w:rsidRPr="005353D4">
        <w:rPr>
          <w:rFonts w:ascii="Palatino Linotype" w:hAnsi="Palatino Linotype" w:cs="Arial"/>
          <w:i/>
          <w:szCs w:val="24"/>
        </w:rPr>
        <w:t>(Énfasis añadido)</w:t>
      </w:r>
    </w:p>
    <w:p w14:paraId="0EFE405B"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4AF79316"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Por otra parte, del contenido del artículo 1 de la Constitución Política de los Estados Unidos Mexicanos, se destaca lo siguiente:</w:t>
      </w:r>
    </w:p>
    <w:p w14:paraId="16D29D65"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28ECDC79"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r w:rsidRPr="005353D4">
        <w:rPr>
          <w:rFonts w:ascii="Palatino Linotype" w:hAnsi="Palatino Linotype" w:cs="Arial"/>
          <w:b/>
          <w:i/>
          <w:szCs w:val="24"/>
        </w:rPr>
        <w:t>Artículo 1o.</w:t>
      </w:r>
      <w:r w:rsidRPr="005353D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1D2CAF3"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2EC0A093"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EDCE824"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6BC28484"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062BB2F"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06B3BE0A"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388E2F72"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41BEE987"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Cs w:val="24"/>
        </w:rPr>
      </w:pPr>
      <w:r w:rsidRPr="005353D4">
        <w:rPr>
          <w:rFonts w:ascii="Palatino Linotype" w:hAnsi="Palatino Linotype" w:cs="Arial"/>
          <w:i/>
          <w:szCs w:val="24"/>
        </w:rPr>
        <w:t>“</w:t>
      </w:r>
      <w:r w:rsidRPr="005353D4">
        <w:rPr>
          <w:rFonts w:ascii="Palatino Linotype" w:hAnsi="Palatino Linotype" w:cs="Arial"/>
          <w:b/>
          <w:i/>
          <w:szCs w:val="24"/>
        </w:rPr>
        <w:t>Acceso a información gubernamental. No debe condicionarse a que el solicitante acredite su personalidad, demuestre interés alguno o justifique su utilización.</w:t>
      </w:r>
      <w:r w:rsidRPr="005353D4">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411B3F6"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b/>
          <w:i/>
          <w:sz w:val="20"/>
          <w:szCs w:val="24"/>
        </w:rPr>
      </w:pPr>
      <w:r w:rsidRPr="005353D4">
        <w:rPr>
          <w:rFonts w:ascii="Palatino Linotype" w:hAnsi="Palatino Linotype" w:cs="Arial"/>
          <w:b/>
          <w:i/>
          <w:sz w:val="20"/>
          <w:szCs w:val="24"/>
        </w:rPr>
        <w:t>Resoluciones</w:t>
      </w:r>
    </w:p>
    <w:p w14:paraId="4631CEFD"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 w:val="20"/>
          <w:szCs w:val="24"/>
        </w:rPr>
      </w:pPr>
      <w:r w:rsidRPr="005353D4">
        <w:rPr>
          <w:rFonts w:ascii="Palatino Linotype" w:hAnsi="Palatino Linotype" w:cs="Arial"/>
          <w:b/>
          <w:i/>
          <w:sz w:val="20"/>
          <w:szCs w:val="24"/>
        </w:rPr>
        <w:t>• RDA 5275/13.</w:t>
      </w:r>
      <w:r w:rsidRPr="005353D4">
        <w:rPr>
          <w:rFonts w:ascii="Palatino Linotype" w:hAnsi="Palatino Linotype" w:cs="Arial"/>
          <w:i/>
          <w:sz w:val="20"/>
          <w:szCs w:val="24"/>
        </w:rPr>
        <w:t xml:space="preserve"> Interpuesto en contra de la Secretaría de la Defensa Nacional. Comisionado Ponente Ángel Trinidad Zaldívar.</w:t>
      </w:r>
    </w:p>
    <w:p w14:paraId="7FDEABF4"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 w:val="20"/>
          <w:szCs w:val="24"/>
        </w:rPr>
      </w:pPr>
      <w:r w:rsidRPr="005353D4">
        <w:rPr>
          <w:rFonts w:ascii="Palatino Linotype" w:hAnsi="Palatino Linotype" w:cs="Arial"/>
          <w:b/>
          <w:i/>
          <w:sz w:val="20"/>
          <w:szCs w:val="24"/>
        </w:rPr>
        <w:t>• RDA 2937/13.</w:t>
      </w:r>
      <w:r w:rsidRPr="005353D4">
        <w:rPr>
          <w:rFonts w:ascii="Palatino Linotype" w:hAnsi="Palatino Linotype" w:cs="Arial"/>
          <w:i/>
          <w:sz w:val="20"/>
          <w:szCs w:val="24"/>
        </w:rPr>
        <w:t xml:space="preserve"> Interpuesto en contra de LICONSA, S.A. de C.V. Comisionado. Ponente Gerardo </w:t>
      </w:r>
      <w:proofErr w:type="spellStart"/>
      <w:r w:rsidRPr="005353D4">
        <w:rPr>
          <w:rFonts w:ascii="Palatino Linotype" w:hAnsi="Palatino Linotype" w:cs="Arial"/>
          <w:i/>
          <w:sz w:val="20"/>
          <w:szCs w:val="24"/>
        </w:rPr>
        <w:t>Laveaga</w:t>
      </w:r>
      <w:proofErr w:type="spellEnd"/>
      <w:r w:rsidRPr="005353D4">
        <w:rPr>
          <w:rFonts w:ascii="Palatino Linotype" w:hAnsi="Palatino Linotype" w:cs="Arial"/>
          <w:i/>
          <w:sz w:val="20"/>
          <w:szCs w:val="24"/>
        </w:rPr>
        <w:t xml:space="preserve"> Rendón.</w:t>
      </w:r>
    </w:p>
    <w:p w14:paraId="1C77AD00"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 w:val="20"/>
          <w:szCs w:val="24"/>
        </w:rPr>
      </w:pPr>
      <w:r w:rsidRPr="005353D4">
        <w:rPr>
          <w:rFonts w:ascii="Palatino Linotype" w:hAnsi="Palatino Linotype" w:cs="Arial"/>
          <w:b/>
          <w:i/>
          <w:sz w:val="20"/>
          <w:szCs w:val="24"/>
        </w:rPr>
        <w:t>• RDA 3609/12.</w:t>
      </w:r>
      <w:r w:rsidRPr="005353D4">
        <w:rPr>
          <w:rFonts w:ascii="Palatino Linotype" w:hAnsi="Palatino Linotype" w:cs="Arial"/>
          <w:i/>
          <w:sz w:val="20"/>
          <w:szCs w:val="24"/>
        </w:rPr>
        <w:t xml:space="preserve"> Interpuesto en contra de la Secretaría de Educación Pública. Comisionada Ponente Sigrid </w:t>
      </w:r>
      <w:proofErr w:type="spellStart"/>
      <w:r w:rsidRPr="005353D4">
        <w:rPr>
          <w:rFonts w:ascii="Palatino Linotype" w:hAnsi="Palatino Linotype" w:cs="Arial"/>
          <w:i/>
          <w:sz w:val="20"/>
          <w:szCs w:val="24"/>
        </w:rPr>
        <w:t>Arzt</w:t>
      </w:r>
      <w:proofErr w:type="spellEnd"/>
      <w:r w:rsidRPr="005353D4">
        <w:rPr>
          <w:rFonts w:ascii="Palatino Linotype" w:hAnsi="Palatino Linotype" w:cs="Arial"/>
          <w:i/>
          <w:sz w:val="20"/>
          <w:szCs w:val="24"/>
        </w:rPr>
        <w:t xml:space="preserve"> Colunga.</w:t>
      </w:r>
    </w:p>
    <w:p w14:paraId="36348821"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 w:val="20"/>
          <w:szCs w:val="24"/>
        </w:rPr>
      </w:pPr>
      <w:r w:rsidRPr="005353D4">
        <w:rPr>
          <w:rFonts w:ascii="Palatino Linotype" w:hAnsi="Palatino Linotype" w:cs="Arial"/>
          <w:b/>
          <w:i/>
          <w:sz w:val="20"/>
          <w:szCs w:val="24"/>
        </w:rPr>
        <w:t>• RDA 3361/12.</w:t>
      </w:r>
      <w:r w:rsidRPr="005353D4">
        <w:rPr>
          <w:rFonts w:ascii="Palatino Linotype" w:hAnsi="Palatino Linotype" w:cs="Arial"/>
          <w:i/>
          <w:sz w:val="20"/>
          <w:szCs w:val="24"/>
        </w:rPr>
        <w:t xml:space="preserve"> Interpuesto en contra del Servicio de Administración Tributaria. Comisionada Ponente María Elena Pérez-Jaén Zermeño.</w:t>
      </w:r>
    </w:p>
    <w:p w14:paraId="18573D7F" w14:textId="77777777" w:rsidR="005353D4" w:rsidRPr="005353D4" w:rsidRDefault="005353D4" w:rsidP="005353D4">
      <w:pPr>
        <w:autoSpaceDE w:val="0"/>
        <w:autoSpaceDN w:val="0"/>
        <w:adjustRightInd w:val="0"/>
        <w:spacing w:after="0" w:line="240" w:lineRule="auto"/>
        <w:ind w:left="567" w:right="567"/>
        <w:jc w:val="both"/>
        <w:rPr>
          <w:rFonts w:ascii="Palatino Linotype" w:hAnsi="Palatino Linotype" w:cs="Arial"/>
          <w:i/>
          <w:sz w:val="20"/>
          <w:szCs w:val="24"/>
        </w:rPr>
      </w:pPr>
      <w:r w:rsidRPr="005353D4">
        <w:rPr>
          <w:rFonts w:ascii="Palatino Linotype" w:hAnsi="Palatino Linotype" w:cs="Arial"/>
          <w:b/>
          <w:i/>
          <w:sz w:val="20"/>
          <w:szCs w:val="24"/>
        </w:rPr>
        <w:t>• RDA 0563/12.</w:t>
      </w:r>
      <w:r w:rsidRPr="005353D4">
        <w:rPr>
          <w:rFonts w:ascii="Palatino Linotype" w:hAnsi="Palatino Linotype" w:cs="Arial"/>
          <w:i/>
          <w:sz w:val="20"/>
          <w:szCs w:val="24"/>
        </w:rPr>
        <w:t xml:space="preserve"> Interpuesto en contra de la Secretaría de la Función Pública. Comisionada Ponente Jacqueline </w:t>
      </w:r>
      <w:proofErr w:type="spellStart"/>
      <w:r w:rsidRPr="005353D4">
        <w:rPr>
          <w:rFonts w:ascii="Palatino Linotype" w:hAnsi="Palatino Linotype" w:cs="Arial"/>
          <w:i/>
          <w:sz w:val="20"/>
          <w:szCs w:val="24"/>
        </w:rPr>
        <w:t>Peschard</w:t>
      </w:r>
      <w:proofErr w:type="spellEnd"/>
      <w:r w:rsidRPr="005353D4">
        <w:rPr>
          <w:rFonts w:ascii="Palatino Linotype" w:hAnsi="Palatino Linotype" w:cs="Arial"/>
          <w:i/>
          <w:sz w:val="20"/>
          <w:szCs w:val="24"/>
        </w:rPr>
        <w:t xml:space="preserve"> Mariscal.”</w:t>
      </w:r>
    </w:p>
    <w:p w14:paraId="65DEED01"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34371E39"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 xml:space="preserve">En ese orden de ideas, se estima que el requerimiento relativo al nombre como presupuesto de </w:t>
      </w:r>
      <w:proofErr w:type="spellStart"/>
      <w:r w:rsidRPr="005353D4">
        <w:rPr>
          <w:rFonts w:ascii="Palatino Linotype" w:hAnsi="Palatino Linotype" w:cs="Arial"/>
          <w:sz w:val="24"/>
          <w:szCs w:val="24"/>
        </w:rPr>
        <w:t>procedibilidad</w:t>
      </w:r>
      <w:proofErr w:type="spellEnd"/>
      <w:r w:rsidRPr="005353D4">
        <w:rPr>
          <w:rFonts w:ascii="Palatino Linotype" w:hAnsi="Palatino Linotype" w:cs="Arial"/>
          <w:sz w:val="24"/>
          <w:szCs w:val="24"/>
        </w:rPr>
        <w:t xml:space="preserve"> podría limitar el ejercicio del derecho de acceso a la información pública, debido a que el hecho de solicitar la identificación del Recurrente a través de dicho dato personal, en ciertos extremos se equipara a una exigencia acerca </w:t>
      </w:r>
      <w:r w:rsidRPr="005353D4">
        <w:rPr>
          <w:rFonts w:ascii="Palatino Linotype" w:hAnsi="Palatino Linotype" w:cs="Arial"/>
          <w:sz w:val="24"/>
          <w:szCs w:val="24"/>
        </w:rPr>
        <w:lastRenderedPageBreak/>
        <w:t>de su interés o justificación de su utilización, lo que materialmente haría nugatorio un derecho fundamental.</w:t>
      </w:r>
    </w:p>
    <w:p w14:paraId="418F48E6"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30EC7161"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9C65733"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p>
    <w:p w14:paraId="490C2BE0"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w:t>
      </w:r>
      <w:proofErr w:type="spellStart"/>
      <w:r w:rsidRPr="005353D4">
        <w:rPr>
          <w:rFonts w:ascii="Palatino Linotype" w:hAnsi="Palatino Linotype" w:cs="Arial"/>
          <w:sz w:val="24"/>
          <w:szCs w:val="24"/>
        </w:rPr>
        <w:t>procedibilidad</w:t>
      </w:r>
      <w:proofErr w:type="spellEnd"/>
      <w:r w:rsidRPr="005353D4">
        <w:rPr>
          <w:rFonts w:ascii="Palatino Linotype" w:hAnsi="Palatino Linotype" w:cs="Arial"/>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14:paraId="4826C86A" w14:textId="77777777" w:rsidR="005353D4" w:rsidRPr="005353D4" w:rsidRDefault="005353D4" w:rsidP="005353D4">
      <w:pPr>
        <w:autoSpaceDE w:val="0"/>
        <w:autoSpaceDN w:val="0"/>
        <w:adjustRightInd w:val="0"/>
        <w:spacing w:after="0" w:line="360" w:lineRule="auto"/>
        <w:jc w:val="both"/>
        <w:rPr>
          <w:rFonts w:ascii="Palatino Linotype" w:hAnsi="Palatino Linotype" w:cs="Arial"/>
          <w:sz w:val="24"/>
          <w:szCs w:val="24"/>
        </w:rPr>
      </w:pPr>
      <w:r w:rsidRPr="005353D4">
        <w:rPr>
          <w:rFonts w:ascii="Palatino Linotype" w:hAnsi="Palatino Linotype" w:cs="Arial"/>
          <w:sz w:val="24"/>
          <w:szCs w:val="24"/>
        </w:rPr>
        <w:lastRenderedPageBreak/>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0D0A6493" w14:textId="77777777" w:rsidR="0048739B" w:rsidRPr="00360DF2" w:rsidRDefault="0048739B"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7AE1DB" w14:textId="77777777" w:rsidR="0016140D" w:rsidRPr="008739FE" w:rsidRDefault="0016140D" w:rsidP="0016140D">
      <w:pPr>
        <w:spacing w:after="0" w:line="360" w:lineRule="auto"/>
        <w:jc w:val="both"/>
        <w:rPr>
          <w:rFonts w:ascii="Palatino Linotype" w:eastAsiaTheme="minorEastAsia" w:hAnsi="Palatino Linotype" w:cs="Arial"/>
          <w:b/>
          <w:sz w:val="28"/>
          <w:szCs w:val="28"/>
          <w:lang w:val="es-ES_tradnl" w:eastAsia="es-ES"/>
        </w:rPr>
      </w:pPr>
      <w:r w:rsidRPr="008739FE">
        <w:rPr>
          <w:rFonts w:ascii="Palatino Linotype" w:eastAsiaTheme="minorEastAsia" w:hAnsi="Palatino Linotype" w:cs="Arial"/>
          <w:b/>
          <w:sz w:val="28"/>
          <w:szCs w:val="28"/>
          <w:lang w:val="es-ES_tradnl" w:eastAsia="es-ES"/>
        </w:rPr>
        <w:t>TERCERO. Del estudio de las causas de improcedencia y sobreseimiento.</w:t>
      </w:r>
    </w:p>
    <w:p w14:paraId="5B376121" w14:textId="6266A2B8" w:rsidR="0016140D" w:rsidRDefault="0016140D" w:rsidP="0016140D">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8739FE">
        <w:rPr>
          <w:rFonts w:ascii="Palatino Linotype" w:eastAsiaTheme="minorEastAsia" w:hAnsi="Palatino Linotype" w:cs="Arial"/>
          <w:sz w:val="24"/>
          <w:szCs w:val="24"/>
          <w:lang w:val="es-ES_tradnl" w:eastAsia="es-ES"/>
        </w:rPr>
        <w:t xml:space="preserve">Es menester resaltar que en el procedimiento de acceso a la información pública y de los medios de impugnación de la materia, se advierten diversos supuestos de </w:t>
      </w:r>
      <w:proofErr w:type="spellStart"/>
      <w:r w:rsidRPr="008739FE">
        <w:rPr>
          <w:rFonts w:ascii="Palatino Linotype" w:eastAsiaTheme="minorEastAsia" w:hAnsi="Palatino Linotype" w:cs="Arial"/>
          <w:sz w:val="24"/>
          <w:szCs w:val="24"/>
          <w:lang w:val="es-ES_tradnl" w:eastAsia="es-ES"/>
        </w:rPr>
        <w:t>procedibilidad</w:t>
      </w:r>
      <w:proofErr w:type="spellEnd"/>
      <w:r w:rsidRPr="008739FE">
        <w:rPr>
          <w:rFonts w:ascii="Palatino Linotype" w:eastAsiaTheme="minorEastAsia" w:hAnsi="Palatino Linotype" w:cs="Arial"/>
          <w:sz w:val="24"/>
          <w:szCs w:val="24"/>
          <w:lang w:val="es-ES_tradnl" w:eastAsia="es-ES"/>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7D5A64" w14:textId="77777777" w:rsidR="003321A2" w:rsidRPr="008739FE" w:rsidRDefault="003321A2" w:rsidP="0016140D">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76960F45" w14:textId="77777777" w:rsidR="0016140D" w:rsidRPr="008739FE" w:rsidRDefault="0016140D" w:rsidP="0016140D">
      <w:pPr>
        <w:autoSpaceDE w:val="0"/>
        <w:autoSpaceDN w:val="0"/>
        <w:adjustRightInd w:val="0"/>
        <w:spacing w:after="0" w:line="360" w:lineRule="auto"/>
        <w:ind w:firstLine="1"/>
        <w:contextualSpacing/>
        <w:jc w:val="both"/>
        <w:rPr>
          <w:rFonts w:ascii="Palatino Linotype" w:eastAsiaTheme="minorEastAsia" w:hAnsi="Palatino Linotype" w:cs="Arial"/>
          <w:sz w:val="24"/>
          <w:szCs w:val="24"/>
          <w:lang w:val="es-ES_tradnl" w:eastAsia="es-ES"/>
        </w:rPr>
      </w:pPr>
      <w:r w:rsidRPr="008739FE">
        <w:rPr>
          <w:rFonts w:ascii="Palatino Linotype" w:eastAsiaTheme="minorEastAsia" w:hAnsi="Palatino Linotype" w:cs="Arial"/>
          <w:sz w:val="24"/>
          <w:szCs w:val="24"/>
          <w:lang w:val="es-ES_tradnl" w:eastAsia="es-ES"/>
        </w:rPr>
        <w:t>Correlativo a ello, como lo establece el artículo 62 de la Ley de Amparo, Reglamentaria de los Artículos 103 y 107 de la Constitución Política de los Estados Unidos Mexicanos, las causas de improcedencia se analizarán de oficio, lo aleguen o no las partes, por ser una cuestión de orden público y estudio preferente; además, con base en la jurisprudencia por reiteración con número de registro digital 222780, de rubro y texto:</w:t>
      </w:r>
    </w:p>
    <w:p w14:paraId="75D4B390" w14:textId="77777777" w:rsidR="0016140D" w:rsidRPr="008739FE" w:rsidRDefault="0016140D" w:rsidP="0016140D">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7BF991EC" w14:textId="77777777" w:rsidR="0016140D" w:rsidRPr="008739FE" w:rsidRDefault="0016140D" w:rsidP="0016140D">
      <w:pPr>
        <w:autoSpaceDE w:val="0"/>
        <w:autoSpaceDN w:val="0"/>
        <w:adjustRightInd w:val="0"/>
        <w:spacing w:after="0" w:line="240" w:lineRule="auto"/>
        <w:ind w:left="567" w:right="567"/>
        <w:contextualSpacing/>
        <w:jc w:val="both"/>
        <w:rPr>
          <w:rFonts w:ascii="Palatino Linotype" w:eastAsiaTheme="minorEastAsia" w:hAnsi="Palatino Linotype" w:cs="Arial"/>
          <w:i/>
          <w:szCs w:val="24"/>
          <w:lang w:val="es-ES_tradnl" w:eastAsia="es-ES"/>
        </w:rPr>
      </w:pPr>
      <w:r w:rsidRPr="008739FE">
        <w:rPr>
          <w:rFonts w:ascii="Palatino Linotype" w:eastAsiaTheme="minorEastAsia" w:hAnsi="Palatino Linotype" w:cs="Arial"/>
          <w:i/>
          <w:szCs w:val="24"/>
          <w:lang w:val="es-ES_tradnl" w:eastAsia="es-ES"/>
        </w:rPr>
        <w:t>“</w:t>
      </w:r>
      <w:r w:rsidRPr="008739FE">
        <w:rPr>
          <w:rFonts w:ascii="Palatino Linotype" w:eastAsiaTheme="minorEastAsia" w:hAnsi="Palatino Linotype" w:cs="Arial"/>
          <w:b/>
          <w:i/>
          <w:szCs w:val="24"/>
          <w:lang w:val="es-ES_tradnl" w:eastAsia="es-ES"/>
        </w:rPr>
        <w:t>IMPROCEDENCIA, CAUSALES DE. EN EL JUICIO DE AMPARO.</w:t>
      </w:r>
      <w:r w:rsidRPr="008739FE">
        <w:rPr>
          <w:rFonts w:ascii="Palatino Linotype" w:eastAsiaTheme="minorEastAsia" w:hAnsi="Palatino Linotype" w:cs="Arial"/>
          <w:i/>
          <w:szCs w:val="24"/>
          <w:lang w:val="es-ES_tradnl" w:eastAsia="es-ES"/>
        </w:rPr>
        <w:t xml:space="preserve"> Las causales de improcedencia del juicio de amparo, por ser de orden público deben estudiarse previamente, lo aleguen o no las partes, cualquiera que sea la instancia”.</w:t>
      </w:r>
    </w:p>
    <w:p w14:paraId="305FF941" w14:textId="77777777" w:rsidR="0016140D" w:rsidRPr="008739FE" w:rsidRDefault="0016140D" w:rsidP="0016140D">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6CEA0974" w14:textId="77777777" w:rsidR="0016140D" w:rsidRPr="008739FE" w:rsidRDefault="0016140D" w:rsidP="0016140D">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8739FE">
        <w:rPr>
          <w:rFonts w:ascii="Palatino Linotype" w:eastAsiaTheme="minorEastAsia" w:hAnsi="Palatino Linotype" w:cs="Arial"/>
          <w:sz w:val="24"/>
          <w:szCs w:val="24"/>
          <w:lang w:val="es-ES_tradnl" w:eastAsia="es-ES"/>
        </w:rPr>
        <w:lastRenderedPageBreak/>
        <w:t xml:space="preserve">Siendo una facultad legal entrar al estudio de las causas de improcedencia que hagan valer las partes o que se adviertan de oficio por este </w:t>
      </w:r>
      <w:proofErr w:type="spellStart"/>
      <w:r w:rsidRPr="008739FE">
        <w:rPr>
          <w:rFonts w:ascii="Palatino Linotype" w:eastAsiaTheme="minorEastAsia" w:hAnsi="Palatino Linotype" w:cs="Arial"/>
          <w:sz w:val="24"/>
          <w:szCs w:val="24"/>
          <w:lang w:val="es-ES_tradnl" w:eastAsia="es-ES"/>
        </w:rPr>
        <w:t>Resolutor</w:t>
      </w:r>
      <w:proofErr w:type="spellEnd"/>
      <w:r w:rsidRPr="008739FE">
        <w:rPr>
          <w:rFonts w:ascii="Palatino Linotype" w:eastAsiaTheme="minorEastAsia" w:hAnsi="Palatino Linotype" w:cs="Arial"/>
          <w:sz w:val="24"/>
          <w:szCs w:val="24"/>
          <w:lang w:val="es-ES_tradnl" w:eastAsia="es-ES"/>
        </w:rPr>
        <w:t>; presupuestos procesales de inicio o trámite de un proceso que dotan de seguridad jurídica las resoluciones emitidas por este órgano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8739FE">
        <w:rPr>
          <w:rFonts w:ascii="Palatino Linotype" w:eastAsiaTheme="minorEastAsia" w:hAnsi="Palatino Linotype" w:cs="Arial"/>
          <w:sz w:val="24"/>
          <w:szCs w:val="24"/>
          <w:vertAlign w:val="superscript"/>
          <w:lang w:val="es-ES_tradnl" w:eastAsia="es-ES"/>
        </w:rPr>
        <w:footnoteReference w:id="1"/>
      </w:r>
      <w:r w:rsidRPr="008739FE">
        <w:rPr>
          <w:rFonts w:ascii="Palatino Linotype" w:eastAsiaTheme="minorEastAsia" w:hAnsi="Palatino Linotype" w:cs="Arial"/>
          <w:sz w:val="24"/>
          <w:szCs w:val="24"/>
          <w:lang w:val="es-ES_tradnl" w:eastAsia="es-ES"/>
        </w:rPr>
        <w:t>.</w:t>
      </w:r>
    </w:p>
    <w:p w14:paraId="697994FC" w14:textId="77777777" w:rsidR="0016140D" w:rsidRPr="008739FE" w:rsidRDefault="0016140D" w:rsidP="0016140D">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78556C79" w14:textId="7F5F1AA4" w:rsidR="0016140D" w:rsidRDefault="0016140D" w:rsidP="0016140D">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8739FE">
        <w:rPr>
          <w:rFonts w:ascii="Palatino Linotype" w:eastAsiaTheme="minorEastAsia" w:hAnsi="Palatino Linotype" w:cs="Arial"/>
          <w:sz w:val="24"/>
          <w:szCs w:val="24"/>
          <w:lang w:val="es-ES_tradnl" w:eastAsia="es-ES"/>
        </w:rPr>
        <w:t xml:space="preserve">En primer término es necesario hacer alusión a la solicitud de información ya que de ella deriva por un lado al procedimiento de acceso a la información ante el </w:t>
      </w:r>
      <w:r w:rsidRPr="008739FE">
        <w:rPr>
          <w:rFonts w:ascii="Palatino Linotype" w:eastAsiaTheme="minorEastAsia" w:hAnsi="Palatino Linotype" w:cs="Arial"/>
          <w:b/>
          <w:sz w:val="24"/>
          <w:szCs w:val="24"/>
          <w:lang w:val="es-ES_tradnl" w:eastAsia="es-ES"/>
        </w:rPr>
        <w:t>Sujeto Obligado</w:t>
      </w:r>
      <w:r w:rsidRPr="008739FE">
        <w:rPr>
          <w:rFonts w:ascii="Palatino Linotype" w:eastAsiaTheme="minorEastAsia" w:hAnsi="Palatino Linotype" w:cs="Arial"/>
          <w:sz w:val="24"/>
          <w:szCs w:val="24"/>
          <w:lang w:val="es-ES_tradnl" w:eastAsia="es-ES"/>
        </w:rPr>
        <w:t xml:space="preserve">, y por otro lado la materia sobre la que versara el recurso de revisión ante </w:t>
      </w:r>
      <w:r w:rsidRPr="008739FE">
        <w:rPr>
          <w:rFonts w:ascii="Palatino Linotype" w:eastAsiaTheme="minorEastAsia" w:hAnsi="Palatino Linotype" w:cs="Arial"/>
          <w:sz w:val="24"/>
          <w:szCs w:val="24"/>
          <w:lang w:val="es-ES_tradnl" w:eastAsia="es-ES"/>
        </w:rPr>
        <w:lastRenderedPageBreak/>
        <w:t xml:space="preserve">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w:t>
      </w:r>
    </w:p>
    <w:p w14:paraId="7E8E02C8" w14:textId="77777777" w:rsidR="00E83E05" w:rsidRPr="008739FE" w:rsidRDefault="00E83E05" w:rsidP="0016140D">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002F5180" w14:textId="77777777" w:rsidR="0016140D" w:rsidRPr="008739FE" w:rsidRDefault="0016140D" w:rsidP="0016140D">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8739FE">
        <w:rPr>
          <w:rFonts w:ascii="Palatino Linotype" w:eastAsiaTheme="minorEastAsia" w:hAnsi="Palatino Linotype" w:cs="Arial"/>
          <w:sz w:val="24"/>
          <w:szCs w:val="24"/>
          <w:lang w:val="es-ES_tradnl" w:eastAsia="es-ES"/>
        </w:rPr>
        <w:t xml:space="preserve">No podemos establecer una materia o un tema como objeto de derecho de acceso a la información, si de la solicitud no se entiende o no se precisan temas o materias objetivas; por ello es de notoria importancia el trabajo de interpretación que se le dé a una solicitud de información, ya que el </w:t>
      </w:r>
      <w:r w:rsidRPr="008739FE">
        <w:rPr>
          <w:rFonts w:ascii="Palatino Linotype" w:eastAsiaTheme="minorEastAsia" w:hAnsi="Palatino Linotype" w:cs="Arial"/>
          <w:b/>
          <w:sz w:val="24"/>
          <w:szCs w:val="24"/>
          <w:lang w:val="es-ES_tradnl" w:eastAsia="es-ES"/>
        </w:rPr>
        <w:t>Sujeto Obligado</w:t>
      </w:r>
      <w:r w:rsidRPr="008739FE">
        <w:rPr>
          <w:rFonts w:ascii="Palatino Linotype" w:eastAsiaTheme="minorEastAsia" w:hAnsi="Palatino Linotype" w:cs="Arial"/>
          <w:sz w:val="24"/>
          <w:szCs w:val="24"/>
          <w:lang w:val="es-ES_tradnl" w:eastAsia="es-ES"/>
        </w:rPr>
        <w:t xml:space="preserve"> puede considerar una circunstancia en particular diversa a la que el particular objetivamente requiere.</w:t>
      </w:r>
    </w:p>
    <w:p w14:paraId="32565293" w14:textId="77777777" w:rsidR="0016140D" w:rsidRPr="008739FE" w:rsidRDefault="0016140D" w:rsidP="0016140D">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34AA9849" w14:textId="77777777" w:rsidR="0016140D" w:rsidRPr="008739FE" w:rsidRDefault="0016140D" w:rsidP="0016140D">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8739FE">
        <w:rPr>
          <w:rFonts w:ascii="Palatino Linotype" w:eastAsiaTheme="minorEastAsia" w:hAnsi="Palatino Linotype" w:cs="Arial"/>
          <w:sz w:val="24"/>
          <w:szCs w:val="24"/>
          <w:lang w:val="es-ES_tradnl" w:eastAsia="es-ES"/>
        </w:rPr>
        <w:t xml:space="preserve">Ya que el planteamiento del problema es de toral importancia, a efecto de determinar la intención o voluntad del </w:t>
      </w:r>
      <w:r w:rsidRPr="008739FE">
        <w:rPr>
          <w:rFonts w:ascii="Palatino Linotype" w:eastAsiaTheme="minorEastAsia" w:hAnsi="Palatino Linotype" w:cs="Arial"/>
          <w:b/>
          <w:sz w:val="24"/>
          <w:szCs w:val="24"/>
          <w:lang w:val="es-ES_tradnl" w:eastAsia="es-ES"/>
        </w:rPr>
        <w:t>Recurrente</w:t>
      </w:r>
      <w:r w:rsidRPr="008739FE">
        <w:rPr>
          <w:rFonts w:ascii="Palatino Linotype" w:eastAsiaTheme="minorEastAsia" w:hAnsi="Palatino Linotype" w:cs="Arial"/>
          <w:sz w:val="24"/>
          <w:szCs w:val="24"/>
          <w:lang w:val="es-ES_tradnl" w:eastAsia="es-ES"/>
        </w:rPr>
        <w:t xml:space="preserve"> a la luz de la interpretación de la solicitud de información, y que puede generar de forma objetiva y material el </w:t>
      </w:r>
      <w:r w:rsidRPr="008739FE">
        <w:rPr>
          <w:rFonts w:ascii="Palatino Linotype" w:eastAsiaTheme="minorEastAsia" w:hAnsi="Palatino Linotype" w:cs="Arial"/>
          <w:b/>
          <w:sz w:val="24"/>
          <w:szCs w:val="24"/>
          <w:lang w:val="es-ES_tradnl" w:eastAsia="es-ES"/>
        </w:rPr>
        <w:t>Sujeto Obligado</w:t>
      </w:r>
      <w:r w:rsidRPr="008739FE">
        <w:rPr>
          <w:rFonts w:ascii="Palatino Linotype" w:eastAsiaTheme="minorEastAsia" w:hAnsi="Palatino Linotype" w:cs="Arial"/>
          <w:sz w:val="24"/>
          <w:szCs w:val="24"/>
          <w:lang w:val="es-ES_tradnl" w:eastAsia="es-ES"/>
        </w:rPr>
        <w:t xml:space="preserve"> que se relacione con esa intención, respecto del presente asunto se realiza a continuación.</w:t>
      </w:r>
    </w:p>
    <w:p w14:paraId="0FA10A4E" w14:textId="77777777" w:rsidR="0016140D" w:rsidRDefault="0016140D" w:rsidP="0016140D">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p>
    <w:p w14:paraId="30150763" w14:textId="693B8DE0" w:rsidR="0016140D" w:rsidRPr="00777011" w:rsidRDefault="0016140D" w:rsidP="0016140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F1D25">
        <w:rPr>
          <w:rFonts w:ascii="Palatino Linotype" w:eastAsia="Times New Roman" w:hAnsi="Palatino Linotype" w:cs="Arial"/>
          <w:sz w:val="24"/>
          <w:szCs w:val="24"/>
          <w:lang w:val="es-ES" w:eastAsia="es-ES"/>
        </w:rPr>
        <w:t xml:space="preserve">Atentos a la redacción de la solicitud de información, </w:t>
      </w:r>
      <w:r w:rsidR="00777011">
        <w:rPr>
          <w:rFonts w:ascii="Palatino Linotype" w:eastAsia="Times New Roman" w:hAnsi="Palatino Linotype" w:cs="Arial"/>
          <w:sz w:val="24"/>
          <w:szCs w:val="24"/>
          <w:lang w:val="es-ES" w:eastAsia="es-ES"/>
        </w:rPr>
        <w:t xml:space="preserve">así como del documento anexado a ésta (el cual se tiene aquí por reproducido como si a la letra se insertase, en obvio de repeticiones innecesarias), </w:t>
      </w:r>
      <w:r w:rsidRPr="007F1D25">
        <w:rPr>
          <w:rFonts w:ascii="Palatino Linotype" w:eastAsia="Times New Roman" w:hAnsi="Palatino Linotype" w:cs="Arial"/>
          <w:sz w:val="24"/>
          <w:szCs w:val="24"/>
          <w:lang w:val="es-ES" w:eastAsia="es-ES"/>
        </w:rPr>
        <w:t xml:space="preserve">se puede apreciar que la parte </w:t>
      </w:r>
      <w:r w:rsidRPr="007F1D25">
        <w:rPr>
          <w:rFonts w:ascii="Palatino Linotype" w:eastAsia="Times New Roman" w:hAnsi="Palatino Linotype" w:cs="Arial"/>
          <w:b/>
          <w:sz w:val="24"/>
          <w:szCs w:val="24"/>
          <w:lang w:val="es-ES" w:eastAsia="es-ES"/>
        </w:rPr>
        <w:t>Recurrente</w:t>
      </w:r>
      <w:r w:rsidRPr="007F1D25">
        <w:rPr>
          <w:rFonts w:ascii="Palatino Linotype" w:eastAsia="Times New Roman" w:hAnsi="Palatino Linotype" w:cs="Arial"/>
          <w:sz w:val="24"/>
          <w:szCs w:val="24"/>
          <w:lang w:val="es-ES" w:eastAsia="es-ES"/>
        </w:rPr>
        <w:t xml:space="preserve"> petici</w:t>
      </w:r>
      <w:r>
        <w:rPr>
          <w:rFonts w:ascii="Palatino Linotype" w:eastAsia="Times New Roman" w:hAnsi="Palatino Linotype" w:cs="Arial"/>
          <w:sz w:val="24"/>
          <w:szCs w:val="24"/>
          <w:lang w:val="es-ES" w:eastAsia="es-ES"/>
        </w:rPr>
        <w:t>ona</w:t>
      </w:r>
      <w:r w:rsidR="00777011">
        <w:rPr>
          <w:rFonts w:ascii="Palatino Linotype" w:eastAsia="Times New Roman" w:hAnsi="Palatino Linotype" w:cs="Arial"/>
          <w:sz w:val="24"/>
          <w:szCs w:val="24"/>
          <w:lang w:val="es-ES" w:eastAsia="es-ES"/>
        </w:rPr>
        <w:t xml:space="preserve"> de la </w:t>
      </w:r>
      <w:r w:rsidR="00777011">
        <w:rPr>
          <w:rFonts w:ascii="Palatino Linotype" w:eastAsia="Times New Roman" w:hAnsi="Palatino Linotype" w:cs="Arial"/>
          <w:b/>
          <w:bCs/>
          <w:sz w:val="24"/>
          <w:szCs w:val="24"/>
          <w:lang w:val="es-ES" w:eastAsia="es-ES"/>
        </w:rPr>
        <w:t>Guardia Nacional</w:t>
      </w:r>
      <w:r w:rsidR="00777011">
        <w:rPr>
          <w:rFonts w:ascii="Palatino Linotype" w:eastAsia="Times New Roman" w:hAnsi="Palatino Linotype" w:cs="Arial"/>
          <w:sz w:val="24"/>
          <w:szCs w:val="24"/>
          <w:lang w:val="es-ES" w:eastAsia="es-ES"/>
        </w:rPr>
        <w:t xml:space="preserve"> que el Sujeto Obligado realice una búsqueda en sus archivos y haga entrega de diversos documentos o en su caso </w:t>
      </w:r>
      <w:r w:rsidR="00777011">
        <w:rPr>
          <w:rFonts w:ascii="Palatino Linotype" w:eastAsia="Times New Roman" w:hAnsi="Palatino Linotype" w:cs="Arial"/>
          <w:b/>
          <w:bCs/>
          <w:sz w:val="24"/>
          <w:szCs w:val="24"/>
          <w:lang w:val="es-ES" w:eastAsia="es-ES"/>
        </w:rPr>
        <w:t>se pronuncie</w:t>
      </w:r>
      <w:r w:rsidR="00777011">
        <w:rPr>
          <w:rFonts w:ascii="Palatino Linotype" w:eastAsia="Times New Roman" w:hAnsi="Palatino Linotype" w:cs="Arial"/>
          <w:sz w:val="24"/>
          <w:szCs w:val="24"/>
          <w:lang w:val="es-ES" w:eastAsia="es-ES"/>
        </w:rPr>
        <w:t xml:space="preserve"> el no tenerlos.</w:t>
      </w:r>
    </w:p>
    <w:p w14:paraId="31C92B85" w14:textId="77777777" w:rsidR="0009491C" w:rsidRDefault="0009491C"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D36CED" w14:textId="77777777" w:rsidR="0016140D" w:rsidRDefault="0016140D"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D46B9DB" w14:textId="58D112CB" w:rsidR="00D6242C" w:rsidRDefault="00777011" w:rsidP="008657E9">
      <w:pPr>
        <w:spacing w:after="0" w:line="360" w:lineRule="auto"/>
        <w:contextualSpacing/>
        <w:jc w:val="both"/>
        <w:rPr>
          <w:rFonts w:ascii="Palatino Linotype" w:hAnsi="Palatino Linotype" w:cs="Arial"/>
          <w:sz w:val="24"/>
          <w:szCs w:val="24"/>
        </w:rPr>
      </w:pPr>
      <w:r>
        <w:rPr>
          <w:rFonts w:ascii="Palatino Linotype" w:eastAsia="Times New Roman" w:hAnsi="Palatino Linotype" w:cs="Arial"/>
          <w:sz w:val="24"/>
          <w:szCs w:val="24"/>
          <w:lang w:val="es-ES" w:eastAsia="es-ES"/>
        </w:rPr>
        <w:lastRenderedPageBreak/>
        <w:t>Con motivo de la solicitud de información,</w:t>
      </w:r>
      <w:r w:rsidR="00D6242C">
        <w:rPr>
          <w:rFonts w:ascii="Palatino Linotype" w:eastAsia="Times New Roman" w:hAnsi="Palatino Linotype" w:cs="Arial"/>
          <w:sz w:val="24"/>
          <w:szCs w:val="24"/>
          <w:lang w:val="es-ES" w:eastAsia="es-ES"/>
        </w:rPr>
        <w:t xml:space="preserve"> e</w:t>
      </w:r>
      <w:r w:rsidR="008657E9" w:rsidRPr="00360DF2">
        <w:rPr>
          <w:rFonts w:ascii="Palatino Linotype" w:eastAsia="Times New Roman" w:hAnsi="Palatino Linotype" w:cs="Times New Roman"/>
          <w:sz w:val="24"/>
          <w:szCs w:val="24"/>
          <w:lang w:val="es-ES" w:eastAsia="es-MX"/>
        </w:rPr>
        <w:t xml:space="preserve">l </w:t>
      </w:r>
      <w:r w:rsidR="008657E9" w:rsidRPr="00360DF2">
        <w:rPr>
          <w:rFonts w:ascii="Palatino Linotype" w:eastAsia="Times New Roman" w:hAnsi="Palatino Linotype" w:cs="Times New Roman"/>
          <w:b/>
          <w:sz w:val="24"/>
          <w:szCs w:val="24"/>
          <w:lang w:val="es-ES" w:eastAsia="es-MX"/>
        </w:rPr>
        <w:t>Sujeto Obligado</w:t>
      </w:r>
      <w:r w:rsidR="008657E9" w:rsidRPr="00360DF2">
        <w:rPr>
          <w:rFonts w:ascii="Palatino Linotype" w:eastAsia="Times New Roman" w:hAnsi="Palatino Linotype" w:cs="Times New Roman"/>
          <w:sz w:val="24"/>
          <w:szCs w:val="24"/>
          <w:lang w:val="es-ES" w:eastAsia="es-MX"/>
        </w:rPr>
        <w:t xml:space="preserve"> </w:t>
      </w:r>
      <w:r>
        <w:rPr>
          <w:rFonts w:ascii="Palatino Linotype" w:eastAsia="Times New Roman" w:hAnsi="Palatino Linotype" w:cs="Times New Roman"/>
          <w:sz w:val="24"/>
          <w:szCs w:val="24"/>
          <w:lang w:val="es-ES" w:eastAsia="es-MX"/>
        </w:rPr>
        <w:t xml:space="preserve">notificó ser </w:t>
      </w:r>
      <w:r w:rsidRPr="00777011">
        <w:rPr>
          <w:rFonts w:ascii="Palatino Linotype" w:eastAsia="Times New Roman" w:hAnsi="Palatino Linotype" w:cs="Times New Roman"/>
          <w:b/>
          <w:bCs/>
          <w:sz w:val="24"/>
          <w:szCs w:val="24"/>
          <w:lang w:val="es-ES" w:eastAsia="es-MX"/>
        </w:rPr>
        <w:t>notoriamente improcedente</w:t>
      </w:r>
      <w:r>
        <w:rPr>
          <w:rFonts w:ascii="Palatino Linotype" w:eastAsia="Times New Roman" w:hAnsi="Palatino Linotype" w:cs="Times New Roman"/>
          <w:sz w:val="24"/>
          <w:szCs w:val="24"/>
          <w:lang w:val="es-ES" w:eastAsia="es-MX"/>
        </w:rPr>
        <w:t xml:space="preserve"> para tener en sus archivos la información, adjuntando </w:t>
      </w:r>
      <w:r w:rsidR="00D6242C">
        <w:rPr>
          <w:rFonts w:ascii="Palatino Linotype" w:eastAsia="Times New Roman" w:hAnsi="Palatino Linotype" w:cs="Times New Roman"/>
          <w:sz w:val="24"/>
          <w:szCs w:val="24"/>
          <w:lang w:val="es-ES" w:eastAsia="es-MX"/>
        </w:rPr>
        <w:t xml:space="preserve">los documentos electrónicos </w:t>
      </w:r>
      <w:r>
        <w:rPr>
          <w:rFonts w:ascii="Palatino Linotype" w:hAnsi="Palatino Linotype" w:cs="Arial"/>
          <w:i/>
          <w:iCs/>
          <w:sz w:val="24"/>
          <w:szCs w:val="24"/>
        </w:rPr>
        <w:t>“</w:t>
      </w:r>
      <w:r w:rsidRPr="00AC0581">
        <w:rPr>
          <w:rFonts w:ascii="Palatino Linotype" w:hAnsi="Palatino Linotype" w:cs="Arial"/>
          <w:b/>
          <w:bCs/>
          <w:i/>
          <w:iCs/>
          <w:sz w:val="24"/>
          <w:szCs w:val="24"/>
        </w:rPr>
        <w:t>Correo Respuesta 00164.pdf</w:t>
      </w:r>
      <w:r w:rsidRPr="00AC0581">
        <w:rPr>
          <w:rFonts w:ascii="Palatino Linotype" w:hAnsi="Palatino Linotype" w:cs="Arial"/>
          <w:sz w:val="24"/>
          <w:szCs w:val="24"/>
        </w:rPr>
        <w:t xml:space="preserve"> y </w:t>
      </w:r>
      <w:r w:rsidRPr="00AC0581">
        <w:rPr>
          <w:rFonts w:ascii="Palatino Linotype" w:hAnsi="Palatino Linotype" w:cs="Arial"/>
          <w:b/>
          <w:bCs/>
          <w:i/>
          <w:iCs/>
          <w:sz w:val="24"/>
          <w:szCs w:val="24"/>
        </w:rPr>
        <w:t>Respuesta 00164.pdf</w:t>
      </w:r>
      <w:r>
        <w:rPr>
          <w:rFonts w:ascii="Palatino Linotype" w:hAnsi="Palatino Linotype" w:cs="Arial"/>
          <w:i/>
          <w:iCs/>
          <w:sz w:val="24"/>
          <w:szCs w:val="24"/>
        </w:rPr>
        <w:t>”</w:t>
      </w:r>
      <w:r>
        <w:rPr>
          <w:rFonts w:ascii="Palatino Linotype" w:hAnsi="Palatino Linotype" w:cs="Arial"/>
          <w:sz w:val="24"/>
          <w:szCs w:val="24"/>
        </w:rPr>
        <w:t>,</w:t>
      </w:r>
      <w:r w:rsidR="00D6242C">
        <w:rPr>
          <w:rFonts w:ascii="Palatino Linotype" w:hAnsi="Palatino Linotype" w:cs="Arial"/>
          <w:sz w:val="24"/>
          <w:szCs w:val="24"/>
        </w:rPr>
        <w:t xml:space="preserve"> de los que se observa el contenido siguiente:</w:t>
      </w:r>
    </w:p>
    <w:p w14:paraId="11F44C47" w14:textId="641F0194" w:rsidR="00D6242C" w:rsidRDefault="00D6242C" w:rsidP="008657E9">
      <w:pPr>
        <w:spacing w:after="0" w:line="360" w:lineRule="auto"/>
        <w:contextualSpacing/>
        <w:jc w:val="both"/>
        <w:rPr>
          <w:rFonts w:ascii="Palatino Linotype" w:hAnsi="Palatino Linotype" w:cs="Arial"/>
          <w:sz w:val="24"/>
          <w:szCs w:val="24"/>
        </w:rPr>
      </w:pPr>
    </w:p>
    <w:p w14:paraId="633BFF2D" w14:textId="05D97FEC" w:rsidR="00E74B32" w:rsidRPr="00E74B32" w:rsidRDefault="00E74B32" w:rsidP="00D6242C">
      <w:pPr>
        <w:pStyle w:val="Prrafodelista"/>
        <w:numPr>
          <w:ilvl w:val="0"/>
          <w:numId w:val="6"/>
        </w:numPr>
        <w:spacing w:line="360" w:lineRule="auto"/>
        <w:contextualSpacing/>
        <w:jc w:val="both"/>
        <w:rPr>
          <w:rFonts w:ascii="Palatino Linotype" w:hAnsi="Palatino Linotype"/>
          <w:lang w:eastAsia="es-MX"/>
        </w:rPr>
      </w:pPr>
      <w:r w:rsidRPr="00E74B32">
        <w:rPr>
          <w:rFonts w:ascii="Palatino Linotype" w:hAnsi="Palatino Linotype" w:cs="Arial"/>
          <w:b/>
          <w:bCs/>
          <w:i/>
          <w:iCs/>
        </w:rPr>
        <w:t>Respuesta 00164.pdf</w:t>
      </w:r>
      <w:r w:rsidR="00D6242C">
        <w:rPr>
          <w:rFonts w:ascii="Palatino Linotype" w:hAnsi="Palatino Linotype" w:cs="Arial"/>
        </w:rPr>
        <w:t xml:space="preserve">: Oficio </w:t>
      </w:r>
      <w:r>
        <w:rPr>
          <w:rFonts w:ascii="Palatino Linotype" w:hAnsi="Palatino Linotype" w:cs="Arial"/>
        </w:rPr>
        <w:t>206B0110000100S/SP/UT/593/2024</w:t>
      </w:r>
      <w:r w:rsidR="00D6242C">
        <w:rPr>
          <w:rFonts w:ascii="Palatino Linotype" w:hAnsi="Palatino Linotype" w:cs="Arial"/>
        </w:rPr>
        <w:t xml:space="preserve">, del </w:t>
      </w:r>
      <w:r>
        <w:rPr>
          <w:rFonts w:ascii="Palatino Linotype" w:hAnsi="Palatino Linotype" w:cs="Arial"/>
        </w:rPr>
        <w:t xml:space="preserve">nueve de octubre </w:t>
      </w:r>
      <w:r w:rsidR="00D6242C">
        <w:rPr>
          <w:rFonts w:ascii="Palatino Linotype" w:hAnsi="Palatino Linotype" w:cs="Arial"/>
        </w:rPr>
        <w:t xml:space="preserve">de dos mil veinticuatro, remitido por el Titular de la Unidad de Transparencia del Sujeto Obligado al entonces Solicitante, mediante el cual </w:t>
      </w:r>
      <w:r>
        <w:rPr>
          <w:rFonts w:ascii="Palatino Linotype" w:hAnsi="Palatino Linotype" w:cs="Arial"/>
        </w:rPr>
        <w:t xml:space="preserve">informó que de conformidad con las respuestas proporcionadas por la Encargada de Despacho de la Dirección General del Centro de Información y Estadística, el Subdirector de Vinculación y Seguimiento a los Recursos Federales de la Dirección General de Coordinación de Fondos y Subsidios, y del Director General de Vinculación y Coordinación con Instancias, todos del Sujeto Obligado, se declara como </w:t>
      </w:r>
      <w:r>
        <w:rPr>
          <w:rFonts w:ascii="Palatino Linotype" w:hAnsi="Palatino Linotype" w:cs="Arial"/>
          <w:b/>
          <w:bCs/>
        </w:rPr>
        <w:t>incompetente</w:t>
      </w:r>
      <w:r>
        <w:rPr>
          <w:rFonts w:ascii="Palatino Linotype" w:hAnsi="Palatino Linotype" w:cs="Arial"/>
        </w:rPr>
        <w:t xml:space="preserve"> para atender la solicitud de información</w:t>
      </w:r>
      <w:r w:rsidR="006D4565">
        <w:rPr>
          <w:rFonts w:ascii="Palatino Linotype" w:hAnsi="Palatino Linotype" w:cs="Arial"/>
        </w:rPr>
        <w:t>, orientando al Sujeto Obligado (Guardia Nacional) competente.</w:t>
      </w:r>
    </w:p>
    <w:p w14:paraId="40EBA448" w14:textId="5034D55A" w:rsidR="00D6242C" w:rsidRDefault="00D6242C" w:rsidP="008657E9">
      <w:pPr>
        <w:spacing w:after="0" w:line="360" w:lineRule="auto"/>
        <w:contextualSpacing/>
        <w:jc w:val="both"/>
        <w:rPr>
          <w:rFonts w:ascii="Palatino Linotype" w:eastAsia="Times New Roman" w:hAnsi="Palatino Linotype" w:cs="Times New Roman"/>
          <w:sz w:val="24"/>
          <w:szCs w:val="24"/>
          <w:lang w:val="es-ES" w:eastAsia="es-MX"/>
        </w:rPr>
      </w:pPr>
    </w:p>
    <w:p w14:paraId="15E9C480" w14:textId="3DD70D98" w:rsidR="00D6242C" w:rsidRPr="00D6242C" w:rsidRDefault="006D4565" w:rsidP="00D6242C">
      <w:pPr>
        <w:pStyle w:val="Prrafodelista"/>
        <w:numPr>
          <w:ilvl w:val="0"/>
          <w:numId w:val="6"/>
        </w:numPr>
        <w:spacing w:line="360" w:lineRule="auto"/>
        <w:contextualSpacing/>
        <w:jc w:val="both"/>
        <w:rPr>
          <w:rFonts w:ascii="Palatino Linotype" w:hAnsi="Palatino Linotype"/>
          <w:lang w:eastAsia="es-MX"/>
        </w:rPr>
      </w:pPr>
      <w:r w:rsidRPr="00AC0581">
        <w:rPr>
          <w:rFonts w:ascii="Palatino Linotype" w:hAnsi="Palatino Linotype" w:cs="Arial"/>
          <w:b/>
          <w:bCs/>
          <w:i/>
          <w:iCs/>
        </w:rPr>
        <w:t>Correo Respuesta 00164.pdf</w:t>
      </w:r>
      <w:r w:rsidR="00D6242C">
        <w:rPr>
          <w:rFonts w:ascii="Palatino Linotype" w:hAnsi="Palatino Linotype" w:cs="Arial"/>
        </w:rPr>
        <w:t xml:space="preserve">: </w:t>
      </w:r>
      <w:r>
        <w:rPr>
          <w:rFonts w:ascii="Palatino Linotype" w:hAnsi="Palatino Linotype" w:cs="Arial"/>
        </w:rPr>
        <w:t>Consistente en captura de pantalla del correo electrónico enviado a la parte Recurrente, a través del cual se le notificó la respuesta a la solicitud de información 00164/SESESP/IP/2024.</w:t>
      </w:r>
    </w:p>
    <w:p w14:paraId="38A25B87" w14:textId="77777777" w:rsidR="00D6242C" w:rsidRDefault="00D6242C" w:rsidP="008657E9">
      <w:pPr>
        <w:spacing w:after="0" w:line="360" w:lineRule="auto"/>
        <w:contextualSpacing/>
        <w:jc w:val="both"/>
        <w:rPr>
          <w:rFonts w:ascii="Palatino Linotype" w:eastAsia="Times New Roman" w:hAnsi="Palatino Linotype" w:cs="Times New Roman"/>
          <w:sz w:val="24"/>
          <w:szCs w:val="24"/>
          <w:lang w:val="es-ES" w:eastAsia="es-MX"/>
        </w:rPr>
      </w:pPr>
    </w:p>
    <w:p w14:paraId="3232D5EE" w14:textId="2EECC8ED" w:rsidR="0016140D" w:rsidRDefault="00AF677C"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Inconforme con la respuesta, la parte </w:t>
      </w:r>
      <w:r w:rsidRPr="00AF677C">
        <w:rPr>
          <w:rFonts w:ascii="Palatino Linotype" w:eastAsia="Times New Roman" w:hAnsi="Palatino Linotype" w:cs="Arial"/>
          <w:b/>
          <w:bCs/>
          <w:sz w:val="24"/>
          <w:szCs w:val="24"/>
          <w:lang w:val="es-ES" w:eastAsia="es-ES"/>
        </w:rPr>
        <w:t>Recurrente</w:t>
      </w:r>
      <w:r>
        <w:rPr>
          <w:rFonts w:ascii="Palatino Linotype" w:eastAsia="Times New Roman" w:hAnsi="Palatino Linotype" w:cs="Arial"/>
          <w:sz w:val="24"/>
          <w:szCs w:val="24"/>
          <w:lang w:val="es-ES" w:eastAsia="es-ES"/>
        </w:rPr>
        <w:t xml:space="preserve"> interpuso recurso de revisión, en el cual señalo como razones o motivos de inconformidad </w:t>
      </w:r>
      <w:r>
        <w:rPr>
          <w:rFonts w:ascii="Palatino Linotype" w:eastAsia="Times New Roman" w:hAnsi="Palatino Linotype" w:cs="Arial"/>
          <w:i/>
          <w:iCs/>
          <w:sz w:val="24"/>
          <w:szCs w:val="24"/>
          <w:lang w:val="es-ES" w:eastAsia="es-ES"/>
        </w:rPr>
        <w:t>“</w:t>
      </w:r>
      <w:r w:rsidR="00227CA0" w:rsidRPr="00227CA0">
        <w:rPr>
          <w:rFonts w:ascii="Palatino Linotype" w:eastAsia="Times New Roman" w:hAnsi="Palatino Linotype" w:cs="Arial"/>
          <w:i/>
          <w:iCs/>
          <w:sz w:val="24"/>
          <w:szCs w:val="24"/>
          <w:lang w:eastAsia="es-ES"/>
        </w:rPr>
        <w:t xml:space="preserve">La solicitud formulada contenía erróneamente la Guardia Nacional, por lo que </w:t>
      </w:r>
      <w:r w:rsidR="00227CA0" w:rsidRPr="00227CA0">
        <w:rPr>
          <w:rFonts w:ascii="Palatino Linotype" w:eastAsia="Times New Roman" w:hAnsi="Palatino Linotype" w:cs="Arial"/>
          <w:i/>
          <w:iCs/>
          <w:sz w:val="24"/>
          <w:szCs w:val="24"/>
          <w:u w:val="single"/>
          <w:lang w:eastAsia="es-ES"/>
        </w:rPr>
        <w:t>se reenvía la solicitud corregida</w:t>
      </w:r>
      <w:r w:rsidR="00227CA0" w:rsidRPr="00227CA0">
        <w:rPr>
          <w:rFonts w:ascii="Palatino Linotype" w:eastAsia="Times New Roman" w:hAnsi="Palatino Linotype" w:cs="Arial"/>
          <w:i/>
          <w:iCs/>
          <w:sz w:val="24"/>
          <w:szCs w:val="24"/>
          <w:lang w:eastAsia="es-ES"/>
        </w:rPr>
        <w:t xml:space="preserve"> en donde se hace referencia a la información que está en poder del sujeto obligado Secretariado Ejecutivo del </w:t>
      </w:r>
      <w:r w:rsidR="00227CA0" w:rsidRPr="00227CA0">
        <w:rPr>
          <w:rFonts w:ascii="Palatino Linotype" w:eastAsia="Times New Roman" w:hAnsi="Palatino Linotype" w:cs="Arial"/>
          <w:i/>
          <w:iCs/>
          <w:sz w:val="24"/>
          <w:szCs w:val="24"/>
          <w:lang w:eastAsia="es-ES"/>
        </w:rPr>
        <w:lastRenderedPageBreak/>
        <w:t>Sistema Estatal de Seguridad Pública del Estado de México</w:t>
      </w:r>
      <w:r w:rsidRPr="00AF677C">
        <w:rPr>
          <w:rFonts w:ascii="Palatino Linotype" w:eastAsia="Times New Roman" w:hAnsi="Palatino Linotype" w:cs="Arial"/>
          <w:i/>
          <w:iCs/>
          <w:sz w:val="24"/>
          <w:szCs w:val="24"/>
          <w:lang w:val="es-ES" w:eastAsia="es-ES"/>
        </w:rPr>
        <w:t>” (sic)</w:t>
      </w:r>
      <w:r>
        <w:rPr>
          <w:rFonts w:ascii="Palatino Linotype" w:eastAsia="Times New Roman" w:hAnsi="Palatino Linotype" w:cs="Arial"/>
          <w:sz w:val="24"/>
          <w:szCs w:val="24"/>
          <w:lang w:val="es-ES" w:eastAsia="es-ES"/>
        </w:rPr>
        <w:t>, manifestaciones que</w:t>
      </w:r>
      <w:r w:rsidR="00227CA0">
        <w:rPr>
          <w:rFonts w:ascii="Palatino Linotype" w:eastAsia="Times New Roman" w:hAnsi="Palatino Linotype" w:cs="Arial"/>
          <w:sz w:val="24"/>
          <w:szCs w:val="24"/>
          <w:lang w:val="es-ES" w:eastAsia="es-ES"/>
        </w:rPr>
        <w:t>, resultan improcedentes para la interposición del recurso de revisión</w:t>
      </w:r>
      <w:r>
        <w:rPr>
          <w:rFonts w:ascii="Palatino Linotype" w:eastAsia="Times New Roman" w:hAnsi="Palatino Linotype" w:cs="Arial"/>
          <w:sz w:val="24"/>
          <w:szCs w:val="24"/>
          <w:lang w:val="es-ES" w:eastAsia="es-ES"/>
        </w:rPr>
        <w:t>, de conformidad con las consideraciones siguientes:</w:t>
      </w:r>
    </w:p>
    <w:p w14:paraId="170097C6" w14:textId="0CCB37B6" w:rsidR="00AF677C" w:rsidRDefault="00AF677C"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9CE1254" w14:textId="63B0149D"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C</w:t>
      </w:r>
      <w:r w:rsidRPr="00AF677C">
        <w:rPr>
          <w:rFonts w:ascii="Palatino Linotype" w:eastAsia="Times New Roman" w:hAnsi="Palatino Linotype" w:cs="Arial"/>
          <w:sz w:val="24"/>
          <w:szCs w:val="24"/>
          <w:lang w:val="es-ES" w:eastAsia="es-ES"/>
        </w:rPr>
        <w:t xml:space="preserve">onforme a lo anterior, el sistema de medios de impugnación se centra en el análisis de </w:t>
      </w:r>
      <w:r w:rsidRPr="00AF677C">
        <w:rPr>
          <w:rFonts w:ascii="Palatino Linotype" w:eastAsia="Times New Roman" w:hAnsi="Palatino Linotype" w:cs="Arial"/>
          <w:b/>
          <w:bCs/>
          <w:sz w:val="24"/>
          <w:szCs w:val="24"/>
          <w:lang w:val="es-ES" w:eastAsia="es-ES"/>
        </w:rPr>
        <w:t>los agravios o motivos de inconformidad</w:t>
      </w:r>
      <w:r w:rsidRPr="00AF677C">
        <w:rPr>
          <w:rFonts w:ascii="Palatino Linotype" w:eastAsia="Times New Roman" w:hAnsi="Palatino Linotype" w:cs="Arial"/>
          <w:sz w:val="24"/>
          <w:szCs w:val="24"/>
          <w:lang w:val="es-ES" w:eastAsia="es-ES"/>
        </w:rPr>
        <w:t xml:space="preserve">, los que </w:t>
      </w:r>
      <w:r w:rsidRPr="00AF677C">
        <w:rPr>
          <w:rFonts w:ascii="Palatino Linotype" w:eastAsia="Times New Roman" w:hAnsi="Palatino Linotype" w:cs="Arial"/>
          <w:b/>
          <w:bCs/>
          <w:sz w:val="24"/>
          <w:szCs w:val="24"/>
          <w:lang w:val="es-ES" w:eastAsia="es-ES"/>
        </w:rPr>
        <w:t>deben tener relación directa con el acto de autoridad que lo motiva</w:t>
      </w:r>
      <w:r w:rsidRPr="00AF677C">
        <w:rPr>
          <w:rFonts w:ascii="Palatino Linotype" w:eastAsia="Times New Roman" w:hAnsi="Palatino Linotype" w:cs="Arial"/>
          <w:sz w:val="24"/>
          <w:szCs w:val="24"/>
          <w:lang w:val="es-ES" w:eastAsia="es-ES"/>
        </w:rPr>
        <w:t xml:space="preserve">.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w:t>
      </w:r>
      <w:r w:rsidRPr="00AF677C">
        <w:rPr>
          <w:rFonts w:ascii="Palatino Linotype" w:eastAsia="Times New Roman" w:hAnsi="Palatino Linotype" w:cs="Arial"/>
          <w:b/>
          <w:bCs/>
          <w:sz w:val="24"/>
          <w:szCs w:val="24"/>
          <w:lang w:val="es-ES" w:eastAsia="es-ES"/>
        </w:rPr>
        <w:t>no pueden incluir situaciones novedosas o solicitudes de información nuevas de las que el Sujeto Obligado no tuvo la oportunidad de conocer y por consiguiente producir un posicionamiento</w:t>
      </w:r>
      <w:r w:rsidRPr="00AF677C">
        <w:rPr>
          <w:rFonts w:ascii="Palatino Linotype" w:eastAsia="Times New Roman" w:hAnsi="Palatino Linotype" w:cs="Arial"/>
          <w:sz w:val="24"/>
          <w:szCs w:val="24"/>
          <w:lang w:val="es-ES" w:eastAsia="es-ES"/>
        </w:rPr>
        <w:t>.</w:t>
      </w:r>
    </w:p>
    <w:p w14:paraId="71A20BA9"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0A64901" w14:textId="7513B714"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F677C">
        <w:rPr>
          <w:rFonts w:ascii="Palatino Linotype" w:eastAsia="Times New Roman" w:hAnsi="Palatino Linotype" w:cs="Arial"/>
          <w:sz w:val="24"/>
          <w:szCs w:val="24"/>
          <w:lang w:val="es-ES" w:eastAsia="es-ES"/>
        </w:rPr>
        <w:t>Es por ello, que la Ley de la materia contempla que en los casos en que a través del recurso de revisión se pretenda ampliar los requerimientos de información, la inconformidad relativa a estas situaciones novedosas no debe ser tomada en cuenta como parte de la Litis y debe ser desechada, tal y como lo establece el artículo 191 fracción VII.</w:t>
      </w:r>
    </w:p>
    <w:p w14:paraId="364B99E2"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D5B49F2" w14:textId="77777777" w:rsidR="00AF677C" w:rsidRPr="00AF677C" w:rsidRDefault="00AF677C" w:rsidP="00AF677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AF677C">
        <w:rPr>
          <w:rFonts w:ascii="Palatino Linotype" w:eastAsia="Times New Roman" w:hAnsi="Palatino Linotype" w:cs="Arial"/>
          <w:i/>
          <w:iCs/>
          <w:lang w:val="es-ES" w:eastAsia="es-ES"/>
        </w:rPr>
        <w:t>“</w:t>
      </w:r>
      <w:r w:rsidRPr="003F4C4C">
        <w:rPr>
          <w:rFonts w:ascii="Palatino Linotype" w:eastAsia="Times New Roman" w:hAnsi="Palatino Linotype" w:cs="Arial"/>
          <w:b/>
          <w:bCs/>
          <w:i/>
          <w:iCs/>
          <w:lang w:val="es-ES" w:eastAsia="es-ES"/>
        </w:rPr>
        <w:t>Artículo 191.</w:t>
      </w:r>
      <w:r w:rsidRPr="00AF677C">
        <w:rPr>
          <w:rFonts w:ascii="Palatino Linotype" w:eastAsia="Times New Roman" w:hAnsi="Palatino Linotype" w:cs="Arial"/>
          <w:i/>
          <w:iCs/>
          <w:lang w:val="es-ES" w:eastAsia="es-ES"/>
        </w:rPr>
        <w:t xml:space="preserve"> El recurso será desechado por improcedente cuando:</w:t>
      </w:r>
    </w:p>
    <w:p w14:paraId="02309066" w14:textId="77777777" w:rsidR="00AF677C" w:rsidRPr="00AF677C" w:rsidRDefault="00AF677C" w:rsidP="00AF677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AF677C">
        <w:rPr>
          <w:rFonts w:ascii="Palatino Linotype" w:eastAsia="Times New Roman" w:hAnsi="Palatino Linotype" w:cs="Arial"/>
          <w:i/>
          <w:iCs/>
          <w:lang w:val="es-ES" w:eastAsia="es-ES"/>
        </w:rPr>
        <w:t>(…)</w:t>
      </w:r>
    </w:p>
    <w:p w14:paraId="1C205779" w14:textId="77777777" w:rsidR="00AF677C" w:rsidRPr="00AF677C" w:rsidRDefault="00AF677C" w:rsidP="00AF677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b/>
          <w:bCs/>
          <w:i/>
          <w:iCs/>
          <w:lang w:val="es-ES" w:eastAsia="es-ES"/>
        </w:rPr>
        <w:t>VII</w:t>
      </w:r>
      <w:r w:rsidRPr="00AF677C">
        <w:rPr>
          <w:rFonts w:ascii="Palatino Linotype" w:eastAsia="Times New Roman" w:hAnsi="Palatino Linotype" w:cs="Arial"/>
          <w:i/>
          <w:iCs/>
          <w:lang w:val="es-ES" w:eastAsia="es-ES"/>
        </w:rPr>
        <w:t xml:space="preserve">. </w:t>
      </w:r>
      <w:r w:rsidRPr="00227CA0">
        <w:rPr>
          <w:rFonts w:ascii="Palatino Linotype" w:eastAsia="Times New Roman" w:hAnsi="Palatino Linotype" w:cs="Arial"/>
          <w:i/>
          <w:iCs/>
          <w:u w:val="single"/>
          <w:lang w:val="es-ES" w:eastAsia="es-ES"/>
        </w:rPr>
        <w:t>El recurrente amplíe su solicitud en el recurso de revisión</w:t>
      </w:r>
      <w:r w:rsidRPr="00AF677C">
        <w:rPr>
          <w:rFonts w:ascii="Palatino Linotype" w:eastAsia="Times New Roman" w:hAnsi="Palatino Linotype" w:cs="Arial"/>
          <w:i/>
          <w:iCs/>
          <w:lang w:val="es-ES" w:eastAsia="es-ES"/>
        </w:rPr>
        <w:t>, únicamente respecto de los nuevos contenidos.</w:t>
      </w:r>
    </w:p>
    <w:p w14:paraId="1FC87C33" w14:textId="77777777" w:rsidR="00AF677C" w:rsidRPr="00AF677C" w:rsidRDefault="00AF677C" w:rsidP="00AF677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AF677C">
        <w:rPr>
          <w:rFonts w:ascii="Palatino Linotype" w:eastAsia="Times New Roman" w:hAnsi="Palatino Linotype" w:cs="Arial"/>
          <w:i/>
          <w:iCs/>
          <w:lang w:val="es-ES" w:eastAsia="es-ES"/>
        </w:rPr>
        <w:t xml:space="preserve">(…)” </w:t>
      </w:r>
    </w:p>
    <w:p w14:paraId="695186B1"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7A93027" w14:textId="6FB077AC"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F677C">
        <w:rPr>
          <w:rFonts w:ascii="Palatino Linotype" w:eastAsia="Times New Roman" w:hAnsi="Palatino Linotype" w:cs="Arial"/>
          <w:sz w:val="24"/>
          <w:szCs w:val="24"/>
          <w:lang w:val="es-ES" w:eastAsia="es-ES"/>
        </w:rPr>
        <w:lastRenderedPageBreak/>
        <w:t xml:space="preserve">Por lo anterior, resulta improcedente el referido motivo de inconformidad, ya que se aprecia que la </w:t>
      </w:r>
      <w:r w:rsidRPr="00AF677C">
        <w:rPr>
          <w:rFonts w:ascii="Palatino Linotype" w:eastAsia="Times New Roman" w:hAnsi="Palatino Linotype" w:cs="Arial"/>
          <w:b/>
          <w:bCs/>
          <w:sz w:val="24"/>
          <w:szCs w:val="24"/>
          <w:lang w:val="es-ES" w:eastAsia="es-ES"/>
        </w:rPr>
        <w:t>Recurrente</w:t>
      </w:r>
      <w:r w:rsidRPr="00AF677C">
        <w:rPr>
          <w:rFonts w:ascii="Palatino Linotype" w:eastAsia="Times New Roman" w:hAnsi="Palatino Linotype" w:cs="Arial"/>
          <w:sz w:val="24"/>
          <w:szCs w:val="24"/>
          <w:lang w:val="es-ES" w:eastAsia="es-ES"/>
        </w:rPr>
        <w:t xml:space="preserve"> se excede dentro de su inconformidad respecto a lo requerido originalmente en la solicitud de información, siendo el caso que pretende ampliar </w:t>
      </w:r>
      <w:r w:rsidR="00227CA0">
        <w:rPr>
          <w:rFonts w:ascii="Palatino Linotype" w:eastAsia="Times New Roman" w:hAnsi="Palatino Linotype" w:cs="Arial"/>
          <w:sz w:val="24"/>
          <w:szCs w:val="24"/>
          <w:lang w:val="es-ES" w:eastAsia="es-ES"/>
        </w:rPr>
        <w:t xml:space="preserve">(modificar) </w:t>
      </w:r>
      <w:r w:rsidRPr="00AF677C">
        <w:rPr>
          <w:rFonts w:ascii="Palatino Linotype" w:eastAsia="Times New Roman" w:hAnsi="Palatino Linotype" w:cs="Arial"/>
          <w:sz w:val="24"/>
          <w:szCs w:val="24"/>
          <w:lang w:val="es-ES" w:eastAsia="es-ES"/>
        </w:rPr>
        <w:t>lo solicitado de origen</w:t>
      </w:r>
      <w:r w:rsidR="003F4C4C">
        <w:rPr>
          <w:rFonts w:ascii="Palatino Linotype" w:eastAsia="Times New Roman" w:hAnsi="Palatino Linotype" w:cs="Arial"/>
          <w:sz w:val="24"/>
          <w:szCs w:val="24"/>
          <w:lang w:val="es-ES" w:eastAsia="es-ES"/>
        </w:rPr>
        <w:t xml:space="preserve"> al referir </w:t>
      </w:r>
      <w:r w:rsidR="00227CA0">
        <w:rPr>
          <w:rFonts w:ascii="Palatino Linotype" w:eastAsia="Times New Roman" w:hAnsi="Palatino Linotype" w:cs="Arial"/>
          <w:sz w:val="24"/>
          <w:szCs w:val="24"/>
          <w:lang w:val="es-ES" w:eastAsia="es-ES"/>
        </w:rPr>
        <w:t>que corrige la solicitud</w:t>
      </w:r>
      <w:r w:rsidR="003F4C4C">
        <w:rPr>
          <w:rFonts w:ascii="Palatino Linotype" w:eastAsia="Times New Roman" w:hAnsi="Palatino Linotype" w:cs="Arial"/>
          <w:sz w:val="24"/>
          <w:szCs w:val="24"/>
          <w:lang w:val="es-ES" w:eastAsia="es-ES"/>
        </w:rPr>
        <w:t>, a pesar que de la redacción de la solicitud,</w:t>
      </w:r>
      <w:r w:rsidR="00227CA0">
        <w:rPr>
          <w:rFonts w:ascii="Palatino Linotype" w:eastAsia="Times New Roman" w:hAnsi="Palatino Linotype" w:cs="Arial"/>
          <w:sz w:val="24"/>
          <w:szCs w:val="24"/>
          <w:lang w:val="es-ES" w:eastAsia="es-ES"/>
        </w:rPr>
        <w:t xml:space="preserve"> peticionó de un Sujeto Obligado distinto</w:t>
      </w:r>
      <w:r w:rsidRPr="00AF677C">
        <w:rPr>
          <w:rFonts w:ascii="Palatino Linotype" w:eastAsia="Times New Roman" w:hAnsi="Palatino Linotype" w:cs="Arial"/>
          <w:sz w:val="24"/>
          <w:szCs w:val="24"/>
          <w:lang w:val="es-ES" w:eastAsia="es-ES"/>
        </w:rPr>
        <w:t xml:space="preserve">, lo que hace que se surta lo que en la teoría jurídica se le denomina </w:t>
      </w:r>
      <w:r w:rsidRPr="00AF677C">
        <w:rPr>
          <w:rFonts w:ascii="Palatino Linotype" w:eastAsia="Times New Roman" w:hAnsi="Palatino Linotype" w:cs="Arial"/>
          <w:b/>
          <w:bCs/>
          <w:i/>
          <w:iCs/>
          <w:sz w:val="24"/>
          <w:szCs w:val="24"/>
          <w:lang w:val="es-ES" w:eastAsia="es-ES"/>
        </w:rPr>
        <w:t xml:space="preserve">plus </w:t>
      </w:r>
      <w:proofErr w:type="spellStart"/>
      <w:r w:rsidRPr="00AF677C">
        <w:rPr>
          <w:rFonts w:ascii="Palatino Linotype" w:eastAsia="Times New Roman" w:hAnsi="Palatino Linotype" w:cs="Arial"/>
          <w:b/>
          <w:bCs/>
          <w:i/>
          <w:iCs/>
          <w:sz w:val="24"/>
          <w:szCs w:val="24"/>
          <w:lang w:val="es-ES" w:eastAsia="es-ES"/>
        </w:rPr>
        <w:t>petitio</w:t>
      </w:r>
      <w:proofErr w:type="spellEnd"/>
      <w:r w:rsidRPr="00AF677C">
        <w:rPr>
          <w:rFonts w:ascii="Palatino Linotype" w:eastAsia="Times New Roman" w:hAnsi="Palatino Linotype" w:cs="Arial"/>
          <w:sz w:val="24"/>
          <w:szCs w:val="24"/>
          <w:lang w:val="es-ES" w:eastAsia="es-ES"/>
        </w:rPr>
        <w:t>.</w:t>
      </w:r>
    </w:p>
    <w:p w14:paraId="30A9520A"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ABD0580" w14:textId="6CC9AAB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F677C">
        <w:rPr>
          <w:rFonts w:ascii="Palatino Linotype" w:eastAsia="Times New Roman" w:hAnsi="Palatino Linotype" w:cs="Arial"/>
          <w:sz w:val="24"/>
          <w:szCs w:val="24"/>
          <w:lang w:val="es-ES" w:eastAsia="es-ES"/>
        </w:rPr>
        <w:t xml:space="preserve">Sirve de apoyo el </w:t>
      </w:r>
      <w:r w:rsidRPr="003F4C4C">
        <w:rPr>
          <w:rFonts w:ascii="Palatino Linotype" w:eastAsia="Times New Roman" w:hAnsi="Palatino Linotype" w:cs="Arial"/>
          <w:b/>
          <w:bCs/>
          <w:sz w:val="24"/>
          <w:szCs w:val="24"/>
          <w:lang w:val="es-ES" w:eastAsia="es-ES"/>
        </w:rPr>
        <w:t>criterio 01/17</w:t>
      </w:r>
      <w:r w:rsidRPr="00AF677C">
        <w:rPr>
          <w:rFonts w:ascii="Palatino Linotype" w:eastAsia="Times New Roman" w:hAnsi="Palatino Linotype" w:cs="Arial"/>
          <w:sz w:val="24"/>
          <w:szCs w:val="24"/>
          <w:lang w:val="es-ES" w:eastAsia="es-ES"/>
        </w:rPr>
        <w:t xml:space="preserve"> emitido por el Instituto Nacional de Transparencia, Acceso a la Información y Protección de Datos Personales que establece lo siguiente:</w:t>
      </w:r>
    </w:p>
    <w:p w14:paraId="7088DE5B"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DC7479D" w14:textId="22820826" w:rsidR="00AF677C" w:rsidRPr="003F4C4C" w:rsidRDefault="003F4C4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Pr>
          <w:rFonts w:ascii="Palatino Linotype" w:eastAsia="Times New Roman" w:hAnsi="Palatino Linotype" w:cs="Arial"/>
          <w:i/>
          <w:iCs/>
          <w:lang w:val="es-ES" w:eastAsia="es-ES"/>
        </w:rPr>
        <w:t>“</w:t>
      </w:r>
      <w:r w:rsidR="00AF677C" w:rsidRPr="003F4C4C">
        <w:rPr>
          <w:rFonts w:ascii="Palatino Linotype" w:eastAsia="Times New Roman" w:hAnsi="Palatino Linotype" w:cs="Arial"/>
          <w:b/>
          <w:bCs/>
          <w:i/>
          <w:iCs/>
          <w:lang w:val="es-ES" w:eastAsia="es-ES"/>
        </w:rPr>
        <w:t>Es improcedente ampliar las solicitudes de acceso a información, a través de la interposición del recurso de revisión.</w:t>
      </w:r>
      <w:r w:rsidR="00AF677C" w:rsidRPr="003F4C4C">
        <w:rPr>
          <w:rFonts w:ascii="Palatino Linotype" w:eastAsia="Times New Roman" w:hAnsi="Palatino Linotype" w:cs="Arial"/>
          <w:i/>
          <w:iCs/>
          <w:lang w:val="es-ES" w:eastAsia="es-ES"/>
        </w:rPr>
        <w:t xml:space="preserve"> En términos de los artículos 155, fracción VII de la Ley General de Transparencia y Acceso a la Información Pública, y 161, fracción VII de la Ley Federal de Transparencia y Acceso a la Información Pública, </w:t>
      </w:r>
      <w:r w:rsidR="00AF677C" w:rsidRPr="00004B19">
        <w:rPr>
          <w:rFonts w:ascii="Palatino Linotype" w:eastAsia="Times New Roman" w:hAnsi="Palatino Linotype" w:cs="Arial"/>
          <w:i/>
          <w:iCs/>
          <w:u w:val="single"/>
          <w:lang w:val="es-ES" w:eastAsia="es-ES"/>
        </w:rPr>
        <w:t>en aquellos casos en que los recurrentes, mediante su recurso de revisión, amplíen los alcances de la solicitud de información inicial, los nuevos contenidos no podrán constituir materia del procedimiento a sustanciarse</w:t>
      </w:r>
      <w:r w:rsidR="00AF677C" w:rsidRPr="003F4C4C">
        <w:rPr>
          <w:rFonts w:ascii="Palatino Linotype" w:eastAsia="Times New Roman" w:hAnsi="Palatino Linotype" w:cs="Arial"/>
          <w:i/>
          <w:iCs/>
          <w:lang w:val="es-ES" w:eastAsia="es-ES"/>
        </w:rPr>
        <w:t xml:space="preserve"> por el Instituto Nacional de Transparencia, Acceso a la Información y Protección de Datos Personales; actualizándose la hipótesis de improcedencia respectiva.</w:t>
      </w:r>
    </w:p>
    <w:p w14:paraId="06564FC2"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Resoluciones:</w:t>
      </w:r>
    </w:p>
    <w:p w14:paraId="383E8757"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RRA 0196/16. Secretaría de Agricultura, Ganadería, Desarrollo Rural, Pesca y Alimentación. 13 de julio de 2016. Por unanimidad. Comisionado Ponente Joel Salas Suárez.</w:t>
      </w:r>
    </w:p>
    <w:p w14:paraId="51DAE17B"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 xml:space="preserve">RRA 0130/16. Comisión Nacional del Agua. 09 de agosto de 2016. Por unanimidad. Comisionado Ponente María Patricia </w:t>
      </w:r>
      <w:proofErr w:type="spellStart"/>
      <w:r w:rsidRPr="003F4C4C">
        <w:rPr>
          <w:rFonts w:ascii="Palatino Linotype" w:eastAsia="Times New Roman" w:hAnsi="Palatino Linotype" w:cs="Arial"/>
          <w:i/>
          <w:iCs/>
          <w:lang w:val="es-ES" w:eastAsia="es-ES"/>
        </w:rPr>
        <w:t>Kurczyn</w:t>
      </w:r>
      <w:proofErr w:type="spellEnd"/>
      <w:r w:rsidRPr="003F4C4C">
        <w:rPr>
          <w:rFonts w:ascii="Palatino Linotype" w:eastAsia="Times New Roman" w:hAnsi="Palatino Linotype" w:cs="Arial"/>
          <w:i/>
          <w:iCs/>
          <w:lang w:val="es-ES" w:eastAsia="es-ES"/>
        </w:rPr>
        <w:t xml:space="preserve"> Villalobos.</w:t>
      </w:r>
    </w:p>
    <w:p w14:paraId="55091375" w14:textId="1B27C44F"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RRA 0342/16. Colegio de Bachilleres. 24 de agosto de 2016. Por unanimidad. Comisionada Ponente Ximena Puente de la Mora.</w:t>
      </w:r>
      <w:r w:rsidR="003F4C4C">
        <w:rPr>
          <w:rFonts w:ascii="Palatino Linotype" w:eastAsia="Times New Roman" w:hAnsi="Palatino Linotype" w:cs="Arial"/>
          <w:i/>
          <w:iCs/>
          <w:lang w:val="es-ES" w:eastAsia="es-ES"/>
        </w:rPr>
        <w:t>”</w:t>
      </w:r>
    </w:p>
    <w:p w14:paraId="583C5F4C"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F20C0C0" w14:textId="1269C08C"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F677C">
        <w:rPr>
          <w:rFonts w:ascii="Palatino Linotype" w:eastAsia="Times New Roman" w:hAnsi="Palatino Linotype" w:cs="Arial"/>
          <w:sz w:val="24"/>
          <w:szCs w:val="24"/>
          <w:lang w:val="es-ES" w:eastAsia="es-ES"/>
        </w:rPr>
        <w:t>Asimismo, sirve de apoyo a lo anterior por analogía, la Jurisprudencia No. 29 visible a foja 19 del Apéndice al Semanario Judicial de la Federación 1917-1995, Torno VI, Materia Común, Primera Parte, Tesis de la Suprema Corte de Justicia, que contiene:</w:t>
      </w:r>
    </w:p>
    <w:p w14:paraId="468F4CEF"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28735BC" w14:textId="31F22B35" w:rsidR="00AF677C" w:rsidRPr="003F4C4C" w:rsidRDefault="003F4C4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Pr>
          <w:rFonts w:ascii="Palatino Linotype" w:eastAsia="Times New Roman" w:hAnsi="Palatino Linotype" w:cs="Arial"/>
          <w:i/>
          <w:iCs/>
          <w:lang w:val="es-ES" w:eastAsia="es-ES"/>
        </w:rPr>
        <w:lastRenderedPageBreak/>
        <w:t>“</w:t>
      </w:r>
      <w:r w:rsidR="00AF677C" w:rsidRPr="003F4C4C">
        <w:rPr>
          <w:rFonts w:ascii="Palatino Linotype" w:eastAsia="Times New Roman" w:hAnsi="Palatino Linotype" w:cs="Arial"/>
          <w:b/>
          <w:bCs/>
          <w:i/>
          <w:iCs/>
          <w:lang w:val="es-ES" w:eastAsia="es-ES"/>
        </w:rPr>
        <w:t>AGRAVIOS EN LA REVISION. DEBEN ESTAR EN RELACION DIRECTA CON LOS FUNDAMENTOS Y CONSIDERACIONES DE LA SENTENCIA</w:t>
      </w:r>
      <w:r w:rsidR="00AF677C" w:rsidRPr="003F4C4C">
        <w:rPr>
          <w:rFonts w:ascii="Palatino Linotype" w:eastAsia="Times New Roman" w:hAnsi="Palatino Linotype" w:cs="Arial"/>
          <w:i/>
          <w:iCs/>
          <w:lang w:val="es-ES" w:eastAsia="es-ES"/>
        </w:rPr>
        <w:t>.-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Pr>
          <w:rFonts w:ascii="Palatino Linotype" w:eastAsia="Times New Roman" w:hAnsi="Palatino Linotype" w:cs="Arial"/>
          <w:i/>
          <w:iCs/>
          <w:lang w:val="es-ES" w:eastAsia="es-ES"/>
        </w:rPr>
        <w:t>”</w:t>
      </w:r>
    </w:p>
    <w:p w14:paraId="182516A9"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1E30F10" w14:textId="77EB1AF8"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F677C">
        <w:rPr>
          <w:rFonts w:ascii="Palatino Linotype" w:eastAsia="Times New Roman" w:hAnsi="Palatino Linotype" w:cs="Arial"/>
          <w:sz w:val="24"/>
          <w:szCs w:val="24"/>
          <w:lang w:val="es-ES" w:eastAsia="es-ES"/>
        </w:rPr>
        <w:t xml:space="preserve">Consecuentemente, en términos del artículo 191, fracción VII de la Ley de Transparencia y Acceso a la Información Pública del Estado de México y Municipios, este Instituto determina el SOBRESEIMIENTO del presente recurso de revisión, por resultar improcedente, de acuerdo con el artículo 192 </w:t>
      </w:r>
      <w:proofErr w:type="gramStart"/>
      <w:r w:rsidRPr="00AF677C">
        <w:rPr>
          <w:rFonts w:ascii="Palatino Linotype" w:eastAsia="Times New Roman" w:hAnsi="Palatino Linotype" w:cs="Arial"/>
          <w:sz w:val="24"/>
          <w:szCs w:val="24"/>
          <w:lang w:val="es-ES" w:eastAsia="es-ES"/>
        </w:rPr>
        <w:t>fracción</w:t>
      </w:r>
      <w:proofErr w:type="gramEnd"/>
      <w:r w:rsidRPr="00AF677C">
        <w:rPr>
          <w:rFonts w:ascii="Palatino Linotype" w:eastAsia="Times New Roman" w:hAnsi="Palatino Linotype" w:cs="Arial"/>
          <w:sz w:val="24"/>
          <w:szCs w:val="24"/>
          <w:lang w:val="es-ES" w:eastAsia="es-ES"/>
        </w:rPr>
        <w:t xml:space="preserve"> IV del mismo ordenamiento legal.</w:t>
      </w:r>
    </w:p>
    <w:p w14:paraId="5EC5B619" w14:textId="77777777" w:rsidR="00AF677C" w:rsidRPr="00AF677C" w:rsidRDefault="00AF677C" w:rsidP="00AF677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1E7BC64"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w:t>
      </w:r>
      <w:r w:rsidRPr="003F4C4C">
        <w:rPr>
          <w:rFonts w:ascii="Palatino Linotype" w:eastAsia="Times New Roman" w:hAnsi="Palatino Linotype" w:cs="Arial"/>
          <w:b/>
          <w:bCs/>
          <w:i/>
          <w:iCs/>
          <w:lang w:val="es-ES" w:eastAsia="es-ES"/>
        </w:rPr>
        <w:t>Artículo 192.</w:t>
      </w:r>
      <w:r w:rsidRPr="003F4C4C">
        <w:rPr>
          <w:rFonts w:ascii="Palatino Linotype" w:eastAsia="Times New Roman" w:hAnsi="Palatino Linotype" w:cs="Arial"/>
          <w:i/>
          <w:iCs/>
          <w:lang w:val="es-ES" w:eastAsia="es-ES"/>
        </w:rPr>
        <w:t xml:space="preserve"> El recurso será sobreseído, en todo o en parte, cuando una vez admitido, se actualicen alguno de los siguientes supuestos: </w:t>
      </w:r>
    </w:p>
    <w:p w14:paraId="123323F8"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w:t>
      </w:r>
    </w:p>
    <w:p w14:paraId="4EF79A30"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b/>
          <w:bCs/>
          <w:i/>
          <w:iCs/>
          <w:lang w:val="es-ES" w:eastAsia="es-ES"/>
        </w:rPr>
        <w:t>IV</w:t>
      </w:r>
      <w:r w:rsidRPr="003F4C4C">
        <w:rPr>
          <w:rFonts w:ascii="Palatino Linotype" w:eastAsia="Times New Roman" w:hAnsi="Palatino Linotype" w:cs="Arial"/>
          <w:i/>
          <w:iCs/>
          <w:lang w:val="es-ES" w:eastAsia="es-ES"/>
        </w:rPr>
        <w:t xml:space="preserve">. Admitido el recurso de revisión, aparezca alguna causal de improcedencia en los términos de la presente Ley; </w:t>
      </w:r>
    </w:p>
    <w:p w14:paraId="0BE30D04" w14:textId="77777777" w:rsidR="00AF677C" w:rsidRPr="003F4C4C" w:rsidRDefault="00AF677C" w:rsidP="003F4C4C">
      <w:pPr>
        <w:autoSpaceDE w:val="0"/>
        <w:autoSpaceDN w:val="0"/>
        <w:adjustRightInd w:val="0"/>
        <w:spacing w:after="0" w:line="240" w:lineRule="auto"/>
        <w:ind w:left="567" w:right="567"/>
        <w:jc w:val="both"/>
        <w:rPr>
          <w:rFonts w:ascii="Palatino Linotype" w:eastAsia="Times New Roman" w:hAnsi="Palatino Linotype" w:cs="Arial"/>
          <w:i/>
          <w:iCs/>
          <w:lang w:val="es-ES" w:eastAsia="es-ES"/>
        </w:rPr>
      </w:pPr>
      <w:r w:rsidRPr="003F4C4C">
        <w:rPr>
          <w:rFonts w:ascii="Palatino Linotype" w:eastAsia="Times New Roman" w:hAnsi="Palatino Linotype" w:cs="Arial"/>
          <w:i/>
          <w:iCs/>
          <w:lang w:val="es-ES" w:eastAsia="es-ES"/>
        </w:rPr>
        <w:t>(…)”</w:t>
      </w:r>
    </w:p>
    <w:p w14:paraId="6B24FE1B" w14:textId="77777777" w:rsidR="00AF677C" w:rsidRPr="00AF677C" w:rsidRDefault="00AF677C" w:rsidP="00390F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1357751" w14:textId="0C405774" w:rsidR="007F2DC4" w:rsidRPr="00BB798A" w:rsidRDefault="007F2DC4" w:rsidP="007F2DC4">
      <w:pPr>
        <w:tabs>
          <w:tab w:val="left" w:pos="709"/>
        </w:tabs>
        <w:spacing w:after="0" w:line="360" w:lineRule="auto"/>
        <w:ind w:right="51"/>
        <w:jc w:val="both"/>
        <w:rPr>
          <w:rFonts w:ascii="Palatino Linotype" w:eastAsiaTheme="minorEastAsia" w:hAnsi="Palatino Linotype" w:cs="Times New Roman"/>
          <w:sz w:val="24"/>
          <w:szCs w:val="24"/>
          <w:lang w:val="es-ES_tradnl" w:eastAsia="es-ES"/>
        </w:rPr>
      </w:pPr>
      <w:r w:rsidRPr="00BB798A">
        <w:rPr>
          <w:rFonts w:ascii="Palatino Linotype" w:eastAsiaTheme="minorEastAsia" w:hAnsi="Palatino Linotype" w:cs="Times New Roman"/>
          <w:sz w:val="24"/>
          <w:szCs w:val="24"/>
          <w:lang w:val="es-ES_tradnl" w:eastAsia="es-ES"/>
        </w:rPr>
        <w:t>Por lo tanto, en mérito de lo expuesto en líneas anteriores,</w:t>
      </w:r>
      <w:r>
        <w:rPr>
          <w:rFonts w:ascii="Palatino Linotype" w:eastAsiaTheme="minorEastAsia" w:hAnsi="Palatino Linotype" w:cs="Times New Roman"/>
          <w:sz w:val="24"/>
          <w:szCs w:val="24"/>
          <w:lang w:val="es-ES_tradnl" w:eastAsia="es-ES"/>
        </w:rPr>
        <w:t xml:space="preserve"> resultan infundados </w:t>
      </w:r>
      <w:r w:rsidRPr="00BB798A">
        <w:rPr>
          <w:rFonts w:ascii="Palatino Linotype" w:eastAsiaTheme="minorEastAsia" w:hAnsi="Palatino Linotype" w:cs="Times New Roman"/>
          <w:sz w:val="24"/>
          <w:szCs w:val="24"/>
          <w:lang w:val="es-ES_tradnl" w:eastAsia="es-ES"/>
        </w:rPr>
        <w:t xml:space="preserve">los motivos de inconformidad </w:t>
      </w:r>
      <w:r>
        <w:rPr>
          <w:rFonts w:ascii="Palatino Linotype" w:eastAsiaTheme="minorEastAsia" w:hAnsi="Palatino Linotype" w:cs="Times New Roman"/>
          <w:sz w:val="24"/>
          <w:szCs w:val="24"/>
          <w:lang w:val="es-ES_tradnl" w:eastAsia="es-ES"/>
        </w:rPr>
        <w:t>argüidos por la parte</w:t>
      </w:r>
      <w:r w:rsidRPr="00BB798A">
        <w:rPr>
          <w:rFonts w:ascii="Palatino Linotype" w:eastAsiaTheme="minorEastAsia" w:hAnsi="Palatino Linotype" w:cs="Times New Roman"/>
          <w:sz w:val="24"/>
          <w:szCs w:val="24"/>
          <w:lang w:val="es-ES_tradnl" w:eastAsia="es-ES"/>
        </w:rPr>
        <w:t xml:space="preserve"> el </w:t>
      </w:r>
      <w:r w:rsidRPr="00BB798A">
        <w:rPr>
          <w:rFonts w:ascii="Palatino Linotype" w:eastAsiaTheme="minorEastAsia" w:hAnsi="Palatino Linotype" w:cs="Times New Roman"/>
          <w:b/>
          <w:sz w:val="24"/>
          <w:szCs w:val="24"/>
          <w:lang w:val="es-ES_tradnl" w:eastAsia="es-ES"/>
        </w:rPr>
        <w:t>Recurrente</w:t>
      </w:r>
      <w:r w:rsidRPr="00BB798A">
        <w:rPr>
          <w:rFonts w:ascii="Palatino Linotype" w:eastAsiaTheme="minorEastAsia" w:hAnsi="Palatino Linotype" w:cs="Times New Roman"/>
          <w:sz w:val="24"/>
          <w:szCs w:val="24"/>
          <w:lang w:val="es-ES_tradnl" w:eastAsia="es-ES"/>
        </w:rPr>
        <w:t xml:space="preserve"> al momento de interponer su medio de impugnación, de conformidad con las consideraciones de hecho y de derecho hechas valer en líneas precedentes que fueron materia de estudio, por ello </w:t>
      </w:r>
      <w:r w:rsidRPr="00BB798A">
        <w:rPr>
          <w:rFonts w:ascii="Palatino Linotype" w:eastAsiaTheme="minorEastAsia" w:hAnsi="Palatino Linotype" w:cs="Arial"/>
          <w:b/>
          <w:sz w:val="24"/>
          <w:szCs w:val="24"/>
          <w:lang w:val="es-ES_tradnl" w:eastAsia="es-ES"/>
        </w:rPr>
        <w:t xml:space="preserve">con fundamento en la segunda hipótesis de la fracción I del artículo 186, </w:t>
      </w:r>
      <w:r w:rsidRPr="00BB798A">
        <w:rPr>
          <w:rFonts w:ascii="Palatino Linotype" w:eastAsiaTheme="minorEastAsia" w:hAnsi="Palatino Linotype" w:cs="Arial"/>
          <w:sz w:val="24"/>
          <w:szCs w:val="24"/>
          <w:lang w:val="es-ES_tradnl" w:eastAsia="es-ES"/>
        </w:rPr>
        <w:t xml:space="preserve">de la Ley de Transparencia y Acceso a la Información Pública del Estado de México y </w:t>
      </w:r>
      <w:r w:rsidRPr="00BB798A">
        <w:rPr>
          <w:rFonts w:ascii="Palatino Linotype" w:eastAsiaTheme="minorEastAsia" w:hAnsi="Palatino Linotype" w:cs="Arial"/>
          <w:sz w:val="24"/>
          <w:szCs w:val="24"/>
          <w:lang w:val="es-ES_tradnl" w:eastAsia="es-ES"/>
        </w:rPr>
        <w:lastRenderedPageBreak/>
        <w:t xml:space="preserve">Municipios, se </w:t>
      </w:r>
      <w:r w:rsidRPr="00BB798A">
        <w:rPr>
          <w:rFonts w:ascii="Palatino Linotype" w:eastAsiaTheme="minorEastAsia" w:hAnsi="Palatino Linotype" w:cs="Arial"/>
          <w:b/>
          <w:sz w:val="24"/>
          <w:szCs w:val="24"/>
          <w:lang w:val="es-ES_tradnl" w:eastAsia="es-ES"/>
        </w:rPr>
        <w:t xml:space="preserve">SOBRESEE </w:t>
      </w:r>
      <w:r w:rsidRPr="00BB798A">
        <w:rPr>
          <w:rFonts w:ascii="Palatino Linotype" w:eastAsiaTheme="minorEastAsia" w:hAnsi="Palatino Linotype" w:cs="Arial"/>
          <w:sz w:val="24"/>
          <w:szCs w:val="24"/>
          <w:lang w:val="es-ES_tradnl" w:eastAsia="es-ES"/>
        </w:rPr>
        <w:t xml:space="preserve">el recurso de revisión </w:t>
      </w:r>
      <w:r w:rsidR="003960E0">
        <w:rPr>
          <w:rFonts w:ascii="Palatino Linotype" w:eastAsiaTheme="minorEastAsia" w:hAnsi="Palatino Linotype" w:cs="Arial"/>
          <w:b/>
          <w:sz w:val="24"/>
          <w:szCs w:val="24"/>
          <w:lang w:val="es-ES_tradnl" w:eastAsia="es-ES"/>
        </w:rPr>
        <w:t>06085/INFOEM/IP/RR/2024</w:t>
      </w:r>
      <w:r w:rsidRPr="00BB798A">
        <w:rPr>
          <w:rFonts w:ascii="Palatino Linotype" w:eastAsiaTheme="minorEastAsia" w:hAnsi="Palatino Linotype" w:cs="Arial"/>
          <w:sz w:val="24"/>
          <w:szCs w:val="24"/>
          <w:lang w:val="es-ES_tradnl" w:eastAsia="es-ES"/>
        </w:rPr>
        <w:t>,</w:t>
      </w:r>
      <w:r w:rsidRPr="00BB798A">
        <w:rPr>
          <w:rFonts w:ascii="Palatino Linotype" w:eastAsiaTheme="minorEastAsia" w:hAnsi="Palatino Linotype" w:cs="Times New Roman"/>
          <w:sz w:val="24"/>
          <w:szCs w:val="24"/>
          <w:lang w:val="es-ES_tradnl" w:eastAsia="es-ES"/>
        </w:rPr>
        <w:t xml:space="preserve"> que ha sido materia del presente fallo.</w:t>
      </w:r>
    </w:p>
    <w:p w14:paraId="3B2F3618" w14:textId="77777777" w:rsidR="007F2DC4" w:rsidRPr="00BB798A" w:rsidRDefault="007F2DC4" w:rsidP="007F2DC4">
      <w:pPr>
        <w:tabs>
          <w:tab w:val="left" w:pos="709"/>
        </w:tabs>
        <w:spacing w:after="0" w:line="360" w:lineRule="auto"/>
        <w:ind w:right="51"/>
        <w:jc w:val="both"/>
        <w:rPr>
          <w:rFonts w:ascii="Palatino Linotype" w:eastAsiaTheme="minorEastAsia" w:hAnsi="Palatino Linotype" w:cs="Times New Roman"/>
          <w:sz w:val="24"/>
          <w:szCs w:val="24"/>
          <w:lang w:val="es-ES_tradnl" w:eastAsia="es-ES"/>
        </w:rPr>
      </w:pPr>
    </w:p>
    <w:p w14:paraId="1D3AFE21" w14:textId="77777777" w:rsidR="007F2DC4" w:rsidRPr="00BB798A" w:rsidRDefault="007F2DC4" w:rsidP="007F2DC4">
      <w:pPr>
        <w:spacing w:after="0" w:line="360" w:lineRule="auto"/>
        <w:jc w:val="both"/>
        <w:rPr>
          <w:rFonts w:ascii="Palatino Linotype" w:eastAsia="Times New Roman" w:hAnsi="Palatino Linotype" w:cs="Times New Roman"/>
          <w:sz w:val="24"/>
          <w:szCs w:val="24"/>
          <w:lang w:val="es-ES" w:eastAsia="es-ES"/>
        </w:rPr>
      </w:pPr>
      <w:r w:rsidRPr="00BB798A">
        <w:rPr>
          <w:rFonts w:ascii="Palatino Linotype" w:eastAsia="Times New Roman" w:hAnsi="Palatino Linotype" w:cs="Times New Roman"/>
          <w:sz w:val="24"/>
          <w:szCs w:val="24"/>
          <w:lang w:val="es-ES" w:eastAsia="es-ES"/>
        </w:rPr>
        <w:t>Por lo antes expuesto y fundado es de resolverse y,</w:t>
      </w:r>
    </w:p>
    <w:p w14:paraId="69CF63BB" w14:textId="77777777" w:rsidR="003F4C4C" w:rsidRPr="00BB798A" w:rsidRDefault="003F4C4C" w:rsidP="007F2DC4">
      <w:pPr>
        <w:spacing w:after="0" w:line="360" w:lineRule="auto"/>
        <w:jc w:val="both"/>
        <w:rPr>
          <w:rFonts w:ascii="Palatino Linotype" w:eastAsia="Times New Roman" w:hAnsi="Palatino Linotype" w:cs="Times New Roman"/>
          <w:sz w:val="24"/>
          <w:szCs w:val="24"/>
          <w:lang w:val="es-ES" w:eastAsia="es-ES"/>
        </w:rPr>
      </w:pPr>
    </w:p>
    <w:p w14:paraId="12755F0D" w14:textId="77777777" w:rsidR="007F2DC4" w:rsidRPr="00BB798A" w:rsidRDefault="007F2DC4" w:rsidP="007F2DC4">
      <w:pPr>
        <w:spacing w:after="0" w:line="360" w:lineRule="auto"/>
        <w:jc w:val="center"/>
        <w:rPr>
          <w:rFonts w:ascii="Palatino Linotype" w:eastAsia="Times New Roman" w:hAnsi="Palatino Linotype" w:cs="Times New Roman"/>
          <w:b/>
          <w:bCs/>
          <w:spacing w:val="60"/>
          <w:sz w:val="28"/>
          <w:szCs w:val="24"/>
          <w:lang w:val="es-ES_tradnl" w:eastAsia="es-ES"/>
        </w:rPr>
      </w:pPr>
      <w:r w:rsidRPr="00BB798A">
        <w:rPr>
          <w:rFonts w:ascii="Palatino Linotype" w:eastAsia="Times New Roman" w:hAnsi="Palatino Linotype" w:cs="Times New Roman"/>
          <w:b/>
          <w:bCs/>
          <w:spacing w:val="60"/>
          <w:sz w:val="28"/>
          <w:szCs w:val="24"/>
          <w:lang w:val="es-ES_tradnl" w:eastAsia="es-ES"/>
        </w:rPr>
        <w:t>SE    RESUELVE</w:t>
      </w:r>
    </w:p>
    <w:p w14:paraId="3BCC3497" w14:textId="77777777" w:rsidR="007F2DC4" w:rsidRPr="00BB798A" w:rsidRDefault="007F2DC4" w:rsidP="007F2DC4">
      <w:pPr>
        <w:spacing w:after="0" w:line="360" w:lineRule="auto"/>
        <w:jc w:val="center"/>
        <w:rPr>
          <w:rFonts w:ascii="Palatino Linotype" w:eastAsia="Times New Roman" w:hAnsi="Palatino Linotype" w:cs="Times New Roman"/>
          <w:bCs/>
          <w:spacing w:val="60"/>
          <w:sz w:val="24"/>
          <w:szCs w:val="24"/>
          <w:lang w:val="es-ES_tradnl" w:eastAsia="es-ES"/>
        </w:rPr>
      </w:pPr>
    </w:p>
    <w:p w14:paraId="240A478B" w14:textId="73DB4FF9" w:rsidR="007F2DC4" w:rsidRPr="00BB798A" w:rsidRDefault="007F2DC4" w:rsidP="007F2DC4">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BB798A">
        <w:rPr>
          <w:rFonts w:ascii="Palatino Linotype" w:eastAsiaTheme="minorEastAsia" w:hAnsi="Palatino Linotype" w:cs="Arial"/>
          <w:b/>
          <w:sz w:val="28"/>
          <w:szCs w:val="24"/>
          <w:lang w:val="es-ES_tradnl" w:eastAsia="es-ES"/>
        </w:rPr>
        <w:t>PRIMERO.</w:t>
      </w:r>
      <w:r w:rsidRPr="00BB798A">
        <w:rPr>
          <w:rFonts w:ascii="Palatino Linotype" w:eastAsiaTheme="minorEastAsia" w:hAnsi="Palatino Linotype" w:cs="Arial"/>
          <w:sz w:val="24"/>
          <w:szCs w:val="24"/>
          <w:lang w:val="es-ES_tradnl" w:eastAsia="es-ES"/>
        </w:rPr>
        <w:t xml:space="preserve"> Se </w:t>
      </w:r>
      <w:r w:rsidRPr="00BB798A">
        <w:rPr>
          <w:rFonts w:ascii="Palatino Linotype" w:eastAsiaTheme="minorEastAsia" w:hAnsi="Palatino Linotype" w:cs="Arial"/>
          <w:b/>
          <w:sz w:val="24"/>
          <w:szCs w:val="24"/>
          <w:lang w:val="es-ES_tradnl" w:eastAsia="es-ES"/>
        </w:rPr>
        <w:t>SOBRESEE</w:t>
      </w:r>
      <w:r w:rsidRPr="00BB798A">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 xml:space="preserve">por improcedente </w:t>
      </w:r>
      <w:r w:rsidRPr="00BB798A">
        <w:rPr>
          <w:rFonts w:ascii="Palatino Linotype" w:eastAsiaTheme="minorEastAsia" w:hAnsi="Palatino Linotype" w:cs="Arial"/>
          <w:sz w:val="24"/>
          <w:szCs w:val="24"/>
          <w:lang w:val="es-ES_tradnl" w:eastAsia="es-ES"/>
        </w:rPr>
        <w:t xml:space="preserve">el recurso de revisión número </w:t>
      </w:r>
      <w:r w:rsidR="003960E0">
        <w:rPr>
          <w:rFonts w:ascii="Palatino Linotype" w:eastAsiaTheme="minorEastAsia" w:hAnsi="Palatino Linotype" w:cs="Arial"/>
          <w:b/>
          <w:sz w:val="24"/>
          <w:szCs w:val="24"/>
          <w:lang w:val="es-ES_tradnl" w:eastAsia="es-ES"/>
        </w:rPr>
        <w:t>06085/INFOEM/IP/RR/2024</w:t>
      </w:r>
      <w:r w:rsidRPr="00BB798A">
        <w:rPr>
          <w:rFonts w:ascii="Palatino Linotype" w:eastAsiaTheme="minorEastAsia" w:hAnsi="Palatino Linotype" w:cs="Arial"/>
          <w:sz w:val="24"/>
          <w:szCs w:val="24"/>
          <w:lang w:val="es-ES_tradnl" w:eastAsia="es-ES"/>
        </w:rPr>
        <w:t>, en términos del artículo 192, fracción IV,</w:t>
      </w:r>
      <w:r w:rsidR="008E02D1">
        <w:rPr>
          <w:rFonts w:ascii="Palatino Linotype" w:eastAsiaTheme="minorEastAsia" w:hAnsi="Palatino Linotype" w:cs="Arial"/>
          <w:sz w:val="24"/>
          <w:szCs w:val="24"/>
          <w:lang w:val="es-ES_tradnl" w:eastAsia="es-ES"/>
        </w:rPr>
        <w:t xml:space="preserve"> con relación al 191, fracción </w:t>
      </w:r>
      <w:r w:rsidR="003F4C4C">
        <w:rPr>
          <w:rFonts w:ascii="Palatino Linotype" w:eastAsiaTheme="minorEastAsia" w:hAnsi="Palatino Linotype" w:cs="Arial"/>
          <w:sz w:val="24"/>
          <w:szCs w:val="24"/>
          <w:lang w:val="es-ES_tradnl" w:eastAsia="es-ES"/>
        </w:rPr>
        <w:t>V</w:t>
      </w:r>
      <w:r>
        <w:rPr>
          <w:rFonts w:ascii="Palatino Linotype" w:eastAsiaTheme="minorEastAsia" w:hAnsi="Palatino Linotype" w:cs="Arial"/>
          <w:sz w:val="24"/>
          <w:szCs w:val="24"/>
          <w:lang w:val="es-ES_tradnl" w:eastAsia="es-ES"/>
        </w:rPr>
        <w:t>II</w:t>
      </w:r>
      <w:r w:rsidRPr="00BB798A">
        <w:rPr>
          <w:rFonts w:ascii="Palatino Linotype" w:eastAsiaTheme="minorEastAsia" w:hAnsi="Palatino Linotype" w:cs="Arial"/>
          <w:sz w:val="24"/>
          <w:szCs w:val="24"/>
          <w:lang w:val="es-ES_tradnl" w:eastAsia="es-ES"/>
        </w:rPr>
        <w:t xml:space="preserve">, ambos de la Ley de Transparencia y Acceso a la Información Pública del Estado de México y Municipios, en términos del Considerando </w:t>
      </w:r>
      <w:r w:rsidRPr="00BB798A">
        <w:rPr>
          <w:rFonts w:ascii="Palatino Linotype" w:eastAsiaTheme="minorEastAsia" w:hAnsi="Palatino Linotype" w:cs="Arial"/>
          <w:b/>
          <w:sz w:val="24"/>
          <w:szCs w:val="24"/>
          <w:lang w:val="es-ES_tradnl" w:eastAsia="es-ES"/>
        </w:rPr>
        <w:t>TERCERO</w:t>
      </w:r>
      <w:r w:rsidRPr="00BB798A">
        <w:rPr>
          <w:rFonts w:ascii="Palatino Linotype" w:eastAsiaTheme="minorEastAsia" w:hAnsi="Palatino Linotype" w:cs="Arial"/>
          <w:sz w:val="24"/>
          <w:szCs w:val="24"/>
          <w:lang w:val="es-ES_tradnl" w:eastAsia="es-ES"/>
        </w:rPr>
        <w:t xml:space="preserve"> de la presente resolución.</w:t>
      </w:r>
    </w:p>
    <w:p w14:paraId="39676C4C" w14:textId="77777777" w:rsidR="007F2DC4" w:rsidRPr="00BB798A" w:rsidRDefault="007F2DC4" w:rsidP="007F2DC4">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FB2806B" w14:textId="77777777" w:rsidR="007F2DC4" w:rsidRPr="00BB798A" w:rsidRDefault="007F2DC4" w:rsidP="007F2DC4">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BB798A">
        <w:rPr>
          <w:rFonts w:ascii="Palatino Linotype" w:eastAsiaTheme="minorEastAsia" w:hAnsi="Palatino Linotype" w:cs="Arial"/>
          <w:b/>
          <w:sz w:val="28"/>
          <w:szCs w:val="24"/>
          <w:lang w:val="es-ES_tradnl" w:eastAsia="es-ES"/>
        </w:rPr>
        <w:t>SEGUNDO</w:t>
      </w:r>
      <w:r w:rsidRPr="00BB798A">
        <w:rPr>
          <w:rFonts w:ascii="Palatino Linotype" w:eastAsiaTheme="minorEastAsia" w:hAnsi="Palatino Linotype" w:cs="Arial"/>
          <w:b/>
          <w:sz w:val="24"/>
          <w:szCs w:val="24"/>
          <w:lang w:val="es-ES_tradnl" w:eastAsia="es-ES"/>
        </w:rPr>
        <w:t>.</w:t>
      </w:r>
      <w:r w:rsidRPr="00BB798A">
        <w:rPr>
          <w:rFonts w:ascii="Palatino Linotype" w:eastAsiaTheme="minorEastAsia" w:hAnsi="Palatino Linotype" w:cs="Arial"/>
          <w:sz w:val="24"/>
          <w:szCs w:val="24"/>
          <w:lang w:val="es-ES_tradnl" w:eastAsia="es-ES"/>
        </w:rPr>
        <w:t xml:space="preserve"> </w:t>
      </w:r>
      <w:r w:rsidRPr="00BB798A">
        <w:rPr>
          <w:rFonts w:ascii="Palatino Linotype" w:eastAsiaTheme="minorEastAsia" w:hAnsi="Palatino Linotype" w:cs="Arial"/>
          <w:b/>
          <w:sz w:val="24"/>
          <w:szCs w:val="24"/>
          <w:lang w:val="es-ES_tradnl" w:eastAsia="es-ES"/>
        </w:rPr>
        <w:t>NOTIFÍQUESE</w:t>
      </w:r>
      <w:r w:rsidRPr="00BB798A">
        <w:rPr>
          <w:rFonts w:ascii="Palatino Linotype" w:eastAsiaTheme="minorEastAsia" w:hAnsi="Palatino Linotype" w:cs="Arial"/>
          <w:sz w:val="24"/>
          <w:szCs w:val="24"/>
          <w:lang w:val="es-ES_tradnl" w:eastAsia="es-ES"/>
        </w:rPr>
        <w:t xml:space="preserve"> </w:t>
      </w:r>
      <w:r w:rsidRPr="00BB798A">
        <w:rPr>
          <w:rFonts w:ascii="Palatino Linotype" w:hAnsi="Palatino Linotype" w:cs="Arial"/>
          <w:sz w:val="24"/>
          <w:szCs w:val="24"/>
        </w:rPr>
        <w:t>a través del Sistema de Acceso a la Información Mexiquense (SAIMEX)</w:t>
      </w:r>
      <w:r>
        <w:rPr>
          <w:rFonts w:ascii="Palatino Linotype" w:hAnsi="Palatino Linotype" w:cs="Arial"/>
          <w:sz w:val="24"/>
          <w:szCs w:val="24"/>
        </w:rPr>
        <w:t xml:space="preserve"> </w:t>
      </w:r>
      <w:r w:rsidRPr="00BB798A">
        <w:rPr>
          <w:rFonts w:ascii="Palatino Linotype" w:eastAsiaTheme="minorEastAsia" w:hAnsi="Palatino Linotype" w:cs="Arial"/>
          <w:sz w:val="24"/>
          <w:szCs w:val="24"/>
          <w:lang w:val="es-ES_tradnl" w:eastAsia="es-ES"/>
        </w:rPr>
        <w:t xml:space="preserve">la presente resolución al Titular de la Unidad de Transparencia del </w:t>
      </w:r>
      <w:r w:rsidRPr="00BB798A">
        <w:rPr>
          <w:rFonts w:ascii="Palatino Linotype" w:eastAsiaTheme="minorEastAsia" w:hAnsi="Palatino Linotype" w:cs="Arial"/>
          <w:b/>
          <w:sz w:val="24"/>
          <w:szCs w:val="24"/>
          <w:lang w:val="es-ES_tradnl" w:eastAsia="es-ES"/>
        </w:rPr>
        <w:t>Sujeto Obligado</w:t>
      </w:r>
      <w:r w:rsidRPr="00BB798A">
        <w:rPr>
          <w:rFonts w:ascii="Palatino Linotype" w:eastAsiaTheme="minorEastAsia" w:hAnsi="Palatino Linotype" w:cs="Arial"/>
          <w:sz w:val="24"/>
          <w:szCs w:val="24"/>
          <w:lang w:val="es-ES_tradnl" w:eastAsia="es-ES"/>
        </w:rPr>
        <w:t>.</w:t>
      </w:r>
    </w:p>
    <w:p w14:paraId="0DF5566D" w14:textId="77777777" w:rsidR="007F2DC4" w:rsidRPr="00BB798A" w:rsidRDefault="007F2DC4" w:rsidP="007F2DC4">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18014700" w14:textId="338DB079" w:rsidR="007F2DC4" w:rsidRDefault="007F2DC4" w:rsidP="007F2DC4">
      <w:pPr>
        <w:spacing w:after="0" w:line="360" w:lineRule="auto"/>
        <w:jc w:val="both"/>
        <w:rPr>
          <w:rFonts w:ascii="Palatino Linotype" w:hAnsi="Palatino Linotype" w:cs="Arial"/>
          <w:sz w:val="24"/>
          <w:szCs w:val="24"/>
        </w:rPr>
      </w:pPr>
      <w:r w:rsidRPr="00BB798A">
        <w:rPr>
          <w:rFonts w:ascii="Palatino Linotype" w:eastAsia="Times New Roman" w:hAnsi="Palatino Linotype" w:cs="Arial"/>
          <w:b/>
          <w:sz w:val="28"/>
          <w:szCs w:val="24"/>
          <w:lang w:val="es-ES" w:eastAsia="es-ES"/>
        </w:rPr>
        <w:t>TERCERO</w:t>
      </w:r>
      <w:r w:rsidRPr="00BB798A">
        <w:rPr>
          <w:rFonts w:ascii="Palatino Linotype" w:eastAsia="Times New Roman" w:hAnsi="Palatino Linotype" w:cs="Arial"/>
          <w:b/>
          <w:sz w:val="24"/>
          <w:szCs w:val="24"/>
          <w:lang w:val="es-ES" w:eastAsia="es-ES"/>
        </w:rPr>
        <w:t>.</w:t>
      </w:r>
      <w:r w:rsidRPr="00BB798A">
        <w:rPr>
          <w:rFonts w:ascii="Palatino Linotype" w:eastAsia="Times New Roman" w:hAnsi="Palatino Linotype" w:cs="Arial"/>
          <w:sz w:val="24"/>
          <w:szCs w:val="24"/>
          <w:lang w:val="es-ES" w:eastAsia="es-ES"/>
        </w:rPr>
        <w:t xml:space="preserve"> </w:t>
      </w:r>
      <w:r w:rsidRPr="00BB798A">
        <w:rPr>
          <w:rFonts w:ascii="Palatino Linotype" w:hAnsi="Palatino Linotype" w:cs="Arial"/>
          <w:b/>
          <w:sz w:val="24"/>
          <w:szCs w:val="24"/>
        </w:rPr>
        <w:t>NOTIFÍQUESE</w:t>
      </w:r>
      <w:r w:rsidRPr="00BB798A">
        <w:rPr>
          <w:rFonts w:ascii="Palatino Linotype" w:hAnsi="Palatino Linotype" w:cs="Arial"/>
          <w:sz w:val="24"/>
          <w:szCs w:val="24"/>
        </w:rPr>
        <w:t xml:space="preserve"> a través del Sistema de Acceso a la Información Mexiquense (SAIMEX)</w:t>
      </w:r>
      <w:r w:rsidR="00227CA0">
        <w:rPr>
          <w:rFonts w:ascii="Palatino Linotype" w:hAnsi="Palatino Linotype" w:cs="Arial"/>
          <w:sz w:val="24"/>
          <w:szCs w:val="24"/>
        </w:rPr>
        <w:t xml:space="preserve"> y </w:t>
      </w:r>
      <w:r w:rsidR="00227CA0" w:rsidRPr="00227CA0">
        <w:rPr>
          <w:rFonts w:ascii="Palatino Linotype" w:hAnsi="Palatino Linotype" w:cs="Arial"/>
          <w:b/>
          <w:bCs/>
          <w:sz w:val="24"/>
          <w:szCs w:val="24"/>
        </w:rPr>
        <w:t>correo electrónico</w:t>
      </w:r>
      <w:r w:rsidRPr="00BB798A">
        <w:rPr>
          <w:rFonts w:ascii="Palatino Linotype" w:hAnsi="Palatino Linotype" w:cs="Arial"/>
          <w:sz w:val="24"/>
          <w:szCs w:val="24"/>
        </w:rPr>
        <w:t xml:space="preserve"> a</w:t>
      </w:r>
      <w:r w:rsidR="003F4C4C">
        <w:rPr>
          <w:rFonts w:ascii="Palatino Linotype" w:hAnsi="Palatino Linotype" w:cs="Arial"/>
          <w:sz w:val="24"/>
          <w:szCs w:val="24"/>
        </w:rPr>
        <w:t xml:space="preserve"> </w:t>
      </w:r>
      <w:r w:rsidRPr="00BB798A">
        <w:rPr>
          <w:rFonts w:ascii="Palatino Linotype" w:hAnsi="Palatino Linotype" w:cs="Arial"/>
          <w:sz w:val="24"/>
          <w:szCs w:val="24"/>
        </w:rPr>
        <w:t>l</w:t>
      </w:r>
      <w:r w:rsidR="003F4C4C">
        <w:rPr>
          <w:rFonts w:ascii="Palatino Linotype" w:hAnsi="Palatino Linotype" w:cs="Arial"/>
          <w:sz w:val="24"/>
          <w:szCs w:val="24"/>
        </w:rPr>
        <w:t>a parte</w:t>
      </w:r>
      <w:r w:rsidRPr="00BB798A">
        <w:rPr>
          <w:rFonts w:ascii="Palatino Linotype" w:hAnsi="Palatino Linotype" w:cs="Arial"/>
          <w:sz w:val="24"/>
          <w:szCs w:val="24"/>
        </w:rPr>
        <w:t xml:space="preserve"> </w:t>
      </w:r>
      <w:r w:rsidRPr="00BB798A">
        <w:rPr>
          <w:rFonts w:ascii="Palatino Linotype" w:hAnsi="Palatino Linotype" w:cs="Arial"/>
          <w:b/>
          <w:sz w:val="24"/>
          <w:szCs w:val="24"/>
        </w:rPr>
        <w:t>Recurrente</w:t>
      </w:r>
      <w:r w:rsidRPr="00BB798A">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0D95B5" w14:textId="026E4C43" w:rsidR="0009491C" w:rsidRDefault="0009491C" w:rsidP="00390FFA">
      <w:pPr>
        <w:spacing w:after="0" w:line="360" w:lineRule="auto"/>
        <w:jc w:val="both"/>
        <w:rPr>
          <w:rFonts w:ascii="Palatino Linotype" w:hAnsi="Palatino Linotype"/>
          <w:sz w:val="24"/>
          <w:szCs w:val="24"/>
          <w:lang w:eastAsia="es-ES_tradnl"/>
        </w:rPr>
      </w:pPr>
    </w:p>
    <w:p w14:paraId="1834F7E7" w14:textId="5D746085" w:rsidR="0009491C" w:rsidRDefault="0009491C" w:rsidP="00390FFA">
      <w:pPr>
        <w:spacing w:after="0" w:line="360" w:lineRule="auto"/>
        <w:jc w:val="both"/>
        <w:rPr>
          <w:rFonts w:ascii="Palatino Linotype" w:hAnsi="Palatino Linotype" w:cs="Arial"/>
          <w:sz w:val="24"/>
          <w:szCs w:val="24"/>
        </w:rPr>
      </w:pPr>
      <w:r w:rsidRPr="00360DF2">
        <w:rPr>
          <w:rFonts w:ascii="Palatino Linotype" w:hAnsi="Palatino Linotype" w:cs="Arial"/>
          <w:sz w:val="24"/>
          <w:szCs w:val="24"/>
        </w:rPr>
        <w:lastRenderedPageBreak/>
        <w:t>ASÍ LO RESUELVE, POR UNANIMIDAD DE VOTOS EL PLENO DEL</w:t>
      </w:r>
      <w:r w:rsidRPr="00360DF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60DF2">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004B19">
        <w:rPr>
          <w:rFonts w:ascii="Palatino Linotype" w:hAnsi="Palatino Linotype" w:cs="Arial"/>
          <w:sz w:val="24"/>
          <w:szCs w:val="24"/>
        </w:rPr>
        <w:t>TRIGÉSIMA</w:t>
      </w:r>
      <w:r w:rsidR="007E7221" w:rsidRPr="007E7221">
        <w:rPr>
          <w:rFonts w:ascii="Palatino Linotype" w:hAnsi="Palatino Linotype" w:cs="Arial"/>
          <w:sz w:val="24"/>
          <w:szCs w:val="24"/>
        </w:rPr>
        <w:t xml:space="preserve"> </w:t>
      </w:r>
      <w:r w:rsidR="00F929A6" w:rsidRPr="00004B19">
        <w:rPr>
          <w:rFonts w:ascii="Palatino Linotype" w:hAnsi="Palatino Linotype" w:cs="Arial"/>
          <w:sz w:val="24"/>
          <w:szCs w:val="24"/>
        </w:rPr>
        <w:t>NOVENA</w:t>
      </w:r>
      <w:r w:rsidR="0023365E">
        <w:rPr>
          <w:rFonts w:ascii="Palatino Linotype" w:hAnsi="Palatino Linotype" w:cs="Arial"/>
          <w:sz w:val="24"/>
          <w:szCs w:val="24"/>
        </w:rPr>
        <w:t xml:space="preserve"> </w:t>
      </w:r>
      <w:r w:rsidRPr="00360DF2">
        <w:rPr>
          <w:rFonts w:ascii="Palatino Linotype" w:hAnsi="Palatino Linotype" w:cs="Arial"/>
          <w:sz w:val="24"/>
          <w:szCs w:val="24"/>
        </w:rPr>
        <w:t xml:space="preserve">SESIÓN ORDINARIA CELEBRADA EL </w:t>
      </w:r>
      <w:r w:rsidR="00004B19">
        <w:rPr>
          <w:rFonts w:ascii="Palatino Linotype" w:hAnsi="Palatino Linotype" w:cs="Arial"/>
          <w:sz w:val="24"/>
          <w:szCs w:val="24"/>
        </w:rPr>
        <w:t>TRECE</w:t>
      </w:r>
      <w:r w:rsidR="00F929A6">
        <w:rPr>
          <w:rFonts w:ascii="Palatino Linotype" w:hAnsi="Palatino Linotype" w:cs="Arial"/>
          <w:sz w:val="24"/>
          <w:szCs w:val="24"/>
        </w:rPr>
        <w:t xml:space="preserve"> </w:t>
      </w:r>
      <w:r w:rsidR="00B107B3">
        <w:rPr>
          <w:rFonts w:ascii="Palatino Linotype" w:hAnsi="Palatino Linotype" w:cs="Arial"/>
          <w:sz w:val="24"/>
          <w:szCs w:val="24"/>
        </w:rPr>
        <w:t xml:space="preserve">DE </w:t>
      </w:r>
      <w:r w:rsidR="00227CA0">
        <w:rPr>
          <w:rFonts w:ascii="Palatino Linotype" w:hAnsi="Palatino Linotype" w:cs="Arial"/>
          <w:sz w:val="24"/>
          <w:szCs w:val="24"/>
        </w:rPr>
        <w:t>NOVIEMBRE</w:t>
      </w:r>
      <w:r w:rsidR="00B107B3">
        <w:rPr>
          <w:rFonts w:ascii="Palatino Linotype" w:hAnsi="Palatino Linotype" w:cs="Arial"/>
          <w:sz w:val="24"/>
          <w:szCs w:val="24"/>
        </w:rPr>
        <w:t xml:space="preserve"> DE DOS MIL VEINTICUATRO</w:t>
      </w:r>
      <w:r w:rsidRPr="00360DF2">
        <w:rPr>
          <w:rFonts w:ascii="Palatino Linotype" w:hAnsi="Palatino Linotype" w:cs="Arial"/>
          <w:sz w:val="24"/>
          <w:szCs w:val="24"/>
        </w:rPr>
        <w:t>, ANTE EL SECRETARIO TÉCNICO DEL PLENO, ALEXIS TAPIA RAMÍREZ. -------------------</w:t>
      </w:r>
      <w:r w:rsidR="005A6082">
        <w:rPr>
          <w:rFonts w:ascii="Palatino Linotype" w:hAnsi="Palatino Linotype" w:cs="Arial"/>
          <w:sz w:val="24"/>
          <w:szCs w:val="24"/>
        </w:rPr>
        <w:t>----------------</w:t>
      </w:r>
      <w:r w:rsidR="00824FB3">
        <w:rPr>
          <w:rFonts w:ascii="Palatino Linotype" w:hAnsi="Palatino Linotype" w:cs="Arial"/>
          <w:sz w:val="24"/>
          <w:szCs w:val="24"/>
        </w:rPr>
        <w:t>---------------</w:t>
      </w:r>
      <w:r w:rsidR="005A6082">
        <w:rPr>
          <w:rFonts w:ascii="Palatino Linotype" w:hAnsi="Palatino Linotype" w:cs="Arial"/>
          <w:sz w:val="24"/>
          <w:szCs w:val="24"/>
        </w:rPr>
        <w:t>--------</w:t>
      </w:r>
    </w:p>
    <w:p w14:paraId="431726C5" w14:textId="77777777" w:rsidR="00C43AAB" w:rsidRDefault="00C43AAB" w:rsidP="00390FF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A3722D7" w14:textId="77777777" w:rsidR="00C43AAB" w:rsidRDefault="00C43AAB" w:rsidP="00390FF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04072B0" w14:textId="77777777" w:rsidR="00C43AAB" w:rsidRDefault="00C43AAB" w:rsidP="00390FF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237CA8F3" w14:textId="77777777" w:rsidR="00587916" w:rsidRDefault="00587916" w:rsidP="0058791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06A320C" w14:textId="77777777" w:rsidR="00812CB0" w:rsidRDefault="00812CB0" w:rsidP="00812CB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50E9994" w14:textId="77777777"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C26847B" w14:textId="77777777"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CB52D20" w14:textId="77777777"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D90CEED" w14:textId="77777777"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75F0EF5" w14:textId="77777777"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4CDBFAE" w14:textId="77777777"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43F634F" w14:textId="039349B6" w:rsidR="0067110C" w:rsidRDefault="0067110C" w:rsidP="0067110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1D93CC6" w14:textId="77777777" w:rsidR="00F929A6" w:rsidRDefault="00F929A6" w:rsidP="00F929A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5FD5118" w14:textId="77777777" w:rsidR="00F929A6" w:rsidRDefault="00F929A6" w:rsidP="00F929A6">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5ED19328" w14:textId="77777777" w:rsidR="0009491C" w:rsidRPr="00360DF2" w:rsidRDefault="0009491C" w:rsidP="00390FFA">
      <w:pPr>
        <w:spacing w:after="0" w:line="360" w:lineRule="auto"/>
        <w:jc w:val="both"/>
        <w:rPr>
          <w:rFonts w:ascii="Palatino Linotype" w:hAnsi="Palatino Linotype" w:cs="Arial"/>
          <w:sz w:val="20"/>
        </w:rPr>
      </w:pPr>
      <w:r w:rsidRPr="00360DF2">
        <w:rPr>
          <w:rFonts w:ascii="Palatino Linotype" w:hAnsi="Palatino Linotype" w:cs="Arial"/>
          <w:sz w:val="20"/>
        </w:rPr>
        <w:t>CCR/</w:t>
      </w:r>
      <w:r w:rsidR="00E66363">
        <w:rPr>
          <w:rFonts w:ascii="Palatino Linotype" w:hAnsi="Palatino Linotype" w:cs="Arial"/>
          <w:sz w:val="20"/>
        </w:rPr>
        <w:t>*</w:t>
      </w:r>
    </w:p>
    <w:p w14:paraId="29074DFC" w14:textId="77777777" w:rsidR="0009491C" w:rsidRPr="00360DF2" w:rsidRDefault="0009491C" w:rsidP="00390FFA">
      <w:pPr>
        <w:spacing w:after="0" w:line="360" w:lineRule="auto"/>
        <w:jc w:val="both"/>
        <w:rPr>
          <w:rFonts w:ascii="Palatino Linotype" w:hAnsi="Palatino Linotype" w:cs="Arial"/>
          <w:sz w:val="24"/>
          <w:szCs w:val="24"/>
        </w:rPr>
      </w:pPr>
    </w:p>
    <w:p w14:paraId="184777F8" w14:textId="77777777" w:rsidR="0009491C" w:rsidRPr="00360DF2" w:rsidRDefault="0009491C" w:rsidP="00390FFA">
      <w:pPr>
        <w:spacing w:after="0" w:line="360" w:lineRule="auto"/>
        <w:jc w:val="both"/>
        <w:rPr>
          <w:rFonts w:ascii="Palatino Linotype" w:hAnsi="Palatino Linotype" w:cs="Arial"/>
          <w:sz w:val="24"/>
          <w:szCs w:val="24"/>
        </w:rPr>
      </w:pPr>
    </w:p>
    <w:p w14:paraId="08D21A26" w14:textId="77777777" w:rsidR="0009491C" w:rsidRPr="00360DF2" w:rsidRDefault="0009491C" w:rsidP="00390FFA">
      <w:pPr>
        <w:spacing w:after="0" w:line="360" w:lineRule="auto"/>
        <w:jc w:val="both"/>
        <w:rPr>
          <w:rFonts w:ascii="Palatino Linotype" w:hAnsi="Palatino Linotype" w:cs="Arial"/>
          <w:sz w:val="24"/>
          <w:szCs w:val="24"/>
        </w:rPr>
      </w:pPr>
    </w:p>
    <w:p w14:paraId="7F41C7FE" w14:textId="77777777" w:rsidR="0009491C" w:rsidRPr="00360DF2" w:rsidRDefault="0009491C" w:rsidP="00390FFA">
      <w:pPr>
        <w:spacing w:after="0"/>
        <w:rPr>
          <w:rFonts w:ascii="Palatino Linotype" w:hAnsi="Palatino Linotype"/>
        </w:rPr>
      </w:pPr>
    </w:p>
    <w:p w14:paraId="19A25137" w14:textId="77777777" w:rsidR="0009491C" w:rsidRPr="00360DF2" w:rsidRDefault="0009491C" w:rsidP="00390FFA">
      <w:pPr>
        <w:spacing w:after="0"/>
        <w:rPr>
          <w:rFonts w:ascii="Palatino Linotype" w:hAnsi="Palatino Linotype"/>
        </w:rPr>
      </w:pPr>
    </w:p>
    <w:p w14:paraId="03125ADD" w14:textId="77777777" w:rsidR="0009491C" w:rsidRPr="00360DF2" w:rsidRDefault="0009491C" w:rsidP="00390FFA">
      <w:pPr>
        <w:spacing w:after="0"/>
        <w:rPr>
          <w:rFonts w:ascii="Palatino Linotype" w:hAnsi="Palatino Linotype"/>
        </w:rPr>
      </w:pPr>
    </w:p>
    <w:p w14:paraId="72348661" w14:textId="77777777" w:rsidR="0009491C" w:rsidRPr="00360DF2" w:rsidRDefault="0009491C" w:rsidP="00390FFA">
      <w:pPr>
        <w:spacing w:after="0"/>
        <w:rPr>
          <w:rFonts w:ascii="Palatino Linotype" w:hAnsi="Palatino Linotype"/>
        </w:rPr>
      </w:pPr>
    </w:p>
    <w:p w14:paraId="64143CFC" w14:textId="77777777" w:rsidR="0009491C" w:rsidRPr="00360DF2" w:rsidRDefault="0009491C" w:rsidP="00390FFA">
      <w:pPr>
        <w:spacing w:after="0"/>
        <w:rPr>
          <w:rFonts w:ascii="Palatino Linotype" w:hAnsi="Palatino Linotype"/>
        </w:rPr>
      </w:pPr>
    </w:p>
    <w:p w14:paraId="77748927" w14:textId="77777777" w:rsidR="0009491C" w:rsidRPr="00360DF2" w:rsidRDefault="0009491C" w:rsidP="00390FFA">
      <w:pPr>
        <w:spacing w:after="0"/>
        <w:rPr>
          <w:rFonts w:ascii="Palatino Linotype" w:hAnsi="Palatino Linotype"/>
        </w:rPr>
      </w:pPr>
    </w:p>
    <w:p w14:paraId="4CBE95CD" w14:textId="77777777" w:rsidR="0009491C" w:rsidRPr="00360DF2" w:rsidRDefault="0009491C" w:rsidP="00390FFA">
      <w:pPr>
        <w:spacing w:after="0"/>
        <w:rPr>
          <w:rFonts w:ascii="Palatino Linotype" w:hAnsi="Palatino Linotype"/>
        </w:rPr>
      </w:pPr>
    </w:p>
    <w:p w14:paraId="4685C465" w14:textId="77777777" w:rsidR="0009491C" w:rsidRPr="00360DF2" w:rsidRDefault="0009491C" w:rsidP="00390FFA">
      <w:pPr>
        <w:spacing w:after="0"/>
        <w:rPr>
          <w:rFonts w:ascii="Palatino Linotype" w:hAnsi="Palatino Linotype"/>
        </w:rPr>
      </w:pPr>
    </w:p>
    <w:p w14:paraId="14CC3840" w14:textId="77777777" w:rsidR="0009491C" w:rsidRPr="00360DF2" w:rsidRDefault="0009491C" w:rsidP="00390FFA">
      <w:pPr>
        <w:spacing w:after="0"/>
        <w:rPr>
          <w:rFonts w:ascii="Palatino Linotype" w:hAnsi="Palatino Linotype"/>
        </w:rPr>
      </w:pPr>
    </w:p>
    <w:p w14:paraId="7996B5C1" w14:textId="77777777" w:rsidR="0009491C" w:rsidRPr="00360DF2" w:rsidRDefault="0009491C" w:rsidP="00390FFA">
      <w:pPr>
        <w:spacing w:after="0"/>
        <w:rPr>
          <w:rFonts w:ascii="Palatino Linotype" w:hAnsi="Palatino Linotype"/>
        </w:rPr>
      </w:pPr>
    </w:p>
    <w:p w14:paraId="25C7AA65" w14:textId="77777777" w:rsidR="0009491C" w:rsidRPr="00360DF2" w:rsidRDefault="0009491C" w:rsidP="00390FFA">
      <w:pPr>
        <w:spacing w:after="0"/>
        <w:rPr>
          <w:rFonts w:ascii="Palatino Linotype" w:hAnsi="Palatino Linotype"/>
        </w:rPr>
      </w:pPr>
    </w:p>
    <w:p w14:paraId="77E0B323" w14:textId="77777777" w:rsidR="0009491C" w:rsidRPr="00360DF2" w:rsidRDefault="0009491C" w:rsidP="00390FFA">
      <w:pPr>
        <w:spacing w:after="0"/>
        <w:rPr>
          <w:rFonts w:ascii="Palatino Linotype" w:hAnsi="Palatino Linotype"/>
        </w:rPr>
      </w:pPr>
    </w:p>
    <w:p w14:paraId="02454CBD" w14:textId="77777777" w:rsidR="0009491C" w:rsidRPr="00360DF2" w:rsidRDefault="0009491C" w:rsidP="00390FFA">
      <w:pPr>
        <w:spacing w:after="0"/>
        <w:rPr>
          <w:rFonts w:ascii="Palatino Linotype" w:hAnsi="Palatino Linotype"/>
        </w:rPr>
      </w:pPr>
    </w:p>
    <w:p w14:paraId="379DAE6D" w14:textId="77777777" w:rsidR="0009491C" w:rsidRPr="00360DF2" w:rsidRDefault="0009491C" w:rsidP="00390FFA">
      <w:pPr>
        <w:spacing w:after="0"/>
        <w:rPr>
          <w:rFonts w:ascii="Palatino Linotype" w:hAnsi="Palatino Linotype"/>
        </w:rPr>
      </w:pPr>
    </w:p>
    <w:p w14:paraId="3739552E" w14:textId="77777777" w:rsidR="0009491C" w:rsidRPr="00360DF2" w:rsidRDefault="0009491C" w:rsidP="00390FFA">
      <w:pPr>
        <w:spacing w:after="0"/>
        <w:rPr>
          <w:rFonts w:ascii="Palatino Linotype" w:hAnsi="Palatino Linotype"/>
        </w:rPr>
      </w:pPr>
    </w:p>
    <w:p w14:paraId="2D859E6D" w14:textId="77777777" w:rsidR="0009491C" w:rsidRDefault="0009491C" w:rsidP="00390FFA">
      <w:pPr>
        <w:spacing w:after="0"/>
      </w:pPr>
    </w:p>
    <w:p w14:paraId="7A1B97D5" w14:textId="77777777" w:rsidR="007070A6" w:rsidRDefault="003666F0" w:rsidP="00390FFA">
      <w:pPr>
        <w:spacing w:after="0"/>
      </w:pPr>
    </w:p>
    <w:sectPr w:rsidR="007070A6" w:rsidSect="00213060">
      <w:headerReference w:type="default" r:id="rId29"/>
      <w:footerReference w:type="default" r:id="rId30"/>
      <w:headerReference w:type="first" r:id="rId31"/>
      <w:footerReference w:type="first" r:id="rId3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9A7E7" w14:textId="77777777" w:rsidR="000D6D10" w:rsidRDefault="000D6D10" w:rsidP="0009491C">
      <w:pPr>
        <w:spacing w:after="0" w:line="240" w:lineRule="auto"/>
      </w:pPr>
      <w:r>
        <w:separator/>
      </w:r>
    </w:p>
  </w:endnote>
  <w:endnote w:type="continuationSeparator" w:id="0">
    <w:p w14:paraId="212BFACA" w14:textId="77777777" w:rsidR="000D6D10" w:rsidRDefault="000D6D10" w:rsidP="0009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87AEDD0" w14:textId="0F13DAFB" w:rsidR="00213060" w:rsidRPr="002D6DD8" w:rsidRDefault="00D42741" w:rsidP="002130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66F0">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66F0">
              <w:rPr>
                <w:rFonts w:ascii="Palatino Linotype" w:hAnsi="Palatino Linotype"/>
                <w:bCs/>
                <w:noProof/>
                <w:sz w:val="20"/>
              </w:rPr>
              <w:t>42</w:t>
            </w:r>
            <w:r>
              <w:rPr>
                <w:rFonts w:ascii="Palatino Linotype" w:hAnsi="Palatino Linotype"/>
                <w:bCs/>
                <w:noProof/>
                <w:sz w:val="20"/>
              </w:rPr>
              <w:fldChar w:fldCharType="end"/>
            </w:r>
          </w:p>
        </w:sdtContent>
      </w:sdt>
    </w:sdtContent>
  </w:sdt>
  <w:p w14:paraId="3F021184" w14:textId="77777777" w:rsidR="00213060" w:rsidRDefault="003666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7A555" w14:textId="4626711B" w:rsidR="00213060" w:rsidRPr="000B69FA" w:rsidRDefault="00D42741" w:rsidP="002130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66F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666F0">
      <w:rPr>
        <w:rFonts w:ascii="Palatino Linotype" w:hAnsi="Palatino Linotype"/>
        <w:bCs/>
        <w:noProof/>
        <w:sz w:val="20"/>
      </w:rPr>
      <w:t>42</w:t>
    </w:r>
    <w:r>
      <w:rPr>
        <w:rFonts w:ascii="Palatino Linotype" w:hAnsi="Palatino Linotype"/>
        <w:bCs/>
        <w:noProof/>
        <w:sz w:val="20"/>
      </w:rPr>
      <w:fldChar w:fldCharType="end"/>
    </w:r>
  </w:p>
  <w:p w14:paraId="279E5585" w14:textId="77777777" w:rsidR="00213060" w:rsidRDefault="003666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664E9" w14:textId="77777777" w:rsidR="000D6D10" w:rsidRDefault="000D6D10" w:rsidP="0009491C">
      <w:pPr>
        <w:spacing w:after="0" w:line="240" w:lineRule="auto"/>
      </w:pPr>
      <w:r>
        <w:separator/>
      </w:r>
    </w:p>
  </w:footnote>
  <w:footnote w:type="continuationSeparator" w:id="0">
    <w:p w14:paraId="4C0D3EE7" w14:textId="77777777" w:rsidR="000D6D10" w:rsidRDefault="000D6D10" w:rsidP="0009491C">
      <w:pPr>
        <w:spacing w:after="0" w:line="240" w:lineRule="auto"/>
      </w:pPr>
      <w:r>
        <w:continuationSeparator/>
      </w:r>
    </w:p>
  </w:footnote>
  <w:footnote w:id="1">
    <w:p w14:paraId="6008AC06" w14:textId="77777777" w:rsidR="0016140D" w:rsidRPr="009535FD" w:rsidRDefault="0016140D" w:rsidP="0016140D">
      <w:pPr>
        <w:jc w:val="both"/>
        <w:rPr>
          <w:rFonts w:ascii="Palatino Linotype" w:hAnsi="Palatino Linotype"/>
          <w:b/>
          <w:bCs/>
          <w:i/>
          <w:sz w:val="18"/>
          <w:szCs w:val="18"/>
          <w:lang w:eastAsia="es-MX"/>
        </w:rPr>
      </w:pPr>
      <w:r w:rsidRPr="009535FD">
        <w:rPr>
          <w:rStyle w:val="Refdenotaalpie"/>
          <w:sz w:val="18"/>
          <w:szCs w:val="18"/>
        </w:rPr>
        <w:footnoteRef/>
      </w:r>
      <w:r w:rsidRPr="009535FD">
        <w:rPr>
          <w:sz w:val="18"/>
          <w:szCs w:val="18"/>
        </w:rPr>
        <w:t xml:space="preserve"> </w:t>
      </w:r>
      <w:r w:rsidRPr="009535FD">
        <w:rPr>
          <w:rFonts w:ascii="Palatino Linotype" w:hAnsi="Palatino Linotype"/>
          <w:b/>
          <w:bCs/>
          <w:i/>
          <w:sz w:val="18"/>
          <w:szCs w:val="18"/>
        </w:rPr>
        <w:t>IMPROCEDENCIA Y SOBRESEIMIENTO EN EL JUICIO DE AMPARO. LAS CAUSAS PREVISTAS EN LOS ARTÍCULOS 73 Y 74 DE LA LEY DE LA MATERIA, RESPECTIVAMENTE, NO SON INCOMPATIBLES CON EL ARTÍCULO 25.1 DE LA CONVENCIÓN AMERICANA SOBRE DERECHOS HUMANOS.</w:t>
      </w:r>
    </w:p>
    <w:p w14:paraId="47BC5951" w14:textId="77777777" w:rsidR="0016140D" w:rsidRPr="009535FD" w:rsidRDefault="0016140D" w:rsidP="0016140D">
      <w:pPr>
        <w:jc w:val="both"/>
        <w:rPr>
          <w:rFonts w:ascii="Palatino Linotype" w:hAnsi="Palatino Linotype"/>
          <w:i/>
          <w:sz w:val="18"/>
          <w:szCs w:val="18"/>
        </w:rPr>
      </w:pPr>
      <w:r w:rsidRPr="009535FD">
        <w:rPr>
          <w:rFonts w:ascii="Palatino Linotype" w:hAnsi="Palatino Linotype"/>
          <w:i/>
          <w:sz w:val="18"/>
          <w:szCs w:val="18"/>
        </w:rPr>
        <w:t xml:space="preserve">Del examen de compatibilidad de los artículos </w:t>
      </w:r>
      <w:hyperlink r:id="rId1" w:history="1">
        <w:r w:rsidRPr="009535FD">
          <w:rPr>
            <w:rStyle w:val="Hipervnculo"/>
            <w:rFonts w:ascii="Palatino Linotype" w:hAnsi="Palatino Linotype"/>
            <w:i/>
          </w:rPr>
          <w:t>73 y 74 de la Ley de Amparo</w:t>
        </w:r>
      </w:hyperlink>
      <w:r w:rsidRPr="009535FD">
        <w:rPr>
          <w:rStyle w:val="apple-converted-space"/>
          <w:rFonts w:ascii="Palatino Linotype" w:hAnsi="Palatino Linotype"/>
          <w:i/>
          <w:sz w:val="18"/>
          <w:szCs w:val="18"/>
        </w:rPr>
        <w:t xml:space="preserve"> </w:t>
      </w:r>
      <w:r w:rsidRPr="009535FD">
        <w:rPr>
          <w:rFonts w:ascii="Palatino Linotype" w:hAnsi="Palatino Linotype"/>
          <w:i/>
          <w:sz w:val="18"/>
          <w:szCs w:val="18"/>
        </w:rPr>
        <w:t xml:space="preserve">con el artículo </w:t>
      </w:r>
      <w:hyperlink r:id="rId2" w:history="1">
        <w:r w:rsidRPr="009535FD">
          <w:rPr>
            <w:rStyle w:val="Hipervnculo"/>
            <w:rFonts w:ascii="Palatino Linotype" w:hAnsi="Palatino Linotype"/>
            <w:i/>
          </w:rPr>
          <w:t>25.1 de la Convención Americana sobre Derechos Humanos</w:t>
        </w:r>
      </w:hyperlink>
      <w:r w:rsidRPr="009535FD">
        <w:rPr>
          <w:rStyle w:val="Hipervnculo"/>
          <w:rFonts w:ascii="Palatino Linotype" w:hAnsi="Palatino Linotype"/>
          <w:i/>
        </w:rPr>
        <w:t xml:space="preserve"> </w:t>
      </w:r>
      <w:r w:rsidRPr="009535FD">
        <w:rPr>
          <w:rFonts w:ascii="Palatino Linotype" w:hAnsi="Palatino Linotype"/>
          <w:b/>
          <w:i/>
          <w:sz w:val="18"/>
          <w:szCs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535FD">
        <w:rPr>
          <w:rFonts w:ascii="Palatino Linotype" w:hAnsi="Palatino Linotype"/>
          <w:i/>
          <w:sz w:val="18"/>
          <w:szCs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535FD">
        <w:rPr>
          <w:rFonts w:ascii="Palatino Linotype" w:hAnsi="Palatino Linotype"/>
          <w:i/>
          <w:sz w:val="18"/>
          <w:szCs w:val="18"/>
        </w:rPr>
        <w:t>concesoria</w:t>
      </w:r>
      <w:proofErr w:type="spellEnd"/>
      <w:r w:rsidRPr="009535FD">
        <w:rPr>
          <w:rFonts w:ascii="Palatino Linotype" w:hAnsi="Palatino Linotype"/>
          <w:i/>
          <w:sz w:val="18"/>
          <w:szCs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213060" w14:paraId="362F0AE1" w14:textId="77777777" w:rsidTr="00213060">
      <w:trPr>
        <w:trHeight w:val="227"/>
      </w:trPr>
      <w:tc>
        <w:tcPr>
          <w:tcW w:w="5246" w:type="dxa"/>
          <w:hideMark/>
        </w:tcPr>
        <w:p w14:paraId="17CEFED9" w14:textId="77777777" w:rsidR="00213060" w:rsidRPr="00641471" w:rsidRDefault="00D42741" w:rsidP="00213060">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7B138054" w14:textId="4452ED6B" w:rsidR="00213060" w:rsidRPr="00641471" w:rsidRDefault="003960E0" w:rsidP="00B075DB">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06085/INFOEM/IP/RR/2024</w:t>
          </w:r>
        </w:p>
      </w:tc>
    </w:tr>
    <w:tr w:rsidR="00213060" w14:paraId="6DAD570C" w14:textId="77777777" w:rsidTr="00213060">
      <w:trPr>
        <w:trHeight w:val="242"/>
      </w:trPr>
      <w:tc>
        <w:tcPr>
          <w:tcW w:w="5246" w:type="dxa"/>
          <w:hideMark/>
        </w:tcPr>
        <w:p w14:paraId="45C13706" w14:textId="77777777" w:rsidR="00213060" w:rsidRPr="00641471" w:rsidRDefault="00D42741" w:rsidP="00213060">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2068C07E" w14:textId="1204B6DE" w:rsidR="00213060" w:rsidRPr="00641471" w:rsidRDefault="003960E0" w:rsidP="00213060">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Secretariado Ejecutivo del Sistema Estatal de Seguridad Pública</w:t>
          </w:r>
        </w:p>
      </w:tc>
    </w:tr>
    <w:tr w:rsidR="00213060" w14:paraId="78172A74" w14:textId="77777777" w:rsidTr="00213060">
      <w:trPr>
        <w:trHeight w:val="342"/>
      </w:trPr>
      <w:tc>
        <w:tcPr>
          <w:tcW w:w="5246" w:type="dxa"/>
          <w:hideMark/>
        </w:tcPr>
        <w:p w14:paraId="2DF146D2" w14:textId="77777777" w:rsidR="00213060" w:rsidRPr="00641471" w:rsidRDefault="00D42741" w:rsidP="00213060">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14:paraId="1C36A9A7" w14:textId="77777777" w:rsidR="00213060" w:rsidRPr="00641471" w:rsidRDefault="00D42741" w:rsidP="00213060">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14:paraId="2BC4AC96" w14:textId="77777777" w:rsidR="00213060" w:rsidRPr="00AE046A" w:rsidRDefault="00D42741" w:rsidP="00213060">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13BBA57" wp14:editId="7B688913">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213060" w14:paraId="1F99DE53" w14:textId="77777777" w:rsidTr="00213060">
      <w:trPr>
        <w:trHeight w:val="227"/>
      </w:trPr>
      <w:tc>
        <w:tcPr>
          <w:tcW w:w="5104" w:type="dxa"/>
          <w:hideMark/>
        </w:tcPr>
        <w:p w14:paraId="797A518C" w14:textId="77777777" w:rsidR="00213060" w:rsidRPr="00641471" w:rsidRDefault="00D42741" w:rsidP="00213060">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14:paraId="649768BC" w14:textId="6D337EB6" w:rsidR="00213060" w:rsidRPr="00641471" w:rsidRDefault="003960E0" w:rsidP="00B075DB">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06085/INFOEM/IP/RR/2024</w:t>
          </w:r>
        </w:p>
      </w:tc>
    </w:tr>
    <w:tr w:rsidR="00213060" w14:paraId="70764627" w14:textId="77777777" w:rsidTr="00213060">
      <w:trPr>
        <w:trHeight w:val="242"/>
      </w:trPr>
      <w:tc>
        <w:tcPr>
          <w:tcW w:w="5104" w:type="dxa"/>
          <w:hideMark/>
        </w:tcPr>
        <w:p w14:paraId="6CF2CA73" w14:textId="77777777" w:rsidR="00213060" w:rsidRPr="00641471" w:rsidRDefault="00D42741" w:rsidP="00213060">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14:paraId="394D95BD" w14:textId="36246CA1" w:rsidR="00213060" w:rsidRPr="00641471" w:rsidRDefault="003960E0" w:rsidP="00213060">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Secretariado Ejecutivo del Sistema Estatal de Seguridad Pública</w:t>
          </w:r>
        </w:p>
      </w:tc>
    </w:tr>
    <w:tr w:rsidR="00213060" w14:paraId="12520B3B" w14:textId="77777777" w:rsidTr="00213060">
      <w:trPr>
        <w:trHeight w:val="342"/>
      </w:trPr>
      <w:tc>
        <w:tcPr>
          <w:tcW w:w="5104" w:type="dxa"/>
        </w:tcPr>
        <w:p w14:paraId="046E45DA" w14:textId="77777777" w:rsidR="00213060" w:rsidRPr="00641471" w:rsidRDefault="00D42741" w:rsidP="00213060">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14:paraId="157A5D17" w14:textId="61C24F5D" w:rsidR="00213060" w:rsidRPr="00641471" w:rsidRDefault="00D42741" w:rsidP="00213060">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745F8633" wp14:editId="0FAC4CBD">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3666F0">
            <w:rPr>
              <w:rFonts w:ascii="Palatino Linotype" w:hAnsi="Palatino Linotype" w:cs="Arial"/>
              <w:b/>
            </w:rPr>
            <w:t>XXXX</w:t>
          </w:r>
        </w:p>
      </w:tc>
    </w:tr>
    <w:tr w:rsidR="00213060" w14:paraId="6BE70A9B" w14:textId="77777777" w:rsidTr="00213060">
      <w:trPr>
        <w:trHeight w:val="342"/>
      </w:trPr>
      <w:tc>
        <w:tcPr>
          <w:tcW w:w="5104" w:type="dxa"/>
        </w:tcPr>
        <w:p w14:paraId="7085A209" w14:textId="77777777" w:rsidR="00213060" w:rsidRPr="00641471" w:rsidRDefault="00D42741" w:rsidP="00213060">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14:paraId="51A617AC" w14:textId="77777777" w:rsidR="00213060" w:rsidRPr="00641471" w:rsidRDefault="00D42741" w:rsidP="00213060">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14:paraId="198ED672" w14:textId="77777777" w:rsidR="00213060" w:rsidRPr="00C222C0" w:rsidRDefault="003666F0">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B1612"/>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230C67"/>
    <w:multiLevelType w:val="hybridMultilevel"/>
    <w:tmpl w:val="4E4649F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CA44699"/>
    <w:multiLevelType w:val="hybridMultilevel"/>
    <w:tmpl w:val="8F3A2A9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4D6D027E"/>
    <w:multiLevelType w:val="hybridMultilevel"/>
    <w:tmpl w:val="97204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D7D1B94"/>
    <w:multiLevelType w:val="hybridMultilevel"/>
    <w:tmpl w:val="C6BEF1D6"/>
    <w:lvl w:ilvl="0" w:tplc="999EEB3A">
      <w:numFmt w:val="bullet"/>
      <w:lvlText w:val="•"/>
      <w:lvlJc w:val="left"/>
      <w:pPr>
        <w:ind w:left="1065" w:hanging="705"/>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91C"/>
    <w:rsid w:val="00004B19"/>
    <w:rsid w:val="00050077"/>
    <w:rsid w:val="0009491C"/>
    <w:rsid w:val="00095986"/>
    <w:rsid w:val="000D6D10"/>
    <w:rsid w:val="000F7D99"/>
    <w:rsid w:val="00146541"/>
    <w:rsid w:val="0016140D"/>
    <w:rsid w:val="0016791B"/>
    <w:rsid w:val="001C38F0"/>
    <w:rsid w:val="00227CA0"/>
    <w:rsid w:val="0023365E"/>
    <w:rsid w:val="002436FA"/>
    <w:rsid w:val="002B22A6"/>
    <w:rsid w:val="003321A2"/>
    <w:rsid w:val="00341A68"/>
    <w:rsid w:val="003666F0"/>
    <w:rsid w:val="00390FFA"/>
    <w:rsid w:val="003960E0"/>
    <w:rsid w:val="003F4C4C"/>
    <w:rsid w:val="0041247E"/>
    <w:rsid w:val="0048739B"/>
    <w:rsid w:val="004F4AE5"/>
    <w:rsid w:val="00530960"/>
    <w:rsid w:val="005353D4"/>
    <w:rsid w:val="00535685"/>
    <w:rsid w:val="00552C5B"/>
    <w:rsid w:val="00555B78"/>
    <w:rsid w:val="00565327"/>
    <w:rsid w:val="00587916"/>
    <w:rsid w:val="005A6082"/>
    <w:rsid w:val="005C396D"/>
    <w:rsid w:val="0061125D"/>
    <w:rsid w:val="00636559"/>
    <w:rsid w:val="00647509"/>
    <w:rsid w:val="0067110C"/>
    <w:rsid w:val="006844BB"/>
    <w:rsid w:val="006D4565"/>
    <w:rsid w:val="006E6DC1"/>
    <w:rsid w:val="00746026"/>
    <w:rsid w:val="00777011"/>
    <w:rsid w:val="007E201A"/>
    <w:rsid w:val="007E7221"/>
    <w:rsid w:val="007F2DC4"/>
    <w:rsid w:val="00812CB0"/>
    <w:rsid w:val="00817016"/>
    <w:rsid w:val="00824FB3"/>
    <w:rsid w:val="00827034"/>
    <w:rsid w:val="00863BE9"/>
    <w:rsid w:val="008657E9"/>
    <w:rsid w:val="00872349"/>
    <w:rsid w:val="008B3790"/>
    <w:rsid w:val="008E02D1"/>
    <w:rsid w:val="00946989"/>
    <w:rsid w:val="009477CE"/>
    <w:rsid w:val="009C4B22"/>
    <w:rsid w:val="009E2FE6"/>
    <w:rsid w:val="00A46C0B"/>
    <w:rsid w:val="00A768CA"/>
    <w:rsid w:val="00AC0581"/>
    <w:rsid w:val="00AF5D72"/>
    <w:rsid w:val="00AF677C"/>
    <w:rsid w:val="00B075DB"/>
    <w:rsid w:val="00B107B3"/>
    <w:rsid w:val="00B34049"/>
    <w:rsid w:val="00C43AAB"/>
    <w:rsid w:val="00C6044C"/>
    <w:rsid w:val="00C92BDF"/>
    <w:rsid w:val="00D42741"/>
    <w:rsid w:val="00D4358A"/>
    <w:rsid w:val="00D6242C"/>
    <w:rsid w:val="00D74D90"/>
    <w:rsid w:val="00DD3A4F"/>
    <w:rsid w:val="00E66363"/>
    <w:rsid w:val="00E74B32"/>
    <w:rsid w:val="00E83E05"/>
    <w:rsid w:val="00F175A2"/>
    <w:rsid w:val="00F2788A"/>
    <w:rsid w:val="00F929A6"/>
    <w:rsid w:val="00FC680A"/>
    <w:rsid w:val="00FF39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6BCEFC"/>
  <w15:chartTrackingRefBased/>
  <w15:docId w15:val="{57E2FE0E-FB65-47ED-A077-665C2A75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9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91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9491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9491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9491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9491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9491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9491C"/>
  </w:style>
  <w:style w:type="character" w:styleId="Hipervnculo">
    <w:name w:val="Hyperlink"/>
    <w:aliases w:val="Hipervínculo1,Hipervínculo11,Hipervínculo12,Hipervínculo13,Hipervínculo14,Hipervínculo15"/>
    <w:basedOn w:val="Fuentedeprrafopredeter"/>
    <w:uiPriority w:val="99"/>
    <w:unhideWhenUsed/>
    <w:rsid w:val="0009491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9491C"/>
    <w:rPr>
      <w:vertAlign w:val="superscript"/>
    </w:rPr>
  </w:style>
  <w:style w:type="character" w:customStyle="1" w:styleId="UnresolvedMention">
    <w:name w:val="Unresolved Mention"/>
    <w:basedOn w:val="Fuentedeprrafopredeter"/>
    <w:uiPriority w:val="99"/>
    <w:semiHidden/>
    <w:unhideWhenUsed/>
    <w:rsid w:val="00D624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801375">
      <w:bodyDiv w:val="1"/>
      <w:marLeft w:val="0"/>
      <w:marRight w:val="0"/>
      <w:marTop w:val="0"/>
      <w:marBottom w:val="0"/>
      <w:divBdr>
        <w:top w:val="none" w:sz="0" w:space="0" w:color="auto"/>
        <w:left w:val="none" w:sz="0" w:space="0" w:color="auto"/>
        <w:bottom w:val="none" w:sz="0" w:space="0" w:color="auto"/>
        <w:right w:val="none" w:sz="0" w:space="0" w:color="auto"/>
      </w:divBdr>
    </w:div>
    <w:div w:id="929124461">
      <w:bodyDiv w:val="1"/>
      <w:marLeft w:val="0"/>
      <w:marRight w:val="0"/>
      <w:marTop w:val="0"/>
      <w:marBottom w:val="0"/>
      <w:divBdr>
        <w:top w:val="none" w:sz="0" w:space="0" w:color="auto"/>
        <w:left w:val="none" w:sz="0" w:space="0" w:color="auto"/>
        <w:bottom w:val="none" w:sz="0" w:space="0" w:color="auto"/>
        <w:right w:val="none" w:sz="0" w:space="0" w:color="auto"/>
      </w:divBdr>
    </w:div>
    <w:div w:id="1171218264">
      <w:bodyDiv w:val="1"/>
      <w:marLeft w:val="0"/>
      <w:marRight w:val="0"/>
      <w:marTop w:val="0"/>
      <w:marBottom w:val="0"/>
      <w:divBdr>
        <w:top w:val="none" w:sz="0" w:space="0" w:color="auto"/>
        <w:left w:val="none" w:sz="0" w:space="0" w:color="auto"/>
        <w:bottom w:val="none" w:sz="0" w:space="0" w:color="auto"/>
        <w:right w:val="none" w:sz="0" w:space="0" w:color="auto"/>
      </w:divBdr>
    </w:div>
    <w:div w:id="198418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42</Pages>
  <Words>6075</Words>
  <Characters>33416</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14</cp:revision>
  <dcterms:created xsi:type="dcterms:W3CDTF">2024-10-30T19:22:00Z</dcterms:created>
  <dcterms:modified xsi:type="dcterms:W3CDTF">2024-12-06T19:45:00Z</dcterms:modified>
</cp:coreProperties>
</file>