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CA879" w14:textId="061D15DD" w:rsidR="006168E4" w:rsidRPr="008D58A8" w:rsidRDefault="006168E4" w:rsidP="006F5F55">
      <w:pPr>
        <w:spacing w:before="240" w:line="360" w:lineRule="auto"/>
        <w:jc w:val="both"/>
        <w:rPr>
          <w:rFonts w:ascii="Palatino Linotype" w:eastAsia="Times New Roman" w:hAnsi="Palatino Linotype" w:cs="Arial"/>
          <w:color w:val="000000"/>
          <w:sz w:val="24"/>
          <w:szCs w:val="24"/>
          <w:lang w:eastAsia="es-MX"/>
        </w:rPr>
      </w:pPr>
      <w:r w:rsidRPr="008D58A8">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1D2729" w:rsidRPr="008D58A8">
        <w:rPr>
          <w:rFonts w:ascii="Palatino Linotype" w:eastAsia="Times New Roman" w:hAnsi="Palatino Linotype" w:cs="Arial"/>
          <w:color w:val="000000"/>
          <w:sz w:val="24"/>
          <w:szCs w:val="24"/>
          <w:lang w:eastAsia="es-MX"/>
        </w:rPr>
        <w:t xml:space="preserve">catorce de febrero de dos mil veinticuatro. </w:t>
      </w:r>
      <w:r w:rsidR="00CE183D" w:rsidRPr="008D58A8">
        <w:rPr>
          <w:rFonts w:ascii="Palatino Linotype" w:eastAsia="Times New Roman" w:hAnsi="Palatino Linotype" w:cs="Arial"/>
          <w:color w:val="000000"/>
          <w:sz w:val="24"/>
          <w:szCs w:val="24"/>
          <w:lang w:eastAsia="es-MX"/>
        </w:rPr>
        <w:t xml:space="preserve"> </w:t>
      </w:r>
      <w:r w:rsidR="007A4A04" w:rsidRPr="008D58A8">
        <w:rPr>
          <w:rFonts w:ascii="Palatino Linotype" w:eastAsia="Times New Roman" w:hAnsi="Palatino Linotype" w:cs="Arial"/>
          <w:color w:val="000000"/>
          <w:sz w:val="24"/>
          <w:szCs w:val="24"/>
          <w:lang w:eastAsia="es-MX"/>
        </w:rPr>
        <w:t xml:space="preserve"> </w:t>
      </w:r>
      <w:r w:rsidR="00BE673B" w:rsidRPr="008D58A8">
        <w:rPr>
          <w:rFonts w:ascii="Palatino Linotype" w:eastAsia="Times New Roman" w:hAnsi="Palatino Linotype" w:cs="Arial"/>
          <w:color w:val="000000"/>
          <w:sz w:val="24"/>
          <w:szCs w:val="24"/>
          <w:lang w:eastAsia="es-MX"/>
        </w:rPr>
        <w:t xml:space="preserve"> </w:t>
      </w:r>
      <w:r w:rsidR="00FB6049" w:rsidRPr="008D58A8">
        <w:rPr>
          <w:rFonts w:ascii="Palatino Linotype" w:eastAsia="Times New Roman" w:hAnsi="Palatino Linotype" w:cs="Arial"/>
          <w:color w:val="000000"/>
          <w:sz w:val="24"/>
          <w:szCs w:val="24"/>
          <w:lang w:eastAsia="es-MX"/>
        </w:rPr>
        <w:t xml:space="preserve"> </w:t>
      </w:r>
      <w:r w:rsidR="00817A08" w:rsidRPr="008D58A8">
        <w:rPr>
          <w:rFonts w:ascii="Palatino Linotype" w:eastAsia="Times New Roman" w:hAnsi="Palatino Linotype" w:cs="Arial"/>
          <w:color w:val="000000"/>
          <w:sz w:val="24"/>
          <w:szCs w:val="24"/>
          <w:lang w:eastAsia="es-MX"/>
        </w:rPr>
        <w:t xml:space="preserve"> </w:t>
      </w:r>
    </w:p>
    <w:p w14:paraId="64395592" w14:textId="359DB942" w:rsidR="00CE183D" w:rsidRPr="008D58A8" w:rsidRDefault="006168E4" w:rsidP="006F5F55">
      <w:pPr>
        <w:tabs>
          <w:tab w:val="left" w:pos="1701"/>
        </w:tabs>
        <w:spacing w:before="240" w:line="360" w:lineRule="auto"/>
        <w:jc w:val="both"/>
        <w:rPr>
          <w:rFonts w:ascii="Palatino Linotype" w:hAnsi="Palatino Linotype" w:cs="Arial"/>
          <w:sz w:val="24"/>
          <w:szCs w:val="24"/>
        </w:rPr>
      </w:pPr>
      <w:r w:rsidRPr="008D58A8">
        <w:rPr>
          <w:rFonts w:ascii="Palatino Linotype" w:hAnsi="Palatino Linotype" w:cs="Arial"/>
          <w:b/>
          <w:sz w:val="24"/>
        </w:rPr>
        <w:t>VISTO</w:t>
      </w:r>
      <w:r w:rsidRPr="008D58A8">
        <w:rPr>
          <w:rFonts w:ascii="Palatino Linotype" w:hAnsi="Palatino Linotype" w:cs="Arial"/>
          <w:sz w:val="24"/>
        </w:rPr>
        <w:t xml:space="preserve"> el expediente electrónico formado con motivo del recurso de revisión número </w:t>
      </w:r>
      <w:r w:rsidR="00736C2C" w:rsidRPr="008D58A8">
        <w:rPr>
          <w:rFonts w:ascii="Palatino Linotype" w:hAnsi="Palatino Linotype" w:cs="Arial"/>
          <w:b/>
          <w:bCs/>
          <w:sz w:val="24"/>
          <w:lang w:eastAsia="es-MX"/>
        </w:rPr>
        <w:t>0</w:t>
      </w:r>
      <w:r w:rsidR="00CE183D" w:rsidRPr="008D58A8">
        <w:rPr>
          <w:rFonts w:ascii="Palatino Linotype" w:hAnsi="Palatino Linotype" w:cs="Arial"/>
          <w:b/>
          <w:bCs/>
          <w:sz w:val="24"/>
          <w:lang w:eastAsia="es-MX"/>
        </w:rPr>
        <w:t>6610</w:t>
      </w:r>
      <w:r w:rsidR="00F403EA" w:rsidRPr="008D58A8">
        <w:rPr>
          <w:rFonts w:ascii="Palatino Linotype" w:hAnsi="Palatino Linotype" w:cs="Arial"/>
          <w:b/>
          <w:bCs/>
          <w:sz w:val="24"/>
          <w:lang w:eastAsia="es-MX"/>
        </w:rPr>
        <w:t>/</w:t>
      </w:r>
      <w:r w:rsidR="00D06CA0" w:rsidRPr="008D58A8">
        <w:rPr>
          <w:rFonts w:ascii="Palatino Linotype" w:hAnsi="Palatino Linotype" w:cs="Arial"/>
          <w:b/>
          <w:bCs/>
          <w:sz w:val="24"/>
          <w:lang w:eastAsia="es-MX"/>
        </w:rPr>
        <w:t>INFOEM/IP/RR/20</w:t>
      </w:r>
      <w:r w:rsidR="00EC3C36" w:rsidRPr="008D58A8">
        <w:rPr>
          <w:rFonts w:ascii="Palatino Linotype" w:hAnsi="Palatino Linotype" w:cs="Arial"/>
          <w:b/>
          <w:bCs/>
          <w:sz w:val="24"/>
          <w:lang w:eastAsia="es-MX"/>
        </w:rPr>
        <w:t>2</w:t>
      </w:r>
      <w:r w:rsidR="00BE673B" w:rsidRPr="008D58A8">
        <w:rPr>
          <w:rFonts w:ascii="Palatino Linotype" w:hAnsi="Palatino Linotype" w:cs="Arial"/>
          <w:b/>
          <w:bCs/>
          <w:sz w:val="24"/>
          <w:lang w:eastAsia="es-MX"/>
        </w:rPr>
        <w:t>3</w:t>
      </w:r>
      <w:r w:rsidRPr="008D58A8">
        <w:rPr>
          <w:rFonts w:ascii="Palatino Linotype" w:hAnsi="Palatino Linotype" w:cs="Arial"/>
          <w:sz w:val="24"/>
        </w:rPr>
        <w:t xml:space="preserve">, </w:t>
      </w:r>
      <w:r w:rsidRPr="008D58A8">
        <w:rPr>
          <w:rFonts w:ascii="Palatino Linotype" w:hAnsi="Palatino Linotype" w:cs="Arial"/>
          <w:sz w:val="24"/>
          <w:szCs w:val="24"/>
        </w:rPr>
        <w:t>interpuesto por</w:t>
      </w:r>
      <w:r w:rsidR="00FB6049" w:rsidRPr="008D58A8">
        <w:rPr>
          <w:rFonts w:ascii="Palatino Linotype" w:hAnsi="Palatino Linotype" w:cs="Arial"/>
          <w:sz w:val="24"/>
          <w:szCs w:val="24"/>
        </w:rPr>
        <w:t xml:space="preserve"> </w:t>
      </w:r>
      <w:r w:rsidR="00CE183D" w:rsidRPr="008D58A8">
        <w:rPr>
          <w:rFonts w:ascii="Palatino Linotype" w:hAnsi="Palatino Linotype" w:cs="Arial"/>
          <w:sz w:val="24"/>
          <w:szCs w:val="24"/>
        </w:rPr>
        <w:t xml:space="preserve">el </w:t>
      </w:r>
      <w:r w:rsidR="00CE183D" w:rsidRPr="008D58A8">
        <w:rPr>
          <w:rFonts w:ascii="Palatino Linotype" w:hAnsi="Palatino Linotype" w:cs="Arial"/>
          <w:b/>
          <w:bCs/>
          <w:sz w:val="24"/>
          <w:szCs w:val="24"/>
        </w:rPr>
        <w:t xml:space="preserve">C. </w:t>
      </w:r>
      <w:r w:rsidR="000B7F90" w:rsidRPr="008D58A8">
        <w:rPr>
          <w:rFonts w:ascii="Palatino Linotype" w:hAnsi="Palatino Linotype" w:cs="Arial"/>
          <w:b/>
          <w:bCs/>
          <w:sz w:val="24"/>
          <w:szCs w:val="24"/>
        </w:rPr>
        <w:t>XXXXXXXXXXXXX</w:t>
      </w:r>
      <w:r w:rsidR="00CE183D" w:rsidRPr="008D58A8">
        <w:rPr>
          <w:rFonts w:ascii="Palatino Linotype" w:hAnsi="Palatino Linotype" w:cs="Arial"/>
          <w:b/>
          <w:bCs/>
          <w:sz w:val="24"/>
          <w:szCs w:val="24"/>
        </w:rPr>
        <w:t xml:space="preserve">, </w:t>
      </w:r>
      <w:r w:rsidR="00CE183D" w:rsidRPr="008D58A8">
        <w:rPr>
          <w:rFonts w:ascii="Palatino Linotype" w:hAnsi="Palatino Linotype" w:cs="Arial"/>
          <w:sz w:val="24"/>
          <w:szCs w:val="24"/>
        </w:rPr>
        <w:t xml:space="preserve">en lo sucesivo </w:t>
      </w:r>
      <w:r w:rsidR="00CE183D" w:rsidRPr="008D58A8">
        <w:rPr>
          <w:rFonts w:ascii="Palatino Linotype" w:hAnsi="Palatino Linotype" w:cs="Arial"/>
          <w:b/>
          <w:bCs/>
          <w:sz w:val="24"/>
          <w:szCs w:val="24"/>
        </w:rPr>
        <w:t xml:space="preserve">El Recurrente, </w:t>
      </w:r>
      <w:r w:rsidR="00CE183D" w:rsidRPr="008D58A8">
        <w:rPr>
          <w:rFonts w:ascii="Palatino Linotype" w:hAnsi="Palatino Linotype" w:cs="Arial"/>
          <w:sz w:val="24"/>
          <w:szCs w:val="24"/>
        </w:rPr>
        <w:t xml:space="preserve">en contra de la respuesta del </w:t>
      </w:r>
      <w:r w:rsidR="00CE183D" w:rsidRPr="008D58A8">
        <w:rPr>
          <w:rFonts w:ascii="Palatino Linotype" w:hAnsi="Palatino Linotype" w:cs="Arial"/>
          <w:b/>
          <w:bCs/>
          <w:sz w:val="24"/>
          <w:szCs w:val="24"/>
        </w:rPr>
        <w:t xml:space="preserve">Colegio de Estudios Científicos y Tecnológicos del Estado de México, </w:t>
      </w:r>
      <w:r w:rsidR="00CE183D" w:rsidRPr="008D58A8">
        <w:rPr>
          <w:rFonts w:ascii="Palatino Linotype" w:hAnsi="Palatino Linotype" w:cs="Arial"/>
          <w:sz w:val="24"/>
          <w:szCs w:val="24"/>
        </w:rPr>
        <w:t xml:space="preserve">en lo subsecuente </w:t>
      </w:r>
      <w:r w:rsidR="00CE183D" w:rsidRPr="008D58A8">
        <w:rPr>
          <w:rFonts w:ascii="Palatino Linotype" w:hAnsi="Palatino Linotype" w:cs="Arial"/>
          <w:b/>
          <w:bCs/>
          <w:sz w:val="24"/>
          <w:szCs w:val="24"/>
        </w:rPr>
        <w:t xml:space="preserve">El Sujeto Obligado, </w:t>
      </w:r>
      <w:r w:rsidR="00CE183D" w:rsidRPr="008D58A8">
        <w:rPr>
          <w:rFonts w:ascii="Palatino Linotype" w:hAnsi="Palatino Linotype" w:cs="Arial"/>
          <w:sz w:val="24"/>
          <w:szCs w:val="24"/>
        </w:rPr>
        <w:t xml:space="preserve">se procede a dictar la presente resolución. </w:t>
      </w:r>
    </w:p>
    <w:p w14:paraId="20B42EB4" w14:textId="77777777" w:rsidR="00FB6C8F" w:rsidRPr="008D58A8" w:rsidRDefault="00FB6C8F" w:rsidP="006F5F55">
      <w:pPr>
        <w:tabs>
          <w:tab w:val="left" w:pos="1701"/>
        </w:tabs>
        <w:spacing w:before="240" w:line="360" w:lineRule="auto"/>
        <w:jc w:val="both"/>
        <w:rPr>
          <w:rFonts w:ascii="Palatino Linotype" w:hAnsi="Palatino Linotype" w:cs="Arial"/>
          <w:sz w:val="24"/>
          <w:szCs w:val="24"/>
        </w:rPr>
      </w:pPr>
    </w:p>
    <w:p w14:paraId="39A8E1A3" w14:textId="7B30AA56" w:rsidR="006168E4" w:rsidRPr="008D58A8" w:rsidRDefault="006168E4" w:rsidP="00844569">
      <w:pPr>
        <w:spacing w:before="240" w:after="240" w:line="360" w:lineRule="auto"/>
        <w:jc w:val="center"/>
        <w:rPr>
          <w:rFonts w:ascii="Palatino Linotype" w:hAnsi="Palatino Linotype"/>
          <w:b/>
          <w:sz w:val="28"/>
        </w:rPr>
      </w:pPr>
      <w:r w:rsidRPr="008D58A8">
        <w:rPr>
          <w:rFonts w:ascii="Palatino Linotype" w:hAnsi="Palatino Linotype"/>
          <w:b/>
          <w:sz w:val="28"/>
        </w:rPr>
        <w:t>A N T E C E D E N T E S   D E L   A S U N T O</w:t>
      </w:r>
    </w:p>
    <w:p w14:paraId="1EE5021C" w14:textId="77777777" w:rsidR="006168E4" w:rsidRPr="008D58A8" w:rsidRDefault="006168E4" w:rsidP="00844569">
      <w:pPr>
        <w:spacing w:before="240" w:after="240" w:line="360" w:lineRule="auto"/>
        <w:jc w:val="both"/>
        <w:rPr>
          <w:rFonts w:ascii="Palatino Linotype" w:hAnsi="Palatino Linotype"/>
        </w:rPr>
      </w:pPr>
      <w:r w:rsidRPr="008D58A8">
        <w:rPr>
          <w:rFonts w:ascii="Palatino Linotype" w:hAnsi="Palatino Linotype" w:cs="Arial"/>
          <w:b/>
          <w:sz w:val="28"/>
        </w:rPr>
        <w:t>PRIMERO.</w:t>
      </w:r>
      <w:r w:rsidRPr="008D58A8">
        <w:rPr>
          <w:rFonts w:ascii="Palatino Linotype" w:hAnsi="Palatino Linotype" w:cs="Arial"/>
        </w:rPr>
        <w:t xml:space="preserve"> </w:t>
      </w:r>
      <w:r w:rsidRPr="008D58A8">
        <w:rPr>
          <w:rFonts w:ascii="Palatino Linotype" w:hAnsi="Palatino Linotype"/>
          <w:b/>
          <w:sz w:val="28"/>
          <w:szCs w:val="28"/>
        </w:rPr>
        <w:t>De la Solicitud de Información.</w:t>
      </w:r>
    </w:p>
    <w:p w14:paraId="2C3E4851" w14:textId="43F7E320" w:rsidR="00CE183D" w:rsidRPr="008D58A8" w:rsidRDefault="006168E4" w:rsidP="00844569">
      <w:pPr>
        <w:spacing w:before="240" w:line="360" w:lineRule="auto"/>
        <w:jc w:val="both"/>
        <w:rPr>
          <w:rFonts w:ascii="Palatino Linotype" w:hAnsi="Palatino Linotype" w:cs="Arial"/>
          <w:sz w:val="24"/>
        </w:rPr>
      </w:pPr>
      <w:r w:rsidRPr="008D58A8">
        <w:rPr>
          <w:rFonts w:ascii="Palatino Linotype" w:hAnsi="Palatino Linotype" w:cs="Arial"/>
          <w:sz w:val="24"/>
        </w:rPr>
        <w:t xml:space="preserve">Con </w:t>
      </w:r>
      <w:r w:rsidR="00C03F20" w:rsidRPr="008D58A8">
        <w:rPr>
          <w:rFonts w:ascii="Palatino Linotype" w:hAnsi="Palatino Linotype" w:cs="Arial"/>
          <w:sz w:val="24"/>
        </w:rPr>
        <w:t>fecha</w:t>
      </w:r>
      <w:r w:rsidR="00F4623D" w:rsidRPr="008D58A8">
        <w:rPr>
          <w:rFonts w:ascii="Palatino Linotype" w:hAnsi="Palatino Linotype" w:cs="Arial"/>
          <w:sz w:val="24"/>
        </w:rPr>
        <w:t xml:space="preserve"> </w:t>
      </w:r>
      <w:r w:rsidR="00CE183D" w:rsidRPr="008D58A8">
        <w:rPr>
          <w:rFonts w:ascii="Palatino Linotype" w:hAnsi="Palatino Linotype" w:cs="Arial"/>
          <w:b/>
          <w:bCs/>
          <w:sz w:val="24"/>
        </w:rPr>
        <w:t xml:space="preserve">treinta y uno de agosto de dos mil veintitrés, El Recurrente, </w:t>
      </w:r>
      <w:r w:rsidR="00CE183D" w:rsidRPr="008D58A8">
        <w:rPr>
          <w:rFonts w:ascii="Palatino Linotype" w:hAnsi="Palatino Linotype" w:cs="Arial"/>
          <w:sz w:val="24"/>
        </w:rPr>
        <w:t>presentó a través del Sistema de Acceso a la Información Mexiquense (</w:t>
      </w:r>
      <w:r w:rsidR="00CE183D" w:rsidRPr="008D58A8">
        <w:rPr>
          <w:rFonts w:ascii="Palatino Linotype" w:hAnsi="Palatino Linotype" w:cs="Arial"/>
          <w:b/>
          <w:sz w:val="24"/>
        </w:rPr>
        <w:t>SAIMEX)</w:t>
      </w:r>
      <w:r w:rsidR="00CE183D" w:rsidRPr="008D58A8">
        <w:rPr>
          <w:rFonts w:ascii="Palatino Linotype" w:hAnsi="Palatino Linotype" w:cs="Arial"/>
          <w:sz w:val="24"/>
        </w:rPr>
        <w:t xml:space="preserve"> ante </w:t>
      </w:r>
      <w:r w:rsidR="00CE183D" w:rsidRPr="008D58A8">
        <w:rPr>
          <w:rFonts w:ascii="Palatino Linotype" w:hAnsi="Palatino Linotype" w:cs="Arial"/>
          <w:b/>
          <w:sz w:val="24"/>
        </w:rPr>
        <w:t>El Sujeto Obligado</w:t>
      </w:r>
      <w:r w:rsidR="00CE183D" w:rsidRPr="008D58A8">
        <w:rPr>
          <w:rFonts w:ascii="Palatino Linotype" w:hAnsi="Palatino Linotype" w:cs="Arial"/>
          <w:sz w:val="24"/>
        </w:rPr>
        <w:t xml:space="preserve">, solicitud de acceso a la información pública, registrada bajo el número de expediente </w:t>
      </w:r>
      <w:r w:rsidR="00CE183D" w:rsidRPr="008D58A8">
        <w:rPr>
          <w:rFonts w:ascii="Palatino Linotype" w:hAnsi="Palatino Linotype" w:cs="Arial"/>
          <w:b/>
          <w:bCs/>
          <w:sz w:val="24"/>
        </w:rPr>
        <w:t xml:space="preserve">00057/CECyTEM/IP/2023, </w:t>
      </w:r>
      <w:r w:rsidR="00CE183D" w:rsidRPr="008D58A8">
        <w:rPr>
          <w:rFonts w:ascii="Palatino Linotype" w:hAnsi="Palatino Linotype" w:cs="Arial"/>
          <w:sz w:val="24"/>
        </w:rPr>
        <w:t>mediante la cual solicitó información en el tenor siguiente:</w:t>
      </w:r>
    </w:p>
    <w:p w14:paraId="4AFBE163" w14:textId="4051845D" w:rsidR="00CE183D" w:rsidRPr="008D58A8" w:rsidRDefault="00F07BC6" w:rsidP="00F07BC6">
      <w:pPr>
        <w:pStyle w:val="Citas"/>
        <w:rPr>
          <w:b/>
          <w:bCs/>
          <w:sz w:val="24"/>
        </w:rPr>
      </w:pPr>
      <w:r w:rsidRPr="008D58A8">
        <w:t xml:space="preserve">“Escritos de quejas presentadas ante las oficinas centrales por parte de personal adscrito a planteles en contra de los Directores de los mismos” </w:t>
      </w:r>
      <w:r w:rsidRPr="008D58A8">
        <w:rPr>
          <w:b/>
          <w:bCs/>
        </w:rPr>
        <w:t>(Sic)</w:t>
      </w:r>
    </w:p>
    <w:p w14:paraId="16F00896" w14:textId="77777777" w:rsidR="00CE183D" w:rsidRPr="008D58A8" w:rsidRDefault="00CE183D" w:rsidP="00844569">
      <w:pPr>
        <w:spacing w:before="240" w:line="360" w:lineRule="auto"/>
        <w:jc w:val="both"/>
        <w:rPr>
          <w:rFonts w:ascii="Palatino Linotype" w:hAnsi="Palatino Linotype" w:cs="Arial"/>
          <w:sz w:val="24"/>
        </w:rPr>
      </w:pPr>
    </w:p>
    <w:p w14:paraId="73DDF68A" w14:textId="5E7DB1EA" w:rsidR="00F4623D" w:rsidRPr="008D58A8" w:rsidRDefault="006168E4" w:rsidP="00F4623D">
      <w:pPr>
        <w:spacing w:before="240" w:line="360" w:lineRule="auto"/>
        <w:ind w:right="850"/>
        <w:jc w:val="both"/>
        <w:rPr>
          <w:rFonts w:ascii="Palatino Linotype" w:eastAsia="Times New Roman" w:hAnsi="Palatino Linotype" w:cs="Times New Roman"/>
          <w:sz w:val="24"/>
          <w:szCs w:val="24"/>
          <w:lang w:val="es-ES_tradnl" w:eastAsia="es-ES"/>
        </w:rPr>
      </w:pPr>
      <w:r w:rsidRPr="008D58A8">
        <w:rPr>
          <w:rFonts w:ascii="Palatino Linotype" w:eastAsia="Times New Roman" w:hAnsi="Palatino Linotype" w:cs="Times New Roman"/>
          <w:b/>
          <w:sz w:val="24"/>
          <w:szCs w:val="24"/>
          <w:lang w:val="es-ES_tradnl" w:eastAsia="es-ES"/>
        </w:rPr>
        <w:lastRenderedPageBreak/>
        <w:t>Modalidad de entrega:</w:t>
      </w:r>
      <w:r w:rsidRPr="008D58A8">
        <w:rPr>
          <w:rFonts w:ascii="Palatino Linotype" w:eastAsia="Times New Roman" w:hAnsi="Palatino Linotype" w:cs="Times New Roman"/>
          <w:sz w:val="24"/>
          <w:szCs w:val="24"/>
          <w:lang w:val="es-ES_tradnl" w:eastAsia="es-ES"/>
        </w:rPr>
        <w:t xml:space="preserve"> </w:t>
      </w:r>
      <w:r w:rsidR="0018726A" w:rsidRPr="008D58A8">
        <w:rPr>
          <w:rFonts w:ascii="Palatino Linotype" w:eastAsia="Times New Roman" w:hAnsi="Palatino Linotype" w:cs="Times New Roman"/>
          <w:sz w:val="24"/>
          <w:szCs w:val="24"/>
          <w:lang w:val="es-ES_tradnl" w:eastAsia="es-ES"/>
        </w:rPr>
        <w:t xml:space="preserve">A </w:t>
      </w:r>
      <w:r w:rsidR="00F4623D" w:rsidRPr="008D58A8">
        <w:rPr>
          <w:rFonts w:ascii="Palatino Linotype" w:eastAsia="Times New Roman" w:hAnsi="Palatino Linotype" w:cs="Times New Roman"/>
          <w:sz w:val="24"/>
          <w:szCs w:val="24"/>
          <w:lang w:val="es-ES_tradnl" w:eastAsia="es-ES"/>
        </w:rPr>
        <w:t xml:space="preserve">través del SAIMEX. </w:t>
      </w:r>
    </w:p>
    <w:p w14:paraId="48A06890" w14:textId="77777777" w:rsidR="00FB6049" w:rsidRPr="008D58A8" w:rsidRDefault="00FB6049" w:rsidP="00844569">
      <w:pPr>
        <w:spacing w:before="240" w:line="360" w:lineRule="auto"/>
        <w:jc w:val="both"/>
        <w:rPr>
          <w:rFonts w:ascii="Palatino Linotype" w:hAnsi="Palatino Linotype" w:cs="Arial"/>
          <w:b/>
          <w:sz w:val="28"/>
        </w:rPr>
      </w:pPr>
    </w:p>
    <w:p w14:paraId="2F637D3E" w14:textId="77777777" w:rsidR="00FB6C8F" w:rsidRPr="008D58A8" w:rsidRDefault="00FB6C8F" w:rsidP="00FB6C8F">
      <w:pPr>
        <w:spacing w:line="360" w:lineRule="auto"/>
        <w:ind w:right="334"/>
        <w:jc w:val="both"/>
        <w:rPr>
          <w:rFonts w:ascii="Palatino Linotype" w:hAnsi="Palatino Linotype" w:cs="Arial"/>
          <w:b/>
          <w:sz w:val="28"/>
        </w:rPr>
      </w:pPr>
      <w:r w:rsidRPr="008D58A8">
        <w:rPr>
          <w:rFonts w:ascii="Palatino Linotype" w:hAnsi="Palatino Linotype" w:cs="Arial"/>
          <w:b/>
          <w:sz w:val="28"/>
        </w:rPr>
        <w:t xml:space="preserve">SEGUNDO. De la solicitud de aclaración por parte del Sujeto Obligado. </w:t>
      </w:r>
    </w:p>
    <w:p w14:paraId="1A6C3ACE" w14:textId="33DFC8F6" w:rsidR="00F07BC6" w:rsidRPr="008D58A8" w:rsidRDefault="00FB6C8F" w:rsidP="00FB6C8F">
      <w:pPr>
        <w:spacing w:line="360" w:lineRule="auto"/>
        <w:ind w:right="334"/>
        <w:jc w:val="both"/>
        <w:rPr>
          <w:rFonts w:ascii="Palatino Linotype" w:hAnsi="Palatino Linotype" w:cs="Arial"/>
          <w:sz w:val="24"/>
          <w:szCs w:val="24"/>
        </w:rPr>
      </w:pPr>
      <w:r w:rsidRPr="008D58A8">
        <w:rPr>
          <w:rFonts w:ascii="Palatino Linotype" w:hAnsi="Palatino Linotype" w:cs="Arial"/>
          <w:sz w:val="24"/>
          <w:szCs w:val="24"/>
        </w:rPr>
        <w:t xml:space="preserve">En fecha </w:t>
      </w:r>
      <w:r w:rsidR="00F07BC6" w:rsidRPr="008D58A8">
        <w:rPr>
          <w:rFonts w:ascii="Palatino Linotype" w:hAnsi="Palatino Linotype" w:cs="Arial"/>
          <w:sz w:val="24"/>
          <w:szCs w:val="24"/>
        </w:rPr>
        <w:t xml:space="preserve">cinco de septiembre de dos mil veintitrés, </w:t>
      </w:r>
      <w:r w:rsidR="00F07BC6" w:rsidRPr="008D58A8">
        <w:rPr>
          <w:rFonts w:ascii="Palatino Linotype" w:hAnsi="Palatino Linotype" w:cs="Arial"/>
          <w:b/>
          <w:bCs/>
          <w:sz w:val="24"/>
          <w:szCs w:val="24"/>
        </w:rPr>
        <w:t xml:space="preserve">El Sujeto Obligado </w:t>
      </w:r>
      <w:r w:rsidR="00F07BC6" w:rsidRPr="008D58A8">
        <w:rPr>
          <w:rFonts w:ascii="Palatino Linotype" w:hAnsi="Palatino Linotype" w:cs="Arial"/>
          <w:sz w:val="24"/>
          <w:szCs w:val="24"/>
        </w:rPr>
        <w:t xml:space="preserve">solicitó aclaración a la solicitud de información </w:t>
      </w:r>
      <w:r w:rsidR="00F07BC6" w:rsidRPr="008D58A8">
        <w:rPr>
          <w:rFonts w:ascii="Palatino Linotype" w:hAnsi="Palatino Linotype" w:cs="Arial"/>
          <w:b/>
          <w:bCs/>
          <w:sz w:val="24"/>
          <w:szCs w:val="24"/>
        </w:rPr>
        <w:t xml:space="preserve">00057/CECyTEM/IP/2023, </w:t>
      </w:r>
      <w:r w:rsidR="00F07BC6" w:rsidRPr="008D58A8">
        <w:rPr>
          <w:rFonts w:ascii="Palatino Linotype" w:hAnsi="Palatino Linotype" w:cs="Arial"/>
          <w:sz w:val="24"/>
          <w:szCs w:val="24"/>
        </w:rPr>
        <w:t>resul</w:t>
      </w:r>
      <w:r w:rsidR="00E16E78" w:rsidRPr="008D58A8">
        <w:rPr>
          <w:rFonts w:ascii="Palatino Linotype" w:hAnsi="Palatino Linotype" w:cs="Arial"/>
          <w:sz w:val="24"/>
          <w:szCs w:val="24"/>
        </w:rPr>
        <w:t>t</w:t>
      </w:r>
      <w:r w:rsidR="00F07BC6" w:rsidRPr="008D58A8">
        <w:rPr>
          <w:rFonts w:ascii="Palatino Linotype" w:hAnsi="Palatino Linotype" w:cs="Arial"/>
          <w:sz w:val="24"/>
          <w:szCs w:val="24"/>
        </w:rPr>
        <w:t>ando de nuestro interés lo siguiente:</w:t>
      </w:r>
    </w:p>
    <w:p w14:paraId="118E909D" w14:textId="41DB8F25" w:rsidR="00F07BC6" w:rsidRPr="008D58A8" w:rsidRDefault="00F07BC6" w:rsidP="00F07BC6">
      <w:pPr>
        <w:pStyle w:val="Citas"/>
      </w:pPr>
      <w:r w:rsidRPr="008D58A8">
        <w:t>“Con fundamento en el articulo 159 de la Ley de Transparencia y Acceso a la Información Pública del Estado de México y Municipios, se le requiere para que dentro del plazo de diez días hábiles realice lo siguiente:</w:t>
      </w:r>
    </w:p>
    <w:p w14:paraId="6D5AAF40" w14:textId="092F9D70" w:rsidR="00F07BC6" w:rsidRPr="008D58A8" w:rsidRDefault="00F07BC6" w:rsidP="00F07BC6">
      <w:pPr>
        <w:pStyle w:val="Citas"/>
      </w:pPr>
      <w:r w:rsidRPr="008D58A8">
        <w:t xml:space="preserve">Con el propósito de dar atención a su solicitud de información pública con número de folio 00057/CECyTEM/IP/2023 recibida el 31 de agosto del año en curso a través del Sistema de Acceso a la Información Mexiquense (SAIMEX), en la cual se enuncia: “Escritos de quejas presentadas ante las oficinas centrales por parte de personal adscrito a planteles en contra de los Directores de los mismos”. (Sic) Con fundamento en el artículo 159 de la Ley de Transparencia y Acceso a la Información Pública del Estado de México y Municipios que señala: “Cuando los detalles proporcionados para localizar los documentos resulten insuficientes, incompletos o sean erróneos, la Unidad de Transparencia podrá requerir al solicitante, por una sola vez y dentro de un plazo que no podrá exceder de cinco días hábiles contados a partir de la presentación de la solicitud, para que, en un término de hasta diez días hábiles, indique otros elementos que complementen, corrijan o amplíen los datos </w:t>
      </w:r>
      <w:r w:rsidRPr="008D58A8">
        <w:lastRenderedPageBreak/>
        <w:t>proporcionados o bien, precise uno o varios requerimientos de información”. En tal sentido, y a fin de poder atender su solicitud, le solicito especifique y/o detalle la información requerida, referente al Periodo que solicita y precisar a qué planteles se refiere.</w:t>
      </w:r>
    </w:p>
    <w:p w14:paraId="54BECD75" w14:textId="49F522AD" w:rsidR="00F07BC6" w:rsidRPr="008D58A8" w:rsidRDefault="00F07BC6" w:rsidP="00F07BC6">
      <w:pPr>
        <w:pStyle w:val="Citas"/>
        <w:rPr>
          <w:b/>
          <w:bCs/>
          <w:sz w:val="24"/>
          <w:szCs w:val="24"/>
        </w:rPr>
      </w:pPr>
      <w:r w:rsidRPr="008D58A8">
        <w:t xml:space="preserve">En caso de que no se desahogue el requerimiento señalado dentro del plazo citado se tendrá por no presentada la solicitud de información, quedando a salvo sus derechos para volver a presentar la solicitud, lo anterior con fundamento en el artículo 159 de la Ley invocada” </w:t>
      </w:r>
      <w:r w:rsidRPr="008D58A8">
        <w:rPr>
          <w:b/>
          <w:bCs/>
        </w:rPr>
        <w:t>(Sic)</w:t>
      </w:r>
    </w:p>
    <w:p w14:paraId="3F180069" w14:textId="77777777" w:rsidR="00FB6C8F" w:rsidRPr="008D58A8" w:rsidRDefault="00FB6C8F" w:rsidP="00FB6C8F">
      <w:pPr>
        <w:spacing w:line="360" w:lineRule="auto"/>
        <w:ind w:right="334"/>
        <w:jc w:val="both"/>
        <w:rPr>
          <w:rFonts w:ascii="Palatino Linotype" w:hAnsi="Palatino Linotype" w:cs="Arial"/>
          <w:sz w:val="24"/>
          <w:szCs w:val="24"/>
        </w:rPr>
      </w:pPr>
    </w:p>
    <w:p w14:paraId="22021F52" w14:textId="5697B532" w:rsidR="00F07BC6" w:rsidRPr="008D58A8" w:rsidRDefault="00FB6C8F" w:rsidP="00FB6C8F">
      <w:pPr>
        <w:spacing w:line="360" w:lineRule="auto"/>
        <w:ind w:right="334"/>
        <w:jc w:val="both"/>
        <w:rPr>
          <w:rFonts w:ascii="Palatino Linotype" w:hAnsi="Palatino Linotype" w:cs="Arial"/>
          <w:sz w:val="24"/>
          <w:szCs w:val="24"/>
        </w:rPr>
      </w:pPr>
      <w:r w:rsidRPr="008D58A8">
        <w:rPr>
          <w:rFonts w:ascii="Palatino Linotype" w:hAnsi="Palatino Linotype" w:cs="Arial"/>
          <w:sz w:val="24"/>
          <w:szCs w:val="24"/>
        </w:rPr>
        <w:t xml:space="preserve">Por su parte, el particular desahogó la aclaración en fecha </w:t>
      </w:r>
      <w:r w:rsidR="00F07BC6" w:rsidRPr="008D58A8">
        <w:rPr>
          <w:rFonts w:ascii="Palatino Linotype" w:hAnsi="Palatino Linotype" w:cs="Arial"/>
          <w:b/>
          <w:bCs/>
          <w:sz w:val="24"/>
          <w:szCs w:val="24"/>
        </w:rPr>
        <w:t xml:space="preserve">siete de septiembre de dos mil veintitrés, </w:t>
      </w:r>
      <w:r w:rsidR="00F07BC6" w:rsidRPr="008D58A8">
        <w:rPr>
          <w:rFonts w:ascii="Palatino Linotype" w:hAnsi="Palatino Linotype" w:cs="Arial"/>
          <w:sz w:val="24"/>
          <w:szCs w:val="24"/>
        </w:rPr>
        <w:t>en los siguientes términos:</w:t>
      </w:r>
    </w:p>
    <w:p w14:paraId="00F404D9" w14:textId="36396561" w:rsidR="00F07BC6" w:rsidRPr="008D58A8" w:rsidRDefault="00F07BC6" w:rsidP="00F07BC6">
      <w:pPr>
        <w:pStyle w:val="Citas"/>
        <w:rPr>
          <w:b/>
          <w:bCs/>
          <w:sz w:val="24"/>
          <w:szCs w:val="24"/>
        </w:rPr>
      </w:pPr>
      <w:r w:rsidRPr="008D58A8">
        <w:t xml:space="preserve">“Periodo: 1 de enero a 31 de agosto de 2023 Planteles: TODOS los planteles del CECYTEM” </w:t>
      </w:r>
      <w:r w:rsidRPr="008D58A8">
        <w:rPr>
          <w:b/>
          <w:bCs/>
        </w:rPr>
        <w:t>(Sic)</w:t>
      </w:r>
    </w:p>
    <w:p w14:paraId="106E298C" w14:textId="77777777" w:rsidR="00F07BC6" w:rsidRPr="008D58A8" w:rsidRDefault="00F07BC6" w:rsidP="00FB6C8F">
      <w:pPr>
        <w:spacing w:line="360" w:lineRule="auto"/>
        <w:ind w:right="334"/>
        <w:jc w:val="both"/>
        <w:rPr>
          <w:rFonts w:ascii="Palatino Linotype" w:hAnsi="Palatino Linotype" w:cs="Arial"/>
          <w:sz w:val="24"/>
          <w:szCs w:val="24"/>
        </w:rPr>
      </w:pPr>
    </w:p>
    <w:p w14:paraId="1B7C3267" w14:textId="238A685B" w:rsidR="006168E4" w:rsidRPr="008D58A8" w:rsidRDefault="00FB6C8F" w:rsidP="00844569">
      <w:pPr>
        <w:spacing w:before="240" w:line="360" w:lineRule="auto"/>
        <w:jc w:val="both"/>
        <w:rPr>
          <w:rFonts w:ascii="Palatino Linotype" w:hAnsi="Palatino Linotype" w:cs="Arial"/>
          <w:b/>
          <w:sz w:val="28"/>
        </w:rPr>
      </w:pPr>
      <w:r w:rsidRPr="008D58A8">
        <w:rPr>
          <w:rFonts w:ascii="Palatino Linotype" w:hAnsi="Palatino Linotype" w:cs="Arial"/>
          <w:b/>
          <w:sz w:val="28"/>
        </w:rPr>
        <w:t>TERCERO</w:t>
      </w:r>
      <w:r w:rsidR="006168E4" w:rsidRPr="008D58A8">
        <w:rPr>
          <w:rFonts w:ascii="Palatino Linotype" w:hAnsi="Palatino Linotype" w:cs="Arial"/>
          <w:b/>
          <w:sz w:val="28"/>
        </w:rPr>
        <w:t xml:space="preserve">. </w:t>
      </w:r>
      <w:r w:rsidR="006168E4" w:rsidRPr="008D58A8">
        <w:rPr>
          <w:rFonts w:ascii="Palatino Linotype" w:hAnsi="Palatino Linotype" w:cs="Arial"/>
          <w:b/>
          <w:sz w:val="28"/>
          <w:szCs w:val="20"/>
        </w:rPr>
        <w:t>De la respuesta del Sujeto Obligado.</w:t>
      </w:r>
    </w:p>
    <w:p w14:paraId="17B66877" w14:textId="1783595F" w:rsidR="002811F8" w:rsidRPr="008D58A8" w:rsidRDefault="006168E4" w:rsidP="00045379">
      <w:pPr>
        <w:spacing w:before="240" w:line="360" w:lineRule="auto"/>
        <w:jc w:val="both"/>
        <w:rPr>
          <w:rFonts w:ascii="Palatino Linotype" w:hAnsi="Palatino Linotype" w:cs="Arial"/>
          <w:sz w:val="24"/>
          <w:szCs w:val="24"/>
        </w:rPr>
      </w:pPr>
      <w:r w:rsidRPr="008D58A8">
        <w:rPr>
          <w:rFonts w:ascii="Palatino Linotype" w:hAnsi="Palatino Linotype" w:cs="Arial"/>
          <w:sz w:val="24"/>
          <w:szCs w:val="24"/>
        </w:rPr>
        <w:t xml:space="preserve">En el expediente electrónico </w:t>
      </w:r>
      <w:r w:rsidRPr="008D58A8">
        <w:rPr>
          <w:rFonts w:ascii="Palatino Linotype" w:hAnsi="Palatino Linotype" w:cs="Arial"/>
          <w:b/>
          <w:sz w:val="24"/>
          <w:szCs w:val="24"/>
        </w:rPr>
        <w:t>SAIMEX</w:t>
      </w:r>
      <w:r w:rsidRPr="008D58A8">
        <w:rPr>
          <w:rFonts w:ascii="Palatino Linotype" w:hAnsi="Palatino Linotype" w:cs="Arial"/>
          <w:sz w:val="24"/>
          <w:szCs w:val="24"/>
        </w:rPr>
        <w:t xml:space="preserve">, se aprecia que el </w:t>
      </w:r>
      <w:r w:rsidR="002811F8" w:rsidRPr="008D58A8">
        <w:rPr>
          <w:rFonts w:ascii="Palatino Linotype" w:hAnsi="Palatino Linotype" w:cs="Arial"/>
          <w:sz w:val="24"/>
          <w:szCs w:val="24"/>
        </w:rPr>
        <w:t xml:space="preserve">veintiséis de septiembre de dos mil veintitrés, </w:t>
      </w:r>
      <w:r w:rsidR="002811F8" w:rsidRPr="008D58A8">
        <w:rPr>
          <w:rFonts w:ascii="Palatino Linotype" w:hAnsi="Palatino Linotype" w:cs="Arial"/>
          <w:b/>
          <w:bCs/>
          <w:sz w:val="24"/>
          <w:szCs w:val="24"/>
        </w:rPr>
        <w:t xml:space="preserve">El Sujeto Obligado </w:t>
      </w:r>
      <w:r w:rsidR="002811F8" w:rsidRPr="008D58A8">
        <w:rPr>
          <w:rFonts w:ascii="Palatino Linotype" w:hAnsi="Palatino Linotype" w:cs="Arial"/>
          <w:sz w:val="24"/>
          <w:szCs w:val="24"/>
        </w:rPr>
        <w:t xml:space="preserve">dio respuesta a la solicitud de información </w:t>
      </w:r>
      <w:r w:rsidR="002811F8" w:rsidRPr="008D58A8">
        <w:rPr>
          <w:rFonts w:ascii="Palatino Linotype" w:hAnsi="Palatino Linotype" w:cs="Arial"/>
          <w:b/>
          <w:bCs/>
          <w:sz w:val="24"/>
          <w:szCs w:val="24"/>
        </w:rPr>
        <w:t xml:space="preserve">00057/CECyTEM/IP/2023, </w:t>
      </w:r>
      <w:r w:rsidR="002811F8" w:rsidRPr="008D58A8">
        <w:rPr>
          <w:rFonts w:ascii="Palatino Linotype" w:hAnsi="Palatino Linotype" w:cs="Arial"/>
          <w:sz w:val="24"/>
          <w:szCs w:val="24"/>
        </w:rPr>
        <w:t>resulta de nuestro interés lo siguiente:</w:t>
      </w:r>
    </w:p>
    <w:p w14:paraId="4D5EE0A3" w14:textId="3DFDD865" w:rsidR="002811F8" w:rsidRPr="008D58A8" w:rsidRDefault="002811F8" w:rsidP="002811F8">
      <w:pPr>
        <w:pStyle w:val="Citas"/>
      </w:pPr>
      <w:r w:rsidRPr="008D58A8">
        <w:t xml:space="preserve">“En respuesta a la solicitud recibida, nos permitimos hacer de su conocimiento que con fundamento en el artículo 53, Fracciones: II, V y VI de la Ley de Transparencia </w:t>
      </w:r>
      <w:r w:rsidRPr="008D58A8">
        <w:lastRenderedPageBreak/>
        <w:t>y Acceso a la Información Pública del Estado de México y Municipios, le contestamos que:</w:t>
      </w:r>
    </w:p>
    <w:p w14:paraId="0F75833F" w14:textId="26C27737" w:rsidR="002811F8" w:rsidRPr="008D58A8" w:rsidRDefault="002811F8" w:rsidP="002811F8">
      <w:pPr>
        <w:pStyle w:val="Citas"/>
        <w:rPr>
          <w:b/>
          <w:bCs/>
          <w:sz w:val="24"/>
          <w:szCs w:val="24"/>
        </w:rPr>
      </w:pPr>
      <w:r w:rsidRPr="008D58A8">
        <w:t xml:space="preserve">En respuesta a la solicitud con número de folio 00057/CECyTEM/IP/2023, recibida a través del Sistema de Acceso a la Información Mexiquense (SAIMEX), se hace entrega de los oficios con números de folio 210C0401050000L/1211/2023 emitido por la Dirección de Administración y Finanzas; 210C0401010000S/0725/2023 de la Unidad Jurídica y de Igualdad de Género; 210C0401020000L/2776/2023 de la Dirección Académica y 210C0401030000L/0757/2023 de la Dirección de Vinculación con los Sectores Productivo y de Servicios. Referente al Órgano Interno de Control, hago de su conocimiento que en el acuerdo CT/123/2022 de la Vigésima Cuarta Sesión Ordinaria del Comité de Transparencia celebrada el 17 de junio de 2022, se determinó que derivado de la naturaleza de la información, las solicitudes de este tipo se turnen en lo sucesivo al Titular de la Unidad de Transparencia de la Secretaría de la Contraloría del Gobierno del Estado de México, para su puntual atención cuando así corresponda, toda vez que dicho Órgano depende jerárquica y funcionalmente de la Secretaría, tal como lo establece la Ley Orgánica de la Administración Pública del Estado de México, en tal sentido, se sugiere respetuosamente que interponga su solicitud ante dicho Sujeto Obligado” </w:t>
      </w:r>
      <w:r w:rsidRPr="008D58A8">
        <w:rPr>
          <w:b/>
          <w:bCs/>
        </w:rPr>
        <w:t>(Sic)</w:t>
      </w:r>
    </w:p>
    <w:p w14:paraId="4992324C" w14:textId="45FCF6EC" w:rsidR="00817A08" w:rsidRPr="008D58A8" w:rsidRDefault="00A37DAA" w:rsidP="00FD4D25">
      <w:pPr>
        <w:spacing w:before="240" w:line="360" w:lineRule="auto"/>
        <w:jc w:val="both"/>
        <w:rPr>
          <w:rFonts w:ascii="Palatino Linotype" w:hAnsi="Palatino Linotype" w:cs="Arial"/>
          <w:sz w:val="24"/>
          <w:szCs w:val="24"/>
        </w:rPr>
      </w:pPr>
      <w:r w:rsidRPr="008D58A8">
        <w:rPr>
          <w:rFonts w:ascii="Palatino Linotype" w:hAnsi="Palatino Linotype" w:cs="Arial"/>
          <w:sz w:val="24"/>
          <w:szCs w:val="24"/>
        </w:rPr>
        <w:t xml:space="preserve">De forma complementaria, </w:t>
      </w:r>
      <w:r w:rsidRPr="008D58A8">
        <w:rPr>
          <w:rFonts w:ascii="Palatino Linotype" w:hAnsi="Palatino Linotype" w:cs="Arial"/>
          <w:b/>
          <w:bCs/>
          <w:sz w:val="24"/>
          <w:szCs w:val="24"/>
        </w:rPr>
        <w:t xml:space="preserve">El Sujeto Obligado </w:t>
      </w:r>
      <w:r w:rsidRPr="008D58A8">
        <w:rPr>
          <w:rFonts w:ascii="Palatino Linotype" w:hAnsi="Palatino Linotype" w:cs="Arial"/>
          <w:sz w:val="24"/>
          <w:szCs w:val="24"/>
        </w:rPr>
        <w:t xml:space="preserve">adjuntó </w:t>
      </w:r>
      <w:r w:rsidR="0065043F" w:rsidRPr="008D58A8">
        <w:rPr>
          <w:rFonts w:ascii="Palatino Linotype" w:hAnsi="Palatino Linotype" w:cs="Arial"/>
          <w:sz w:val="24"/>
          <w:szCs w:val="24"/>
        </w:rPr>
        <w:t xml:space="preserve">el documento electrónico </w:t>
      </w:r>
      <w:r w:rsidR="0065043F" w:rsidRPr="008D58A8">
        <w:rPr>
          <w:rFonts w:ascii="Palatino Linotype" w:hAnsi="Palatino Linotype" w:cs="Arial"/>
          <w:b/>
          <w:bCs/>
          <w:sz w:val="24"/>
          <w:szCs w:val="24"/>
        </w:rPr>
        <w:t>“</w:t>
      </w:r>
      <w:r w:rsidR="002811F8" w:rsidRPr="008D58A8">
        <w:rPr>
          <w:rFonts w:ascii="Palatino Linotype" w:hAnsi="Palatino Linotype" w:cs="Arial"/>
          <w:b/>
          <w:bCs/>
          <w:sz w:val="24"/>
          <w:szCs w:val="24"/>
        </w:rPr>
        <w:t xml:space="preserve">OFICIOS RESPUESTA 57_2023 VA.pdf”, </w:t>
      </w:r>
      <w:r w:rsidR="002811F8" w:rsidRPr="008D58A8">
        <w:rPr>
          <w:rFonts w:ascii="Palatino Linotype" w:hAnsi="Palatino Linotype" w:cs="Arial"/>
          <w:sz w:val="24"/>
          <w:szCs w:val="24"/>
        </w:rPr>
        <w:t xml:space="preserve">cuyo contenido se tiene por reproducido como si a la letra se </w:t>
      </w:r>
      <w:r w:rsidR="005202C4" w:rsidRPr="008D58A8">
        <w:rPr>
          <w:rFonts w:ascii="Palatino Linotype" w:hAnsi="Palatino Linotype" w:cs="Arial"/>
          <w:sz w:val="24"/>
          <w:szCs w:val="24"/>
        </w:rPr>
        <w:t xml:space="preserve">insertase </w:t>
      </w:r>
      <w:r w:rsidR="00817A08" w:rsidRPr="008D58A8">
        <w:rPr>
          <w:rFonts w:ascii="Palatino Linotype" w:hAnsi="Palatino Linotype" w:cs="Arial"/>
          <w:sz w:val="24"/>
          <w:szCs w:val="24"/>
        </w:rPr>
        <w:t xml:space="preserve">en virtud de que será materia de análisis en el considerando respectivo. </w:t>
      </w:r>
    </w:p>
    <w:p w14:paraId="796D7B1A" w14:textId="77777777" w:rsidR="00AA207C" w:rsidRPr="008D58A8" w:rsidRDefault="00AA207C" w:rsidP="003869DF">
      <w:pPr>
        <w:pStyle w:val="Citas"/>
        <w:ind w:left="0" w:right="0"/>
        <w:rPr>
          <w:i w:val="0"/>
          <w:sz w:val="24"/>
          <w:szCs w:val="24"/>
          <w:lang w:eastAsia="es-MX"/>
        </w:rPr>
      </w:pPr>
    </w:p>
    <w:p w14:paraId="37F573AF" w14:textId="1F9474E3" w:rsidR="006168E4" w:rsidRPr="008D58A8" w:rsidRDefault="0065043F" w:rsidP="00844569">
      <w:pPr>
        <w:spacing w:before="240" w:line="360" w:lineRule="auto"/>
        <w:jc w:val="both"/>
        <w:rPr>
          <w:rFonts w:ascii="Palatino Linotype" w:hAnsi="Palatino Linotype" w:cs="Arial"/>
          <w:b/>
          <w:sz w:val="28"/>
        </w:rPr>
      </w:pPr>
      <w:r w:rsidRPr="008D58A8">
        <w:rPr>
          <w:rFonts w:ascii="Palatino Linotype" w:hAnsi="Palatino Linotype" w:cs="Arial"/>
          <w:b/>
          <w:sz w:val="28"/>
        </w:rPr>
        <w:lastRenderedPageBreak/>
        <w:t>CUARTO</w:t>
      </w:r>
      <w:r w:rsidR="006168E4" w:rsidRPr="008D58A8">
        <w:rPr>
          <w:rFonts w:ascii="Palatino Linotype" w:hAnsi="Palatino Linotype" w:cs="Arial"/>
          <w:b/>
          <w:sz w:val="28"/>
        </w:rPr>
        <w:t xml:space="preserve">. </w:t>
      </w:r>
      <w:r w:rsidR="006168E4" w:rsidRPr="008D58A8">
        <w:rPr>
          <w:rFonts w:ascii="Palatino Linotype" w:hAnsi="Palatino Linotype"/>
          <w:b/>
          <w:sz w:val="28"/>
        </w:rPr>
        <w:t>Del recurso de revisión.</w:t>
      </w:r>
    </w:p>
    <w:p w14:paraId="65DD799D" w14:textId="5A63A662" w:rsidR="002811F8" w:rsidRPr="008D58A8" w:rsidRDefault="006168E4" w:rsidP="00844569">
      <w:pPr>
        <w:spacing w:before="240" w:line="360" w:lineRule="auto"/>
        <w:jc w:val="both"/>
        <w:rPr>
          <w:rFonts w:ascii="Palatino Linotype" w:hAnsi="Palatino Linotype" w:cs="Arial"/>
          <w:bCs/>
          <w:sz w:val="24"/>
          <w:szCs w:val="24"/>
        </w:rPr>
      </w:pPr>
      <w:r w:rsidRPr="008D58A8">
        <w:rPr>
          <w:rFonts w:ascii="Palatino Linotype" w:hAnsi="Palatino Linotype" w:cs="Arial"/>
          <w:sz w:val="24"/>
          <w:szCs w:val="24"/>
        </w:rPr>
        <w:t xml:space="preserve">Inconforme con la respuesta notificada por </w:t>
      </w:r>
      <w:r w:rsidR="008B42B1" w:rsidRPr="008D58A8">
        <w:rPr>
          <w:rFonts w:ascii="Palatino Linotype" w:hAnsi="Palatino Linotype" w:cs="Arial"/>
          <w:b/>
          <w:sz w:val="24"/>
          <w:szCs w:val="24"/>
        </w:rPr>
        <w:t>E</w:t>
      </w:r>
      <w:r w:rsidRPr="008D58A8">
        <w:rPr>
          <w:rFonts w:ascii="Palatino Linotype" w:hAnsi="Palatino Linotype" w:cs="Arial"/>
          <w:b/>
          <w:sz w:val="24"/>
          <w:szCs w:val="24"/>
        </w:rPr>
        <w:t xml:space="preserve">l </w:t>
      </w:r>
      <w:r w:rsidR="008B42B1" w:rsidRPr="008D58A8">
        <w:rPr>
          <w:rFonts w:ascii="Palatino Linotype" w:hAnsi="Palatino Linotype" w:cs="Arial"/>
          <w:b/>
          <w:sz w:val="24"/>
          <w:szCs w:val="24"/>
        </w:rPr>
        <w:t>S</w:t>
      </w:r>
      <w:r w:rsidRPr="008D58A8">
        <w:rPr>
          <w:rFonts w:ascii="Palatino Linotype" w:hAnsi="Palatino Linotype" w:cs="Arial"/>
          <w:b/>
          <w:sz w:val="24"/>
          <w:szCs w:val="24"/>
        </w:rPr>
        <w:t xml:space="preserve">ujeto </w:t>
      </w:r>
      <w:r w:rsidR="008B42B1" w:rsidRPr="008D58A8">
        <w:rPr>
          <w:rFonts w:ascii="Palatino Linotype" w:hAnsi="Palatino Linotype" w:cs="Arial"/>
          <w:b/>
          <w:sz w:val="24"/>
          <w:szCs w:val="24"/>
        </w:rPr>
        <w:t>O</w:t>
      </w:r>
      <w:r w:rsidRPr="008D58A8">
        <w:rPr>
          <w:rFonts w:ascii="Palatino Linotype" w:hAnsi="Palatino Linotype" w:cs="Arial"/>
          <w:b/>
          <w:sz w:val="24"/>
          <w:szCs w:val="24"/>
        </w:rPr>
        <w:t xml:space="preserve">bligado, </w:t>
      </w:r>
      <w:r w:rsidR="005202C4" w:rsidRPr="008D58A8">
        <w:rPr>
          <w:rFonts w:ascii="Palatino Linotype" w:hAnsi="Palatino Linotype" w:cs="Arial"/>
          <w:b/>
          <w:sz w:val="24"/>
          <w:szCs w:val="24"/>
        </w:rPr>
        <w:t>El</w:t>
      </w:r>
      <w:r w:rsidR="00817A08" w:rsidRPr="008D58A8">
        <w:rPr>
          <w:rFonts w:ascii="Palatino Linotype" w:hAnsi="Palatino Linotype" w:cs="Arial"/>
          <w:b/>
          <w:sz w:val="24"/>
          <w:szCs w:val="24"/>
        </w:rPr>
        <w:t xml:space="preserve"> Recurrente </w:t>
      </w:r>
      <w:r w:rsidR="00817A08" w:rsidRPr="008D58A8">
        <w:rPr>
          <w:rFonts w:ascii="Palatino Linotype" w:hAnsi="Palatino Linotype" w:cs="Arial"/>
          <w:bCs/>
          <w:sz w:val="24"/>
          <w:szCs w:val="24"/>
        </w:rPr>
        <w:t>interpuso el recurso de revisión, en fecha</w:t>
      </w:r>
      <w:r w:rsidR="0065043F" w:rsidRPr="008D58A8">
        <w:rPr>
          <w:rFonts w:ascii="Palatino Linotype" w:hAnsi="Palatino Linotype" w:cs="Arial"/>
          <w:bCs/>
          <w:sz w:val="24"/>
          <w:szCs w:val="24"/>
        </w:rPr>
        <w:t xml:space="preserve"> </w:t>
      </w:r>
      <w:r w:rsidR="002811F8" w:rsidRPr="008D58A8">
        <w:rPr>
          <w:rFonts w:ascii="Palatino Linotype" w:hAnsi="Palatino Linotype" w:cs="Arial"/>
          <w:b/>
          <w:sz w:val="24"/>
          <w:szCs w:val="24"/>
        </w:rPr>
        <w:t xml:space="preserve">uno de octubre de dos mil veintitrés, </w:t>
      </w:r>
      <w:r w:rsidR="002811F8" w:rsidRPr="008D58A8">
        <w:rPr>
          <w:rFonts w:ascii="Palatino Linotype" w:hAnsi="Palatino Linotype" w:cs="Arial"/>
          <w:bCs/>
          <w:sz w:val="24"/>
          <w:szCs w:val="24"/>
        </w:rPr>
        <w:t xml:space="preserve">el cual fue registrado en el sistema electrónico </w:t>
      </w:r>
      <w:r w:rsidR="002811F8" w:rsidRPr="008D58A8">
        <w:rPr>
          <w:rFonts w:ascii="Palatino Linotype" w:hAnsi="Palatino Linotype" w:cs="Arial"/>
          <w:b/>
          <w:sz w:val="24"/>
          <w:szCs w:val="24"/>
        </w:rPr>
        <w:t xml:space="preserve">06610/INFOEM/IP/RR/2023, </w:t>
      </w:r>
      <w:r w:rsidR="002811F8" w:rsidRPr="008D58A8">
        <w:rPr>
          <w:rFonts w:ascii="Palatino Linotype" w:hAnsi="Palatino Linotype" w:cs="Arial"/>
          <w:bCs/>
          <w:sz w:val="24"/>
          <w:szCs w:val="24"/>
        </w:rPr>
        <w:t xml:space="preserve">en el cual arguye las siguientes manifestaciones: </w:t>
      </w:r>
    </w:p>
    <w:p w14:paraId="3774298B" w14:textId="77777777" w:rsidR="006168E4" w:rsidRPr="008D58A8" w:rsidRDefault="006168E4" w:rsidP="00844569">
      <w:pPr>
        <w:spacing w:before="240" w:line="360" w:lineRule="auto"/>
        <w:jc w:val="both"/>
        <w:rPr>
          <w:rFonts w:ascii="Palatino Linotype" w:hAnsi="Palatino Linotype" w:cs="Arial"/>
          <w:b/>
          <w:sz w:val="24"/>
        </w:rPr>
      </w:pPr>
      <w:r w:rsidRPr="008D58A8">
        <w:rPr>
          <w:rFonts w:ascii="Palatino Linotype" w:hAnsi="Palatino Linotype" w:cs="Arial"/>
          <w:b/>
          <w:sz w:val="24"/>
        </w:rPr>
        <w:t>Acto Impugnado:</w:t>
      </w:r>
    </w:p>
    <w:p w14:paraId="40CA7A53" w14:textId="4DD0D9EB" w:rsidR="003406C5" w:rsidRPr="008D58A8" w:rsidRDefault="003406C5" w:rsidP="003406C5">
      <w:pPr>
        <w:pStyle w:val="Citas"/>
        <w:rPr>
          <w:b/>
          <w:bCs/>
          <w:sz w:val="24"/>
        </w:rPr>
      </w:pPr>
      <w:r w:rsidRPr="008D58A8">
        <w:t>“</w:t>
      </w:r>
      <w:r w:rsidR="002811F8" w:rsidRPr="008D58A8">
        <w:t>Respuesta a solicitud</w:t>
      </w:r>
      <w:r w:rsidRPr="008D58A8">
        <w:t xml:space="preserve">” </w:t>
      </w:r>
      <w:r w:rsidRPr="008D58A8">
        <w:rPr>
          <w:b/>
          <w:bCs/>
        </w:rPr>
        <w:t>(Sic)</w:t>
      </w:r>
    </w:p>
    <w:p w14:paraId="22A465CC" w14:textId="77777777" w:rsidR="006168E4" w:rsidRPr="008D58A8" w:rsidRDefault="006168E4" w:rsidP="00844569">
      <w:pPr>
        <w:spacing w:before="240" w:line="360" w:lineRule="auto"/>
        <w:jc w:val="both"/>
        <w:rPr>
          <w:rFonts w:ascii="Palatino Linotype" w:hAnsi="Palatino Linotype" w:cs="Arial"/>
          <w:sz w:val="24"/>
        </w:rPr>
      </w:pPr>
      <w:r w:rsidRPr="008D58A8">
        <w:rPr>
          <w:rFonts w:ascii="Palatino Linotype" w:hAnsi="Palatino Linotype" w:cs="Arial"/>
          <w:b/>
          <w:sz w:val="24"/>
        </w:rPr>
        <w:t>Razones o Motivos de Inconformidad</w:t>
      </w:r>
      <w:r w:rsidRPr="008D58A8">
        <w:rPr>
          <w:rFonts w:ascii="Palatino Linotype" w:hAnsi="Palatino Linotype" w:cs="Arial"/>
          <w:sz w:val="24"/>
        </w:rPr>
        <w:t xml:space="preserve">: </w:t>
      </w:r>
    </w:p>
    <w:p w14:paraId="0F651FB8" w14:textId="529F85ED" w:rsidR="005202C4" w:rsidRPr="008D58A8" w:rsidRDefault="003406C5" w:rsidP="003406C5">
      <w:pPr>
        <w:pStyle w:val="Citas"/>
        <w:rPr>
          <w:b/>
          <w:bCs/>
        </w:rPr>
      </w:pPr>
      <w:r w:rsidRPr="008D58A8">
        <w:t>“</w:t>
      </w:r>
      <w:r w:rsidR="002811F8" w:rsidRPr="008D58A8">
        <w:t>En el oficio de respuesta 210C0401010000S/0725/2023 rubricado por la titular de la Unidad Jurídica y de Igualdad de Género, se menciona que existen 6 escritos de "posibles inquietudes o inconformidades", mismos que tienen una relación directa con lo solicitado. Así mismo, en el oficio 210C0401020000L/2776/2023 signado por la titular de la Dirección Académica del CECYTEM, en el cuerpo de la respuesta se expresa implícitamente que se tiene conocimiento de las quejas solicitadas; sin embargo la responsabilidad administrativa de esta dirección es que si tiene conocimiento de anomalías en los planteles deberá guardar evidencia histórica (documentos), toda vez que el ejercicio de cualquier funcionaro es público. Por lo anterior solicitud se atienda de manera profesional y apegada a derecho la solicitud de origen presentada por quien suscribe</w:t>
      </w:r>
      <w:r w:rsidRPr="008D58A8">
        <w:t xml:space="preserve">” </w:t>
      </w:r>
      <w:r w:rsidRPr="008D58A8">
        <w:rPr>
          <w:b/>
          <w:bCs/>
        </w:rPr>
        <w:t>(Sic)</w:t>
      </w:r>
    </w:p>
    <w:p w14:paraId="5B263052" w14:textId="77777777" w:rsidR="003406C5" w:rsidRPr="008D58A8" w:rsidRDefault="003406C5" w:rsidP="00AA207C">
      <w:pPr>
        <w:pStyle w:val="Citas"/>
        <w:rPr>
          <w:b/>
        </w:rPr>
      </w:pPr>
    </w:p>
    <w:p w14:paraId="7E88DE81" w14:textId="0A52F4A4" w:rsidR="006168E4" w:rsidRPr="008D58A8" w:rsidRDefault="00D83FD2" w:rsidP="00844569">
      <w:pPr>
        <w:spacing w:before="240" w:line="360" w:lineRule="auto"/>
        <w:jc w:val="both"/>
        <w:rPr>
          <w:rFonts w:ascii="Palatino Linotype" w:hAnsi="Palatino Linotype" w:cs="Arial"/>
          <w:b/>
          <w:sz w:val="24"/>
          <w:szCs w:val="24"/>
        </w:rPr>
      </w:pPr>
      <w:r w:rsidRPr="008D58A8">
        <w:rPr>
          <w:rFonts w:ascii="Palatino Linotype" w:hAnsi="Palatino Linotype" w:cs="Arial"/>
          <w:b/>
          <w:sz w:val="28"/>
        </w:rPr>
        <w:t>QUINTO</w:t>
      </w:r>
      <w:r w:rsidR="006168E4" w:rsidRPr="008D58A8">
        <w:rPr>
          <w:rFonts w:ascii="Palatino Linotype" w:hAnsi="Palatino Linotype" w:cs="Arial"/>
          <w:b/>
          <w:sz w:val="24"/>
          <w:szCs w:val="24"/>
        </w:rPr>
        <w:t xml:space="preserve">. </w:t>
      </w:r>
      <w:r w:rsidR="006168E4" w:rsidRPr="008D58A8">
        <w:rPr>
          <w:rFonts w:ascii="Palatino Linotype" w:hAnsi="Palatino Linotype" w:cs="Arial"/>
          <w:b/>
          <w:sz w:val="28"/>
          <w:szCs w:val="28"/>
        </w:rPr>
        <w:t>Del turno del recurso de revisión.</w:t>
      </w:r>
    </w:p>
    <w:p w14:paraId="63CCE915" w14:textId="0A530933" w:rsidR="006168E4" w:rsidRPr="008D58A8" w:rsidRDefault="006168E4" w:rsidP="00844569">
      <w:pPr>
        <w:spacing w:before="240" w:line="360" w:lineRule="auto"/>
        <w:jc w:val="both"/>
        <w:rPr>
          <w:rFonts w:ascii="Palatino Linotype" w:hAnsi="Palatino Linotype" w:cs="Arial"/>
          <w:sz w:val="24"/>
          <w:szCs w:val="24"/>
        </w:rPr>
      </w:pPr>
      <w:r w:rsidRPr="008D58A8">
        <w:rPr>
          <w:rFonts w:ascii="Palatino Linotype" w:hAnsi="Palatino Linotype" w:cs="Arial"/>
          <w:sz w:val="24"/>
          <w:szCs w:val="24"/>
        </w:rPr>
        <w:lastRenderedPageBreak/>
        <w:t xml:space="preserve">Medio de impugnación que le fue turnado </w:t>
      </w:r>
      <w:r w:rsidR="0018726A" w:rsidRPr="008D58A8">
        <w:rPr>
          <w:rFonts w:ascii="Palatino Linotype" w:hAnsi="Palatino Linotype" w:cs="Arial"/>
          <w:sz w:val="24"/>
          <w:szCs w:val="24"/>
        </w:rPr>
        <w:t>al Comisionado</w:t>
      </w:r>
      <w:r w:rsidRPr="008D58A8">
        <w:rPr>
          <w:rFonts w:ascii="Palatino Linotype" w:hAnsi="Palatino Linotype" w:cs="Arial"/>
          <w:sz w:val="24"/>
          <w:szCs w:val="24"/>
        </w:rPr>
        <w:t xml:space="preserve"> </w:t>
      </w:r>
      <w:r w:rsidR="000E5F05" w:rsidRPr="008D58A8">
        <w:rPr>
          <w:rFonts w:ascii="Palatino Linotype" w:hAnsi="Palatino Linotype" w:cs="Arial"/>
          <w:b/>
          <w:sz w:val="24"/>
          <w:szCs w:val="24"/>
        </w:rPr>
        <w:t>José Martínez Vilchis</w:t>
      </w:r>
      <w:r w:rsidRPr="008D58A8">
        <w:rPr>
          <w:rFonts w:ascii="Palatino Linotype" w:hAnsi="Palatino Linotype" w:cs="Arial"/>
          <w:sz w:val="24"/>
          <w:szCs w:val="24"/>
        </w:rPr>
        <w:t>, por medio del sistema electrónico en términos del arábigo 185 fracción I de la Ley de Transparencia y Acceso a la información Pública del Estado de México y Municipios, del cual recayó acuerdo de admisión en fecha</w:t>
      </w:r>
      <w:r w:rsidR="000E5F05" w:rsidRPr="008D58A8">
        <w:rPr>
          <w:rFonts w:ascii="Palatino Linotype" w:hAnsi="Palatino Linotype" w:cs="Arial"/>
          <w:sz w:val="24"/>
          <w:szCs w:val="24"/>
        </w:rPr>
        <w:t xml:space="preserve"> </w:t>
      </w:r>
      <w:r w:rsidR="002811F8" w:rsidRPr="008D58A8">
        <w:rPr>
          <w:rFonts w:ascii="Palatino Linotype" w:hAnsi="Palatino Linotype" w:cs="Arial"/>
          <w:b/>
          <w:bCs/>
          <w:sz w:val="24"/>
          <w:szCs w:val="24"/>
        </w:rPr>
        <w:t xml:space="preserve">cuatro de octubre de dos mil veintitrés, </w:t>
      </w:r>
      <w:r w:rsidR="002811F8" w:rsidRPr="008D58A8">
        <w:rPr>
          <w:rFonts w:ascii="Palatino Linotype" w:hAnsi="Palatino Linotype" w:cs="Arial"/>
          <w:sz w:val="24"/>
          <w:szCs w:val="24"/>
        </w:rPr>
        <w:t>d</w:t>
      </w:r>
      <w:r w:rsidRPr="008D58A8">
        <w:rPr>
          <w:rFonts w:ascii="Palatino Linotype" w:hAnsi="Palatino Linotype" w:cs="Arial"/>
          <w:sz w:val="24"/>
          <w:szCs w:val="24"/>
        </w:rPr>
        <w:t>eterminándose en él, un plazo de siete días para que las partes manifestaran lo que a su derecho corresponda en términos del numeral ya citado.</w:t>
      </w:r>
    </w:p>
    <w:p w14:paraId="4FCAD254" w14:textId="77777777" w:rsidR="005E46D0" w:rsidRPr="008D58A8" w:rsidRDefault="005E46D0" w:rsidP="00844569">
      <w:pPr>
        <w:spacing w:before="240" w:line="360" w:lineRule="auto"/>
        <w:jc w:val="both"/>
        <w:rPr>
          <w:rFonts w:ascii="Palatino Linotype" w:hAnsi="Palatino Linotype" w:cs="Arial"/>
          <w:sz w:val="24"/>
          <w:szCs w:val="24"/>
        </w:rPr>
      </w:pPr>
    </w:p>
    <w:p w14:paraId="4BCFD455" w14:textId="72283DB2" w:rsidR="006168E4" w:rsidRPr="008D58A8" w:rsidRDefault="00D83FD2" w:rsidP="00844569">
      <w:pPr>
        <w:spacing w:before="240" w:line="360" w:lineRule="auto"/>
        <w:jc w:val="both"/>
        <w:rPr>
          <w:rFonts w:ascii="Palatino Linotype" w:hAnsi="Palatino Linotype" w:cs="Arial"/>
          <w:b/>
          <w:sz w:val="24"/>
          <w:szCs w:val="24"/>
        </w:rPr>
      </w:pPr>
      <w:r w:rsidRPr="008D58A8">
        <w:rPr>
          <w:rFonts w:ascii="Palatino Linotype" w:hAnsi="Palatino Linotype" w:cs="Arial"/>
          <w:b/>
          <w:sz w:val="28"/>
        </w:rPr>
        <w:t>SEXTO</w:t>
      </w:r>
      <w:r w:rsidR="006168E4" w:rsidRPr="008D58A8">
        <w:rPr>
          <w:rFonts w:ascii="Palatino Linotype" w:hAnsi="Palatino Linotype" w:cs="Arial"/>
          <w:b/>
          <w:sz w:val="24"/>
          <w:szCs w:val="24"/>
        </w:rPr>
        <w:t xml:space="preserve">. </w:t>
      </w:r>
      <w:r w:rsidR="006168E4" w:rsidRPr="008D58A8">
        <w:rPr>
          <w:rFonts w:ascii="Palatino Linotype" w:hAnsi="Palatino Linotype" w:cs="Arial"/>
          <w:b/>
          <w:sz w:val="28"/>
          <w:szCs w:val="28"/>
        </w:rPr>
        <w:t>De la etapa de instrucción.</w:t>
      </w:r>
    </w:p>
    <w:p w14:paraId="1823EC59" w14:textId="0907335D" w:rsidR="002811F8" w:rsidRPr="008D58A8" w:rsidRDefault="007A4A04" w:rsidP="007A4A04">
      <w:pPr>
        <w:spacing w:after="0" w:line="360" w:lineRule="auto"/>
        <w:jc w:val="both"/>
        <w:rPr>
          <w:rFonts w:ascii="Palatino Linotype" w:hAnsi="Palatino Linotype" w:cs="Arial"/>
          <w:b/>
          <w:bCs/>
          <w:sz w:val="24"/>
          <w:szCs w:val="24"/>
        </w:rPr>
      </w:pPr>
      <w:r w:rsidRPr="008D58A8">
        <w:rPr>
          <w:rFonts w:ascii="Palatino Linotype" w:hAnsi="Palatino Linotype" w:cs="Arial"/>
          <w:sz w:val="24"/>
          <w:szCs w:val="24"/>
        </w:rPr>
        <w:t xml:space="preserve">Así, en la etapa de instrucción, de las constancias que obran en los expedientes electrónicos de los recursos de revisión se advierte que </w:t>
      </w:r>
      <w:r w:rsidRPr="008D58A8">
        <w:rPr>
          <w:rFonts w:ascii="Palatino Linotype" w:hAnsi="Palatino Linotype" w:cs="Arial"/>
          <w:b/>
          <w:bCs/>
          <w:sz w:val="24"/>
          <w:szCs w:val="24"/>
        </w:rPr>
        <w:t xml:space="preserve">El Sujeto Obligado </w:t>
      </w:r>
      <w:r w:rsidRPr="008D58A8">
        <w:rPr>
          <w:rFonts w:ascii="Palatino Linotype" w:hAnsi="Palatino Linotype" w:cs="Arial"/>
          <w:sz w:val="24"/>
          <w:szCs w:val="24"/>
        </w:rPr>
        <w:t xml:space="preserve">rindió su informe justificado en </w:t>
      </w:r>
      <w:r w:rsidR="00FD40C6" w:rsidRPr="008D58A8">
        <w:rPr>
          <w:rFonts w:ascii="Palatino Linotype" w:hAnsi="Palatino Linotype" w:cs="Arial"/>
          <w:sz w:val="24"/>
          <w:szCs w:val="24"/>
        </w:rPr>
        <w:t xml:space="preserve">fecha </w:t>
      </w:r>
      <w:r w:rsidR="009A507E" w:rsidRPr="008D58A8">
        <w:rPr>
          <w:rFonts w:ascii="Palatino Linotype" w:hAnsi="Palatino Linotype" w:cs="Arial"/>
          <w:b/>
          <w:bCs/>
          <w:sz w:val="24"/>
          <w:szCs w:val="24"/>
        </w:rPr>
        <w:t xml:space="preserve">doce de octubre de dos mil veintitrés, </w:t>
      </w:r>
      <w:r w:rsidR="009A507E" w:rsidRPr="008D58A8">
        <w:rPr>
          <w:rFonts w:ascii="Palatino Linotype" w:hAnsi="Palatino Linotype" w:cs="Arial"/>
          <w:sz w:val="24"/>
          <w:szCs w:val="24"/>
        </w:rPr>
        <w:t xml:space="preserve">mismo que fue puesto a la vista el </w:t>
      </w:r>
      <w:r w:rsidR="009A507E" w:rsidRPr="008D58A8">
        <w:rPr>
          <w:rFonts w:ascii="Palatino Linotype" w:hAnsi="Palatino Linotype" w:cs="Arial"/>
          <w:b/>
          <w:bCs/>
          <w:sz w:val="24"/>
          <w:szCs w:val="24"/>
        </w:rPr>
        <w:t xml:space="preserve">veintitrés de octubre de dos mil veintitrés. </w:t>
      </w:r>
    </w:p>
    <w:p w14:paraId="28ECD5C0" w14:textId="63345A1E" w:rsidR="007A4A04" w:rsidRPr="008D58A8" w:rsidRDefault="007A4A04" w:rsidP="007A4A04">
      <w:pPr>
        <w:spacing w:before="240" w:line="360" w:lineRule="auto"/>
        <w:jc w:val="both"/>
        <w:rPr>
          <w:rFonts w:ascii="Palatino Linotype" w:hAnsi="Palatino Linotype" w:cs="Arial"/>
          <w:sz w:val="24"/>
          <w:szCs w:val="24"/>
        </w:rPr>
      </w:pPr>
      <w:r w:rsidRPr="008D58A8">
        <w:rPr>
          <w:rFonts w:ascii="Palatino Linotype" w:hAnsi="Palatino Linotype" w:cs="Arial"/>
          <w:sz w:val="24"/>
          <w:szCs w:val="24"/>
        </w:rPr>
        <w:t>Por lo cual se decretó instrucció</w:t>
      </w:r>
      <w:r w:rsidR="00992B5E" w:rsidRPr="008D58A8">
        <w:rPr>
          <w:rFonts w:ascii="Palatino Linotype" w:hAnsi="Palatino Linotype" w:cs="Arial"/>
          <w:sz w:val="24"/>
          <w:szCs w:val="24"/>
        </w:rPr>
        <w:t>n</w:t>
      </w:r>
      <w:r w:rsidRPr="008D58A8">
        <w:rPr>
          <w:rFonts w:ascii="Palatino Linotype" w:hAnsi="Palatino Linotype" w:cs="Arial"/>
          <w:sz w:val="24"/>
          <w:szCs w:val="24"/>
        </w:rPr>
        <w:t xml:space="preserve"> con fecha </w:t>
      </w:r>
      <w:r w:rsidR="009A507E" w:rsidRPr="008D58A8">
        <w:rPr>
          <w:rFonts w:ascii="Palatino Linotype" w:hAnsi="Palatino Linotype" w:cs="Arial"/>
          <w:b/>
          <w:bCs/>
          <w:sz w:val="24"/>
          <w:szCs w:val="24"/>
        </w:rPr>
        <w:t xml:space="preserve">treinta de octubre de dos mil veintitrés, </w:t>
      </w:r>
      <w:r w:rsidRPr="008D58A8">
        <w:rPr>
          <w:rFonts w:ascii="Palatino Linotype" w:hAnsi="Palatino Linotype" w:cs="Arial"/>
          <w:sz w:val="24"/>
          <w:szCs w:val="24"/>
        </w:rPr>
        <w:t xml:space="preserve">en términos del artículo 185 Fracción VI de la Ley de Transparencia y Acceso a la Información Pública del Estado de México y Municipios, iniciando el término legal para dictar resolución definitiva del asunto. </w:t>
      </w:r>
    </w:p>
    <w:p w14:paraId="41493EFC" w14:textId="098DF429" w:rsidR="009A507E" w:rsidRPr="008D58A8" w:rsidRDefault="009A507E" w:rsidP="009A507E">
      <w:pPr>
        <w:spacing w:before="240" w:line="360" w:lineRule="auto"/>
        <w:jc w:val="both"/>
        <w:rPr>
          <w:rFonts w:ascii="Palatino Linotype" w:hAnsi="Palatino Linotype" w:cs="Arial"/>
          <w:sz w:val="24"/>
          <w:szCs w:val="24"/>
        </w:rPr>
      </w:pPr>
      <w:r w:rsidRPr="008D58A8">
        <w:rPr>
          <w:rFonts w:ascii="Palatino Linotype" w:hAnsi="Palatino Linotype" w:cs="Arial"/>
          <w:sz w:val="24"/>
          <w:szCs w:val="24"/>
        </w:rPr>
        <w:t xml:space="preserve">Así, en fecha </w:t>
      </w:r>
      <w:r w:rsidRPr="008D58A8">
        <w:rPr>
          <w:rFonts w:ascii="Palatino Linotype" w:hAnsi="Palatino Linotype" w:cs="Arial"/>
          <w:b/>
          <w:bCs/>
          <w:sz w:val="24"/>
          <w:szCs w:val="24"/>
        </w:rPr>
        <w:t xml:space="preserve">dieciséis de noviembre de dos mil veintitrés, </w:t>
      </w:r>
      <w:r w:rsidRPr="008D58A8">
        <w:rPr>
          <w:rFonts w:ascii="Palatino Linotype" w:hAnsi="Palatino Linotype" w:cs="Arial"/>
          <w:sz w:val="24"/>
          <w:szCs w:val="24"/>
        </w:rPr>
        <w:t xml:space="preserve">en el expediente electrónico del recurso de revisión </w:t>
      </w:r>
      <w:r w:rsidRPr="008D58A8">
        <w:rPr>
          <w:rFonts w:ascii="Palatino Linotype" w:hAnsi="Palatino Linotype" w:cs="Arial"/>
          <w:sz w:val="24"/>
        </w:rPr>
        <w:t xml:space="preserve">se amplió plazo para dictar resolución, en términos del </w:t>
      </w:r>
      <w:r w:rsidRPr="008D58A8">
        <w:rPr>
          <w:rFonts w:ascii="Palatino Linotype" w:hAnsi="Palatino Linotype" w:cs="Arial"/>
          <w:sz w:val="24"/>
          <w:szCs w:val="24"/>
        </w:rPr>
        <w:t xml:space="preserve">artículo 181 de la Ley de Transparencia y Acceso a la Información del Estado de México y Municipios. </w:t>
      </w:r>
    </w:p>
    <w:p w14:paraId="32023213" w14:textId="77777777" w:rsidR="009A507E" w:rsidRPr="008D58A8" w:rsidRDefault="009A507E" w:rsidP="009A507E">
      <w:pPr>
        <w:spacing w:line="360" w:lineRule="auto"/>
        <w:jc w:val="both"/>
        <w:rPr>
          <w:rFonts w:ascii="Palatino Linotype" w:hAnsi="Palatino Linotype" w:cstheme="majorHAnsi"/>
          <w:sz w:val="24"/>
          <w:szCs w:val="24"/>
        </w:rPr>
      </w:pPr>
      <w:r w:rsidRPr="008D58A8">
        <w:rPr>
          <w:rFonts w:ascii="Palatino Linotype" w:hAnsi="Palatino Linotype" w:cstheme="majorHAnsi"/>
          <w:sz w:val="24"/>
          <w:szCs w:val="24"/>
        </w:rPr>
        <w:lastRenderedPageBreak/>
        <w:t xml:space="preserve">Este organismo garante no pasa por alto justificar, </w:t>
      </w:r>
      <w:r w:rsidRPr="008D58A8">
        <w:rPr>
          <w:rFonts w:ascii="Palatino Linotype" w:hAnsi="Palatino Linotype" w:cstheme="majorHAnsi"/>
          <w:bCs/>
          <w:sz w:val="24"/>
          <w:szCs w:val="24"/>
        </w:rPr>
        <w:t xml:space="preserve">que el plazo para emitir resolución en el presente asunto </w:t>
      </w:r>
      <w:r w:rsidRPr="008D58A8">
        <w:rPr>
          <w:rFonts w:ascii="Palatino Linotype" w:hAnsi="Palatino Linotype" w:cstheme="majorHAnsi"/>
          <w:sz w:val="24"/>
          <w:szCs w:val="24"/>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1947C54B" w14:textId="77777777" w:rsidR="009A507E" w:rsidRPr="008D58A8" w:rsidRDefault="009A507E" w:rsidP="009A507E">
      <w:pPr>
        <w:spacing w:line="360" w:lineRule="auto"/>
        <w:jc w:val="both"/>
        <w:rPr>
          <w:rFonts w:ascii="Palatino Linotype" w:hAnsi="Palatino Linotype" w:cstheme="majorHAnsi"/>
          <w:sz w:val="24"/>
          <w:szCs w:val="24"/>
        </w:rPr>
      </w:pPr>
      <w:r w:rsidRPr="008D58A8">
        <w:rPr>
          <w:rFonts w:ascii="Palatino Linotype" w:hAnsi="Palatino Linotype" w:cstheme="majorHAnsi"/>
          <w:sz w:val="24"/>
          <w:szCs w:val="24"/>
        </w:rPr>
        <w:t xml:space="preserve"> Por ello, es menester precisar que si bien se ha excedido el plazo para resolver el presente medio de impugnación, de conformidad con la ley de la materia, </w:t>
      </w:r>
      <w:r w:rsidRPr="008D58A8">
        <w:rPr>
          <w:rFonts w:ascii="Palatino Linotype" w:hAnsi="Palatino Linotype" w:cstheme="majorHAnsi"/>
          <w:bCs/>
          <w:sz w:val="24"/>
          <w:szCs w:val="24"/>
        </w:rPr>
        <w:t>el plazo para emitir resolución</w:t>
      </w:r>
      <w:r w:rsidRPr="008D58A8">
        <w:rPr>
          <w:rFonts w:ascii="Palatino Linotype" w:hAnsi="Palatino Linotype" w:cstheme="majorHAnsi"/>
          <w:sz w:val="24"/>
          <w:szCs w:val="24"/>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71687F2C" w14:textId="77777777" w:rsidR="009A507E" w:rsidRPr="008D58A8" w:rsidRDefault="009A507E" w:rsidP="009A507E">
      <w:pPr>
        <w:spacing w:line="360" w:lineRule="auto"/>
        <w:jc w:val="both"/>
        <w:rPr>
          <w:rFonts w:ascii="Palatino Linotype" w:hAnsi="Palatino Linotype" w:cstheme="majorHAnsi"/>
          <w:sz w:val="24"/>
          <w:szCs w:val="24"/>
        </w:rPr>
      </w:pPr>
      <w:r w:rsidRPr="008D58A8">
        <w:rPr>
          <w:rFonts w:ascii="Palatino Linotype" w:hAnsi="Palatino Linotype" w:cstheme="majorHAnsi"/>
          <w:sz w:val="24"/>
          <w:szCs w:val="24"/>
        </w:rPr>
        <w:t xml:space="preserve"> 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0E3AC46" w14:textId="77777777" w:rsidR="009A507E" w:rsidRPr="008D58A8" w:rsidRDefault="009A507E" w:rsidP="009A507E">
      <w:pPr>
        <w:spacing w:line="360" w:lineRule="auto"/>
        <w:jc w:val="both"/>
        <w:rPr>
          <w:rFonts w:ascii="Palatino Linotype" w:hAnsi="Palatino Linotype" w:cstheme="majorHAnsi"/>
          <w:sz w:val="24"/>
          <w:szCs w:val="24"/>
        </w:rPr>
      </w:pPr>
      <w:r w:rsidRPr="008D58A8">
        <w:rPr>
          <w:rFonts w:ascii="Palatino Linotype" w:hAnsi="Palatino Linotype" w:cstheme="majorHAnsi"/>
          <w:sz w:val="24"/>
          <w:szCs w:val="24"/>
        </w:rPr>
        <w:t xml:space="preserve"> 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954EBD8" w14:textId="77777777" w:rsidR="009A507E" w:rsidRPr="008D58A8" w:rsidRDefault="009A507E" w:rsidP="009A507E">
      <w:pPr>
        <w:spacing w:line="360" w:lineRule="auto"/>
        <w:jc w:val="both"/>
        <w:rPr>
          <w:rFonts w:ascii="Palatino Linotype" w:hAnsi="Palatino Linotype" w:cstheme="majorHAnsi"/>
          <w:sz w:val="24"/>
          <w:szCs w:val="24"/>
        </w:rPr>
      </w:pPr>
      <w:r w:rsidRPr="008D58A8">
        <w:rPr>
          <w:rFonts w:ascii="Palatino Linotype" w:hAnsi="Palatino Linotype" w:cstheme="majorHAnsi"/>
          <w:sz w:val="24"/>
          <w:szCs w:val="24"/>
        </w:rPr>
        <w:lastRenderedPageBreak/>
        <w:t xml:space="preserve"> Por ello, excepcionalmente, si un asunto es resuelto con posterioridad a los plazos señalados por la norma debe analizarse la razonabilidad del tiempo necesario para su resolución, atentos a los siguientes criterios:  </w:t>
      </w:r>
    </w:p>
    <w:p w14:paraId="59E8A551" w14:textId="77777777" w:rsidR="009A507E" w:rsidRPr="008D58A8" w:rsidRDefault="009A507E" w:rsidP="009A507E">
      <w:pPr>
        <w:spacing w:line="360" w:lineRule="auto"/>
        <w:jc w:val="both"/>
        <w:rPr>
          <w:rFonts w:ascii="Palatino Linotype" w:hAnsi="Palatino Linotype" w:cstheme="majorHAnsi"/>
          <w:sz w:val="24"/>
          <w:szCs w:val="24"/>
        </w:rPr>
      </w:pPr>
      <w:r w:rsidRPr="008D58A8">
        <w:rPr>
          <w:rFonts w:ascii="Palatino Linotype" w:hAnsi="Palatino Linotype" w:cstheme="majorHAnsi"/>
          <w:sz w:val="24"/>
          <w:szCs w:val="24"/>
        </w:rPr>
        <w:t xml:space="preserve"> a) Complejidad del asunto: La complejidad de la prueba, la pluralidad de sujetos procesales, el tiempo transcurrido, las características y contexto del recurso.</w:t>
      </w:r>
    </w:p>
    <w:p w14:paraId="4D1B0B30" w14:textId="77777777" w:rsidR="009A507E" w:rsidRPr="008D58A8" w:rsidRDefault="009A507E" w:rsidP="009A507E">
      <w:pPr>
        <w:spacing w:line="360" w:lineRule="auto"/>
        <w:jc w:val="both"/>
        <w:rPr>
          <w:rFonts w:ascii="Palatino Linotype" w:hAnsi="Palatino Linotype" w:cstheme="majorHAnsi"/>
          <w:sz w:val="24"/>
          <w:szCs w:val="24"/>
        </w:rPr>
      </w:pPr>
      <w:r w:rsidRPr="008D58A8">
        <w:rPr>
          <w:rFonts w:ascii="Palatino Linotype" w:hAnsi="Palatino Linotype" w:cstheme="majorHAnsi"/>
          <w:sz w:val="24"/>
          <w:szCs w:val="24"/>
        </w:rPr>
        <w:t>b)     Actividad Procesal del interesado: Acciones u omisiones del interesado.</w:t>
      </w:r>
    </w:p>
    <w:p w14:paraId="21890675" w14:textId="77777777" w:rsidR="009A507E" w:rsidRPr="008D58A8" w:rsidRDefault="009A507E" w:rsidP="009A507E">
      <w:pPr>
        <w:spacing w:line="360" w:lineRule="auto"/>
        <w:jc w:val="both"/>
        <w:rPr>
          <w:rFonts w:ascii="Palatino Linotype" w:hAnsi="Palatino Linotype" w:cstheme="majorHAnsi"/>
          <w:sz w:val="24"/>
          <w:szCs w:val="24"/>
        </w:rPr>
      </w:pPr>
      <w:r w:rsidRPr="008D58A8">
        <w:rPr>
          <w:rFonts w:ascii="Palatino Linotype" w:hAnsi="Palatino Linotype" w:cstheme="majorHAnsi"/>
          <w:sz w:val="24"/>
          <w:szCs w:val="24"/>
        </w:rPr>
        <w:t>c)  Conducta de la Autoridad: Las Acciones u omisiones realizadas en el procedimiento. Así como si la autoridad actuó con la debida diligencia.</w:t>
      </w:r>
    </w:p>
    <w:p w14:paraId="20C97E10" w14:textId="77777777" w:rsidR="009A507E" w:rsidRPr="008D58A8" w:rsidRDefault="009A507E" w:rsidP="009A507E">
      <w:pPr>
        <w:spacing w:line="360" w:lineRule="auto"/>
        <w:jc w:val="both"/>
        <w:rPr>
          <w:rFonts w:ascii="Palatino Linotype" w:hAnsi="Palatino Linotype" w:cstheme="majorHAnsi"/>
          <w:sz w:val="24"/>
          <w:szCs w:val="24"/>
        </w:rPr>
      </w:pPr>
      <w:r w:rsidRPr="008D58A8">
        <w:rPr>
          <w:rFonts w:ascii="Palatino Linotype" w:hAnsi="Palatino Linotype" w:cstheme="majorHAnsi"/>
          <w:sz w:val="24"/>
          <w:szCs w:val="24"/>
        </w:rPr>
        <w:t>d)   La afectación generada en la situación jurídica de la persona involucrada en el proceso: Violación a sus derechos humanos.</w:t>
      </w:r>
    </w:p>
    <w:p w14:paraId="6CF5F132" w14:textId="77777777" w:rsidR="009A507E" w:rsidRPr="008D58A8" w:rsidRDefault="009A507E" w:rsidP="009A507E">
      <w:pPr>
        <w:spacing w:line="360" w:lineRule="auto"/>
        <w:jc w:val="both"/>
        <w:rPr>
          <w:rFonts w:ascii="Palatino Linotype" w:hAnsi="Palatino Linotype" w:cstheme="majorHAnsi"/>
          <w:sz w:val="24"/>
          <w:szCs w:val="24"/>
        </w:rPr>
      </w:pPr>
    </w:p>
    <w:p w14:paraId="3232ECA6" w14:textId="77777777" w:rsidR="009A507E" w:rsidRPr="008D58A8" w:rsidRDefault="009A507E" w:rsidP="009A507E">
      <w:pPr>
        <w:spacing w:line="360" w:lineRule="auto"/>
        <w:jc w:val="both"/>
        <w:rPr>
          <w:rFonts w:ascii="Palatino Linotype" w:hAnsi="Palatino Linotype" w:cstheme="majorHAnsi"/>
          <w:sz w:val="24"/>
          <w:szCs w:val="24"/>
        </w:rPr>
      </w:pPr>
      <w:r w:rsidRPr="008D58A8">
        <w:rPr>
          <w:rFonts w:ascii="Palatino Linotype" w:hAnsi="Palatino Linotype" w:cstheme="majorHAnsi"/>
          <w:sz w:val="24"/>
          <w:szCs w:val="24"/>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6AD5BEB" w14:textId="77777777" w:rsidR="009A507E" w:rsidRPr="008D58A8" w:rsidRDefault="009A507E" w:rsidP="009A507E">
      <w:pPr>
        <w:spacing w:line="360" w:lineRule="auto"/>
        <w:jc w:val="both"/>
        <w:rPr>
          <w:rFonts w:ascii="Palatino Linotype" w:hAnsi="Palatino Linotype" w:cstheme="majorHAnsi"/>
          <w:sz w:val="24"/>
          <w:szCs w:val="24"/>
        </w:rPr>
      </w:pPr>
      <w:r w:rsidRPr="008D58A8">
        <w:rPr>
          <w:rFonts w:ascii="Palatino Linotype" w:hAnsi="Palatino Linotype" w:cstheme="majorHAnsi"/>
          <w:sz w:val="24"/>
          <w:szCs w:val="24"/>
        </w:rPr>
        <w:t xml:space="preserve"> 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w:t>
      </w:r>
      <w:r w:rsidRPr="008D58A8">
        <w:rPr>
          <w:rFonts w:ascii="Palatino Linotype" w:hAnsi="Palatino Linotype" w:cstheme="majorHAnsi"/>
          <w:sz w:val="24"/>
          <w:szCs w:val="24"/>
        </w:rPr>
        <w:lastRenderedPageBreak/>
        <w:t>CARACTERÍSTICAS DEL CASO.”, visible en la Gaceta del Seminario Judicial de la Federación con el registro digital 205635.</w:t>
      </w:r>
    </w:p>
    <w:p w14:paraId="23AC2861" w14:textId="77777777" w:rsidR="009A507E" w:rsidRPr="008D58A8" w:rsidRDefault="009A507E" w:rsidP="009A507E">
      <w:pPr>
        <w:spacing w:line="360" w:lineRule="auto"/>
        <w:jc w:val="both"/>
        <w:rPr>
          <w:rFonts w:ascii="Palatino Linotype" w:hAnsi="Palatino Linotype" w:cstheme="majorHAnsi"/>
          <w:sz w:val="24"/>
          <w:szCs w:val="24"/>
        </w:rPr>
      </w:pPr>
      <w:r w:rsidRPr="008D58A8">
        <w:rPr>
          <w:rFonts w:ascii="Palatino Linotype" w:hAnsi="Palatino Linotype" w:cstheme="majorHAnsi"/>
          <w:sz w:val="24"/>
          <w:szCs w:val="24"/>
        </w:rPr>
        <w:t xml:space="preserve"> 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E95DB32" w14:textId="77777777" w:rsidR="009A507E" w:rsidRPr="008D58A8" w:rsidRDefault="009A507E" w:rsidP="009A507E">
      <w:pPr>
        <w:spacing w:line="360" w:lineRule="auto"/>
        <w:jc w:val="both"/>
        <w:rPr>
          <w:rFonts w:ascii="Palatino Linotype" w:hAnsi="Palatino Linotype" w:cstheme="majorHAnsi"/>
          <w:sz w:val="24"/>
          <w:szCs w:val="24"/>
        </w:rPr>
      </w:pPr>
      <w:r w:rsidRPr="008D58A8">
        <w:rPr>
          <w:rFonts w:ascii="Palatino Linotype" w:hAnsi="Palatino Linotype" w:cstheme="majorHAnsi"/>
          <w:sz w:val="24"/>
          <w:szCs w:val="24"/>
        </w:rPr>
        <w:t>Al respecto, también son de considerar los criterios sostenidos por el Cuarto Tribunal Colegiado en Materia Administrativa del Primer Circuito, cuyos rubros y datos de identificación son los siguientes:</w:t>
      </w:r>
    </w:p>
    <w:p w14:paraId="7606CB5A" w14:textId="77777777" w:rsidR="009A507E" w:rsidRPr="008D58A8" w:rsidRDefault="009A507E" w:rsidP="009A507E">
      <w:pPr>
        <w:spacing w:line="360" w:lineRule="auto"/>
        <w:jc w:val="both"/>
        <w:rPr>
          <w:rFonts w:ascii="Palatino Linotype" w:hAnsi="Palatino Linotype" w:cstheme="majorHAnsi"/>
          <w:sz w:val="24"/>
          <w:szCs w:val="24"/>
        </w:rPr>
      </w:pPr>
      <w:r w:rsidRPr="008D58A8">
        <w:rPr>
          <w:rFonts w:ascii="Palatino Linotype" w:hAnsi="Palatino Linotype" w:cstheme="majorHAnsi"/>
          <w:sz w:val="24"/>
          <w:szCs w:val="24"/>
        </w:rPr>
        <w:t xml:space="preserve">  “PLAZO RAZONABLE PARA RESOLVER. DIMENSIÓN Y EFECTOS DE ESTE CONCEPTO CUANDO SE ADUCE EXCESIVA CARGA DE TRABAJO.” consultable en el Seminario Judicial de la Federación y su gaceta, con el registro digital 2002351.</w:t>
      </w:r>
    </w:p>
    <w:p w14:paraId="7DB432C1" w14:textId="77777777" w:rsidR="009A507E" w:rsidRPr="008D58A8" w:rsidRDefault="009A507E" w:rsidP="009A507E">
      <w:pPr>
        <w:spacing w:line="360" w:lineRule="auto"/>
        <w:jc w:val="both"/>
        <w:rPr>
          <w:rFonts w:ascii="Palatino Linotype" w:hAnsi="Palatino Linotype" w:cstheme="majorHAnsi"/>
          <w:sz w:val="24"/>
          <w:szCs w:val="24"/>
        </w:rPr>
      </w:pPr>
      <w:r w:rsidRPr="008D58A8">
        <w:rPr>
          <w:rFonts w:ascii="Palatino Linotype" w:hAnsi="Palatino Linotype" w:cstheme="majorHAnsi"/>
          <w:sz w:val="24"/>
          <w:szCs w:val="24"/>
        </w:rPr>
        <w:t xml:space="preserve"> “PLAZO RAZONABLE PARA RESOLVER. CONCEPTO Y ELEMENTOS QUE LO INTEGRAN A LA LUZ DEL DERECHO INTERNACIONAL DE LOS DERECHOS HUMANOS.”, visible en el Seminario Judicial de la Federación y su gaceta, con el registro digital 2002350.</w:t>
      </w:r>
    </w:p>
    <w:p w14:paraId="050C0815" w14:textId="77777777" w:rsidR="009A507E" w:rsidRPr="008D58A8" w:rsidRDefault="009A507E" w:rsidP="009A507E">
      <w:pPr>
        <w:spacing w:line="360" w:lineRule="auto"/>
        <w:jc w:val="both"/>
        <w:rPr>
          <w:rFonts w:ascii="Palatino Linotype" w:hAnsi="Palatino Linotype"/>
          <w:sz w:val="24"/>
          <w:szCs w:val="24"/>
        </w:rPr>
      </w:pPr>
      <w:r w:rsidRPr="008D58A8">
        <w:rPr>
          <w:rFonts w:ascii="Palatino Linotype" w:hAnsi="Palatino Linotype" w:cstheme="majorHAnsi"/>
          <w:bCs/>
          <w:sz w:val="24"/>
          <w:szCs w:val="24"/>
        </w:rPr>
        <w:lastRenderedPageBreak/>
        <w:t>Por ello, este organismo garante comprometido con la tutela de los derechos humanos confiados, señala que este exceso del plazo legal para resolver el presente asunto, resulta de carácter excepcional.</w:t>
      </w:r>
    </w:p>
    <w:p w14:paraId="3D56BCE7" w14:textId="77777777" w:rsidR="009A507E" w:rsidRPr="008D58A8" w:rsidRDefault="009A507E" w:rsidP="005E46D0">
      <w:pPr>
        <w:spacing w:before="240" w:line="360" w:lineRule="auto"/>
        <w:jc w:val="both"/>
        <w:rPr>
          <w:rFonts w:ascii="Palatino Linotype" w:hAnsi="Palatino Linotype" w:cs="Arial"/>
          <w:sz w:val="24"/>
          <w:szCs w:val="24"/>
        </w:rPr>
      </w:pPr>
    </w:p>
    <w:p w14:paraId="67D0FD90" w14:textId="77777777" w:rsidR="006168E4" w:rsidRPr="008D58A8" w:rsidRDefault="006168E4" w:rsidP="00844569">
      <w:pPr>
        <w:spacing w:before="240" w:line="360" w:lineRule="auto"/>
        <w:jc w:val="center"/>
        <w:rPr>
          <w:rFonts w:ascii="Palatino Linotype" w:hAnsi="Palatino Linotype" w:cs="Arial"/>
          <w:b/>
          <w:sz w:val="24"/>
        </w:rPr>
      </w:pPr>
      <w:r w:rsidRPr="008D58A8">
        <w:rPr>
          <w:rFonts w:ascii="Palatino Linotype" w:hAnsi="Palatino Linotype" w:cs="Arial"/>
          <w:b/>
          <w:sz w:val="24"/>
        </w:rPr>
        <w:t xml:space="preserve">C O N S I D E R A N D O </w:t>
      </w:r>
    </w:p>
    <w:p w14:paraId="579C7ABE" w14:textId="77777777" w:rsidR="006168E4" w:rsidRPr="008D58A8" w:rsidRDefault="006168E4" w:rsidP="00844569">
      <w:pPr>
        <w:spacing w:before="240" w:line="360" w:lineRule="auto"/>
        <w:jc w:val="both"/>
        <w:rPr>
          <w:rFonts w:ascii="Palatino Linotype" w:hAnsi="Palatino Linotype" w:cs="Arial"/>
          <w:sz w:val="24"/>
        </w:rPr>
      </w:pPr>
      <w:r w:rsidRPr="008D58A8">
        <w:rPr>
          <w:rFonts w:ascii="Palatino Linotype" w:hAnsi="Palatino Linotype" w:cs="Arial"/>
          <w:b/>
          <w:sz w:val="28"/>
        </w:rPr>
        <w:t>PRIMERO.</w:t>
      </w:r>
      <w:r w:rsidRPr="008D58A8">
        <w:rPr>
          <w:rFonts w:ascii="Palatino Linotype" w:hAnsi="Palatino Linotype" w:cs="Arial"/>
          <w:b/>
        </w:rPr>
        <w:t xml:space="preserve"> </w:t>
      </w:r>
      <w:r w:rsidRPr="008D58A8">
        <w:rPr>
          <w:rFonts w:ascii="Palatino Linotype" w:hAnsi="Palatino Linotype" w:cs="Arial"/>
          <w:b/>
          <w:sz w:val="28"/>
          <w:szCs w:val="28"/>
        </w:rPr>
        <w:t>De la competencia</w:t>
      </w:r>
      <w:r w:rsidRPr="008D58A8">
        <w:rPr>
          <w:rFonts w:ascii="Palatino Linotype" w:hAnsi="Palatino Linotype" w:cs="Arial"/>
          <w:sz w:val="28"/>
          <w:szCs w:val="28"/>
        </w:rPr>
        <w:t>.</w:t>
      </w:r>
    </w:p>
    <w:p w14:paraId="2FD02F2F" w14:textId="77777777" w:rsidR="00A812C8" w:rsidRPr="008D58A8" w:rsidRDefault="00A812C8" w:rsidP="00A812C8">
      <w:pPr>
        <w:spacing w:before="240" w:line="360" w:lineRule="auto"/>
        <w:jc w:val="both"/>
        <w:rPr>
          <w:rFonts w:ascii="Palatino Linotype" w:eastAsia="Calibri" w:hAnsi="Palatino Linotype" w:cs="Arial"/>
          <w:bCs/>
          <w:color w:val="000000" w:themeColor="text1"/>
          <w:sz w:val="24"/>
          <w:szCs w:val="24"/>
        </w:rPr>
      </w:pPr>
      <w:r w:rsidRPr="008D58A8">
        <w:rPr>
          <w:rFonts w:ascii="Palatino Linotype" w:eastAsia="Calibri" w:hAnsi="Palatino Linotype" w:cs="Arial"/>
          <w:bCs/>
          <w:color w:val="000000" w:themeColor="text1"/>
          <w:sz w:val="24"/>
          <w:szCs w:val="24"/>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4A0E9978" w14:textId="77777777" w:rsidR="000E5F05" w:rsidRPr="008D58A8" w:rsidRDefault="000E5F05" w:rsidP="00BF01A7">
      <w:pPr>
        <w:spacing w:after="0" w:line="360" w:lineRule="auto"/>
        <w:jc w:val="both"/>
        <w:rPr>
          <w:rFonts w:ascii="Palatino Linotype" w:hAnsi="Palatino Linotype" w:cs="Arial"/>
          <w:sz w:val="24"/>
          <w:szCs w:val="24"/>
        </w:rPr>
      </w:pPr>
    </w:p>
    <w:p w14:paraId="71AC3F8F" w14:textId="77777777" w:rsidR="006168E4" w:rsidRPr="008D58A8" w:rsidRDefault="006168E4" w:rsidP="00844569">
      <w:pPr>
        <w:pStyle w:val="Prrafodelista"/>
        <w:autoSpaceDE w:val="0"/>
        <w:autoSpaceDN w:val="0"/>
        <w:adjustRightInd w:val="0"/>
        <w:spacing w:before="240" w:after="160" w:line="360" w:lineRule="auto"/>
        <w:ind w:left="0"/>
        <w:jc w:val="both"/>
        <w:rPr>
          <w:rFonts w:ascii="Palatino Linotype" w:hAnsi="Palatino Linotype" w:cs="Arial"/>
          <w:b/>
        </w:rPr>
      </w:pPr>
      <w:r w:rsidRPr="008D58A8">
        <w:rPr>
          <w:rFonts w:ascii="Palatino Linotype" w:hAnsi="Palatino Linotype" w:cs="Arial"/>
          <w:b/>
          <w:sz w:val="28"/>
        </w:rPr>
        <w:t>SEGUNDO</w:t>
      </w:r>
      <w:r w:rsidRPr="008D58A8">
        <w:rPr>
          <w:rFonts w:ascii="Palatino Linotype" w:hAnsi="Palatino Linotype" w:cs="Arial"/>
          <w:b/>
        </w:rPr>
        <w:t xml:space="preserve">. </w:t>
      </w:r>
      <w:r w:rsidRPr="008D58A8">
        <w:rPr>
          <w:rFonts w:ascii="Palatino Linotype" w:hAnsi="Palatino Linotype" w:cs="Arial"/>
          <w:b/>
          <w:sz w:val="28"/>
          <w:szCs w:val="28"/>
        </w:rPr>
        <w:t>Sobre los alcances del recurso de revisión.</w:t>
      </w:r>
      <w:r w:rsidRPr="008D58A8">
        <w:rPr>
          <w:rFonts w:ascii="Palatino Linotype" w:hAnsi="Palatino Linotype" w:cs="Arial"/>
          <w:b/>
        </w:rPr>
        <w:t xml:space="preserve"> </w:t>
      </w:r>
    </w:p>
    <w:p w14:paraId="780F37AC" w14:textId="77777777" w:rsidR="006168E4" w:rsidRPr="008D58A8" w:rsidRDefault="006168E4" w:rsidP="00844569">
      <w:pPr>
        <w:pStyle w:val="Prrafodelista"/>
        <w:autoSpaceDE w:val="0"/>
        <w:autoSpaceDN w:val="0"/>
        <w:adjustRightInd w:val="0"/>
        <w:spacing w:before="240" w:after="160" w:line="360" w:lineRule="auto"/>
        <w:ind w:left="0"/>
        <w:jc w:val="both"/>
        <w:rPr>
          <w:rFonts w:ascii="Palatino Linotype" w:hAnsi="Palatino Linotype" w:cs="Arial"/>
        </w:rPr>
      </w:pPr>
      <w:r w:rsidRPr="008D58A8">
        <w:rPr>
          <w:rFonts w:ascii="Palatino Linotype" w:hAnsi="Palatino Linotype" w:cs="Arial"/>
        </w:rPr>
        <w:lastRenderedPageBreak/>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940D13A" w14:textId="77777777" w:rsidR="005E46D0" w:rsidRPr="008D58A8" w:rsidRDefault="005E46D0" w:rsidP="00844569">
      <w:pPr>
        <w:pStyle w:val="Prrafodelista"/>
        <w:autoSpaceDE w:val="0"/>
        <w:autoSpaceDN w:val="0"/>
        <w:adjustRightInd w:val="0"/>
        <w:spacing w:before="240" w:after="160" w:line="360" w:lineRule="auto"/>
        <w:ind w:left="0"/>
        <w:jc w:val="both"/>
        <w:rPr>
          <w:rFonts w:ascii="Palatino Linotype" w:hAnsi="Palatino Linotype" w:cs="Arial"/>
        </w:rPr>
      </w:pPr>
    </w:p>
    <w:p w14:paraId="7B826BC4" w14:textId="77777777" w:rsidR="00E16E78" w:rsidRPr="008D58A8" w:rsidRDefault="00E16E78" w:rsidP="00E16E78">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sidRPr="008D58A8">
        <w:rPr>
          <w:rFonts w:ascii="Palatino Linotype" w:hAnsi="Palatino Linotype" w:cs="Arial"/>
          <w:b/>
          <w:sz w:val="28"/>
        </w:rPr>
        <w:t>TERCERO</w:t>
      </w:r>
      <w:r w:rsidRPr="008D58A8">
        <w:rPr>
          <w:rFonts w:ascii="Palatino Linotype" w:hAnsi="Palatino Linotype" w:cs="Arial"/>
          <w:b/>
        </w:rPr>
        <w:t xml:space="preserve">. </w:t>
      </w:r>
      <w:r w:rsidRPr="008D58A8">
        <w:rPr>
          <w:rFonts w:ascii="Palatino Linotype" w:hAnsi="Palatino Linotype" w:cs="Arial"/>
          <w:b/>
          <w:sz w:val="28"/>
          <w:szCs w:val="28"/>
        </w:rPr>
        <w:t>De las causas de improcedencia.</w:t>
      </w:r>
    </w:p>
    <w:p w14:paraId="556D2C0C" w14:textId="77777777" w:rsidR="00E16E78" w:rsidRPr="008D58A8" w:rsidRDefault="00E16E78" w:rsidP="00E16E78">
      <w:pPr>
        <w:pStyle w:val="Prrafodelista"/>
        <w:autoSpaceDE w:val="0"/>
        <w:autoSpaceDN w:val="0"/>
        <w:adjustRightInd w:val="0"/>
        <w:spacing w:before="240" w:after="160" w:line="360" w:lineRule="auto"/>
        <w:ind w:left="0"/>
        <w:jc w:val="both"/>
        <w:rPr>
          <w:rFonts w:ascii="Palatino Linotype" w:hAnsi="Palatino Linotype" w:cs="Arial"/>
        </w:rPr>
      </w:pPr>
      <w:r w:rsidRPr="008D58A8">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83FAD49" w14:textId="77777777" w:rsidR="00E16E78" w:rsidRPr="008D58A8" w:rsidRDefault="00E16E78" w:rsidP="00E16E78">
      <w:pPr>
        <w:pStyle w:val="Prrafodelista"/>
        <w:autoSpaceDE w:val="0"/>
        <w:autoSpaceDN w:val="0"/>
        <w:adjustRightInd w:val="0"/>
        <w:spacing w:line="360" w:lineRule="auto"/>
        <w:ind w:left="0"/>
        <w:jc w:val="both"/>
        <w:rPr>
          <w:rFonts w:ascii="Palatino Linotype" w:hAnsi="Palatino Linotype" w:cs="Arial"/>
        </w:rPr>
      </w:pPr>
      <w:r w:rsidRPr="008D58A8">
        <w:rPr>
          <w:rFonts w:ascii="Palatino Linotype" w:hAnsi="Palatino Linotype" w:cs="Arial"/>
        </w:rPr>
        <w:t xml:space="preserve">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w:t>
      </w:r>
      <w:r w:rsidRPr="008D58A8">
        <w:rPr>
          <w:rFonts w:ascii="Palatino Linotype" w:hAnsi="Palatino Linotype" w:cs="Arial"/>
        </w:rPr>
        <w:lastRenderedPageBreak/>
        <w:t>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8D58A8">
        <w:rPr>
          <w:rStyle w:val="Refdenotaalpie"/>
          <w:rFonts w:ascii="Palatino Linotype" w:hAnsi="Palatino Linotype" w:cs="Arial"/>
        </w:rPr>
        <w:footnoteReference w:id="1"/>
      </w:r>
      <w:r w:rsidRPr="008D58A8">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0D651FD2" w14:textId="77777777" w:rsidR="00E16E78" w:rsidRPr="008D58A8" w:rsidRDefault="00E16E78" w:rsidP="007B0046">
      <w:pPr>
        <w:tabs>
          <w:tab w:val="left" w:pos="709"/>
        </w:tabs>
        <w:spacing w:before="240" w:line="360" w:lineRule="auto"/>
        <w:ind w:right="51"/>
        <w:jc w:val="both"/>
        <w:rPr>
          <w:rFonts w:ascii="Palatino Linotype" w:hAnsi="Palatino Linotype"/>
          <w:b/>
          <w:sz w:val="28"/>
          <w:szCs w:val="28"/>
          <w:lang w:val="es-ES"/>
        </w:rPr>
      </w:pPr>
    </w:p>
    <w:p w14:paraId="4057BC66" w14:textId="5C87CA0D" w:rsidR="007B0046" w:rsidRPr="008D58A8" w:rsidRDefault="007B0046" w:rsidP="007B0046">
      <w:pPr>
        <w:tabs>
          <w:tab w:val="left" w:pos="709"/>
        </w:tabs>
        <w:spacing w:before="240" w:line="360" w:lineRule="auto"/>
        <w:ind w:right="51"/>
        <w:jc w:val="both"/>
        <w:rPr>
          <w:rFonts w:ascii="Palatino Linotype" w:hAnsi="Palatino Linotype"/>
          <w:b/>
          <w:sz w:val="28"/>
          <w:szCs w:val="28"/>
        </w:rPr>
      </w:pPr>
      <w:r w:rsidRPr="008D58A8">
        <w:rPr>
          <w:rFonts w:ascii="Palatino Linotype" w:hAnsi="Palatino Linotype"/>
          <w:b/>
          <w:sz w:val="28"/>
          <w:szCs w:val="28"/>
        </w:rPr>
        <w:t xml:space="preserve">CUARTO. Estudio y resolución del asunto </w:t>
      </w:r>
    </w:p>
    <w:p w14:paraId="00E379C3" w14:textId="77777777" w:rsidR="007B0046" w:rsidRPr="008D58A8" w:rsidRDefault="007B0046" w:rsidP="007B0046">
      <w:pPr>
        <w:pStyle w:val="Prrafodelista"/>
        <w:autoSpaceDE w:val="0"/>
        <w:autoSpaceDN w:val="0"/>
        <w:adjustRightInd w:val="0"/>
        <w:spacing w:before="240" w:after="160" w:line="360" w:lineRule="auto"/>
        <w:ind w:left="0"/>
        <w:jc w:val="both"/>
        <w:rPr>
          <w:rFonts w:ascii="Palatino Linotype" w:hAnsi="Palatino Linotype" w:cs="Arial"/>
        </w:rPr>
      </w:pPr>
      <w:r w:rsidRPr="008D58A8">
        <w:rPr>
          <w:rFonts w:ascii="Palatino Linotype" w:hAnsi="Palatino Linotype" w:cs="Arial"/>
        </w:rPr>
        <w:t xml:space="preserve">El análisis del  presente recurso, se basará en el contenido íntegro de las actuaciones que obran en el expediente electrónico, para así estar en posibilidad este Órgano Colegiado de dictar el fallo correspondiente conforme a derecho, tomando en </w:t>
      </w:r>
      <w:r w:rsidRPr="008D58A8">
        <w:rPr>
          <w:rFonts w:ascii="Palatino Linotype" w:hAnsi="Palatino Linotype" w:cs="Arial"/>
        </w:rPr>
        <w:lastRenderedPageBreak/>
        <w:t xml:space="preserve">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31C2E61D" w14:textId="77777777" w:rsidR="007B0046" w:rsidRPr="008D58A8" w:rsidRDefault="007B0046" w:rsidP="007B0046">
      <w:pPr>
        <w:spacing w:after="0" w:line="360" w:lineRule="auto"/>
        <w:jc w:val="both"/>
        <w:rPr>
          <w:rFonts w:ascii="Palatino Linotype" w:eastAsia="Times New Roman" w:hAnsi="Palatino Linotype" w:cs="Times New Roman"/>
          <w:sz w:val="24"/>
          <w:szCs w:val="24"/>
          <w:lang w:eastAsia="es-ES"/>
        </w:rPr>
      </w:pPr>
      <w:r w:rsidRPr="008D58A8">
        <w:rPr>
          <w:rFonts w:ascii="Palatino Linotype" w:hAnsi="Palatino Linotype" w:cs="Arial"/>
          <w:sz w:val="24"/>
          <w:szCs w:val="24"/>
        </w:rPr>
        <w:t xml:space="preserve">En este tenor, es necesario subrayar que </w:t>
      </w:r>
      <w:r w:rsidRPr="008D58A8">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1D02A9D3" w14:textId="77777777" w:rsidR="007B0046" w:rsidRPr="008D58A8" w:rsidRDefault="007B0046" w:rsidP="007B0046">
      <w:pPr>
        <w:spacing w:before="240" w:line="360" w:lineRule="auto"/>
        <w:ind w:left="851" w:right="851"/>
        <w:jc w:val="both"/>
        <w:rPr>
          <w:rFonts w:ascii="Palatino Linotype" w:eastAsia="Times New Roman" w:hAnsi="Palatino Linotype" w:cs="Times New Roman"/>
          <w:i/>
          <w:lang w:eastAsia="es-ES"/>
        </w:rPr>
      </w:pPr>
      <w:r w:rsidRPr="008D58A8">
        <w:rPr>
          <w:rFonts w:ascii="Palatino Linotype" w:eastAsia="Times New Roman" w:hAnsi="Palatino Linotype" w:cs="Times New Roman"/>
          <w:b/>
          <w:i/>
          <w:lang w:eastAsia="es-ES"/>
        </w:rPr>
        <w:t>“Artículo 4.</w:t>
      </w:r>
      <w:r w:rsidRPr="008D58A8">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0A39C6FB" w14:textId="77777777" w:rsidR="007B0046" w:rsidRPr="008D58A8" w:rsidRDefault="007B0046" w:rsidP="007B0046">
      <w:pPr>
        <w:spacing w:before="240" w:line="360" w:lineRule="auto"/>
        <w:ind w:left="851" w:right="851"/>
        <w:jc w:val="both"/>
        <w:rPr>
          <w:rFonts w:ascii="Palatino Linotype" w:eastAsia="Times New Roman" w:hAnsi="Palatino Linotype" w:cs="Times New Roman"/>
          <w:i/>
          <w:lang w:eastAsia="es-ES"/>
        </w:rPr>
      </w:pPr>
      <w:r w:rsidRPr="008D58A8">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593334E" w14:textId="77777777" w:rsidR="007B0046" w:rsidRPr="008D58A8" w:rsidRDefault="007B0046" w:rsidP="007B0046">
      <w:pPr>
        <w:spacing w:before="240" w:line="360" w:lineRule="auto"/>
        <w:ind w:left="851" w:right="851"/>
        <w:jc w:val="both"/>
        <w:rPr>
          <w:rFonts w:ascii="Palatino Linotype" w:eastAsia="Times New Roman" w:hAnsi="Palatino Linotype" w:cs="Times New Roman"/>
          <w:i/>
          <w:lang w:eastAsia="es-ES"/>
        </w:rPr>
      </w:pPr>
      <w:r w:rsidRPr="008D58A8">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5B242EA8" w14:textId="77777777" w:rsidR="007B0046" w:rsidRPr="008D58A8" w:rsidRDefault="007B0046" w:rsidP="007B0046">
      <w:pPr>
        <w:spacing w:before="240" w:line="360" w:lineRule="auto"/>
        <w:ind w:left="851" w:right="851"/>
        <w:jc w:val="both"/>
        <w:rPr>
          <w:rFonts w:ascii="Palatino Linotype" w:eastAsia="Times New Roman" w:hAnsi="Palatino Linotype" w:cs="Times New Roman"/>
          <w:i/>
          <w:lang w:eastAsia="es-ES"/>
        </w:rPr>
      </w:pPr>
      <w:r w:rsidRPr="008D58A8">
        <w:rPr>
          <w:rFonts w:ascii="Palatino Linotype" w:eastAsia="Times New Roman" w:hAnsi="Palatino Linotype" w:cs="Times New Roman"/>
          <w:b/>
          <w:i/>
          <w:lang w:eastAsia="es-ES"/>
        </w:rPr>
        <w:lastRenderedPageBreak/>
        <w:t>Artículo 12.</w:t>
      </w:r>
      <w:r w:rsidRPr="008D58A8">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161EDA2C" w14:textId="77777777" w:rsidR="007B0046" w:rsidRPr="008D58A8" w:rsidRDefault="007B0046" w:rsidP="007B0046">
      <w:pPr>
        <w:spacing w:before="240" w:line="360" w:lineRule="auto"/>
        <w:ind w:left="851" w:right="851"/>
        <w:jc w:val="both"/>
        <w:rPr>
          <w:rFonts w:ascii="Palatino Linotype" w:eastAsia="Times New Roman" w:hAnsi="Palatino Linotype" w:cs="Times New Roman"/>
          <w:i/>
          <w:lang w:eastAsia="es-ES"/>
        </w:rPr>
      </w:pPr>
      <w:r w:rsidRPr="008D58A8">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38A4761E" w14:textId="77777777" w:rsidR="007B0046" w:rsidRPr="008D58A8" w:rsidRDefault="007B0046" w:rsidP="007B0046">
      <w:pPr>
        <w:spacing w:before="240" w:line="360" w:lineRule="auto"/>
        <w:ind w:left="851" w:right="851"/>
        <w:jc w:val="both"/>
        <w:rPr>
          <w:rFonts w:ascii="Palatino Linotype" w:eastAsia="Times New Roman" w:hAnsi="Palatino Linotype" w:cs="Times New Roman"/>
          <w:i/>
          <w:lang w:eastAsia="es-ES"/>
        </w:rPr>
      </w:pPr>
      <w:r w:rsidRPr="008D58A8">
        <w:rPr>
          <w:rFonts w:ascii="Palatino Linotype" w:eastAsia="Times New Roman" w:hAnsi="Palatino Linotype" w:cs="Times New Roman"/>
          <w:i/>
          <w:lang w:eastAsia="es-ES"/>
        </w:rPr>
        <w:t>(…)</w:t>
      </w:r>
    </w:p>
    <w:p w14:paraId="18543637" w14:textId="77777777" w:rsidR="007B0046" w:rsidRPr="008D58A8" w:rsidRDefault="007B0046" w:rsidP="007B0046">
      <w:pPr>
        <w:spacing w:before="240" w:line="360" w:lineRule="auto"/>
        <w:ind w:left="851" w:right="851"/>
        <w:jc w:val="both"/>
        <w:rPr>
          <w:rFonts w:ascii="Palatino Linotype" w:eastAsia="Times New Roman" w:hAnsi="Palatino Linotype" w:cs="Times New Roman"/>
          <w:b/>
          <w:i/>
          <w:lang w:eastAsia="es-ES"/>
        </w:rPr>
      </w:pPr>
      <w:r w:rsidRPr="008D58A8">
        <w:rPr>
          <w:rFonts w:ascii="Palatino Linotype" w:eastAsia="Times New Roman" w:hAnsi="Palatino Linotype" w:cs="Times New Roman"/>
          <w:b/>
          <w:i/>
          <w:lang w:eastAsia="es-ES"/>
        </w:rPr>
        <w:t xml:space="preserve">Artículo 24. </w:t>
      </w:r>
    </w:p>
    <w:p w14:paraId="71B0A33C" w14:textId="77777777" w:rsidR="007B0046" w:rsidRPr="008D58A8" w:rsidRDefault="007B0046" w:rsidP="007B0046">
      <w:pPr>
        <w:spacing w:before="240" w:line="360" w:lineRule="auto"/>
        <w:ind w:left="851" w:right="851"/>
        <w:jc w:val="both"/>
        <w:rPr>
          <w:rFonts w:ascii="Palatino Linotype" w:eastAsia="Times New Roman" w:hAnsi="Palatino Linotype" w:cs="Times New Roman"/>
          <w:i/>
          <w:lang w:eastAsia="es-ES"/>
        </w:rPr>
      </w:pPr>
      <w:r w:rsidRPr="008D58A8">
        <w:rPr>
          <w:rFonts w:ascii="Palatino Linotype" w:eastAsia="Times New Roman" w:hAnsi="Palatino Linotype" w:cs="Times New Roman"/>
          <w:i/>
          <w:lang w:eastAsia="es-ES"/>
        </w:rPr>
        <w:t>(…)</w:t>
      </w:r>
    </w:p>
    <w:p w14:paraId="20732B09" w14:textId="77777777" w:rsidR="007B0046" w:rsidRPr="008D58A8" w:rsidRDefault="007B0046" w:rsidP="007B0046">
      <w:pPr>
        <w:spacing w:before="240" w:line="360" w:lineRule="auto"/>
        <w:ind w:left="851" w:right="851"/>
        <w:jc w:val="both"/>
        <w:rPr>
          <w:rFonts w:ascii="Palatino Linotype" w:eastAsia="Times New Roman" w:hAnsi="Palatino Linotype" w:cs="Times New Roman"/>
          <w:i/>
          <w:lang w:eastAsia="es-ES"/>
        </w:rPr>
      </w:pPr>
      <w:r w:rsidRPr="008D58A8">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7D46C405" w14:textId="77777777" w:rsidR="007B0046" w:rsidRPr="008D58A8" w:rsidRDefault="007B0046" w:rsidP="007B0046">
      <w:pPr>
        <w:spacing w:before="240" w:line="360" w:lineRule="auto"/>
        <w:ind w:left="851" w:right="851"/>
        <w:jc w:val="both"/>
        <w:rPr>
          <w:rFonts w:ascii="Palatino Linotype" w:eastAsia="Times New Roman" w:hAnsi="Palatino Linotype" w:cs="Times New Roman"/>
          <w:i/>
          <w:lang w:eastAsia="es-ES"/>
        </w:rPr>
      </w:pPr>
      <w:r w:rsidRPr="008D58A8">
        <w:rPr>
          <w:rFonts w:ascii="Palatino Linotype" w:eastAsia="Times New Roman" w:hAnsi="Palatino Linotype" w:cs="Times New Roman"/>
          <w:i/>
          <w:lang w:eastAsia="es-ES"/>
        </w:rPr>
        <w:t>(…)</w:t>
      </w:r>
    </w:p>
    <w:p w14:paraId="1EDAE629" w14:textId="77777777" w:rsidR="007B0046" w:rsidRPr="008D58A8" w:rsidRDefault="007B0046" w:rsidP="007B0046">
      <w:pPr>
        <w:spacing w:before="240" w:line="360" w:lineRule="auto"/>
        <w:ind w:left="851" w:right="851"/>
        <w:jc w:val="both"/>
        <w:rPr>
          <w:rFonts w:ascii="Palatino Linotype" w:eastAsia="Times New Roman" w:hAnsi="Palatino Linotype" w:cs="Times New Roman"/>
          <w:i/>
          <w:lang w:eastAsia="es-ES"/>
        </w:rPr>
      </w:pPr>
      <w:r w:rsidRPr="008D58A8">
        <w:rPr>
          <w:rFonts w:ascii="Palatino Linotype" w:eastAsia="Times New Roman" w:hAnsi="Palatino Linotype" w:cs="Times New Roman"/>
          <w:b/>
          <w:i/>
          <w:lang w:eastAsia="es-ES"/>
        </w:rPr>
        <w:t>Artículo 160.</w:t>
      </w:r>
      <w:r w:rsidRPr="008D58A8">
        <w:rPr>
          <w:rFonts w:ascii="Palatino Linotype" w:eastAsia="Times New Roman" w:hAnsi="Palatino Linotype" w:cs="Times New Roman"/>
          <w:i/>
          <w:lang w:eastAsia="es-ES"/>
        </w:rPr>
        <w:t xml:space="preserve"> Los sujetos obligados deberán otorgar acceso a los documentos que se </w:t>
      </w:r>
      <w:r w:rsidRPr="008D58A8">
        <w:rPr>
          <w:rFonts w:ascii="Palatino Linotype" w:eastAsia="Times New Roman" w:hAnsi="Palatino Linotype" w:cs="Times New Roman"/>
          <w:b/>
          <w:i/>
          <w:lang w:eastAsia="es-ES"/>
        </w:rPr>
        <w:t xml:space="preserve"> </w:t>
      </w:r>
      <w:r w:rsidRPr="008D58A8">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EBC6D90" w14:textId="77777777" w:rsidR="007B0046" w:rsidRPr="008D58A8" w:rsidRDefault="007B0046" w:rsidP="007B0046">
      <w:pPr>
        <w:spacing w:before="240" w:line="360" w:lineRule="auto"/>
        <w:ind w:left="851" w:right="851"/>
        <w:jc w:val="both"/>
        <w:rPr>
          <w:rFonts w:ascii="Palatino Linotype" w:eastAsia="Times New Roman" w:hAnsi="Palatino Linotype" w:cs="Times New Roman"/>
          <w:b/>
          <w:i/>
          <w:lang w:eastAsia="es-ES"/>
        </w:rPr>
      </w:pPr>
      <w:r w:rsidRPr="008D58A8">
        <w:rPr>
          <w:rFonts w:ascii="Palatino Linotype" w:eastAsia="Times New Roman" w:hAnsi="Palatino Linotype" w:cs="Times New Roman"/>
          <w:i/>
          <w:lang w:eastAsia="es-ES"/>
        </w:rPr>
        <w:t>En caso que la información solicitada consista en bases de datos se deberá privilegiar la entrega de la misma en formatos abiertos.”</w:t>
      </w:r>
      <w:r w:rsidRPr="008D58A8">
        <w:rPr>
          <w:rFonts w:ascii="Palatino Linotype" w:eastAsia="Times New Roman" w:hAnsi="Palatino Linotype" w:cs="Times New Roman"/>
          <w:b/>
          <w:i/>
          <w:lang w:eastAsia="es-ES"/>
        </w:rPr>
        <w:t>[Sic]</w:t>
      </w:r>
    </w:p>
    <w:p w14:paraId="559DC5F7" w14:textId="0C9573BE" w:rsidR="007B0046" w:rsidRPr="008D58A8" w:rsidRDefault="007B0046" w:rsidP="007B0046">
      <w:pPr>
        <w:spacing w:after="0" w:line="360" w:lineRule="auto"/>
        <w:jc w:val="both"/>
        <w:rPr>
          <w:rFonts w:ascii="Palatino Linotype" w:eastAsia="Times New Roman" w:hAnsi="Palatino Linotype" w:cs="Times New Roman"/>
          <w:sz w:val="24"/>
          <w:szCs w:val="24"/>
          <w:lang w:eastAsia="es-ES"/>
        </w:rPr>
      </w:pPr>
      <w:r w:rsidRPr="008D58A8">
        <w:rPr>
          <w:rFonts w:ascii="Palatino Linotype" w:eastAsia="Times New Roman" w:hAnsi="Palatino Linotype" w:cs="Times New Roman"/>
          <w:sz w:val="24"/>
          <w:szCs w:val="24"/>
          <w:lang w:eastAsia="es-ES"/>
        </w:rPr>
        <w:lastRenderedPageBreak/>
        <w:t xml:space="preserve">Así que la obligación de los </w:t>
      </w:r>
      <w:r w:rsidRPr="008D58A8">
        <w:rPr>
          <w:rFonts w:ascii="Palatino Linotype" w:eastAsia="Times New Roman" w:hAnsi="Palatino Linotype" w:cs="Times New Roman"/>
          <w:b/>
          <w:sz w:val="24"/>
          <w:szCs w:val="24"/>
          <w:lang w:eastAsia="es-ES"/>
        </w:rPr>
        <w:t>Sujetos Obligados</w:t>
      </w:r>
      <w:r w:rsidRPr="008D58A8">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8D58A8">
        <w:rPr>
          <w:rFonts w:ascii="Palatino Linotype" w:eastAsia="Times New Roman" w:hAnsi="Palatino Linotype" w:cs="Times New Roman"/>
          <w:bCs/>
          <w:sz w:val="24"/>
          <w:szCs w:val="24"/>
          <w:lang w:eastAsia="es-ES"/>
        </w:rPr>
        <w:t>de la Ley local en la materia, que se reproduce de la siguiente forma</w:t>
      </w:r>
      <w:r w:rsidRPr="008D58A8">
        <w:rPr>
          <w:rFonts w:ascii="Palatino Linotype" w:eastAsia="Times New Roman" w:hAnsi="Palatino Linotype" w:cs="Times New Roman"/>
          <w:sz w:val="24"/>
          <w:szCs w:val="24"/>
          <w:lang w:eastAsia="es-ES"/>
        </w:rPr>
        <w:t>:</w:t>
      </w:r>
    </w:p>
    <w:p w14:paraId="20C086EC" w14:textId="77777777" w:rsidR="007B0046" w:rsidRPr="008D58A8" w:rsidRDefault="007B0046" w:rsidP="007B0046">
      <w:pPr>
        <w:spacing w:before="240" w:line="360" w:lineRule="auto"/>
        <w:ind w:left="851" w:right="851"/>
        <w:jc w:val="both"/>
        <w:rPr>
          <w:rFonts w:ascii="Palatino Linotype" w:eastAsia="Times New Roman" w:hAnsi="Palatino Linotype" w:cs="Arial"/>
          <w:b/>
          <w:i/>
          <w:lang w:eastAsia="es-ES"/>
        </w:rPr>
      </w:pPr>
      <w:r w:rsidRPr="008D58A8">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8D58A8">
        <w:rPr>
          <w:rFonts w:ascii="Palatino Linotype" w:eastAsia="Times New Roman" w:hAnsi="Palatino Linotype" w:cs="Arial"/>
          <w:b/>
          <w:i/>
          <w:lang w:eastAsia="es-ES"/>
        </w:rPr>
        <w:t>[Sic]</w:t>
      </w:r>
    </w:p>
    <w:p w14:paraId="2A3ED66A" w14:textId="77777777" w:rsidR="00367CC7" w:rsidRPr="008D58A8" w:rsidRDefault="00367CC7" w:rsidP="007B0046">
      <w:pPr>
        <w:spacing w:before="240" w:line="360" w:lineRule="auto"/>
        <w:ind w:left="851" w:right="851"/>
        <w:jc w:val="both"/>
        <w:rPr>
          <w:rFonts w:ascii="Palatino Linotype" w:eastAsia="Times New Roman" w:hAnsi="Palatino Linotype" w:cs="Arial"/>
          <w:i/>
          <w:lang w:eastAsia="es-ES"/>
        </w:rPr>
      </w:pPr>
    </w:p>
    <w:p w14:paraId="77EE720E" w14:textId="58C1C22A" w:rsidR="00E16E78" w:rsidRPr="008D58A8" w:rsidRDefault="000E5F05" w:rsidP="000E5F05">
      <w:pPr>
        <w:autoSpaceDE w:val="0"/>
        <w:autoSpaceDN w:val="0"/>
        <w:adjustRightInd w:val="0"/>
        <w:spacing w:line="360" w:lineRule="auto"/>
        <w:jc w:val="both"/>
        <w:rPr>
          <w:rFonts w:ascii="Palatino Linotype" w:hAnsi="Palatino Linotype" w:cs="Arial"/>
          <w:sz w:val="24"/>
          <w:szCs w:val="24"/>
        </w:rPr>
      </w:pPr>
      <w:r w:rsidRPr="008D58A8">
        <w:rPr>
          <w:rFonts w:ascii="Palatino Linotype" w:hAnsi="Palatino Linotype" w:cs="Arial"/>
          <w:sz w:val="24"/>
          <w:szCs w:val="24"/>
        </w:rPr>
        <w:t xml:space="preserve">Una vez sentado lo anterior, de una interpretación armónica a la solicitud de información </w:t>
      </w:r>
      <w:r w:rsidR="00E16E78" w:rsidRPr="008D58A8">
        <w:rPr>
          <w:rFonts w:ascii="Palatino Linotype" w:hAnsi="Palatino Linotype" w:cs="Arial"/>
          <w:b/>
          <w:bCs/>
          <w:sz w:val="24"/>
          <w:szCs w:val="24"/>
        </w:rPr>
        <w:t>00057/CECyTEM/IP/2023,</w:t>
      </w:r>
      <w:r w:rsidR="00E16E78" w:rsidRPr="008D58A8">
        <w:rPr>
          <w:rFonts w:ascii="Palatino Linotype" w:hAnsi="Palatino Linotype" w:cs="Arial"/>
          <w:sz w:val="24"/>
          <w:szCs w:val="24"/>
        </w:rPr>
        <w:t xml:space="preserve"> se desprenden las siguientes consideraciones: </w:t>
      </w:r>
    </w:p>
    <w:p w14:paraId="5AD5F544" w14:textId="77777777" w:rsidR="00061CD8" w:rsidRPr="008D58A8" w:rsidRDefault="00061CD8" w:rsidP="006552A9">
      <w:pPr>
        <w:pStyle w:val="Prrafodelista"/>
        <w:numPr>
          <w:ilvl w:val="0"/>
          <w:numId w:val="2"/>
        </w:numPr>
        <w:autoSpaceDE w:val="0"/>
        <w:autoSpaceDN w:val="0"/>
        <w:adjustRightInd w:val="0"/>
        <w:spacing w:line="360" w:lineRule="auto"/>
        <w:jc w:val="both"/>
        <w:rPr>
          <w:rFonts w:ascii="Palatino Linotype" w:hAnsi="Palatino Linotype" w:cs="Arial"/>
        </w:rPr>
      </w:pPr>
      <w:r w:rsidRPr="008D58A8">
        <w:rPr>
          <w:rFonts w:ascii="Palatino Linotype" w:hAnsi="Palatino Linotype" w:cs="Arial"/>
        </w:rPr>
        <w:t xml:space="preserve">Que el derecho de acceso a la información pública estriba en la prerrogativa de carácter constitucional que reconoce la potestad de los ciudadanos para solicitar soportes documentales generados, poseídos o administrados por los </w:t>
      </w:r>
      <w:r w:rsidRPr="008D58A8">
        <w:rPr>
          <w:rFonts w:ascii="Palatino Linotype" w:hAnsi="Palatino Linotype" w:cs="Arial"/>
          <w:b/>
          <w:bCs/>
        </w:rPr>
        <w:t>Sujetos Obligados.</w:t>
      </w:r>
    </w:p>
    <w:p w14:paraId="7BEFAA4E" w14:textId="1495A71B" w:rsidR="00466B0E" w:rsidRPr="008D58A8" w:rsidRDefault="00061CD8" w:rsidP="006552A9">
      <w:pPr>
        <w:pStyle w:val="Prrafodelista"/>
        <w:numPr>
          <w:ilvl w:val="0"/>
          <w:numId w:val="2"/>
        </w:numPr>
        <w:autoSpaceDE w:val="0"/>
        <w:autoSpaceDN w:val="0"/>
        <w:adjustRightInd w:val="0"/>
        <w:spacing w:line="360" w:lineRule="auto"/>
        <w:jc w:val="both"/>
        <w:rPr>
          <w:rFonts w:ascii="Palatino Linotype" w:hAnsi="Palatino Linotype" w:cs="Arial"/>
        </w:rPr>
      </w:pPr>
      <w:r w:rsidRPr="008D58A8">
        <w:rPr>
          <w:rFonts w:ascii="Palatino Linotype" w:hAnsi="Palatino Linotype" w:cs="Arial"/>
        </w:rPr>
        <w:t xml:space="preserve">Que </w:t>
      </w:r>
      <w:r w:rsidR="00466B0E" w:rsidRPr="008D58A8">
        <w:rPr>
          <w:rFonts w:ascii="Palatino Linotype" w:hAnsi="Palatino Linotype" w:cs="Arial"/>
        </w:rPr>
        <w:t xml:space="preserve">mediante la solicitud de información </w:t>
      </w:r>
      <w:r w:rsidRPr="008D58A8">
        <w:rPr>
          <w:rFonts w:ascii="Palatino Linotype" w:hAnsi="Palatino Linotype" w:cs="Arial"/>
        </w:rPr>
        <w:t>fue</w:t>
      </w:r>
      <w:r w:rsidR="00466B0E" w:rsidRPr="008D58A8">
        <w:rPr>
          <w:rFonts w:ascii="Palatino Linotype" w:hAnsi="Palatino Linotype" w:cs="Arial"/>
        </w:rPr>
        <w:t xml:space="preserve"> formulado </w:t>
      </w:r>
      <w:r w:rsidR="00466B0E" w:rsidRPr="008D58A8">
        <w:rPr>
          <w:rFonts w:ascii="Palatino Linotype" w:hAnsi="Palatino Linotype" w:cs="Arial"/>
          <w:b/>
          <w:bCs/>
        </w:rPr>
        <w:t xml:space="preserve">1 -un- </w:t>
      </w:r>
      <w:r w:rsidR="00466B0E" w:rsidRPr="008D58A8">
        <w:rPr>
          <w:rFonts w:ascii="Palatino Linotype" w:hAnsi="Palatino Linotype" w:cs="Arial"/>
        </w:rPr>
        <w:t xml:space="preserve">requerimiento respecto del cual no fue señalado elemento temporal, sin embargo, mediante desahogo a la solicitud de aclaración, el particular señaló </w:t>
      </w:r>
      <w:r w:rsidR="00466B0E" w:rsidRPr="008D58A8">
        <w:rPr>
          <w:rFonts w:ascii="Palatino Linotype" w:hAnsi="Palatino Linotype" w:cs="Arial"/>
          <w:i/>
          <w:iCs/>
        </w:rPr>
        <w:t>“</w:t>
      </w:r>
      <w:r w:rsidR="00E16E78" w:rsidRPr="008D58A8">
        <w:rPr>
          <w:rFonts w:ascii="Palatino Linotype" w:hAnsi="Palatino Linotype" w:cs="Arial"/>
          <w:i/>
          <w:iCs/>
        </w:rPr>
        <w:t>Per</w:t>
      </w:r>
      <w:r w:rsidR="00AA4549" w:rsidRPr="008D58A8">
        <w:rPr>
          <w:rFonts w:ascii="Palatino Linotype" w:hAnsi="Palatino Linotype" w:cs="Arial"/>
          <w:i/>
          <w:iCs/>
        </w:rPr>
        <w:t>iodo: 1 de enero a 31 de agosto de 2023 Planteles: TODOS los planteles del CECYTEM</w:t>
      </w:r>
      <w:r w:rsidR="00466B0E" w:rsidRPr="008D58A8">
        <w:rPr>
          <w:rFonts w:ascii="Palatino Linotype" w:hAnsi="Palatino Linotype" w:cs="Arial"/>
          <w:i/>
          <w:iCs/>
        </w:rPr>
        <w:t>”.</w:t>
      </w:r>
    </w:p>
    <w:p w14:paraId="7B2DEC00" w14:textId="77777777" w:rsidR="00466B0E" w:rsidRPr="008D58A8" w:rsidRDefault="00466B0E" w:rsidP="00466B0E">
      <w:pPr>
        <w:pStyle w:val="Prrafodelista"/>
        <w:autoSpaceDE w:val="0"/>
        <w:autoSpaceDN w:val="0"/>
        <w:adjustRightInd w:val="0"/>
        <w:spacing w:line="360" w:lineRule="auto"/>
        <w:ind w:left="785"/>
        <w:jc w:val="both"/>
        <w:rPr>
          <w:rFonts w:ascii="Palatino Linotype" w:hAnsi="Palatino Linotype" w:cs="Arial"/>
        </w:rPr>
      </w:pPr>
    </w:p>
    <w:p w14:paraId="0856926C" w14:textId="77777777" w:rsidR="00061CD8" w:rsidRPr="008D58A8" w:rsidRDefault="00061CD8" w:rsidP="00061CD8">
      <w:pPr>
        <w:spacing w:before="240" w:line="360" w:lineRule="auto"/>
        <w:jc w:val="both"/>
        <w:rPr>
          <w:rFonts w:ascii="Palatino Linotype" w:hAnsi="Palatino Linotype"/>
          <w:sz w:val="24"/>
          <w:szCs w:val="24"/>
        </w:rPr>
      </w:pPr>
      <w:r w:rsidRPr="008D58A8">
        <w:rPr>
          <w:rFonts w:ascii="Palatino Linotype" w:hAnsi="Palatino Linotype"/>
          <w:sz w:val="24"/>
          <w:szCs w:val="24"/>
        </w:rPr>
        <w:t xml:space="preserve">Dichas precisiones, con fundamento en los artículos 13 y 181 cuarto párrafo de la Ley en materia, los cuales a la letra rezan: </w:t>
      </w:r>
    </w:p>
    <w:p w14:paraId="7C3BF7B9" w14:textId="77777777" w:rsidR="00061CD8" w:rsidRPr="008D58A8" w:rsidRDefault="00061CD8" w:rsidP="00061CD8">
      <w:pPr>
        <w:pStyle w:val="Citas"/>
      </w:pPr>
      <w:r w:rsidRPr="008D58A8">
        <w:rPr>
          <w:b/>
          <w:bCs/>
        </w:rPr>
        <w:lastRenderedPageBreak/>
        <w:t xml:space="preserve">“Artículo 13. </w:t>
      </w:r>
      <w:r w:rsidRPr="008D58A8">
        <w:t>El Instituto, en el ámbito de sus atribuciones, deberá suplir cualquier deficiencia para garantizar el ejercicio del derecho de acceso a la información.</w:t>
      </w:r>
    </w:p>
    <w:p w14:paraId="239B60C8" w14:textId="77777777" w:rsidR="00061CD8" w:rsidRPr="008D58A8" w:rsidRDefault="00061CD8" w:rsidP="00061CD8">
      <w:pPr>
        <w:pStyle w:val="Citas"/>
        <w:rPr>
          <w:b/>
        </w:rPr>
      </w:pPr>
      <w:r w:rsidRPr="008D58A8">
        <w:rPr>
          <w:b/>
        </w:rPr>
        <w:t xml:space="preserve">Artículo 181. … </w:t>
      </w:r>
    </w:p>
    <w:p w14:paraId="1ADC93C7" w14:textId="77777777" w:rsidR="00061CD8" w:rsidRPr="008D58A8" w:rsidRDefault="00061CD8" w:rsidP="00061CD8">
      <w:pPr>
        <w:pStyle w:val="Citas"/>
        <w:rPr>
          <w:b/>
        </w:rPr>
      </w:pPr>
      <w:r w:rsidRPr="008D58A8">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8D58A8">
        <w:rPr>
          <w:b/>
        </w:rPr>
        <w:t>[Sic]</w:t>
      </w:r>
    </w:p>
    <w:p w14:paraId="225696FC" w14:textId="77777777" w:rsidR="00A812C8" w:rsidRPr="008D58A8" w:rsidRDefault="00A812C8" w:rsidP="000E5F05">
      <w:pPr>
        <w:autoSpaceDE w:val="0"/>
        <w:autoSpaceDN w:val="0"/>
        <w:adjustRightInd w:val="0"/>
        <w:spacing w:line="360" w:lineRule="auto"/>
        <w:jc w:val="both"/>
        <w:rPr>
          <w:rFonts w:ascii="Palatino Linotype" w:hAnsi="Palatino Linotype" w:cs="Arial"/>
          <w:sz w:val="24"/>
          <w:szCs w:val="24"/>
        </w:rPr>
      </w:pPr>
    </w:p>
    <w:p w14:paraId="538D9120" w14:textId="77777777" w:rsidR="00061CD8" w:rsidRPr="008D58A8" w:rsidRDefault="00061CD8" w:rsidP="00061CD8">
      <w:pPr>
        <w:spacing w:before="240" w:line="360" w:lineRule="auto"/>
        <w:jc w:val="both"/>
        <w:rPr>
          <w:rFonts w:ascii="Palatino Linotype" w:hAnsi="Palatino Linotype"/>
          <w:sz w:val="24"/>
          <w:szCs w:val="24"/>
        </w:rPr>
      </w:pPr>
      <w:bookmarkStart w:id="0" w:name="_Hlk150170173"/>
      <w:r w:rsidRPr="008D58A8">
        <w:rPr>
          <w:rFonts w:ascii="Palatino Linotype" w:hAnsi="Palatino Linotype"/>
          <w:sz w:val="24"/>
          <w:szCs w:val="24"/>
        </w:rPr>
        <w:t xml:space="preserve">Bajo estas líneas argumentativas, al retomar y delimitar los requerimientos formulados por el ahora </w:t>
      </w:r>
      <w:r w:rsidRPr="008D58A8">
        <w:rPr>
          <w:rFonts w:ascii="Palatino Linotype" w:hAnsi="Palatino Linotype"/>
          <w:b/>
          <w:bCs/>
          <w:sz w:val="24"/>
          <w:szCs w:val="24"/>
        </w:rPr>
        <w:t xml:space="preserve">Recurrente, </w:t>
      </w:r>
      <w:r w:rsidRPr="008D58A8">
        <w:rPr>
          <w:rFonts w:ascii="Palatino Linotype" w:hAnsi="Palatino Linotype"/>
          <w:sz w:val="24"/>
          <w:szCs w:val="24"/>
        </w:rPr>
        <w:t xml:space="preserve">de manera objetiva se precisa que versa en conocer la siguiente información: </w:t>
      </w:r>
    </w:p>
    <w:p w14:paraId="1BBE86BB" w14:textId="25DC7567" w:rsidR="00061CD8" w:rsidRPr="008D58A8" w:rsidRDefault="00AA4549" w:rsidP="006552A9">
      <w:pPr>
        <w:pStyle w:val="Prrafodelista"/>
        <w:numPr>
          <w:ilvl w:val="0"/>
          <w:numId w:val="3"/>
        </w:numPr>
        <w:autoSpaceDE w:val="0"/>
        <w:autoSpaceDN w:val="0"/>
        <w:adjustRightInd w:val="0"/>
        <w:spacing w:line="360" w:lineRule="auto"/>
        <w:jc w:val="both"/>
        <w:rPr>
          <w:rFonts w:ascii="Palatino Linotype" w:hAnsi="Palatino Linotype" w:cs="Arial"/>
        </w:rPr>
      </w:pPr>
      <w:r w:rsidRPr="008D58A8">
        <w:rPr>
          <w:rFonts w:ascii="Palatino Linotype" w:hAnsi="Palatino Linotype" w:cs="Arial"/>
        </w:rPr>
        <w:t xml:space="preserve">Escritos de quejas presentados </w:t>
      </w:r>
      <w:r w:rsidR="00C71E9F" w:rsidRPr="008D58A8">
        <w:rPr>
          <w:rFonts w:ascii="Palatino Linotype" w:hAnsi="Palatino Linotype" w:cs="Arial"/>
        </w:rPr>
        <w:t>ante oficinas centrales, por parte de personal adscrito a todos los planteles</w:t>
      </w:r>
      <w:r w:rsidR="00EF4C15" w:rsidRPr="008D58A8">
        <w:rPr>
          <w:rFonts w:ascii="Palatino Linotype" w:hAnsi="Palatino Linotype" w:cs="Arial"/>
        </w:rPr>
        <w:t>,</w:t>
      </w:r>
      <w:r w:rsidR="00C71E9F" w:rsidRPr="008D58A8">
        <w:rPr>
          <w:rFonts w:ascii="Palatino Linotype" w:hAnsi="Palatino Linotype" w:cs="Arial"/>
        </w:rPr>
        <w:t xml:space="preserve"> </w:t>
      </w:r>
      <w:r w:rsidRPr="008D58A8">
        <w:rPr>
          <w:rFonts w:ascii="Palatino Linotype" w:hAnsi="Palatino Linotype" w:cs="Arial"/>
        </w:rPr>
        <w:t xml:space="preserve">en contra de directores, del periodo comprendido del uno de enero al treinta y uno de agosto de dos mil veintitrés. </w:t>
      </w:r>
    </w:p>
    <w:bookmarkEnd w:id="0"/>
    <w:p w14:paraId="5794D60A" w14:textId="77777777" w:rsidR="00C266D8" w:rsidRPr="008D58A8" w:rsidRDefault="00C266D8" w:rsidP="00595568">
      <w:pPr>
        <w:spacing w:after="0" w:line="360" w:lineRule="auto"/>
        <w:jc w:val="both"/>
        <w:rPr>
          <w:rFonts w:ascii="Palatino Linotype" w:hAnsi="Palatino Linotype" w:cs="Arial"/>
          <w:sz w:val="24"/>
          <w:szCs w:val="24"/>
        </w:rPr>
      </w:pPr>
    </w:p>
    <w:p w14:paraId="5B290E15" w14:textId="77777777" w:rsidR="00B465FF" w:rsidRPr="008D58A8" w:rsidRDefault="00B465FF" w:rsidP="00B465FF">
      <w:pPr>
        <w:spacing w:after="0" w:line="360" w:lineRule="auto"/>
        <w:jc w:val="both"/>
        <w:rPr>
          <w:rFonts w:ascii="Palatino Linotype" w:hAnsi="Palatino Linotype" w:cs="Arial"/>
          <w:noProof/>
          <w:color w:val="000000"/>
          <w:sz w:val="24"/>
          <w:lang w:eastAsia="es-MX"/>
        </w:rPr>
      </w:pPr>
      <w:r w:rsidRPr="008D58A8">
        <w:rPr>
          <w:rFonts w:ascii="Palatino Linotype" w:hAnsi="Palatino Linotype" w:cs="Arial"/>
          <w:sz w:val="24"/>
          <w:szCs w:val="24"/>
        </w:rPr>
        <w:t xml:space="preserve">Bajo este contexto, a efecto de identificar las unidades administrativas competentes se traen a colación los </w:t>
      </w:r>
      <w:r w:rsidRPr="008D58A8">
        <w:rPr>
          <w:rFonts w:ascii="Palatino Linotype" w:hAnsi="Palatino Linotype" w:cs="Arial"/>
          <w:noProof/>
          <w:color w:val="000000"/>
          <w:sz w:val="24"/>
          <w:lang w:eastAsia="es-MX"/>
        </w:rPr>
        <w:t>artículos 24, fracción XII, y 92, fracción II de la Ley de Transparencia local, porciones normativas cuyo contenido literal es el siguiente:</w:t>
      </w:r>
    </w:p>
    <w:p w14:paraId="510E1937" w14:textId="77777777" w:rsidR="00B465FF" w:rsidRPr="008D58A8" w:rsidRDefault="00B465FF" w:rsidP="00B465FF">
      <w:pPr>
        <w:tabs>
          <w:tab w:val="left" w:pos="709"/>
        </w:tabs>
        <w:spacing w:before="240" w:line="360" w:lineRule="auto"/>
        <w:ind w:left="851" w:right="851"/>
        <w:jc w:val="both"/>
        <w:rPr>
          <w:rFonts w:ascii="Palatino Linotype" w:hAnsi="Palatino Linotype"/>
          <w:i/>
        </w:rPr>
      </w:pPr>
      <w:r w:rsidRPr="008D58A8">
        <w:rPr>
          <w:rFonts w:ascii="Palatino Linotype" w:hAnsi="Palatino Linotype"/>
          <w:i/>
        </w:rPr>
        <w:t>“Artículo 24. Para el cumplimiento de los objetivos de esta Ley, los sujetos obligados deberán cumplir con las siguientes obligaciones, según corresponda, de acuerdo a su naturaleza:</w:t>
      </w:r>
    </w:p>
    <w:p w14:paraId="24EA27CD" w14:textId="77777777" w:rsidR="00B465FF" w:rsidRPr="008D58A8" w:rsidRDefault="00B465FF" w:rsidP="00B465FF">
      <w:pPr>
        <w:tabs>
          <w:tab w:val="left" w:pos="709"/>
        </w:tabs>
        <w:spacing w:before="240" w:line="360" w:lineRule="auto"/>
        <w:ind w:left="851" w:right="851"/>
        <w:jc w:val="both"/>
        <w:rPr>
          <w:rFonts w:ascii="Palatino Linotype" w:hAnsi="Palatino Linotype"/>
          <w:i/>
        </w:rPr>
      </w:pPr>
      <w:r w:rsidRPr="008D58A8">
        <w:rPr>
          <w:rFonts w:ascii="Palatino Linotype" w:hAnsi="Palatino Linotype"/>
          <w:i/>
        </w:rPr>
        <w:lastRenderedPageBreak/>
        <w:t>XII. Publicar y mantener actualizada la información relativa a las obligaciones generales de transparencia previstas en la presente Ley o determinadas así por el Instituto, y en general aquella que sea de interés público;</w:t>
      </w:r>
    </w:p>
    <w:p w14:paraId="4605AEA0" w14:textId="77777777" w:rsidR="00B465FF" w:rsidRPr="008D58A8" w:rsidRDefault="00B465FF" w:rsidP="00B465FF">
      <w:pPr>
        <w:tabs>
          <w:tab w:val="left" w:pos="709"/>
        </w:tabs>
        <w:spacing w:before="240" w:line="360" w:lineRule="auto"/>
        <w:ind w:left="851" w:right="851"/>
        <w:jc w:val="both"/>
        <w:rPr>
          <w:rFonts w:ascii="Palatino Linotype" w:hAnsi="Palatino Linotype"/>
          <w:b/>
          <w:i/>
        </w:rPr>
      </w:pPr>
      <w:r w:rsidRPr="008D58A8">
        <w:rPr>
          <w:rFonts w:ascii="Palatino Linotype" w:hAnsi="Palatino Linotype"/>
          <w:b/>
          <w:i/>
        </w:rPr>
        <w:t>(…)</w:t>
      </w:r>
    </w:p>
    <w:p w14:paraId="63091115" w14:textId="77777777" w:rsidR="00B465FF" w:rsidRPr="008D58A8" w:rsidRDefault="00B465FF" w:rsidP="00B465FF">
      <w:pPr>
        <w:tabs>
          <w:tab w:val="left" w:pos="709"/>
        </w:tabs>
        <w:spacing w:before="240" w:line="360" w:lineRule="auto"/>
        <w:ind w:left="851" w:right="851"/>
        <w:jc w:val="both"/>
        <w:rPr>
          <w:rFonts w:ascii="Palatino Linotype" w:hAnsi="Palatino Linotype"/>
          <w:i/>
        </w:rPr>
      </w:pPr>
      <w:r w:rsidRPr="008D58A8">
        <w:rPr>
          <w:rFonts w:ascii="Palatino Linotype" w:hAnsi="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DE12E1D" w14:textId="77777777" w:rsidR="00B465FF" w:rsidRPr="008D58A8" w:rsidRDefault="00B465FF" w:rsidP="00B465FF">
      <w:pPr>
        <w:pStyle w:val="INFOEM"/>
      </w:pPr>
      <w:r w:rsidRPr="008D58A8">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72B3066B" w14:textId="77777777" w:rsidR="00B465FF" w:rsidRPr="008D58A8" w:rsidRDefault="00B465FF" w:rsidP="00B465FF">
      <w:pPr>
        <w:pStyle w:val="Citas"/>
        <w:rPr>
          <w:bCs/>
          <w:sz w:val="24"/>
          <w:szCs w:val="24"/>
        </w:rPr>
      </w:pPr>
      <w:r w:rsidRPr="008D58A8">
        <w:t xml:space="preserve"> (…)” </w:t>
      </w:r>
      <w:r w:rsidRPr="008D58A8">
        <w:rPr>
          <w:b/>
          <w:bCs/>
        </w:rPr>
        <w:t>(Sic)</w:t>
      </w:r>
    </w:p>
    <w:p w14:paraId="590A28B0" w14:textId="77777777" w:rsidR="00B465FF" w:rsidRPr="008D58A8" w:rsidRDefault="00B465FF" w:rsidP="00B465FF">
      <w:pPr>
        <w:spacing w:before="240" w:line="360" w:lineRule="auto"/>
        <w:jc w:val="both"/>
        <w:rPr>
          <w:rFonts w:ascii="Palatino Linotype" w:hAnsi="Palatino Linotype"/>
          <w:sz w:val="24"/>
          <w:szCs w:val="24"/>
        </w:rPr>
      </w:pPr>
    </w:p>
    <w:p w14:paraId="75C7BE7A" w14:textId="77777777" w:rsidR="00B465FF" w:rsidRPr="008D58A8" w:rsidRDefault="00B465FF" w:rsidP="00B465FF">
      <w:pPr>
        <w:spacing w:before="240" w:line="360" w:lineRule="auto"/>
        <w:jc w:val="both"/>
        <w:rPr>
          <w:rFonts w:ascii="Palatino Linotype" w:hAnsi="Palatino Linotype"/>
          <w:sz w:val="24"/>
          <w:szCs w:val="24"/>
        </w:rPr>
      </w:pPr>
      <w:r w:rsidRPr="008D58A8">
        <w:rPr>
          <w:rFonts w:ascii="Palatino Linotype" w:hAnsi="Palatino Linotype"/>
          <w:sz w:val="24"/>
          <w:szCs w:val="24"/>
        </w:rPr>
        <w:t>Sirven de sustento las siguientes imágenes ilustrativas:</w:t>
      </w:r>
    </w:p>
    <w:p w14:paraId="299C1AD2" w14:textId="380C3BD2" w:rsidR="00AA4549" w:rsidRPr="008D58A8" w:rsidRDefault="00B465FF" w:rsidP="00595568">
      <w:pPr>
        <w:spacing w:after="0" w:line="360" w:lineRule="auto"/>
        <w:jc w:val="both"/>
        <w:rPr>
          <w:rFonts w:ascii="Palatino Linotype" w:hAnsi="Palatino Linotype" w:cs="Arial"/>
          <w:sz w:val="24"/>
          <w:szCs w:val="24"/>
        </w:rPr>
      </w:pPr>
      <w:r w:rsidRPr="008D58A8">
        <w:rPr>
          <w:rFonts w:ascii="Palatino Linotype" w:hAnsi="Palatino Linotype" w:cs="Arial"/>
          <w:noProof/>
          <w:sz w:val="24"/>
          <w:szCs w:val="24"/>
          <w:lang w:eastAsia="es-MX"/>
        </w:rPr>
        <mc:AlternateContent>
          <mc:Choice Requires="wps">
            <w:drawing>
              <wp:anchor distT="0" distB="0" distL="114300" distR="114300" simplePos="0" relativeHeight="251795446" behindDoc="0" locked="0" layoutInCell="1" allowOverlap="1" wp14:anchorId="485FB6A3" wp14:editId="69DF79FA">
                <wp:simplePos x="0" y="0"/>
                <wp:positionH relativeFrom="column">
                  <wp:posOffset>-36781</wp:posOffset>
                </wp:positionH>
                <wp:positionV relativeFrom="paragraph">
                  <wp:posOffset>59250</wp:posOffset>
                </wp:positionV>
                <wp:extent cx="6248400" cy="1863970"/>
                <wp:effectExtent l="0" t="0" r="19050" b="22225"/>
                <wp:wrapNone/>
                <wp:docPr id="1879296775" name="Straight Connector 1"/>
                <wp:cNvGraphicFramePr/>
                <a:graphic xmlns:a="http://schemas.openxmlformats.org/drawingml/2006/main">
                  <a:graphicData uri="http://schemas.microsoft.com/office/word/2010/wordprocessingShape">
                    <wps:wsp>
                      <wps:cNvCnPr/>
                      <wps:spPr>
                        <a:xfrm>
                          <a:off x="0" y="0"/>
                          <a:ext cx="6248400" cy="18639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line w14:anchorId="498893EA" id="Straight Connector 1" o:spid="_x0000_s1026" style="position:absolute;z-index:251795446;visibility:visible;mso-wrap-style:square;mso-wrap-distance-left:9pt;mso-wrap-distance-top:0;mso-wrap-distance-right:9pt;mso-wrap-distance-bottom:0;mso-position-horizontal:absolute;mso-position-horizontal-relative:text;mso-position-vertical:absolute;mso-position-vertical-relative:text" from="-2.9pt,4.65pt" to="489.1pt,1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" strokecolor="#5b9bd5 [3204]" strokeweight=".5pt">
                <v:stroke joinstyle="miter"/>
              </v:line>
            </w:pict>
          </mc:Fallback>
        </mc:AlternateContent>
      </w:r>
    </w:p>
    <w:p w14:paraId="5EFA5915" w14:textId="77777777" w:rsidR="00AA4549" w:rsidRPr="008D58A8" w:rsidRDefault="00AA4549" w:rsidP="00595568">
      <w:pPr>
        <w:spacing w:after="0" w:line="360" w:lineRule="auto"/>
        <w:jc w:val="both"/>
        <w:rPr>
          <w:rFonts w:ascii="Palatino Linotype" w:hAnsi="Palatino Linotype" w:cs="Arial"/>
          <w:sz w:val="24"/>
          <w:szCs w:val="24"/>
        </w:rPr>
      </w:pPr>
    </w:p>
    <w:p w14:paraId="1E076604" w14:textId="77777777" w:rsidR="00AA4549" w:rsidRPr="008D58A8" w:rsidRDefault="00AA4549" w:rsidP="00595568">
      <w:pPr>
        <w:spacing w:after="0" w:line="360" w:lineRule="auto"/>
        <w:jc w:val="both"/>
        <w:rPr>
          <w:rFonts w:ascii="Palatino Linotype" w:hAnsi="Palatino Linotype" w:cs="Arial"/>
          <w:sz w:val="24"/>
          <w:szCs w:val="24"/>
        </w:rPr>
      </w:pPr>
    </w:p>
    <w:p w14:paraId="5CE67EB7" w14:textId="77777777" w:rsidR="00B465FF" w:rsidRPr="008D58A8" w:rsidRDefault="00B465FF" w:rsidP="00595568">
      <w:pPr>
        <w:spacing w:after="0" w:line="360" w:lineRule="auto"/>
        <w:jc w:val="both"/>
        <w:rPr>
          <w:rFonts w:ascii="Palatino Linotype" w:hAnsi="Palatino Linotype" w:cs="Arial"/>
          <w:sz w:val="24"/>
          <w:szCs w:val="24"/>
        </w:rPr>
      </w:pPr>
    </w:p>
    <w:p w14:paraId="112EB6B0" w14:textId="77777777" w:rsidR="00B465FF" w:rsidRPr="008D58A8" w:rsidRDefault="00B465FF" w:rsidP="00595568">
      <w:pPr>
        <w:spacing w:after="0" w:line="360" w:lineRule="auto"/>
        <w:jc w:val="both"/>
        <w:rPr>
          <w:rFonts w:ascii="Palatino Linotype" w:hAnsi="Palatino Linotype" w:cs="Arial"/>
          <w:sz w:val="24"/>
          <w:szCs w:val="24"/>
        </w:rPr>
      </w:pPr>
    </w:p>
    <w:p w14:paraId="0B256A6C" w14:textId="354E2F27" w:rsidR="00B465FF" w:rsidRPr="008D58A8" w:rsidRDefault="00B465FF" w:rsidP="00595568">
      <w:pPr>
        <w:spacing w:after="0" w:line="360" w:lineRule="auto"/>
        <w:jc w:val="both"/>
        <w:rPr>
          <w:rFonts w:ascii="Palatino Linotype" w:hAnsi="Palatino Linotype" w:cs="Arial"/>
          <w:sz w:val="24"/>
          <w:szCs w:val="24"/>
        </w:rPr>
      </w:pPr>
      <w:r w:rsidRPr="008D58A8">
        <w:rPr>
          <w:rFonts w:ascii="Palatino Linotype" w:hAnsi="Palatino Linotype" w:cs="Arial"/>
          <w:b/>
          <w:bCs/>
          <w:noProof/>
          <w:sz w:val="24"/>
          <w:szCs w:val="24"/>
          <w:lang w:eastAsia="es-MX"/>
        </w:rPr>
        <w:lastRenderedPageBreak/>
        <w:drawing>
          <wp:anchor distT="0" distB="0" distL="114300" distR="114300" simplePos="0" relativeHeight="251789301" behindDoc="0" locked="0" layoutInCell="1" allowOverlap="1" wp14:anchorId="7E7D2463" wp14:editId="0D55F2BF">
            <wp:simplePos x="0" y="0"/>
            <wp:positionH relativeFrom="page">
              <wp:align>center</wp:align>
            </wp:positionH>
            <wp:positionV relativeFrom="paragraph">
              <wp:posOffset>34925</wp:posOffset>
            </wp:positionV>
            <wp:extent cx="5756275" cy="4812030"/>
            <wp:effectExtent l="19050" t="19050" r="15875" b="26670"/>
            <wp:wrapThrough wrapText="bothSides">
              <wp:wrapPolygon edited="0">
                <wp:start x="-71" y="-86"/>
                <wp:lineTo x="-71" y="21634"/>
                <wp:lineTo x="21588" y="21634"/>
                <wp:lineTo x="21588" y="-86"/>
                <wp:lineTo x="-71" y="-86"/>
              </wp:wrapPolygon>
            </wp:wrapThrough>
            <wp:docPr id="14414057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275" cy="481203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49A935AC" w14:textId="7A41F12A" w:rsidR="005E6E57" w:rsidRPr="008D58A8" w:rsidRDefault="00B465FF" w:rsidP="00595568">
      <w:pPr>
        <w:spacing w:after="0" w:line="360" w:lineRule="auto"/>
        <w:jc w:val="both"/>
        <w:rPr>
          <w:rFonts w:ascii="Palatino Linotype" w:hAnsi="Palatino Linotype" w:cs="Arial"/>
          <w:b/>
          <w:bCs/>
          <w:sz w:val="24"/>
          <w:szCs w:val="24"/>
        </w:rPr>
      </w:pPr>
      <w:r w:rsidRPr="008D58A8">
        <w:rPr>
          <w:rFonts w:ascii="Palatino Linotype" w:hAnsi="Palatino Linotype" w:cs="Arial"/>
          <w:b/>
          <w:bCs/>
          <w:noProof/>
          <w:sz w:val="24"/>
          <w:szCs w:val="24"/>
          <w:lang w:eastAsia="es-MX"/>
        </w:rPr>
        <w:drawing>
          <wp:anchor distT="0" distB="0" distL="114300" distR="114300" simplePos="0" relativeHeight="251797494" behindDoc="0" locked="0" layoutInCell="1" allowOverlap="1" wp14:anchorId="2246B85A" wp14:editId="69B34DDF">
            <wp:simplePos x="0" y="0"/>
            <wp:positionH relativeFrom="page">
              <wp:posOffset>3971925</wp:posOffset>
            </wp:positionH>
            <wp:positionV relativeFrom="paragraph">
              <wp:posOffset>24130</wp:posOffset>
            </wp:positionV>
            <wp:extent cx="1737360" cy="1036320"/>
            <wp:effectExtent l="19050" t="19050" r="15240" b="11430"/>
            <wp:wrapThrough wrapText="bothSides">
              <wp:wrapPolygon edited="0">
                <wp:start x="-237" y="-397"/>
                <wp:lineTo x="-237" y="21441"/>
                <wp:lineTo x="21553" y="21441"/>
                <wp:lineTo x="21553" y="-397"/>
                <wp:lineTo x="-237" y="-397"/>
              </wp:wrapPolygon>
            </wp:wrapThrough>
            <wp:docPr id="3754856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103632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8D58A8">
        <w:rPr>
          <w:rFonts w:ascii="Palatino Linotype" w:hAnsi="Palatino Linotype" w:cs="Arial"/>
          <w:b/>
          <w:bCs/>
          <w:noProof/>
          <w:sz w:val="24"/>
          <w:szCs w:val="24"/>
          <w:lang w:eastAsia="es-MX"/>
        </w:rPr>
        <w:drawing>
          <wp:anchor distT="0" distB="0" distL="114300" distR="114300" simplePos="0" relativeHeight="251796470" behindDoc="0" locked="0" layoutInCell="1" allowOverlap="1" wp14:anchorId="024A59B9" wp14:editId="14C397E9">
            <wp:simplePos x="0" y="0"/>
            <wp:positionH relativeFrom="column">
              <wp:posOffset>973455</wp:posOffset>
            </wp:positionH>
            <wp:positionV relativeFrom="paragraph">
              <wp:posOffset>31750</wp:posOffset>
            </wp:positionV>
            <wp:extent cx="1722120" cy="1005840"/>
            <wp:effectExtent l="19050" t="19050" r="11430" b="22860"/>
            <wp:wrapThrough wrapText="bothSides">
              <wp:wrapPolygon edited="0">
                <wp:start x="-239" y="-409"/>
                <wp:lineTo x="-239" y="21682"/>
                <wp:lineTo x="21504" y="21682"/>
                <wp:lineTo x="21504" y="-409"/>
                <wp:lineTo x="-239" y="-409"/>
              </wp:wrapPolygon>
            </wp:wrapThrough>
            <wp:docPr id="970385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2120" cy="10058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313F90C5" w14:textId="1EBF54DB" w:rsidR="0097184A" w:rsidRPr="008D58A8" w:rsidRDefault="0097184A" w:rsidP="00595568">
      <w:pPr>
        <w:spacing w:after="0" w:line="360" w:lineRule="auto"/>
        <w:jc w:val="both"/>
        <w:rPr>
          <w:rFonts w:ascii="Palatino Linotype" w:hAnsi="Palatino Linotype" w:cs="Arial"/>
          <w:b/>
          <w:bCs/>
          <w:sz w:val="24"/>
          <w:szCs w:val="24"/>
        </w:rPr>
      </w:pPr>
    </w:p>
    <w:p w14:paraId="4812E5A6" w14:textId="1A3FC961" w:rsidR="0097184A" w:rsidRPr="008D58A8" w:rsidRDefault="0097184A" w:rsidP="00595568">
      <w:pPr>
        <w:spacing w:after="0" w:line="360" w:lineRule="auto"/>
        <w:jc w:val="both"/>
        <w:rPr>
          <w:rFonts w:ascii="Palatino Linotype" w:hAnsi="Palatino Linotype" w:cs="Arial"/>
          <w:b/>
          <w:bCs/>
          <w:sz w:val="24"/>
          <w:szCs w:val="24"/>
        </w:rPr>
      </w:pPr>
    </w:p>
    <w:p w14:paraId="758644E8" w14:textId="79B93081" w:rsidR="0097184A" w:rsidRPr="008D58A8" w:rsidRDefault="0097184A" w:rsidP="00595568">
      <w:pPr>
        <w:spacing w:after="0" w:line="360" w:lineRule="auto"/>
        <w:jc w:val="both"/>
        <w:rPr>
          <w:rFonts w:ascii="Palatino Linotype" w:hAnsi="Palatino Linotype" w:cs="Arial"/>
          <w:b/>
          <w:bCs/>
          <w:sz w:val="24"/>
          <w:szCs w:val="24"/>
        </w:rPr>
      </w:pPr>
    </w:p>
    <w:p w14:paraId="31206D9C" w14:textId="77777777" w:rsidR="0097184A" w:rsidRPr="008D58A8" w:rsidRDefault="0097184A" w:rsidP="00595568">
      <w:pPr>
        <w:spacing w:after="0" w:line="360" w:lineRule="auto"/>
        <w:jc w:val="both"/>
        <w:rPr>
          <w:rFonts w:ascii="Palatino Linotype" w:hAnsi="Palatino Linotype" w:cs="Arial"/>
          <w:b/>
          <w:bCs/>
          <w:sz w:val="24"/>
          <w:szCs w:val="24"/>
        </w:rPr>
      </w:pPr>
    </w:p>
    <w:p w14:paraId="02EB61B3" w14:textId="4C0A1CBC" w:rsidR="00B465FF" w:rsidRPr="008D58A8" w:rsidRDefault="008474E1" w:rsidP="00E8308B">
      <w:pPr>
        <w:autoSpaceDE w:val="0"/>
        <w:autoSpaceDN w:val="0"/>
        <w:adjustRightInd w:val="0"/>
        <w:spacing w:before="240" w:line="360" w:lineRule="auto"/>
        <w:jc w:val="both"/>
        <w:rPr>
          <w:rFonts w:ascii="Palatino Linotype" w:hAnsi="Palatino Linotype" w:cs="Arial"/>
          <w:sz w:val="24"/>
          <w:szCs w:val="24"/>
        </w:rPr>
      </w:pPr>
      <w:r w:rsidRPr="008D58A8">
        <w:rPr>
          <w:rFonts w:ascii="Palatino Linotype" w:hAnsi="Palatino Linotype" w:cs="Arial"/>
          <w:sz w:val="24"/>
          <w:szCs w:val="24"/>
        </w:rPr>
        <w:lastRenderedPageBreak/>
        <w:t>D</w:t>
      </w:r>
      <w:r w:rsidR="009C5799" w:rsidRPr="008D58A8">
        <w:rPr>
          <w:rFonts w:ascii="Palatino Linotype" w:hAnsi="Palatino Linotype" w:cs="Arial"/>
          <w:sz w:val="24"/>
          <w:szCs w:val="24"/>
        </w:rPr>
        <w:t xml:space="preserve">e lo expuesto con anterioridad, se desprende que </w:t>
      </w:r>
      <w:r w:rsidR="009C5799" w:rsidRPr="008D58A8">
        <w:rPr>
          <w:rFonts w:ascii="Palatino Linotype" w:hAnsi="Palatino Linotype" w:cs="Arial"/>
          <w:b/>
          <w:bCs/>
          <w:sz w:val="24"/>
          <w:szCs w:val="24"/>
        </w:rPr>
        <w:t xml:space="preserve">El Sujeto Obligado </w:t>
      </w:r>
      <w:r w:rsidR="009C5799" w:rsidRPr="008D58A8">
        <w:rPr>
          <w:rFonts w:ascii="Palatino Linotype" w:hAnsi="Palatino Linotype" w:cs="Arial"/>
          <w:sz w:val="24"/>
          <w:szCs w:val="24"/>
        </w:rPr>
        <w:t xml:space="preserve">se auxilia de diversas Coordinaciones, Direcciones y Departamentos para cumplir con sus fines y objetivos, resultando de nuestro interés </w:t>
      </w:r>
      <w:r w:rsidR="00B465FF" w:rsidRPr="008D58A8">
        <w:rPr>
          <w:rFonts w:ascii="Palatino Linotype" w:hAnsi="Palatino Linotype" w:cs="Arial"/>
          <w:sz w:val="24"/>
          <w:szCs w:val="24"/>
        </w:rPr>
        <w:t xml:space="preserve">la Unidad jurídica y de igualdad de género, así como el órgano interno de control. </w:t>
      </w:r>
    </w:p>
    <w:p w14:paraId="45508E9C" w14:textId="71D10D95" w:rsidR="00B465FF" w:rsidRPr="008D58A8" w:rsidRDefault="00B465FF" w:rsidP="00B465FF">
      <w:pPr>
        <w:autoSpaceDE w:val="0"/>
        <w:autoSpaceDN w:val="0"/>
        <w:adjustRightInd w:val="0"/>
        <w:spacing w:before="240" w:line="360" w:lineRule="auto"/>
        <w:jc w:val="both"/>
        <w:rPr>
          <w:rFonts w:ascii="Palatino Linotype" w:hAnsi="Palatino Linotype" w:cs="Arial"/>
          <w:sz w:val="24"/>
          <w:szCs w:val="24"/>
        </w:rPr>
      </w:pPr>
      <w:r w:rsidRPr="008D58A8">
        <w:rPr>
          <w:rFonts w:ascii="Palatino Linotype" w:hAnsi="Palatino Linotype" w:cs="Arial"/>
          <w:sz w:val="24"/>
          <w:szCs w:val="24"/>
        </w:rPr>
        <w:t xml:space="preserve"> En virtud de lo anterior, para delimitar las fronteras competenciales de la unidad administrativa en cita, resulta oportuno traer a colación los artículos </w:t>
      </w:r>
      <w:r w:rsidR="007747DF" w:rsidRPr="008D58A8">
        <w:rPr>
          <w:rFonts w:ascii="Palatino Linotype" w:hAnsi="Palatino Linotype" w:cs="Arial"/>
          <w:sz w:val="24"/>
          <w:szCs w:val="24"/>
        </w:rPr>
        <w:t xml:space="preserve">3, 50 y 52 de la Ley de responsabilidades administrativas del Estado de México y Municipios; numerales 20 al 23 del Reglamento interior del Colegio de Estudios Científicos y Tecnológicos del Estado de México; </w:t>
      </w:r>
      <w:r w:rsidR="002E043D" w:rsidRPr="008D58A8">
        <w:rPr>
          <w:rFonts w:ascii="Palatino Linotype" w:hAnsi="Palatino Linotype" w:cs="Arial"/>
          <w:sz w:val="24"/>
          <w:szCs w:val="24"/>
        </w:rPr>
        <w:t xml:space="preserve">así como los apartados </w:t>
      </w:r>
      <w:r w:rsidR="002E043D" w:rsidRPr="008D58A8">
        <w:rPr>
          <w:rFonts w:ascii="Palatino Linotype" w:hAnsi="Palatino Linotype"/>
          <w:b/>
          <w:bCs/>
          <w:sz w:val="24"/>
          <w:szCs w:val="24"/>
        </w:rPr>
        <w:t>210C0401010000S</w:t>
      </w:r>
      <w:r w:rsidR="002E043D" w:rsidRPr="008D58A8">
        <w:rPr>
          <w:rFonts w:ascii="Palatino Linotype" w:hAnsi="Palatino Linotype"/>
          <w:sz w:val="24"/>
          <w:szCs w:val="24"/>
        </w:rPr>
        <w:t xml:space="preserve"> “Unidad jurídica y de igualdad de género” y </w:t>
      </w:r>
      <w:r w:rsidR="002E043D" w:rsidRPr="008D58A8">
        <w:rPr>
          <w:rFonts w:ascii="Palatino Linotype" w:hAnsi="Palatino Linotype"/>
          <w:b/>
          <w:bCs/>
          <w:sz w:val="24"/>
          <w:szCs w:val="24"/>
        </w:rPr>
        <w:t xml:space="preserve">210C0401000100S </w:t>
      </w:r>
      <w:r w:rsidR="002E043D" w:rsidRPr="008D58A8">
        <w:rPr>
          <w:rFonts w:ascii="Palatino Linotype" w:hAnsi="Palatino Linotype"/>
          <w:sz w:val="24"/>
          <w:szCs w:val="24"/>
        </w:rPr>
        <w:t xml:space="preserve">“Órgano Interno de Control” del Manual general de organización del Colegio de Estudios Científicos y Tecnológicos del Estado de México, porciones normativas que disponen a la literalidad lo siguiente: </w:t>
      </w:r>
    </w:p>
    <w:p w14:paraId="3497C9DF" w14:textId="77777777" w:rsidR="007747DF" w:rsidRPr="008D58A8" w:rsidRDefault="007747DF" w:rsidP="007747DF">
      <w:pPr>
        <w:pStyle w:val="Citas"/>
        <w:jc w:val="center"/>
        <w:rPr>
          <w:b/>
          <w:bCs/>
          <w:i w:val="0"/>
          <w:iCs/>
        </w:rPr>
      </w:pPr>
      <w:r w:rsidRPr="008D58A8">
        <w:rPr>
          <w:b/>
          <w:bCs/>
          <w:i w:val="0"/>
          <w:iCs/>
        </w:rPr>
        <w:t>LEY DE RESPONSABILIDADES ADMINISTRATIVAS DEL ESTADO DE MÉXICO Y MUNICIPIOS</w:t>
      </w:r>
    </w:p>
    <w:p w14:paraId="3E284E4F" w14:textId="77777777" w:rsidR="007747DF" w:rsidRPr="008D58A8" w:rsidRDefault="007747DF" w:rsidP="007747DF">
      <w:pPr>
        <w:pStyle w:val="Citas"/>
      </w:pPr>
      <w:r w:rsidRPr="008D58A8">
        <w:t>“Artículo 3. Para los efectos de la presente Ley, se entenderá por:</w:t>
      </w:r>
    </w:p>
    <w:p w14:paraId="2B50F32C" w14:textId="77777777" w:rsidR="007747DF" w:rsidRPr="008D58A8" w:rsidRDefault="007747DF" w:rsidP="007747DF">
      <w:pPr>
        <w:pStyle w:val="Citas"/>
      </w:pPr>
      <w:r w:rsidRPr="008D58A8">
        <w:t>(…)</w:t>
      </w:r>
    </w:p>
    <w:p w14:paraId="5B8D9F46" w14:textId="77777777" w:rsidR="007747DF" w:rsidRPr="008D58A8" w:rsidRDefault="007747DF" w:rsidP="007747DF">
      <w:pPr>
        <w:pStyle w:val="Citas"/>
      </w:pPr>
      <w:r w:rsidRPr="008D58A8">
        <w:t xml:space="preserve">I. Autoridad investigadora: A la autoridad adscrita a la Secretaría de la Contraloría, a los órganos internos de control, al Órgano Superior, así como a las unidades de responsabilidades de las empresas de participación estatal o municipal, encargadas de la investigación de las faltas administrativas. </w:t>
      </w:r>
    </w:p>
    <w:p w14:paraId="6324146C" w14:textId="77777777" w:rsidR="007747DF" w:rsidRPr="008D58A8" w:rsidRDefault="007747DF" w:rsidP="007747DF">
      <w:pPr>
        <w:pStyle w:val="Citas"/>
      </w:pPr>
      <w:r w:rsidRPr="008D58A8">
        <w:lastRenderedPageBreak/>
        <w:t>II. Autoridad substanciadora: A la autoridad adscrita a la Secretaría de la Contraloría, a los órganos internos de control, al Órgano Superior, así como a las unidades de responsabilidades de las empresas de participación estatal o municipal que, en el ámbito de su competencia, dirigen y conducen el procedimiento de responsabilidades administrativas desde la admisión del informe de presunta responsabilidad administrativa y hasta la conclusión de la audiencia inicial. La función de la autoridad substanciadora, en ningún caso podrá ser ejercida por una autoridad investigadora.</w:t>
      </w:r>
    </w:p>
    <w:p w14:paraId="7A3064D3" w14:textId="77777777" w:rsidR="007747DF" w:rsidRPr="008D58A8" w:rsidRDefault="007747DF" w:rsidP="007747DF">
      <w:pPr>
        <w:pStyle w:val="Citas"/>
      </w:pPr>
      <w:r w:rsidRPr="008D58A8">
        <w:t xml:space="preserve"> III. Autoridad resolutora: A la unidad de responsabilidades administrativas adscrita a la Secretaría de la Contraloría y a los órganos internos de control o al servidor público que éstos últimos asignen, así como la de las empresas de participación estatal y municipal, tratándose de faltas administrativas no graves. En el supuesto de faltas administrativas graves, así como para las faltas de particulares lo será el Tribunal.</w:t>
      </w:r>
    </w:p>
    <w:p w14:paraId="2D98DA94" w14:textId="77777777" w:rsidR="007747DF" w:rsidRPr="008D58A8" w:rsidRDefault="007747DF" w:rsidP="007747DF">
      <w:pPr>
        <w:pStyle w:val="Citas"/>
        <w:rPr>
          <w:b/>
          <w:bCs/>
          <w:u w:val="single"/>
        </w:rPr>
      </w:pPr>
      <w:r w:rsidRPr="008D58A8">
        <w:t>Artículo 50. Incurre en falta administrativa no grave, el servidor público que con sus actos u omisiones, incumpla o transgreda las obligaciones siguientes</w:t>
      </w:r>
      <w:r w:rsidRPr="008D58A8">
        <w:rPr>
          <w:b/>
          <w:bCs/>
          <w:u w:val="single"/>
        </w:rPr>
        <w:t>:</w:t>
      </w:r>
    </w:p>
    <w:p w14:paraId="5C063735" w14:textId="77777777" w:rsidR="007747DF" w:rsidRPr="008D58A8" w:rsidRDefault="007747DF" w:rsidP="007747DF">
      <w:pPr>
        <w:pStyle w:val="Citas"/>
      </w:pPr>
      <w:r w:rsidRPr="008D58A8">
        <w:t>(…)</w:t>
      </w:r>
    </w:p>
    <w:p w14:paraId="7580C51E" w14:textId="77777777" w:rsidR="007747DF" w:rsidRPr="008D58A8" w:rsidRDefault="007747DF" w:rsidP="007747DF">
      <w:pPr>
        <w:pStyle w:val="Citas"/>
      </w:pPr>
      <w:r w:rsidRPr="008D58A8">
        <w:t>Artículo 52. Para efectos de la presente Ley, se consideran faltas administrativas graves de los servidores públicos, mediante cualquier acto u omisión, las siguientes:</w:t>
      </w:r>
    </w:p>
    <w:p w14:paraId="6816FA12" w14:textId="77777777" w:rsidR="007747DF" w:rsidRPr="008D58A8" w:rsidRDefault="007747DF" w:rsidP="007747DF">
      <w:pPr>
        <w:pStyle w:val="Citas"/>
        <w:rPr>
          <w:b/>
          <w:bCs/>
          <w:sz w:val="24"/>
          <w:szCs w:val="24"/>
        </w:rPr>
      </w:pPr>
      <w:r w:rsidRPr="008D58A8">
        <w:t xml:space="preserve">(…)” </w:t>
      </w:r>
      <w:r w:rsidRPr="008D58A8">
        <w:rPr>
          <w:b/>
          <w:bCs/>
        </w:rPr>
        <w:t>(Sic)</w:t>
      </w:r>
    </w:p>
    <w:p w14:paraId="604F903E" w14:textId="77777777" w:rsidR="007747DF" w:rsidRPr="008D58A8" w:rsidRDefault="007747DF" w:rsidP="00EB58BC">
      <w:pPr>
        <w:pStyle w:val="Citas"/>
      </w:pPr>
    </w:p>
    <w:p w14:paraId="2DA4F2A7" w14:textId="5A56E641" w:rsidR="00B465FF" w:rsidRPr="008D58A8" w:rsidRDefault="007747DF" w:rsidP="00EB58BC">
      <w:pPr>
        <w:pStyle w:val="Citas"/>
        <w:rPr>
          <w:b/>
          <w:bCs/>
          <w:i w:val="0"/>
          <w:iCs/>
        </w:rPr>
      </w:pPr>
      <w:r w:rsidRPr="008D58A8">
        <w:rPr>
          <w:b/>
          <w:bCs/>
          <w:i w:val="0"/>
          <w:iCs/>
        </w:rPr>
        <w:t xml:space="preserve">REGLAMENTO INTERIOR DEL COLEGIO DE ESTUDIOS CIENTÍFICOS Y TECNOLÓGICOS DEL ESTADO DE MÉXICO </w:t>
      </w:r>
    </w:p>
    <w:p w14:paraId="58AE93CB" w14:textId="7C260520" w:rsidR="00EB58BC" w:rsidRPr="008D58A8" w:rsidRDefault="007747DF" w:rsidP="00EB58BC">
      <w:pPr>
        <w:pStyle w:val="Citas"/>
      </w:pPr>
      <w:r w:rsidRPr="008D58A8">
        <w:lastRenderedPageBreak/>
        <w:t>“</w:t>
      </w:r>
      <w:r w:rsidR="00EB58BC" w:rsidRPr="008D58A8">
        <w:t>Artículo 20.- Corresponde a la Unidad Jurídica y de Igualdad de Género:</w:t>
      </w:r>
    </w:p>
    <w:p w14:paraId="0355A74B" w14:textId="77777777" w:rsidR="00EB58BC" w:rsidRPr="008D58A8" w:rsidRDefault="00EB58BC" w:rsidP="00EB58BC">
      <w:pPr>
        <w:pStyle w:val="Citas"/>
      </w:pPr>
      <w:r w:rsidRPr="008D58A8">
        <w:t xml:space="preserve">I. Supervisar la aplicación de las disposiciones jurídicas que regulan el funcionamiento del Colegio; </w:t>
      </w:r>
    </w:p>
    <w:p w14:paraId="7206E8CE" w14:textId="77777777" w:rsidR="00EB58BC" w:rsidRPr="008D58A8" w:rsidRDefault="00EB58BC" w:rsidP="00EB58BC">
      <w:pPr>
        <w:pStyle w:val="Citas"/>
      </w:pPr>
      <w:r w:rsidRPr="008D58A8">
        <w:t xml:space="preserve">II. Atender en el ámbito de su competencia, los juicios en los que el Colegio sea parte; </w:t>
      </w:r>
    </w:p>
    <w:p w14:paraId="33F7F163" w14:textId="77777777" w:rsidR="00EB58BC" w:rsidRPr="008D58A8" w:rsidRDefault="00EB58BC" w:rsidP="00EB58BC">
      <w:pPr>
        <w:pStyle w:val="Citas"/>
        <w:rPr>
          <w:b/>
          <w:bCs/>
          <w:u w:val="single"/>
        </w:rPr>
      </w:pPr>
      <w:r w:rsidRPr="008D58A8">
        <w:rPr>
          <w:b/>
          <w:bCs/>
          <w:u w:val="single"/>
        </w:rPr>
        <w:t xml:space="preserve">III. Representar formalmente al Colegio en los asuntos jurisdiccionales, con los poderes específicos que le otorgue el titular de la Dirección General; </w:t>
      </w:r>
    </w:p>
    <w:p w14:paraId="36EABDBF" w14:textId="77777777" w:rsidR="00EB58BC" w:rsidRPr="008D58A8" w:rsidRDefault="00EB58BC" w:rsidP="00EB58BC">
      <w:pPr>
        <w:pStyle w:val="Citas"/>
      </w:pPr>
      <w:r w:rsidRPr="008D58A8">
        <w:t xml:space="preserve">IV. Gestionar la regularización de la tenencia y propiedad o posesión de los inmuebles donde se encuentran ubicados los planteles educativos; así como vigilar la legalidad de los actos jurídicos, administrativos, fiscales y catastrales de los mismos; </w:t>
      </w:r>
    </w:p>
    <w:p w14:paraId="0DA0D784" w14:textId="77777777" w:rsidR="00EB58BC" w:rsidRPr="008D58A8" w:rsidRDefault="00EB58BC" w:rsidP="00EB58BC">
      <w:pPr>
        <w:pStyle w:val="Citas"/>
      </w:pPr>
      <w:r w:rsidRPr="008D58A8">
        <w:t xml:space="preserve">V. Instrumentar y/o revisar los contratos en donde el Colegio intervenga como parte contratante; </w:t>
      </w:r>
    </w:p>
    <w:p w14:paraId="247A5CC3" w14:textId="77777777" w:rsidR="00EB58BC" w:rsidRPr="008D58A8" w:rsidRDefault="00EB58BC" w:rsidP="00EB58BC">
      <w:pPr>
        <w:pStyle w:val="Citas"/>
      </w:pPr>
      <w:r w:rsidRPr="008D58A8">
        <w:t xml:space="preserve">VI. Instrumentar y/o revisar los convenios de colaboración con instituciones, sectores productivos, académicos o de cualquier otra índole que pretenda suscribir el Colegio; </w:t>
      </w:r>
    </w:p>
    <w:p w14:paraId="540302F0" w14:textId="77777777" w:rsidR="00EB58BC" w:rsidRPr="008D58A8" w:rsidRDefault="00EB58BC" w:rsidP="00EB58BC">
      <w:pPr>
        <w:pStyle w:val="Citas"/>
      </w:pPr>
      <w:r w:rsidRPr="008D58A8">
        <w:rPr>
          <w:b/>
          <w:bCs/>
          <w:u w:val="single"/>
        </w:rPr>
        <w:t>VII. Brindar asesoría legal, jurídica y de legislación al titular de la Dirección General; así como a los titulares de las unidades administrativas del Colegio;</w:t>
      </w:r>
      <w:r w:rsidRPr="008D58A8">
        <w:t xml:space="preserve"> </w:t>
      </w:r>
    </w:p>
    <w:p w14:paraId="67785F48" w14:textId="77777777" w:rsidR="00EB58BC" w:rsidRPr="008D58A8" w:rsidRDefault="00EB58BC" w:rsidP="00EB58BC">
      <w:pPr>
        <w:pStyle w:val="Citas"/>
      </w:pPr>
      <w:r w:rsidRPr="008D58A8">
        <w:t xml:space="preserve">VIII. Integrar, verificar y actualizar con la participación que corresponda a las demás unidades administrativas del Colegio, los reglamentos, manuales administrativos y demás ordenamientos legales del Colegio y someterlos a la consideración del titular de la Dirección General; </w:t>
      </w:r>
    </w:p>
    <w:p w14:paraId="75B1677D" w14:textId="77777777" w:rsidR="00EB58BC" w:rsidRPr="008D58A8" w:rsidRDefault="00EB58BC" w:rsidP="00EB58BC">
      <w:pPr>
        <w:pStyle w:val="Citas"/>
      </w:pPr>
      <w:r w:rsidRPr="008D58A8">
        <w:lastRenderedPageBreak/>
        <w:t xml:space="preserve">IX. Realizar aquellas actividades y actos de cualquier naturaleza, en cumplimiento de sus facultades legales, jurídicas y administrativas; y </w:t>
      </w:r>
    </w:p>
    <w:p w14:paraId="0EADAB72" w14:textId="77777777" w:rsidR="00EB58BC" w:rsidRPr="008D58A8" w:rsidRDefault="00EB58BC" w:rsidP="00EB58BC">
      <w:pPr>
        <w:pStyle w:val="Citas"/>
      </w:pPr>
      <w:r w:rsidRPr="008D58A8">
        <w:rPr>
          <w:b/>
          <w:bCs/>
          <w:u w:val="single"/>
        </w:rPr>
        <w:t>X. Substanciar los procedimientos administrativos de su competencia, relacionados con el incumplimiento de las obligaciones inherentes a las funciones docentes o de dirección del personal adscrito a los planteles educativos y dictar resolución;</w:t>
      </w:r>
      <w:r w:rsidRPr="008D58A8">
        <w:t xml:space="preserve"> </w:t>
      </w:r>
    </w:p>
    <w:p w14:paraId="320BD5DB" w14:textId="77777777" w:rsidR="00EB58BC" w:rsidRPr="008D58A8" w:rsidRDefault="00EB58BC" w:rsidP="00EB58BC">
      <w:pPr>
        <w:pStyle w:val="Citas"/>
      </w:pPr>
      <w:r w:rsidRPr="008D58A8">
        <w:t xml:space="preserve">XI. Instrumentar las acciones necesarias para dar cumplimiento con lo establecido en la Ley de Acceso de las Mujeres a una Vida Libre de Violencia y en la Ley de Igualdad de Trato y Oportunidades entre Mujeres y Hombres, ambas del Estado de México y demás disposiciones relativas; y </w:t>
      </w:r>
    </w:p>
    <w:p w14:paraId="0EF8B806" w14:textId="3796DF93" w:rsidR="00EB58BC" w:rsidRPr="008D58A8" w:rsidRDefault="00EB58BC" w:rsidP="00EB58BC">
      <w:pPr>
        <w:pStyle w:val="Citas"/>
      </w:pPr>
      <w:r w:rsidRPr="008D58A8">
        <w:t>XII. Las demás que le confieran otras disposiciones jurídicas y aquellas que le encomiende el titular de la Dirección General.</w:t>
      </w:r>
    </w:p>
    <w:p w14:paraId="5B3549DF" w14:textId="6832E11F" w:rsidR="00EB58BC" w:rsidRPr="008D58A8" w:rsidRDefault="00EB58BC" w:rsidP="00EB58BC">
      <w:pPr>
        <w:pStyle w:val="Citas"/>
        <w:rPr>
          <w:b/>
          <w:bCs/>
          <w:u w:val="single"/>
        </w:rPr>
      </w:pPr>
      <w:r w:rsidRPr="008D58A8">
        <w:rPr>
          <w:b/>
          <w:bCs/>
          <w:u w:val="single"/>
        </w:rPr>
        <w:t>Artículo 21.- Estará adscrito orgánica y presupuestalmente al Colegio, un Órgano Interno de Control, cuyo titular depende funcionalmente de la Secretaría de la Contraloría con las atribuciones que se establecen en el Reglamento Interior de la Secretaría de la Contraloría y en los demás ordenamientos legales y administrativos aplicables.</w:t>
      </w:r>
    </w:p>
    <w:p w14:paraId="458EE195" w14:textId="77777777" w:rsidR="00EB58BC" w:rsidRPr="008D58A8" w:rsidRDefault="00EB58BC" w:rsidP="00EB58BC">
      <w:pPr>
        <w:pStyle w:val="Citas"/>
      </w:pPr>
      <w:r w:rsidRPr="008D58A8">
        <w:t xml:space="preserve">Artículo 22.- Para la atención y despacho de los asuntos de su competencia, el Colegio contará con planteles educativos que señale su estructura de organización autorizada, los cuales ejecutarán los planes y programas de estudio de su competencia. </w:t>
      </w:r>
    </w:p>
    <w:p w14:paraId="4456D33B" w14:textId="10D8A420" w:rsidR="00EB58BC" w:rsidRPr="008D58A8" w:rsidRDefault="00EB58BC" w:rsidP="00EB58BC">
      <w:pPr>
        <w:pStyle w:val="Citas"/>
        <w:rPr>
          <w:b/>
          <w:bCs/>
        </w:rPr>
      </w:pPr>
      <w:r w:rsidRPr="008D58A8">
        <w:rPr>
          <w:b/>
          <w:bCs/>
          <w:u w:val="single"/>
        </w:rPr>
        <w:lastRenderedPageBreak/>
        <w:t>Artículo 23.- Al frente de cada plantel educativo habrá un titular de la Dirección del Plantel, quien se auxiliará de las áreas administrativas y académicas que le sean autorizadas</w:t>
      </w:r>
      <w:r w:rsidR="007747DF" w:rsidRPr="008D58A8">
        <w:rPr>
          <w:b/>
          <w:bCs/>
          <w:u w:val="single"/>
        </w:rPr>
        <w:t xml:space="preserve">” </w:t>
      </w:r>
      <w:r w:rsidR="007747DF" w:rsidRPr="008D58A8">
        <w:rPr>
          <w:b/>
          <w:bCs/>
        </w:rPr>
        <w:t>(Sic)</w:t>
      </w:r>
    </w:p>
    <w:p w14:paraId="17BD1C24" w14:textId="77777777" w:rsidR="00EB58BC" w:rsidRPr="008D58A8" w:rsidRDefault="00EB58BC" w:rsidP="00E8308B">
      <w:pPr>
        <w:autoSpaceDE w:val="0"/>
        <w:autoSpaceDN w:val="0"/>
        <w:adjustRightInd w:val="0"/>
        <w:spacing w:before="240" w:line="360" w:lineRule="auto"/>
        <w:jc w:val="both"/>
        <w:rPr>
          <w:rFonts w:ascii="Palatino Linotype" w:hAnsi="Palatino Linotype" w:cs="Arial"/>
          <w:sz w:val="24"/>
          <w:szCs w:val="24"/>
        </w:rPr>
      </w:pPr>
    </w:p>
    <w:p w14:paraId="4568ED63" w14:textId="4DF81F8B" w:rsidR="00EB58BC" w:rsidRPr="008D58A8" w:rsidRDefault="002E043D" w:rsidP="002E043D">
      <w:pPr>
        <w:pStyle w:val="Citas"/>
        <w:rPr>
          <w:b/>
          <w:bCs/>
          <w:i w:val="0"/>
          <w:iCs/>
        </w:rPr>
      </w:pPr>
      <w:bookmarkStart w:id="1" w:name="_Hlk156822064"/>
      <w:r w:rsidRPr="008D58A8">
        <w:rPr>
          <w:b/>
          <w:bCs/>
          <w:i w:val="0"/>
          <w:iCs/>
        </w:rPr>
        <w:t xml:space="preserve">MANUAL GENERAL DE ORGANIZACIÓN DEL COLEGIO DE ESTUDIOS CIENTÍFICOS Y TECNOLÓGICOS DEL ESTADO DE MÉXICO </w:t>
      </w:r>
    </w:p>
    <w:p w14:paraId="09324E52" w14:textId="088EC308" w:rsidR="002E043D" w:rsidRPr="008D58A8" w:rsidRDefault="002E043D" w:rsidP="002E043D">
      <w:pPr>
        <w:pStyle w:val="CitasINFOEM"/>
        <w:rPr>
          <w:b/>
          <w:bCs/>
        </w:rPr>
      </w:pPr>
      <w:r w:rsidRPr="008D58A8">
        <w:rPr>
          <w:b/>
          <w:bCs/>
        </w:rPr>
        <w:t>“</w:t>
      </w:r>
      <w:r w:rsidR="007747DF" w:rsidRPr="008D58A8">
        <w:rPr>
          <w:b/>
          <w:bCs/>
        </w:rPr>
        <w:t>210C0401010000S UNIDAD JURÍDICA Y DE IGUALDAD DE GÉNERO</w:t>
      </w:r>
      <w:bookmarkEnd w:id="1"/>
      <w:r w:rsidR="007747DF" w:rsidRPr="008D58A8">
        <w:rPr>
          <w:b/>
          <w:bCs/>
        </w:rPr>
        <w:t xml:space="preserve"> </w:t>
      </w:r>
    </w:p>
    <w:p w14:paraId="1A5FEA04" w14:textId="77777777" w:rsidR="002E043D" w:rsidRPr="008D58A8" w:rsidRDefault="007747DF" w:rsidP="002E043D">
      <w:pPr>
        <w:pStyle w:val="CitasINFOEM"/>
      </w:pPr>
      <w:r w:rsidRPr="008D58A8">
        <w:t xml:space="preserve">OBJETIVO: Orientar y asesorar jurídicamente al personal responsable de las actividades sustantivas y adjetivas que realiza el Colegio, así como formular, sistematizar y proponer los instrumentos jurídicos que al efecto se requieren, apegándose al marco estricto de la ley; y representar legalmente a la Institución en los asuntos judiciales que le correspondan, además de instrumentar programas, proyectos y políticas públicas que permitan incorporar la perspectiva de género al interior de la Institución Educativa, con el fin de promover e impulsar una cultura de respeto, condiciones de igualdad y oportunidad entre mujeres y hombres, y erradicar la violencia y la discriminación. </w:t>
      </w:r>
    </w:p>
    <w:p w14:paraId="5A1C322B" w14:textId="67DCBD88" w:rsidR="00EB58BC" w:rsidRPr="008D58A8" w:rsidRDefault="007747DF" w:rsidP="002E043D">
      <w:pPr>
        <w:pStyle w:val="CitasINFOEM"/>
      </w:pPr>
      <w:r w:rsidRPr="008D58A8">
        <w:t>FUNCIONES:</w:t>
      </w:r>
    </w:p>
    <w:p w14:paraId="4FF584A2" w14:textId="395CB0FB" w:rsidR="007747DF" w:rsidRPr="008D58A8" w:rsidRDefault="007747DF" w:rsidP="002E043D">
      <w:pPr>
        <w:pStyle w:val="CitasINFOEM"/>
      </w:pPr>
      <w:r w:rsidRPr="008D58A8">
        <w:t>(…)</w:t>
      </w:r>
    </w:p>
    <w:p w14:paraId="521757F8" w14:textId="77777777" w:rsidR="007747DF" w:rsidRPr="008D58A8" w:rsidRDefault="007747DF" w:rsidP="002E043D">
      <w:pPr>
        <w:pStyle w:val="CitasINFOEM"/>
      </w:pPr>
      <w:r w:rsidRPr="008D58A8">
        <w:t xml:space="preserve">Proporcionar los servicios de consultoría legal, asesoría jurídica y legislación a la Dirección General, unidades administrativas y planteles que lo soliciten, a fin de que cumplan con sus funciones, a través de la observancia de las disposiciones jurídicas. </w:t>
      </w:r>
    </w:p>
    <w:p w14:paraId="1EC702F5" w14:textId="27D9301C" w:rsidR="007747DF" w:rsidRPr="008D58A8" w:rsidRDefault="007747DF" w:rsidP="002E043D">
      <w:pPr>
        <w:pStyle w:val="CitasINFOEM"/>
      </w:pPr>
      <w:r w:rsidRPr="008D58A8">
        <w:lastRenderedPageBreak/>
        <w:t>Analizar los asuntos jurídicos que propongan la Junta Directiva, la Dirección General, las unidades administrativas y planteles del Colegio, emitir opinión de éstos y efectuar, en su caso, los trámites que se deriven ante las instancias judiciales que procedan.</w:t>
      </w:r>
    </w:p>
    <w:p w14:paraId="00ADD1E7" w14:textId="410B52F3" w:rsidR="007747DF" w:rsidRPr="008D58A8" w:rsidRDefault="007747DF" w:rsidP="002E043D">
      <w:pPr>
        <w:pStyle w:val="CitasINFOEM"/>
      </w:pPr>
      <w:r w:rsidRPr="008D58A8">
        <w:t>(…)</w:t>
      </w:r>
    </w:p>
    <w:p w14:paraId="66FB0C63" w14:textId="6CA16C99" w:rsidR="007747DF" w:rsidRPr="008D58A8" w:rsidRDefault="007747DF" w:rsidP="002E043D">
      <w:pPr>
        <w:pStyle w:val="CitasINFOEM"/>
      </w:pPr>
      <w:r w:rsidRPr="008D58A8">
        <w:t>Contestar, intervenir y dar seguimiento a las diligencias, procedimientos y demandas que se promuevan ante diversas autoridades del orden penal, civil, laboral, administrativo, o de cualquier otra índole, para resolver controversias en las que el organismo sea parte, en busca de una solución favorable a éste, e informar mensualmente a la Dirección General sobre los avance</w:t>
      </w:r>
      <w:r w:rsidR="002E043D" w:rsidRPr="008D58A8">
        <w:t>s</w:t>
      </w:r>
    </w:p>
    <w:p w14:paraId="76095E77" w14:textId="724D9328" w:rsidR="007747DF" w:rsidRPr="008D58A8" w:rsidRDefault="007747DF" w:rsidP="002E043D">
      <w:pPr>
        <w:pStyle w:val="CitasINFOEM"/>
      </w:pPr>
      <w:r w:rsidRPr="008D58A8">
        <w:t>(…)</w:t>
      </w:r>
    </w:p>
    <w:p w14:paraId="70AC17A6" w14:textId="288E3011" w:rsidR="007747DF" w:rsidRPr="008D58A8" w:rsidRDefault="007747DF" w:rsidP="002E043D">
      <w:pPr>
        <w:pStyle w:val="CitasINFOEM"/>
        <w:rPr>
          <w:b/>
          <w:bCs/>
          <w:u w:val="single"/>
        </w:rPr>
      </w:pPr>
      <w:r w:rsidRPr="008D58A8">
        <w:rPr>
          <w:b/>
          <w:bCs/>
          <w:u w:val="single"/>
        </w:rPr>
        <w:t>Notificar al personal docente, los inicios y resoluciones dictadas en los procedimientos administrativos</w:t>
      </w:r>
    </w:p>
    <w:p w14:paraId="168CFD62" w14:textId="3EC20305" w:rsidR="007747DF" w:rsidRPr="008D58A8" w:rsidRDefault="007747DF" w:rsidP="002E043D">
      <w:pPr>
        <w:pStyle w:val="CitasINFOEM"/>
      </w:pPr>
      <w:r w:rsidRPr="008D58A8">
        <w:t>(…)</w:t>
      </w:r>
    </w:p>
    <w:p w14:paraId="31FEFE39" w14:textId="572ABA1F" w:rsidR="007747DF" w:rsidRPr="008D58A8" w:rsidRDefault="007747DF" w:rsidP="002E043D">
      <w:pPr>
        <w:pStyle w:val="CitasINFOEM"/>
      </w:pPr>
      <w:r w:rsidRPr="008D58A8">
        <w:t>Desarrollar las demás funciones inherentes al área de su competencia.</w:t>
      </w:r>
    </w:p>
    <w:p w14:paraId="563F0898" w14:textId="77777777" w:rsidR="002E043D" w:rsidRPr="008D58A8" w:rsidRDefault="007747DF" w:rsidP="002E043D">
      <w:pPr>
        <w:pStyle w:val="CitasINFOEM"/>
      </w:pPr>
      <w:bookmarkStart w:id="2" w:name="_Hlk156822074"/>
      <w:r w:rsidRPr="008D58A8">
        <w:t xml:space="preserve">210C0401000100S ÓRGANO INTERNO DE CONTROL </w:t>
      </w:r>
      <w:bookmarkEnd w:id="2"/>
    </w:p>
    <w:p w14:paraId="78E17AE7" w14:textId="77777777" w:rsidR="002E043D" w:rsidRPr="008D58A8" w:rsidRDefault="007747DF" w:rsidP="002E043D">
      <w:pPr>
        <w:pStyle w:val="CitasINFOEM"/>
      </w:pPr>
      <w:r w:rsidRPr="008D58A8">
        <w:t xml:space="preserve">OBJETIVO: Llevar a cabo las acciones de auditoria, control, vigilancia, quejas, responsabilidades y evaluación, tendientes a verificar la operación, el manejo y ejercicio de los recursos humanos, materiales y financieros del Colegio de Estudios Científicos y Tecnológicos del Estado de México, y determinar las presuntas responsabilidades administrativas en cumplimiento con la normatividad. </w:t>
      </w:r>
    </w:p>
    <w:p w14:paraId="645B9027" w14:textId="4B398649" w:rsidR="007747DF" w:rsidRPr="008D58A8" w:rsidRDefault="007747DF" w:rsidP="002E043D">
      <w:pPr>
        <w:pStyle w:val="CitasINFOEM"/>
      </w:pPr>
      <w:r w:rsidRPr="008D58A8">
        <w:lastRenderedPageBreak/>
        <w:t>FUNCIONES:</w:t>
      </w:r>
    </w:p>
    <w:p w14:paraId="1457CB69" w14:textId="1DE1348C" w:rsidR="007747DF" w:rsidRPr="008D58A8" w:rsidRDefault="007747DF" w:rsidP="002E043D">
      <w:pPr>
        <w:pStyle w:val="CitasINFOEM"/>
      </w:pPr>
      <w:r w:rsidRPr="008D58A8">
        <w:t>(…)</w:t>
      </w:r>
    </w:p>
    <w:p w14:paraId="7B543F6E" w14:textId="60010839" w:rsidR="007747DF" w:rsidRPr="008D58A8" w:rsidRDefault="007747DF" w:rsidP="002E043D">
      <w:pPr>
        <w:pStyle w:val="CitasINFOEM"/>
      </w:pPr>
      <w:r w:rsidRPr="008D58A8">
        <w:t>Analizar y evaluar los sistemas y procedimientos de auditoría, control interno, investigación, substanciación, responsabilidades, quejas y denuncias, de conformidad con la Ley de Responsabilidades Administrativas del Estado de México y Municipios.</w:t>
      </w:r>
    </w:p>
    <w:p w14:paraId="46D51FC3" w14:textId="1C3C7146" w:rsidR="007747DF" w:rsidRPr="008D58A8" w:rsidRDefault="007747DF" w:rsidP="002E043D">
      <w:pPr>
        <w:pStyle w:val="CitasINFOEM"/>
      </w:pPr>
      <w:r w:rsidRPr="008D58A8">
        <w:t>(…)</w:t>
      </w:r>
    </w:p>
    <w:p w14:paraId="7ACDA742" w14:textId="77777777" w:rsidR="007747DF" w:rsidRPr="008D58A8" w:rsidRDefault="007747DF" w:rsidP="002E043D">
      <w:pPr>
        <w:pStyle w:val="CitasINFOEM"/>
      </w:pPr>
      <w:r w:rsidRPr="008D58A8">
        <w:t xml:space="preserve">Recibir y dar seguimiento a las quejas y denuncias que se presenten en contra de las servidoras y los servidores públicos del Colegio y, en su caso, la instauración del procedimiento administrativo, e imponer las sanciones correspondientes conforme a la Ley de Responsabilidades Administrativas del Estado de México y Municipios. </w:t>
      </w:r>
    </w:p>
    <w:p w14:paraId="73A64136" w14:textId="77777777" w:rsidR="007747DF" w:rsidRPr="008D58A8" w:rsidRDefault="007747DF" w:rsidP="002E043D">
      <w:pPr>
        <w:pStyle w:val="CitasINFOEM"/>
      </w:pPr>
      <w:r w:rsidRPr="008D58A8">
        <w:t xml:space="preserve">Instrumentar los procedimientos administrativos disciplinarios al personal de la Institución e imponer, en su caso, las sanciones que correspondan en los términos de la Ley de Responsabilidades Administrativas del Estado de México y Municipios, cuando se trate de faltas administrativas calificadas como no graves. </w:t>
      </w:r>
    </w:p>
    <w:p w14:paraId="01B13003" w14:textId="008B1B62" w:rsidR="007747DF" w:rsidRPr="008D58A8" w:rsidRDefault="007747DF" w:rsidP="002E043D">
      <w:pPr>
        <w:pStyle w:val="CitasINFOEM"/>
      </w:pPr>
      <w:r w:rsidRPr="008D58A8">
        <w:t>Remitir al Tribunal de Justicia Administrativa del Estado de México, los expedientes de responsabilidad administrativa cuando se trate de faltas administrativas calificadas como graves en términos de la Ley de Responsabilidades Administrativas del Estado de México y Municipios</w:t>
      </w:r>
    </w:p>
    <w:p w14:paraId="1AC63C08" w14:textId="3167A23C" w:rsidR="007747DF" w:rsidRPr="008D58A8" w:rsidRDefault="007747DF" w:rsidP="002E043D">
      <w:pPr>
        <w:pStyle w:val="CitasINFOEM"/>
        <w:rPr>
          <w:b/>
          <w:bCs/>
        </w:rPr>
      </w:pPr>
      <w:r w:rsidRPr="008D58A8">
        <w:t>(…)</w:t>
      </w:r>
      <w:r w:rsidR="000B37C1" w:rsidRPr="008D58A8">
        <w:t xml:space="preserve">” </w:t>
      </w:r>
      <w:r w:rsidR="000B37C1" w:rsidRPr="008D58A8">
        <w:rPr>
          <w:b/>
          <w:bCs/>
        </w:rPr>
        <w:t>(Sic)</w:t>
      </w:r>
    </w:p>
    <w:p w14:paraId="4C11B75C" w14:textId="77777777" w:rsidR="007747DF" w:rsidRPr="008D58A8" w:rsidRDefault="007747DF" w:rsidP="00E8308B">
      <w:pPr>
        <w:autoSpaceDE w:val="0"/>
        <w:autoSpaceDN w:val="0"/>
        <w:adjustRightInd w:val="0"/>
        <w:spacing w:before="240" w:line="360" w:lineRule="auto"/>
        <w:jc w:val="both"/>
      </w:pPr>
    </w:p>
    <w:p w14:paraId="7EB88C87" w14:textId="77BFDCEF" w:rsidR="000B37C1" w:rsidRPr="008D58A8" w:rsidRDefault="000B37C1" w:rsidP="000B37C1">
      <w:pPr>
        <w:pStyle w:val="Sinespaciado"/>
        <w:spacing w:line="360" w:lineRule="auto"/>
        <w:jc w:val="both"/>
        <w:rPr>
          <w:rFonts w:ascii="Palatino Linotype" w:hAnsi="Palatino Linotype" w:cs="Arial"/>
        </w:rPr>
      </w:pPr>
      <w:r w:rsidRPr="008D58A8">
        <w:rPr>
          <w:rFonts w:ascii="Palatino Linotype" w:hAnsi="Palatino Linotype" w:cs="Arial"/>
        </w:rPr>
        <w:lastRenderedPageBreak/>
        <w:t>Del análisis sistemático y armónico de la normatividad previamente plasmada se desprende que una de las atribuciones reservadas al Órgano Interno de Control estriba en la investigación, sustanciación y resolución de controversias en materia de responsabilidades administrativas</w:t>
      </w:r>
      <w:r w:rsidR="00631FD7" w:rsidRPr="008D58A8">
        <w:rPr>
          <w:rFonts w:ascii="Palatino Linotype" w:hAnsi="Palatino Linotype" w:cs="Arial"/>
        </w:rPr>
        <w:t xml:space="preserve">, sin embargo, por disposición expresa, dicha unidad </w:t>
      </w:r>
      <w:r w:rsidR="002766A4" w:rsidRPr="008D58A8">
        <w:rPr>
          <w:rFonts w:ascii="Palatino Linotype" w:hAnsi="Palatino Linotype" w:cs="Arial"/>
        </w:rPr>
        <w:t xml:space="preserve">administrativa depende funcionalmente de la Secretaría de la Contraloría. En contraste, la unidad jurídica y de igualdad de género representa legalmente al </w:t>
      </w:r>
      <w:r w:rsidR="002766A4" w:rsidRPr="008D58A8">
        <w:rPr>
          <w:rFonts w:ascii="Palatino Linotype" w:hAnsi="Palatino Linotype" w:cs="Arial"/>
          <w:b/>
          <w:bCs/>
        </w:rPr>
        <w:t xml:space="preserve">Sujeto Obligado </w:t>
      </w:r>
      <w:r w:rsidR="002766A4" w:rsidRPr="008D58A8">
        <w:rPr>
          <w:rFonts w:ascii="Palatino Linotype" w:hAnsi="Palatino Linotype" w:cs="Arial"/>
        </w:rPr>
        <w:t>e incluso</w:t>
      </w:r>
      <w:r w:rsidR="00E91DCA" w:rsidRPr="008D58A8">
        <w:rPr>
          <w:rFonts w:ascii="Palatino Linotype" w:hAnsi="Palatino Linotype" w:cs="Arial"/>
        </w:rPr>
        <w:t xml:space="preserve"> brindar asesoría legal a los titulares de las unidades administrativas, es decir, puede tener conocimiento respecto de las denuncias en materia administrativa. </w:t>
      </w:r>
    </w:p>
    <w:p w14:paraId="7B3B4EFE" w14:textId="77777777" w:rsidR="002766A4" w:rsidRPr="008D58A8" w:rsidRDefault="002766A4" w:rsidP="000B37C1">
      <w:pPr>
        <w:pStyle w:val="Sinespaciado"/>
        <w:spacing w:line="360" w:lineRule="auto"/>
        <w:jc w:val="both"/>
        <w:rPr>
          <w:rFonts w:ascii="Palatino Linotype" w:hAnsi="Palatino Linotype" w:cs="Arial"/>
        </w:rPr>
      </w:pPr>
    </w:p>
    <w:p w14:paraId="7A82003C" w14:textId="21C45A24" w:rsidR="00A6185A" w:rsidRPr="008D58A8" w:rsidRDefault="00402831" w:rsidP="00A6185A">
      <w:pPr>
        <w:spacing w:line="360" w:lineRule="auto"/>
        <w:jc w:val="both"/>
        <w:rPr>
          <w:rFonts w:ascii="Palatino Linotype" w:hAnsi="Palatino Linotype" w:cs="Arial"/>
          <w:sz w:val="24"/>
          <w:szCs w:val="24"/>
        </w:rPr>
      </w:pPr>
      <w:r w:rsidRPr="008D58A8">
        <w:rPr>
          <w:rFonts w:ascii="Palatino Linotype" w:hAnsi="Palatino Linotype"/>
          <w:sz w:val="24"/>
          <w:szCs w:val="24"/>
          <w:lang w:val="es-ES"/>
        </w:rPr>
        <w:t>Hasta aquí lo expuesto</w:t>
      </w:r>
      <w:r w:rsidR="00CD783C" w:rsidRPr="008D58A8">
        <w:rPr>
          <w:rFonts w:ascii="Palatino Linotype" w:hAnsi="Palatino Linotype"/>
          <w:sz w:val="24"/>
          <w:szCs w:val="24"/>
        </w:rPr>
        <w:t xml:space="preserve">, se desprende que la esfera competencial del </w:t>
      </w:r>
      <w:r w:rsidR="00CD783C" w:rsidRPr="008D58A8">
        <w:rPr>
          <w:rFonts w:ascii="Palatino Linotype" w:hAnsi="Palatino Linotype"/>
          <w:b/>
          <w:bCs/>
          <w:sz w:val="24"/>
          <w:szCs w:val="24"/>
        </w:rPr>
        <w:t xml:space="preserve">Sujeto Obligado </w:t>
      </w:r>
      <w:r w:rsidR="00CD783C" w:rsidRPr="008D58A8">
        <w:rPr>
          <w:rFonts w:ascii="Palatino Linotype" w:hAnsi="Palatino Linotype"/>
          <w:sz w:val="24"/>
          <w:szCs w:val="24"/>
        </w:rPr>
        <w:t xml:space="preserve">le constriñe a generar, poseer y administrar la información requerida. </w:t>
      </w:r>
      <w:r w:rsidR="00A6185A" w:rsidRPr="008D58A8">
        <w:rPr>
          <w:rFonts w:ascii="Palatino Linotype" w:hAnsi="Palatino Linotype" w:cs="Arial"/>
          <w:sz w:val="24"/>
          <w:szCs w:val="24"/>
        </w:rPr>
        <w:t xml:space="preserve">Bajo este contexto,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684FF335" w14:textId="77777777" w:rsidR="00A6185A" w:rsidRPr="008D58A8" w:rsidRDefault="00A6185A" w:rsidP="00A6185A">
      <w:pPr>
        <w:pStyle w:val="Citas"/>
      </w:pPr>
      <w:r w:rsidRPr="008D58A8">
        <w:t xml:space="preserve">“Artículo 18. Los sujetos obligados deberán documentar todo acto que derive del ejercicio de sus facultades, competencias o funciones, considerando desde su origen la eventual publicidad y reutilización de la información que generen. </w:t>
      </w:r>
    </w:p>
    <w:p w14:paraId="5E322A5E" w14:textId="77777777" w:rsidR="00A6185A" w:rsidRPr="008D58A8" w:rsidRDefault="00A6185A" w:rsidP="00A6185A">
      <w:pPr>
        <w:pStyle w:val="Citas"/>
      </w:pPr>
      <w:r w:rsidRPr="008D58A8">
        <w:t xml:space="preserve">Artículo 19. Se presume que la información debe existir si se refiere a las facultades, competencias y funciones que los ordenamientos jurídicos aplicables otorgan a los sujetos obligados. </w:t>
      </w:r>
    </w:p>
    <w:p w14:paraId="45904A7D" w14:textId="77777777" w:rsidR="00A6185A" w:rsidRPr="008D58A8" w:rsidRDefault="00A6185A" w:rsidP="00A6185A">
      <w:pPr>
        <w:pStyle w:val="Citas"/>
      </w:pPr>
      <w:r w:rsidRPr="008D58A8">
        <w:lastRenderedPageBreak/>
        <w:t xml:space="preserve">En los casos en que ciertas facultades, competencias o funciones no se hayan ejercido, se debe motivar la respuesta en función de las causas que motiven tal circunstancia. </w:t>
      </w:r>
    </w:p>
    <w:p w14:paraId="4B867E4B" w14:textId="77777777" w:rsidR="00A6185A" w:rsidRPr="008D58A8" w:rsidRDefault="00A6185A" w:rsidP="00A6185A">
      <w:pPr>
        <w:pStyle w:val="Citas"/>
        <w:rPr>
          <w:b/>
          <w:bCs/>
          <w:sz w:val="24"/>
          <w:szCs w:val="24"/>
        </w:rPr>
      </w:pPr>
      <w:r w:rsidRPr="008D58A8">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sidRPr="008D58A8">
        <w:rPr>
          <w:b/>
          <w:bCs/>
        </w:rPr>
        <w:t>(Sic)</w:t>
      </w:r>
    </w:p>
    <w:p w14:paraId="6062088E" w14:textId="2E35DE12" w:rsidR="00A6185A" w:rsidRPr="008D58A8" w:rsidRDefault="00A6185A" w:rsidP="009C5799">
      <w:pPr>
        <w:autoSpaceDE w:val="0"/>
        <w:autoSpaceDN w:val="0"/>
        <w:adjustRightInd w:val="0"/>
        <w:spacing w:before="240" w:line="360" w:lineRule="auto"/>
        <w:jc w:val="both"/>
        <w:rPr>
          <w:rFonts w:ascii="Palatino Linotype" w:hAnsi="Palatino Linotype"/>
          <w:sz w:val="24"/>
          <w:szCs w:val="24"/>
        </w:rPr>
      </w:pPr>
    </w:p>
    <w:p w14:paraId="2615DD99" w14:textId="2B336276" w:rsidR="00E91DCA" w:rsidRPr="008D58A8" w:rsidRDefault="00A6185A" w:rsidP="00A6185A">
      <w:pPr>
        <w:spacing w:after="240" w:line="360" w:lineRule="auto"/>
        <w:jc w:val="both"/>
        <w:rPr>
          <w:rFonts w:ascii="Palatino Linotype" w:hAnsi="Palatino Linotype" w:cs="Arial"/>
          <w:color w:val="000000"/>
          <w:sz w:val="24"/>
          <w:lang w:val="es-ES_tradnl"/>
        </w:rPr>
      </w:pPr>
      <w:r w:rsidRPr="008D58A8">
        <w:rPr>
          <w:rFonts w:ascii="Palatino Linotype" w:hAnsi="Palatino Linotype" w:cs="Arial"/>
          <w:color w:val="000000"/>
          <w:sz w:val="24"/>
          <w:lang w:val="es-ES_tradnl"/>
        </w:rPr>
        <w:t xml:space="preserve">Una vez sentado lo anterior, como se mencionó en el antecedente segundo, </w:t>
      </w:r>
      <w:r w:rsidRPr="008D58A8">
        <w:rPr>
          <w:rFonts w:ascii="Palatino Linotype" w:hAnsi="Palatino Linotype" w:cs="Arial"/>
          <w:b/>
          <w:color w:val="000000"/>
          <w:sz w:val="24"/>
          <w:lang w:val="es-ES_tradnl"/>
        </w:rPr>
        <w:t xml:space="preserve">El Sujeto Obligado </w:t>
      </w:r>
      <w:r w:rsidRPr="008D58A8">
        <w:rPr>
          <w:rFonts w:ascii="Palatino Linotype" w:hAnsi="Palatino Linotype" w:cs="Arial"/>
          <w:color w:val="000000"/>
          <w:sz w:val="24"/>
          <w:lang w:val="es-ES_tradnl"/>
        </w:rPr>
        <w:t xml:space="preserve">en fecha </w:t>
      </w:r>
      <w:r w:rsidR="00E91DCA" w:rsidRPr="008D58A8">
        <w:rPr>
          <w:rFonts w:ascii="Palatino Linotype" w:hAnsi="Palatino Linotype" w:cs="Arial"/>
          <w:b/>
          <w:bCs/>
          <w:color w:val="000000"/>
          <w:sz w:val="24"/>
          <w:lang w:val="es-ES_tradnl"/>
        </w:rPr>
        <w:t xml:space="preserve">veintiséis de septiembre de dos mil veintitrés, </w:t>
      </w:r>
      <w:r w:rsidR="00E91DCA" w:rsidRPr="008D58A8">
        <w:rPr>
          <w:rFonts w:ascii="Palatino Linotype" w:hAnsi="Palatino Linotype" w:cs="Arial"/>
          <w:color w:val="000000"/>
          <w:sz w:val="24"/>
          <w:lang w:val="es-ES_tradnl"/>
        </w:rPr>
        <w:t>rindió su respuesta a la solicitud de información formulada por el particular, adjuntando para tal efecto lo siguiente:</w:t>
      </w:r>
    </w:p>
    <w:p w14:paraId="724A37A7" w14:textId="723842C3" w:rsidR="00E91DCA" w:rsidRPr="008D58A8" w:rsidRDefault="00E91DCA" w:rsidP="006552A9">
      <w:pPr>
        <w:pStyle w:val="Prrafodelista"/>
        <w:numPr>
          <w:ilvl w:val="0"/>
          <w:numId w:val="5"/>
        </w:numPr>
        <w:spacing w:after="240" w:line="360" w:lineRule="auto"/>
        <w:jc w:val="both"/>
        <w:rPr>
          <w:rFonts w:ascii="Palatino Linotype" w:hAnsi="Palatino Linotype" w:cs="Arial"/>
          <w:b/>
          <w:bCs/>
          <w:color w:val="000000"/>
          <w:lang w:val="es-ES_tradnl"/>
        </w:rPr>
      </w:pPr>
      <w:r w:rsidRPr="008D58A8">
        <w:rPr>
          <w:rFonts w:ascii="Palatino Linotype" w:hAnsi="Palatino Linotype" w:cs="Arial"/>
          <w:b/>
          <w:bCs/>
          <w:color w:val="000000"/>
          <w:lang w:val="es-ES_tradnl"/>
        </w:rPr>
        <w:t xml:space="preserve">“OFICIOS RESPUESTA 57_2023 VA.pdf”: </w:t>
      </w:r>
      <w:r w:rsidRPr="008D58A8">
        <w:rPr>
          <w:rFonts w:ascii="Palatino Linotype" w:hAnsi="Palatino Linotype" w:cs="Arial"/>
          <w:color w:val="000000"/>
          <w:lang w:val="es-ES_tradnl"/>
        </w:rPr>
        <w:t>Compila lo siguiente:</w:t>
      </w:r>
    </w:p>
    <w:p w14:paraId="3228A5AC" w14:textId="7F04D492" w:rsidR="00E91DCA" w:rsidRPr="008D58A8" w:rsidRDefault="00E91DCA" w:rsidP="006552A9">
      <w:pPr>
        <w:pStyle w:val="Prrafodelista"/>
        <w:numPr>
          <w:ilvl w:val="0"/>
          <w:numId w:val="6"/>
        </w:numPr>
        <w:spacing w:after="240" w:line="360" w:lineRule="auto"/>
        <w:jc w:val="both"/>
        <w:rPr>
          <w:rFonts w:ascii="Palatino Linotype" w:hAnsi="Palatino Linotype" w:cs="Arial"/>
          <w:b/>
          <w:bCs/>
          <w:color w:val="000000"/>
          <w:lang w:val="es-ES_tradnl"/>
        </w:rPr>
      </w:pPr>
      <w:r w:rsidRPr="008D58A8">
        <w:rPr>
          <w:rFonts w:ascii="Palatino Linotype" w:hAnsi="Palatino Linotype" w:cs="Arial"/>
          <w:color w:val="000000"/>
          <w:lang w:val="es-ES_tradnl"/>
        </w:rPr>
        <w:t xml:space="preserve">Oficio número </w:t>
      </w:r>
      <w:r w:rsidRPr="008D58A8">
        <w:rPr>
          <w:rFonts w:ascii="Palatino Linotype" w:hAnsi="Palatino Linotype" w:cs="Arial"/>
          <w:b/>
          <w:bCs/>
          <w:color w:val="000000"/>
          <w:lang w:val="es-ES_tradnl"/>
        </w:rPr>
        <w:t xml:space="preserve">210C0401050000L/1211/2023 </w:t>
      </w:r>
      <w:r w:rsidRPr="008D58A8">
        <w:rPr>
          <w:rFonts w:ascii="Palatino Linotype" w:hAnsi="Palatino Linotype" w:cs="Arial"/>
          <w:color w:val="000000"/>
          <w:lang w:val="es-ES_tradnl"/>
        </w:rPr>
        <w:t xml:space="preserve">signado por el director de administración y finanzas y dirigido a la titular de la unidad de transparencia, de fecha veintiuno de septiembre de dos mil veintitrés, refiere que después de una búsqueda exhaustiva y razonable no encontró la información requerida. </w:t>
      </w:r>
    </w:p>
    <w:p w14:paraId="1976A44B" w14:textId="1C60D1CE" w:rsidR="00E91DCA" w:rsidRPr="008D58A8" w:rsidRDefault="00E91DCA" w:rsidP="006552A9">
      <w:pPr>
        <w:pStyle w:val="Prrafodelista"/>
        <w:numPr>
          <w:ilvl w:val="0"/>
          <w:numId w:val="6"/>
        </w:numPr>
        <w:spacing w:after="240" w:line="360" w:lineRule="auto"/>
        <w:jc w:val="both"/>
        <w:rPr>
          <w:rFonts w:ascii="Palatino Linotype" w:hAnsi="Palatino Linotype" w:cs="Arial"/>
          <w:b/>
          <w:bCs/>
          <w:color w:val="000000"/>
          <w:lang w:val="es-ES_tradnl"/>
        </w:rPr>
      </w:pPr>
      <w:r w:rsidRPr="008D58A8">
        <w:rPr>
          <w:rFonts w:ascii="Palatino Linotype" w:hAnsi="Palatino Linotype" w:cs="Arial"/>
          <w:color w:val="000000"/>
          <w:lang w:val="es-ES_tradnl"/>
        </w:rPr>
        <w:t xml:space="preserve">Oficio número </w:t>
      </w:r>
      <w:r w:rsidRPr="008D58A8">
        <w:rPr>
          <w:rFonts w:ascii="Palatino Linotype" w:hAnsi="Palatino Linotype" w:cs="Arial"/>
          <w:b/>
          <w:bCs/>
          <w:color w:val="000000"/>
          <w:lang w:val="es-ES_tradnl"/>
        </w:rPr>
        <w:t xml:space="preserve">210C0401010000S/0725/2023 </w:t>
      </w:r>
      <w:r w:rsidRPr="008D58A8">
        <w:rPr>
          <w:rFonts w:ascii="Palatino Linotype" w:hAnsi="Palatino Linotype" w:cs="Arial"/>
          <w:color w:val="000000"/>
          <w:lang w:val="es-ES_tradnl"/>
        </w:rPr>
        <w:t>signado por la jefa de la titular de la unidad jurídica y de igualdad de género y dirigido a la titular de la unidad de transparencia, de fecha veinte de septiembre de dos mil veintitrés, en síntesis, refiere la existencia de 6 escritos de inconformidad.</w:t>
      </w:r>
    </w:p>
    <w:p w14:paraId="501C39E3" w14:textId="4F69D1CA" w:rsidR="00E91DCA" w:rsidRPr="008D58A8" w:rsidRDefault="00E91DCA" w:rsidP="006552A9">
      <w:pPr>
        <w:pStyle w:val="Prrafodelista"/>
        <w:numPr>
          <w:ilvl w:val="0"/>
          <w:numId w:val="6"/>
        </w:numPr>
        <w:spacing w:after="240" w:line="360" w:lineRule="auto"/>
        <w:jc w:val="both"/>
        <w:rPr>
          <w:rFonts w:ascii="Palatino Linotype" w:hAnsi="Palatino Linotype" w:cs="Arial"/>
          <w:b/>
          <w:bCs/>
          <w:color w:val="000000"/>
          <w:lang w:val="es-ES_tradnl"/>
        </w:rPr>
      </w:pPr>
      <w:r w:rsidRPr="008D58A8">
        <w:rPr>
          <w:rFonts w:ascii="Palatino Linotype" w:hAnsi="Palatino Linotype" w:cs="Arial"/>
          <w:color w:val="000000"/>
          <w:lang w:val="es-ES_tradnl"/>
        </w:rPr>
        <w:lastRenderedPageBreak/>
        <w:t xml:space="preserve">Oficio número </w:t>
      </w:r>
      <w:r w:rsidR="000459AC" w:rsidRPr="008D58A8">
        <w:rPr>
          <w:rFonts w:ascii="Palatino Linotype" w:hAnsi="Palatino Linotype" w:cs="Arial"/>
          <w:b/>
          <w:bCs/>
          <w:color w:val="000000"/>
          <w:lang w:val="es-ES_tradnl"/>
        </w:rPr>
        <w:t xml:space="preserve">210C0401020000L/2776/2023 </w:t>
      </w:r>
      <w:r w:rsidR="000459AC" w:rsidRPr="008D58A8">
        <w:rPr>
          <w:rFonts w:ascii="Palatino Linotype" w:hAnsi="Palatino Linotype" w:cs="Arial"/>
          <w:color w:val="000000"/>
          <w:lang w:val="es-ES_tradnl"/>
        </w:rPr>
        <w:t>signado por la directora académica y dirigido a la titular de la unidad de transparencia, de fecha veintiuno de septiembre de dos mil veintitrés, refiere que no cuenta con la información, sugiriendo dirigir la petición a la Contraloría interna.</w:t>
      </w:r>
    </w:p>
    <w:p w14:paraId="4C6D6DD5" w14:textId="0524214A" w:rsidR="000459AC" w:rsidRPr="008D58A8" w:rsidRDefault="000459AC" w:rsidP="006552A9">
      <w:pPr>
        <w:pStyle w:val="Prrafodelista"/>
        <w:numPr>
          <w:ilvl w:val="0"/>
          <w:numId w:val="6"/>
        </w:numPr>
        <w:spacing w:after="240" w:line="360" w:lineRule="auto"/>
        <w:jc w:val="both"/>
        <w:rPr>
          <w:rFonts w:ascii="Palatino Linotype" w:hAnsi="Palatino Linotype" w:cs="Arial"/>
          <w:b/>
          <w:bCs/>
          <w:color w:val="000000"/>
          <w:lang w:val="es-ES_tradnl"/>
        </w:rPr>
      </w:pPr>
      <w:r w:rsidRPr="008D58A8">
        <w:rPr>
          <w:rFonts w:ascii="Palatino Linotype" w:hAnsi="Palatino Linotype" w:cs="Arial"/>
          <w:color w:val="000000"/>
          <w:lang w:val="es-ES_tradnl"/>
        </w:rPr>
        <w:t xml:space="preserve">Oficio número </w:t>
      </w:r>
      <w:r w:rsidRPr="008D58A8">
        <w:rPr>
          <w:rFonts w:ascii="Palatino Linotype" w:hAnsi="Palatino Linotype" w:cs="Arial"/>
          <w:b/>
          <w:bCs/>
          <w:color w:val="000000"/>
          <w:lang w:val="es-ES_tradnl"/>
        </w:rPr>
        <w:t xml:space="preserve">210C0401030000L/0757/2023 </w:t>
      </w:r>
      <w:r w:rsidRPr="008D58A8">
        <w:rPr>
          <w:rFonts w:ascii="Palatino Linotype" w:hAnsi="Palatino Linotype" w:cs="Arial"/>
          <w:color w:val="000000"/>
          <w:lang w:val="es-ES_tradnl"/>
        </w:rPr>
        <w:t xml:space="preserve">signado por el director de vinculación con los sectores productivo y de servicios y dirigido a la titular de la unidad de transparencia, de fecha veinticinco de septiembre de dos mil veintitrés, refiere que la solicitud de información no resulta ámbito de su competencia. </w:t>
      </w:r>
    </w:p>
    <w:p w14:paraId="33209A35" w14:textId="77777777" w:rsidR="00E91DCA" w:rsidRPr="008D58A8" w:rsidRDefault="00E91DCA" w:rsidP="00A6185A">
      <w:pPr>
        <w:spacing w:after="240" w:line="360" w:lineRule="auto"/>
        <w:jc w:val="both"/>
        <w:rPr>
          <w:rFonts w:ascii="Palatino Linotype" w:hAnsi="Palatino Linotype" w:cs="Arial"/>
          <w:color w:val="000000"/>
          <w:sz w:val="24"/>
          <w:lang w:val="es-ES_tradnl"/>
        </w:rPr>
      </w:pPr>
    </w:p>
    <w:p w14:paraId="7E4C85CD" w14:textId="24B36EB6" w:rsidR="007F0A4D" w:rsidRPr="008D58A8" w:rsidRDefault="00CF5787" w:rsidP="00A6185A">
      <w:pPr>
        <w:spacing w:after="240" w:line="360" w:lineRule="auto"/>
        <w:jc w:val="both"/>
        <w:rPr>
          <w:rFonts w:ascii="Palatino Linotype" w:hAnsi="Palatino Linotype" w:cs="Arial"/>
          <w:color w:val="000000"/>
          <w:sz w:val="24"/>
          <w:lang w:val="es-ES_tradnl"/>
        </w:rPr>
      </w:pPr>
      <w:r w:rsidRPr="008D58A8">
        <w:rPr>
          <w:rFonts w:ascii="Palatino Linotype" w:hAnsi="Palatino Linotype" w:cs="Arial"/>
          <w:color w:val="000000"/>
          <w:sz w:val="24"/>
          <w:lang w:val="es-ES_tradnl"/>
        </w:rPr>
        <w:t xml:space="preserve">Inconforme con la respuesta rendida por </w:t>
      </w:r>
      <w:r w:rsidRPr="008D58A8">
        <w:rPr>
          <w:rFonts w:ascii="Palatino Linotype" w:hAnsi="Palatino Linotype" w:cs="Arial"/>
          <w:b/>
          <w:bCs/>
          <w:color w:val="000000"/>
          <w:sz w:val="24"/>
          <w:lang w:val="es-ES_tradnl"/>
        </w:rPr>
        <w:t xml:space="preserve">El Sujeto Obligado, </w:t>
      </w:r>
      <w:r w:rsidR="00E71E1C" w:rsidRPr="008D58A8">
        <w:rPr>
          <w:rFonts w:ascii="Palatino Linotype" w:hAnsi="Palatino Linotype" w:cs="Arial"/>
          <w:b/>
          <w:bCs/>
          <w:color w:val="000000"/>
          <w:sz w:val="24"/>
          <w:lang w:val="es-ES_tradnl"/>
        </w:rPr>
        <w:t xml:space="preserve">El Recurrente </w:t>
      </w:r>
      <w:r w:rsidR="00E71E1C" w:rsidRPr="008D58A8">
        <w:rPr>
          <w:rFonts w:ascii="Palatino Linotype" w:hAnsi="Palatino Linotype" w:cs="Arial"/>
          <w:color w:val="000000"/>
          <w:sz w:val="24"/>
          <w:lang w:val="es-ES_tradnl"/>
        </w:rPr>
        <w:t xml:space="preserve">interpuso recurso de revisión en fecha </w:t>
      </w:r>
      <w:r w:rsidR="006772FD" w:rsidRPr="008D58A8">
        <w:rPr>
          <w:rFonts w:ascii="Palatino Linotype" w:hAnsi="Palatino Linotype" w:cs="Arial"/>
          <w:b/>
          <w:bCs/>
          <w:color w:val="000000"/>
          <w:sz w:val="24"/>
          <w:lang w:val="es-ES_tradnl"/>
        </w:rPr>
        <w:t xml:space="preserve">uno de octubre, </w:t>
      </w:r>
      <w:r w:rsidR="006772FD" w:rsidRPr="008D58A8">
        <w:rPr>
          <w:rFonts w:ascii="Palatino Linotype" w:hAnsi="Palatino Linotype" w:cs="Arial"/>
          <w:color w:val="000000"/>
          <w:sz w:val="24"/>
          <w:lang w:val="es-ES_tradnl"/>
        </w:rPr>
        <w:t xml:space="preserve">admitiéndose el </w:t>
      </w:r>
      <w:r w:rsidR="006772FD" w:rsidRPr="008D58A8">
        <w:rPr>
          <w:rFonts w:ascii="Palatino Linotype" w:hAnsi="Palatino Linotype" w:cs="Arial"/>
          <w:b/>
          <w:bCs/>
          <w:color w:val="000000"/>
          <w:sz w:val="24"/>
          <w:lang w:val="es-ES_tradnl"/>
        </w:rPr>
        <w:t xml:space="preserve">cuatro de octubre, </w:t>
      </w:r>
      <w:r w:rsidR="006772FD" w:rsidRPr="008D58A8">
        <w:rPr>
          <w:rFonts w:ascii="Palatino Linotype" w:hAnsi="Palatino Linotype" w:cs="Arial"/>
          <w:color w:val="000000"/>
          <w:sz w:val="24"/>
          <w:lang w:val="es-ES_tradnl"/>
        </w:rPr>
        <w:t xml:space="preserve">ambos de dos mil veintitrés. </w:t>
      </w:r>
      <w:r w:rsidR="007F0A4D" w:rsidRPr="008D58A8">
        <w:rPr>
          <w:rFonts w:ascii="Palatino Linotype" w:hAnsi="Palatino Linotype" w:cs="Arial"/>
          <w:color w:val="000000"/>
          <w:sz w:val="24"/>
          <w:lang w:val="es-ES_tradnl"/>
        </w:rPr>
        <w:t>Señalando como acto impugnado y como razones o motivos de inconformidad:</w:t>
      </w:r>
    </w:p>
    <w:p w14:paraId="12AAF06C" w14:textId="77777777" w:rsidR="006772FD" w:rsidRPr="008D58A8" w:rsidRDefault="006772FD" w:rsidP="006772FD">
      <w:pPr>
        <w:spacing w:before="240" w:line="360" w:lineRule="auto"/>
        <w:jc w:val="both"/>
        <w:rPr>
          <w:rFonts w:ascii="Palatino Linotype" w:hAnsi="Palatino Linotype" w:cs="Arial"/>
          <w:b/>
          <w:sz w:val="24"/>
        </w:rPr>
      </w:pPr>
      <w:r w:rsidRPr="008D58A8">
        <w:rPr>
          <w:rFonts w:ascii="Palatino Linotype" w:hAnsi="Palatino Linotype" w:cs="Arial"/>
          <w:b/>
          <w:sz w:val="24"/>
        </w:rPr>
        <w:t>Acto Impugnado:</w:t>
      </w:r>
    </w:p>
    <w:p w14:paraId="42D60A78" w14:textId="77777777" w:rsidR="006772FD" w:rsidRPr="008D58A8" w:rsidRDefault="006772FD" w:rsidP="006772FD">
      <w:pPr>
        <w:pStyle w:val="Citas"/>
        <w:rPr>
          <w:b/>
          <w:bCs/>
          <w:sz w:val="24"/>
        </w:rPr>
      </w:pPr>
      <w:r w:rsidRPr="008D58A8">
        <w:t xml:space="preserve">“Respuesta a solicitud” </w:t>
      </w:r>
      <w:r w:rsidRPr="008D58A8">
        <w:rPr>
          <w:b/>
          <w:bCs/>
        </w:rPr>
        <w:t>(Sic)</w:t>
      </w:r>
    </w:p>
    <w:p w14:paraId="285C7004" w14:textId="77777777" w:rsidR="006772FD" w:rsidRPr="008D58A8" w:rsidRDefault="006772FD" w:rsidP="006772FD">
      <w:pPr>
        <w:spacing w:before="240" w:line="360" w:lineRule="auto"/>
        <w:jc w:val="both"/>
        <w:rPr>
          <w:rFonts w:ascii="Palatino Linotype" w:hAnsi="Palatino Linotype" w:cs="Arial"/>
          <w:sz w:val="24"/>
        </w:rPr>
      </w:pPr>
      <w:r w:rsidRPr="008D58A8">
        <w:rPr>
          <w:rFonts w:ascii="Palatino Linotype" w:hAnsi="Palatino Linotype" w:cs="Arial"/>
          <w:b/>
          <w:sz w:val="24"/>
        </w:rPr>
        <w:t>Razones o Motivos de Inconformidad</w:t>
      </w:r>
      <w:r w:rsidRPr="008D58A8">
        <w:rPr>
          <w:rFonts w:ascii="Palatino Linotype" w:hAnsi="Palatino Linotype" w:cs="Arial"/>
          <w:sz w:val="24"/>
        </w:rPr>
        <w:t xml:space="preserve">: </w:t>
      </w:r>
    </w:p>
    <w:p w14:paraId="7D421BCC" w14:textId="77777777" w:rsidR="006772FD" w:rsidRPr="008D58A8" w:rsidRDefault="006772FD" w:rsidP="006772FD">
      <w:pPr>
        <w:pStyle w:val="Citas"/>
        <w:rPr>
          <w:b/>
          <w:bCs/>
        </w:rPr>
      </w:pPr>
      <w:r w:rsidRPr="008D58A8">
        <w:t xml:space="preserve">“En el oficio de respuesta 210C0401010000S/0725/2023 rubricado por la titular de la Unidad Jurídica y de Igualdad de Género, se menciona que existen 6 escritos de "posibles inquietudes o inconformidades", mismos que tienen una relación directa </w:t>
      </w:r>
      <w:r w:rsidRPr="008D58A8">
        <w:lastRenderedPageBreak/>
        <w:t xml:space="preserve">con lo solicitado. Así mismo, en el oficio 210C0401020000L/2776/2023 signado por la titular de la Dirección Académica del CECYTEM, en el cuerpo de la respuesta se expresa implícitamente que se tiene conocimiento de las quejas solicitadas; sin embargo la responsabilidad administrativa de esta dirección es que si tiene conocimiento de anomalías en los planteles deberá guardar evidencia histórica (documentos), toda vez que el ejercicio de cualquier funcionaro es público. Por lo anterior solicitud se atienda de manera profesional y apegada a derecho la solicitud de origen presentada por quien suscribe” </w:t>
      </w:r>
      <w:r w:rsidRPr="008D58A8">
        <w:rPr>
          <w:b/>
          <w:bCs/>
        </w:rPr>
        <w:t>(Sic)</w:t>
      </w:r>
    </w:p>
    <w:p w14:paraId="32086200" w14:textId="77777777" w:rsidR="001D0192" w:rsidRPr="008D58A8" w:rsidRDefault="001D0192" w:rsidP="00A6185A">
      <w:pPr>
        <w:spacing w:after="240" w:line="360" w:lineRule="auto"/>
        <w:jc w:val="both"/>
        <w:rPr>
          <w:rFonts w:ascii="Palatino Linotype" w:hAnsi="Palatino Linotype" w:cs="Arial"/>
          <w:color w:val="000000"/>
          <w:sz w:val="24"/>
        </w:rPr>
      </w:pPr>
    </w:p>
    <w:p w14:paraId="20715C5C" w14:textId="42AE5CFE" w:rsidR="006620AC" w:rsidRPr="008D58A8" w:rsidRDefault="006620AC" w:rsidP="006620AC">
      <w:pPr>
        <w:pStyle w:val="infoemcitas"/>
        <w:tabs>
          <w:tab w:val="left" w:pos="7655"/>
        </w:tabs>
        <w:ind w:left="0" w:right="0"/>
        <w:rPr>
          <w:rFonts w:cs="Arial"/>
          <w:i w:val="0"/>
          <w:noProof/>
          <w:color w:val="000000"/>
          <w:sz w:val="24"/>
          <w:lang w:eastAsia="es-MX"/>
        </w:rPr>
      </w:pPr>
      <w:r w:rsidRPr="008D58A8">
        <w:rPr>
          <w:i w:val="0"/>
          <w:sz w:val="24"/>
          <w:szCs w:val="24"/>
        </w:rPr>
        <w:t xml:space="preserve">Así las cosas, hasta aquí lo expuesto, resulta inconcuso que </w:t>
      </w:r>
      <w:r w:rsidRPr="008D58A8">
        <w:rPr>
          <w:bCs/>
          <w:i w:val="0"/>
          <w:sz w:val="24"/>
          <w:szCs w:val="24"/>
        </w:rPr>
        <w:t>los motivos de inconformidad aducidos por</w:t>
      </w:r>
      <w:r w:rsidRPr="008D58A8">
        <w:rPr>
          <w:rFonts w:cs="Arial"/>
          <w:i w:val="0"/>
          <w:noProof/>
          <w:color w:val="000000"/>
          <w:sz w:val="24"/>
          <w:lang w:eastAsia="es-MX"/>
        </w:rPr>
        <w:t xml:space="preserve"> </w:t>
      </w:r>
      <w:r w:rsidRPr="008D58A8">
        <w:rPr>
          <w:rFonts w:cs="Arial"/>
          <w:b/>
          <w:i w:val="0"/>
          <w:noProof/>
          <w:color w:val="000000"/>
          <w:sz w:val="24"/>
          <w:lang w:eastAsia="es-MX"/>
        </w:rPr>
        <w:t xml:space="preserve">El Recurrente, </w:t>
      </w:r>
      <w:r w:rsidRPr="008D58A8">
        <w:rPr>
          <w:rFonts w:cs="Arial"/>
          <w:i w:val="0"/>
          <w:noProof/>
          <w:color w:val="000000"/>
          <w:sz w:val="24"/>
          <w:lang w:eastAsia="es-MX"/>
        </w:rPr>
        <w:t xml:space="preserve">actualizan las hipotesis normativas previstas en el artículo 179, </w:t>
      </w:r>
      <w:r w:rsidR="006772FD" w:rsidRPr="008D58A8">
        <w:rPr>
          <w:rFonts w:cs="Arial"/>
          <w:i w:val="0"/>
          <w:noProof/>
          <w:color w:val="000000"/>
          <w:sz w:val="24"/>
          <w:lang w:eastAsia="es-MX"/>
        </w:rPr>
        <w:t>fracción I</w:t>
      </w:r>
      <w:r w:rsidRPr="008D58A8">
        <w:rPr>
          <w:rFonts w:cs="Arial"/>
          <w:i w:val="0"/>
          <w:noProof/>
          <w:color w:val="000000"/>
          <w:sz w:val="24"/>
          <w:lang w:eastAsia="es-MX"/>
        </w:rPr>
        <w:t xml:space="preserve"> de la Ley de Transparencia y Acceso a la Información Pública del Estado de Mexico y Municipios, cuyo contenido literal es el siguiente: </w:t>
      </w:r>
    </w:p>
    <w:p w14:paraId="37F1072B" w14:textId="77777777" w:rsidR="006620AC" w:rsidRPr="008D58A8" w:rsidRDefault="006620AC" w:rsidP="006620AC">
      <w:pPr>
        <w:pStyle w:val="Citas"/>
      </w:pPr>
      <w:r w:rsidRPr="008D58A8">
        <w:t xml:space="preserve"> “Artículo 179. El recurso de revisión es un medio de protección que la Ley otorga a los particulares, para hacer valer su derecho de acceso a la información pública, y procederá en contra de las siguientes causas:</w:t>
      </w:r>
    </w:p>
    <w:p w14:paraId="34ACDCFB" w14:textId="77777777" w:rsidR="006620AC" w:rsidRPr="008D58A8" w:rsidRDefault="006620AC" w:rsidP="006620AC">
      <w:pPr>
        <w:pStyle w:val="Citas"/>
      </w:pPr>
      <w:r w:rsidRPr="008D58A8">
        <w:t>I. La negativa a la información solicitada;</w:t>
      </w:r>
    </w:p>
    <w:p w14:paraId="0ACDD628" w14:textId="60333658" w:rsidR="007550F3" w:rsidRPr="008D58A8" w:rsidRDefault="007550F3" w:rsidP="006620AC">
      <w:pPr>
        <w:pStyle w:val="Citas"/>
        <w:rPr>
          <w:b/>
          <w:bCs/>
          <w:noProof/>
          <w:color w:val="000000"/>
          <w:sz w:val="24"/>
          <w:lang w:eastAsia="es-MX"/>
        </w:rPr>
      </w:pPr>
      <w:r w:rsidRPr="008D58A8">
        <w:t xml:space="preserve">(…)” </w:t>
      </w:r>
      <w:r w:rsidRPr="008D58A8">
        <w:rPr>
          <w:b/>
          <w:bCs/>
        </w:rPr>
        <w:t>(Sic)</w:t>
      </w:r>
    </w:p>
    <w:p w14:paraId="74F65DEB" w14:textId="77777777" w:rsidR="001D0192" w:rsidRPr="008D58A8" w:rsidRDefault="001D0192" w:rsidP="006620AC">
      <w:pPr>
        <w:pStyle w:val="Citas"/>
        <w:ind w:left="0"/>
        <w:rPr>
          <w:i w:val="0"/>
          <w:iCs/>
          <w:sz w:val="24"/>
          <w:szCs w:val="24"/>
        </w:rPr>
      </w:pPr>
    </w:p>
    <w:p w14:paraId="46492F3F" w14:textId="64BD124C" w:rsidR="006772FD" w:rsidRPr="008D58A8" w:rsidRDefault="007835B9" w:rsidP="00271EED">
      <w:pPr>
        <w:pStyle w:val="Default"/>
        <w:spacing w:before="240" w:after="160" w:line="360" w:lineRule="auto"/>
        <w:jc w:val="both"/>
        <w:rPr>
          <w:rFonts w:ascii="Palatino Linotype" w:hAnsi="Palatino Linotype"/>
          <w:iCs/>
        </w:rPr>
      </w:pPr>
      <w:r w:rsidRPr="008D58A8">
        <w:rPr>
          <w:rFonts w:ascii="Palatino Linotype" w:hAnsi="Palatino Linotype"/>
          <w:iCs/>
        </w:rPr>
        <w:lastRenderedPageBreak/>
        <w:t xml:space="preserve">Por otra parte, como fue mencionado en el antecedente quinto, </w:t>
      </w:r>
      <w:r w:rsidRPr="008D58A8">
        <w:rPr>
          <w:rFonts w:ascii="Palatino Linotype" w:hAnsi="Palatino Linotype"/>
          <w:b/>
          <w:bCs/>
          <w:iCs/>
        </w:rPr>
        <w:t>El Sujeto Obligado</w:t>
      </w:r>
      <w:r w:rsidR="00E75CF5" w:rsidRPr="008D58A8">
        <w:rPr>
          <w:rFonts w:ascii="Palatino Linotype" w:hAnsi="Palatino Linotype"/>
          <w:b/>
          <w:bCs/>
          <w:iCs/>
        </w:rPr>
        <w:t xml:space="preserve"> </w:t>
      </w:r>
      <w:r w:rsidR="00E75CF5" w:rsidRPr="008D58A8">
        <w:rPr>
          <w:rFonts w:ascii="Palatino Linotype" w:hAnsi="Palatino Linotype"/>
          <w:iCs/>
        </w:rPr>
        <w:t>rindió su informe justificado</w:t>
      </w:r>
      <w:r w:rsidR="00C94D5F" w:rsidRPr="008D58A8">
        <w:rPr>
          <w:rFonts w:ascii="Palatino Linotype" w:hAnsi="Palatino Linotype"/>
          <w:iCs/>
        </w:rPr>
        <w:t xml:space="preserve"> en fecha</w:t>
      </w:r>
      <w:r w:rsidR="007F0A4D" w:rsidRPr="008D58A8">
        <w:rPr>
          <w:rFonts w:ascii="Palatino Linotype" w:hAnsi="Palatino Linotype"/>
          <w:iCs/>
        </w:rPr>
        <w:t xml:space="preserve"> </w:t>
      </w:r>
      <w:r w:rsidR="006772FD" w:rsidRPr="008D58A8">
        <w:rPr>
          <w:rFonts w:ascii="Palatino Linotype" w:hAnsi="Palatino Linotype"/>
          <w:iCs/>
        </w:rPr>
        <w:t xml:space="preserve">doce de octubre, mismo que fue puesto a la vista el veintitrés de octubre, ambos de dos mil veintitrés, cuyo contenido se describe a continuación: </w:t>
      </w:r>
    </w:p>
    <w:p w14:paraId="2A04C973" w14:textId="2D5C4081" w:rsidR="006772FD" w:rsidRPr="008D58A8" w:rsidRDefault="006772FD" w:rsidP="006552A9">
      <w:pPr>
        <w:pStyle w:val="Default"/>
        <w:numPr>
          <w:ilvl w:val="0"/>
          <w:numId w:val="7"/>
        </w:numPr>
        <w:spacing w:before="240" w:after="160" w:line="360" w:lineRule="auto"/>
        <w:jc w:val="both"/>
        <w:rPr>
          <w:rFonts w:ascii="Palatino Linotype" w:hAnsi="Palatino Linotype"/>
          <w:b/>
          <w:bCs/>
          <w:iCs/>
        </w:rPr>
      </w:pPr>
      <w:r w:rsidRPr="008D58A8">
        <w:rPr>
          <w:rFonts w:ascii="Palatino Linotype" w:hAnsi="Palatino Linotype"/>
          <w:b/>
          <w:bCs/>
          <w:iCs/>
        </w:rPr>
        <w:t xml:space="preserve">“OFICIO 0838_2023 SOL 57_2023.pdf”: </w:t>
      </w:r>
      <w:r w:rsidRPr="008D58A8">
        <w:rPr>
          <w:rFonts w:ascii="Palatino Linotype" w:hAnsi="Palatino Linotype"/>
          <w:iCs/>
        </w:rPr>
        <w:t xml:space="preserve">Informe justificado signado por el titular de la unidad jurídica y de igualdad de género y dirigido a la titular de la unidad de transparencia, de fecha once de octubre de dos mil veintitrés, en lo medular denota que bajo su óptica se actualiza causal de sobreseimiento (no actualizar causales de procedencia). </w:t>
      </w:r>
    </w:p>
    <w:p w14:paraId="42DA7393" w14:textId="77777777" w:rsidR="006772FD" w:rsidRPr="008D58A8" w:rsidRDefault="006772FD" w:rsidP="007F0A4D">
      <w:pPr>
        <w:pStyle w:val="Default"/>
        <w:spacing w:before="240" w:after="160" w:line="360" w:lineRule="auto"/>
        <w:jc w:val="both"/>
        <w:rPr>
          <w:rFonts w:ascii="Palatino Linotype" w:hAnsi="Palatino Linotype"/>
          <w:iCs/>
        </w:rPr>
      </w:pPr>
    </w:p>
    <w:p w14:paraId="32F0BCDE" w14:textId="4D3D20A6" w:rsidR="006772FD" w:rsidRPr="008D58A8" w:rsidRDefault="003D4107" w:rsidP="007F0A4D">
      <w:pPr>
        <w:pStyle w:val="Default"/>
        <w:spacing w:before="240" w:after="160" w:line="360" w:lineRule="auto"/>
        <w:jc w:val="both"/>
        <w:rPr>
          <w:rFonts w:ascii="Palatino Linotype" w:hAnsi="Palatino Linotype"/>
          <w:iCs/>
        </w:rPr>
      </w:pPr>
      <w:r w:rsidRPr="008D58A8">
        <w:rPr>
          <w:rFonts w:ascii="Palatino Linotype" w:hAnsi="Palatino Linotype"/>
          <w:iCs/>
        </w:rPr>
        <w:t xml:space="preserve">De ahí que deba arribarse a la consideración </w:t>
      </w:r>
      <w:r w:rsidR="00A35F12" w:rsidRPr="008D58A8">
        <w:rPr>
          <w:rFonts w:ascii="Palatino Linotype" w:hAnsi="Palatino Linotype"/>
          <w:iCs/>
        </w:rPr>
        <w:t>de que</w:t>
      </w:r>
      <w:r w:rsidR="006772FD" w:rsidRPr="008D58A8">
        <w:rPr>
          <w:rFonts w:ascii="Palatino Linotype" w:hAnsi="Palatino Linotype"/>
          <w:iCs/>
        </w:rPr>
        <w:t xml:space="preserve"> mediante respuesta primigenia </w:t>
      </w:r>
      <w:r w:rsidR="00F360CF" w:rsidRPr="008D58A8">
        <w:rPr>
          <w:rFonts w:ascii="Palatino Linotype" w:hAnsi="Palatino Linotype"/>
          <w:b/>
          <w:bCs/>
          <w:iCs/>
        </w:rPr>
        <w:t xml:space="preserve">El Sujeto Obligado </w:t>
      </w:r>
      <w:r w:rsidR="00F360CF" w:rsidRPr="008D58A8">
        <w:rPr>
          <w:rFonts w:ascii="Palatino Linotype" w:hAnsi="Palatino Linotype"/>
          <w:iCs/>
        </w:rPr>
        <w:t>se limitó a informar de forma abstracta</w:t>
      </w:r>
      <w:r w:rsidR="00480D38" w:rsidRPr="008D58A8">
        <w:rPr>
          <w:rFonts w:ascii="Palatino Linotype" w:hAnsi="Palatino Linotype"/>
          <w:iCs/>
        </w:rPr>
        <w:t xml:space="preserve">, respecto de la recepción de seis denuncias en contra de titulares de planteles. Sin embargo, no fue remitida ninguna de ellas de forma íntegra. </w:t>
      </w:r>
    </w:p>
    <w:p w14:paraId="519FA985" w14:textId="089EDEF2" w:rsidR="006772FD" w:rsidRPr="008D58A8" w:rsidRDefault="00480D38" w:rsidP="007F0A4D">
      <w:pPr>
        <w:pStyle w:val="Default"/>
        <w:spacing w:before="240" w:after="160" w:line="360" w:lineRule="auto"/>
        <w:jc w:val="both"/>
        <w:rPr>
          <w:rFonts w:ascii="Palatino Linotype" w:hAnsi="Palatino Linotype"/>
          <w:iCs/>
        </w:rPr>
      </w:pPr>
      <w:r w:rsidRPr="008D58A8">
        <w:rPr>
          <w:rFonts w:ascii="Palatino Linotype" w:hAnsi="Palatino Linotype"/>
          <w:iCs/>
        </w:rPr>
        <w:t xml:space="preserve">Siendo las cosas así, resulta claro que </w:t>
      </w:r>
      <w:r w:rsidRPr="008D58A8">
        <w:rPr>
          <w:rFonts w:ascii="Palatino Linotype" w:hAnsi="Palatino Linotype"/>
          <w:b/>
          <w:bCs/>
          <w:iCs/>
        </w:rPr>
        <w:t xml:space="preserve">El Sujeto Obligado </w:t>
      </w:r>
      <w:r w:rsidRPr="008D58A8">
        <w:rPr>
          <w:rFonts w:ascii="Palatino Linotype" w:hAnsi="Palatino Linotype"/>
          <w:iCs/>
        </w:rPr>
        <w:t xml:space="preserve">no observó de forma diligente el primer párrafo del numeral 166 de la Ley de Transparencia local, porción normativa que dispone a la literalidad lo siguiente: </w:t>
      </w:r>
    </w:p>
    <w:p w14:paraId="3138DE0D" w14:textId="6DF33A8C" w:rsidR="00480D38" w:rsidRPr="008D58A8" w:rsidRDefault="00480D38" w:rsidP="00480D38">
      <w:pPr>
        <w:pStyle w:val="Citas"/>
      </w:pPr>
      <w:r w:rsidRPr="008D58A8">
        <w:t>“Artículo 166. La obligación de acceso a la información pública se tendrá por cumplida cuando el solicitante tenga a su disposición la información requerida, o cuando realice la consulta de la misma en el lugar en el que ésta se localice.</w:t>
      </w:r>
    </w:p>
    <w:p w14:paraId="2CC77852" w14:textId="700275E4" w:rsidR="00480D38" w:rsidRPr="008D58A8" w:rsidRDefault="00480D38" w:rsidP="00480D38">
      <w:pPr>
        <w:pStyle w:val="Citas"/>
        <w:rPr>
          <w:b/>
          <w:bCs/>
          <w:iCs/>
        </w:rPr>
      </w:pPr>
      <w:r w:rsidRPr="008D58A8">
        <w:t xml:space="preserve">(…)” </w:t>
      </w:r>
      <w:r w:rsidRPr="008D58A8">
        <w:rPr>
          <w:b/>
          <w:bCs/>
        </w:rPr>
        <w:t>(Sic)</w:t>
      </w:r>
    </w:p>
    <w:p w14:paraId="62EB70C2" w14:textId="24E0E8F3" w:rsidR="006772FD" w:rsidRPr="008D58A8" w:rsidRDefault="00480D38" w:rsidP="007F0A4D">
      <w:pPr>
        <w:pStyle w:val="Default"/>
        <w:spacing w:before="240" w:after="160" w:line="360" w:lineRule="auto"/>
        <w:jc w:val="both"/>
        <w:rPr>
          <w:rFonts w:ascii="Palatino Linotype" w:hAnsi="Palatino Linotype"/>
          <w:iCs/>
        </w:rPr>
      </w:pPr>
      <w:r w:rsidRPr="008D58A8">
        <w:rPr>
          <w:rFonts w:ascii="Palatino Linotype" w:hAnsi="Palatino Linotype"/>
          <w:iCs/>
        </w:rPr>
        <w:lastRenderedPageBreak/>
        <w:t xml:space="preserve">Se plantea entonces que la respuesta remitida constituye una violación al derecho de acceso a la información que no fue subsanada mediante informe justificado. </w:t>
      </w:r>
    </w:p>
    <w:p w14:paraId="1141372E" w14:textId="5562CC4E" w:rsidR="00491085" w:rsidRPr="008D58A8" w:rsidRDefault="00480D38" w:rsidP="00491085">
      <w:pPr>
        <w:pStyle w:val="Default"/>
        <w:spacing w:before="240" w:after="160" w:line="360" w:lineRule="auto"/>
        <w:jc w:val="both"/>
        <w:rPr>
          <w:rFonts w:ascii="Palatino Linotype" w:hAnsi="Palatino Linotype"/>
        </w:rPr>
      </w:pPr>
      <w:r w:rsidRPr="008D58A8">
        <w:rPr>
          <w:rFonts w:ascii="Palatino Linotype" w:hAnsi="Palatino Linotype"/>
          <w:iCs/>
        </w:rPr>
        <w:t xml:space="preserve">En resumidas cuentas, resulta procedente hacer entrega de </w:t>
      </w:r>
      <w:r w:rsidR="00491085" w:rsidRPr="008D58A8">
        <w:rPr>
          <w:rFonts w:ascii="Palatino Linotype" w:hAnsi="Palatino Linotype"/>
          <w:iCs/>
        </w:rPr>
        <w:t xml:space="preserve">los </w:t>
      </w:r>
      <w:r w:rsidR="00491085" w:rsidRPr="008D58A8">
        <w:rPr>
          <w:rFonts w:ascii="Palatino Linotype" w:hAnsi="Palatino Linotype"/>
        </w:rPr>
        <w:t xml:space="preserve">escritos de quejas presentados ante oficinas centrales, por parte de personal adscrito a todos los planteles en contra de directores, del periodo comprendido del uno de enero al treinta y uno de agosto de dos mil veintitrés. </w:t>
      </w:r>
    </w:p>
    <w:p w14:paraId="687E8BC9" w14:textId="77777777" w:rsidR="00480D38" w:rsidRPr="008D58A8" w:rsidRDefault="00480D38" w:rsidP="007F0A4D">
      <w:pPr>
        <w:pStyle w:val="Default"/>
        <w:spacing w:before="240" w:after="160" w:line="360" w:lineRule="auto"/>
        <w:jc w:val="both"/>
        <w:rPr>
          <w:rFonts w:ascii="Palatino Linotype" w:hAnsi="Palatino Linotype"/>
          <w:iCs/>
        </w:rPr>
      </w:pPr>
      <w:r w:rsidRPr="008D58A8">
        <w:rPr>
          <w:rFonts w:ascii="Palatino Linotype" w:hAnsi="Palatino Linotype"/>
          <w:iCs/>
        </w:rPr>
        <w:t xml:space="preserve">Finalmente, con relación al único punto que será materia de cumplimiento se destaca únicamente resulta procedente la entrega respecto de aquellos procedimientos administrativos que hayan quedado firmes. </w:t>
      </w:r>
    </w:p>
    <w:p w14:paraId="6D7BC23F" w14:textId="77777777" w:rsidR="00480D38" w:rsidRPr="008D58A8" w:rsidRDefault="00480D38" w:rsidP="00480D38">
      <w:pPr>
        <w:spacing w:before="240" w:line="360" w:lineRule="auto"/>
        <w:jc w:val="both"/>
        <w:rPr>
          <w:rFonts w:ascii="Palatino Linotype" w:hAnsi="Palatino Linotype"/>
          <w:sz w:val="24"/>
          <w:szCs w:val="24"/>
        </w:rPr>
      </w:pPr>
      <w:r w:rsidRPr="008D58A8">
        <w:rPr>
          <w:rFonts w:ascii="Palatino Linotype" w:hAnsi="Palatino Linotype"/>
          <w:iCs/>
          <w:sz w:val="24"/>
          <w:szCs w:val="24"/>
        </w:rPr>
        <w:t xml:space="preserve">Por el contrario, los escritos de denuncias administrativas son susceptibles de clasificación, </w:t>
      </w:r>
      <w:r w:rsidRPr="008D58A8">
        <w:rPr>
          <w:rFonts w:ascii="Palatino Linotype" w:hAnsi="Palatino Linotype"/>
          <w:sz w:val="24"/>
          <w:szCs w:val="24"/>
        </w:rPr>
        <w:t xml:space="preserve">concebida como el acto administrativo mediante el cual los </w:t>
      </w:r>
      <w:r w:rsidRPr="008D58A8">
        <w:rPr>
          <w:rFonts w:ascii="Palatino Linotype" w:hAnsi="Palatino Linotype"/>
          <w:b/>
          <w:sz w:val="24"/>
          <w:szCs w:val="24"/>
        </w:rPr>
        <w:t xml:space="preserve">Sujetos Obligados </w:t>
      </w:r>
      <w:r w:rsidRPr="008D58A8">
        <w:rPr>
          <w:rFonts w:ascii="Palatino Linotype" w:hAnsi="Palatino Linotype"/>
          <w:sz w:val="24"/>
          <w:szCs w:val="24"/>
        </w:rPr>
        <w:t xml:space="preserve">determinan que la información requerida actualiza alguno de los supuestos de confidencialidad </w:t>
      </w:r>
      <w:r w:rsidRPr="008D58A8">
        <w:rPr>
          <w:rFonts w:ascii="Palatino Linotype" w:hAnsi="Palatino Linotype"/>
          <w:b/>
          <w:sz w:val="24"/>
          <w:szCs w:val="24"/>
        </w:rPr>
        <w:t xml:space="preserve">o </w:t>
      </w:r>
      <w:r w:rsidRPr="008D58A8">
        <w:rPr>
          <w:rFonts w:ascii="Palatino Linotype" w:hAnsi="Palatino Linotype"/>
          <w:b/>
          <w:sz w:val="24"/>
          <w:szCs w:val="24"/>
          <w:u w:val="single"/>
        </w:rPr>
        <w:t>reserva,</w:t>
      </w:r>
      <w:r w:rsidRPr="008D58A8">
        <w:rPr>
          <w:rFonts w:ascii="Palatino Linotype" w:hAnsi="Palatino Linotype"/>
          <w:b/>
          <w:sz w:val="24"/>
          <w:szCs w:val="24"/>
        </w:rPr>
        <w:t xml:space="preserve"> </w:t>
      </w:r>
      <w:r w:rsidRPr="008D58A8">
        <w:rPr>
          <w:rFonts w:ascii="Palatino Linotype" w:hAnsi="Palatino Linotype"/>
          <w:sz w:val="24"/>
          <w:szCs w:val="24"/>
        </w:rPr>
        <w:t xml:space="preserve">de acuerdo con las bases y los principios inmersos en la normatividad aplicable. </w:t>
      </w:r>
    </w:p>
    <w:p w14:paraId="3FD7E6E5" w14:textId="77777777" w:rsidR="00480D38" w:rsidRPr="008D58A8" w:rsidRDefault="00480D38" w:rsidP="00480D38">
      <w:pPr>
        <w:autoSpaceDE w:val="0"/>
        <w:autoSpaceDN w:val="0"/>
        <w:adjustRightInd w:val="0"/>
        <w:spacing w:line="360" w:lineRule="auto"/>
        <w:jc w:val="both"/>
        <w:rPr>
          <w:rFonts w:ascii="Palatino Linotype" w:hAnsi="Palatino Linotype"/>
          <w:b/>
          <w:sz w:val="24"/>
          <w:szCs w:val="24"/>
        </w:rPr>
      </w:pPr>
      <w:r w:rsidRPr="008D58A8">
        <w:rPr>
          <w:rFonts w:ascii="Palatino Linotype" w:hAnsi="Palatino Linotype" w:cs="Arial"/>
          <w:sz w:val="24"/>
          <w:szCs w:val="24"/>
        </w:rPr>
        <w:t xml:space="preserve">Luego entonces, </w:t>
      </w:r>
      <w:r w:rsidRPr="008D58A8">
        <w:rPr>
          <w:rFonts w:ascii="Palatino Linotype" w:hAnsi="Palatino Linotype"/>
          <w:sz w:val="24"/>
          <w:szCs w:val="24"/>
        </w:rPr>
        <w:t xml:space="preserve">para realizar la reserva de la información, no basta con invocar alguna de las causales previstas en la Ley de transparencia local. En sentido contrario, dicha valoración debe realizarse a través de lo que se conoce como </w:t>
      </w:r>
      <w:r w:rsidRPr="008D58A8">
        <w:rPr>
          <w:rFonts w:ascii="Palatino Linotype" w:hAnsi="Palatino Linotype"/>
          <w:b/>
          <w:i/>
          <w:sz w:val="24"/>
          <w:szCs w:val="24"/>
        </w:rPr>
        <w:t xml:space="preserve">“prueba de daño”, </w:t>
      </w:r>
      <w:r w:rsidRPr="008D58A8">
        <w:rPr>
          <w:rFonts w:ascii="Palatino Linotype" w:hAnsi="Palatino Linotype"/>
          <w:sz w:val="24"/>
          <w:szCs w:val="24"/>
        </w:rPr>
        <w:t xml:space="preserve">que consiste en exponer los argumentos y razones, basados en elementos objetivos o verificables, a partir de los cuales se derive que la divulgación de información, en </w:t>
      </w:r>
      <w:r w:rsidRPr="008D58A8">
        <w:rPr>
          <w:rFonts w:ascii="Palatino Linotype" w:hAnsi="Palatino Linotype"/>
          <w:sz w:val="24"/>
          <w:szCs w:val="24"/>
        </w:rPr>
        <w:lastRenderedPageBreak/>
        <w:t>particular, puede afectar, poner en riesgo o dañar el interés protegido</w:t>
      </w:r>
      <w:r w:rsidRPr="008D58A8">
        <w:rPr>
          <w:sz w:val="24"/>
          <w:szCs w:val="24"/>
          <w:vertAlign w:val="superscript"/>
        </w:rPr>
        <w:footnoteReference w:id="2"/>
      </w:r>
      <w:r w:rsidRPr="008D58A8">
        <w:rPr>
          <w:rFonts w:ascii="Palatino Linotype" w:hAnsi="Palatino Linotype"/>
          <w:sz w:val="24"/>
          <w:szCs w:val="24"/>
        </w:rPr>
        <w:t>. Asimismo, ésta no debe basarse en meras especulaciones o suposiciones, sino en elementos objetivos que deban evaluar que existe un riego actual e inminente</w:t>
      </w:r>
      <w:r w:rsidRPr="008D58A8">
        <w:rPr>
          <w:sz w:val="24"/>
          <w:szCs w:val="24"/>
          <w:vertAlign w:val="superscript"/>
        </w:rPr>
        <w:footnoteReference w:id="3"/>
      </w:r>
      <w:r w:rsidRPr="008D58A8">
        <w:rPr>
          <w:rFonts w:ascii="Palatino Linotype" w:hAnsi="Palatino Linotype"/>
          <w:sz w:val="24"/>
          <w:szCs w:val="24"/>
        </w:rPr>
        <w:t>.</w:t>
      </w:r>
    </w:p>
    <w:p w14:paraId="58C1AA58" w14:textId="77777777" w:rsidR="00480D38" w:rsidRPr="008D58A8" w:rsidRDefault="00480D38" w:rsidP="00480D38">
      <w:pPr>
        <w:spacing w:line="360" w:lineRule="auto"/>
        <w:jc w:val="both"/>
        <w:rPr>
          <w:rFonts w:ascii="Palatino Linotype" w:hAnsi="Palatino Linotype"/>
          <w:color w:val="000000" w:themeColor="text1"/>
          <w:sz w:val="24"/>
          <w:szCs w:val="24"/>
        </w:rPr>
      </w:pPr>
      <w:r w:rsidRPr="008D58A8">
        <w:rPr>
          <w:rFonts w:ascii="Palatino Linotype" w:hAnsi="Palatino Linotype"/>
          <w:color w:val="000000" w:themeColor="text1"/>
          <w:sz w:val="24"/>
          <w:szCs w:val="24"/>
        </w:rPr>
        <w:t xml:space="preserve">Adicionalmente los artículos 129 y 134 último párrafo de la Ley Estatal y 104 y 108 último párrafo de la Ley General, respectivamente, determinan que se debe realizar un análisis caso por caso, aplicando la prueba de daño. Esto implica que la motivación, que acredite la correspondencia entre el supuesto de hecho y la hipótesis normativa señalando las razones, motivos o circunstancias es una parte del acuerdo y otra parte, distinta, es la que corresponde a la prueba de daño, la que debe aplicarse caso por caso, esto es, no se puede hacer una prueba de daño de un expediente completo, </w:t>
      </w:r>
      <w:r w:rsidRPr="008D58A8">
        <w:rPr>
          <w:rFonts w:ascii="Palatino Linotype" w:hAnsi="Palatino Linotype"/>
          <w:b/>
          <w:color w:val="000000" w:themeColor="text1"/>
          <w:sz w:val="24"/>
          <w:szCs w:val="24"/>
          <w:u w:val="single"/>
        </w:rPr>
        <w:t>sino de cada uno de los documentos que lo integran</w:t>
      </w:r>
      <w:r w:rsidRPr="008D58A8">
        <w:rPr>
          <w:rFonts w:ascii="Palatino Linotype" w:hAnsi="Palatino Linotype"/>
          <w:color w:val="000000" w:themeColor="text1"/>
          <w:sz w:val="24"/>
          <w:szCs w:val="24"/>
        </w:rPr>
        <w:t>.</w:t>
      </w:r>
    </w:p>
    <w:p w14:paraId="18B0D2EE" w14:textId="77777777" w:rsidR="00480D38" w:rsidRPr="008D58A8" w:rsidRDefault="00480D38" w:rsidP="00480D38">
      <w:pPr>
        <w:spacing w:line="360" w:lineRule="auto"/>
        <w:jc w:val="both"/>
        <w:rPr>
          <w:rFonts w:ascii="Palatino Linotype" w:hAnsi="Palatino Linotype"/>
          <w:color w:val="000000" w:themeColor="text1"/>
          <w:sz w:val="24"/>
          <w:szCs w:val="24"/>
        </w:rPr>
      </w:pPr>
      <w:r w:rsidRPr="008D58A8">
        <w:rPr>
          <w:rFonts w:ascii="Palatino Linotype" w:hAnsi="Palatino Linotype"/>
          <w:color w:val="000000" w:themeColor="text1"/>
          <w:sz w:val="24"/>
          <w:szCs w:val="24"/>
        </w:rPr>
        <w:t>Para aplicar la prueba de daño, se deberán de precisar las razones objetivas por las que la apertura genera una afectación, acreditando que:</w:t>
      </w:r>
    </w:p>
    <w:p w14:paraId="5298A996" w14:textId="77777777" w:rsidR="00480D38" w:rsidRPr="008D58A8" w:rsidRDefault="00480D38" w:rsidP="00480D38">
      <w:pPr>
        <w:widowControl w:val="0"/>
        <w:autoSpaceDE w:val="0"/>
        <w:autoSpaceDN w:val="0"/>
        <w:adjustRightInd w:val="0"/>
        <w:spacing w:after="240" w:line="360" w:lineRule="auto"/>
        <w:ind w:left="851" w:right="333"/>
        <w:jc w:val="both"/>
        <w:rPr>
          <w:rFonts w:ascii="Palatino Linotype" w:hAnsi="Palatino Linotype" w:cs="Times"/>
          <w:color w:val="000000" w:themeColor="text1"/>
          <w:sz w:val="24"/>
          <w:szCs w:val="24"/>
          <w:lang w:val="es-ES_tradnl"/>
        </w:rPr>
      </w:pPr>
      <w:r w:rsidRPr="008D58A8">
        <w:rPr>
          <w:rFonts w:ascii="Palatino Linotype" w:hAnsi="Palatino Linotype" w:cs="Bookman Old Style"/>
          <w:bCs/>
          <w:color w:val="000000" w:themeColor="text1"/>
          <w:sz w:val="24"/>
          <w:szCs w:val="24"/>
          <w:lang w:val="es-ES_tradnl"/>
        </w:rPr>
        <w:t xml:space="preserve">I. </w:t>
      </w:r>
      <w:r w:rsidRPr="008D58A8">
        <w:rPr>
          <w:rFonts w:ascii="Palatino Linotype" w:hAnsi="Palatino Linotype" w:cs="Bookman Old Style"/>
          <w:color w:val="000000" w:themeColor="text1"/>
          <w:sz w:val="24"/>
          <w:szCs w:val="24"/>
          <w:lang w:val="es-ES_tradnl"/>
        </w:rPr>
        <w:t xml:space="preserve">La divulgación de la información representa un riesgo real, demostrable e identificable del perjuicio significativo al interés público o a la seguridad pública; </w:t>
      </w:r>
    </w:p>
    <w:p w14:paraId="45AEB104" w14:textId="77777777" w:rsidR="00480D38" w:rsidRPr="008D58A8" w:rsidRDefault="00480D38" w:rsidP="00480D38">
      <w:pPr>
        <w:widowControl w:val="0"/>
        <w:autoSpaceDE w:val="0"/>
        <w:autoSpaceDN w:val="0"/>
        <w:adjustRightInd w:val="0"/>
        <w:spacing w:after="240" w:line="360" w:lineRule="auto"/>
        <w:ind w:left="851" w:right="333"/>
        <w:jc w:val="both"/>
        <w:rPr>
          <w:rFonts w:ascii="Palatino Linotype" w:hAnsi="Palatino Linotype" w:cs="Times"/>
          <w:color w:val="000000" w:themeColor="text1"/>
          <w:sz w:val="24"/>
          <w:szCs w:val="24"/>
          <w:lang w:val="es-ES_tradnl"/>
        </w:rPr>
      </w:pPr>
      <w:r w:rsidRPr="008D58A8">
        <w:rPr>
          <w:rFonts w:ascii="Palatino Linotype" w:hAnsi="Palatino Linotype" w:cs="Bookman Old Style"/>
          <w:bCs/>
          <w:color w:val="000000" w:themeColor="text1"/>
          <w:sz w:val="24"/>
          <w:szCs w:val="24"/>
          <w:lang w:val="es-ES_tradnl"/>
        </w:rPr>
        <w:t xml:space="preserve">II. </w:t>
      </w:r>
      <w:r w:rsidRPr="008D58A8">
        <w:rPr>
          <w:rFonts w:ascii="Palatino Linotype" w:hAnsi="Palatino Linotype" w:cs="Bookman Old Style"/>
          <w:color w:val="000000" w:themeColor="text1"/>
          <w:sz w:val="24"/>
          <w:szCs w:val="24"/>
          <w:lang w:val="es-ES_tradnl"/>
        </w:rPr>
        <w:t xml:space="preserve">El riesgo de perjuicio que supondría la divulgación supera el interés público general de que se difunda; y </w:t>
      </w:r>
    </w:p>
    <w:p w14:paraId="59C9B1E8" w14:textId="77777777" w:rsidR="00480D38" w:rsidRPr="008D58A8" w:rsidRDefault="00480D38" w:rsidP="00480D38">
      <w:pPr>
        <w:widowControl w:val="0"/>
        <w:autoSpaceDE w:val="0"/>
        <w:autoSpaceDN w:val="0"/>
        <w:adjustRightInd w:val="0"/>
        <w:spacing w:after="240" w:line="360" w:lineRule="auto"/>
        <w:ind w:left="851" w:right="333"/>
        <w:jc w:val="both"/>
        <w:rPr>
          <w:rFonts w:ascii="Palatino Linotype" w:hAnsi="Palatino Linotype" w:cs="Times"/>
          <w:color w:val="000000" w:themeColor="text1"/>
          <w:sz w:val="24"/>
          <w:szCs w:val="24"/>
          <w:lang w:val="es-ES_tradnl"/>
        </w:rPr>
      </w:pPr>
      <w:r w:rsidRPr="008D58A8">
        <w:rPr>
          <w:rFonts w:ascii="Palatino Linotype" w:hAnsi="Palatino Linotype" w:cs="Bookman Old Style"/>
          <w:bCs/>
          <w:color w:val="000000" w:themeColor="text1"/>
          <w:sz w:val="24"/>
          <w:szCs w:val="24"/>
          <w:lang w:val="es-ES_tradnl"/>
        </w:rPr>
        <w:lastRenderedPageBreak/>
        <w:t xml:space="preserve">III. </w:t>
      </w:r>
      <w:r w:rsidRPr="008D58A8">
        <w:rPr>
          <w:rFonts w:ascii="Palatino Linotype" w:hAnsi="Palatino Linotype" w:cs="Bookman Old Style"/>
          <w:color w:val="000000" w:themeColor="text1"/>
          <w:sz w:val="24"/>
          <w:szCs w:val="24"/>
          <w:lang w:val="es-ES_tradnl"/>
        </w:rPr>
        <w:t xml:space="preserve">La limitación se adecua al principio de proporcionalidad y representa el medio menos restrictivo disponible para evitar el perjuicio. </w:t>
      </w:r>
    </w:p>
    <w:p w14:paraId="02597BC2" w14:textId="77777777" w:rsidR="00480D38" w:rsidRPr="008D58A8" w:rsidRDefault="00480D38" w:rsidP="00480D38">
      <w:pPr>
        <w:spacing w:line="360" w:lineRule="auto"/>
        <w:jc w:val="both"/>
        <w:rPr>
          <w:rFonts w:ascii="Palatino Linotype" w:hAnsi="Palatino Linotype"/>
          <w:color w:val="000000" w:themeColor="text1"/>
          <w:sz w:val="24"/>
          <w:szCs w:val="24"/>
        </w:rPr>
      </w:pPr>
      <w:r w:rsidRPr="008D58A8">
        <w:rPr>
          <w:rFonts w:ascii="Palatino Linotype" w:hAnsi="Palatino Linotype"/>
          <w:color w:val="000000" w:themeColor="text1"/>
          <w:sz w:val="24"/>
          <w:szCs w:val="24"/>
        </w:rPr>
        <w:t>Por lo que entonces, el primer supuesto de la prueba de daño consiste en acreditar que la entrega de la información provoca tres aspectos concurrentes: 1) la contingencia o proximidad de un daño, un perjuicio o lesión que tiene existencia objetiva, que se puede manifestar, declarar o probar mediante cualquier género de demostración a partir de proporcionar datos necesarios para reconocer el daño, perjuicio o lesión que provocaría a un interés público o a la seguridad pública.</w:t>
      </w:r>
    </w:p>
    <w:p w14:paraId="3DED6E22" w14:textId="77777777" w:rsidR="00480D38" w:rsidRPr="008D58A8" w:rsidRDefault="00480D38" w:rsidP="00480D38">
      <w:pPr>
        <w:spacing w:line="360" w:lineRule="auto"/>
        <w:jc w:val="both"/>
        <w:rPr>
          <w:rFonts w:ascii="Palatino Linotype" w:hAnsi="Palatino Linotype"/>
          <w:color w:val="000000" w:themeColor="text1"/>
          <w:sz w:val="24"/>
          <w:szCs w:val="24"/>
        </w:rPr>
      </w:pPr>
      <w:r w:rsidRPr="008D58A8">
        <w:rPr>
          <w:rFonts w:ascii="Palatino Linotype" w:hAnsi="Palatino Linotype"/>
          <w:color w:val="000000" w:themeColor="text1"/>
          <w:sz w:val="24"/>
          <w:szCs w:val="24"/>
        </w:rPr>
        <w:t xml:space="preserve">Identificado ese riesgo, se debe demostrar que el mismo supera el interés público general porque se difunda dicha información. </w:t>
      </w:r>
    </w:p>
    <w:p w14:paraId="58A6F215" w14:textId="77777777" w:rsidR="00480D38" w:rsidRPr="008D58A8" w:rsidRDefault="00480D38" w:rsidP="00480D38">
      <w:pPr>
        <w:spacing w:line="360" w:lineRule="auto"/>
        <w:jc w:val="both"/>
        <w:rPr>
          <w:rFonts w:ascii="Palatino Linotype" w:hAnsi="Palatino Linotype"/>
          <w:color w:val="000000" w:themeColor="text1"/>
          <w:sz w:val="24"/>
          <w:szCs w:val="24"/>
        </w:rPr>
      </w:pPr>
      <w:r w:rsidRPr="008D58A8">
        <w:rPr>
          <w:rFonts w:ascii="Palatino Linotype" w:hAnsi="Palatino Linotype"/>
          <w:color w:val="000000" w:themeColor="text1"/>
          <w:sz w:val="24"/>
          <w:szCs w:val="24"/>
        </w:rPr>
        <w:t>Y, por último,  que la limitación es acorde con el principio de proporcionalidad, para ello, se sugiere emplear los tres juicios propuestos por la Corte Constitucional Colombiana</w:t>
      </w:r>
      <w:r w:rsidRPr="008D58A8">
        <w:rPr>
          <w:rStyle w:val="Refdenotaalpie"/>
          <w:rFonts w:ascii="Palatino Linotype" w:hAnsi="Palatino Linotype"/>
          <w:color w:val="000000" w:themeColor="text1"/>
        </w:rPr>
        <w:footnoteReference w:id="4"/>
      </w:r>
      <w:r w:rsidRPr="008D58A8">
        <w:rPr>
          <w:rFonts w:ascii="Palatino Linotype" w:hAnsi="Palatino Linotype"/>
          <w:color w:val="000000" w:themeColor="text1"/>
          <w:sz w:val="24"/>
          <w:szCs w:val="24"/>
        </w:rPr>
        <w:t xml:space="preserve">, siguiendo el principio de ponderación propuesto por el Tribunal </w:t>
      </w:r>
      <w:r w:rsidRPr="008D58A8">
        <w:rPr>
          <w:rFonts w:ascii="Palatino Linotype" w:hAnsi="Palatino Linotype"/>
          <w:color w:val="000000" w:themeColor="text1"/>
          <w:sz w:val="24"/>
          <w:szCs w:val="24"/>
        </w:rPr>
        <w:lastRenderedPageBreak/>
        <w:t>Constitucional Alemán,</w:t>
      </w:r>
      <w:r w:rsidRPr="008D58A8">
        <w:rPr>
          <w:rStyle w:val="Refdenotaalpie"/>
          <w:rFonts w:ascii="Palatino Linotype" w:hAnsi="Palatino Linotype"/>
          <w:color w:val="000000" w:themeColor="text1"/>
        </w:rPr>
        <w:footnoteReference w:id="5"/>
      </w:r>
      <w:r w:rsidRPr="008D58A8">
        <w:rPr>
          <w:rFonts w:ascii="Palatino Linotype" w:hAnsi="Palatino Linotype"/>
          <w:color w:val="000000" w:themeColor="text1"/>
          <w:sz w:val="24"/>
          <w:szCs w:val="24"/>
        </w:rPr>
        <w:t xml:space="preserve"> el juicio de idoneidad, que la medida adoptada sea la idónea para el ejercicio del derecho; de necesidad, que sea necearía para que el derecho que prevalece se ejerza y el de estricta proporcionalidad esto es, que el derecho que prevalezca sea en la dimensión estrictamente proporcional al derecho que retrocede.</w:t>
      </w:r>
    </w:p>
    <w:p w14:paraId="17A1F768" w14:textId="77777777" w:rsidR="00480D38" w:rsidRPr="008D58A8" w:rsidRDefault="00480D38" w:rsidP="00480D38">
      <w:pPr>
        <w:spacing w:line="360" w:lineRule="auto"/>
        <w:jc w:val="both"/>
        <w:rPr>
          <w:rFonts w:ascii="Palatino Linotype" w:hAnsi="Palatino Linotype"/>
          <w:sz w:val="24"/>
          <w:szCs w:val="24"/>
          <w:lang w:val="es-ES"/>
        </w:rPr>
      </w:pPr>
      <w:r w:rsidRPr="008D58A8">
        <w:rPr>
          <w:rFonts w:ascii="Palatino Linotype" w:hAnsi="Palatino Linotype"/>
          <w:color w:val="000000" w:themeColor="text1"/>
          <w:sz w:val="24"/>
          <w:szCs w:val="24"/>
        </w:rPr>
        <w:t xml:space="preserve">Es así, que al configurarse tales requisitos, se otorga certidumbre jurídica y se protege la esfera más íntima del derecho humano constitucional y convencionalmente reconocido. </w:t>
      </w:r>
    </w:p>
    <w:p w14:paraId="3B9D1A36" w14:textId="77777777" w:rsidR="00480D38" w:rsidRPr="008D58A8" w:rsidRDefault="00480D38" w:rsidP="00480D38">
      <w:pPr>
        <w:spacing w:before="240" w:line="360" w:lineRule="auto"/>
        <w:jc w:val="both"/>
        <w:rPr>
          <w:rFonts w:ascii="Palatino Linotype" w:hAnsi="Palatino Linotype"/>
          <w:sz w:val="24"/>
          <w:szCs w:val="24"/>
        </w:rPr>
      </w:pPr>
      <w:r w:rsidRPr="008D58A8">
        <w:rPr>
          <w:rFonts w:ascii="Palatino Linotype" w:hAnsi="Palatino Linotype"/>
          <w:sz w:val="24"/>
          <w:szCs w:val="24"/>
        </w:rPr>
        <w:t>En virtud de lo anterior, se desprende que los Acuerdos de Reserva deberán de cumplir los siguientes parámetros de forma y fondo:</w:t>
      </w:r>
    </w:p>
    <w:p w14:paraId="150363C2" w14:textId="77777777" w:rsidR="00480D38" w:rsidRPr="008D58A8" w:rsidRDefault="00480D38" w:rsidP="006552A9">
      <w:pPr>
        <w:pStyle w:val="Prrafodelista"/>
        <w:numPr>
          <w:ilvl w:val="0"/>
          <w:numId w:val="4"/>
        </w:numPr>
        <w:spacing w:before="240" w:line="360" w:lineRule="auto"/>
        <w:jc w:val="both"/>
        <w:rPr>
          <w:rFonts w:ascii="Palatino Linotype" w:hAnsi="Palatino Linotype"/>
        </w:rPr>
      </w:pPr>
      <w:r w:rsidRPr="008D58A8">
        <w:rPr>
          <w:rFonts w:ascii="Palatino Linotype" w:hAnsi="Palatino Linotype"/>
        </w:rPr>
        <w:t>Número de folio de la solicitud</w:t>
      </w:r>
    </w:p>
    <w:p w14:paraId="3E16D0A9" w14:textId="77777777" w:rsidR="00480D38" w:rsidRPr="008D58A8" w:rsidRDefault="00480D38" w:rsidP="006552A9">
      <w:pPr>
        <w:pStyle w:val="Prrafodelista"/>
        <w:numPr>
          <w:ilvl w:val="0"/>
          <w:numId w:val="4"/>
        </w:numPr>
        <w:spacing w:before="240" w:line="360" w:lineRule="auto"/>
        <w:jc w:val="both"/>
        <w:rPr>
          <w:rFonts w:ascii="Palatino Linotype" w:hAnsi="Palatino Linotype"/>
        </w:rPr>
      </w:pPr>
      <w:r w:rsidRPr="008D58A8">
        <w:rPr>
          <w:rFonts w:ascii="Palatino Linotype" w:hAnsi="Palatino Linotype"/>
        </w:rPr>
        <w:t>Referencia a la información solicitada</w:t>
      </w:r>
    </w:p>
    <w:p w14:paraId="0C4FAC4E" w14:textId="77777777" w:rsidR="00480D38" w:rsidRPr="008D58A8" w:rsidRDefault="00480D38" w:rsidP="006552A9">
      <w:pPr>
        <w:pStyle w:val="Prrafodelista"/>
        <w:numPr>
          <w:ilvl w:val="0"/>
          <w:numId w:val="4"/>
        </w:numPr>
        <w:spacing w:before="240" w:line="360" w:lineRule="auto"/>
        <w:jc w:val="both"/>
        <w:rPr>
          <w:rFonts w:ascii="Palatino Linotype" w:hAnsi="Palatino Linotype"/>
          <w:bCs/>
        </w:rPr>
      </w:pPr>
      <w:r w:rsidRPr="008D58A8">
        <w:rPr>
          <w:rFonts w:ascii="Palatino Linotype" w:hAnsi="Palatino Linotype"/>
          <w:bCs/>
        </w:rPr>
        <w:t>Causal aplicable del artículo 113 de la Ley General, vinculándola con el Lineamiento específico del presente ordenamiento y, cuando corresponda, el supuesto normativo que expresamente le otorga el carácter de información reservada</w:t>
      </w:r>
    </w:p>
    <w:p w14:paraId="6791D5B2" w14:textId="77777777" w:rsidR="00480D38" w:rsidRPr="008D58A8" w:rsidRDefault="00480D38" w:rsidP="006552A9">
      <w:pPr>
        <w:pStyle w:val="Prrafodelista"/>
        <w:numPr>
          <w:ilvl w:val="0"/>
          <w:numId w:val="4"/>
        </w:numPr>
        <w:spacing w:before="240" w:line="360" w:lineRule="auto"/>
        <w:jc w:val="both"/>
        <w:rPr>
          <w:rFonts w:ascii="Palatino Linotype" w:hAnsi="Palatino Linotype"/>
          <w:bCs/>
        </w:rPr>
      </w:pPr>
      <w:r w:rsidRPr="008D58A8">
        <w:rPr>
          <w:rFonts w:ascii="Palatino Linotype" w:hAnsi="Palatino Linotype"/>
          <w:bCs/>
        </w:rPr>
        <w:t>Fundamento y motivación legal</w:t>
      </w:r>
    </w:p>
    <w:p w14:paraId="60BFF1B1" w14:textId="77777777" w:rsidR="00480D38" w:rsidRPr="008D58A8" w:rsidRDefault="00480D38" w:rsidP="006552A9">
      <w:pPr>
        <w:pStyle w:val="Prrafodelista"/>
        <w:numPr>
          <w:ilvl w:val="0"/>
          <w:numId w:val="4"/>
        </w:numPr>
        <w:spacing w:before="240" w:line="360" w:lineRule="auto"/>
        <w:jc w:val="both"/>
        <w:rPr>
          <w:rFonts w:ascii="Palatino Linotype" w:hAnsi="Palatino Linotype"/>
          <w:bCs/>
        </w:rPr>
      </w:pPr>
      <w:r w:rsidRPr="008D58A8">
        <w:rPr>
          <w:rFonts w:ascii="Palatino Linotype" w:hAnsi="Palatino Linotype"/>
          <w:bCs/>
        </w:rPr>
        <w:lastRenderedPageBreak/>
        <w:t>Conexión entre los fundamentos y motivos que dieron origen a la reserva de la información</w:t>
      </w:r>
    </w:p>
    <w:p w14:paraId="3EA7FFF2" w14:textId="77777777" w:rsidR="00480D38" w:rsidRPr="008D58A8" w:rsidRDefault="00480D38" w:rsidP="00480D38">
      <w:pPr>
        <w:spacing w:before="240" w:line="360" w:lineRule="auto"/>
        <w:jc w:val="both"/>
        <w:rPr>
          <w:rFonts w:ascii="Palatino Linotype" w:hAnsi="Palatino Linotype"/>
          <w:b/>
          <w:sz w:val="24"/>
          <w:szCs w:val="24"/>
        </w:rPr>
      </w:pPr>
      <w:r w:rsidRPr="008D58A8">
        <w:rPr>
          <w:rFonts w:ascii="Palatino Linotype" w:hAnsi="Palatino Linotype"/>
          <w:b/>
          <w:sz w:val="24"/>
          <w:szCs w:val="24"/>
        </w:rPr>
        <w:t xml:space="preserve">Prueba de daño </w:t>
      </w:r>
    </w:p>
    <w:p w14:paraId="4E12CF4A" w14:textId="77777777" w:rsidR="00480D38" w:rsidRPr="008D58A8" w:rsidRDefault="00480D38" w:rsidP="006552A9">
      <w:pPr>
        <w:pStyle w:val="Prrafodelista"/>
        <w:numPr>
          <w:ilvl w:val="0"/>
          <w:numId w:val="4"/>
        </w:numPr>
        <w:spacing w:before="240" w:line="360" w:lineRule="auto"/>
        <w:jc w:val="both"/>
        <w:rPr>
          <w:rFonts w:ascii="Palatino Linotype" w:hAnsi="Palatino Linotype"/>
          <w:bCs/>
        </w:rPr>
      </w:pPr>
      <w:r w:rsidRPr="008D58A8">
        <w:rPr>
          <w:rFonts w:ascii="Palatino Linotype" w:hAnsi="Palatino Linotype"/>
          <w:bCs/>
        </w:rPr>
        <w:t>Riesgo real, demostrable e identificable (modo, tiempo y lugar)</w:t>
      </w:r>
    </w:p>
    <w:p w14:paraId="42A724B2" w14:textId="77777777" w:rsidR="00480D38" w:rsidRPr="008D58A8" w:rsidRDefault="00480D38" w:rsidP="006552A9">
      <w:pPr>
        <w:pStyle w:val="Prrafodelista"/>
        <w:numPr>
          <w:ilvl w:val="0"/>
          <w:numId w:val="4"/>
        </w:numPr>
        <w:spacing w:before="240" w:line="360" w:lineRule="auto"/>
        <w:jc w:val="both"/>
        <w:rPr>
          <w:rFonts w:ascii="Palatino Linotype" w:hAnsi="Palatino Linotype"/>
          <w:bCs/>
        </w:rPr>
      </w:pPr>
      <w:r w:rsidRPr="008D58A8">
        <w:rPr>
          <w:rFonts w:ascii="Palatino Linotype" w:hAnsi="Palatino Linotype"/>
          <w:bCs/>
        </w:rPr>
        <w:t>Temporalidad de la reserva de la información</w:t>
      </w:r>
    </w:p>
    <w:p w14:paraId="2137A033" w14:textId="77777777" w:rsidR="00480D38" w:rsidRPr="008D58A8" w:rsidRDefault="00480D38" w:rsidP="006552A9">
      <w:pPr>
        <w:pStyle w:val="Prrafodelista"/>
        <w:numPr>
          <w:ilvl w:val="0"/>
          <w:numId w:val="4"/>
        </w:numPr>
        <w:spacing w:before="240" w:line="360" w:lineRule="auto"/>
        <w:jc w:val="both"/>
        <w:rPr>
          <w:rFonts w:ascii="Palatino Linotype" w:hAnsi="Palatino Linotype"/>
          <w:bCs/>
        </w:rPr>
      </w:pPr>
      <w:r w:rsidRPr="008D58A8">
        <w:rPr>
          <w:rFonts w:ascii="Palatino Linotype" w:hAnsi="Palatino Linotype"/>
          <w:bCs/>
        </w:rPr>
        <w:t xml:space="preserve">Autoridades competentes </w:t>
      </w:r>
    </w:p>
    <w:p w14:paraId="6E098EB4" w14:textId="77777777" w:rsidR="00480D38" w:rsidRPr="008D58A8" w:rsidRDefault="00480D38" w:rsidP="00480D38">
      <w:pPr>
        <w:spacing w:before="240" w:line="360" w:lineRule="auto"/>
        <w:jc w:val="both"/>
        <w:rPr>
          <w:rFonts w:ascii="Palatino Linotype" w:hAnsi="Palatino Linotype"/>
        </w:rPr>
      </w:pPr>
    </w:p>
    <w:p w14:paraId="7FB488D9" w14:textId="77777777" w:rsidR="00480D38" w:rsidRPr="008D58A8" w:rsidRDefault="00480D38" w:rsidP="00480D38">
      <w:pPr>
        <w:spacing w:before="240" w:line="360" w:lineRule="auto"/>
        <w:jc w:val="both"/>
        <w:rPr>
          <w:rFonts w:ascii="Palatino Linotype" w:hAnsi="Palatino Linotype"/>
          <w:sz w:val="24"/>
          <w:szCs w:val="24"/>
        </w:rPr>
      </w:pPr>
      <w:r w:rsidRPr="008D58A8">
        <w:rPr>
          <w:rFonts w:ascii="Palatino Linotype" w:hAnsi="Palatino Linotype"/>
          <w:sz w:val="24"/>
          <w:szCs w:val="24"/>
        </w:rPr>
        <w:t xml:space="preserve">En razón de lo anterior, se destaca que la pauta metodológica necesaria para clasificar la información como reservada se desprende inicialmente de identificar las causales aplicables, por ello, resulta oportuno realizar un análisis integral del numeral 140 de la Ley de Transparencia y Acceso a la Información Pública del Estado de México y Municipios, porción normativa que dispone a la literalidad lo siguiente: </w:t>
      </w:r>
    </w:p>
    <w:p w14:paraId="4BF2D79B" w14:textId="77777777" w:rsidR="00480D38" w:rsidRPr="008D58A8" w:rsidRDefault="00480D38" w:rsidP="00480D38">
      <w:pPr>
        <w:pStyle w:val="Citas"/>
        <w:jc w:val="center"/>
        <w:rPr>
          <w:b/>
        </w:rPr>
      </w:pPr>
      <w:r w:rsidRPr="008D58A8">
        <w:rPr>
          <w:b/>
        </w:rPr>
        <w:t xml:space="preserve">Ley de Transparencia y Acceso a la Información Pública del Estado de México y Municipios </w:t>
      </w:r>
    </w:p>
    <w:p w14:paraId="3E462901" w14:textId="77777777" w:rsidR="00480D38" w:rsidRPr="008D58A8" w:rsidRDefault="00480D38" w:rsidP="00480D38">
      <w:pPr>
        <w:pStyle w:val="Citas"/>
      </w:pPr>
      <w:r w:rsidRPr="008D58A8">
        <w:t xml:space="preserve">“Artículo 140. El acceso a la información pública será restringido excepcionalmente, cuando por razones de interés público, ésta sea clasificada como reservada, conforme a los criterios siguientes: </w:t>
      </w:r>
    </w:p>
    <w:p w14:paraId="249FE115" w14:textId="77777777" w:rsidR="00480D38" w:rsidRPr="008D58A8" w:rsidRDefault="00480D38" w:rsidP="00480D38">
      <w:pPr>
        <w:pStyle w:val="Citas"/>
        <w:rPr>
          <w:bCs/>
        </w:rPr>
      </w:pPr>
      <w:r w:rsidRPr="008D58A8">
        <w:rPr>
          <w:bCs/>
        </w:rPr>
        <w:t xml:space="preserve">I. Comprometa la seguridad pública y cuente con un propósito genuino y un efecto demostrable; </w:t>
      </w:r>
    </w:p>
    <w:p w14:paraId="248AB4AD" w14:textId="77777777" w:rsidR="00480D38" w:rsidRPr="008D58A8" w:rsidRDefault="00480D38" w:rsidP="00480D38">
      <w:pPr>
        <w:pStyle w:val="Citas"/>
      </w:pPr>
      <w:r w:rsidRPr="008D58A8">
        <w:lastRenderedPageBreak/>
        <w:t xml:space="preserve">II. Pueda menoscabar la conducción de las negociaciones y relaciones internacionales; </w:t>
      </w:r>
    </w:p>
    <w:p w14:paraId="784226B6" w14:textId="77777777" w:rsidR="00480D38" w:rsidRPr="008D58A8" w:rsidRDefault="00480D38" w:rsidP="00480D38">
      <w:pPr>
        <w:pStyle w:val="Citas"/>
      </w:pPr>
      <w:r w:rsidRPr="008D58A8">
        <w:t xml:space="preserve">III.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14:paraId="1CD41A77" w14:textId="77777777" w:rsidR="00480D38" w:rsidRPr="008D58A8" w:rsidRDefault="00480D38" w:rsidP="00480D38">
      <w:pPr>
        <w:pStyle w:val="Citas"/>
        <w:rPr>
          <w:bCs/>
        </w:rPr>
      </w:pPr>
      <w:r w:rsidRPr="008D58A8">
        <w:rPr>
          <w:bCs/>
        </w:rPr>
        <w:t xml:space="preserve">IV. Ponga en riesgo la vida, la seguridad o la salud de una persona física; </w:t>
      </w:r>
    </w:p>
    <w:p w14:paraId="100814EF" w14:textId="77777777" w:rsidR="00480D38" w:rsidRPr="008D58A8" w:rsidRDefault="00480D38" w:rsidP="00480D38">
      <w:pPr>
        <w:pStyle w:val="Citas"/>
        <w:rPr>
          <w:b/>
          <w:bCs/>
          <w:u w:val="single"/>
        </w:rPr>
      </w:pPr>
      <w:r w:rsidRPr="008D58A8">
        <w:rPr>
          <w:b/>
          <w:bCs/>
          <w:u w:val="single"/>
        </w:rPr>
        <w:t xml:space="preserve">V. Aquella cuya divulgación obstruya o pueda causar un serio perjuicio a: </w:t>
      </w:r>
    </w:p>
    <w:p w14:paraId="2117D62A" w14:textId="77777777" w:rsidR="00480D38" w:rsidRPr="008D58A8" w:rsidRDefault="00480D38" w:rsidP="00480D38">
      <w:pPr>
        <w:pStyle w:val="Citas"/>
        <w:rPr>
          <w:b/>
          <w:bCs/>
          <w:u w:val="single"/>
        </w:rPr>
      </w:pPr>
      <w:r w:rsidRPr="008D58A8">
        <w:rPr>
          <w:b/>
          <w:bCs/>
          <w:u w:val="single"/>
        </w:rPr>
        <w:t xml:space="preserve">1. Las actividades de fiscalización, verificación, inspección, comprobación y auditoría sobre el cumplimiento de las Leyes; o </w:t>
      </w:r>
    </w:p>
    <w:p w14:paraId="2A7FCBB9" w14:textId="77777777" w:rsidR="00480D38" w:rsidRPr="008D58A8" w:rsidRDefault="00480D38" w:rsidP="00480D38">
      <w:pPr>
        <w:pStyle w:val="Citas"/>
      </w:pPr>
      <w:r w:rsidRPr="008D58A8">
        <w:t xml:space="preserve">2. La recaudación de las contribuciones. </w:t>
      </w:r>
    </w:p>
    <w:p w14:paraId="03B7301C" w14:textId="77777777" w:rsidR="00480D38" w:rsidRPr="008D58A8" w:rsidRDefault="00480D38" w:rsidP="00480D38">
      <w:pPr>
        <w:pStyle w:val="Citas"/>
      </w:pPr>
      <w:r w:rsidRPr="008D58A8">
        <w:rPr>
          <w:bCs/>
        </w:rPr>
        <w:t>VI. Pueda causar daño u obstruya la prevención o persecución de los delitos,</w:t>
      </w:r>
      <w:r w:rsidRPr="008D58A8">
        <w:t xml:space="preserve">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14:paraId="25BD429E" w14:textId="77777777" w:rsidR="00480D38" w:rsidRPr="008D58A8" w:rsidRDefault="00480D38" w:rsidP="00480D38">
      <w:pPr>
        <w:pStyle w:val="Citas"/>
      </w:pPr>
      <w:r w:rsidRPr="008D58A8">
        <w:t xml:space="preserve">VII. La que contengan las opiniones, recomendaciones o puntos de vista que formen parte del proceso deliberativo de los servidores públicos, hasta en tanto sea adoptada la decisión definitiva, la cual deberá estar documentada; </w:t>
      </w:r>
    </w:p>
    <w:p w14:paraId="68B173D3" w14:textId="77777777" w:rsidR="00480D38" w:rsidRPr="008D58A8" w:rsidRDefault="00480D38" w:rsidP="00480D38">
      <w:pPr>
        <w:pStyle w:val="Citas"/>
      </w:pPr>
      <w:r w:rsidRPr="008D58A8">
        <w:lastRenderedPageBreak/>
        <w:t xml:space="preserve">VIII. Vulnere la conducción de los expedientes judiciales o de los procedimientos administrativos seguidos en forma de juicio, en tanto no hayan quedado firmes; </w:t>
      </w:r>
    </w:p>
    <w:p w14:paraId="7AB549FA" w14:textId="77777777" w:rsidR="00480D38" w:rsidRPr="008D58A8" w:rsidRDefault="00480D38" w:rsidP="00480D38">
      <w:pPr>
        <w:pStyle w:val="Citas"/>
      </w:pPr>
      <w:r w:rsidRPr="008D58A8">
        <w:t xml:space="preserve">IX. Se encuentre contenida dentro de las investigaciones de hechos que la Ley señale como delitos y se tramiten ante el Ministerio Público; </w:t>
      </w:r>
    </w:p>
    <w:p w14:paraId="17E40458" w14:textId="77777777" w:rsidR="00480D38" w:rsidRPr="008D58A8" w:rsidRDefault="00480D38" w:rsidP="00480D38">
      <w:pPr>
        <w:pStyle w:val="Citas"/>
      </w:pPr>
      <w:r w:rsidRPr="008D58A8">
        <w:t xml:space="preserve">X. El daño que pueda producirse con la publicación de la información sea mayor que el interés público de conocer la información de referencia, siempre que esté directamente relacionado con procesos o procedimientos administrativos o judiciales que no hayan quedado firmes; </w:t>
      </w:r>
    </w:p>
    <w:p w14:paraId="218755A6" w14:textId="77777777" w:rsidR="00480D38" w:rsidRPr="008D58A8" w:rsidRDefault="00480D38" w:rsidP="00480D38">
      <w:pPr>
        <w:pStyle w:val="Citas"/>
      </w:pPr>
      <w:r w:rsidRPr="008D58A8">
        <w:t xml:space="preserve">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 </w:t>
      </w:r>
    </w:p>
    <w:p w14:paraId="5FED8530" w14:textId="77777777" w:rsidR="00480D38" w:rsidRPr="008D58A8" w:rsidRDefault="00480D38" w:rsidP="00480D38">
      <w:pPr>
        <w:pStyle w:val="Citas"/>
        <w:rPr>
          <w:bCs/>
          <w:sz w:val="24"/>
          <w:szCs w:val="24"/>
        </w:rPr>
      </w:pPr>
      <w:r w:rsidRPr="008D58A8">
        <w:rPr>
          <w:bCs/>
        </w:rPr>
        <w:t>XI. Las que por disposición expresa de una ley tengan tal carácter, siempre que sean acordes con las bases, principios y disposiciones establecidos en esta Ley y no la contravengan; así como las previstas en tratados internacionales.” (Sic)</w:t>
      </w:r>
    </w:p>
    <w:p w14:paraId="395946EF" w14:textId="77777777" w:rsidR="001D2729" w:rsidRPr="008D58A8" w:rsidRDefault="001D2729" w:rsidP="00480D38">
      <w:pPr>
        <w:spacing w:before="240" w:line="360" w:lineRule="auto"/>
        <w:jc w:val="both"/>
        <w:rPr>
          <w:rFonts w:ascii="Palatino Linotype" w:hAnsi="Palatino Linotype"/>
          <w:sz w:val="24"/>
          <w:szCs w:val="24"/>
        </w:rPr>
      </w:pPr>
    </w:p>
    <w:p w14:paraId="361B7202" w14:textId="24DC7AA1" w:rsidR="00480D38" w:rsidRPr="008D58A8" w:rsidRDefault="00480D38" w:rsidP="00480D38">
      <w:pPr>
        <w:spacing w:before="240" w:line="360" w:lineRule="auto"/>
        <w:jc w:val="both"/>
        <w:rPr>
          <w:rFonts w:ascii="Palatino Linotype" w:hAnsi="Palatino Linotype"/>
          <w:sz w:val="24"/>
          <w:szCs w:val="24"/>
        </w:rPr>
      </w:pPr>
      <w:r w:rsidRPr="008D58A8">
        <w:rPr>
          <w:rFonts w:ascii="Palatino Linotype" w:hAnsi="Palatino Linotype"/>
          <w:sz w:val="24"/>
          <w:szCs w:val="24"/>
        </w:rPr>
        <w:t xml:space="preserve">En virtud de lo anterior, resulta competencia del </w:t>
      </w:r>
      <w:r w:rsidRPr="008D58A8">
        <w:rPr>
          <w:rFonts w:ascii="Palatino Linotype" w:hAnsi="Palatino Linotype"/>
          <w:b/>
          <w:bCs/>
          <w:sz w:val="24"/>
          <w:szCs w:val="24"/>
        </w:rPr>
        <w:t xml:space="preserve">Sujeto Obligado </w:t>
      </w:r>
      <w:r w:rsidRPr="008D58A8">
        <w:rPr>
          <w:rFonts w:ascii="Palatino Linotype" w:hAnsi="Palatino Linotype"/>
          <w:sz w:val="24"/>
          <w:szCs w:val="24"/>
        </w:rPr>
        <w:t>apreciar el contenido de la información en cita, a efecto de valorar la posible actualización de una causal de reserva, y en consecuencia, proceder conforme a la pauta metodológica referida con anterioridad. Restricción que en términos del numeral 142 de la Ley de Transparencia local no podrá invocarse bajo los siguientes supuestos normativos:</w:t>
      </w:r>
    </w:p>
    <w:p w14:paraId="55F17BF6" w14:textId="77777777" w:rsidR="00480D38" w:rsidRPr="008D58A8" w:rsidRDefault="00480D38" w:rsidP="00480D38">
      <w:pPr>
        <w:pStyle w:val="Citas"/>
      </w:pPr>
      <w:r w:rsidRPr="008D58A8">
        <w:lastRenderedPageBreak/>
        <w:t>“Artículo 142. Bajo ninguna circunstancia podrá invocarse el carácter de reservado cuando:</w:t>
      </w:r>
    </w:p>
    <w:p w14:paraId="2C2D5FEA" w14:textId="77777777" w:rsidR="00480D38" w:rsidRPr="008D58A8" w:rsidRDefault="00480D38" w:rsidP="00480D38">
      <w:pPr>
        <w:pStyle w:val="Citas"/>
      </w:pPr>
      <w:r w:rsidRPr="008D58A8">
        <w:t xml:space="preserve"> I. Se trate de violaciones graves de derechos humanos, calificada así por autoridad competente; </w:t>
      </w:r>
    </w:p>
    <w:p w14:paraId="63C55BCA" w14:textId="77777777" w:rsidR="00480D38" w:rsidRPr="008D58A8" w:rsidRDefault="00480D38" w:rsidP="00480D38">
      <w:pPr>
        <w:pStyle w:val="Citas"/>
      </w:pPr>
      <w:r w:rsidRPr="008D58A8">
        <w:t xml:space="preserve">II. Se trate de la investigación de posibles violaciones graves de derechos humanos aun cuando no exista pronunciamiento previo de autoridad competente, cuando se determine, a partir de criterios cuantitativos y cualitativos la trascendencia social de las violaciones; </w:t>
      </w:r>
    </w:p>
    <w:p w14:paraId="255F2EAC" w14:textId="77777777" w:rsidR="00480D38" w:rsidRPr="008D58A8" w:rsidRDefault="00480D38" w:rsidP="00480D38">
      <w:pPr>
        <w:pStyle w:val="Citas"/>
      </w:pPr>
      <w:r w:rsidRPr="008D58A8">
        <w:t xml:space="preserve">III. Se trate de delitos de lesa humanidad conforme a los tratados ratificados por el Senado de la República, las resoluciones emitidas por organismos internacionales cuya competencia sea reconocida por el Estado Mexicano, así como en las disposiciones jurídicas aplicables; y </w:t>
      </w:r>
    </w:p>
    <w:p w14:paraId="4F8E519A" w14:textId="77777777" w:rsidR="00480D38" w:rsidRPr="008D58A8" w:rsidRDefault="00480D38" w:rsidP="00480D38">
      <w:pPr>
        <w:pStyle w:val="Citas"/>
        <w:rPr>
          <w:b/>
          <w:bCs/>
          <w:sz w:val="24"/>
          <w:szCs w:val="24"/>
        </w:rPr>
      </w:pPr>
      <w:r w:rsidRPr="008D58A8">
        <w:t xml:space="preserve">IV. Se trate de información relacionada con actos de corrupción de conformidad con las disposiciones jurídicas aplicables.” </w:t>
      </w:r>
      <w:r w:rsidRPr="008D58A8">
        <w:rPr>
          <w:b/>
          <w:bCs/>
        </w:rPr>
        <w:t>(Sic)</w:t>
      </w:r>
    </w:p>
    <w:p w14:paraId="21DD67F9" w14:textId="77777777" w:rsidR="00480D38" w:rsidRPr="008D58A8" w:rsidRDefault="00480D38" w:rsidP="00480D38">
      <w:pPr>
        <w:autoSpaceDE w:val="0"/>
        <w:autoSpaceDN w:val="0"/>
        <w:adjustRightInd w:val="0"/>
        <w:spacing w:before="240" w:line="360" w:lineRule="auto"/>
        <w:jc w:val="both"/>
        <w:rPr>
          <w:rFonts w:ascii="Palatino Linotype" w:hAnsi="Palatino Linotype" w:cs="Arial"/>
          <w:b/>
          <w:bCs/>
        </w:rPr>
      </w:pPr>
    </w:p>
    <w:p w14:paraId="45EA8BEE" w14:textId="77777777" w:rsidR="00480D38" w:rsidRPr="008D58A8" w:rsidRDefault="00480D38" w:rsidP="00480D38">
      <w:pPr>
        <w:autoSpaceDE w:val="0"/>
        <w:autoSpaceDN w:val="0"/>
        <w:adjustRightInd w:val="0"/>
        <w:spacing w:before="240" w:line="360" w:lineRule="auto"/>
        <w:jc w:val="both"/>
        <w:rPr>
          <w:rFonts w:ascii="Palatino Linotype" w:hAnsi="Palatino Linotype" w:cs="Arial"/>
          <w:sz w:val="24"/>
          <w:szCs w:val="24"/>
        </w:rPr>
      </w:pPr>
      <w:r w:rsidRPr="008D58A8">
        <w:rPr>
          <w:rFonts w:ascii="Palatino Linotype" w:hAnsi="Palatino Linotype" w:cs="Arial"/>
          <w:sz w:val="24"/>
          <w:szCs w:val="24"/>
        </w:rPr>
        <w:t xml:space="preserve">En función de lo planteado, resulta responsabilidad del </w:t>
      </w:r>
      <w:r w:rsidRPr="008D58A8">
        <w:rPr>
          <w:rFonts w:ascii="Palatino Linotype" w:hAnsi="Palatino Linotype" w:cs="Arial"/>
          <w:b/>
          <w:bCs/>
          <w:sz w:val="24"/>
          <w:szCs w:val="24"/>
        </w:rPr>
        <w:t xml:space="preserve">Sujeto Obligado </w:t>
      </w:r>
      <w:r w:rsidRPr="008D58A8">
        <w:rPr>
          <w:rFonts w:ascii="Palatino Linotype" w:hAnsi="Palatino Linotype" w:cs="Arial"/>
          <w:sz w:val="24"/>
          <w:szCs w:val="24"/>
        </w:rPr>
        <w:t xml:space="preserve">valorar el contenido de la información y en su caso advertir la posible actualización de causales de confidencialidad y/o reserva. </w:t>
      </w:r>
    </w:p>
    <w:p w14:paraId="7FA01E9E" w14:textId="77777777" w:rsidR="00660D95" w:rsidRPr="008D58A8" w:rsidRDefault="00480D38" w:rsidP="00660D95">
      <w:pPr>
        <w:tabs>
          <w:tab w:val="left" w:pos="709"/>
        </w:tabs>
        <w:spacing w:after="0" w:line="360" w:lineRule="auto"/>
        <w:jc w:val="both"/>
        <w:rPr>
          <w:rFonts w:ascii="Palatino Linotype" w:hAnsi="Palatino Linotype"/>
          <w:sz w:val="24"/>
        </w:rPr>
      </w:pPr>
      <w:r w:rsidRPr="008D58A8">
        <w:rPr>
          <w:rFonts w:ascii="Palatino Linotype" w:hAnsi="Palatino Linotype"/>
          <w:iCs/>
        </w:rPr>
        <w:t xml:space="preserve"> </w:t>
      </w:r>
      <w:r w:rsidR="00660D95" w:rsidRPr="008D58A8">
        <w:rPr>
          <w:rFonts w:ascii="Palatino Linotype" w:hAnsi="Palatino Linotype"/>
          <w:iCs/>
        </w:rPr>
        <w:t xml:space="preserve">Adicionalmente, la </w:t>
      </w:r>
      <w:r w:rsidR="00660D95" w:rsidRPr="008D58A8">
        <w:rPr>
          <w:rFonts w:ascii="Palatino Linotype" w:hAnsi="Palatino Linotype"/>
          <w:sz w:val="24"/>
          <w:szCs w:val="24"/>
        </w:rPr>
        <w:t xml:space="preserve">información requerida pudiera encontrarse vinculada con faltas administrativas no graves. </w:t>
      </w:r>
      <w:r w:rsidR="00660D95" w:rsidRPr="008D58A8">
        <w:rPr>
          <w:rFonts w:ascii="Palatino Linotype" w:hAnsi="Palatino Linotype"/>
          <w:sz w:val="24"/>
        </w:rPr>
        <w:t xml:space="preserve">Correlativo a lo anterior, los artículos 53, párrafo segundo de la Ley General del Sistema Nacional Anticorrupción, 53, párrafo segundo de la Ley </w:t>
      </w:r>
      <w:r w:rsidR="00660D95" w:rsidRPr="008D58A8">
        <w:rPr>
          <w:rFonts w:ascii="Palatino Linotype" w:hAnsi="Palatino Linotype"/>
          <w:sz w:val="24"/>
        </w:rPr>
        <w:lastRenderedPageBreak/>
        <w:t>del Sistema Anticorrupción del Estado de México y 27, párrafo cuarto, segundo supuesto de la Ley General de Responsabilidades administrativas, señalan que los registros de las sanciones relativas a responsabilidades administrativas no graves, quedarán registradas para efectos de eventual reincidencia, pero no serán públicas, porciones legales cuyo contenido literal es el siguiente:</w:t>
      </w:r>
    </w:p>
    <w:p w14:paraId="3CC39A1F" w14:textId="77777777" w:rsidR="00660D95" w:rsidRPr="008D58A8" w:rsidRDefault="00660D95" w:rsidP="00660D95">
      <w:pPr>
        <w:tabs>
          <w:tab w:val="left" w:pos="709"/>
        </w:tabs>
        <w:spacing w:after="0" w:line="360" w:lineRule="auto"/>
        <w:jc w:val="both"/>
        <w:rPr>
          <w:rFonts w:ascii="Palatino Linotype" w:hAnsi="Palatino Linotype"/>
          <w:sz w:val="24"/>
        </w:rPr>
      </w:pPr>
    </w:p>
    <w:p w14:paraId="36FC6184" w14:textId="77777777" w:rsidR="00660D95" w:rsidRPr="008D58A8" w:rsidRDefault="00660D95" w:rsidP="00660D95">
      <w:pPr>
        <w:tabs>
          <w:tab w:val="left" w:pos="709"/>
        </w:tabs>
        <w:spacing w:after="0" w:line="240" w:lineRule="auto"/>
        <w:ind w:left="567" w:right="567"/>
        <w:jc w:val="center"/>
        <w:rPr>
          <w:rFonts w:ascii="Palatino Linotype" w:hAnsi="Palatino Linotype"/>
          <w:b/>
          <w:i/>
        </w:rPr>
      </w:pPr>
      <w:r w:rsidRPr="008D58A8">
        <w:rPr>
          <w:rFonts w:ascii="Palatino Linotype" w:hAnsi="Palatino Linotype"/>
          <w:b/>
          <w:i/>
        </w:rPr>
        <w:t>LEY GENERAL DEL SISTEMA NACIONAL ANTICORRUPCIÓN</w:t>
      </w:r>
    </w:p>
    <w:p w14:paraId="0B35DF05" w14:textId="77777777" w:rsidR="00660D95" w:rsidRPr="008D58A8" w:rsidRDefault="00660D95" w:rsidP="00660D95">
      <w:pPr>
        <w:tabs>
          <w:tab w:val="left" w:pos="709"/>
        </w:tabs>
        <w:spacing w:after="0" w:line="240" w:lineRule="auto"/>
        <w:ind w:left="567" w:right="567"/>
        <w:jc w:val="both"/>
        <w:rPr>
          <w:rFonts w:ascii="Palatino Linotype" w:hAnsi="Palatino Linotype"/>
          <w:b/>
          <w:i/>
        </w:rPr>
      </w:pPr>
      <w:r w:rsidRPr="008D58A8">
        <w:rPr>
          <w:rFonts w:ascii="Palatino Linotype" w:hAnsi="Palatino Linotype"/>
          <w:b/>
          <w:i/>
        </w:rPr>
        <w:t>“53…</w:t>
      </w:r>
    </w:p>
    <w:p w14:paraId="2CB98308" w14:textId="77777777" w:rsidR="00660D95" w:rsidRPr="008D58A8" w:rsidRDefault="00660D95" w:rsidP="00660D95">
      <w:pPr>
        <w:pStyle w:val="Citas"/>
        <w:rPr>
          <w:b/>
        </w:rPr>
      </w:pPr>
      <w:r w:rsidRPr="008D58A8">
        <w:t>Los registros de las sanciones relativas a responsabilidades administrativas no graves, quedarán registradas para efectos de eventual reincidencia, pero no serán públicas</w:t>
      </w:r>
      <w:r w:rsidRPr="008D58A8">
        <w:rPr>
          <w:b/>
        </w:rPr>
        <w:t>...” (Sic)</w:t>
      </w:r>
    </w:p>
    <w:p w14:paraId="63E496EE" w14:textId="77777777" w:rsidR="00660D95" w:rsidRPr="008D58A8" w:rsidRDefault="00660D95" w:rsidP="00660D95">
      <w:pPr>
        <w:tabs>
          <w:tab w:val="left" w:pos="709"/>
        </w:tabs>
        <w:spacing w:after="0" w:line="240" w:lineRule="auto"/>
        <w:ind w:left="567" w:right="567"/>
        <w:jc w:val="both"/>
        <w:rPr>
          <w:rFonts w:ascii="Palatino Linotype" w:hAnsi="Palatino Linotype"/>
          <w:b/>
          <w:i/>
        </w:rPr>
      </w:pPr>
    </w:p>
    <w:p w14:paraId="537F1E2C" w14:textId="77777777" w:rsidR="00660D95" w:rsidRPr="008D58A8" w:rsidRDefault="00660D95" w:rsidP="00660D95">
      <w:pPr>
        <w:tabs>
          <w:tab w:val="left" w:pos="709"/>
        </w:tabs>
        <w:spacing w:after="0" w:line="240" w:lineRule="auto"/>
        <w:ind w:left="567" w:right="567"/>
        <w:jc w:val="center"/>
        <w:rPr>
          <w:rFonts w:ascii="Palatino Linotype" w:hAnsi="Palatino Linotype"/>
          <w:b/>
          <w:i/>
        </w:rPr>
      </w:pPr>
      <w:r w:rsidRPr="008D58A8">
        <w:rPr>
          <w:rFonts w:ascii="Palatino Linotype" w:hAnsi="Palatino Linotype"/>
          <w:b/>
          <w:i/>
        </w:rPr>
        <w:t>LEY DEL SISTEMA ANTICORRUPCIÓN DEL ESTADO DE MÉXICO</w:t>
      </w:r>
    </w:p>
    <w:p w14:paraId="4EB56589" w14:textId="77777777" w:rsidR="00660D95" w:rsidRPr="008D58A8" w:rsidRDefault="00660D95" w:rsidP="00660D95">
      <w:pPr>
        <w:tabs>
          <w:tab w:val="left" w:pos="709"/>
        </w:tabs>
        <w:spacing w:after="0" w:line="240" w:lineRule="auto"/>
        <w:ind w:left="567" w:right="567"/>
        <w:jc w:val="both"/>
        <w:rPr>
          <w:rFonts w:ascii="Palatino Linotype" w:hAnsi="Palatino Linotype"/>
          <w:b/>
          <w:i/>
        </w:rPr>
      </w:pPr>
      <w:r w:rsidRPr="008D58A8">
        <w:rPr>
          <w:rFonts w:ascii="Palatino Linotype" w:hAnsi="Palatino Linotype"/>
          <w:b/>
          <w:i/>
        </w:rPr>
        <w:t>“53…</w:t>
      </w:r>
    </w:p>
    <w:p w14:paraId="200513A9" w14:textId="77777777" w:rsidR="00660D95" w:rsidRPr="008D58A8" w:rsidRDefault="00660D95" w:rsidP="00660D95">
      <w:pPr>
        <w:pStyle w:val="Citas"/>
        <w:rPr>
          <w:b/>
          <w:bCs/>
        </w:rPr>
      </w:pPr>
      <w:r w:rsidRPr="008D58A8">
        <w:t xml:space="preserve">Los registros de las sanciones relativas a responsabilidades administrativas no graves, quedarán registradas para efectos de eventual reincidencia, pero no serán públicas…” </w:t>
      </w:r>
      <w:r w:rsidRPr="008D58A8">
        <w:rPr>
          <w:b/>
          <w:bCs/>
        </w:rPr>
        <w:t>(Sic)</w:t>
      </w:r>
    </w:p>
    <w:p w14:paraId="7DCFFA88" w14:textId="77777777" w:rsidR="00660D95" w:rsidRPr="008D58A8" w:rsidRDefault="00660D95" w:rsidP="00660D95">
      <w:pPr>
        <w:tabs>
          <w:tab w:val="left" w:pos="709"/>
        </w:tabs>
        <w:spacing w:after="0" w:line="240" w:lineRule="auto"/>
        <w:ind w:left="567" w:right="567"/>
        <w:jc w:val="both"/>
        <w:rPr>
          <w:rFonts w:ascii="Palatino Linotype" w:hAnsi="Palatino Linotype"/>
        </w:rPr>
      </w:pPr>
    </w:p>
    <w:p w14:paraId="2ECB1FD4" w14:textId="77777777" w:rsidR="00660D95" w:rsidRPr="008D58A8" w:rsidRDefault="00660D95" w:rsidP="00660D95">
      <w:pPr>
        <w:tabs>
          <w:tab w:val="left" w:pos="709"/>
        </w:tabs>
        <w:spacing w:after="0" w:line="240" w:lineRule="auto"/>
        <w:ind w:left="567" w:right="567"/>
        <w:jc w:val="center"/>
        <w:rPr>
          <w:rFonts w:ascii="Palatino Linotype" w:hAnsi="Palatino Linotype"/>
          <w:b/>
          <w:i/>
        </w:rPr>
      </w:pPr>
      <w:r w:rsidRPr="008D58A8">
        <w:rPr>
          <w:rFonts w:ascii="Palatino Linotype" w:hAnsi="Palatino Linotype"/>
          <w:b/>
          <w:i/>
        </w:rPr>
        <w:t>LEY GENERAL DE RESPONSABILIDADES ADMINISTRATIVAS</w:t>
      </w:r>
    </w:p>
    <w:p w14:paraId="4190DB90" w14:textId="77777777" w:rsidR="00660D95" w:rsidRPr="008D58A8" w:rsidRDefault="00660D95" w:rsidP="00660D95">
      <w:pPr>
        <w:pStyle w:val="Citas"/>
      </w:pPr>
      <w:r w:rsidRPr="008D58A8">
        <w:t>“27…</w:t>
      </w:r>
    </w:p>
    <w:p w14:paraId="6D43EB17" w14:textId="77777777" w:rsidR="00660D95" w:rsidRPr="008D58A8" w:rsidRDefault="00660D95" w:rsidP="00660D95">
      <w:pPr>
        <w:pStyle w:val="Citas"/>
        <w:rPr>
          <w:b/>
          <w:bCs/>
        </w:rPr>
      </w:pPr>
      <w:r w:rsidRPr="008D58A8">
        <w:t xml:space="preserve">así como la anotación de aquellas abstenciones que hayan realizado las autoridades investigadoras o el Tribunal, en términos de los artículos 77 y 80 de esta Ley” </w:t>
      </w:r>
      <w:r w:rsidRPr="008D58A8">
        <w:rPr>
          <w:b/>
          <w:bCs/>
        </w:rPr>
        <w:t>(Sic)</w:t>
      </w:r>
    </w:p>
    <w:p w14:paraId="619ED201" w14:textId="77777777" w:rsidR="00660D95" w:rsidRPr="008D58A8" w:rsidRDefault="00660D95" w:rsidP="00660D95">
      <w:pPr>
        <w:tabs>
          <w:tab w:val="left" w:pos="709"/>
        </w:tabs>
        <w:spacing w:after="0" w:line="360" w:lineRule="auto"/>
        <w:ind w:right="567"/>
        <w:jc w:val="both"/>
        <w:rPr>
          <w:rFonts w:ascii="Palatino Linotype" w:hAnsi="Palatino Linotype"/>
          <w:sz w:val="24"/>
        </w:rPr>
      </w:pPr>
    </w:p>
    <w:p w14:paraId="24EB6BEC" w14:textId="77777777" w:rsidR="00660D95" w:rsidRPr="008D58A8" w:rsidRDefault="00660D95" w:rsidP="00660D95">
      <w:pPr>
        <w:tabs>
          <w:tab w:val="left" w:pos="709"/>
        </w:tabs>
        <w:spacing w:after="0" w:line="360" w:lineRule="auto"/>
        <w:jc w:val="both"/>
        <w:rPr>
          <w:rFonts w:ascii="Palatino Linotype" w:hAnsi="Palatino Linotype"/>
          <w:sz w:val="24"/>
        </w:rPr>
      </w:pPr>
      <w:r w:rsidRPr="008D58A8">
        <w:rPr>
          <w:rFonts w:ascii="Palatino Linotype" w:hAnsi="Palatino Linotype"/>
          <w:sz w:val="24"/>
        </w:rPr>
        <w:lastRenderedPageBreak/>
        <w:t>De los preceptos legales anteriores se pueden advertir dos supuestos: el primero con fundamento en los artículos 53, párrafo segundo de la Ley General del Sistema Nacional Anticorrupción, 53, párrafo segundo de la Ley del Sistema Anticorrupción del Estado de México, en la cual se advierte que respecto a expedientes que contienen procedimientos de responsabilidad administrativa originados por motivo de faltas administrativas no graves, en las que se haya determinado imponer alguna sanción, por determinación de la ley las mismas no son consideradas públicas.</w:t>
      </w:r>
    </w:p>
    <w:p w14:paraId="7698045D" w14:textId="77777777" w:rsidR="00660D95" w:rsidRPr="008D58A8" w:rsidRDefault="00660D95" w:rsidP="00660D95">
      <w:pPr>
        <w:tabs>
          <w:tab w:val="left" w:pos="709"/>
        </w:tabs>
        <w:spacing w:after="0" w:line="360" w:lineRule="auto"/>
        <w:jc w:val="both"/>
        <w:rPr>
          <w:rFonts w:ascii="Palatino Linotype" w:hAnsi="Palatino Linotype"/>
          <w:sz w:val="24"/>
        </w:rPr>
      </w:pPr>
    </w:p>
    <w:p w14:paraId="40EC5680" w14:textId="77777777" w:rsidR="00660D95" w:rsidRPr="008D58A8" w:rsidRDefault="00660D95" w:rsidP="00660D95">
      <w:pPr>
        <w:tabs>
          <w:tab w:val="left" w:pos="709"/>
        </w:tabs>
        <w:spacing w:after="0" w:line="360" w:lineRule="auto"/>
        <w:jc w:val="both"/>
        <w:rPr>
          <w:rFonts w:ascii="Palatino Linotype" w:hAnsi="Palatino Linotype"/>
          <w:sz w:val="24"/>
        </w:rPr>
      </w:pPr>
      <w:r w:rsidRPr="008D58A8">
        <w:rPr>
          <w:rFonts w:ascii="Palatino Linotype" w:hAnsi="Palatino Linotype"/>
          <w:sz w:val="24"/>
        </w:rPr>
        <w:t>Correlativo a lo anterior, con fundamento en el artículo 27, párrafo cuarto, segundo supuesto de la Ley General de Responsabilidades Administrativas, se determina que los expedientes que contienen abstenciones derivadas de investigaciones o procedimientos de responsabilidad administrativa originados por faltas administrativas no graves, no se harán públicas.</w:t>
      </w:r>
    </w:p>
    <w:p w14:paraId="45BF49F0" w14:textId="77777777" w:rsidR="00660D95" w:rsidRPr="008D58A8" w:rsidRDefault="00660D95" w:rsidP="00660D95">
      <w:pPr>
        <w:spacing w:after="0" w:line="360" w:lineRule="auto"/>
        <w:jc w:val="both"/>
        <w:rPr>
          <w:rFonts w:ascii="Palatino Linotype" w:hAnsi="Palatino Linotype"/>
          <w:sz w:val="24"/>
          <w:szCs w:val="24"/>
        </w:rPr>
      </w:pPr>
    </w:p>
    <w:p w14:paraId="56844312" w14:textId="77777777" w:rsidR="00660D95" w:rsidRPr="008D58A8" w:rsidRDefault="00660D95" w:rsidP="00660D95">
      <w:pPr>
        <w:tabs>
          <w:tab w:val="left" w:pos="709"/>
        </w:tabs>
        <w:spacing w:after="0" w:line="360" w:lineRule="auto"/>
        <w:jc w:val="both"/>
        <w:rPr>
          <w:rFonts w:ascii="Palatino Linotype" w:hAnsi="Palatino Linotype"/>
          <w:sz w:val="24"/>
        </w:rPr>
      </w:pPr>
      <w:r w:rsidRPr="008D58A8">
        <w:rPr>
          <w:rFonts w:ascii="Palatino Linotype" w:hAnsi="Palatino Linotype"/>
          <w:sz w:val="24"/>
        </w:rPr>
        <w:t>Bajo este contexto, se considera que en el supuesto de que la información se encuentre en alguno de los supuestos antes establecidos, el Sujeto Obligado deberá clasificar la información, emitiendo en su caso el acuerdo correspondiente</w:t>
      </w:r>
      <w:r w:rsidRPr="008D58A8">
        <w:rPr>
          <w:rFonts w:ascii="Palatino Linotype" w:hAnsi="Palatino Linotype"/>
          <w:b/>
          <w:sz w:val="24"/>
        </w:rPr>
        <w:t xml:space="preserve">, </w:t>
      </w:r>
      <w:r w:rsidRPr="008D58A8">
        <w:rPr>
          <w:rFonts w:ascii="Palatino Linotype" w:hAnsi="Palatino Linotype"/>
          <w:sz w:val="24"/>
        </w:rPr>
        <w:t>tomando en consideración que, de proporcionar el nombre de los servidores públicos relacionados al procedimiento de responsabilidades administrativas por faltas no graves, podría afectar su honor, buen nombre y su imagen.</w:t>
      </w:r>
    </w:p>
    <w:p w14:paraId="2B0DDCF0" w14:textId="77777777" w:rsidR="00660D95" w:rsidRPr="008D58A8" w:rsidRDefault="00660D95" w:rsidP="00660D95">
      <w:pPr>
        <w:tabs>
          <w:tab w:val="left" w:pos="709"/>
        </w:tabs>
        <w:spacing w:after="0" w:line="360" w:lineRule="auto"/>
        <w:jc w:val="both"/>
        <w:rPr>
          <w:rFonts w:ascii="Palatino Linotype" w:hAnsi="Palatino Linotype"/>
          <w:sz w:val="24"/>
        </w:rPr>
      </w:pPr>
    </w:p>
    <w:p w14:paraId="4DE19D08" w14:textId="77777777" w:rsidR="00660D95" w:rsidRPr="008D58A8" w:rsidRDefault="00660D95" w:rsidP="00660D95">
      <w:pPr>
        <w:tabs>
          <w:tab w:val="left" w:pos="709"/>
        </w:tabs>
        <w:spacing w:after="0" w:line="360" w:lineRule="auto"/>
        <w:jc w:val="both"/>
        <w:rPr>
          <w:rFonts w:ascii="Palatino Linotype" w:hAnsi="Palatino Linotype"/>
          <w:sz w:val="24"/>
        </w:rPr>
      </w:pPr>
      <w:r w:rsidRPr="008D58A8">
        <w:rPr>
          <w:rFonts w:ascii="Palatino Linotype" w:hAnsi="Palatino Linotype"/>
          <w:sz w:val="24"/>
        </w:rPr>
        <w:lastRenderedPageBreak/>
        <w:t>Al respecto, la Suprema Corte de Justicia de la Nación ha reconocido como derechos fundamentales de las personas, el derecho a la intimidad y a la propia imagen, en el siguiente criterio:</w:t>
      </w:r>
    </w:p>
    <w:p w14:paraId="63521E6F" w14:textId="77777777" w:rsidR="00660D95" w:rsidRPr="008D58A8" w:rsidRDefault="00660D95" w:rsidP="00660D95">
      <w:pPr>
        <w:pStyle w:val="Citas"/>
        <w:rPr>
          <w:b/>
          <w:bCs/>
        </w:rPr>
      </w:pPr>
      <w:r w:rsidRPr="008D58A8">
        <w:rPr>
          <w:b/>
          <w:bCs/>
        </w:rPr>
        <w:t xml:space="preserve">“DERECHOS A LA INTIMIDAD, PROPIA IMAGEN, IDENTIDAD PERSONAL Y SEXUAL. CONSTITUYEN DERECHOS DE DEFENSA Y GARANTÍA ESENCIAL PARA LA CONDICIÓN HUMANA.  </w:t>
      </w:r>
    </w:p>
    <w:p w14:paraId="6066830E" w14:textId="77777777" w:rsidR="00660D95" w:rsidRPr="008D58A8" w:rsidRDefault="00660D95" w:rsidP="00660D95">
      <w:pPr>
        <w:pStyle w:val="Citas"/>
        <w:rPr>
          <w:b/>
          <w:bCs/>
        </w:rPr>
      </w:pPr>
      <w:r w:rsidRPr="008D58A8">
        <w:t xml:space="preserve">Dentro de los derechos personalísimos se encuentran necesariamente comprendidos el derecho a la intimidad y a la propia imagen, así como a la identidad personal y sexual; entendiéndose por el primero, el derecho del individuo a no ser conocido por otros en ciertos aspectos de su vida y, por ende, el poder de decisión sobre la publicidad o información de datos relativos a su persona, familia, pensamientos o sentimientos; a la propia imagen, como aquel derecho de decidir, en forma libre, sobre la manera en que elige mostrarse frente a los demás; a la identidad personal, entendida como el derecho de todo individuo a ser uno mismo, en la propia conciencia y en la opinión de los demás, es decir, es la forma en que se ve a sí mismo y se proyecta en la sociedad, de acuerdo con sus caracteres físicos e internos y sus acciones, que lo individualizan ante la sociedad y permiten identificarlo; y que implica, por tanto, la identidad sexual, al ser la manera en que cada individuo se proyecta frente a sí y ante la sociedad desde su perspectiva sexual, no sólo en cuanto a sus preferencias sexuales sino, primordialmente, en cuanto a cómo se percibe él, con base en sus sentimientos y convicciones más profundos de pertenencia o no al sexo que legalmente le fue asignado al nacer y que, de acuerdo a ese ajuste personalísimo en el desarrollo de cada individuo, proyectará su vida en todos los ámbitos, privado y público, por lo que al ser la sexualidad un elemento esencial de la persona y de su psique, la </w:t>
      </w:r>
      <w:r w:rsidRPr="008D58A8">
        <w:lastRenderedPageBreak/>
        <w:t xml:space="preserve">autodeterminación sexual forma parte de ese ámbito propio y reservado de lo íntimo, la parte de la vida que se desea mantener fuera del alcance de terceros o del conocimiento público. Por consiguiente, al constituir derechos inherentes a la persona, fuera de la injerencia de los demás, se configuran como derechos de defensa y garantía esencial para la condición humana, ya que pueden reclamarse tanto en defensa de la intimidad violada o amenazada, como exigir del Estado que prevenga la existencia de eventuales intromisiones que los lesionen por lo que, si bien no son absolutos, sólo por ley podrá justificarse su intromisión, siempre que medie un interés superior.” </w:t>
      </w:r>
      <w:r w:rsidRPr="008D58A8">
        <w:rPr>
          <w:b/>
          <w:bCs/>
        </w:rPr>
        <w:t xml:space="preserve">(Sic) </w:t>
      </w:r>
    </w:p>
    <w:p w14:paraId="57BE9E28" w14:textId="77777777" w:rsidR="00660D95" w:rsidRPr="008D58A8" w:rsidRDefault="00660D95" w:rsidP="00660D95">
      <w:pPr>
        <w:pStyle w:val="Citas"/>
        <w:rPr>
          <w:sz w:val="24"/>
        </w:rPr>
      </w:pPr>
      <w:r w:rsidRPr="008D58A8">
        <w:rPr>
          <w:sz w:val="24"/>
        </w:rPr>
        <w:t xml:space="preserve"> </w:t>
      </w:r>
    </w:p>
    <w:p w14:paraId="46C637DA" w14:textId="77777777" w:rsidR="00660D95" w:rsidRPr="008D58A8" w:rsidRDefault="00660D95" w:rsidP="00660D95">
      <w:pPr>
        <w:tabs>
          <w:tab w:val="left" w:pos="709"/>
        </w:tabs>
        <w:spacing w:after="0" w:line="360" w:lineRule="auto"/>
        <w:jc w:val="both"/>
        <w:rPr>
          <w:rFonts w:ascii="Palatino Linotype" w:hAnsi="Palatino Linotype"/>
          <w:sz w:val="24"/>
        </w:rPr>
      </w:pPr>
      <w:r w:rsidRPr="008D58A8">
        <w:rPr>
          <w:rFonts w:ascii="Palatino Linotype" w:hAnsi="Palatino Linotype"/>
          <w:sz w:val="24"/>
        </w:rPr>
        <w:t>En ese sentido, se puede hacer notar el derecho de todo individuo a no ser conocido por otros en ciertos aspectos de su vida y, por ende, el poder de decisión sobre la publicidad o información de datos relativos a su persona (derecho a la intimidad), aunado al derecho a la propia imagen es el derecho de decidir, de forma libre, sobre la manera en que elige mostrarse frente a los demás.</w:t>
      </w:r>
    </w:p>
    <w:p w14:paraId="3D597F6F" w14:textId="77777777" w:rsidR="00660D95" w:rsidRPr="008D58A8" w:rsidRDefault="00660D95" w:rsidP="00660D95">
      <w:pPr>
        <w:tabs>
          <w:tab w:val="left" w:pos="709"/>
        </w:tabs>
        <w:spacing w:after="0" w:line="360" w:lineRule="auto"/>
        <w:jc w:val="both"/>
        <w:rPr>
          <w:rFonts w:ascii="Palatino Linotype" w:hAnsi="Palatino Linotype"/>
          <w:sz w:val="24"/>
        </w:rPr>
      </w:pPr>
    </w:p>
    <w:p w14:paraId="2D7AABFA" w14:textId="77777777" w:rsidR="00660D95" w:rsidRPr="008D58A8" w:rsidRDefault="00660D95" w:rsidP="00660D95">
      <w:pPr>
        <w:tabs>
          <w:tab w:val="left" w:pos="709"/>
        </w:tabs>
        <w:spacing w:after="0" w:line="360" w:lineRule="auto"/>
        <w:jc w:val="both"/>
        <w:rPr>
          <w:rFonts w:ascii="Palatino Linotype" w:hAnsi="Palatino Linotype"/>
          <w:sz w:val="24"/>
        </w:rPr>
      </w:pPr>
      <w:r w:rsidRPr="008D58A8">
        <w:rPr>
          <w:rFonts w:ascii="Palatino Linotype" w:hAnsi="Palatino Linotype"/>
          <w:sz w:val="24"/>
        </w:rPr>
        <w:t>Por lo expuesto, se desprende que dar a conocer el nombre del servidor público de un procedimiento de responsabilidad administrativa no grave, constituye información confidencial que afecta su esfera privada, puesto que podría generar una percepción negativa de este, ocasionando un perjuicio en su honor, intimidad y buena imagen, pues como se precisó la afectación es para el propio servidor público, situación que no afecta a terceros.</w:t>
      </w:r>
    </w:p>
    <w:p w14:paraId="000F60F0" w14:textId="77777777" w:rsidR="00AA1142" w:rsidRPr="008D58A8" w:rsidRDefault="00AA1142" w:rsidP="00660D95">
      <w:pPr>
        <w:tabs>
          <w:tab w:val="left" w:pos="709"/>
        </w:tabs>
        <w:spacing w:after="0" w:line="360" w:lineRule="auto"/>
        <w:jc w:val="both"/>
        <w:rPr>
          <w:rFonts w:ascii="Palatino Linotype" w:hAnsi="Palatino Linotype"/>
          <w:sz w:val="24"/>
        </w:rPr>
      </w:pPr>
    </w:p>
    <w:p w14:paraId="1641E148" w14:textId="1CCBA6BB" w:rsidR="00AA1142" w:rsidRPr="008D58A8" w:rsidRDefault="00AA1142" w:rsidP="00AA1142">
      <w:pPr>
        <w:tabs>
          <w:tab w:val="left" w:pos="709"/>
        </w:tabs>
        <w:spacing w:after="0" w:line="360" w:lineRule="auto"/>
        <w:jc w:val="both"/>
        <w:rPr>
          <w:rFonts w:ascii="Palatino Linotype" w:hAnsi="Palatino Linotype"/>
          <w:sz w:val="24"/>
        </w:rPr>
      </w:pPr>
      <w:r w:rsidRPr="008D58A8">
        <w:rPr>
          <w:rFonts w:ascii="Palatino Linotype" w:hAnsi="Palatino Linotype"/>
          <w:sz w:val="24"/>
        </w:rPr>
        <w:lastRenderedPageBreak/>
        <w:t xml:space="preserve">Ahora bien, respecto de las quejas relacionadas con la emisión de resoluciones en materia de responsabilidades administrativas de carácter grave, se destaca que la Ley de Responsabilidades Administrativas del Estado de México y Municipios, reserva dicha competencia al Tribunal de Justicia Administrativa del Estado de México. </w:t>
      </w:r>
    </w:p>
    <w:p w14:paraId="786C5754" w14:textId="77777777" w:rsidR="00AA1142" w:rsidRPr="008D58A8" w:rsidRDefault="00AA1142" w:rsidP="00AA1142">
      <w:pPr>
        <w:pStyle w:val="Citas"/>
        <w:tabs>
          <w:tab w:val="left" w:pos="7470"/>
        </w:tabs>
        <w:ind w:left="0" w:right="72"/>
        <w:rPr>
          <w:i w:val="0"/>
          <w:sz w:val="24"/>
          <w:szCs w:val="24"/>
        </w:rPr>
      </w:pPr>
      <w:r w:rsidRPr="008D58A8">
        <w:rPr>
          <w:i w:val="0"/>
          <w:sz w:val="24"/>
          <w:szCs w:val="24"/>
        </w:rPr>
        <w:t>Por otra parte, se precisa que en términos del numeral 211 de la Ley de Responsabilidades Administrativas local, el Tribunal de Justicia Administrativa del Estado de México, notificará sus resoluciones a las autoridades competentes para efectos de cumplimiento, normatividad que dispone a la literalidad lo siguiente:</w:t>
      </w:r>
    </w:p>
    <w:p w14:paraId="6F5F18FD" w14:textId="77777777" w:rsidR="00AA1142" w:rsidRPr="008D58A8" w:rsidRDefault="00AA1142" w:rsidP="00AA1142">
      <w:pPr>
        <w:pStyle w:val="Citas"/>
        <w:tabs>
          <w:tab w:val="left" w:pos="7470"/>
        </w:tabs>
        <w:ind w:left="720" w:right="72"/>
        <w:rPr>
          <w:b/>
          <w:bCs/>
          <w:i w:val="0"/>
          <w:sz w:val="24"/>
          <w:szCs w:val="24"/>
          <w:u w:val="single"/>
        </w:rPr>
      </w:pPr>
      <w:r w:rsidRPr="008D58A8">
        <w:t xml:space="preserve">“Artículo 211. Una vez que haya causado ejecutoria la sentencia que determina la no existencia de una falta administrativa grave o falta de particulares, </w:t>
      </w:r>
      <w:r w:rsidRPr="008D58A8">
        <w:rPr>
          <w:b/>
          <w:bCs/>
          <w:u w:val="single"/>
        </w:rPr>
        <w:t>el Tribunal de Justicia Administrativa, de oficio y sin demora alguna, girará oficio por el que notificará la resolución correspondiente, así como sus puntos resolutivos para su cumplimiento, a las autoridades competentes.</w:t>
      </w:r>
      <w:r w:rsidRPr="008D58A8">
        <w:t xml:space="preserve"> En los casos en que haya decretado la suspensión del servidor público en su empleo, cargo o comisión, ordenará la restitución inmediata en el goce de los derechos del mismo.” </w:t>
      </w:r>
      <w:r w:rsidRPr="008D58A8">
        <w:rPr>
          <w:b/>
          <w:bCs/>
        </w:rPr>
        <w:t>(Sic)</w:t>
      </w:r>
    </w:p>
    <w:p w14:paraId="2E4E9C45" w14:textId="77777777" w:rsidR="00AA1142" w:rsidRPr="008D58A8" w:rsidRDefault="00AA1142" w:rsidP="00AA1142">
      <w:pPr>
        <w:tabs>
          <w:tab w:val="left" w:pos="709"/>
        </w:tabs>
        <w:spacing w:after="0" w:line="360" w:lineRule="auto"/>
        <w:jc w:val="both"/>
        <w:rPr>
          <w:rFonts w:ascii="Palatino Linotype" w:hAnsi="Palatino Linotype"/>
          <w:sz w:val="24"/>
        </w:rPr>
      </w:pPr>
    </w:p>
    <w:p w14:paraId="18CDCE5F" w14:textId="77777777" w:rsidR="00AA1142" w:rsidRPr="008D58A8" w:rsidRDefault="00AA1142" w:rsidP="00AA1142">
      <w:pPr>
        <w:tabs>
          <w:tab w:val="left" w:pos="709"/>
        </w:tabs>
        <w:spacing w:after="0" w:line="360" w:lineRule="auto"/>
        <w:jc w:val="both"/>
        <w:rPr>
          <w:rFonts w:ascii="Palatino Linotype" w:hAnsi="Palatino Linotype"/>
          <w:sz w:val="24"/>
        </w:rPr>
      </w:pPr>
      <w:r w:rsidRPr="008D58A8">
        <w:rPr>
          <w:rFonts w:ascii="Palatino Linotype" w:hAnsi="Palatino Linotype"/>
          <w:sz w:val="24"/>
        </w:rPr>
        <w:t>En virtud de lo anterior, el derecho de acceso a la información pública se traduce en la prerrogativa constitucional de acceder a soportes documentales generados</w:t>
      </w:r>
      <w:r w:rsidRPr="008D58A8">
        <w:rPr>
          <w:rFonts w:ascii="Palatino Linotype" w:hAnsi="Palatino Linotype"/>
          <w:b/>
          <w:bCs/>
          <w:sz w:val="24"/>
          <w:u w:val="single"/>
        </w:rPr>
        <w:t>, poseídos o administrados</w:t>
      </w:r>
      <w:r w:rsidRPr="008D58A8">
        <w:rPr>
          <w:rFonts w:ascii="Palatino Linotype" w:hAnsi="Palatino Linotype"/>
          <w:sz w:val="24"/>
        </w:rPr>
        <w:t xml:space="preserve"> por los sujetos obligados. </w:t>
      </w:r>
    </w:p>
    <w:p w14:paraId="56943900" w14:textId="77777777" w:rsidR="00AA1142" w:rsidRPr="008D58A8" w:rsidRDefault="00AA1142" w:rsidP="00AA1142">
      <w:pPr>
        <w:tabs>
          <w:tab w:val="left" w:pos="709"/>
        </w:tabs>
        <w:spacing w:after="0" w:line="360" w:lineRule="auto"/>
        <w:jc w:val="both"/>
        <w:rPr>
          <w:rFonts w:ascii="Palatino Linotype" w:hAnsi="Palatino Linotype"/>
          <w:sz w:val="24"/>
        </w:rPr>
      </w:pPr>
    </w:p>
    <w:p w14:paraId="2A72DB0B" w14:textId="574678FD" w:rsidR="00AA1142" w:rsidRPr="008D58A8" w:rsidRDefault="00AA1142" w:rsidP="00AA1142">
      <w:pPr>
        <w:tabs>
          <w:tab w:val="left" w:pos="709"/>
        </w:tabs>
        <w:spacing w:after="0" w:line="360" w:lineRule="auto"/>
        <w:jc w:val="both"/>
        <w:rPr>
          <w:rFonts w:ascii="Palatino Linotype" w:hAnsi="Palatino Linotype"/>
          <w:sz w:val="24"/>
        </w:rPr>
      </w:pPr>
      <w:r w:rsidRPr="008D58A8">
        <w:rPr>
          <w:rFonts w:ascii="Palatino Linotype" w:hAnsi="Palatino Linotype"/>
          <w:sz w:val="24"/>
        </w:rPr>
        <w:t xml:space="preserve">Bajo este contexto, respecto de las quejas vinculadas con resoluciones por responsabilidad administrativa por motivo de faltas administrativas graves (firmes) deben de ser consideradas información pública, por lo que la misma es susceptible de </w:t>
      </w:r>
      <w:r w:rsidRPr="008D58A8">
        <w:rPr>
          <w:rFonts w:ascii="Palatino Linotype" w:hAnsi="Palatino Linotype"/>
          <w:sz w:val="24"/>
        </w:rPr>
        <w:lastRenderedPageBreak/>
        <w:t xml:space="preserve">ser entregada la cual incluye el nombre de servidores públicos sancionados, las sanciones administrativas de que haya sido objeto, la causa y la disposición legal, por lo que en tal caso a consideración de esta ponencia resulta procedente la entrega de la información vinculada con el escrito de queja en los términos expuestos.  </w:t>
      </w:r>
    </w:p>
    <w:p w14:paraId="134A083F" w14:textId="77777777" w:rsidR="00AA1142" w:rsidRPr="008D58A8" w:rsidRDefault="00AA1142" w:rsidP="00AA1142">
      <w:pPr>
        <w:tabs>
          <w:tab w:val="left" w:pos="709"/>
        </w:tabs>
        <w:spacing w:after="0" w:line="360" w:lineRule="auto"/>
        <w:jc w:val="both"/>
        <w:rPr>
          <w:rFonts w:ascii="Palatino Linotype" w:hAnsi="Palatino Linotype"/>
          <w:sz w:val="24"/>
        </w:rPr>
      </w:pPr>
    </w:p>
    <w:p w14:paraId="1A2B04CC" w14:textId="5E5754C7" w:rsidR="00AA1142" w:rsidRPr="008D58A8" w:rsidRDefault="00AA1142" w:rsidP="00AA1142">
      <w:pPr>
        <w:tabs>
          <w:tab w:val="left" w:pos="709"/>
        </w:tabs>
        <w:spacing w:after="0" w:line="360" w:lineRule="auto"/>
        <w:jc w:val="both"/>
        <w:rPr>
          <w:rFonts w:ascii="Palatino Linotype" w:hAnsi="Palatino Linotype"/>
          <w:sz w:val="24"/>
        </w:rPr>
      </w:pPr>
      <w:r w:rsidRPr="008D58A8">
        <w:rPr>
          <w:rFonts w:ascii="Palatino Linotype" w:hAnsi="Palatino Linotype"/>
          <w:sz w:val="24"/>
        </w:rPr>
        <w:t>Ahora bien, para el caso de escritos de quejas vinculados con los procedimientos de sanciones graves absolutorias, concluidos, se procederá a su acceso en versión pública, protegiendo el nombre, cargo y área de adscripción del Servidor Público absuelto y aquellos datos personales que hagan identificable a una persona, toda vez que la información solicitada, se relaciona con servidores públicos en específico, los cuales al no haber recibido alguna sanción por posibles responsabilidades, se procede a clasificar como confidencial el nombre y cargo del servidor público, al poder causar un perjuicio a la vida privada de estos.</w:t>
      </w:r>
    </w:p>
    <w:p w14:paraId="7F63CA84" w14:textId="77777777" w:rsidR="00AA1142" w:rsidRPr="008D58A8" w:rsidRDefault="00AA1142" w:rsidP="00AA1142">
      <w:pPr>
        <w:tabs>
          <w:tab w:val="left" w:pos="709"/>
        </w:tabs>
        <w:spacing w:after="0" w:line="360" w:lineRule="auto"/>
        <w:jc w:val="both"/>
        <w:rPr>
          <w:rFonts w:ascii="Palatino Linotype" w:hAnsi="Palatino Linotype"/>
          <w:sz w:val="24"/>
        </w:rPr>
      </w:pPr>
    </w:p>
    <w:p w14:paraId="325D23F0" w14:textId="77777777" w:rsidR="00AA1142" w:rsidRPr="008D58A8" w:rsidRDefault="00AA1142" w:rsidP="00AA1142">
      <w:pPr>
        <w:tabs>
          <w:tab w:val="left" w:pos="709"/>
        </w:tabs>
        <w:spacing w:after="0" w:line="360" w:lineRule="auto"/>
        <w:jc w:val="both"/>
        <w:rPr>
          <w:rFonts w:ascii="Palatino Linotype" w:hAnsi="Palatino Linotype"/>
          <w:sz w:val="24"/>
        </w:rPr>
      </w:pPr>
      <w:r w:rsidRPr="008D58A8">
        <w:rPr>
          <w:rFonts w:ascii="Palatino Linotype" w:hAnsi="Palatino Linotype"/>
          <w:sz w:val="24"/>
        </w:rPr>
        <w:t>De manera complementaria, no se omite señalar que tratándose de responsabilidades administrativas y otros tópicos, no podrá invocarse con el carácter de reservada, aquella información que se encuentre relacionada con posibles violaciones a derechos humanos delitos de lesa humanidad</w:t>
      </w:r>
      <w:r w:rsidRPr="008D58A8">
        <w:rPr>
          <w:sz w:val="24"/>
        </w:rPr>
        <w:t xml:space="preserve"> </w:t>
      </w:r>
      <w:r w:rsidRPr="008D58A8">
        <w:rPr>
          <w:rFonts w:ascii="Palatino Linotype" w:hAnsi="Palatino Linotype"/>
          <w:sz w:val="24"/>
        </w:rPr>
        <w:t>o actos de corrupción, preceptos legales que establecen lo siguiente:</w:t>
      </w:r>
    </w:p>
    <w:p w14:paraId="3A387CF0" w14:textId="77777777" w:rsidR="00AA1142" w:rsidRPr="008D58A8" w:rsidRDefault="00AA1142" w:rsidP="00AA1142">
      <w:pPr>
        <w:pStyle w:val="Citas"/>
        <w:rPr>
          <w:b/>
          <w:bCs/>
        </w:rPr>
      </w:pPr>
      <w:r w:rsidRPr="008D58A8">
        <w:rPr>
          <w:b/>
          <w:bCs/>
        </w:rPr>
        <w:t>LEY GENERAL DE TRANSPARENCIA Y ACCESO A LA INFORMACIÓN PÚBLICA</w:t>
      </w:r>
    </w:p>
    <w:p w14:paraId="241DD95B" w14:textId="77777777" w:rsidR="00AA1142" w:rsidRPr="008D58A8" w:rsidRDefault="00AA1142" w:rsidP="00AA1142">
      <w:pPr>
        <w:pStyle w:val="Citas"/>
      </w:pPr>
      <w:r w:rsidRPr="008D58A8">
        <w:t>Artículo 115. No podrá invocarse el carácter de reservado cuando:</w:t>
      </w:r>
    </w:p>
    <w:p w14:paraId="28284D8E" w14:textId="77777777" w:rsidR="00AA1142" w:rsidRPr="008D58A8" w:rsidRDefault="00AA1142" w:rsidP="00AA1142">
      <w:pPr>
        <w:pStyle w:val="Citas"/>
      </w:pPr>
      <w:r w:rsidRPr="008D58A8">
        <w:lastRenderedPageBreak/>
        <w:t>I. Se trate de violaciones graves de derechos humanos o delitos de lesa humanidad, o</w:t>
      </w:r>
    </w:p>
    <w:p w14:paraId="2D33FDBB" w14:textId="77777777" w:rsidR="00AA1142" w:rsidRPr="008D58A8" w:rsidRDefault="00AA1142" w:rsidP="00AA1142">
      <w:pPr>
        <w:pStyle w:val="Citas"/>
      </w:pPr>
      <w:r w:rsidRPr="008D58A8">
        <w:t>II. Se trate de información relacionada con actos de corrupción de acuerdo con las leyes aplicables.</w:t>
      </w:r>
    </w:p>
    <w:p w14:paraId="3E99AACD" w14:textId="77777777" w:rsidR="00AA1142" w:rsidRPr="008D58A8" w:rsidRDefault="00AA1142" w:rsidP="00AA1142">
      <w:pPr>
        <w:pStyle w:val="Citas"/>
      </w:pPr>
    </w:p>
    <w:p w14:paraId="283A5955" w14:textId="77777777" w:rsidR="00AA1142" w:rsidRPr="008D58A8" w:rsidRDefault="00AA1142" w:rsidP="00AA1142">
      <w:pPr>
        <w:pStyle w:val="Citas"/>
        <w:rPr>
          <w:b/>
          <w:bCs/>
        </w:rPr>
      </w:pPr>
      <w:r w:rsidRPr="008D58A8">
        <w:rPr>
          <w:b/>
          <w:bCs/>
        </w:rPr>
        <w:t>LEY DE TRANSPARENCIA Y ACCESO A LA INFORMACIÓN PÚBLICA DEL ESTADO DE MÉXICO Y MUNICIPIOS</w:t>
      </w:r>
    </w:p>
    <w:p w14:paraId="6181EA11" w14:textId="77777777" w:rsidR="00AA1142" w:rsidRPr="008D58A8" w:rsidRDefault="00AA1142" w:rsidP="00AA1142">
      <w:pPr>
        <w:pStyle w:val="Citas"/>
      </w:pPr>
      <w:r w:rsidRPr="008D58A8">
        <w:t>Artículo 142. Bajo ninguna circunstancia podrá invocarse el carácter de reservado cuando:</w:t>
      </w:r>
    </w:p>
    <w:p w14:paraId="4FFD865C" w14:textId="77777777" w:rsidR="00AA1142" w:rsidRPr="008D58A8" w:rsidRDefault="00AA1142" w:rsidP="00AA1142">
      <w:pPr>
        <w:pStyle w:val="Citas"/>
      </w:pPr>
      <w:r w:rsidRPr="008D58A8">
        <w:t>I. Se trate de violaciones graves de derechos humanos, calificada así por autoridad competente;</w:t>
      </w:r>
    </w:p>
    <w:p w14:paraId="4C185EBF" w14:textId="77777777" w:rsidR="00AA1142" w:rsidRPr="008D58A8" w:rsidRDefault="00AA1142" w:rsidP="00AA1142">
      <w:pPr>
        <w:pStyle w:val="Citas"/>
      </w:pPr>
      <w:r w:rsidRPr="008D58A8">
        <w:t>II. Se trate de la investigación de posibles violaciones graves de derechos humanos aun cuando no exista pronunciamiento previo de autoridad competente, cuando se determine, a partir de criterios cuantitativos y cualitativos la trascendencia social de las violaciones;</w:t>
      </w:r>
    </w:p>
    <w:p w14:paraId="5DF7B1BB" w14:textId="77777777" w:rsidR="00AA1142" w:rsidRPr="008D58A8" w:rsidRDefault="00AA1142" w:rsidP="00AA1142">
      <w:pPr>
        <w:pStyle w:val="Citas"/>
      </w:pPr>
      <w:r w:rsidRPr="008D58A8">
        <w:t>III. Se trate de delitos de lesa humanidad conforme a los tratados ratificados por el Senado de la República, las resoluciones emitidas por organismos internacionales cuya competencia sea reconocida por el Estado Mexicano, así como en las disposiciones jurídicas aplicables; y</w:t>
      </w:r>
    </w:p>
    <w:p w14:paraId="026A45CE" w14:textId="77777777" w:rsidR="00AA1142" w:rsidRPr="008D58A8" w:rsidRDefault="00AA1142" w:rsidP="00AA1142">
      <w:pPr>
        <w:pStyle w:val="Citas"/>
      </w:pPr>
      <w:r w:rsidRPr="008D58A8">
        <w:t>IV. Se trate de información relacionada con actos de corrupción de conformidad con las disposiciones jurídicas aplicables.</w:t>
      </w:r>
    </w:p>
    <w:p w14:paraId="42048E68" w14:textId="77777777" w:rsidR="00AA1142" w:rsidRPr="008D58A8" w:rsidRDefault="00AA1142" w:rsidP="00AA1142">
      <w:pPr>
        <w:pStyle w:val="Citas"/>
        <w:rPr>
          <w:b/>
          <w:bCs/>
        </w:rPr>
      </w:pPr>
      <w:r w:rsidRPr="008D58A8">
        <w:rPr>
          <w:b/>
          <w:bCs/>
          <w:color w:val="2F2F2F"/>
          <w:shd w:val="clear" w:color="auto" w:fill="FFFFFF"/>
        </w:rPr>
        <w:lastRenderedPageBreak/>
        <w:t>LINEAMIENTOS GENERALES EN MATERIA DE CLASIFICACIÓN Y DESCLASIFICACIÓN DE LA INFORMACIÓN, ASÍ COMO PARA LA ELABORACIÓN DE VERSIONES PÚBLICAS.</w:t>
      </w:r>
    </w:p>
    <w:p w14:paraId="43D809D2" w14:textId="77777777" w:rsidR="00AA1142" w:rsidRPr="008D58A8" w:rsidRDefault="00AA1142" w:rsidP="00AA1142">
      <w:pPr>
        <w:pStyle w:val="Citas"/>
      </w:pPr>
      <w:r w:rsidRPr="008D58A8">
        <w:t>Trigésimo séptimo. No podrá invocarse el carácter de reservado de la información cuando:</w:t>
      </w:r>
    </w:p>
    <w:p w14:paraId="51FD8632" w14:textId="77777777" w:rsidR="00AA1142" w:rsidRPr="008D58A8" w:rsidRDefault="00AA1142" w:rsidP="00AA1142">
      <w:pPr>
        <w:pStyle w:val="Citas"/>
      </w:pPr>
      <w:r w:rsidRPr="008D58A8">
        <w:t>I.        Se trate de violaciones graves de derechos humanos;</w:t>
      </w:r>
    </w:p>
    <w:p w14:paraId="0611FBE4" w14:textId="77777777" w:rsidR="00AA1142" w:rsidRPr="008D58A8" w:rsidRDefault="00AA1142" w:rsidP="00AA1142">
      <w:pPr>
        <w:pStyle w:val="Citas"/>
      </w:pPr>
      <w:r w:rsidRPr="008D58A8">
        <w:t>II.       Se trate de delitos de lesa humanidad conforme a los tratados internacionales ratificados por el Estado mexicano, las resoluciones emitidas por organismos internacionales cuya competencia sea reconocida por el Estado mexicano, así como en las disposiciones legales aplicables;</w:t>
      </w:r>
    </w:p>
    <w:p w14:paraId="7AF9177E" w14:textId="77777777" w:rsidR="00AA1142" w:rsidRPr="008D58A8" w:rsidRDefault="00AA1142" w:rsidP="00AA1142">
      <w:pPr>
        <w:pStyle w:val="Citas"/>
      </w:pPr>
      <w:r w:rsidRPr="008D58A8">
        <w:t xml:space="preserve"> III.      Se trate de información relacionada con actos de corrupción. Lo anterior, en función del uso o aprovechamiento indebido y excesivo de las facultades, funciones y competencias, en beneficio propio o de un tercero, por parte de un servidor público o de otra persona que reciba y ejerza recursos públicos o realice actos de autoridad en el ámbito federal, estatal y municipal, y de acuerdo con las leyes aplicables y los tratados internacionales ratificados por el Estado mexicano; o</w:t>
      </w:r>
    </w:p>
    <w:p w14:paraId="4107296B" w14:textId="77777777" w:rsidR="00AA1142" w:rsidRPr="008D58A8" w:rsidRDefault="00AA1142" w:rsidP="00AA1142">
      <w:pPr>
        <w:pStyle w:val="Citas"/>
      </w:pPr>
      <w:r w:rsidRPr="008D58A8">
        <w:t>IV.      Cuando se trate de información relativa a la asignación y ejercicio de los gastos de campañas, precampañas y gastos en general de partidos políticos con cuenta al presupuesto público, ni las aportaciones de cualquier tipo o especie que realicen los particulares sin importar el destino de los recursos aportados; lo anterior de conformidad con lo establecido en la Ley General de Partidos Políticos.</w:t>
      </w:r>
    </w:p>
    <w:p w14:paraId="4ACCD665" w14:textId="77777777" w:rsidR="00AA1142" w:rsidRPr="008D58A8" w:rsidRDefault="00AA1142" w:rsidP="00AA1142">
      <w:pPr>
        <w:tabs>
          <w:tab w:val="left" w:pos="709"/>
        </w:tabs>
        <w:spacing w:after="0" w:line="360" w:lineRule="auto"/>
        <w:jc w:val="both"/>
        <w:rPr>
          <w:rFonts w:ascii="Palatino Linotype" w:hAnsi="Palatino Linotype"/>
          <w:sz w:val="24"/>
        </w:rPr>
      </w:pPr>
    </w:p>
    <w:p w14:paraId="2F49C971" w14:textId="77777777" w:rsidR="00AA1142" w:rsidRPr="008D58A8" w:rsidRDefault="00AA1142" w:rsidP="00AA1142">
      <w:pPr>
        <w:tabs>
          <w:tab w:val="left" w:pos="709"/>
        </w:tabs>
        <w:spacing w:after="0" w:line="360" w:lineRule="auto"/>
        <w:jc w:val="both"/>
        <w:rPr>
          <w:rFonts w:ascii="Palatino Linotype" w:hAnsi="Palatino Linotype"/>
          <w:sz w:val="24"/>
        </w:rPr>
      </w:pPr>
      <w:r w:rsidRPr="008D58A8">
        <w:rPr>
          <w:rFonts w:ascii="Palatino Linotype" w:hAnsi="Palatino Linotype"/>
          <w:sz w:val="24"/>
        </w:rPr>
        <w:lastRenderedPageBreak/>
        <w:t>Finalmente, respecto a la información que da cuenta de lo solicitado, podría contener datos confidenciales; por lo que, en su caso, deberá entregar versión pública en la que se eliminen estos, junto con el acuerdo del Comité de Transparencia, en el que funde y motive la eliminación de la información, de conformidad con lo establecido en los artículos 49, fracciones II y VIII, 128, 132, fracción I, 138, 143 y 149 de la Ley de Transparencia y Acceso a la Información Pública de Estado de México y Municipios.</w:t>
      </w:r>
    </w:p>
    <w:p w14:paraId="562469D0" w14:textId="77777777" w:rsidR="00660D95" w:rsidRPr="008D58A8" w:rsidRDefault="00660D95" w:rsidP="00660D95">
      <w:pPr>
        <w:tabs>
          <w:tab w:val="left" w:pos="709"/>
        </w:tabs>
        <w:spacing w:after="0" w:line="360" w:lineRule="auto"/>
        <w:jc w:val="both"/>
        <w:rPr>
          <w:rFonts w:ascii="Palatino Linotype" w:hAnsi="Palatino Linotype"/>
          <w:sz w:val="24"/>
        </w:rPr>
      </w:pPr>
    </w:p>
    <w:p w14:paraId="4DFC4227" w14:textId="77777777" w:rsidR="00660D95" w:rsidRPr="008D58A8" w:rsidRDefault="00660D95" w:rsidP="00660D95">
      <w:pPr>
        <w:tabs>
          <w:tab w:val="left" w:pos="709"/>
        </w:tabs>
        <w:spacing w:after="0" w:line="360" w:lineRule="auto"/>
        <w:jc w:val="both"/>
        <w:rPr>
          <w:rFonts w:ascii="Palatino Linotype" w:hAnsi="Palatino Linotype"/>
          <w:sz w:val="24"/>
        </w:rPr>
      </w:pPr>
      <w:r w:rsidRPr="008D58A8">
        <w:rPr>
          <w:rFonts w:ascii="Palatino Linotype" w:hAnsi="Palatino Linotype"/>
          <w:sz w:val="24"/>
        </w:rPr>
        <w:t>Finalmente, respecto a la información que da cuenta de lo solicitado, podría contener datos confidenciales; por lo que, en su caso, deberá entregar versión pública en la que se eliminen estos, junto con el acuerdo del Comité de Transparencia, en el que funde y motive la eliminación de la información, de conformidad con lo establecido en los artículos 49, fracciones II y VIII, 128, 132, fracción I, 138, 143 y 149 de la Ley de Transparencia y Acceso a la Información Pública de Estado de México y Municipios.</w:t>
      </w:r>
    </w:p>
    <w:p w14:paraId="5D29B6B3" w14:textId="77777777" w:rsidR="001D2729" w:rsidRPr="008D58A8" w:rsidRDefault="001D2729" w:rsidP="00660D95">
      <w:pPr>
        <w:spacing w:before="240" w:after="240" w:line="360" w:lineRule="auto"/>
        <w:jc w:val="both"/>
        <w:rPr>
          <w:rFonts w:ascii="Palatino Linotype" w:hAnsi="Palatino Linotype"/>
          <w:b/>
          <w:bCs/>
          <w:sz w:val="28"/>
          <w:szCs w:val="28"/>
        </w:rPr>
      </w:pPr>
    </w:p>
    <w:p w14:paraId="2AD481F4" w14:textId="31030D80" w:rsidR="00660D95" w:rsidRPr="008D58A8" w:rsidRDefault="00660D95" w:rsidP="006552A9">
      <w:pPr>
        <w:pStyle w:val="Prrafodelista"/>
        <w:numPr>
          <w:ilvl w:val="0"/>
          <w:numId w:val="8"/>
        </w:numPr>
        <w:spacing w:before="240" w:after="240" w:line="360" w:lineRule="auto"/>
        <w:jc w:val="both"/>
        <w:rPr>
          <w:rFonts w:ascii="Palatino Linotype" w:hAnsi="Palatino Linotype"/>
          <w:b/>
          <w:sz w:val="28"/>
          <w:szCs w:val="28"/>
        </w:rPr>
      </w:pPr>
      <w:r w:rsidRPr="008D58A8">
        <w:rPr>
          <w:rFonts w:ascii="Palatino Linotype" w:hAnsi="Palatino Linotype"/>
          <w:b/>
          <w:bCs/>
          <w:sz w:val="28"/>
          <w:szCs w:val="28"/>
        </w:rPr>
        <w:t>De la</w:t>
      </w:r>
      <w:r w:rsidRPr="008D58A8">
        <w:rPr>
          <w:rFonts w:ascii="Palatino Linotype" w:hAnsi="Palatino Linotype"/>
          <w:bCs/>
        </w:rPr>
        <w:t xml:space="preserve"> </w:t>
      </w:r>
      <w:r w:rsidRPr="008D58A8">
        <w:rPr>
          <w:rFonts w:ascii="Palatino Linotype" w:hAnsi="Palatino Linotype"/>
          <w:b/>
          <w:sz w:val="28"/>
          <w:szCs w:val="28"/>
        </w:rPr>
        <w:t xml:space="preserve">Versión Pública </w:t>
      </w:r>
    </w:p>
    <w:p w14:paraId="358A4755" w14:textId="77777777" w:rsidR="00660D95" w:rsidRPr="008D58A8" w:rsidRDefault="00660D95" w:rsidP="00660D95">
      <w:pPr>
        <w:tabs>
          <w:tab w:val="left" w:pos="7938"/>
        </w:tabs>
        <w:spacing w:before="240" w:after="240" w:line="360" w:lineRule="auto"/>
        <w:jc w:val="both"/>
        <w:rPr>
          <w:rFonts w:ascii="Palatino Linotype" w:eastAsia="Arial Unicode MS" w:hAnsi="Palatino Linotype" w:cs="Arial"/>
          <w:sz w:val="24"/>
          <w:szCs w:val="24"/>
        </w:rPr>
      </w:pPr>
      <w:r w:rsidRPr="008D58A8">
        <w:rPr>
          <w:rFonts w:ascii="Palatino Linotype" w:eastAsia="Arial Unicode MS" w:hAnsi="Palatino Linotype" w:cs="Arial"/>
          <w:sz w:val="24"/>
          <w:szCs w:val="24"/>
        </w:rPr>
        <w:t xml:space="preserve">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w:t>
      </w:r>
      <w:r w:rsidRPr="008D58A8">
        <w:rPr>
          <w:rFonts w:ascii="Palatino Linotype" w:eastAsia="Arial Unicode MS" w:hAnsi="Palatino Linotype" w:cs="Arial"/>
          <w:sz w:val="24"/>
          <w:szCs w:val="24"/>
        </w:rPr>
        <w:lastRenderedPageBreak/>
        <w:t>el derecho a la protección de datos personales, cuyo fundamento legal aplicable se encuentra inmerso en los numerales de la Ley de la materia, que a la letra esgrimen:</w:t>
      </w:r>
    </w:p>
    <w:p w14:paraId="14DF4B9E" w14:textId="77777777" w:rsidR="00660D95" w:rsidRPr="008D58A8" w:rsidRDefault="00660D95" w:rsidP="00660D95">
      <w:pPr>
        <w:spacing w:before="240" w:line="360" w:lineRule="auto"/>
        <w:ind w:left="851" w:right="851"/>
        <w:jc w:val="both"/>
        <w:rPr>
          <w:rFonts w:ascii="Palatino Linotype" w:hAnsi="Palatino Linotype" w:cs="Arial"/>
          <w:i/>
        </w:rPr>
      </w:pPr>
      <w:r w:rsidRPr="008D58A8">
        <w:rPr>
          <w:rFonts w:ascii="Palatino Linotype" w:hAnsi="Palatino Linotype" w:cs="Arial"/>
          <w:i/>
        </w:rPr>
        <w:t>“Artículo 3. Para los efectos de la presente Ley se entenderá por:</w:t>
      </w:r>
    </w:p>
    <w:p w14:paraId="5564A7AA" w14:textId="77777777" w:rsidR="00660D95" w:rsidRPr="008D58A8" w:rsidRDefault="00660D95" w:rsidP="00660D95">
      <w:pPr>
        <w:spacing w:before="240" w:line="360" w:lineRule="auto"/>
        <w:ind w:left="851" w:right="851"/>
        <w:jc w:val="both"/>
        <w:rPr>
          <w:rFonts w:ascii="Palatino Linotype" w:hAnsi="Palatino Linotype" w:cs="Arial"/>
          <w:i/>
        </w:rPr>
      </w:pPr>
      <w:r w:rsidRPr="008D58A8">
        <w:rPr>
          <w:rFonts w:ascii="Palatino Linotype" w:hAnsi="Palatino Linotype" w:cs="Arial"/>
          <w:i/>
        </w:rPr>
        <w:t>(…)</w:t>
      </w:r>
    </w:p>
    <w:p w14:paraId="1181189A" w14:textId="77777777" w:rsidR="00660D95" w:rsidRPr="008D58A8" w:rsidRDefault="00660D95" w:rsidP="00660D95">
      <w:pPr>
        <w:spacing w:before="240" w:line="360" w:lineRule="auto"/>
        <w:ind w:left="851" w:right="851"/>
        <w:jc w:val="both"/>
        <w:rPr>
          <w:rFonts w:ascii="Palatino Linotype" w:hAnsi="Palatino Linotype" w:cs="Arial"/>
          <w:b/>
          <w:i/>
        </w:rPr>
      </w:pPr>
      <w:r w:rsidRPr="008D58A8">
        <w:rPr>
          <w:rFonts w:ascii="Palatino Linotype" w:hAnsi="Palatino Linotype" w:cs="Arial"/>
          <w:b/>
          <w:i/>
          <w:u w:val="single"/>
        </w:rPr>
        <w:t>IX. Datos personales:</w:t>
      </w:r>
      <w:r w:rsidRPr="008D58A8">
        <w:rPr>
          <w:rFonts w:ascii="Palatino Linotype" w:hAnsi="Palatino Linotype" w:cs="Arial"/>
          <w:b/>
          <w:i/>
        </w:rPr>
        <w:t xml:space="preserve"> </w:t>
      </w:r>
      <w:r w:rsidRPr="008D58A8">
        <w:rPr>
          <w:rFonts w:ascii="Palatino Linotype" w:hAnsi="Palatino Linotype" w:cs="Arial"/>
          <w:i/>
        </w:rPr>
        <w:t>La información concerniente a una persona, identificada o identificable según lo dispuesto por la Ley de Protección de Datos Personales del Estado de México;</w:t>
      </w:r>
    </w:p>
    <w:p w14:paraId="20997861" w14:textId="77777777" w:rsidR="00660D95" w:rsidRPr="008D58A8" w:rsidRDefault="00660D95" w:rsidP="00660D95">
      <w:pPr>
        <w:spacing w:before="240" w:line="360" w:lineRule="auto"/>
        <w:ind w:left="851" w:right="851"/>
        <w:jc w:val="both"/>
        <w:rPr>
          <w:rFonts w:ascii="Palatino Linotype" w:hAnsi="Palatino Linotype" w:cs="Arial"/>
          <w:b/>
          <w:i/>
        </w:rPr>
      </w:pPr>
      <w:r w:rsidRPr="008D58A8">
        <w:rPr>
          <w:rFonts w:ascii="Palatino Linotype" w:hAnsi="Palatino Linotype" w:cs="Arial"/>
          <w:b/>
          <w:i/>
        </w:rPr>
        <w:t>(…)</w:t>
      </w:r>
    </w:p>
    <w:p w14:paraId="3AABF010" w14:textId="77777777" w:rsidR="00660D95" w:rsidRPr="008D58A8" w:rsidRDefault="00660D95" w:rsidP="00660D95">
      <w:pPr>
        <w:spacing w:before="240" w:line="360" w:lineRule="auto"/>
        <w:ind w:left="851" w:right="851"/>
        <w:jc w:val="both"/>
        <w:rPr>
          <w:rFonts w:ascii="Palatino Linotype" w:hAnsi="Palatino Linotype" w:cs="Arial"/>
          <w:b/>
          <w:i/>
        </w:rPr>
      </w:pPr>
      <w:r w:rsidRPr="008D58A8">
        <w:rPr>
          <w:rFonts w:ascii="Palatino Linotype" w:hAnsi="Palatino Linotype" w:cs="Arial"/>
          <w:b/>
          <w:i/>
          <w:u w:val="single"/>
        </w:rPr>
        <w:t>XLV. Versión pública:</w:t>
      </w:r>
      <w:r w:rsidRPr="008D58A8">
        <w:rPr>
          <w:rFonts w:ascii="Palatino Linotype" w:hAnsi="Palatino Linotype" w:cs="Arial"/>
          <w:b/>
          <w:i/>
        </w:rPr>
        <w:t xml:space="preserve"> </w:t>
      </w:r>
      <w:r w:rsidRPr="008D58A8">
        <w:rPr>
          <w:rFonts w:ascii="Palatino Linotype" w:hAnsi="Palatino Linotype" w:cs="Arial"/>
          <w:i/>
        </w:rPr>
        <w:t>Documento en el que se elimine, suprime o borra la información clasificada como reservada o confidencial para permitir su acceso.</w:t>
      </w:r>
    </w:p>
    <w:p w14:paraId="712572F2" w14:textId="77777777" w:rsidR="00660D95" w:rsidRPr="008D58A8" w:rsidRDefault="00660D95" w:rsidP="00660D95">
      <w:pPr>
        <w:spacing w:before="240" w:line="360" w:lineRule="auto"/>
        <w:ind w:left="851" w:right="851"/>
        <w:jc w:val="both"/>
        <w:rPr>
          <w:rFonts w:ascii="Palatino Linotype" w:hAnsi="Palatino Linotype" w:cs="Arial"/>
          <w:b/>
          <w:i/>
        </w:rPr>
      </w:pPr>
      <w:r w:rsidRPr="008D58A8">
        <w:rPr>
          <w:rFonts w:ascii="Palatino Linotype" w:hAnsi="Palatino Linotype" w:cs="Arial"/>
          <w:i/>
        </w:rPr>
        <w:t xml:space="preserve">Artículo 122. </w:t>
      </w:r>
      <w:r w:rsidRPr="008D58A8">
        <w:rPr>
          <w:rFonts w:ascii="Palatino Linotype" w:hAnsi="Palatino Linotype" w:cs="Arial"/>
          <w:b/>
          <w:i/>
          <w:u w:val="single"/>
        </w:rPr>
        <w:t>La clasificación es el proceso mediante el cual el sujeto obligado determina que la información en su poder actualiza alguno de los supuestos de reserva o confidencialidad, de conformidad con lo dispuesto en el presente título.</w:t>
      </w:r>
    </w:p>
    <w:p w14:paraId="44B7A5A6" w14:textId="77777777" w:rsidR="00660D95" w:rsidRPr="008D58A8" w:rsidRDefault="00660D95" w:rsidP="00660D95">
      <w:pPr>
        <w:spacing w:before="240" w:line="360" w:lineRule="auto"/>
        <w:ind w:left="851" w:right="851"/>
        <w:jc w:val="both"/>
        <w:rPr>
          <w:rFonts w:ascii="Palatino Linotype" w:hAnsi="Palatino Linotype" w:cs="Arial"/>
          <w:i/>
        </w:rPr>
      </w:pPr>
      <w:r w:rsidRPr="008D58A8">
        <w:rPr>
          <w:rFonts w:ascii="Palatino Linotype" w:hAnsi="Palatino Linotype" w:cs="Arial"/>
          <w:i/>
        </w:rPr>
        <w:t>[…]</w:t>
      </w:r>
    </w:p>
    <w:p w14:paraId="545AB555" w14:textId="77777777" w:rsidR="00660D95" w:rsidRPr="008D58A8" w:rsidRDefault="00660D95" w:rsidP="00660D95">
      <w:pPr>
        <w:spacing w:before="240" w:line="360" w:lineRule="auto"/>
        <w:ind w:left="851" w:right="851"/>
        <w:jc w:val="both"/>
        <w:rPr>
          <w:rFonts w:ascii="Palatino Linotype" w:hAnsi="Palatino Linotype" w:cs="Arial"/>
          <w:i/>
        </w:rPr>
      </w:pPr>
      <w:r w:rsidRPr="008D58A8">
        <w:rPr>
          <w:rFonts w:ascii="Palatino Linotype" w:hAnsi="Palatino Linotype" w:cs="Arial"/>
          <w:i/>
        </w:rPr>
        <w:t>Artículo 132. La clasificación de la información se llevará a cabo en el momento en que:</w:t>
      </w:r>
    </w:p>
    <w:p w14:paraId="36EB6A87" w14:textId="77777777" w:rsidR="00660D95" w:rsidRPr="008D58A8" w:rsidRDefault="00660D95" w:rsidP="00660D95">
      <w:pPr>
        <w:spacing w:before="240" w:line="360" w:lineRule="auto"/>
        <w:ind w:left="851" w:right="851"/>
        <w:jc w:val="both"/>
        <w:rPr>
          <w:rFonts w:ascii="Palatino Linotype" w:hAnsi="Palatino Linotype" w:cs="Arial"/>
          <w:i/>
        </w:rPr>
      </w:pPr>
      <w:r w:rsidRPr="008D58A8">
        <w:rPr>
          <w:rFonts w:ascii="Palatino Linotype" w:hAnsi="Palatino Linotype" w:cs="Arial"/>
          <w:i/>
        </w:rPr>
        <w:t>[…]</w:t>
      </w:r>
    </w:p>
    <w:p w14:paraId="00627F0F" w14:textId="77777777" w:rsidR="00660D95" w:rsidRPr="008D58A8" w:rsidRDefault="00660D95" w:rsidP="00660D95">
      <w:pPr>
        <w:spacing w:before="240" w:line="360" w:lineRule="auto"/>
        <w:ind w:left="851" w:right="851"/>
        <w:jc w:val="both"/>
        <w:rPr>
          <w:rFonts w:ascii="Palatino Linotype" w:hAnsi="Palatino Linotype" w:cs="Arial"/>
          <w:b/>
          <w:i/>
          <w:u w:val="single"/>
        </w:rPr>
      </w:pPr>
      <w:r w:rsidRPr="008D58A8">
        <w:rPr>
          <w:rFonts w:ascii="Palatino Linotype" w:hAnsi="Palatino Linotype" w:cs="Arial"/>
          <w:b/>
          <w:i/>
          <w:u w:val="single"/>
        </w:rPr>
        <w:t>II. Se determine mediante resolución de autoridad competente; o</w:t>
      </w:r>
    </w:p>
    <w:p w14:paraId="5DB116E6" w14:textId="77777777" w:rsidR="00660D95" w:rsidRPr="008D58A8" w:rsidRDefault="00660D95" w:rsidP="00660D95">
      <w:pPr>
        <w:spacing w:before="240" w:line="360" w:lineRule="auto"/>
        <w:ind w:left="851" w:right="851"/>
        <w:jc w:val="both"/>
        <w:rPr>
          <w:rFonts w:ascii="Palatino Linotype" w:hAnsi="Palatino Linotype" w:cs="Arial"/>
          <w:b/>
          <w:i/>
        </w:rPr>
      </w:pPr>
      <w:r w:rsidRPr="008D58A8">
        <w:rPr>
          <w:rFonts w:ascii="Palatino Linotype" w:hAnsi="Palatino Linotype" w:cs="Arial"/>
          <w:b/>
          <w:i/>
        </w:rPr>
        <w:lastRenderedPageBreak/>
        <w:t>(…)</w:t>
      </w:r>
    </w:p>
    <w:p w14:paraId="6DC85516" w14:textId="77777777" w:rsidR="00660D95" w:rsidRPr="008D58A8" w:rsidRDefault="00660D95" w:rsidP="00660D95">
      <w:pPr>
        <w:spacing w:before="240" w:line="360" w:lineRule="auto"/>
        <w:ind w:left="851" w:right="851"/>
        <w:jc w:val="both"/>
        <w:rPr>
          <w:rFonts w:ascii="Palatino Linotype" w:hAnsi="Palatino Linotype" w:cs="Arial"/>
          <w:b/>
          <w:i/>
        </w:rPr>
      </w:pPr>
      <w:r w:rsidRPr="008D58A8">
        <w:rPr>
          <w:rFonts w:ascii="Palatino Linotype" w:hAnsi="Palatino Linotype" w:cs="Arial"/>
          <w:i/>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8D58A8">
        <w:rPr>
          <w:rFonts w:ascii="Palatino Linotype" w:hAnsi="Palatino Linotype" w:cs="Arial"/>
          <w:b/>
          <w:i/>
        </w:rPr>
        <w:t xml:space="preserve"> </w:t>
      </w:r>
      <w:r w:rsidRPr="008D58A8">
        <w:rPr>
          <w:rFonts w:ascii="Palatino Linotype" w:hAnsi="Palatino Linotype" w:cs="Arial"/>
          <w:b/>
          <w:i/>
          <w:u w:val="single"/>
        </w:rPr>
        <w:t xml:space="preserve">de manera genérica y fundando y motivando su clasificación.” </w:t>
      </w:r>
      <w:r w:rsidRPr="008D58A8">
        <w:rPr>
          <w:rFonts w:ascii="Palatino Linotype" w:hAnsi="Palatino Linotype" w:cs="Arial"/>
          <w:b/>
          <w:i/>
        </w:rPr>
        <w:t>[Sic]</w:t>
      </w:r>
    </w:p>
    <w:p w14:paraId="39752BEC" w14:textId="77777777" w:rsidR="00660D95" w:rsidRPr="008D58A8" w:rsidRDefault="00660D95" w:rsidP="00660D95">
      <w:pPr>
        <w:spacing w:after="0" w:line="360" w:lineRule="auto"/>
        <w:ind w:right="51"/>
        <w:jc w:val="both"/>
        <w:rPr>
          <w:rFonts w:ascii="Palatino Linotype" w:eastAsia="Arial Unicode MS" w:hAnsi="Palatino Linotype" w:cs="Arial"/>
          <w:sz w:val="24"/>
          <w:szCs w:val="24"/>
        </w:rPr>
      </w:pPr>
    </w:p>
    <w:p w14:paraId="5F22CB2F" w14:textId="77777777" w:rsidR="00660D95" w:rsidRPr="008D58A8" w:rsidRDefault="00660D95" w:rsidP="00660D95">
      <w:pPr>
        <w:spacing w:after="0" w:line="360" w:lineRule="auto"/>
        <w:ind w:right="51"/>
        <w:jc w:val="both"/>
        <w:rPr>
          <w:rFonts w:ascii="Palatino Linotype" w:hAnsi="Palatino Linotype" w:cs="Arial"/>
          <w:sz w:val="24"/>
          <w:szCs w:val="24"/>
        </w:rPr>
      </w:pPr>
      <w:r w:rsidRPr="008D58A8">
        <w:rPr>
          <w:rFonts w:ascii="Palatino Linotype" w:eastAsia="Arial Unicode MS" w:hAnsi="Palatino Linotype" w:cs="Arial"/>
          <w:sz w:val="24"/>
          <w:szCs w:val="24"/>
        </w:rPr>
        <w:t xml:space="preserve">Verbigracia, previo a poner a disposición la información correspondiente debe considerarse que tiene carácter de confidencial </w:t>
      </w:r>
      <w:r w:rsidRPr="008D58A8">
        <w:rPr>
          <w:rFonts w:ascii="Palatino Linotype" w:hAnsi="Palatino Linotype" w:cs="Arial"/>
          <w:sz w:val="24"/>
          <w:szCs w:val="24"/>
        </w:rPr>
        <w:t xml:space="preserve">el Registro Federal de Contribuyentes </w:t>
      </w:r>
      <w:r w:rsidRPr="008D58A8">
        <w:rPr>
          <w:rFonts w:ascii="Palatino Linotype" w:hAnsi="Palatino Linotype" w:cs="Arial"/>
          <w:b/>
          <w:bCs/>
          <w:sz w:val="24"/>
          <w:szCs w:val="24"/>
          <w:u w:val="single"/>
        </w:rPr>
        <w:t>(RFC) que no sean de proveedores,</w:t>
      </w:r>
      <w:r w:rsidRPr="008D58A8">
        <w:rPr>
          <w:rFonts w:ascii="Palatino Linotype" w:hAnsi="Palatino Linotype" w:cs="Arial"/>
          <w:sz w:val="24"/>
          <w:szCs w:val="24"/>
        </w:rPr>
        <w:t xml:space="preserve">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w:t>
      </w:r>
    </w:p>
    <w:p w14:paraId="54D9AABB" w14:textId="77777777" w:rsidR="00660D95" w:rsidRPr="008D58A8" w:rsidRDefault="00660D95" w:rsidP="00660D95">
      <w:pPr>
        <w:autoSpaceDE w:val="0"/>
        <w:autoSpaceDN w:val="0"/>
        <w:adjustRightInd w:val="0"/>
        <w:spacing w:before="240" w:after="240" w:line="360" w:lineRule="auto"/>
        <w:ind w:right="-91"/>
        <w:jc w:val="both"/>
        <w:rPr>
          <w:rFonts w:ascii="Palatino Linotype" w:eastAsia="Times New Roman" w:hAnsi="Palatino Linotype" w:cs="Arial"/>
          <w:sz w:val="24"/>
          <w:szCs w:val="24"/>
          <w:lang w:eastAsia="es-MX"/>
        </w:rPr>
      </w:pPr>
      <w:r w:rsidRPr="008D58A8">
        <w:rPr>
          <w:rFonts w:ascii="Palatino Linotype" w:eastAsia="Times New Roman" w:hAnsi="Palatino Linotype" w:cs="Arial"/>
          <w:sz w:val="24"/>
          <w:szCs w:val="24"/>
          <w:lang w:eastAsia="es-MX"/>
        </w:rPr>
        <w:t>En cuanto al Registro Federal de Contribuyentes de las personas físicas constituye un dato personal, ya que para su obtención es necesario acreditar ante la autoridad fiscal previamente la identidad de la persona, su fecha de nacimiento, entre otros aspectos.</w:t>
      </w:r>
    </w:p>
    <w:p w14:paraId="3D77ADE9" w14:textId="77777777" w:rsidR="00660D95" w:rsidRPr="008D58A8" w:rsidRDefault="00660D95" w:rsidP="00660D95">
      <w:pPr>
        <w:spacing w:before="240" w:after="240" w:line="360" w:lineRule="auto"/>
        <w:ind w:right="-91"/>
        <w:jc w:val="both"/>
        <w:rPr>
          <w:rFonts w:ascii="Palatino Linotype" w:eastAsia="Times New Roman" w:hAnsi="Palatino Linotype" w:cs="Arial"/>
          <w:sz w:val="24"/>
          <w:szCs w:val="24"/>
          <w:lang w:eastAsia="es-MX"/>
        </w:rPr>
      </w:pPr>
      <w:r w:rsidRPr="008D58A8">
        <w:rPr>
          <w:rFonts w:ascii="Palatino Linotype" w:eastAsia="Times New Roman" w:hAnsi="Palatino Linotype" w:cs="Arial"/>
          <w:sz w:val="24"/>
          <w:szCs w:val="24"/>
          <w:lang w:eastAsia="es-MX"/>
        </w:rPr>
        <w:t>Ahora bien, las personas físicas tramitan su inscripción en el registro con el propósito de realizar —mediante esa clave de identificación— operaciones o actividades de naturaleza fiscal, la cual, les permite hacer identificable respecto de una situación fiscal determinada.</w:t>
      </w:r>
    </w:p>
    <w:p w14:paraId="3357A5A7" w14:textId="77777777" w:rsidR="00660D95" w:rsidRPr="008D58A8" w:rsidRDefault="00660D95" w:rsidP="00660D95">
      <w:pPr>
        <w:spacing w:before="240" w:after="240" w:line="360" w:lineRule="auto"/>
        <w:ind w:right="-91"/>
        <w:jc w:val="both"/>
        <w:rPr>
          <w:rFonts w:ascii="Palatino Linotype" w:eastAsia="Times New Roman" w:hAnsi="Palatino Linotype" w:cs="Arial"/>
          <w:sz w:val="24"/>
          <w:szCs w:val="24"/>
          <w:lang w:eastAsia="es-MX"/>
        </w:rPr>
      </w:pPr>
      <w:r w:rsidRPr="008D58A8">
        <w:rPr>
          <w:rFonts w:ascii="Palatino Linotype" w:eastAsia="Times New Roman" w:hAnsi="Palatino Linotype" w:cs="Arial"/>
          <w:sz w:val="24"/>
          <w:szCs w:val="24"/>
          <w:lang w:eastAsia="es-MX"/>
        </w:rPr>
        <w:lastRenderedPageBreak/>
        <w:t xml:space="preserve">Lo anterior es compartido por el ahora </w:t>
      </w:r>
      <w:r w:rsidRPr="008D58A8">
        <w:rPr>
          <w:rFonts w:ascii="Palatino Linotype" w:eastAsia="Times New Roman" w:hAnsi="Palatino Linotype" w:cs="Arial"/>
          <w:b/>
          <w:bCs/>
          <w:sz w:val="24"/>
          <w:szCs w:val="24"/>
          <w:lang w:eastAsia="es-MX"/>
        </w:rPr>
        <w:t>Instituto Nacional de Transparencia, Acceso a la Información y Protección de Datos Personales</w:t>
      </w:r>
      <w:r w:rsidRPr="008D58A8">
        <w:rPr>
          <w:rFonts w:ascii="Palatino Linotype" w:eastAsia="Times New Roman" w:hAnsi="Palatino Linotype" w:cs="Arial"/>
          <w:sz w:val="24"/>
          <w:szCs w:val="24"/>
          <w:lang w:eastAsia="es-MX"/>
        </w:rPr>
        <w:t xml:space="preserve"> (INAI), conforme al criterio </w:t>
      </w:r>
      <w:r w:rsidRPr="008D58A8">
        <w:rPr>
          <w:rFonts w:ascii="Palatino Linotype" w:eastAsia="Times New Roman" w:hAnsi="Palatino Linotype" w:cs="Arial"/>
          <w:b/>
          <w:sz w:val="24"/>
          <w:szCs w:val="24"/>
          <w:lang w:eastAsia="es-MX"/>
        </w:rPr>
        <w:t>19/17,</w:t>
      </w:r>
      <w:r w:rsidRPr="008D58A8">
        <w:rPr>
          <w:rFonts w:ascii="Palatino Linotype" w:eastAsia="Times New Roman" w:hAnsi="Palatino Linotype" w:cs="Arial"/>
          <w:sz w:val="24"/>
          <w:szCs w:val="24"/>
          <w:lang w:eastAsia="es-MX"/>
        </w:rPr>
        <w:t xml:space="preserve"> el cual es del tenor literal siguiente:</w:t>
      </w:r>
    </w:p>
    <w:p w14:paraId="447AC19F" w14:textId="77777777" w:rsidR="00660D95" w:rsidRPr="008D58A8" w:rsidRDefault="00660D95" w:rsidP="00660D95">
      <w:pPr>
        <w:autoSpaceDE w:val="0"/>
        <w:autoSpaceDN w:val="0"/>
        <w:adjustRightInd w:val="0"/>
        <w:spacing w:before="240" w:line="360" w:lineRule="auto"/>
        <w:ind w:left="851" w:right="851"/>
        <w:jc w:val="center"/>
        <w:rPr>
          <w:rFonts w:ascii="Palatino Linotype" w:eastAsia="Times New Roman" w:hAnsi="Palatino Linotype" w:cs="Arial"/>
          <w:b/>
          <w:bCs/>
          <w:i/>
        </w:rPr>
      </w:pPr>
      <w:r w:rsidRPr="008D58A8">
        <w:rPr>
          <w:rFonts w:ascii="Palatino Linotype" w:eastAsia="Times New Roman" w:hAnsi="Palatino Linotype" w:cs="Arial"/>
          <w:bCs/>
          <w:i/>
        </w:rPr>
        <w:t>“</w:t>
      </w:r>
      <w:r w:rsidRPr="008D58A8">
        <w:rPr>
          <w:rFonts w:ascii="Palatino Linotype" w:eastAsia="Times New Roman" w:hAnsi="Palatino Linotype" w:cs="Arial"/>
          <w:b/>
          <w:bCs/>
          <w:i/>
        </w:rPr>
        <w:t>REGISTRO FEDERAL DE CONTRIBUYENTES (RFC) DE PERSONAS FÍSICAS.</w:t>
      </w:r>
    </w:p>
    <w:p w14:paraId="3462D551" w14:textId="77777777" w:rsidR="00660D95" w:rsidRPr="008D58A8" w:rsidRDefault="00660D95" w:rsidP="00660D95">
      <w:pPr>
        <w:autoSpaceDE w:val="0"/>
        <w:autoSpaceDN w:val="0"/>
        <w:adjustRightInd w:val="0"/>
        <w:spacing w:before="240" w:line="360" w:lineRule="auto"/>
        <w:ind w:left="851" w:right="851"/>
        <w:jc w:val="both"/>
        <w:rPr>
          <w:rFonts w:ascii="Palatino Linotype" w:eastAsia="Times New Roman" w:hAnsi="Palatino Linotype" w:cs="Arial"/>
          <w:bCs/>
          <w:i/>
        </w:rPr>
      </w:pPr>
      <w:r w:rsidRPr="008D58A8">
        <w:rPr>
          <w:rFonts w:ascii="Palatino Linotype" w:eastAsia="Times New Roman" w:hAnsi="Palatino Linotype" w:cs="Arial"/>
          <w:bCs/>
          <w:i/>
        </w:rPr>
        <w:t>El RFC es una clave de carácter fiscal, única e irrepetible, que permite identificar al titular, su edad y fecha de nacimiento, por lo que es un dato personal de carácter confidencial.</w:t>
      </w:r>
    </w:p>
    <w:p w14:paraId="4E9E551F" w14:textId="77777777" w:rsidR="00660D95" w:rsidRPr="008D58A8" w:rsidRDefault="00660D95" w:rsidP="00660D95">
      <w:pPr>
        <w:autoSpaceDE w:val="0"/>
        <w:autoSpaceDN w:val="0"/>
        <w:adjustRightInd w:val="0"/>
        <w:spacing w:before="240" w:line="360" w:lineRule="auto"/>
        <w:ind w:left="851" w:right="851"/>
        <w:jc w:val="both"/>
        <w:rPr>
          <w:rFonts w:ascii="Palatino Linotype" w:eastAsia="Times New Roman" w:hAnsi="Palatino Linotype" w:cs="Arial"/>
          <w:b/>
          <w:i/>
        </w:rPr>
      </w:pPr>
      <w:r w:rsidRPr="008D58A8">
        <w:rPr>
          <w:rFonts w:ascii="Palatino Linotype" w:eastAsia="Times New Roman" w:hAnsi="Palatino Linotype" w:cs="Arial"/>
          <w:b/>
          <w:i/>
        </w:rPr>
        <w:t>Resoluciones:</w:t>
      </w:r>
    </w:p>
    <w:p w14:paraId="2B347828" w14:textId="77777777" w:rsidR="00660D95" w:rsidRPr="008D58A8" w:rsidRDefault="00660D95" w:rsidP="00660D95">
      <w:pPr>
        <w:autoSpaceDE w:val="0"/>
        <w:autoSpaceDN w:val="0"/>
        <w:adjustRightInd w:val="0"/>
        <w:spacing w:before="240" w:line="360" w:lineRule="auto"/>
        <w:ind w:left="851" w:right="851"/>
        <w:jc w:val="both"/>
        <w:rPr>
          <w:rFonts w:ascii="Palatino Linotype" w:eastAsia="Times New Roman" w:hAnsi="Palatino Linotype" w:cs="Arial"/>
          <w:i/>
          <w:lang w:val="es-ES"/>
        </w:rPr>
      </w:pPr>
      <w:r w:rsidRPr="008D58A8">
        <w:rPr>
          <w:rFonts w:ascii="Palatino Linotype" w:eastAsia="Times New Roman" w:hAnsi="Palatino Linotype" w:cs="Arial"/>
          <w:b/>
          <w:i/>
        </w:rPr>
        <w:t xml:space="preserve">RRA </w:t>
      </w:r>
      <w:r w:rsidRPr="008D58A8">
        <w:rPr>
          <w:rFonts w:ascii="Palatino Linotype" w:eastAsia="Times New Roman" w:hAnsi="Palatino Linotype" w:cs="Arial"/>
          <w:b/>
          <w:i/>
          <w:lang w:val="es-ES"/>
        </w:rPr>
        <w:t xml:space="preserve">0189/17. </w:t>
      </w:r>
      <w:r w:rsidRPr="008D58A8">
        <w:rPr>
          <w:rFonts w:ascii="Palatino Linotype" w:eastAsia="Times New Roman" w:hAnsi="Palatino Linotype" w:cs="Arial"/>
          <w:i/>
          <w:lang w:val="es-ES"/>
        </w:rPr>
        <w:t xml:space="preserve">Morena. 08 de febrero de 2017. Por unanimidad. Comisionado Ponente </w:t>
      </w:r>
      <w:r w:rsidRPr="008D58A8">
        <w:rPr>
          <w:rFonts w:ascii="Palatino Linotype" w:eastAsia="Times New Roman" w:hAnsi="Palatino Linotype" w:cs="Arial"/>
          <w:i/>
        </w:rPr>
        <w:t>Joel Salas Suárez.</w:t>
      </w:r>
    </w:p>
    <w:p w14:paraId="16F24D9B" w14:textId="77777777" w:rsidR="00660D95" w:rsidRPr="008D58A8" w:rsidRDefault="00660D95" w:rsidP="00660D95">
      <w:pPr>
        <w:autoSpaceDE w:val="0"/>
        <w:autoSpaceDN w:val="0"/>
        <w:adjustRightInd w:val="0"/>
        <w:spacing w:before="240" w:line="360" w:lineRule="auto"/>
        <w:ind w:left="851" w:right="851"/>
        <w:jc w:val="both"/>
        <w:rPr>
          <w:rFonts w:ascii="Palatino Linotype" w:eastAsia="Times New Roman" w:hAnsi="Palatino Linotype" w:cs="Arial"/>
          <w:i/>
          <w:lang w:val="es-ES"/>
        </w:rPr>
      </w:pPr>
      <w:r w:rsidRPr="008D58A8">
        <w:rPr>
          <w:rFonts w:ascii="Palatino Linotype" w:eastAsia="Times New Roman" w:hAnsi="Palatino Linotype" w:cs="Arial"/>
          <w:b/>
          <w:i/>
        </w:rPr>
        <w:t xml:space="preserve">RRA </w:t>
      </w:r>
      <w:r w:rsidRPr="008D58A8">
        <w:rPr>
          <w:rFonts w:ascii="Palatino Linotype" w:eastAsia="Times New Roman" w:hAnsi="Palatino Linotype" w:cs="Arial"/>
          <w:b/>
          <w:bCs/>
          <w:i/>
        </w:rPr>
        <w:t>0677</w:t>
      </w:r>
      <w:r w:rsidRPr="008D58A8">
        <w:rPr>
          <w:rFonts w:ascii="Palatino Linotype" w:eastAsia="Times New Roman" w:hAnsi="Palatino Linotype" w:cs="Arial"/>
          <w:b/>
          <w:i/>
        </w:rPr>
        <w:t xml:space="preserve">/17. </w:t>
      </w:r>
      <w:r w:rsidRPr="008D58A8">
        <w:rPr>
          <w:rFonts w:ascii="Palatino Linotype" w:eastAsia="Times New Roman" w:hAnsi="Palatino Linotype" w:cs="Arial"/>
          <w:i/>
          <w:lang w:val="es-ES"/>
        </w:rPr>
        <w:t>Universidad Nacional Autónoma de México. 08 de marzo de 2017. Por unanimidad. Comisionado Ponente Rosendoevgueni Monterrey Chepov</w:t>
      </w:r>
      <w:r w:rsidRPr="008D58A8">
        <w:rPr>
          <w:rFonts w:ascii="Palatino Linotype" w:eastAsia="Times New Roman" w:hAnsi="Palatino Linotype" w:cs="Arial"/>
          <w:i/>
        </w:rPr>
        <w:t>.</w:t>
      </w:r>
      <w:r w:rsidRPr="008D58A8">
        <w:rPr>
          <w:rFonts w:ascii="Palatino Linotype" w:eastAsia="Times New Roman" w:hAnsi="Palatino Linotype" w:cs="Arial"/>
          <w:b/>
          <w:i/>
        </w:rPr>
        <w:t xml:space="preserve"> </w:t>
      </w:r>
    </w:p>
    <w:p w14:paraId="6897FA30" w14:textId="77777777" w:rsidR="00660D95" w:rsidRPr="008D58A8" w:rsidRDefault="00660D95" w:rsidP="00660D95">
      <w:pPr>
        <w:autoSpaceDE w:val="0"/>
        <w:autoSpaceDN w:val="0"/>
        <w:adjustRightInd w:val="0"/>
        <w:spacing w:before="240" w:line="360" w:lineRule="auto"/>
        <w:ind w:left="851" w:right="851"/>
        <w:jc w:val="both"/>
        <w:rPr>
          <w:rFonts w:ascii="Palatino Linotype" w:eastAsia="Times New Roman" w:hAnsi="Palatino Linotype" w:cs="Arial"/>
          <w:b/>
          <w:i/>
          <w:lang w:val="es-ES"/>
        </w:rPr>
      </w:pPr>
      <w:r w:rsidRPr="008D58A8">
        <w:rPr>
          <w:rFonts w:ascii="Palatino Linotype" w:eastAsia="Times New Roman" w:hAnsi="Palatino Linotype" w:cs="Arial"/>
          <w:b/>
          <w:i/>
        </w:rPr>
        <w:t>RRA</w:t>
      </w:r>
      <w:r w:rsidRPr="008D58A8">
        <w:rPr>
          <w:rFonts w:ascii="Palatino Linotype" w:eastAsia="Times New Roman" w:hAnsi="Palatino Linotype" w:cs="Arial"/>
          <w:i/>
          <w:lang w:val="es-ES"/>
        </w:rPr>
        <w:t xml:space="preserve"> </w:t>
      </w:r>
      <w:r w:rsidRPr="008D58A8">
        <w:rPr>
          <w:rFonts w:ascii="Palatino Linotype" w:eastAsia="Times New Roman" w:hAnsi="Palatino Linotype" w:cs="Arial"/>
          <w:b/>
          <w:i/>
        </w:rPr>
        <w:t xml:space="preserve">1564/17. </w:t>
      </w:r>
      <w:r w:rsidRPr="008D58A8">
        <w:rPr>
          <w:rFonts w:ascii="Palatino Linotype" w:eastAsia="Times New Roman" w:hAnsi="Palatino Linotype" w:cs="Arial"/>
          <w:i/>
          <w:lang w:val="es-ES"/>
        </w:rPr>
        <w:t>Tribunal Electoral del Poder Judicial de la Federación</w:t>
      </w:r>
      <w:r w:rsidRPr="008D58A8">
        <w:rPr>
          <w:rFonts w:ascii="Palatino Linotype" w:eastAsia="Times New Roman" w:hAnsi="Palatino Linotype" w:cs="Arial"/>
          <w:i/>
        </w:rPr>
        <w:t xml:space="preserve">. 26 de abril de 2017. Por unanimidad. Comisionado Ponente Oscar Mauricio Guerra Ford.” </w:t>
      </w:r>
      <w:r w:rsidRPr="008D58A8">
        <w:rPr>
          <w:rFonts w:ascii="Palatino Linotype" w:eastAsia="Times New Roman" w:hAnsi="Palatino Linotype" w:cs="Arial"/>
          <w:b/>
          <w:i/>
        </w:rPr>
        <w:t>[Sic]</w:t>
      </w:r>
    </w:p>
    <w:p w14:paraId="2965FD33" w14:textId="77777777" w:rsidR="00660D95" w:rsidRPr="008D58A8" w:rsidRDefault="00660D95" w:rsidP="00660D95">
      <w:pPr>
        <w:autoSpaceDE w:val="0"/>
        <w:autoSpaceDN w:val="0"/>
        <w:adjustRightInd w:val="0"/>
        <w:spacing w:before="120" w:after="120"/>
        <w:ind w:left="567" w:right="850"/>
        <w:jc w:val="both"/>
        <w:rPr>
          <w:rFonts w:ascii="Palatino Linotype" w:eastAsia="Times New Roman" w:hAnsi="Palatino Linotype" w:cs="Arial"/>
          <w:i/>
        </w:rPr>
      </w:pPr>
    </w:p>
    <w:p w14:paraId="48AF475F" w14:textId="77777777" w:rsidR="00660D95" w:rsidRPr="008D58A8" w:rsidRDefault="00660D95" w:rsidP="00660D95">
      <w:pPr>
        <w:spacing w:before="240" w:after="240" w:line="360" w:lineRule="auto"/>
        <w:jc w:val="both"/>
        <w:rPr>
          <w:rFonts w:ascii="Palatino Linotype" w:hAnsi="Palatino Linotype" w:cs="Arial"/>
          <w:sz w:val="24"/>
          <w:szCs w:val="24"/>
          <w:lang w:eastAsia="es-MX"/>
        </w:rPr>
      </w:pPr>
      <w:r w:rsidRPr="008D58A8">
        <w:rPr>
          <w:rFonts w:ascii="Palatino Linotype" w:hAnsi="Palatino Linotype" w:cs="Arial"/>
          <w:sz w:val="24"/>
          <w:szCs w:val="24"/>
          <w:lang w:eastAsia="es-MX"/>
        </w:rPr>
        <w:t>Así, el RFC se vincula al nombre de su titular, permite identificar la edad de la persona, su fecha de nacimiento, así como su homoclave, la cual es única e irrepetible y determina justamente la identificación de dicha persona para efectos fiscales, por lo éste constituye un dato personal que concierne a una persona física identificada e identificable.</w:t>
      </w:r>
    </w:p>
    <w:p w14:paraId="0751EA0C" w14:textId="77777777" w:rsidR="00660D95" w:rsidRPr="008D58A8" w:rsidRDefault="00660D95" w:rsidP="00660D95">
      <w:pPr>
        <w:spacing w:before="240" w:after="240" w:line="360" w:lineRule="auto"/>
        <w:jc w:val="both"/>
        <w:rPr>
          <w:rFonts w:ascii="Palatino Linotype" w:eastAsia="Calibri" w:hAnsi="Palatino Linotype" w:cs="Arial"/>
          <w:sz w:val="24"/>
          <w:szCs w:val="24"/>
          <w:lang w:eastAsia="es-MX"/>
        </w:rPr>
      </w:pPr>
      <w:r w:rsidRPr="008D58A8">
        <w:rPr>
          <w:rFonts w:ascii="Palatino Linotype" w:hAnsi="Palatino Linotype" w:cs="Arial"/>
          <w:sz w:val="24"/>
          <w:szCs w:val="24"/>
          <w:lang w:eastAsia="es-MX"/>
        </w:rPr>
        <w:lastRenderedPageBreak/>
        <w:t xml:space="preserve">En cuanto a la </w:t>
      </w:r>
      <w:r w:rsidRPr="008D58A8">
        <w:rPr>
          <w:rFonts w:ascii="Palatino Linotype" w:hAnsi="Palatino Linotype" w:cs="Arial"/>
          <w:sz w:val="24"/>
          <w:szCs w:val="24"/>
        </w:rPr>
        <w:t xml:space="preserve">Clave Única de Registro de Población (CURP) en virtud de que éste se </w:t>
      </w:r>
      <w:r w:rsidRPr="008D58A8">
        <w:rPr>
          <w:rFonts w:ascii="Palatino Linotype" w:eastAsia="Calibri" w:hAnsi="Palatino Linotype" w:cs="Arial"/>
          <w:sz w:val="24"/>
          <w:szCs w:val="24"/>
          <w:lang w:eastAsia="es-MX"/>
        </w:rPr>
        <w:t>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6C8C7C5D" w14:textId="77777777" w:rsidR="00660D95" w:rsidRPr="008D58A8" w:rsidRDefault="00660D95" w:rsidP="00660D95">
      <w:pPr>
        <w:spacing w:before="240" w:after="240" w:line="360" w:lineRule="auto"/>
        <w:ind w:right="-91"/>
        <w:jc w:val="both"/>
        <w:rPr>
          <w:rFonts w:ascii="Palatino Linotype" w:eastAsia="Times New Roman" w:hAnsi="Palatino Linotype" w:cs="Arial"/>
          <w:sz w:val="24"/>
          <w:szCs w:val="24"/>
        </w:rPr>
      </w:pPr>
      <w:r w:rsidRPr="008D58A8">
        <w:rPr>
          <w:rFonts w:ascii="Palatino Linotype" w:hAnsi="Palatino Linotype" w:cs="Arial"/>
          <w:sz w:val="24"/>
          <w:szCs w:val="24"/>
        </w:rPr>
        <w:t xml:space="preserve">Argumento que es compartido por el </w:t>
      </w:r>
      <w:r w:rsidRPr="008D58A8">
        <w:rPr>
          <w:rStyle w:val="Textoennegrita"/>
          <w:rFonts w:ascii="Palatino Linotype" w:hAnsi="Palatino Linotype" w:cs="Arial"/>
          <w:sz w:val="24"/>
          <w:szCs w:val="24"/>
        </w:rPr>
        <w:t xml:space="preserve">Instituto Nacional de Transparencia, Acceso a la Información y Protección de Datos Personales, conforme al </w:t>
      </w:r>
      <w:r w:rsidRPr="008D58A8">
        <w:rPr>
          <w:rFonts w:ascii="Palatino Linotype" w:eastAsia="Times New Roman" w:hAnsi="Palatino Linotype" w:cs="Arial"/>
          <w:sz w:val="24"/>
          <w:szCs w:val="24"/>
        </w:rPr>
        <w:t xml:space="preserve">criterio número 18/17 el cual refiere: </w:t>
      </w:r>
    </w:p>
    <w:p w14:paraId="648BE9DA" w14:textId="77777777" w:rsidR="00660D95" w:rsidRPr="008D58A8" w:rsidRDefault="00660D95" w:rsidP="00660D95">
      <w:pPr>
        <w:autoSpaceDE w:val="0"/>
        <w:autoSpaceDN w:val="0"/>
        <w:adjustRightInd w:val="0"/>
        <w:spacing w:before="240" w:line="360" w:lineRule="auto"/>
        <w:ind w:left="851" w:right="851"/>
        <w:jc w:val="center"/>
        <w:rPr>
          <w:rFonts w:ascii="Palatino Linotype" w:eastAsia="Times New Roman" w:hAnsi="Palatino Linotype" w:cs="Arial"/>
          <w:b/>
          <w:bCs/>
          <w:i/>
          <w:lang w:eastAsia="es-MX"/>
        </w:rPr>
      </w:pPr>
      <w:r w:rsidRPr="008D58A8">
        <w:rPr>
          <w:rFonts w:ascii="Palatino Linotype" w:eastAsia="Times New Roman" w:hAnsi="Palatino Linotype" w:cs="Arial"/>
          <w:bCs/>
          <w:i/>
          <w:lang w:eastAsia="es-MX"/>
        </w:rPr>
        <w:t>“</w:t>
      </w:r>
      <w:r w:rsidRPr="008D58A8">
        <w:rPr>
          <w:rFonts w:ascii="Palatino Linotype" w:eastAsia="Times New Roman" w:hAnsi="Palatino Linotype" w:cs="Arial"/>
          <w:b/>
          <w:bCs/>
          <w:i/>
          <w:lang w:eastAsia="es-MX"/>
        </w:rPr>
        <w:t>CLAVE ÚNICA DE REGISTRO DE POBLACIÓN (CURP).</w:t>
      </w:r>
    </w:p>
    <w:p w14:paraId="669749F4" w14:textId="77777777" w:rsidR="00660D95" w:rsidRPr="008D58A8" w:rsidRDefault="00660D95" w:rsidP="00660D95">
      <w:pPr>
        <w:autoSpaceDE w:val="0"/>
        <w:autoSpaceDN w:val="0"/>
        <w:adjustRightInd w:val="0"/>
        <w:spacing w:before="240" w:line="360" w:lineRule="auto"/>
        <w:ind w:left="851" w:right="851"/>
        <w:jc w:val="both"/>
        <w:rPr>
          <w:rFonts w:ascii="Palatino Linotype" w:eastAsia="Times New Roman" w:hAnsi="Palatino Linotype" w:cs="Arial"/>
          <w:b/>
          <w:bCs/>
          <w:i/>
          <w:lang w:eastAsia="es-MX"/>
        </w:rPr>
      </w:pPr>
      <w:r w:rsidRPr="008D58A8">
        <w:rPr>
          <w:rFonts w:ascii="Palatino Linotype" w:eastAsia="Times New Roman" w:hAnsi="Palatino Linotype" w:cs="Arial"/>
          <w:bCs/>
          <w:i/>
          <w:lang w:eastAsia="es-MX"/>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54FCF5D9" w14:textId="77777777" w:rsidR="00660D95" w:rsidRPr="008D58A8" w:rsidRDefault="00660D95" w:rsidP="00660D95">
      <w:pPr>
        <w:autoSpaceDE w:val="0"/>
        <w:autoSpaceDN w:val="0"/>
        <w:adjustRightInd w:val="0"/>
        <w:spacing w:before="240" w:line="360" w:lineRule="auto"/>
        <w:ind w:left="851" w:right="851"/>
        <w:jc w:val="both"/>
        <w:rPr>
          <w:rFonts w:ascii="Palatino Linotype" w:eastAsia="Times New Roman" w:hAnsi="Palatino Linotype" w:cs="Arial"/>
          <w:b/>
          <w:i/>
          <w:lang w:eastAsia="es-MX"/>
        </w:rPr>
      </w:pPr>
      <w:r w:rsidRPr="008D58A8">
        <w:rPr>
          <w:rFonts w:ascii="Palatino Linotype" w:eastAsia="Times New Roman" w:hAnsi="Palatino Linotype" w:cs="Arial"/>
          <w:i/>
          <w:lang w:eastAsia="es-MX"/>
        </w:rPr>
        <w:t xml:space="preserve"> </w:t>
      </w:r>
      <w:r w:rsidRPr="008D58A8">
        <w:rPr>
          <w:rFonts w:ascii="Palatino Linotype" w:eastAsia="Times New Roman" w:hAnsi="Palatino Linotype" w:cs="Arial"/>
          <w:b/>
          <w:i/>
          <w:lang w:eastAsia="es-MX"/>
        </w:rPr>
        <w:t>Resoluciones:</w:t>
      </w:r>
    </w:p>
    <w:p w14:paraId="0770685E" w14:textId="77777777" w:rsidR="00660D95" w:rsidRPr="008D58A8" w:rsidRDefault="00660D95" w:rsidP="00660D95">
      <w:pPr>
        <w:autoSpaceDE w:val="0"/>
        <w:autoSpaceDN w:val="0"/>
        <w:adjustRightInd w:val="0"/>
        <w:spacing w:before="240" w:line="360" w:lineRule="auto"/>
        <w:ind w:left="851" w:right="851"/>
        <w:jc w:val="both"/>
        <w:rPr>
          <w:rFonts w:ascii="Palatino Linotype" w:eastAsia="Times New Roman" w:hAnsi="Palatino Linotype" w:cs="Arial"/>
          <w:b/>
          <w:i/>
          <w:lang w:eastAsia="es-MX"/>
        </w:rPr>
      </w:pPr>
      <w:r w:rsidRPr="008D58A8">
        <w:rPr>
          <w:rFonts w:ascii="Palatino Linotype" w:eastAsia="Times New Roman" w:hAnsi="Palatino Linotype" w:cs="Arial"/>
          <w:b/>
          <w:i/>
          <w:lang w:eastAsia="es-MX"/>
        </w:rPr>
        <w:t xml:space="preserve">RRA 3995/16. </w:t>
      </w:r>
      <w:r w:rsidRPr="008D58A8">
        <w:rPr>
          <w:rFonts w:ascii="Palatino Linotype" w:eastAsia="Times New Roman" w:hAnsi="Palatino Linotype" w:cs="Arial"/>
          <w:i/>
          <w:lang w:eastAsia="es-MX"/>
        </w:rPr>
        <w:t>Secretaría de la Defensa Nacional. 1 de febrero de 2017. Por unanimidad. Comisionado Ponente Rosendoevgueni Monterrey Chepov.</w:t>
      </w:r>
    </w:p>
    <w:p w14:paraId="7E608C27" w14:textId="77777777" w:rsidR="00660D95" w:rsidRPr="008D58A8" w:rsidRDefault="00660D95" w:rsidP="00660D95">
      <w:pPr>
        <w:autoSpaceDE w:val="0"/>
        <w:autoSpaceDN w:val="0"/>
        <w:adjustRightInd w:val="0"/>
        <w:spacing w:before="240" w:line="360" w:lineRule="auto"/>
        <w:ind w:left="851" w:right="851"/>
        <w:jc w:val="both"/>
        <w:rPr>
          <w:rFonts w:ascii="Palatino Linotype" w:eastAsia="Times New Roman" w:hAnsi="Palatino Linotype" w:cs="Arial"/>
          <w:b/>
          <w:i/>
          <w:lang w:eastAsia="es-MX"/>
        </w:rPr>
      </w:pPr>
      <w:r w:rsidRPr="008D58A8">
        <w:rPr>
          <w:rFonts w:ascii="Palatino Linotype" w:eastAsia="Times New Roman" w:hAnsi="Palatino Linotype" w:cs="Arial"/>
          <w:b/>
          <w:i/>
          <w:lang w:eastAsia="es-MX"/>
        </w:rPr>
        <w:t xml:space="preserve">RRA </w:t>
      </w:r>
      <w:r w:rsidRPr="008D58A8">
        <w:rPr>
          <w:rFonts w:ascii="Palatino Linotype" w:eastAsia="Times New Roman" w:hAnsi="Palatino Linotype" w:cs="Arial"/>
          <w:b/>
          <w:bCs/>
          <w:i/>
          <w:lang w:eastAsia="es-MX"/>
        </w:rPr>
        <w:t xml:space="preserve">0937/17. </w:t>
      </w:r>
      <w:r w:rsidRPr="008D58A8">
        <w:rPr>
          <w:rFonts w:ascii="Palatino Linotype" w:eastAsia="Times New Roman" w:hAnsi="Palatino Linotype" w:cs="Arial"/>
          <w:bCs/>
          <w:i/>
          <w:lang w:eastAsia="es-MX"/>
        </w:rPr>
        <w:t xml:space="preserve">Senado de la República. </w:t>
      </w:r>
      <w:r w:rsidRPr="008D58A8">
        <w:rPr>
          <w:rFonts w:ascii="Palatino Linotype" w:eastAsia="Times New Roman" w:hAnsi="Palatino Linotype" w:cs="Arial"/>
          <w:bCs/>
          <w:i/>
          <w:lang w:val="es-ES_tradnl" w:eastAsia="es-MX"/>
        </w:rPr>
        <w:t xml:space="preserve">15 de marzo de 2017. Por unanimidad. Comisionada Ponente Ximena Puente de la Mora. </w:t>
      </w:r>
    </w:p>
    <w:p w14:paraId="58EDA23D" w14:textId="77777777" w:rsidR="00660D95" w:rsidRPr="008D58A8" w:rsidRDefault="00660D95" w:rsidP="00660D95">
      <w:pPr>
        <w:autoSpaceDE w:val="0"/>
        <w:autoSpaceDN w:val="0"/>
        <w:adjustRightInd w:val="0"/>
        <w:spacing w:before="240" w:line="360" w:lineRule="auto"/>
        <w:ind w:left="851" w:right="851"/>
        <w:jc w:val="both"/>
        <w:rPr>
          <w:rFonts w:ascii="Palatino Linotype" w:eastAsia="Times New Roman" w:hAnsi="Palatino Linotype" w:cs="Arial"/>
          <w:b/>
          <w:i/>
          <w:lang w:eastAsia="es-MX"/>
        </w:rPr>
      </w:pPr>
      <w:r w:rsidRPr="008D58A8">
        <w:rPr>
          <w:rFonts w:ascii="Palatino Linotype" w:eastAsia="Times New Roman" w:hAnsi="Palatino Linotype" w:cs="Arial"/>
          <w:b/>
          <w:i/>
          <w:lang w:eastAsia="es-MX"/>
        </w:rPr>
        <w:t xml:space="preserve">RRA 0478/17. </w:t>
      </w:r>
      <w:r w:rsidRPr="008D58A8">
        <w:rPr>
          <w:rFonts w:ascii="Palatino Linotype" w:eastAsia="Times New Roman" w:hAnsi="Palatino Linotype" w:cs="Arial"/>
          <w:i/>
          <w:lang w:eastAsia="es-MX"/>
        </w:rPr>
        <w:t xml:space="preserve">Secretaría de Relaciones Exteriores. 26 de abril de 2017. Por unanimidad. Comisionada Ponente Areli Cano Guadiana.” </w:t>
      </w:r>
      <w:r w:rsidRPr="008D58A8">
        <w:rPr>
          <w:rFonts w:ascii="Palatino Linotype" w:eastAsia="Times New Roman" w:hAnsi="Palatino Linotype" w:cs="Arial"/>
          <w:b/>
          <w:i/>
          <w:lang w:eastAsia="es-MX"/>
        </w:rPr>
        <w:t>[Sic]</w:t>
      </w:r>
    </w:p>
    <w:p w14:paraId="55F514CB" w14:textId="77777777" w:rsidR="00660D95" w:rsidRPr="008D58A8" w:rsidRDefault="00660D95" w:rsidP="00660D95">
      <w:pPr>
        <w:spacing w:after="0" w:line="360" w:lineRule="auto"/>
        <w:ind w:right="51"/>
        <w:jc w:val="both"/>
        <w:rPr>
          <w:rFonts w:ascii="Palatino Linotype" w:hAnsi="Palatino Linotype" w:cs="Arial"/>
          <w:sz w:val="24"/>
          <w:szCs w:val="24"/>
        </w:rPr>
      </w:pPr>
      <w:r w:rsidRPr="008D58A8">
        <w:rPr>
          <w:rFonts w:ascii="Palatino Linotype" w:hAnsi="Palatino Linotype" w:cs="Arial"/>
          <w:sz w:val="24"/>
          <w:szCs w:val="24"/>
        </w:rPr>
        <w:lastRenderedPageBreak/>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8D58A8">
        <w:rPr>
          <w:rFonts w:ascii="Palatino Linotype" w:hAnsi="Palatino Linotype" w:cs="Arial"/>
          <w:b/>
          <w:sz w:val="24"/>
          <w:szCs w:val="24"/>
        </w:rPr>
        <w:t>LINEAMIENTOS GENERALES EN MATERIA DE CLASIFICACIÓN Y DESCLASIFICACIÓN DE LA INFORMACIÓN, ASÍ COMO PARA LA ELABORACIÓN DE VERSIONES PÚBLICAS,</w:t>
      </w:r>
      <w:r w:rsidRPr="008D58A8">
        <w:rPr>
          <w:rFonts w:ascii="Palatino Linotype" w:hAnsi="Palatino Linotype" w:cs="Arial"/>
          <w:sz w:val="24"/>
          <w:szCs w:val="24"/>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14:paraId="362B9247" w14:textId="00877F13" w:rsidR="00660D95" w:rsidRPr="008D58A8" w:rsidRDefault="00660D95" w:rsidP="00660D95">
      <w:pPr>
        <w:tabs>
          <w:tab w:val="left" w:pos="709"/>
        </w:tabs>
        <w:spacing w:before="240" w:line="360" w:lineRule="auto"/>
        <w:ind w:right="51"/>
        <w:jc w:val="both"/>
        <w:rPr>
          <w:rFonts w:ascii="Palatino Linotype" w:hAnsi="Palatino Linotype"/>
          <w:sz w:val="24"/>
          <w:szCs w:val="24"/>
        </w:rPr>
      </w:pPr>
      <w:r w:rsidRPr="008D58A8">
        <w:rPr>
          <w:rFonts w:ascii="Palatino Linotype" w:hAnsi="Palatino Linotype"/>
          <w:iCs/>
          <w:sz w:val="24"/>
          <w:szCs w:val="24"/>
        </w:rPr>
        <w:t xml:space="preserve">En mérito de lo expuesto </w:t>
      </w:r>
      <w:r w:rsidRPr="008D58A8">
        <w:rPr>
          <w:rFonts w:ascii="Palatino Linotype" w:hAnsi="Palatino Linotype"/>
          <w:sz w:val="24"/>
          <w:szCs w:val="24"/>
        </w:rPr>
        <w:t xml:space="preserve">en líneas anteriores, resultan parcialmente fundados los motivos de inconformidad vertidos por </w:t>
      </w:r>
      <w:r w:rsidRPr="008D58A8">
        <w:rPr>
          <w:rFonts w:ascii="Palatino Linotype" w:hAnsi="Palatino Linotype"/>
          <w:b/>
          <w:sz w:val="24"/>
          <w:szCs w:val="24"/>
        </w:rPr>
        <w:t xml:space="preserve">La Recurrente, </w:t>
      </w:r>
      <w:r w:rsidRPr="008D58A8">
        <w:rPr>
          <w:rFonts w:ascii="Palatino Linotype" w:hAnsi="Palatino Linotype"/>
          <w:sz w:val="24"/>
          <w:szCs w:val="24"/>
        </w:rPr>
        <w:t xml:space="preserve">por ello con fundamento en el artículo 186 fracción III de la Ley de Transparencia y Acceso a la Información Pública del Estado de México y Municipios, se </w:t>
      </w:r>
      <w:r w:rsidRPr="008D58A8">
        <w:rPr>
          <w:rFonts w:ascii="Palatino Linotype" w:hAnsi="Palatino Linotype"/>
          <w:b/>
          <w:sz w:val="24"/>
          <w:szCs w:val="24"/>
        </w:rPr>
        <w:t xml:space="preserve">MODIFICA </w:t>
      </w:r>
      <w:r w:rsidRPr="008D58A8">
        <w:rPr>
          <w:rFonts w:ascii="Palatino Linotype" w:hAnsi="Palatino Linotype"/>
          <w:sz w:val="24"/>
          <w:szCs w:val="24"/>
        </w:rPr>
        <w:t xml:space="preserve">la respuesta a la solicitud de información </w:t>
      </w:r>
      <w:r w:rsidRPr="008D58A8">
        <w:rPr>
          <w:rFonts w:ascii="Palatino Linotype" w:hAnsi="Palatino Linotype"/>
          <w:b/>
          <w:bCs/>
          <w:sz w:val="24"/>
          <w:szCs w:val="24"/>
        </w:rPr>
        <w:t xml:space="preserve">00057/CECyTEM/IP/2023, </w:t>
      </w:r>
      <w:r w:rsidRPr="008D58A8">
        <w:rPr>
          <w:rFonts w:ascii="Palatino Linotype" w:hAnsi="Palatino Linotype"/>
          <w:sz w:val="24"/>
          <w:szCs w:val="24"/>
        </w:rPr>
        <w:t xml:space="preserve">que ha sido materia del presente fallo. </w:t>
      </w:r>
    </w:p>
    <w:p w14:paraId="6A03C5FB" w14:textId="26972BB5" w:rsidR="00BF0D34" w:rsidRPr="008D58A8" w:rsidRDefault="00BF0D34" w:rsidP="00BF0D34">
      <w:pPr>
        <w:pStyle w:val="Prrafodelista"/>
        <w:spacing w:before="240" w:after="240" w:line="360" w:lineRule="auto"/>
        <w:ind w:left="0"/>
        <w:jc w:val="both"/>
        <w:rPr>
          <w:rFonts w:ascii="Palatino Linotype" w:hAnsi="Palatino Linotype"/>
        </w:rPr>
      </w:pPr>
      <w:r w:rsidRPr="008D58A8">
        <w:rPr>
          <w:rFonts w:ascii="Palatino Linotype" w:hAnsi="Palatino Linotype"/>
        </w:rPr>
        <w:t xml:space="preserve">Por lo antes expuesto y fundado es de resolverse y, </w:t>
      </w:r>
    </w:p>
    <w:p w14:paraId="2F55B960" w14:textId="77777777" w:rsidR="00283BF1" w:rsidRPr="008D58A8" w:rsidRDefault="00283BF1" w:rsidP="00BF0D34">
      <w:pPr>
        <w:spacing w:before="240" w:line="360" w:lineRule="auto"/>
        <w:jc w:val="center"/>
        <w:rPr>
          <w:rFonts w:ascii="Palatino Linotype" w:eastAsia="Times New Roman" w:hAnsi="Palatino Linotype"/>
          <w:b/>
          <w:bCs/>
          <w:spacing w:val="60"/>
          <w:sz w:val="24"/>
          <w:szCs w:val="24"/>
          <w:lang w:val="es-ES_tradnl"/>
        </w:rPr>
      </w:pPr>
    </w:p>
    <w:p w14:paraId="7CE083EA" w14:textId="63683212" w:rsidR="00BF0D34" w:rsidRPr="008D58A8" w:rsidRDefault="00BF0D34" w:rsidP="00BF0D34">
      <w:pPr>
        <w:spacing w:before="240" w:line="360" w:lineRule="auto"/>
        <w:jc w:val="center"/>
        <w:rPr>
          <w:rFonts w:ascii="Palatino Linotype" w:eastAsia="Times New Roman" w:hAnsi="Palatino Linotype"/>
          <w:b/>
          <w:bCs/>
          <w:spacing w:val="60"/>
          <w:sz w:val="24"/>
          <w:szCs w:val="24"/>
          <w:lang w:val="es-ES_tradnl"/>
        </w:rPr>
      </w:pPr>
      <w:r w:rsidRPr="008D58A8">
        <w:rPr>
          <w:rFonts w:ascii="Palatino Linotype" w:eastAsia="Times New Roman" w:hAnsi="Palatino Linotype"/>
          <w:b/>
          <w:bCs/>
          <w:spacing w:val="60"/>
          <w:sz w:val="24"/>
          <w:szCs w:val="24"/>
          <w:lang w:val="es-ES_tradnl"/>
        </w:rPr>
        <w:t>SE    RESUELVE</w:t>
      </w:r>
    </w:p>
    <w:p w14:paraId="4C319FF8" w14:textId="4538F25E" w:rsidR="00BF0D34" w:rsidRPr="008D58A8" w:rsidRDefault="00BF0D34" w:rsidP="00BF0D34">
      <w:pPr>
        <w:spacing w:before="240" w:line="360" w:lineRule="auto"/>
        <w:jc w:val="both"/>
        <w:rPr>
          <w:rFonts w:ascii="Palatino Linotype" w:hAnsi="Palatino Linotype" w:cs="Arial"/>
          <w:sz w:val="24"/>
        </w:rPr>
      </w:pPr>
      <w:r w:rsidRPr="008D58A8">
        <w:rPr>
          <w:rFonts w:ascii="Palatino Linotype" w:hAnsi="Palatino Linotype" w:cs="Arial"/>
          <w:b/>
          <w:sz w:val="24"/>
          <w:szCs w:val="24"/>
          <w:lang w:val="es-ES_tradnl"/>
        </w:rPr>
        <w:t>PRIMERO.</w:t>
      </w:r>
      <w:r w:rsidRPr="008D58A8">
        <w:rPr>
          <w:rFonts w:ascii="Palatino Linotype" w:hAnsi="Palatino Linotype" w:cs="Arial"/>
          <w:sz w:val="24"/>
          <w:szCs w:val="24"/>
          <w:lang w:val="es-ES_tradnl"/>
        </w:rPr>
        <w:t xml:space="preserve"> </w:t>
      </w:r>
      <w:r w:rsidRPr="008D58A8">
        <w:rPr>
          <w:rFonts w:ascii="Palatino Linotype" w:hAnsi="Palatino Linotype" w:cs="Arial"/>
          <w:sz w:val="24"/>
          <w:szCs w:val="24"/>
        </w:rPr>
        <w:t xml:space="preserve">Se </w:t>
      </w:r>
      <w:r w:rsidRPr="008D58A8">
        <w:rPr>
          <w:rFonts w:ascii="Palatino Linotype" w:hAnsi="Palatino Linotype" w:cs="Arial"/>
          <w:b/>
          <w:sz w:val="24"/>
          <w:szCs w:val="24"/>
        </w:rPr>
        <w:t xml:space="preserve">MODIFICA </w:t>
      </w:r>
      <w:r w:rsidRPr="008D58A8">
        <w:rPr>
          <w:rFonts w:ascii="Palatino Linotype" w:hAnsi="Palatino Linotype" w:cs="Arial"/>
          <w:sz w:val="24"/>
          <w:szCs w:val="24"/>
        </w:rPr>
        <w:t xml:space="preserve">la respuesta entregada por </w:t>
      </w:r>
      <w:r w:rsidRPr="008D58A8">
        <w:rPr>
          <w:rFonts w:ascii="Palatino Linotype" w:hAnsi="Palatino Linotype" w:cs="Arial"/>
          <w:b/>
          <w:sz w:val="24"/>
          <w:szCs w:val="24"/>
        </w:rPr>
        <w:t xml:space="preserve">EL SUJETO OBLIGADO, </w:t>
      </w:r>
      <w:r w:rsidRPr="008D58A8">
        <w:rPr>
          <w:rFonts w:ascii="Palatino Linotype" w:hAnsi="Palatino Linotype" w:cs="Arial"/>
          <w:sz w:val="24"/>
          <w:szCs w:val="24"/>
        </w:rPr>
        <w:t xml:space="preserve">a la solicitud de información número </w:t>
      </w:r>
      <w:r w:rsidR="00660D95" w:rsidRPr="008D58A8">
        <w:rPr>
          <w:rFonts w:ascii="Palatino Linotype" w:hAnsi="Palatino Linotype"/>
          <w:b/>
          <w:bCs/>
          <w:sz w:val="24"/>
          <w:szCs w:val="24"/>
        </w:rPr>
        <w:t>00057/CECyTEM/IP/2023</w:t>
      </w:r>
      <w:r w:rsidRPr="008D58A8">
        <w:rPr>
          <w:rFonts w:ascii="Palatino Linotype" w:hAnsi="Palatino Linotype" w:cs="Arial"/>
          <w:b/>
          <w:sz w:val="24"/>
        </w:rPr>
        <w:t xml:space="preserve">, </w:t>
      </w:r>
      <w:r w:rsidRPr="008D58A8">
        <w:rPr>
          <w:rFonts w:ascii="Palatino Linotype" w:hAnsi="Palatino Linotype" w:cs="Arial"/>
          <w:sz w:val="24"/>
        </w:rPr>
        <w:t xml:space="preserve">por resultar parcialmente </w:t>
      </w:r>
      <w:r w:rsidRPr="008D58A8">
        <w:rPr>
          <w:rFonts w:ascii="Palatino Linotype" w:hAnsi="Palatino Linotype" w:cs="Arial"/>
          <w:sz w:val="24"/>
        </w:rPr>
        <w:lastRenderedPageBreak/>
        <w:t xml:space="preserve">fundados los motivos de inconformidad que arguye </w:t>
      </w:r>
      <w:r w:rsidRPr="008D58A8">
        <w:rPr>
          <w:rFonts w:ascii="Palatino Linotype" w:hAnsi="Palatino Linotype" w:cs="Arial"/>
          <w:b/>
          <w:sz w:val="24"/>
        </w:rPr>
        <w:t xml:space="preserve">EL RECURRENTE, </w:t>
      </w:r>
      <w:r w:rsidRPr="008D58A8">
        <w:rPr>
          <w:rFonts w:ascii="Palatino Linotype" w:hAnsi="Palatino Linotype" w:cs="Arial"/>
          <w:sz w:val="24"/>
        </w:rPr>
        <w:t xml:space="preserve">en términos del </w:t>
      </w:r>
      <w:r w:rsidRPr="008D58A8">
        <w:rPr>
          <w:rFonts w:ascii="Palatino Linotype" w:hAnsi="Palatino Linotype" w:cs="Arial"/>
          <w:b/>
          <w:sz w:val="24"/>
        </w:rPr>
        <w:t xml:space="preserve">Considerando CUARTO </w:t>
      </w:r>
      <w:r w:rsidRPr="008D58A8">
        <w:rPr>
          <w:rFonts w:ascii="Palatino Linotype" w:hAnsi="Palatino Linotype" w:cs="Arial"/>
          <w:sz w:val="24"/>
        </w:rPr>
        <w:t xml:space="preserve">de la presente resolución. </w:t>
      </w:r>
    </w:p>
    <w:p w14:paraId="26D2BF97" w14:textId="77777777" w:rsidR="00BF0D34" w:rsidRPr="008D58A8" w:rsidRDefault="00BF0D34" w:rsidP="00BF0D34">
      <w:pPr>
        <w:spacing w:before="240" w:line="360" w:lineRule="auto"/>
        <w:jc w:val="both"/>
        <w:rPr>
          <w:rFonts w:ascii="Palatino Linotype" w:hAnsi="Palatino Linotype" w:cs="Arial"/>
          <w:sz w:val="24"/>
        </w:rPr>
      </w:pPr>
    </w:p>
    <w:p w14:paraId="32BF09DB" w14:textId="55F48E46" w:rsidR="00A351D7" w:rsidRPr="008D58A8" w:rsidRDefault="00A351D7" w:rsidP="00A351D7">
      <w:pPr>
        <w:autoSpaceDE w:val="0"/>
        <w:autoSpaceDN w:val="0"/>
        <w:adjustRightInd w:val="0"/>
        <w:spacing w:before="240" w:line="360" w:lineRule="auto"/>
        <w:ind w:right="49"/>
        <w:jc w:val="both"/>
        <w:rPr>
          <w:rFonts w:ascii="Palatino Linotype" w:hAnsi="Palatino Linotype" w:cs="Arial"/>
          <w:sz w:val="24"/>
          <w:szCs w:val="24"/>
        </w:rPr>
      </w:pPr>
      <w:r w:rsidRPr="008D58A8">
        <w:rPr>
          <w:rFonts w:ascii="Palatino Linotype" w:hAnsi="Palatino Linotype" w:cs="Arial"/>
          <w:b/>
          <w:sz w:val="24"/>
          <w:szCs w:val="24"/>
          <w:lang w:val="es-ES_tradnl"/>
        </w:rPr>
        <w:t>SEGUNDO.</w:t>
      </w:r>
      <w:r w:rsidRPr="008D58A8">
        <w:rPr>
          <w:rFonts w:ascii="Palatino Linotype" w:hAnsi="Palatino Linotype" w:cs="Arial"/>
          <w:sz w:val="24"/>
          <w:szCs w:val="24"/>
        </w:rPr>
        <w:t xml:space="preserve"> Se </w:t>
      </w:r>
      <w:r w:rsidRPr="008D58A8">
        <w:rPr>
          <w:rFonts w:ascii="Palatino Linotype" w:hAnsi="Palatino Linotype" w:cs="Arial"/>
          <w:b/>
          <w:sz w:val="24"/>
          <w:szCs w:val="24"/>
        </w:rPr>
        <w:t>ORDENA</w:t>
      </w:r>
      <w:r w:rsidRPr="008D58A8">
        <w:rPr>
          <w:rFonts w:ascii="Palatino Linotype" w:hAnsi="Palatino Linotype" w:cs="Arial"/>
          <w:sz w:val="24"/>
          <w:szCs w:val="24"/>
        </w:rPr>
        <w:t xml:space="preserve"> al </w:t>
      </w:r>
      <w:r w:rsidRPr="008D58A8">
        <w:rPr>
          <w:rFonts w:ascii="Palatino Linotype" w:hAnsi="Palatino Linotype" w:cs="Arial"/>
          <w:b/>
          <w:sz w:val="24"/>
          <w:szCs w:val="24"/>
        </w:rPr>
        <w:t>SUJETO OBLIGADO</w:t>
      </w:r>
      <w:r w:rsidRPr="008D58A8">
        <w:rPr>
          <w:rFonts w:ascii="Palatino Linotype" w:hAnsi="Palatino Linotype" w:cs="Arial"/>
          <w:sz w:val="24"/>
          <w:szCs w:val="24"/>
        </w:rPr>
        <w:t xml:space="preserve"> haga entrega </w:t>
      </w:r>
      <w:r w:rsidR="00DD6A37" w:rsidRPr="008D58A8">
        <w:rPr>
          <w:rFonts w:ascii="Palatino Linotype" w:hAnsi="Palatino Linotype" w:cs="Arial"/>
          <w:sz w:val="24"/>
          <w:szCs w:val="24"/>
        </w:rPr>
        <w:t>al</w:t>
      </w:r>
      <w:r w:rsidRPr="008D58A8">
        <w:rPr>
          <w:rFonts w:ascii="Palatino Linotype" w:hAnsi="Palatino Linotype" w:cs="Arial"/>
          <w:b/>
          <w:sz w:val="24"/>
          <w:szCs w:val="24"/>
        </w:rPr>
        <w:t xml:space="preserve"> RECURRENTE </w:t>
      </w:r>
      <w:r w:rsidRPr="008D58A8">
        <w:rPr>
          <w:rFonts w:ascii="Palatino Linotype" w:hAnsi="Palatino Linotype" w:cs="Arial"/>
          <w:sz w:val="24"/>
          <w:szCs w:val="24"/>
        </w:rPr>
        <w:t xml:space="preserve">en términos del Considerando </w:t>
      </w:r>
      <w:r w:rsidRPr="008D58A8">
        <w:rPr>
          <w:rFonts w:ascii="Palatino Linotype" w:hAnsi="Palatino Linotype" w:cs="Arial"/>
          <w:b/>
          <w:sz w:val="24"/>
          <w:szCs w:val="24"/>
        </w:rPr>
        <w:t xml:space="preserve">CUARTO </w:t>
      </w:r>
      <w:r w:rsidRPr="008D58A8">
        <w:rPr>
          <w:rFonts w:ascii="Palatino Linotype" w:hAnsi="Palatino Linotype" w:cs="Arial"/>
          <w:sz w:val="24"/>
          <w:szCs w:val="24"/>
        </w:rPr>
        <w:t>de esta resolución</w:t>
      </w:r>
      <w:r w:rsidRPr="008D58A8">
        <w:rPr>
          <w:rFonts w:ascii="Palatino Linotype" w:hAnsi="Palatino Linotype" w:cs="Arial"/>
          <w:b/>
          <w:sz w:val="24"/>
          <w:szCs w:val="24"/>
        </w:rPr>
        <w:t xml:space="preserve">, </w:t>
      </w:r>
      <w:r w:rsidRPr="008D58A8">
        <w:rPr>
          <w:rFonts w:ascii="Palatino Linotype" w:hAnsi="Palatino Linotype" w:cs="Arial"/>
          <w:sz w:val="24"/>
          <w:szCs w:val="24"/>
        </w:rPr>
        <w:t xml:space="preserve">a través del Sistema de Acceso a la Información Mexiquense </w:t>
      </w:r>
      <w:r w:rsidRPr="008D58A8">
        <w:rPr>
          <w:rFonts w:ascii="Palatino Linotype" w:hAnsi="Palatino Linotype" w:cs="Arial"/>
          <w:b/>
          <w:sz w:val="24"/>
          <w:szCs w:val="24"/>
        </w:rPr>
        <w:t xml:space="preserve">(SAIMEX), </w:t>
      </w:r>
      <w:r w:rsidRPr="008D58A8">
        <w:rPr>
          <w:rFonts w:ascii="Palatino Linotype" w:hAnsi="Palatino Linotype" w:cs="Arial"/>
          <w:sz w:val="24"/>
          <w:szCs w:val="24"/>
        </w:rPr>
        <w:t xml:space="preserve">de lo siguiente: </w:t>
      </w:r>
    </w:p>
    <w:p w14:paraId="1EE651C7" w14:textId="77777777" w:rsidR="00491085" w:rsidRPr="008D58A8" w:rsidRDefault="00491085" w:rsidP="006552A9">
      <w:pPr>
        <w:pStyle w:val="Prrafodelista"/>
        <w:numPr>
          <w:ilvl w:val="0"/>
          <w:numId w:val="1"/>
        </w:numPr>
        <w:autoSpaceDE w:val="0"/>
        <w:autoSpaceDN w:val="0"/>
        <w:adjustRightInd w:val="0"/>
        <w:spacing w:line="360" w:lineRule="auto"/>
        <w:jc w:val="both"/>
        <w:rPr>
          <w:rFonts w:ascii="Palatino Linotype" w:hAnsi="Palatino Linotype" w:cs="Arial"/>
          <w:i/>
          <w:iCs/>
        </w:rPr>
      </w:pPr>
      <w:r w:rsidRPr="008D58A8">
        <w:rPr>
          <w:rFonts w:ascii="Palatino Linotype" w:hAnsi="Palatino Linotype" w:cs="Arial"/>
          <w:i/>
          <w:iCs/>
        </w:rPr>
        <w:t xml:space="preserve">Escritos de quejas presentados ante oficinas centrales, por parte de personal adscrito a todos los planteles en contra de directores, del periodo comprendido del uno de enero al treinta y uno de agosto de dos mil veintitrés. </w:t>
      </w:r>
    </w:p>
    <w:p w14:paraId="6277712B" w14:textId="77777777" w:rsidR="00660D95" w:rsidRPr="008D58A8" w:rsidRDefault="00660D95" w:rsidP="00660D95">
      <w:pPr>
        <w:pStyle w:val="Prrafodelista"/>
        <w:spacing w:before="240" w:line="360" w:lineRule="auto"/>
        <w:ind w:left="782"/>
        <w:jc w:val="both"/>
        <w:rPr>
          <w:rFonts w:ascii="Palatino Linotype" w:hAnsi="Palatino Linotype" w:cs="Arial"/>
          <w:i/>
        </w:rPr>
      </w:pPr>
      <w:r w:rsidRPr="008D58A8">
        <w:rPr>
          <w:rFonts w:ascii="Palatino Linotype" w:hAnsi="Palatino Linotype" w:cs="Arial"/>
          <w:i/>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recurrente.</w:t>
      </w:r>
    </w:p>
    <w:p w14:paraId="65D7EA69" w14:textId="2CBD3F30" w:rsidR="00660D95" w:rsidRPr="008D58A8" w:rsidRDefault="00660D95" w:rsidP="00660D95">
      <w:pPr>
        <w:pStyle w:val="Prrafodelista"/>
        <w:spacing w:before="240" w:line="360" w:lineRule="auto"/>
        <w:ind w:left="720"/>
        <w:jc w:val="both"/>
        <w:rPr>
          <w:rFonts w:ascii="Palatino Linotype" w:hAnsi="Palatino Linotype" w:cs="Arial"/>
          <w:i/>
        </w:rPr>
      </w:pPr>
      <w:r w:rsidRPr="008D58A8">
        <w:rPr>
          <w:rFonts w:ascii="Palatino Linotype" w:hAnsi="Palatino Linotype" w:cs="Arial"/>
          <w:i/>
        </w:rPr>
        <w:t>En referencia al numeral 1 de no haber quedado firme, resulta procedente la entrega del acuerdo de clasificación como información reservada</w:t>
      </w:r>
      <w:r w:rsidR="00E20A5F" w:rsidRPr="008D58A8">
        <w:rPr>
          <w:rFonts w:ascii="Palatino Linotype" w:hAnsi="Palatino Linotype" w:cs="Arial"/>
          <w:i/>
        </w:rPr>
        <w:t>.</w:t>
      </w:r>
      <w:r w:rsidR="00AA1142" w:rsidRPr="008D58A8">
        <w:rPr>
          <w:rFonts w:ascii="Palatino Linotype" w:hAnsi="Palatino Linotype" w:cs="Arial"/>
          <w:i/>
        </w:rPr>
        <w:t xml:space="preserve"> </w:t>
      </w:r>
      <w:r w:rsidR="00E20A5F" w:rsidRPr="008D58A8">
        <w:rPr>
          <w:rFonts w:ascii="Palatino Linotype" w:hAnsi="Palatino Linotype" w:cs="Arial"/>
          <w:i/>
        </w:rPr>
        <w:t>No podrá invocarse el carácter de reservado cuando se actualicen los</w:t>
      </w:r>
      <w:r w:rsidR="00AA1142" w:rsidRPr="008D58A8">
        <w:rPr>
          <w:rFonts w:ascii="Palatino Linotype" w:hAnsi="Palatino Linotype" w:cs="Arial"/>
          <w:i/>
        </w:rPr>
        <w:t xml:space="preserve"> supuestos </w:t>
      </w:r>
      <w:r w:rsidR="00E20A5F" w:rsidRPr="008D58A8">
        <w:rPr>
          <w:rFonts w:ascii="Palatino Linotype" w:hAnsi="Palatino Linotype" w:cs="Arial"/>
          <w:i/>
        </w:rPr>
        <w:t>d</w:t>
      </w:r>
      <w:r w:rsidR="00872F83" w:rsidRPr="008D58A8">
        <w:rPr>
          <w:rFonts w:ascii="Palatino Linotype" w:hAnsi="Palatino Linotype" w:cs="Arial"/>
          <w:i/>
        </w:rPr>
        <w:t xml:space="preserve">el artículo 142 de la Ley en la materia. </w:t>
      </w:r>
    </w:p>
    <w:p w14:paraId="78DD88D9" w14:textId="77777777" w:rsidR="00660D95" w:rsidRPr="008D58A8" w:rsidRDefault="00660D95" w:rsidP="00660D95">
      <w:pPr>
        <w:pStyle w:val="Prrafodelista"/>
        <w:spacing w:before="240" w:line="360" w:lineRule="auto"/>
        <w:ind w:left="782"/>
        <w:jc w:val="both"/>
        <w:rPr>
          <w:rFonts w:ascii="Palatino Linotype" w:hAnsi="Palatino Linotype" w:cs="Arial"/>
          <w:i/>
        </w:rPr>
      </w:pPr>
    </w:p>
    <w:p w14:paraId="76D8E4A8" w14:textId="77777777" w:rsidR="00F0756F" w:rsidRPr="008D58A8" w:rsidRDefault="00F0756F" w:rsidP="00F0756F">
      <w:pPr>
        <w:spacing w:after="0" w:line="360" w:lineRule="auto"/>
        <w:jc w:val="both"/>
        <w:rPr>
          <w:rFonts w:ascii="Palatino Linotype" w:eastAsia="Times New Roman" w:hAnsi="Palatino Linotype" w:cs="Tahoma"/>
          <w:sz w:val="24"/>
          <w:szCs w:val="24"/>
          <w:lang w:eastAsia="es-ES"/>
        </w:rPr>
      </w:pPr>
      <w:r w:rsidRPr="008D58A8">
        <w:rPr>
          <w:rFonts w:ascii="Palatino Linotype" w:eastAsia="Times New Roman" w:hAnsi="Palatino Linotype" w:cs="Arial"/>
          <w:b/>
          <w:sz w:val="28"/>
          <w:szCs w:val="24"/>
          <w:lang w:eastAsia="es-ES"/>
        </w:rPr>
        <w:t>TERCERO</w:t>
      </w:r>
      <w:r w:rsidRPr="008D58A8">
        <w:rPr>
          <w:rFonts w:ascii="Palatino Linotype" w:eastAsia="Times New Roman" w:hAnsi="Palatino Linotype" w:cs="Arial"/>
          <w:b/>
          <w:sz w:val="24"/>
          <w:szCs w:val="24"/>
          <w:lang w:eastAsia="es-ES"/>
        </w:rPr>
        <w:t>.</w:t>
      </w:r>
      <w:r w:rsidRPr="008D58A8">
        <w:rPr>
          <w:rFonts w:ascii="Palatino Linotype" w:eastAsia="Times New Roman" w:hAnsi="Palatino Linotype" w:cs="Arial"/>
          <w:sz w:val="24"/>
          <w:szCs w:val="24"/>
          <w:lang w:eastAsia="es-ES"/>
        </w:rPr>
        <w:t xml:space="preserve"> </w:t>
      </w:r>
      <w:r w:rsidRPr="008D58A8">
        <w:rPr>
          <w:rFonts w:ascii="Palatino Linotype" w:hAnsi="Palatino Linotype" w:cstheme="minorHAnsi"/>
          <w:b/>
          <w:sz w:val="24"/>
          <w:szCs w:val="24"/>
        </w:rPr>
        <w:t>NOTIFÍQUESE</w:t>
      </w:r>
      <w:r w:rsidRPr="008D58A8">
        <w:rPr>
          <w:rFonts w:ascii="Palatino Linotype" w:hAnsi="Palatino Linotype" w:cstheme="minorHAnsi"/>
          <w:i/>
          <w:sz w:val="24"/>
          <w:szCs w:val="24"/>
        </w:rPr>
        <w:t xml:space="preserve"> </w:t>
      </w:r>
      <w:r w:rsidRPr="008D58A8">
        <w:rPr>
          <w:rFonts w:ascii="Palatino Linotype" w:hAnsi="Palatino Linotype" w:cstheme="minorHAnsi"/>
          <w:sz w:val="24"/>
          <w:szCs w:val="24"/>
        </w:rPr>
        <w:t xml:space="preserve">la presente resolución al Titular de la Unidad de Transparencia del Sujeto Obligado, para que conforme al artículo 186 último párrafo, </w:t>
      </w:r>
      <w:r w:rsidRPr="008D58A8">
        <w:rPr>
          <w:rFonts w:ascii="Palatino Linotype" w:hAnsi="Palatino Linotype" w:cstheme="minorHAnsi"/>
          <w:sz w:val="24"/>
          <w:szCs w:val="24"/>
        </w:rPr>
        <w:lastRenderedPageBreak/>
        <w:t>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9C8F850" w14:textId="77777777" w:rsidR="00F0756F" w:rsidRPr="008D58A8" w:rsidRDefault="00F0756F" w:rsidP="00F0756F">
      <w:pPr>
        <w:autoSpaceDE w:val="0"/>
        <w:autoSpaceDN w:val="0"/>
        <w:adjustRightInd w:val="0"/>
        <w:spacing w:before="240" w:line="360" w:lineRule="auto"/>
        <w:jc w:val="both"/>
        <w:rPr>
          <w:rFonts w:ascii="Palatino Linotype" w:hAnsi="Palatino Linotype" w:cs="Arial"/>
          <w:sz w:val="24"/>
          <w:szCs w:val="24"/>
        </w:rPr>
      </w:pPr>
    </w:p>
    <w:p w14:paraId="2DEB1BDC" w14:textId="77777777" w:rsidR="00F0756F" w:rsidRPr="008D58A8" w:rsidRDefault="00F0756F" w:rsidP="00F0756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8D58A8">
        <w:rPr>
          <w:rFonts w:ascii="Palatino Linotype" w:eastAsia="Times New Roman" w:hAnsi="Palatino Linotype" w:cs="Arial"/>
          <w:b/>
          <w:sz w:val="26"/>
          <w:szCs w:val="26"/>
          <w:lang w:eastAsia="es-ES"/>
        </w:rPr>
        <w:t>CUARTO.</w:t>
      </w:r>
      <w:r w:rsidRPr="008D58A8">
        <w:rPr>
          <w:rFonts w:ascii="Palatino Linotype" w:eastAsia="Times New Roman" w:hAnsi="Palatino Linotype" w:cs="Arial"/>
          <w:b/>
          <w:sz w:val="24"/>
          <w:szCs w:val="24"/>
          <w:lang w:eastAsia="es-ES"/>
        </w:rPr>
        <w:t xml:space="preserve"> </w:t>
      </w:r>
      <w:r w:rsidRPr="008D58A8">
        <w:rPr>
          <w:rFonts w:ascii="Palatino Linotype" w:eastAsia="Times New Roman" w:hAnsi="Palatino Linotype" w:cs="Arial"/>
          <w:sz w:val="24"/>
          <w:szCs w:val="24"/>
          <w:lang w:val="es-ES" w:eastAsia="es-E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F989812" w14:textId="77777777" w:rsidR="00F0756F" w:rsidRPr="008D58A8" w:rsidRDefault="00F0756F" w:rsidP="00F0756F">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0C0EB984" w14:textId="77777777" w:rsidR="00F0756F" w:rsidRPr="008D58A8" w:rsidRDefault="00F0756F" w:rsidP="00F0756F">
      <w:pPr>
        <w:spacing w:after="0" w:line="360" w:lineRule="auto"/>
        <w:jc w:val="both"/>
        <w:rPr>
          <w:rFonts w:ascii="Palatino Linotype" w:eastAsia="Times New Roman" w:hAnsi="Palatino Linotype" w:cs="Arial"/>
          <w:b/>
          <w:sz w:val="18"/>
          <w:szCs w:val="24"/>
          <w:lang w:eastAsia="es-ES"/>
        </w:rPr>
      </w:pPr>
    </w:p>
    <w:p w14:paraId="2BEFC1AA" w14:textId="1B1A5A2F" w:rsidR="00F0756F" w:rsidRPr="008D58A8" w:rsidRDefault="00F0756F" w:rsidP="00F0756F">
      <w:pPr>
        <w:spacing w:after="0" w:line="360" w:lineRule="auto"/>
        <w:jc w:val="both"/>
        <w:rPr>
          <w:rFonts w:ascii="Palatino Linotype" w:eastAsia="Times New Roman" w:hAnsi="Palatino Linotype" w:cs="Times New Roman"/>
          <w:color w:val="222222"/>
          <w:sz w:val="24"/>
          <w:szCs w:val="24"/>
          <w:shd w:val="clear" w:color="auto" w:fill="FFFFFF"/>
          <w:lang w:eastAsia="es-ES"/>
        </w:rPr>
      </w:pPr>
      <w:r w:rsidRPr="008D58A8">
        <w:rPr>
          <w:rFonts w:ascii="Palatino Linotype" w:eastAsia="Times New Roman" w:hAnsi="Palatino Linotype" w:cs="Arial"/>
          <w:b/>
          <w:sz w:val="24"/>
          <w:szCs w:val="24"/>
          <w:lang w:eastAsia="es-ES"/>
        </w:rPr>
        <w:t xml:space="preserve">QUINTO. </w:t>
      </w:r>
      <w:r w:rsidR="00660D95" w:rsidRPr="008D58A8">
        <w:rPr>
          <w:rFonts w:ascii="Palatino Linotype" w:eastAsia="Times New Roman" w:hAnsi="Palatino Linotype" w:cs="Arial"/>
          <w:b/>
          <w:sz w:val="24"/>
          <w:szCs w:val="24"/>
          <w:lang w:eastAsia="es-ES"/>
        </w:rPr>
        <w:t xml:space="preserve">NOTIFÍQUESE </w:t>
      </w:r>
      <w:r w:rsidR="00660D95" w:rsidRPr="008D58A8">
        <w:rPr>
          <w:rFonts w:ascii="Palatino Linotype" w:eastAsia="Times New Roman" w:hAnsi="Palatino Linotype" w:cs="Arial"/>
          <w:sz w:val="24"/>
          <w:szCs w:val="24"/>
          <w:lang w:eastAsia="es-ES"/>
        </w:rPr>
        <w:t xml:space="preserve">la presente resolución al </w:t>
      </w:r>
      <w:r w:rsidR="00660D95" w:rsidRPr="008D58A8">
        <w:rPr>
          <w:rFonts w:ascii="Palatino Linotype" w:eastAsia="Times New Roman" w:hAnsi="Palatino Linotype" w:cs="Arial"/>
          <w:b/>
          <w:sz w:val="24"/>
          <w:szCs w:val="24"/>
          <w:lang w:eastAsia="es-ES"/>
        </w:rPr>
        <w:t xml:space="preserve">RECURRENTE vía </w:t>
      </w:r>
      <w:r w:rsidR="00660D95" w:rsidRPr="008D58A8">
        <w:rPr>
          <w:rFonts w:ascii="Palatino Linotype" w:hAnsi="Palatino Linotype" w:cs="Arial"/>
          <w:sz w:val="24"/>
          <w:szCs w:val="24"/>
        </w:rPr>
        <w:t xml:space="preserve">Sistema de Acceso a la Información Mexiquense </w:t>
      </w:r>
      <w:r w:rsidR="00660D95" w:rsidRPr="008D58A8">
        <w:rPr>
          <w:rFonts w:ascii="Palatino Linotype" w:hAnsi="Palatino Linotype" w:cs="Arial"/>
          <w:b/>
          <w:sz w:val="24"/>
          <w:szCs w:val="24"/>
        </w:rPr>
        <w:t xml:space="preserve">(SAIMEX) </w:t>
      </w:r>
      <w:r w:rsidR="00660D95" w:rsidRPr="008D58A8">
        <w:rPr>
          <w:rFonts w:ascii="Palatino Linotype" w:eastAsia="Times New Roman" w:hAnsi="Palatino Linotype" w:cs="Arial"/>
          <w:sz w:val="24"/>
          <w:szCs w:val="24"/>
          <w:lang w:eastAsia="es-ES"/>
        </w:rPr>
        <w:t xml:space="preserve">y hágase de su conocimiento que, </w:t>
      </w:r>
      <w:r w:rsidR="00660D95" w:rsidRPr="008D58A8">
        <w:rPr>
          <w:rFonts w:ascii="Palatino Linotype" w:eastAsia="Times New Roman" w:hAnsi="Palatino Linotype" w:cs="Times New Roman"/>
          <w:color w:val="222222"/>
          <w:sz w:val="24"/>
          <w:szCs w:val="24"/>
          <w:shd w:val="clear" w:color="auto" w:fill="FFFFFF"/>
          <w:lang w:eastAsia="es-ES"/>
        </w:rPr>
        <w:t xml:space="preserve">de conformidad con lo </w:t>
      </w:r>
      <w:r w:rsidR="00660D95" w:rsidRPr="008D58A8">
        <w:rPr>
          <w:rFonts w:ascii="Palatino Linotype" w:eastAsia="Times New Roman" w:hAnsi="Palatino Linotype" w:cs="Times New Roman"/>
          <w:color w:val="222222"/>
          <w:sz w:val="24"/>
          <w:szCs w:val="24"/>
          <w:lang w:eastAsia="es-ES"/>
        </w:rPr>
        <w:t xml:space="preserve">establecido en el artículo 196, de la Ley de Transparencia y Acceso a la Información Pública del Estado de México y Municipios, podrá promover el Juicio de Amparo en los términos de las </w:t>
      </w:r>
      <w:r w:rsidR="00660D95" w:rsidRPr="008D58A8">
        <w:rPr>
          <w:rFonts w:ascii="Palatino Linotype" w:eastAsia="Times New Roman" w:hAnsi="Palatino Linotype" w:cs="Times New Roman"/>
          <w:color w:val="222222"/>
          <w:sz w:val="24"/>
          <w:szCs w:val="24"/>
          <w:shd w:val="clear" w:color="auto" w:fill="FFFFFF"/>
          <w:lang w:eastAsia="es-ES"/>
        </w:rPr>
        <w:t>leyes aplicables.</w:t>
      </w:r>
    </w:p>
    <w:p w14:paraId="6AD3F262" w14:textId="77777777" w:rsidR="00BD001D" w:rsidRPr="008D58A8" w:rsidRDefault="00BD001D" w:rsidP="00F0756F">
      <w:pPr>
        <w:spacing w:before="240" w:line="360" w:lineRule="auto"/>
        <w:jc w:val="both"/>
        <w:rPr>
          <w:rFonts w:ascii="Palatino Linotype" w:hAnsi="Palatino Linotype" w:cs="Arial"/>
          <w:i/>
        </w:rPr>
      </w:pPr>
    </w:p>
    <w:p w14:paraId="7092900A" w14:textId="33C823A7" w:rsidR="00660D95" w:rsidRPr="008D58A8" w:rsidRDefault="00660D95" w:rsidP="00660D95">
      <w:pPr>
        <w:pStyle w:val="Prrafodelista"/>
        <w:autoSpaceDE w:val="0"/>
        <w:autoSpaceDN w:val="0"/>
        <w:adjustRightInd w:val="0"/>
        <w:spacing w:before="240" w:after="160" w:line="360" w:lineRule="auto"/>
        <w:ind w:left="0"/>
        <w:jc w:val="both"/>
        <w:rPr>
          <w:rFonts w:ascii="Palatino Linotype" w:hAnsi="Palatino Linotype" w:cs="Arial"/>
          <w:sz w:val="23"/>
          <w:szCs w:val="23"/>
        </w:rPr>
      </w:pPr>
      <w:r w:rsidRPr="008D58A8">
        <w:rPr>
          <w:rFonts w:ascii="Palatino Linotype" w:hAnsi="Palatino Linotype" w:cs="Arial"/>
        </w:rPr>
        <w:lastRenderedPageBreak/>
        <w:t>ASÍ LO ACORDÓ, POR UNANIMIDAD DE VOTOS, EL PLENO DEL</w:t>
      </w:r>
      <w:r w:rsidRPr="008D58A8">
        <w:rPr>
          <w:rFonts w:ascii="Palatino Linotype" w:eastAsia="Arial Unicode MS" w:hAnsi="Palatino Linotype" w:cs="Arial"/>
        </w:rPr>
        <w:t xml:space="preserve"> INSTITUTO DE TRANSPARENCIA, ACCESO A LA INFORMACIÓN PÚBLICA Y PROTECCIÓN DE DATOS PERSONALES DEL ESTADO DE MÉXICO Y MUNICIPIOS</w:t>
      </w:r>
      <w:r w:rsidRPr="008D58A8">
        <w:rPr>
          <w:rFonts w:ascii="Palatino Linotype" w:hAnsi="Palatino Linotype" w:cs="Arial"/>
        </w:rPr>
        <w:t>, CONFORMADO POR LOS COMISIONADOS JOSÉ MARTÍNEZ VILCHIS, MARÍA DEL ROSARIO MEJÍA AYALA</w:t>
      </w:r>
      <w:r w:rsidR="00684ED7" w:rsidRPr="008D58A8">
        <w:rPr>
          <w:rFonts w:ascii="Palatino Linotype" w:hAnsi="Palatino Linotype" w:cs="Arial"/>
        </w:rPr>
        <w:t xml:space="preserve"> (EMITIENDO VOTO PARTICULAR), </w:t>
      </w:r>
      <w:r w:rsidRPr="008D58A8">
        <w:rPr>
          <w:rFonts w:ascii="Palatino Linotype" w:hAnsi="Palatino Linotype" w:cs="Arial"/>
        </w:rPr>
        <w:t>SHARON CRISTINA MORALES MARTÍNEZ, LUIS GUSTAVO PARRA NORIEGA</w:t>
      </w:r>
      <w:r w:rsidR="00684ED7" w:rsidRPr="008D58A8">
        <w:rPr>
          <w:rFonts w:ascii="Palatino Linotype" w:hAnsi="Palatino Linotype" w:cs="Arial"/>
        </w:rPr>
        <w:t xml:space="preserve"> (EMITIENDO VOTO PARTICULAR)</w:t>
      </w:r>
      <w:r w:rsidRPr="008D58A8">
        <w:rPr>
          <w:rFonts w:ascii="Palatino Linotype" w:hAnsi="Palatino Linotype" w:cs="Arial"/>
        </w:rPr>
        <w:t xml:space="preserve"> Y GUADALUPE RAMÍREZ PEÑA; EN LA </w:t>
      </w:r>
      <w:r w:rsidR="00684ED7" w:rsidRPr="008D58A8">
        <w:rPr>
          <w:rFonts w:ascii="Palatino Linotype" w:hAnsi="Palatino Linotype" w:cs="Arial"/>
        </w:rPr>
        <w:t>QUINTA</w:t>
      </w:r>
      <w:r w:rsidRPr="008D58A8">
        <w:rPr>
          <w:rFonts w:ascii="Palatino Linotype" w:hAnsi="Palatino Linotype" w:cs="Arial"/>
        </w:rPr>
        <w:t xml:space="preserve"> SESIÓN ORDINARIA CELEBRADA EL </w:t>
      </w:r>
      <w:r w:rsidR="00684ED7" w:rsidRPr="008D58A8">
        <w:rPr>
          <w:rFonts w:ascii="Palatino Linotype" w:hAnsi="Palatino Linotype" w:cs="Arial"/>
        </w:rPr>
        <w:t>CATORCE DE FEBRERO</w:t>
      </w:r>
      <w:r w:rsidRPr="008D58A8">
        <w:rPr>
          <w:rFonts w:ascii="Palatino Linotype" w:hAnsi="Palatino Linotype" w:cs="Arial"/>
        </w:rPr>
        <w:t xml:space="preserve"> DE DOS MIL VEINTICUATRO, ANTE EL SECRETARIO </w:t>
      </w:r>
      <w:r w:rsidRPr="008D58A8">
        <w:rPr>
          <w:rFonts w:ascii="Palatino Linotype" w:hAnsi="Palatino Linotype" w:cs="Arial"/>
          <w:sz w:val="23"/>
          <w:szCs w:val="23"/>
        </w:rPr>
        <w:t xml:space="preserve">TÉCNICO DEL PLENO, ALEXIS TAPIA RAMÍREZ. </w:t>
      </w:r>
    </w:p>
    <w:p w14:paraId="41ACD4C8" w14:textId="77777777" w:rsidR="00660D95" w:rsidRPr="008D58A8" w:rsidRDefault="00660D95" w:rsidP="00660D95">
      <w:pPr>
        <w:pStyle w:val="Prrafodelista"/>
        <w:autoSpaceDE w:val="0"/>
        <w:autoSpaceDN w:val="0"/>
        <w:adjustRightInd w:val="0"/>
        <w:spacing w:before="240" w:after="160" w:line="360" w:lineRule="auto"/>
        <w:ind w:left="0"/>
        <w:jc w:val="both"/>
        <w:rPr>
          <w:rFonts w:ascii="Palatino Linotype" w:hAnsi="Palatino Linotype"/>
          <w:bCs/>
          <w:sz w:val="18"/>
          <w:szCs w:val="18"/>
        </w:rPr>
      </w:pPr>
      <w:r w:rsidRPr="008D58A8">
        <w:rPr>
          <w:rFonts w:ascii="Palatino Linotype" w:hAnsi="Palatino Linotype"/>
          <w:bCs/>
          <w:sz w:val="18"/>
          <w:szCs w:val="18"/>
        </w:rPr>
        <w:t>CCR/JCMA</w:t>
      </w:r>
    </w:p>
    <w:p w14:paraId="43CE29B7" w14:textId="376C7AEA" w:rsidR="00C56CD2" w:rsidRDefault="00C73B63"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r w:rsidRPr="008D58A8">
        <w:rPr>
          <w:rFonts w:ascii="Palatino Linotype" w:hAnsi="Palatino Linotype"/>
          <w:bCs/>
          <w:noProof/>
          <w:sz w:val="18"/>
          <w:szCs w:val="18"/>
          <w:lang w:val="es-MX" w:eastAsia="es-MX"/>
        </w:rPr>
        <mc:AlternateContent>
          <mc:Choice Requires="wps">
            <w:drawing>
              <wp:anchor distT="0" distB="0" distL="114300" distR="114300" simplePos="0" relativeHeight="251794422" behindDoc="0" locked="0" layoutInCell="1" allowOverlap="1" wp14:anchorId="6CAF5539" wp14:editId="32ECB7CC">
                <wp:simplePos x="0" y="0"/>
                <wp:positionH relativeFrom="margin">
                  <wp:align>left</wp:align>
                </wp:positionH>
                <wp:positionV relativeFrom="paragraph">
                  <wp:posOffset>53339</wp:posOffset>
                </wp:positionV>
                <wp:extent cx="5949462" cy="3645877"/>
                <wp:effectExtent l="0" t="0" r="32385" b="31115"/>
                <wp:wrapNone/>
                <wp:docPr id="1785966983" name="Straight Connector 5"/>
                <wp:cNvGraphicFramePr/>
                <a:graphic xmlns:a="http://schemas.openxmlformats.org/drawingml/2006/main">
                  <a:graphicData uri="http://schemas.microsoft.com/office/word/2010/wordprocessingShape">
                    <wps:wsp>
                      <wps:cNvCnPr/>
                      <wps:spPr>
                        <a:xfrm>
                          <a:off x="0" y="0"/>
                          <a:ext cx="5949462" cy="364587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line w14:anchorId="3FDABFB9" id="Straight Connector 5" o:spid="_x0000_s1026" style="position:absolute;z-index:25179442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2pt" to="468.45pt,2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" strokecolor="#5b9bd5 [3204]" strokeweight=".5pt">
                <v:stroke joinstyle="miter"/>
                <w10:wrap anchorx="margin"/>
              </v:line>
            </w:pict>
          </mc:Fallback>
        </mc:AlternateContent>
      </w:r>
      <w:bookmarkStart w:id="3" w:name="_GoBack"/>
      <w:bookmarkEnd w:id="3"/>
    </w:p>
    <w:p w14:paraId="7D94BFB0"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3AFFFE2D"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2B27618E"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56DDDC37"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36C38220"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633E8CE0"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6EEF5C42"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4BA21745"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1AC44BE7"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68822553"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73EEE5FA"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37292889"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73F03DF0"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2527B175"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7EAC49FA"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169396D0"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15DF8402"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0A025D97"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412A9CF2" w14:textId="77777777" w:rsidR="00C56CD2" w:rsidRPr="003721AF"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43A714A8" w14:textId="77777777" w:rsidR="006329AB" w:rsidRDefault="006329AB" w:rsidP="00787D06">
      <w:pPr>
        <w:spacing w:line="360" w:lineRule="auto"/>
        <w:contextualSpacing/>
        <w:jc w:val="both"/>
        <w:rPr>
          <w:rFonts w:ascii="Palatino Linotype" w:eastAsia="MS Mincho" w:hAnsi="Palatino Linotype"/>
        </w:rPr>
      </w:pPr>
    </w:p>
    <w:sectPr w:rsidR="006329AB" w:rsidSect="008C2B32">
      <w:headerReference w:type="default" r:id="rId11"/>
      <w:footerReference w:type="default" r:id="rId12"/>
      <w:headerReference w:type="first" r:id="rId13"/>
      <w:footerReference w:type="first" r:id="rId14"/>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D1168" w14:textId="77777777" w:rsidR="008C2B32" w:rsidRDefault="008C2B32" w:rsidP="006168E4">
      <w:pPr>
        <w:spacing w:after="0" w:line="240" w:lineRule="auto"/>
      </w:pPr>
      <w:r>
        <w:separator/>
      </w:r>
    </w:p>
  </w:endnote>
  <w:endnote w:type="continuationSeparator" w:id="0">
    <w:p w14:paraId="0627843F" w14:textId="77777777" w:rsidR="008C2B32" w:rsidRDefault="008C2B32"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2E2BC" w14:textId="77777777" w:rsidR="00D338F0" w:rsidRPr="000B69FA" w:rsidRDefault="00D338F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D58A8">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D58A8">
      <w:rPr>
        <w:rFonts w:ascii="Palatino Linotype" w:hAnsi="Palatino Linotype"/>
        <w:bCs/>
        <w:noProof/>
        <w:sz w:val="20"/>
      </w:rPr>
      <w:t>56</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5FBE9" w14:textId="77777777" w:rsidR="00D338F0" w:rsidRPr="000B69FA" w:rsidRDefault="00D338F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D58A8">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D58A8">
      <w:rPr>
        <w:rFonts w:ascii="Palatino Linotype" w:hAnsi="Palatino Linotype"/>
        <w:bCs/>
        <w:noProof/>
        <w:sz w:val="20"/>
      </w:rPr>
      <w:t>56</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8E5A8" w14:textId="77777777" w:rsidR="008C2B32" w:rsidRDefault="008C2B32" w:rsidP="006168E4">
      <w:pPr>
        <w:spacing w:after="0" w:line="240" w:lineRule="auto"/>
      </w:pPr>
      <w:r>
        <w:separator/>
      </w:r>
    </w:p>
  </w:footnote>
  <w:footnote w:type="continuationSeparator" w:id="0">
    <w:p w14:paraId="2DE507FB" w14:textId="77777777" w:rsidR="008C2B32" w:rsidRDefault="008C2B32" w:rsidP="006168E4">
      <w:pPr>
        <w:spacing w:after="0" w:line="240" w:lineRule="auto"/>
      </w:pPr>
      <w:r>
        <w:continuationSeparator/>
      </w:r>
    </w:p>
  </w:footnote>
  <w:footnote w:id="1">
    <w:p w14:paraId="1DE7BD10" w14:textId="77777777" w:rsidR="00E16E78" w:rsidRPr="005552A8" w:rsidRDefault="00E16E78" w:rsidP="00E16E78">
      <w:pPr>
        <w:jc w:val="both"/>
        <w:rPr>
          <w:rFonts w:ascii="Palatino Linotype" w:eastAsia="Times New Roman"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5E4CC5BC" w14:textId="77777777" w:rsidR="00E16E78" w:rsidRPr="005552A8" w:rsidRDefault="00E16E78" w:rsidP="00E16E78">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728F2D36" w14:textId="77777777" w:rsidR="00480D38" w:rsidRDefault="00480D38" w:rsidP="00480D38">
      <w:pPr>
        <w:pStyle w:val="Textonotapie"/>
        <w:jc w:val="both"/>
      </w:pPr>
      <w:r>
        <w:rPr>
          <w:rStyle w:val="Refdenotaalpie"/>
        </w:rPr>
        <w:footnoteRef/>
      </w:r>
      <w:r>
        <w:t xml:space="preserve"> </w:t>
      </w:r>
      <w:r w:rsidRPr="00BE033D">
        <w:rPr>
          <w:rFonts w:ascii="Palatino Linotype" w:hAnsi="Palatino Linotype"/>
          <w:sz w:val="16"/>
          <w:szCs w:val="16"/>
        </w:rPr>
        <w:t>Artículos 129 y 134, último párrafo de la Ley de Transparencia y Acceso a la Información Pública del Estado de México y Municipios, en relación con los diversos 104 y 108, último párrafo, de la Ley General de Transparencia y Acceso a la Información Pública.</w:t>
      </w:r>
    </w:p>
  </w:footnote>
  <w:footnote w:id="3">
    <w:p w14:paraId="79C65CBC" w14:textId="77777777" w:rsidR="00480D38" w:rsidRDefault="00480D38" w:rsidP="00480D38">
      <w:pPr>
        <w:pStyle w:val="Textonotapie"/>
        <w:jc w:val="both"/>
      </w:pPr>
      <w:r>
        <w:rPr>
          <w:rStyle w:val="Refdenotaalpie"/>
        </w:rPr>
        <w:footnoteRef/>
      </w:r>
      <w:r>
        <w:t xml:space="preserve"> </w:t>
      </w:r>
      <w:r w:rsidRPr="003F34E5">
        <w:rPr>
          <w:sz w:val="16"/>
          <w:szCs w:val="16"/>
        </w:rPr>
        <w:t>Sergio López Ayllón y Alejandro Posadas. “Las pruebas de Daño e Interés Público en materia de acceso a la información. Una perspectiva comparada” en Derecho comparada de la Información, enero-junio de 2007.</w:t>
      </w:r>
    </w:p>
  </w:footnote>
  <w:footnote w:id="4">
    <w:p w14:paraId="49E09CB2" w14:textId="77777777" w:rsidR="00480D38" w:rsidRPr="00D75A73" w:rsidRDefault="00480D38" w:rsidP="00480D38">
      <w:pPr>
        <w:jc w:val="both"/>
        <w:rPr>
          <w:rFonts w:ascii="Palatino Linotype" w:eastAsia="Times New Roman" w:hAnsi="Palatino Linotype" w:cs="Times New Roman"/>
          <w:color w:val="000000" w:themeColor="text1"/>
          <w:sz w:val="16"/>
          <w:szCs w:val="16"/>
          <w:lang w:val="es-ES_tradnl" w:eastAsia="es-ES_tradnl"/>
        </w:rPr>
      </w:pPr>
      <w:r w:rsidRPr="00D75A73">
        <w:rPr>
          <w:rStyle w:val="Refdenotaalpie"/>
          <w:rFonts w:ascii="Palatino Linotype" w:hAnsi="Palatino Linotype"/>
          <w:color w:val="000000" w:themeColor="text1"/>
          <w:sz w:val="16"/>
          <w:szCs w:val="16"/>
        </w:rPr>
        <w:footnoteRef/>
      </w:r>
      <w:r w:rsidRPr="00D75A73">
        <w:rPr>
          <w:rFonts w:ascii="Palatino Linotype" w:hAnsi="Palatino Linotype"/>
          <w:color w:val="000000" w:themeColor="text1"/>
          <w:sz w:val="16"/>
          <w:szCs w:val="16"/>
        </w:rPr>
        <w:t xml:space="preserve"> </w:t>
      </w:r>
      <w:r w:rsidRPr="00D75A73">
        <w:rPr>
          <w:rFonts w:ascii="Palatino Linotype" w:hAnsi="Palatino Linotype"/>
          <w:color w:val="000000" w:themeColor="text1"/>
          <w:sz w:val="16"/>
          <w:szCs w:val="16"/>
          <w:lang w:val="es-ES"/>
        </w:rPr>
        <w:t>“</w:t>
      </w:r>
      <w:r w:rsidRPr="00D75A73">
        <w:rPr>
          <w:rFonts w:ascii="Palatino Linotype" w:eastAsia="Times New Roman" w:hAnsi="Palatino Linotype" w:cs="Arial"/>
          <w:color w:val="000000" w:themeColor="text1"/>
          <w:sz w:val="16"/>
          <w:szCs w:val="16"/>
          <w:lang w:val="es-ES_tradnl" w:eastAsia="es-ES_tradnl"/>
        </w:rPr>
        <w:t>En las sentencias C-093 de 2001 y C-671 de 2001, se explicó el alcance de este tipo de escrutinio, denominado test integrado de igualdad: "[a] fin de determinar si el trato discriminatorio vulnera el derecho fundamental a la igualdad, la Corte ha elaborado un modelo de análisis que integra el juicio de proporcionalidad y el test de igualdad. Lo que en este modelo se hace, básicamente, es retomar y armonizar los elementos del test o juicio de proporcionalidad europeo con los aportes de la tendencia estadounidense. Así, se emplean las etapas metodológicas del test europeo, que comprende las siguientes fases de análisis: (i) se examina si la medida es o no adecuada, es decir, si constituye o no un medio idóneo para alcanzar un fin constitucionalmente válido; (ii) se analiza si el trato diferente es o no necesario o indispensable; y (iii) se realiza un análisis de proporcionalidad en estricto sentido, para determinar si el trato desigual no sacrifica valores y principios constitucionales que tengan mayor relevancia que los alcanzados con la medida diferencia. De otra parte, se toman los distintos niveles de intensidad en la aplicación de los escrutinios o tests de igualdad. Dichos niveles pueden variar entre (i) estricto, en el cual el trato diferente debe constituir una medida necesaria para alcanzar un objetivo constitucionalmente imperioso; (ii) intermedio, es aquel en el cual el fin debe ser importante constitucionalmente y el medio debe ser altamente conducente para lograr el fin propuesto; y (iii) flexible o de mera razonabilidad, es decir que es suficiente con que la medida sea potencialmente adecuada para alcanzar un propósito que no esté prohibido por el ordenamiento. Lo anterior debe tener aplicación, según el carácter de la disposición legislativa o la medida administrativa atacada". El test integrado fue aplicado en un caso de discriminación por VIH en la sentencia T-376 de 2013.” Citado en Corte Interamericana de Derechos Humanos. Caso Gonzales Lluy y otros contra Ecuador. Excepciones preliminares, fondo, reparaciones y costas. Sentencia del 01 de septiembre de 2015. Párr. 256.  </w:t>
      </w:r>
    </w:p>
  </w:footnote>
  <w:footnote w:id="5">
    <w:p w14:paraId="48E83101" w14:textId="77777777" w:rsidR="00480D38" w:rsidRPr="00D75A73" w:rsidRDefault="00480D38" w:rsidP="00480D38">
      <w:pPr>
        <w:pStyle w:val="Textonotapie"/>
        <w:jc w:val="both"/>
        <w:rPr>
          <w:rFonts w:ascii="Palatino Linotype" w:hAnsi="Palatino Linotype"/>
          <w:color w:val="000000" w:themeColor="text1"/>
          <w:sz w:val="16"/>
          <w:szCs w:val="16"/>
          <w:lang w:val="es-ES"/>
        </w:rPr>
      </w:pPr>
      <w:r w:rsidRPr="00D75A73">
        <w:rPr>
          <w:rStyle w:val="Refdenotaalpie"/>
          <w:rFonts w:ascii="Palatino Linotype" w:hAnsi="Palatino Linotype"/>
          <w:color w:val="000000" w:themeColor="text1"/>
          <w:sz w:val="16"/>
          <w:szCs w:val="16"/>
        </w:rPr>
        <w:footnoteRef/>
      </w:r>
      <w:r w:rsidRPr="00D75A73">
        <w:rPr>
          <w:rFonts w:ascii="Palatino Linotype" w:hAnsi="Palatino Linotype"/>
          <w:color w:val="000000" w:themeColor="text1"/>
          <w:sz w:val="16"/>
          <w:szCs w:val="16"/>
        </w:rPr>
        <w:t xml:space="preserve"> </w:t>
      </w:r>
      <w:r w:rsidRPr="00D75A73">
        <w:rPr>
          <w:rFonts w:ascii="Palatino Linotype" w:hAnsi="Palatino Linotype"/>
          <w:color w:val="000000" w:themeColor="text1"/>
          <w:sz w:val="16"/>
          <w:szCs w:val="16"/>
          <w:lang w:val="es-ES"/>
        </w:rPr>
        <w:t>Tribunal Constitucional Alemán. Resolución sobre los soldados son asesinos, de 10 de octubre de 1995 (BVerfGE 93, 266). En ALÁEZ CORRAL, Benito y ÁLVAREZ ÁLVAREZ, Leonardo. Las decisiones básicas del Tribunal Constitucional Federal Alemán en las encrucijadas del cambio de milenio. Ed. Centro de Estudios Políticos y Constitucionales y boletín oficial del Estado, Madrid, 2008. Pp. 1045-1096.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88AE9" w14:textId="2523050D" w:rsidR="00D338F0" w:rsidRDefault="00D338F0">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3B20C00A" wp14:editId="1CC8AE94">
          <wp:simplePos x="0" y="0"/>
          <wp:positionH relativeFrom="page">
            <wp:posOffset>635</wp:posOffset>
          </wp:positionH>
          <wp:positionV relativeFrom="page">
            <wp:posOffset>48260</wp:posOffset>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D338F0" w14:paraId="46A8AAF9" w14:textId="77777777" w:rsidTr="0065263E">
      <w:trPr>
        <w:trHeight w:val="227"/>
      </w:trPr>
      <w:tc>
        <w:tcPr>
          <w:tcW w:w="5529" w:type="dxa"/>
          <w:hideMark/>
        </w:tcPr>
        <w:p w14:paraId="26B5EE34" w14:textId="3BF445B5" w:rsidR="00D338F0" w:rsidRDefault="00D338F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2C800766" w14:textId="79EB93A3" w:rsidR="00D338F0" w:rsidRPr="00B4142F" w:rsidRDefault="00736C2C"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CE183D">
            <w:rPr>
              <w:rFonts w:ascii="Palatino Linotype" w:hAnsi="Palatino Linotype" w:cs="Arial"/>
              <w:bCs/>
              <w:sz w:val="24"/>
              <w:lang w:eastAsia="es-MX"/>
            </w:rPr>
            <w:t>6610</w:t>
          </w:r>
          <w:r w:rsidR="00D338F0">
            <w:rPr>
              <w:rFonts w:ascii="Palatino Linotype" w:hAnsi="Palatino Linotype" w:cs="Arial"/>
              <w:bCs/>
              <w:sz w:val="24"/>
              <w:lang w:eastAsia="es-MX"/>
            </w:rPr>
            <w:t>/INFOEM/IP/RR/202</w:t>
          </w:r>
          <w:r>
            <w:rPr>
              <w:rFonts w:ascii="Palatino Linotype" w:hAnsi="Palatino Linotype" w:cs="Arial"/>
              <w:bCs/>
              <w:sz w:val="24"/>
              <w:lang w:eastAsia="es-MX"/>
            </w:rPr>
            <w:t>3</w:t>
          </w:r>
        </w:p>
      </w:tc>
    </w:tr>
    <w:tr w:rsidR="00D338F0" w14:paraId="0E72512B" w14:textId="77777777" w:rsidTr="0065263E">
      <w:trPr>
        <w:trHeight w:val="242"/>
      </w:trPr>
      <w:tc>
        <w:tcPr>
          <w:tcW w:w="5529" w:type="dxa"/>
          <w:hideMark/>
        </w:tcPr>
        <w:p w14:paraId="4FB3E0E8" w14:textId="77777777" w:rsidR="00D338F0" w:rsidRDefault="00D338F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2C804F0" w14:textId="45E305FD" w:rsidR="00D338F0" w:rsidRPr="00F06FED" w:rsidRDefault="00CE183D" w:rsidP="00F4623D">
          <w:pPr>
            <w:spacing w:after="120" w:line="256" w:lineRule="auto"/>
            <w:ind w:left="639" w:right="214"/>
            <w:jc w:val="both"/>
            <w:rPr>
              <w:rFonts w:ascii="Palatino Linotype" w:hAnsi="Palatino Linotype" w:cs="Arial"/>
            </w:rPr>
          </w:pPr>
          <w:r>
            <w:rPr>
              <w:rFonts w:ascii="Palatino Linotype" w:hAnsi="Palatino Linotype" w:cs="Arial"/>
            </w:rPr>
            <w:t xml:space="preserve">Colegio de Estudios Científicos y Tecnológicos del Estado de México </w:t>
          </w:r>
        </w:p>
      </w:tc>
    </w:tr>
    <w:tr w:rsidR="00D338F0" w14:paraId="3365CD96" w14:textId="77777777" w:rsidTr="0065263E">
      <w:trPr>
        <w:trHeight w:val="342"/>
      </w:trPr>
      <w:tc>
        <w:tcPr>
          <w:tcW w:w="5529" w:type="dxa"/>
          <w:hideMark/>
        </w:tcPr>
        <w:p w14:paraId="52A09A43" w14:textId="77777777" w:rsidR="00D338F0" w:rsidRDefault="00D338F0"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64AECA8" w14:textId="70DC65D6" w:rsidR="00D338F0" w:rsidRDefault="00D338F0"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638CC457" w14:textId="77777777" w:rsidR="00D338F0" w:rsidRDefault="00D338F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D338F0" w14:paraId="02D9F2E3" w14:textId="77777777" w:rsidTr="0065263E">
      <w:trPr>
        <w:trHeight w:val="227"/>
      </w:trPr>
      <w:tc>
        <w:tcPr>
          <w:tcW w:w="5529" w:type="dxa"/>
          <w:hideMark/>
        </w:tcPr>
        <w:p w14:paraId="3EA02FD0" w14:textId="3139CF90" w:rsidR="00D338F0" w:rsidRDefault="00D338F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22571C00" w14:textId="2F58A3DD" w:rsidR="00D338F0" w:rsidRPr="00B4142F" w:rsidRDefault="00BE673B"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CE183D">
            <w:rPr>
              <w:rFonts w:ascii="Palatino Linotype" w:hAnsi="Palatino Linotype" w:cs="Arial"/>
              <w:bCs/>
              <w:sz w:val="24"/>
              <w:lang w:eastAsia="es-MX"/>
            </w:rPr>
            <w:t>6610</w:t>
          </w:r>
          <w:r w:rsidR="00D338F0">
            <w:rPr>
              <w:rFonts w:ascii="Palatino Linotype" w:hAnsi="Palatino Linotype" w:cs="Arial"/>
              <w:bCs/>
              <w:sz w:val="24"/>
              <w:lang w:eastAsia="es-MX"/>
            </w:rPr>
            <w:t>/INFOEM/IP/RR/202</w:t>
          </w:r>
          <w:r>
            <w:rPr>
              <w:rFonts w:ascii="Palatino Linotype" w:hAnsi="Palatino Linotype" w:cs="Arial"/>
              <w:bCs/>
              <w:sz w:val="24"/>
              <w:lang w:eastAsia="es-MX"/>
            </w:rPr>
            <w:t>3</w:t>
          </w:r>
        </w:p>
      </w:tc>
    </w:tr>
    <w:tr w:rsidR="00D338F0" w14:paraId="5AC92493" w14:textId="77777777" w:rsidTr="0065263E">
      <w:trPr>
        <w:trHeight w:val="196"/>
      </w:trPr>
      <w:tc>
        <w:tcPr>
          <w:tcW w:w="5529" w:type="dxa"/>
          <w:hideMark/>
        </w:tcPr>
        <w:p w14:paraId="7E479B7E" w14:textId="77777777" w:rsidR="00D338F0" w:rsidRDefault="00D338F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1C253759" w14:textId="2F87DFD4" w:rsidR="00D338F0" w:rsidRPr="00F06FED" w:rsidRDefault="000B7F90" w:rsidP="00CC0C5F">
          <w:pPr>
            <w:spacing w:after="120" w:line="256" w:lineRule="auto"/>
            <w:ind w:left="639" w:right="214"/>
            <w:jc w:val="both"/>
            <w:rPr>
              <w:rFonts w:ascii="Palatino Linotype" w:hAnsi="Palatino Linotype" w:cs="Arial"/>
            </w:rPr>
          </w:pPr>
          <w:r>
            <w:rPr>
              <w:rFonts w:ascii="Palatino Linotype" w:hAnsi="Palatino Linotype" w:cs="Arial"/>
            </w:rPr>
            <w:t>XXXXXXXXXXXXX</w:t>
          </w:r>
        </w:p>
      </w:tc>
    </w:tr>
    <w:tr w:rsidR="00D338F0" w14:paraId="48DDE1B1" w14:textId="77777777" w:rsidTr="0065263E">
      <w:trPr>
        <w:trHeight w:val="242"/>
      </w:trPr>
      <w:tc>
        <w:tcPr>
          <w:tcW w:w="5529" w:type="dxa"/>
          <w:hideMark/>
        </w:tcPr>
        <w:p w14:paraId="718D1409" w14:textId="77777777" w:rsidR="00D338F0" w:rsidRDefault="00D338F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C46880B" w14:textId="260A941D" w:rsidR="00D338F0" w:rsidRDefault="00CE183D" w:rsidP="00F4623D">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Colegio de Estudios Científicos y Tecnológicos del Estado de México </w:t>
          </w:r>
        </w:p>
      </w:tc>
    </w:tr>
    <w:tr w:rsidR="00D338F0" w14:paraId="2E924228" w14:textId="77777777" w:rsidTr="0065263E">
      <w:trPr>
        <w:trHeight w:val="342"/>
      </w:trPr>
      <w:tc>
        <w:tcPr>
          <w:tcW w:w="5529" w:type="dxa"/>
          <w:hideMark/>
        </w:tcPr>
        <w:p w14:paraId="03281906" w14:textId="77777777" w:rsidR="00D338F0" w:rsidRDefault="00D338F0"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3454A6DD" w14:textId="2B5A7C0F" w:rsidR="00D338F0" w:rsidRDefault="00D338F0"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José Martínez Vilchis</w:t>
          </w:r>
        </w:p>
      </w:tc>
    </w:tr>
  </w:tbl>
  <w:p w14:paraId="3C00C928" w14:textId="0FC045F3" w:rsidR="00D338F0" w:rsidRDefault="00D338F0">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14759219" wp14:editId="17B9B680">
          <wp:simplePos x="0" y="0"/>
          <wp:positionH relativeFrom="page">
            <wp:posOffset>19685</wp:posOffset>
          </wp:positionH>
          <wp:positionV relativeFrom="page">
            <wp:posOffset>25400</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53543"/>
    <w:multiLevelType w:val="hybridMultilevel"/>
    <w:tmpl w:val="ED3C9A84"/>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1">
    <w:nsid w:val="21020232"/>
    <w:multiLevelType w:val="hybridMultilevel"/>
    <w:tmpl w:val="E6E44B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C092D3F"/>
    <w:multiLevelType w:val="hybridMultilevel"/>
    <w:tmpl w:val="F1E21B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E90221B"/>
    <w:multiLevelType w:val="hybridMultilevel"/>
    <w:tmpl w:val="89BA2C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50F4BE2"/>
    <w:multiLevelType w:val="hybridMultilevel"/>
    <w:tmpl w:val="0F14E1AA"/>
    <w:lvl w:ilvl="0" w:tplc="080A000F">
      <w:start w:val="1"/>
      <w:numFmt w:val="decimal"/>
      <w:lvlText w:val="%1."/>
      <w:lvlJc w:val="lef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5">
    <w:nsid w:val="6902328A"/>
    <w:multiLevelType w:val="hybridMultilevel"/>
    <w:tmpl w:val="38F0C3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F863D9D"/>
    <w:multiLevelType w:val="hybridMultilevel"/>
    <w:tmpl w:val="31EED702"/>
    <w:lvl w:ilvl="0" w:tplc="55B2F8F4">
      <w:start w:val="1"/>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nsid w:val="79906D47"/>
    <w:multiLevelType w:val="hybridMultilevel"/>
    <w:tmpl w:val="235CF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7"/>
  </w:num>
  <w:num w:numId="5">
    <w:abstractNumId w:val="3"/>
  </w:num>
  <w:num w:numId="6">
    <w:abstractNumId w:val="6"/>
  </w:num>
  <w:num w:numId="7">
    <w:abstractNumId w:val="1"/>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1AB0"/>
    <w:rsid w:val="000026CF"/>
    <w:rsid w:val="00002B15"/>
    <w:rsid w:val="00003C82"/>
    <w:rsid w:val="000057CA"/>
    <w:rsid w:val="00006FB9"/>
    <w:rsid w:val="000114DC"/>
    <w:rsid w:val="00012201"/>
    <w:rsid w:val="00012220"/>
    <w:rsid w:val="00014FD1"/>
    <w:rsid w:val="00015D83"/>
    <w:rsid w:val="000213BA"/>
    <w:rsid w:val="00022EAF"/>
    <w:rsid w:val="00023875"/>
    <w:rsid w:val="00024913"/>
    <w:rsid w:val="000271CC"/>
    <w:rsid w:val="000306A7"/>
    <w:rsid w:val="00031605"/>
    <w:rsid w:val="00032CE7"/>
    <w:rsid w:val="0003685F"/>
    <w:rsid w:val="0004190A"/>
    <w:rsid w:val="00041F04"/>
    <w:rsid w:val="000426E3"/>
    <w:rsid w:val="00045379"/>
    <w:rsid w:val="000459AC"/>
    <w:rsid w:val="00045B3C"/>
    <w:rsid w:val="0004682D"/>
    <w:rsid w:val="00047EAF"/>
    <w:rsid w:val="00055224"/>
    <w:rsid w:val="00061821"/>
    <w:rsid w:val="00061CD8"/>
    <w:rsid w:val="000623F9"/>
    <w:rsid w:val="00063A10"/>
    <w:rsid w:val="00063AE3"/>
    <w:rsid w:val="000662F8"/>
    <w:rsid w:val="00066B01"/>
    <w:rsid w:val="00071571"/>
    <w:rsid w:val="00073CC6"/>
    <w:rsid w:val="00073E78"/>
    <w:rsid w:val="00090745"/>
    <w:rsid w:val="00091552"/>
    <w:rsid w:val="00091C3A"/>
    <w:rsid w:val="00092363"/>
    <w:rsid w:val="00092586"/>
    <w:rsid w:val="00094155"/>
    <w:rsid w:val="00094C05"/>
    <w:rsid w:val="00096CA4"/>
    <w:rsid w:val="000A03E0"/>
    <w:rsid w:val="000A04D9"/>
    <w:rsid w:val="000A3486"/>
    <w:rsid w:val="000A378C"/>
    <w:rsid w:val="000A79DA"/>
    <w:rsid w:val="000B37C1"/>
    <w:rsid w:val="000B3E98"/>
    <w:rsid w:val="000B426F"/>
    <w:rsid w:val="000B4B51"/>
    <w:rsid w:val="000B6D7D"/>
    <w:rsid w:val="000B7158"/>
    <w:rsid w:val="000B7D23"/>
    <w:rsid w:val="000B7F90"/>
    <w:rsid w:val="000C06C3"/>
    <w:rsid w:val="000C0F57"/>
    <w:rsid w:val="000C51A0"/>
    <w:rsid w:val="000C5B8B"/>
    <w:rsid w:val="000D1B34"/>
    <w:rsid w:val="000D1B55"/>
    <w:rsid w:val="000D3C75"/>
    <w:rsid w:val="000D6422"/>
    <w:rsid w:val="000E0F23"/>
    <w:rsid w:val="000E2252"/>
    <w:rsid w:val="000E365E"/>
    <w:rsid w:val="000E5F05"/>
    <w:rsid w:val="000E686B"/>
    <w:rsid w:val="000F1FAB"/>
    <w:rsid w:val="000F2554"/>
    <w:rsid w:val="000F4793"/>
    <w:rsid w:val="0010372C"/>
    <w:rsid w:val="00105C41"/>
    <w:rsid w:val="00111DCD"/>
    <w:rsid w:val="00113D3E"/>
    <w:rsid w:val="00114CF9"/>
    <w:rsid w:val="00115A39"/>
    <w:rsid w:val="00115F16"/>
    <w:rsid w:val="001164A1"/>
    <w:rsid w:val="001179DB"/>
    <w:rsid w:val="00121ED7"/>
    <w:rsid w:val="00122EC2"/>
    <w:rsid w:val="00124855"/>
    <w:rsid w:val="001254F5"/>
    <w:rsid w:val="001269A0"/>
    <w:rsid w:val="00136FAD"/>
    <w:rsid w:val="0014029B"/>
    <w:rsid w:val="00143ABC"/>
    <w:rsid w:val="00146C08"/>
    <w:rsid w:val="00146F0A"/>
    <w:rsid w:val="00152C2B"/>
    <w:rsid w:val="0015319B"/>
    <w:rsid w:val="00156EC9"/>
    <w:rsid w:val="001611CC"/>
    <w:rsid w:val="001612E6"/>
    <w:rsid w:val="00161D54"/>
    <w:rsid w:val="00162A4D"/>
    <w:rsid w:val="001649A0"/>
    <w:rsid w:val="001678DF"/>
    <w:rsid w:val="00172924"/>
    <w:rsid w:val="00172C77"/>
    <w:rsid w:val="00172CEE"/>
    <w:rsid w:val="00173E45"/>
    <w:rsid w:val="00175897"/>
    <w:rsid w:val="00176157"/>
    <w:rsid w:val="00180B9F"/>
    <w:rsid w:val="00181CC5"/>
    <w:rsid w:val="00182911"/>
    <w:rsid w:val="0018726A"/>
    <w:rsid w:val="00193784"/>
    <w:rsid w:val="0019396C"/>
    <w:rsid w:val="00194B4C"/>
    <w:rsid w:val="001957D7"/>
    <w:rsid w:val="001A02EC"/>
    <w:rsid w:val="001A1D9B"/>
    <w:rsid w:val="001A1FF5"/>
    <w:rsid w:val="001A318E"/>
    <w:rsid w:val="001A577E"/>
    <w:rsid w:val="001A7C9B"/>
    <w:rsid w:val="001B05B9"/>
    <w:rsid w:val="001B48E2"/>
    <w:rsid w:val="001B7451"/>
    <w:rsid w:val="001B7B88"/>
    <w:rsid w:val="001C01B7"/>
    <w:rsid w:val="001C1363"/>
    <w:rsid w:val="001C2D1E"/>
    <w:rsid w:val="001C3E7E"/>
    <w:rsid w:val="001C5B3C"/>
    <w:rsid w:val="001C7319"/>
    <w:rsid w:val="001C7D87"/>
    <w:rsid w:val="001D0192"/>
    <w:rsid w:val="001D2729"/>
    <w:rsid w:val="001D3DE9"/>
    <w:rsid w:val="001D3E87"/>
    <w:rsid w:val="001D4438"/>
    <w:rsid w:val="001D4669"/>
    <w:rsid w:val="001D67B5"/>
    <w:rsid w:val="001D7575"/>
    <w:rsid w:val="001E456C"/>
    <w:rsid w:val="001F3F3C"/>
    <w:rsid w:val="001F4025"/>
    <w:rsid w:val="00211C66"/>
    <w:rsid w:val="0021296D"/>
    <w:rsid w:val="00212CB5"/>
    <w:rsid w:val="0021501E"/>
    <w:rsid w:val="00215A83"/>
    <w:rsid w:val="00216ABF"/>
    <w:rsid w:val="00217852"/>
    <w:rsid w:val="00220339"/>
    <w:rsid w:val="002205C0"/>
    <w:rsid w:val="00226760"/>
    <w:rsid w:val="002303A7"/>
    <w:rsid w:val="00231D77"/>
    <w:rsid w:val="002324F1"/>
    <w:rsid w:val="0023373D"/>
    <w:rsid w:val="0023423C"/>
    <w:rsid w:val="00236C82"/>
    <w:rsid w:val="0024638F"/>
    <w:rsid w:val="00246807"/>
    <w:rsid w:val="00247537"/>
    <w:rsid w:val="00247D10"/>
    <w:rsid w:val="00250470"/>
    <w:rsid w:val="00252985"/>
    <w:rsid w:val="002577FE"/>
    <w:rsid w:val="00266DEC"/>
    <w:rsid w:val="00266E00"/>
    <w:rsid w:val="002674C9"/>
    <w:rsid w:val="00271EED"/>
    <w:rsid w:val="002725E3"/>
    <w:rsid w:val="00273D0E"/>
    <w:rsid w:val="002766A4"/>
    <w:rsid w:val="002811F8"/>
    <w:rsid w:val="00283BF1"/>
    <w:rsid w:val="0028788A"/>
    <w:rsid w:val="002915F2"/>
    <w:rsid w:val="00292885"/>
    <w:rsid w:val="002942AD"/>
    <w:rsid w:val="00296A44"/>
    <w:rsid w:val="00297140"/>
    <w:rsid w:val="00297368"/>
    <w:rsid w:val="00297870"/>
    <w:rsid w:val="002A0104"/>
    <w:rsid w:val="002A2034"/>
    <w:rsid w:val="002A24F4"/>
    <w:rsid w:val="002A38BF"/>
    <w:rsid w:val="002A597E"/>
    <w:rsid w:val="002B1410"/>
    <w:rsid w:val="002B1C1D"/>
    <w:rsid w:val="002B5069"/>
    <w:rsid w:val="002B5DBD"/>
    <w:rsid w:val="002B70DD"/>
    <w:rsid w:val="002C51F7"/>
    <w:rsid w:val="002C72D2"/>
    <w:rsid w:val="002D29D7"/>
    <w:rsid w:val="002D4C5A"/>
    <w:rsid w:val="002D64A8"/>
    <w:rsid w:val="002D662C"/>
    <w:rsid w:val="002E043D"/>
    <w:rsid w:val="002E0A1A"/>
    <w:rsid w:val="002E1E52"/>
    <w:rsid w:val="002E2D7B"/>
    <w:rsid w:val="002E3488"/>
    <w:rsid w:val="002E5721"/>
    <w:rsid w:val="002E5E6A"/>
    <w:rsid w:val="002F0D76"/>
    <w:rsid w:val="002F2D0B"/>
    <w:rsid w:val="002F37BE"/>
    <w:rsid w:val="002F3FC4"/>
    <w:rsid w:val="002F5A7C"/>
    <w:rsid w:val="002F5BA9"/>
    <w:rsid w:val="002F700B"/>
    <w:rsid w:val="00300D0B"/>
    <w:rsid w:val="00301522"/>
    <w:rsid w:val="0030471E"/>
    <w:rsid w:val="00306096"/>
    <w:rsid w:val="00306848"/>
    <w:rsid w:val="00311566"/>
    <w:rsid w:val="0031645D"/>
    <w:rsid w:val="0032024D"/>
    <w:rsid w:val="00320A67"/>
    <w:rsid w:val="0032220E"/>
    <w:rsid w:val="00324C2A"/>
    <w:rsid w:val="003266DA"/>
    <w:rsid w:val="00326AAA"/>
    <w:rsid w:val="003272FB"/>
    <w:rsid w:val="00330F3C"/>
    <w:rsid w:val="0033299C"/>
    <w:rsid w:val="00334158"/>
    <w:rsid w:val="003349F3"/>
    <w:rsid w:val="003406C5"/>
    <w:rsid w:val="003410F2"/>
    <w:rsid w:val="00344BDE"/>
    <w:rsid w:val="0035016E"/>
    <w:rsid w:val="003507D3"/>
    <w:rsid w:val="00353C25"/>
    <w:rsid w:val="00356E3E"/>
    <w:rsid w:val="00357457"/>
    <w:rsid w:val="00361B9C"/>
    <w:rsid w:val="0036339F"/>
    <w:rsid w:val="00364209"/>
    <w:rsid w:val="00365DA0"/>
    <w:rsid w:val="00367CC7"/>
    <w:rsid w:val="003733F5"/>
    <w:rsid w:val="003749D9"/>
    <w:rsid w:val="00375BBA"/>
    <w:rsid w:val="00376CEC"/>
    <w:rsid w:val="00380010"/>
    <w:rsid w:val="00380758"/>
    <w:rsid w:val="00381214"/>
    <w:rsid w:val="003812E0"/>
    <w:rsid w:val="003869DF"/>
    <w:rsid w:val="00394A1E"/>
    <w:rsid w:val="003969CB"/>
    <w:rsid w:val="00397C0C"/>
    <w:rsid w:val="003A378D"/>
    <w:rsid w:val="003A61F9"/>
    <w:rsid w:val="003B171C"/>
    <w:rsid w:val="003B1E88"/>
    <w:rsid w:val="003B4030"/>
    <w:rsid w:val="003B45EA"/>
    <w:rsid w:val="003B5FD0"/>
    <w:rsid w:val="003B750C"/>
    <w:rsid w:val="003C4F65"/>
    <w:rsid w:val="003C5DEB"/>
    <w:rsid w:val="003D08E9"/>
    <w:rsid w:val="003D2D99"/>
    <w:rsid w:val="003D4107"/>
    <w:rsid w:val="003D78A3"/>
    <w:rsid w:val="003E05A5"/>
    <w:rsid w:val="003E128A"/>
    <w:rsid w:val="003E16E1"/>
    <w:rsid w:val="003E5144"/>
    <w:rsid w:val="003F3A54"/>
    <w:rsid w:val="004012CF"/>
    <w:rsid w:val="00402831"/>
    <w:rsid w:val="00402A46"/>
    <w:rsid w:val="00402FF3"/>
    <w:rsid w:val="00403A1E"/>
    <w:rsid w:val="004069EB"/>
    <w:rsid w:val="004071A7"/>
    <w:rsid w:val="00410789"/>
    <w:rsid w:val="00412901"/>
    <w:rsid w:val="00417E4F"/>
    <w:rsid w:val="00423213"/>
    <w:rsid w:val="00423ECD"/>
    <w:rsid w:val="0042416D"/>
    <w:rsid w:val="00426B98"/>
    <w:rsid w:val="0042798A"/>
    <w:rsid w:val="00433D7C"/>
    <w:rsid w:val="00433F2D"/>
    <w:rsid w:val="00442582"/>
    <w:rsid w:val="00442C1A"/>
    <w:rsid w:val="004469CB"/>
    <w:rsid w:val="004512DF"/>
    <w:rsid w:val="004516EB"/>
    <w:rsid w:val="004529B6"/>
    <w:rsid w:val="00453DBD"/>
    <w:rsid w:val="00454CE6"/>
    <w:rsid w:val="00455C30"/>
    <w:rsid w:val="00462881"/>
    <w:rsid w:val="004639CF"/>
    <w:rsid w:val="004668C1"/>
    <w:rsid w:val="00466B0E"/>
    <w:rsid w:val="00472678"/>
    <w:rsid w:val="00473342"/>
    <w:rsid w:val="00475F48"/>
    <w:rsid w:val="00477CC2"/>
    <w:rsid w:val="00480D38"/>
    <w:rsid w:val="0048180A"/>
    <w:rsid w:val="00481C7A"/>
    <w:rsid w:val="004855D1"/>
    <w:rsid w:val="004857CF"/>
    <w:rsid w:val="0049054A"/>
    <w:rsid w:val="004906C8"/>
    <w:rsid w:val="00491085"/>
    <w:rsid w:val="004924B8"/>
    <w:rsid w:val="004967E2"/>
    <w:rsid w:val="004A290F"/>
    <w:rsid w:val="004A5FFD"/>
    <w:rsid w:val="004A7CE2"/>
    <w:rsid w:val="004B15D1"/>
    <w:rsid w:val="004B38AC"/>
    <w:rsid w:val="004B7109"/>
    <w:rsid w:val="004C39DC"/>
    <w:rsid w:val="004D08EB"/>
    <w:rsid w:val="004D0C64"/>
    <w:rsid w:val="004D2B23"/>
    <w:rsid w:val="004D2C8F"/>
    <w:rsid w:val="004D2D18"/>
    <w:rsid w:val="004D5AD4"/>
    <w:rsid w:val="004E0136"/>
    <w:rsid w:val="004E1318"/>
    <w:rsid w:val="004E2371"/>
    <w:rsid w:val="004E5994"/>
    <w:rsid w:val="004E6BE9"/>
    <w:rsid w:val="004F17FE"/>
    <w:rsid w:val="004F66EC"/>
    <w:rsid w:val="00503655"/>
    <w:rsid w:val="005037B3"/>
    <w:rsid w:val="005039A0"/>
    <w:rsid w:val="00504FB2"/>
    <w:rsid w:val="00506846"/>
    <w:rsid w:val="00506A6D"/>
    <w:rsid w:val="00512DA7"/>
    <w:rsid w:val="00515090"/>
    <w:rsid w:val="005202C4"/>
    <w:rsid w:val="00520D7E"/>
    <w:rsid w:val="005211D9"/>
    <w:rsid w:val="00521E57"/>
    <w:rsid w:val="00522FD2"/>
    <w:rsid w:val="005245A9"/>
    <w:rsid w:val="00524E8D"/>
    <w:rsid w:val="005305C0"/>
    <w:rsid w:val="005305EA"/>
    <w:rsid w:val="00530F74"/>
    <w:rsid w:val="00531170"/>
    <w:rsid w:val="00531E18"/>
    <w:rsid w:val="00535F50"/>
    <w:rsid w:val="005371E7"/>
    <w:rsid w:val="005404AB"/>
    <w:rsid w:val="00540538"/>
    <w:rsid w:val="00540ACB"/>
    <w:rsid w:val="00545E93"/>
    <w:rsid w:val="005472FB"/>
    <w:rsid w:val="0054773D"/>
    <w:rsid w:val="00547D93"/>
    <w:rsid w:val="00550E2E"/>
    <w:rsid w:val="005520FE"/>
    <w:rsid w:val="005523D5"/>
    <w:rsid w:val="00556513"/>
    <w:rsid w:val="005575CB"/>
    <w:rsid w:val="0056015B"/>
    <w:rsid w:val="0056134C"/>
    <w:rsid w:val="00562653"/>
    <w:rsid w:val="00567998"/>
    <w:rsid w:val="00572979"/>
    <w:rsid w:val="005733EB"/>
    <w:rsid w:val="00575651"/>
    <w:rsid w:val="005759BB"/>
    <w:rsid w:val="00576BCC"/>
    <w:rsid w:val="005803A1"/>
    <w:rsid w:val="00580802"/>
    <w:rsid w:val="00581A22"/>
    <w:rsid w:val="00582A33"/>
    <w:rsid w:val="0058505F"/>
    <w:rsid w:val="0058671A"/>
    <w:rsid w:val="00593E91"/>
    <w:rsid w:val="00595568"/>
    <w:rsid w:val="005A0B49"/>
    <w:rsid w:val="005A1BC9"/>
    <w:rsid w:val="005A5930"/>
    <w:rsid w:val="005A6D57"/>
    <w:rsid w:val="005A7F1F"/>
    <w:rsid w:val="005B36D5"/>
    <w:rsid w:val="005B5B70"/>
    <w:rsid w:val="005B5F05"/>
    <w:rsid w:val="005B60F0"/>
    <w:rsid w:val="005C04BB"/>
    <w:rsid w:val="005C123F"/>
    <w:rsid w:val="005C6605"/>
    <w:rsid w:val="005C6982"/>
    <w:rsid w:val="005C741B"/>
    <w:rsid w:val="005D15A3"/>
    <w:rsid w:val="005D1602"/>
    <w:rsid w:val="005D2B59"/>
    <w:rsid w:val="005D362F"/>
    <w:rsid w:val="005D370F"/>
    <w:rsid w:val="005E2749"/>
    <w:rsid w:val="005E46D0"/>
    <w:rsid w:val="005E48E4"/>
    <w:rsid w:val="005E4D7C"/>
    <w:rsid w:val="005E5834"/>
    <w:rsid w:val="005E65F2"/>
    <w:rsid w:val="005E6E57"/>
    <w:rsid w:val="005F048E"/>
    <w:rsid w:val="005F4734"/>
    <w:rsid w:val="005F57F0"/>
    <w:rsid w:val="005F6252"/>
    <w:rsid w:val="005F7598"/>
    <w:rsid w:val="00607168"/>
    <w:rsid w:val="0061042F"/>
    <w:rsid w:val="00610C37"/>
    <w:rsid w:val="006114BA"/>
    <w:rsid w:val="006168E4"/>
    <w:rsid w:val="00624EB5"/>
    <w:rsid w:val="00626A70"/>
    <w:rsid w:val="00631FD7"/>
    <w:rsid w:val="006323CA"/>
    <w:rsid w:val="006329AB"/>
    <w:rsid w:val="00633DE8"/>
    <w:rsid w:val="006360F3"/>
    <w:rsid w:val="00636327"/>
    <w:rsid w:val="006369B4"/>
    <w:rsid w:val="00637512"/>
    <w:rsid w:val="00640EE4"/>
    <w:rsid w:val="00641150"/>
    <w:rsid w:val="0064185C"/>
    <w:rsid w:val="006466F5"/>
    <w:rsid w:val="0064761A"/>
    <w:rsid w:val="0065043F"/>
    <w:rsid w:val="00650C5E"/>
    <w:rsid w:val="0065263E"/>
    <w:rsid w:val="00652A6B"/>
    <w:rsid w:val="00654718"/>
    <w:rsid w:val="006552A9"/>
    <w:rsid w:val="00657DAD"/>
    <w:rsid w:val="00660C59"/>
    <w:rsid w:val="00660D95"/>
    <w:rsid w:val="00661753"/>
    <w:rsid w:val="00662035"/>
    <w:rsid w:val="006620AC"/>
    <w:rsid w:val="006652F8"/>
    <w:rsid w:val="00667DD9"/>
    <w:rsid w:val="006772FD"/>
    <w:rsid w:val="00677379"/>
    <w:rsid w:val="006816EF"/>
    <w:rsid w:val="006848B7"/>
    <w:rsid w:val="00684ED7"/>
    <w:rsid w:val="00686FD5"/>
    <w:rsid w:val="00697278"/>
    <w:rsid w:val="006A02AC"/>
    <w:rsid w:val="006A04CA"/>
    <w:rsid w:val="006A2BEC"/>
    <w:rsid w:val="006A4785"/>
    <w:rsid w:val="006B10D7"/>
    <w:rsid w:val="006B1953"/>
    <w:rsid w:val="006B1BF1"/>
    <w:rsid w:val="006B26E3"/>
    <w:rsid w:val="006B34A6"/>
    <w:rsid w:val="006B4B63"/>
    <w:rsid w:val="006B5DDC"/>
    <w:rsid w:val="006B68FC"/>
    <w:rsid w:val="006B7294"/>
    <w:rsid w:val="006B7444"/>
    <w:rsid w:val="006C698B"/>
    <w:rsid w:val="006D1F6B"/>
    <w:rsid w:val="006D23FC"/>
    <w:rsid w:val="006D7FD9"/>
    <w:rsid w:val="006E21BB"/>
    <w:rsid w:val="006E7563"/>
    <w:rsid w:val="006F082F"/>
    <w:rsid w:val="006F3C14"/>
    <w:rsid w:val="006F5F55"/>
    <w:rsid w:val="00701033"/>
    <w:rsid w:val="00701B61"/>
    <w:rsid w:val="00702C82"/>
    <w:rsid w:val="00703614"/>
    <w:rsid w:val="00711911"/>
    <w:rsid w:val="007164CD"/>
    <w:rsid w:val="007172F5"/>
    <w:rsid w:val="00717E41"/>
    <w:rsid w:val="0072689F"/>
    <w:rsid w:val="007316B6"/>
    <w:rsid w:val="00732104"/>
    <w:rsid w:val="00734B46"/>
    <w:rsid w:val="00736C2C"/>
    <w:rsid w:val="00736D41"/>
    <w:rsid w:val="0074122D"/>
    <w:rsid w:val="00741327"/>
    <w:rsid w:val="00742EAF"/>
    <w:rsid w:val="00744EEF"/>
    <w:rsid w:val="007456B7"/>
    <w:rsid w:val="00754CAE"/>
    <w:rsid w:val="007550F3"/>
    <w:rsid w:val="007568AD"/>
    <w:rsid w:val="00763C1A"/>
    <w:rsid w:val="00770CD1"/>
    <w:rsid w:val="00770FCE"/>
    <w:rsid w:val="00771AC2"/>
    <w:rsid w:val="00772E31"/>
    <w:rsid w:val="007747DF"/>
    <w:rsid w:val="007748C4"/>
    <w:rsid w:val="00774A9C"/>
    <w:rsid w:val="007770C2"/>
    <w:rsid w:val="00777164"/>
    <w:rsid w:val="00780B57"/>
    <w:rsid w:val="00781530"/>
    <w:rsid w:val="007830E9"/>
    <w:rsid w:val="007835B9"/>
    <w:rsid w:val="00783A07"/>
    <w:rsid w:val="007851D5"/>
    <w:rsid w:val="00787D06"/>
    <w:rsid w:val="007929FA"/>
    <w:rsid w:val="0079486A"/>
    <w:rsid w:val="00794F80"/>
    <w:rsid w:val="0079735D"/>
    <w:rsid w:val="007A1C9E"/>
    <w:rsid w:val="007A3206"/>
    <w:rsid w:val="007A4692"/>
    <w:rsid w:val="007A4A04"/>
    <w:rsid w:val="007A62CC"/>
    <w:rsid w:val="007B0046"/>
    <w:rsid w:val="007B2303"/>
    <w:rsid w:val="007B2C77"/>
    <w:rsid w:val="007B3414"/>
    <w:rsid w:val="007B403C"/>
    <w:rsid w:val="007B68F7"/>
    <w:rsid w:val="007C1116"/>
    <w:rsid w:val="007C4168"/>
    <w:rsid w:val="007C45D8"/>
    <w:rsid w:val="007D1A27"/>
    <w:rsid w:val="007D1B24"/>
    <w:rsid w:val="007D1F15"/>
    <w:rsid w:val="007D25B1"/>
    <w:rsid w:val="007D2878"/>
    <w:rsid w:val="007D3203"/>
    <w:rsid w:val="007D4303"/>
    <w:rsid w:val="007D43D3"/>
    <w:rsid w:val="007E5D51"/>
    <w:rsid w:val="007E6161"/>
    <w:rsid w:val="007E7BAB"/>
    <w:rsid w:val="007E7DCE"/>
    <w:rsid w:val="007F0A4D"/>
    <w:rsid w:val="007F1441"/>
    <w:rsid w:val="007F20AC"/>
    <w:rsid w:val="007F53A0"/>
    <w:rsid w:val="007F7A92"/>
    <w:rsid w:val="0080158F"/>
    <w:rsid w:val="008024BA"/>
    <w:rsid w:val="00802C56"/>
    <w:rsid w:val="00807A3D"/>
    <w:rsid w:val="00811205"/>
    <w:rsid w:val="00811D55"/>
    <w:rsid w:val="00812C48"/>
    <w:rsid w:val="0081447E"/>
    <w:rsid w:val="008146F9"/>
    <w:rsid w:val="00817A08"/>
    <w:rsid w:val="00822215"/>
    <w:rsid w:val="00824DCD"/>
    <w:rsid w:val="00825CB5"/>
    <w:rsid w:val="00832CE7"/>
    <w:rsid w:val="00833011"/>
    <w:rsid w:val="00836B8D"/>
    <w:rsid w:val="008427E4"/>
    <w:rsid w:val="00843314"/>
    <w:rsid w:val="00844569"/>
    <w:rsid w:val="008466EC"/>
    <w:rsid w:val="008474E1"/>
    <w:rsid w:val="00847D23"/>
    <w:rsid w:val="0085196B"/>
    <w:rsid w:val="00853BED"/>
    <w:rsid w:val="00855266"/>
    <w:rsid w:val="00863327"/>
    <w:rsid w:val="00866F25"/>
    <w:rsid w:val="00870F44"/>
    <w:rsid w:val="00871DC1"/>
    <w:rsid w:val="008724F6"/>
    <w:rsid w:val="00872F83"/>
    <w:rsid w:val="00884054"/>
    <w:rsid w:val="00887CDA"/>
    <w:rsid w:val="00891C7A"/>
    <w:rsid w:val="00892DB9"/>
    <w:rsid w:val="008936E7"/>
    <w:rsid w:val="00895089"/>
    <w:rsid w:val="008951ED"/>
    <w:rsid w:val="008960D1"/>
    <w:rsid w:val="008A0A23"/>
    <w:rsid w:val="008A68CA"/>
    <w:rsid w:val="008A75BE"/>
    <w:rsid w:val="008B02FB"/>
    <w:rsid w:val="008B0679"/>
    <w:rsid w:val="008B1E28"/>
    <w:rsid w:val="008B3A59"/>
    <w:rsid w:val="008B42B1"/>
    <w:rsid w:val="008B5224"/>
    <w:rsid w:val="008B7382"/>
    <w:rsid w:val="008C0375"/>
    <w:rsid w:val="008C2B32"/>
    <w:rsid w:val="008C32A8"/>
    <w:rsid w:val="008C55A3"/>
    <w:rsid w:val="008C5A03"/>
    <w:rsid w:val="008C5E94"/>
    <w:rsid w:val="008D038F"/>
    <w:rsid w:val="008D1D2A"/>
    <w:rsid w:val="008D3703"/>
    <w:rsid w:val="008D4154"/>
    <w:rsid w:val="008D4EB7"/>
    <w:rsid w:val="008D58A8"/>
    <w:rsid w:val="008D6297"/>
    <w:rsid w:val="008D6D04"/>
    <w:rsid w:val="008E3791"/>
    <w:rsid w:val="008E6375"/>
    <w:rsid w:val="008F0117"/>
    <w:rsid w:val="008F4C65"/>
    <w:rsid w:val="00905422"/>
    <w:rsid w:val="00913133"/>
    <w:rsid w:val="00913221"/>
    <w:rsid w:val="0091728F"/>
    <w:rsid w:val="00920128"/>
    <w:rsid w:val="00921DB9"/>
    <w:rsid w:val="0092403D"/>
    <w:rsid w:val="009268BB"/>
    <w:rsid w:val="00926D4D"/>
    <w:rsid w:val="00927858"/>
    <w:rsid w:val="00935D2F"/>
    <w:rsid w:val="00936B04"/>
    <w:rsid w:val="00940116"/>
    <w:rsid w:val="009402DB"/>
    <w:rsid w:val="009449B8"/>
    <w:rsid w:val="00944DC9"/>
    <w:rsid w:val="00945479"/>
    <w:rsid w:val="00946380"/>
    <w:rsid w:val="009464B0"/>
    <w:rsid w:val="00947A9B"/>
    <w:rsid w:val="009502C8"/>
    <w:rsid w:val="009517DA"/>
    <w:rsid w:val="0095731A"/>
    <w:rsid w:val="009611E0"/>
    <w:rsid w:val="00961369"/>
    <w:rsid w:val="00964DA7"/>
    <w:rsid w:val="00965B02"/>
    <w:rsid w:val="00965FEE"/>
    <w:rsid w:val="0096643B"/>
    <w:rsid w:val="009706B5"/>
    <w:rsid w:val="00970CB5"/>
    <w:rsid w:val="0097184A"/>
    <w:rsid w:val="00972BDF"/>
    <w:rsid w:val="0098182D"/>
    <w:rsid w:val="00990C92"/>
    <w:rsid w:val="00991F20"/>
    <w:rsid w:val="009923E0"/>
    <w:rsid w:val="00992B5E"/>
    <w:rsid w:val="009950AD"/>
    <w:rsid w:val="00996BFF"/>
    <w:rsid w:val="00997E87"/>
    <w:rsid w:val="009A0AF8"/>
    <w:rsid w:val="009A1139"/>
    <w:rsid w:val="009A3D4D"/>
    <w:rsid w:val="009A49FE"/>
    <w:rsid w:val="009A507E"/>
    <w:rsid w:val="009A686F"/>
    <w:rsid w:val="009A77EC"/>
    <w:rsid w:val="009A7DBA"/>
    <w:rsid w:val="009B057C"/>
    <w:rsid w:val="009B33A8"/>
    <w:rsid w:val="009B3487"/>
    <w:rsid w:val="009B5FB5"/>
    <w:rsid w:val="009B7C61"/>
    <w:rsid w:val="009C2422"/>
    <w:rsid w:val="009C2AE5"/>
    <w:rsid w:val="009C3793"/>
    <w:rsid w:val="009C5799"/>
    <w:rsid w:val="009C5DB9"/>
    <w:rsid w:val="009C7074"/>
    <w:rsid w:val="009D25FE"/>
    <w:rsid w:val="009D68A0"/>
    <w:rsid w:val="009E0867"/>
    <w:rsid w:val="009E0A25"/>
    <w:rsid w:val="009E1411"/>
    <w:rsid w:val="009E45A0"/>
    <w:rsid w:val="009E49A3"/>
    <w:rsid w:val="009E52F2"/>
    <w:rsid w:val="009F0515"/>
    <w:rsid w:val="009F1A4C"/>
    <w:rsid w:val="009F3C1F"/>
    <w:rsid w:val="009F51E1"/>
    <w:rsid w:val="009F614E"/>
    <w:rsid w:val="009F6571"/>
    <w:rsid w:val="009F762B"/>
    <w:rsid w:val="00A00E96"/>
    <w:rsid w:val="00A02047"/>
    <w:rsid w:val="00A036BE"/>
    <w:rsid w:val="00A12205"/>
    <w:rsid w:val="00A155B9"/>
    <w:rsid w:val="00A214B4"/>
    <w:rsid w:val="00A32D63"/>
    <w:rsid w:val="00A345F6"/>
    <w:rsid w:val="00A348B5"/>
    <w:rsid w:val="00A34DDD"/>
    <w:rsid w:val="00A351D7"/>
    <w:rsid w:val="00A35F12"/>
    <w:rsid w:val="00A37DAA"/>
    <w:rsid w:val="00A41327"/>
    <w:rsid w:val="00A4436A"/>
    <w:rsid w:val="00A453DC"/>
    <w:rsid w:val="00A45721"/>
    <w:rsid w:val="00A457D1"/>
    <w:rsid w:val="00A47E87"/>
    <w:rsid w:val="00A47F39"/>
    <w:rsid w:val="00A516E8"/>
    <w:rsid w:val="00A51D94"/>
    <w:rsid w:val="00A520C9"/>
    <w:rsid w:val="00A525D9"/>
    <w:rsid w:val="00A52BA3"/>
    <w:rsid w:val="00A565E7"/>
    <w:rsid w:val="00A6185A"/>
    <w:rsid w:val="00A625E2"/>
    <w:rsid w:val="00A67B13"/>
    <w:rsid w:val="00A71080"/>
    <w:rsid w:val="00A72465"/>
    <w:rsid w:val="00A72DCB"/>
    <w:rsid w:val="00A75001"/>
    <w:rsid w:val="00A80C92"/>
    <w:rsid w:val="00A812C8"/>
    <w:rsid w:val="00A82461"/>
    <w:rsid w:val="00A83323"/>
    <w:rsid w:val="00A85006"/>
    <w:rsid w:val="00A851D8"/>
    <w:rsid w:val="00A86352"/>
    <w:rsid w:val="00A90295"/>
    <w:rsid w:val="00A91E94"/>
    <w:rsid w:val="00A9227B"/>
    <w:rsid w:val="00A93540"/>
    <w:rsid w:val="00A953BA"/>
    <w:rsid w:val="00AA1142"/>
    <w:rsid w:val="00AA1A2C"/>
    <w:rsid w:val="00AA207C"/>
    <w:rsid w:val="00AA4549"/>
    <w:rsid w:val="00AA5D62"/>
    <w:rsid w:val="00AB3710"/>
    <w:rsid w:val="00AB37EB"/>
    <w:rsid w:val="00AB4B0F"/>
    <w:rsid w:val="00AB6C3B"/>
    <w:rsid w:val="00AB7525"/>
    <w:rsid w:val="00AC1971"/>
    <w:rsid w:val="00AC5D43"/>
    <w:rsid w:val="00AD15A7"/>
    <w:rsid w:val="00AD6BEE"/>
    <w:rsid w:val="00AE008F"/>
    <w:rsid w:val="00AE1EF2"/>
    <w:rsid w:val="00AE33FE"/>
    <w:rsid w:val="00AF1248"/>
    <w:rsid w:val="00AF4795"/>
    <w:rsid w:val="00AF55AC"/>
    <w:rsid w:val="00B07D6D"/>
    <w:rsid w:val="00B1003A"/>
    <w:rsid w:val="00B103E0"/>
    <w:rsid w:val="00B11E08"/>
    <w:rsid w:val="00B12E48"/>
    <w:rsid w:val="00B13C33"/>
    <w:rsid w:val="00B269B2"/>
    <w:rsid w:val="00B26C37"/>
    <w:rsid w:val="00B32CD3"/>
    <w:rsid w:val="00B35834"/>
    <w:rsid w:val="00B35A93"/>
    <w:rsid w:val="00B3635B"/>
    <w:rsid w:val="00B3672D"/>
    <w:rsid w:val="00B36D2B"/>
    <w:rsid w:val="00B465FF"/>
    <w:rsid w:val="00B47192"/>
    <w:rsid w:val="00B4745C"/>
    <w:rsid w:val="00B477AC"/>
    <w:rsid w:val="00B6107A"/>
    <w:rsid w:val="00B61D75"/>
    <w:rsid w:val="00B62F0D"/>
    <w:rsid w:val="00B66CCB"/>
    <w:rsid w:val="00B66DB3"/>
    <w:rsid w:val="00B7258D"/>
    <w:rsid w:val="00B72B0F"/>
    <w:rsid w:val="00B72D1B"/>
    <w:rsid w:val="00B741B2"/>
    <w:rsid w:val="00B75A86"/>
    <w:rsid w:val="00B7668E"/>
    <w:rsid w:val="00B80028"/>
    <w:rsid w:val="00B833EA"/>
    <w:rsid w:val="00B85271"/>
    <w:rsid w:val="00B85EF3"/>
    <w:rsid w:val="00B86B05"/>
    <w:rsid w:val="00B9223B"/>
    <w:rsid w:val="00B960DA"/>
    <w:rsid w:val="00B97604"/>
    <w:rsid w:val="00BA11EC"/>
    <w:rsid w:val="00BA4D1F"/>
    <w:rsid w:val="00BA7AD1"/>
    <w:rsid w:val="00BB04EC"/>
    <w:rsid w:val="00BB18B7"/>
    <w:rsid w:val="00BB2250"/>
    <w:rsid w:val="00BB4A68"/>
    <w:rsid w:val="00BB58EE"/>
    <w:rsid w:val="00BB739A"/>
    <w:rsid w:val="00BC0FDD"/>
    <w:rsid w:val="00BC14E6"/>
    <w:rsid w:val="00BC22E0"/>
    <w:rsid w:val="00BD001D"/>
    <w:rsid w:val="00BD30FE"/>
    <w:rsid w:val="00BD65B1"/>
    <w:rsid w:val="00BE0E4A"/>
    <w:rsid w:val="00BE0F79"/>
    <w:rsid w:val="00BE21EF"/>
    <w:rsid w:val="00BE28ED"/>
    <w:rsid w:val="00BE3E18"/>
    <w:rsid w:val="00BE673B"/>
    <w:rsid w:val="00BE688D"/>
    <w:rsid w:val="00BE7C9B"/>
    <w:rsid w:val="00BF01A7"/>
    <w:rsid w:val="00BF0A4C"/>
    <w:rsid w:val="00BF0D34"/>
    <w:rsid w:val="00BF1ECA"/>
    <w:rsid w:val="00BF3A47"/>
    <w:rsid w:val="00BF3F7C"/>
    <w:rsid w:val="00C00463"/>
    <w:rsid w:val="00C0147E"/>
    <w:rsid w:val="00C03F20"/>
    <w:rsid w:val="00C04FE4"/>
    <w:rsid w:val="00C05AAC"/>
    <w:rsid w:val="00C1588F"/>
    <w:rsid w:val="00C219E6"/>
    <w:rsid w:val="00C25084"/>
    <w:rsid w:val="00C266D8"/>
    <w:rsid w:val="00C30A4F"/>
    <w:rsid w:val="00C31401"/>
    <w:rsid w:val="00C378D4"/>
    <w:rsid w:val="00C41665"/>
    <w:rsid w:val="00C41758"/>
    <w:rsid w:val="00C429E1"/>
    <w:rsid w:val="00C462F8"/>
    <w:rsid w:val="00C56CD2"/>
    <w:rsid w:val="00C70B66"/>
    <w:rsid w:val="00C71CD1"/>
    <w:rsid w:val="00C71E9F"/>
    <w:rsid w:val="00C73143"/>
    <w:rsid w:val="00C73B63"/>
    <w:rsid w:val="00C77685"/>
    <w:rsid w:val="00C77815"/>
    <w:rsid w:val="00C80100"/>
    <w:rsid w:val="00C8239D"/>
    <w:rsid w:val="00C84901"/>
    <w:rsid w:val="00C8491D"/>
    <w:rsid w:val="00C85378"/>
    <w:rsid w:val="00C928F1"/>
    <w:rsid w:val="00C9297C"/>
    <w:rsid w:val="00C94D5F"/>
    <w:rsid w:val="00C9700F"/>
    <w:rsid w:val="00CA201A"/>
    <w:rsid w:val="00CA621B"/>
    <w:rsid w:val="00CA6FDA"/>
    <w:rsid w:val="00CB0AFB"/>
    <w:rsid w:val="00CB266D"/>
    <w:rsid w:val="00CB3B6F"/>
    <w:rsid w:val="00CC0C5F"/>
    <w:rsid w:val="00CC14B6"/>
    <w:rsid w:val="00CC2F3D"/>
    <w:rsid w:val="00CC3508"/>
    <w:rsid w:val="00CC5144"/>
    <w:rsid w:val="00CC5FF3"/>
    <w:rsid w:val="00CD08E2"/>
    <w:rsid w:val="00CD422C"/>
    <w:rsid w:val="00CD783C"/>
    <w:rsid w:val="00CE183D"/>
    <w:rsid w:val="00CE2766"/>
    <w:rsid w:val="00CE2ADF"/>
    <w:rsid w:val="00CE3713"/>
    <w:rsid w:val="00CF0807"/>
    <w:rsid w:val="00CF1463"/>
    <w:rsid w:val="00CF1976"/>
    <w:rsid w:val="00CF1D7D"/>
    <w:rsid w:val="00CF45D3"/>
    <w:rsid w:val="00CF5787"/>
    <w:rsid w:val="00CF6B6C"/>
    <w:rsid w:val="00D01197"/>
    <w:rsid w:val="00D042BB"/>
    <w:rsid w:val="00D058B0"/>
    <w:rsid w:val="00D05C8E"/>
    <w:rsid w:val="00D06CA0"/>
    <w:rsid w:val="00D11F7D"/>
    <w:rsid w:val="00D11FC3"/>
    <w:rsid w:val="00D1275E"/>
    <w:rsid w:val="00D13098"/>
    <w:rsid w:val="00D17789"/>
    <w:rsid w:val="00D1789C"/>
    <w:rsid w:val="00D17B5C"/>
    <w:rsid w:val="00D17EDC"/>
    <w:rsid w:val="00D20AC2"/>
    <w:rsid w:val="00D21565"/>
    <w:rsid w:val="00D226BE"/>
    <w:rsid w:val="00D25860"/>
    <w:rsid w:val="00D2737E"/>
    <w:rsid w:val="00D274A9"/>
    <w:rsid w:val="00D32347"/>
    <w:rsid w:val="00D32644"/>
    <w:rsid w:val="00D33229"/>
    <w:rsid w:val="00D33619"/>
    <w:rsid w:val="00D338F0"/>
    <w:rsid w:val="00D40FD4"/>
    <w:rsid w:val="00D4693D"/>
    <w:rsid w:val="00D52AC7"/>
    <w:rsid w:val="00D53772"/>
    <w:rsid w:val="00D54CA9"/>
    <w:rsid w:val="00D556EC"/>
    <w:rsid w:val="00D56D67"/>
    <w:rsid w:val="00D6340F"/>
    <w:rsid w:val="00D72D16"/>
    <w:rsid w:val="00D74213"/>
    <w:rsid w:val="00D7792E"/>
    <w:rsid w:val="00D8049E"/>
    <w:rsid w:val="00D804D4"/>
    <w:rsid w:val="00D81032"/>
    <w:rsid w:val="00D81914"/>
    <w:rsid w:val="00D8195B"/>
    <w:rsid w:val="00D83FD2"/>
    <w:rsid w:val="00D8561C"/>
    <w:rsid w:val="00D8619F"/>
    <w:rsid w:val="00D86764"/>
    <w:rsid w:val="00D90DA7"/>
    <w:rsid w:val="00D924C9"/>
    <w:rsid w:val="00D92F0C"/>
    <w:rsid w:val="00D957E3"/>
    <w:rsid w:val="00D970E2"/>
    <w:rsid w:val="00DA5ABC"/>
    <w:rsid w:val="00DB0873"/>
    <w:rsid w:val="00DB235D"/>
    <w:rsid w:val="00DB2772"/>
    <w:rsid w:val="00DB5528"/>
    <w:rsid w:val="00DB5C0A"/>
    <w:rsid w:val="00DB5E40"/>
    <w:rsid w:val="00DC0C93"/>
    <w:rsid w:val="00DC0E09"/>
    <w:rsid w:val="00DC168A"/>
    <w:rsid w:val="00DC68EB"/>
    <w:rsid w:val="00DD13E2"/>
    <w:rsid w:val="00DD4351"/>
    <w:rsid w:val="00DD6A37"/>
    <w:rsid w:val="00DE153B"/>
    <w:rsid w:val="00DE3B70"/>
    <w:rsid w:val="00DF003C"/>
    <w:rsid w:val="00DF4501"/>
    <w:rsid w:val="00DF719A"/>
    <w:rsid w:val="00DF723C"/>
    <w:rsid w:val="00DF783E"/>
    <w:rsid w:val="00DF78AE"/>
    <w:rsid w:val="00E01ADB"/>
    <w:rsid w:val="00E029A8"/>
    <w:rsid w:val="00E06C54"/>
    <w:rsid w:val="00E117EC"/>
    <w:rsid w:val="00E11E2E"/>
    <w:rsid w:val="00E15602"/>
    <w:rsid w:val="00E16E78"/>
    <w:rsid w:val="00E173AC"/>
    <w:rsid w:val="00E20A5F"/>
    <w:rsid w:val="00E24CF4"/>
    <w:rsid w:val="00E26A43"/>
    <w:rsid w:val="00E27279"/>
    <w:rsid w:val="00E31699"/>
    <w:rsid w:val="00E316D8"/>
    <w:rsid w:val="00E32707"/>
    <w:rsid w:val="00E32BF3"/>
    <w:rsid w:val="00E348A5"/>
    <w:rsid w:val="00E371EC"/>
    <w:rsid w:val="00E422D7"/>
    <w:rsid w:val="00E469E1"/>
    <w:rsid w:val="00E6063A"/>
    <w:rsid w:val="00E62A59"/>
    <w:rsid w:val="00E64A3C"/>
    <w:rsid w:val="00E65AC5"/>
    <w:rsid w:val="00E679CA"/>
    <w:rsid w:val="00E703E8"/>
    <w:rsid w:val="00E71E1C"/>
    <w:rsid w:val="00E72AE3"/>
    <w:rsid w:val="00E72D63"/>
    <w:rsid w:val="00E73B0B"/>
    <w:rsid w:val="00E73B51"/>
    <w:rsid w:val="00E743B7"/>
    <w:rsid w:val="00E75CF5"/>
    <w:rsid w:val="00E76D3D"/>
    <w:rsid w:val="00E81B17"/>
    <w:rsid w:val="00E8308B"/>
    <w:rsid w:val="00E83125"/>
    <w:rsid w:val="00E83F26"/>
    <w:rsid w:val="00E86A13"/>
    <w:rsid w:val="00E86CA7"/>
    <w:rsid w:val="00E91DCA"/>
    <w:rsid w:val="00EA1F89"/>
    <w:rsid w:val="00EA5BCC"/>
    <w:rsid w:val="00EB117B"/>
    <w:rsid w:val="00EB15E0"/>
    <w:rsid w:val="00EB39C0"/>
    <w:rsid w:val="00EB40D6"/>
    <w:rsid w:val="00EB58BC"/>
    <w:rsid w:val="00EB5F75"/>
    <w:rsid w:val="00EB79CD"/>
    <w:rsid w:val="00EB7F18"/>
    <w:rsid w:val="00EC305D"/>
    <w:rsid w:val="00EC3BF2"/>
    <w:rsid w:val="00EC3C36"/>
    <w:rsid w:val="00ED6131"/>
    <w:rsid w:val="00EE0578"/>
    <w:rsid w:val="00EE0F2E"/>
    <w:rsid w:val="00EE1454"/>
    <w:rsid w:val="00EE2A41"/>
    <w:rsid w:val="00EE2C8C"/>
    <w:rsid w:val="00EE3054"/>
    <w:rsid w:val="00EE3257"/>
    <w:rsid w:val="00EE575D"/>
    <w:rsid w:val="00EE5F8D"/>
    <w:rsid w:val="00EF09FB"/>
    <w:rsid w:val="00EF22EE"/>
    <w:rsid w:val="00EF4C15"/>
    <w:rsid w:val="00EF5689"/>
    <w:rsid w:val="00EF5956"/>
    <w:rsid w:val="00F02923"/>
    <w:rsid w:val="00F02B2C"/>
    <w:rsid w:val="00F0351B"/>
    <w:rsid w:val="00F04E34"/>
    <w:rsid w:val="00F06472"/>
    <w:rsid w:val="00F06F04"/>
    <w:rsid w:val="00F0721E"/>
    <w:rsid w:val="00F0754E"/>
    <w:rsid w:val="00F0756F"/>
    <w:rsid w:val="00F07BC6"/>
    <w:rsid w:val="00F110DB"/>
    <w:rsid w:val="00F13693"/>
    <w:rsid w:val="00F16026"/>
    <w:rsid w:val="00F22566"/>
    <w:rsid w:val="00F22963"/>
    <w:rsid w:val="00F25D50"/>
    <w:rsid w:val="00F2654F"/>
    <w:rsid w:val="00F360CF"/>
    <w:rsid w:val="00F37993"/>
    <w:rsid w:val="00F403EA"/>
    <w:rsid w:val="00F42753"/>
    <w:rsid w:val="00F4623D"/>
    <w:rsid w:val="00F47DEC"/>
    <w:rsid w:val="00F510DB"/>
    <w:rsid w:val="00F54525"/>
    <w:rsid w:val="00F56B30"/>
    <w:rsid w:val="00F64643"/>
    <w:rsid w:val="00F647F3"/>
    <w:rsid w:val="00F7260C"/>
    <w:rsid w:val="00F727B0"/>
    <w:rsid w:val="00F72B5D"/>
    <w:rsid w:val="00F750BE"/>
    <w:rsid w:val="00F84FFF"/>
    <w:rsid w:val="00F90E93"/>
    <w:rsid w:val="00F91F36"/>
    <w:rsid w:val="00F946D3"/>
    <w:rsid w:val="00F94BD5"/>
    <w:rsid w:val="00F95A73"/>
    <w:rsid w:val="00F97F52"/>
    <w:rsid w:val="00FA2545"/>
    <w:rsid w:val="00FA5036"/>
    <w:rsid w:val="00FA5363"/>
    <w:rsid w:val="00FA7EED"/>
    <w:rsid w:val="00FB2CFE"/>
    <w:rsid w:val="00FB4AAD"/>
    <w:rsid w:val="00FB4E3D"/>
    <w:rsid w:val="00FB5348"/>
    <w:rsid w:val="00FB5F2A"/>
    <w:rsid w:val="00FB6049"/>
    <w:rsid w:val="00FB6C8F"/>
    <w:rsid w:val="00FC02ED"/>
    <w:rsid w:val="00FC4E89"/>
    <w:rsid w:val="00FC4F9B"/>
    <w:rsid w:val="00FC59F0"/>
    <w:rsid w:val="00FC5E56"/>
    <w:rsid w:val="00FD2899"/>
    <w:rsid w:val="00FD40C6"/>
    <w:rsid w:val="00FD4599"/>
    <w:rsid w:val="00FD4784"/>
    <w:rsid w:val="00FD4D25"/>
    <w:rsid w:val="00FD65FE"/>
    <w:rsid w:val="00FD68C0"/>
    <w:rsid w:val="00FD6B1B"/>
    <w:rsid w:val="00FE08B8"/>
    <w:rsid w:val="00FE0C67"/>
    <w:rsid w:val="00FE3D5E"/>
    <w:rsid w:val="00FE4640"/>
    <w:rsid w:val="00FF1EFA"/>
    <w:rsid w:val="00FF7F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57C1D"/>
  <w15:chartTrackingRefBased/>
  <w15:docId w15:val="{6391A97A-2FE7-4525-83FC-FAD562D86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770FCE"/>
    <w:rPr>
      <w:color w:val="605E5C"/>
      <w:shd w:val="clear" w:color="auto" w:fill="E1DFDD"/>
    </w:rPr>
  </w:style>
  <w:style w:type="character" w:styleId="Hipervnculovisitado">
    <w:name w:val="FollowedHyperlink"/>
    <w:basedOn w:val="Fuentedeprrafopredeter"/>
    <w:uiPriority w:val="99"/>
    <w:semiHidden/>
    <w:unhideWhenUsed/>
    <w:rsid w:val="00770FCE"/>
    <w:rPr>
      <w:color w:val="954F72" w:themeColor="followedHyperlink"/>
      <w:u w:val="single"/>
    </w:rPr>
  </w:style>
  <w:style w:type="paragraph" w:customStyle="1" w:styleId="INFOEM">
    <w:name w:val="INFOEM"/>
    <w:basedOn w:val="Normal"/>
    <w:qFormat/>
    <w:rsid w:val="00217852"/>
    <w:pPr>
      <w:spacing w:before="240" w:line="360" w:lineRule="auto"/>
      <w:ind w:left="851" w:right="851"/>
      <w:jc w:val="both"/>
    </w:pPr>
    <w:rPr>
      <w:rFonts w:ascii="Palatino Linotype" w:hAnsi="Palatino Linotype"/>
      <w:i/>
      <w:szCs w:val="14"/>
    </w:rPr>
  </w:style>
  <w:style w:type="character" w:customStyle="1" w:styleId="Mencinsinresolver2">
    <w:name w:val="Mención sin resolver2"/>
    <w:basedOn w:val="Fuentedeprrafopredeter"/>
    <w:uiPriority w:val="99"/>
    <w:semiHidden/>
    <w:unhideWhenUsed/>
    <w:rsid w:val="007B2303"/>
    <w:rPr>
      <w:color w:val="605E5C"/>
      <w:shd w:val="clear" w:color="auto" w:fill="E1DFDD"/>
    </w:rPr>
  </w:style>
  <w:style w:type="character" w:customStyle="1" w:styleId="highlight">
    <w:name w:val="highlight"/>
    <w:basedOn w:val="Fuentedeprrafopredeter"/>
    <w:rsid w:val="005E48E4"/>
  </w:style>
  <w:style w:type="table" w:styleId="Tablaconcuadrcula">
    <w:name w:val="Table Grid"/>
    <w:basedOn w:val="Tablanormal"/>
    <w:uiPriority w:val="39"/>
    <w:rsid w:val="00DB55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itas">
    <w:name w:val="Citas"/>
    <w:basedOn w:val="Normal"/>
    <w:qFormat/>
    <w:rsid w:val="00247D10"/>
    <w:pPr>
      <w:spacing w:before="240" w:line="360" w:lineRule="auto"/>
      <w:ind w:left="851" w:right="851"/>
      <w:jc w:val="both"/>
    </w:pPr>
    <w:rPr>
      <w:rFonts w:ascii="Palatino Linotype" w:hAnsi="Palatino Linotype" w:cs="Arial"/>
      <w:i/>
    </w:rPr>
  </w:style>
  <w:style w:type="character" w:styleId="Refdecomentario">
    <w:name w:val="annotation reference"/>
    <w:basedOn w:val="Fuentedeprrafopredeter"/>
    <w:uiPriority w:val="99"/>
    <w:semiHidden/>
    <w:unhideWhenUsed/>
    <w:rsid w:val="00C8239D"/>
    <w:rPr>
      <w:sz w:val="16"/>
      <w:szCs w:val="16"/>
    </w:rPr>
  </w:style>
  <w:style w:type="paragraph" w:styleId="Textocomentario">
    <w:name w:val="annotation text"/>
    <w:basedOn w:val="Normal"/>
    <w:link w:val="TextocomentarioCar"/>
    <w:uiPriority w:val="99"/>
    <w:unhideWhenUsed/>
    <w:rsid w:val="00C8239D"/>
    <w:pPr>
      <w:spacing w:line="240" w:lineRule="auto"/>
    </w:pPr>
    <w:rPr>
      <w:sz w:val="20"/>
      <w:szCs w:val="20"/>
    </w:rPr>
  </w:style>
  <w:style w:type="character" w:customStyle="1" w:styleId="TextocomentarioCar">
    <w:name w:val="Texto comentario Car"/>
    <w:basedOn w:val="Fuentedeprrafopredeter"/>
    <w:link w:val="Textocomentario"/>
    <w:uiPriority w:val="99"/>
    <w:rsid w:val="00C8239D"/>
    <w:rPr>
      <w:sz w:val="20"/>
      <w:szCs w:val="20"/>
    </w:rPr>
  </w:style>
  <w:style w:type="paragraph" w:styleId="Asuntodelcomentario">
    <w:name w:val="annotation subject"/>
    <w:basedOn w:val="Textocomentario"/>
    <w:next w:val="Textocomentario"/>
    <w:link w:val="AsuntodelcomentarioCar"/>
    <w:uiPriority w:val="99"/>
    <w:semiHidden/>
    <w:unhideWhenUsed/>
    <w:rsid w:val="00C8239D"/>
    <w:rPr>
      <w:b/>
      <w:bCs/>
    </w:rPr>
  </w:style>
  <w:style w:type="character" w:customStyle="1" w:styleId="AsuntodelcomentarioCar">
    <w:name w:val="Asunto del comentario Car"/>
    <w:basedOn w:val="TextocomentarioCar"/>
    <w:link w:val="Asuntodelcomentario"/>
    <w:uiPriority w:val="99"/>
    <w:semiHidden/>
    <w:rsid w:val="00C8239D"/>
    <w:rPr>
      <w:b/>
      <w:bCs/>
      <w:sz w:val="20"/>
      <w:szCs w:val="20"/>
    </w:rPr>
  </w:style>
  <w:style w:type="character" w:styleId="nfasis">
    <w:name w:val="Emphasis"/>
    <w:basedOn w:val="Fuentedeprrafopredeter"/>
    <w:uiPriority w:val="20"/>
    <w:qFormat/>
    <w:rsid w:val="00E703E8"/>
    <w:rPr>
      <w:i/>
      <w:iCs/>
    </w:rPr>
  </w:style>
  <w:style w:type="paragraph" w:customStyle="1" w:styleId="infoem0">
    <w:name w:val="infoem"/>
    <w:basedOn w:val="Sinespaciado"/>
    <w:qFormat/>
    <w:rsid w:val="00EF22EE"/>
    <w:pPr>
      <w:spacing w:before="240" w:after="160" w:line="360" w:lineRule="auto"/>
      <w:ind w:left="851" w:right="851"/>
      <w:jc w:val="both"/>
    </w:pPr>
    <w:rPr>
      <w:rFonts w:ascii="Palatino Linotype" w:eastAsiaTheme="minorHAnsi" w:hAnsi="Palatino Linotype" w:cs="Arial"/>
      <w:i/>
      <w:sz w:val="22"/>
      <w:lang w:eastAsia="en-US"/>
    </w:rPr>
  </w:style>
  <w:style w:type="paragraph" w:styleId="NormalWeb">
    <w:name w:val="Normal (Web)"/>
    <w:basedOn w:val="Normal"/>
    <w:uiPriority w:val="99"/>
    <w:semiHidden/>
    <w:unhideWhenUsed/>
    <w:rsid w:val="00096CA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
    <w:name w:val="j"/>
    <w:basedOn w:val="Normal"/>
    <w:rsid w:val="005523D5"/>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Mencinsinresolver3">
    <w:name w:val="Mención sin resolver3"/>
    <w:basedOn w:val="Fuentedeprrafopredeter"/>
    <w:uiPriority w:val="99"/>
    <w:semiHidden/>
    <w:unhideWhenUsed/>
    <w:rsid w:val="0056134C"/>
    <w:rPr>
      <w:color w:val="605E5C"/>
      <w:shd w:val="clear" w:color="auto" w:fill="E1DFDD"/>
    </w:rPr>
  </w:style>
  <w:style w:type="character" w:customStyle="1" w:styleId="markedcontent">
    <w:name w:val="markedcontent"/>
    <w:basedOn w:val="Fuentedeprrafopredeter"/>
    <w:rsid w:val="000F2554"/>
  </w:style>
  <w:style w:type="paragraph" w:customStyle="1" w:styleId="infoemcitas">
    <w:name w:val="infoem citas"/>
    <w:basedOn w:val="Normal"/>
    <w:qFormat/>
    <w:rsid w:val="00BE0F79"/>
    <w:pPr>
      <w:spacing w:before="240" w:line="360" w:lineRule="auto"/>
      <w:ind w:left="851" w:right="851"/>
      <w:jc w:val="both"/>
    </w:pPr>
    <w:rPr>
      <w:rFonts w:ascii="Palatino Linotype" w:hAnsi="Palatino Linotype"/>
      <w:i/>
    </w:rPr>
  </w:style>
  <w:style w:type="character" w:customStyle="1" w:styleId="UnresolvedMention">
    <w:name w:val="Unresolved Mention"/>
    <w:basedOn w:val="Fuentedeprrafopredeter"/>
    <w:uiPriority w:val="99"/>
    <w:semiHidden/>
    <w:unhideWhenUsed/>
    <w:rsid w:val="00D1275E"/>
    <w:rPr>
      <w:color w:val="605E5C"/>
      <w:shd w:val="clear" w:color="auto" w:fill="E1DFDD"/>
    </w:rPr>
  </w:style>
  <w:style w:type="paragraph" w:customStyle="1" w:styleId="CitasINFOEM">
    <w:name w:val="Citas INFOEM"/>
    <w:basedOn w:val="Normal"/>
    <w:qFormat/>
    <w:rsid w:val="00BB18B7"/>
    <w:pPr>
      <w:spacing w:before="240" w:line="360" w:lineRule="auto"/>
      <w:ind w:left="851" w:right="851"/>
      <w:jc w:val="both"/>
    </w:pPr>
    <w:rPr>
      <w:rFonts w:ascii="Palatino Linotype" w:eastAsia="Times New Roman" w:hAnsi="Palatino Linotype" w:cs="Times New Roman"/>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35758327">
      <w:bodyDiv w:val="1"/>
      <w:marLeft w:val="0"/>
      <w:marRight w:val="0"/>
      <w:marTop w:val="0"/>
      <w:marBottom w:val="0"/>
      <w:divBdr>
        <w:top w:val="none" w:sz="0" w:space="0" w:color="auto"/>
        <w:left w:val="none" w:sz="0" w:space="0" w:color="auto"/>
        <w:bottom w:val="none" w:sz="0" w:space="0" w:color="auto"/>
        <w:right w:val="none" w:sz="0" w:space="0" w:color="auto"/>
      </w:divBdr>
    </w:div>
    <w:div w:id="483010731">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07137243">
      <w:bodyDiv w:val="1"/>
      <w:marLeft w:val="0"/>
      <w:marRight w:val="0"/>
      <w:marTop w:val="0"/>
      <w:marBottom w:val="0"/>
      <w:divBdr>
        <w:top w:val="none" w:sz="0" w:space="0" w:color="auto"/>
        <w:left w:val="none" w:sz="0" w:space="0" w:color="auto"/>
        <w:bottom w:val="none" w:sz="0" w:space="0" w:color="auto"/>
        <w:right w:val="none" w:sz="0" w:space="0" w:color="auto"/>
      </w:divBdr>
    </w:div>
    <w:div w:id="518932729">
      <w:bodyDiv w:val="1"/>
      <w:marLeft w:val="0"/>
      <w:marRight w:val="0"/>
      <w:marTop w:val="0"/>
      <w:marBottom w:val="0"/>
      <w:divBdr>
        <w:top w:val="none" w:sz="0" w:space="0" w:color="auto"/>
        <w:left w:val="none" w:sz="0" w:space="0" w:color="auto"/>
        <w:bottom w:val="none" w:sz="0" w:space="0" w:color="auto"/>
        <w:right w:val="none" w:sz="0" w:space="0" w:color="auto"/>
      </w:divBdr>
    </w:div>
    <w:div w:id="532428847">
      <w:bodyDiv w:val="1"/>
      <w:marLeft w:val="0"/>
      <w:marRight w:val="0"/>
      <w:marTop w:val="0"/>
      <w:marBottom w:val="0"/>
      <w:divBdr>
        <w:top w:val="none" w:sz="0" w:space="0" w:color="auto"/>
        <w:left w:val="none" w:sz="0" w:space="0" w:color="auto"/>
        <w:bottom w:val="none" w:sz="0" w:space="0" w:color="auto"/>
        <w:right w:val="none" w:sz="0" w:space="0" w:color="auto"/>
      </w:divBdr>
    </w:div>
    <w:div w:id="554245668">
      <w:bodyDiv w:val="1"/>
      <w:marLeft w:val="0"/>
      <w:marRight w:val="0"/>
      <w:marTop w:val="0"/>
      <w:marBottom w:val="0"/>
      <w:divBdr>
        <w:top w:val="none" w:sz="0" w:space="0" w:color="auto"/>
        <w:left w:val="none" w:sz="0" w:space="0" w:color="auto"/>
        <w:bottom w:val="none" w:sz="0" w:space="0" w:color="auto"/>
        <w:right w:val="none" w:sz="0" w:space="0" w:color="auto"/>
      </w:divBdr>
    </w:div>
    <w:div w:id="623273245">
      <w:bodyDiv w:val="1"/>
      <w:marLeft w:val="0"/>
      <w:marRight w:val="0"/>
      <w:marTop w:val="0"/>
      <w:marBottom w:val="0"/>
      <w:divBdr>
        <w:top w:val="none" w:sz="0" w:space="0" w:color="auto"/>
        <w:left w:val="none" w:sz="0" w:space="0" w:color="auto"/>
        <w:bottom w:val="none" w:sz="0" w:space="0" w:color="auto"/>
        <w:right w:val="none" w:sz="0" w:space="0" w:color="auto"/>
      </w:divBdr>
    </w:div>
    <w:div w:id="642465649">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4670175">
      <w:bodyDiv w:val="1"/>
      <w:marLeft w:val="0"/>
      <w:marRight w:val="0"/>
      <w:marTop w:val="0"/>
      <w:marBottom w:val="0"/>
      <w:divBdr>
        <w:top w:val="none" w:sz="0" w:space="0" w:color="auto"/>
        <w:left w:val="none" w:sz="0" w:space="0" w:color="auto"/>
        <w:bottom w:val="none" w:sz="0" w:space="0" w:color="auto"/>
        <w:right w:val="none" w:sz="0" w:space="0" w:color="auto"/>
      </w:divBdr>
    </w:div>
    <w:div w:id="755592802">
      <w:bodyDiv w:val="1"/>
      <w:marLeft w:val="0"/>
      <w:marRight w:val="0"/>
      <w:marTop w:val="0"/>
      <w:marBottom w:val="0"/>
      <w:divBdr>
        <w:top w:val="none" w:sz="0" w:space="0" w:color="auto"/>
        <w:left w:val="none" w:sz="0" w:space="0" w:color="auto"/>
        <w:bottom w:val="none" w:sz="0" w:space="0" w:color="auto"/>
        <w:right w:val="none" w:sz="0" w:space="0" w:color="auto"/>
      </w:divBdr>
    </w:div>
    <w:div w:id="780732998">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791435863">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11411869">
      <w:bodyDiv w:val="1"/>
      <w:marLeft w:val="0"/>
      <w:marRight w:val="0"/>
      <w:marTop w:val="0"/>
      <w:marBottom w:val="0"/>
      <w:divBdr>
        <w:top w:val="none" w:sz="0" w:space="0" w:color="auto"/>
        <w:left w:val="none" w:sz="0" w:space="0" w:color="auto"/>
        <w:bottom w:val="none" w:sz="0" w:space="0" w:color="auto"/>
        <w:right w:val="none" w:sz="0" w:space="0" w:color="auto"/>
      </w:divBdr>
    </w:div>
    <w:div w:id="833648718">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0870464">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02928978">
      <w:bodyDiv w:val="1"/>
      <w:marLeft w:val="0"/>
      <w:marRight w:val="0"/>
      <w:marTop w:val="0"/>
      <w:marBottom w:val="0"/>
      <w:divBdr>
        <w:top w:val="none" w:sz="0" w:space="0" w:color="auto"/>
        <w:left w:val="none" w:sz="0" w:space="0" w:color="auto"/>
        <w:bottom w:val="none" w:sz="0" w:space="0" w:color="auto"/>
        <w:right w:val="none" w:sz="0" w:space="0" w:color="auto"/>
      </w:divBdr>
    </w:div>
    <w:div w:id="1107895878">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76841482">
      <w:bodyDiv w:val="1"/>
      <w:marLeft w:val="0"/>
      <w:marRight w:val="0"/>
      <w:marTop w:val="0"/>
      <w:marBottom w:val="0"/>
      <w:divBdr>
        <w:top w:val="none" w:sz="0" w:space="0" w:color="auto"/>
        <w:left w:val="none" w:sz="0" w:space="0" w:color="auto"/>
        <w:bottom w:val="none" w:sz="0" w:space="0" w:color="auto"/>
        <w:right w:val="none" w:sz="0" w:space="0" w:color="auto"/>
      </w:divBdr>
    </w:div>
    <w:div w:id="1212613041">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345286716">
      <w:bodyDiv w:val="1"/>
      <w:marLeft w:val="0"/>
      <w:marRight w:val="0"/>
      <w:marTop w:val="0"/>
      <w:marBottom w:val="0"/>
      <w:divBdr>
        <w:top w:val="none" w:sz="0" w:space="0" w:color="auto"/>
        <w:left w:val="none" w:sz="0" w:space="0" w:color="auto"/>
        <w:bottom w:val="none" w:sz="0" w:space="0" w:color="auto"/>
        <w:right w:val="none" w:sz="0" w:space="0" w:color="auto"/>
      </w:divBdr>
    </w:div>
    <w:div w:id="1426148782">
      <w:bodyDiv w:val="1"/>
      <w:marLeft w:val="0"/>
      <w:marRight w:val="0"/>
      <w:marTop w:val="0"/>
      <w:marBottom w:val="0"/>
      <w:divBdr>
        <w:top w:val="none" w:sz="0" w:space="0" w:color="auto"/>
        <w:left w:val="none" w:sz="0" w:space="0" w:color="auto"/>
        <w:bottom w:val="none" w:sz="0" w:space="0" w:color="auto"/>
        <w:right w:val="none" w:sz="0" w:space="0" w:color="auto"/>
      </w:divBdr>
    </w:div>
    <w:div w:id="1483280349">
      <w:bodyDiv w:val="1"/>
      <w:marLeft w:val="0"/>
      <w:marRight w:val="0"/>
      <w:marTop w:val="0"/>
      <w:marBottom w:val="0"/>
      <w:divBdr>
        <w:top w:val="none" w:sz="0" w:space="0" w:color="auto"/>
        <w:left w:val="none" w:sz="0" w:space="0" w:color="auto"/>
        <w:bottom w:val="none" w:sz="0" w:space="0" w:color="auto"/>
        <w:right w:val="none" w:sz="0" w:space="0" w:color="auto"/>
      </w:divBdr>
    </w:div>
    <w:div w:id="1486050785">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8977937">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3112882">
      <w:bodyDiv w:val="1"/>
      <w:marLeft w:val="0"/>
      <w:marRight w:val="0"/>
      <w:marTop w:val="0"/>
      <w:marBottom w:val="0"/>
      <w:divBdr>
        <w:top w:val="none" w:sz="0" w:space="0" w:color="auto"/>
        <w:left w:val="none" w:sz="0" w:space="0" w:color="auto"/>
        <w:bottom w:val="none" w:sz="0" w:space="0" w:color="auto"/>
        <w:right w:val="none" w:sz="0" w:space="0" w:color="auto"/>
      </w:divBdr>
    </w:div>
    <w:div w:id="1812406106">
      <w:bodyDiv w:val="1"/>
      <w:marLeft w:val="0"/>
      <w:marRight w:val="0"/>
      <w:marTop w:val="0"/>
      <w:marBottom w:val="0"/>
      <w:divBdr>
        <w:top w:val="none" w:sz="0" w:space="0" w:color="auto"/>
        <w:left w:val="none" w:sz="0" w:space="0" w:color="auto"/>
        <w:bottom w:val="none" w:sz="0" w:space="0" w:color="auto"/>
        <w:right w:val="none" w:sz="0" w:space="0" w:color="auto"/>
      </w:divBdr>
    </w:div>
    <w:div w:id="188640827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2028870846">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79593076">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B7970-EC29-4552-BF20-EFA2A9557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56</Pages>
  <Words>11160</Words>
  <Characters>61381</Characters>
  <Application>Microsoft Office Word</Application>
  <DocSecurity>0</DocSecurity>
  <Lines>511</Lines>
  <Paragraphs>144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20</cp:revision>
  <cp:lastPrinted>2024-02-15T18:22:00Z</cp:lastPrinted>
  <dcterms:created xsi:type="dcterms:W3CDTF">2024-01-22T15:36:00Z</dcterms:created>
  <dcterms:modified xsi:type="dcterms:W3CDTF">2024-04-11T19:40:00Z</dcterms:modified>
</cp:coreProperties>
</file>