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30A78"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04E55C76" w14:textId="018A2341"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VISTO</w:t>
      </w:r>
      <w:r w:rsidRPr="00B167DF">
        <w:rPr>
          <w:rFonts w:ascii="Palatino Linotype" w:eastAsia="Palatino Linotype" w:hAnsi="Palatino Linotype" w:cs="Palatino Linotype"/>
        </w:rPr>
        <w:t xml:space="preserve"> el expediente formado con motivo del recurso de revisión </w:t>
      </w:r>
      <w:r w:rsidRPr="00B167DF">
        <w:rPr>
          <w:rFonts w:ascii="Palatino Linotype" w:eastAsia="Palatino Linotype" w:hAnsi="Palatino Linotype" w:cs="Palatino Linotype"/>
          <w:b/>
        </w:rPr>
        <w:t>05794/INFOEM/IP/RR/2024</w:t>
      </w:r>
      <w:r w:rsidRPr="00B167DF">
        <w:rPr>
          <w:rFonts w:ascii="Palatino Linotype" w:eastAsia="Palatino Linotype" w:hAnsi="Palatino Linotype" w:cs="Palatino Linotype"/>
        </w:rPr>
        <w:t>, interpuesto por</w:t>
      </w:r>
      <w:r w:rsidRPr="00B167DF">
        <w:rPr>
          <w:rFonts w:ascii="Palatino Linotype" w:eastAsia="Palatino Linotype" w:hAnsi="Palatino Linotype" w:cs="Palatino Linotype"/>
          <w:b/>
        </w:rPr>
        <w:t xml:space="preserve"> </w:t>
      </w:r>
      <w:r w:rsidR="0085137F" w:rsidRPr="0085137F">
        <w:rPr>
          <w:rFonts w:ascii="Palatino Linotype" w:eastAsia="Palatino Linotype" w:hAnsi="Palatino Linotype" w:cs="Palatino Linotype"/>
          <w:b/>
        </w:rPr>
        <w:t>XXXXXXX XX X</w:t>
      </w:r>
      <w:r w:rsidRPr="00B167DF">
        <w:rPr>
          <w:rFonts w:ascii="Palatino Linotype" w:eastAsia="Palatino Linotype" w:hAnsi="Palatino Linotype" w:cs="Palatino Linotype"/>
          <w:b/>
        </w:rPr>
        <w:t>,</w:t>
      </w:r>
      <w:r w:rsidRPr="00B167DF">
        <w:rPr>
          <w:rFonts w:ascii="Palatino Linotype" w:eastAsia="Palatino Linotype" w:hAnsi="Palatino Linotype" w:cs="Palatino Linotype"/>
        </w:rPr>
        <w:t xml:space="preserve"> en lo sucesivo</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rPr>
        <w:t xml:space="preserve">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en contra de la respuesta a la solicitud de información con número de folio </w:t>
      </w:r>
      <w:r w:rsidRPr="00B167DF">
        <w:rPr>
          <w:rFonts w:ascii="Palatino Linotype" w:eastAsia="Palatino Linotype" w:hAnsi="Palatino Linotype" w:cs="Palatino Linotype"/>
          <w:b/>
        </w:rPr>
        <w:t xml:space="preserve">00217/COACALCO/IP/2024, </w:t>
      </w:r>
      <w:r w:rsidRPr="00B167DF">
        <w:rPr>
          <w:rFonts w:ascii="Palatino Linotype" w:eastAsia="Palatino Linotype" w:hAnsi="Palatino Linotype" w:cs="Palatino Linotype"/>
        </w:rPr>
        <w:t xml:space="preserve">por parte del </w:t>
      </w:r>
      <w:r w:rsidRPr="00B167DF">
        <w:rPr>
          <w:rFonts w:ascii="Palatino Linotype" w:eastAsia="Palatino Linotype" w:hAnsi="Palatino Linotype" w:cs="Palatino Linotype"/>
          <w:b/>
        </w:rPr>
        <w:t xml:space="preserve">Ayuntamiento de Coacalco de Berriozábal, </w:t>
      </w:r>
      <w:r w:rsidRPr="00B167DF">
        <w:rPr>
          <w:rFonts w:ascii="Palatino Linotype" w:eastAsia="Palatino Linotype" w:hAnsi="Palatino Linotype" w:cs="Palatino Linotype"/>
        </w:rPr>
        <w:t xml:space="preserve">en lo sucesivo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 xml:space="preserve">se procede a dictar la presente resolución con base en los siguientes: </w:t>
      </w:r>
    </w:p>
    <w:p w14:paraId="6E18DD8D" w14:textId="77777777" w:rsidR="00204857" w:rsidRPr="00B167DF" w:rsidRDefault="002A7DE1">
      <w:pPr>
        <w:spacing w:before="240" w:after="240" w:line="360" w:lineRule="auto"/>
        <w:jc w:val="center"/>
        <w:rPr>
          <w:rFonts w:ascii="Palatino Linotype" w:eastAsia="Palatino Linotype" w:hAnsi="Palatino Linotype" w:cs="Palatino Linotype"/>
          <w:b/>
        </w:rPr>
      </w:pPr>
      <w:r w:rsidRPr="00B167DF">
        <w:rPr>
          <w:rFonts w:ascii="Palatino Linotype" w:eastAsia="Palatino Linotype" w:hAnsi="Palatino Linotype" w:cs="Palatino Linotype"/>
          <w:b/>
        </w:rPr>
        <w:t>I. A N T E C E D E N T E S</w:t>
      </w:r>
    </w:p>
    <w:p w14:paraId="4AF85D63" w14:textId="77777777" w:rsidR="00204857" w:rsidRPr="00B167DF" w:rsidRDefault="002A7DE1">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B167DF">
        <w:rPr>
          <w:rFonts w:ascii="Palatino Linotype" w:eastAsia="Palatino Linotype" w:hAnsi="Palatino Linotype" w:cs="Palatino Linotype"/>
          <w:b/>
        </w:rPr>
        <w:t>1. Solicitud de acceso a la información.</w:t>
      </w:r>
      <w:r w:rsidRPr="00B167DF">
        <w:rPr>
          <w:rFonts w:ascii="Palatino Linotype" w:eastAsia="Palatino Linotype" w:hAnsi="Palatino Linotype" w:cs="Palatino Linotype"/>
        </w:rPr>
        <w:t xml:space="preserve"> El </w:t>
      </w:r>
      <w:r w:rsidRPr="00B167DF">
        <w:rPr>
          <w:rFonts w:ascii="Palatino Linotype" w:eastAsia="Palatino Linotype" w:hAnsi="Palatino Linotype" w:cs="Palatino Linotype"/>
          <w:b/>
        </w:rPr>
        <w:t xml:space="preserve">treinta de agosto de dos mil veinticuatro, </w:t>
      </w:r>
      <w:r w:rsidRPr="00B167DF">
        <w:rPr>
          <w:rFonts w:ascii="Palatino Linotype" w:eastAsia="Palatino Linotype" w:hAnsi="Palatino Linotype" w:cs="Palatino Linotype"/>
        </w:rPr>
        <w:t xml:space="preserve">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 xml:space="preserve">presentó, a través del Sistema de Acceso a la Información Mexiquense, en lo subsecuente el </w:t>
      </w:r>
      <w:r w:rsidRPr="00B167DF">
        <w:rPr>
          <w:rFonts w:ascii="Palatino Linotype" w:eastAsia="Palatino Linotype" w:hAnsi="Palatino Linotype" w:cs="Palatino Linotype"/>
          <w:b/>
        </w:rPr>
        <w:t xml:space="preserve">SAIMEX, </w:t>
      </w:r>
      <w:r w:rsidRPr="00B167DF">
        <w:rPr>
          <w:rFonts w:ascii="Palatino Linotype" w:eastAsia="Palatino Linotype" w:hAnsi="Palatino Linotype" w:cs="Palatino Linotype"/>
        </w:rPr>
        <w:t xml:space="preserve">ante 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la solicitud de acceso a la información pública, mediante la cual requirió la información siguiente: </w:t>
      </w:r>
    </w:p>
    <w:p w14:paraId="35237FD9" w14:textId="77777777" w:rsidR="00204857" w:rsidRPr="00B167DF" w:rsidRDefault="002A7DE1">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167DF">
        <w:rPr>
          <w:rFonts w:ascii="Palatino Linotype" w:eastAsia="Palatino Linotype" w:hAnsi="Palatino Linotype" w:cs="Palatino Linotype"/>
          <w:i/>
          <w:sz w:val="22"/>
          <w:szCs w:val="22"/>
        </w:rPr>
        <w:t xml:space="preserve"> “Solicito los siguientes reportes que sin pretextos o excusas de argucias legales o evasivas sin fundamento jurídico legal obran en sus archivos del Ente </w:t>
      </w:r>
      <w:proofErr w:type="spellStart"/>
      <w:r w:rsidRPr="00B167DF">
        <w:rPr>
          <w:rFonts w:ascii="Palatino Linotype" w:eastAsia="Palatino Linotype" w:hAnsi="Palatino Linotype" w:cs="Palatino Linotype"/>
          <w:i/>
          <w:sz w:val="22"/>
          <w:szCs w:val="22"/>
        </w:rPr>
        <w:t>Publico</w:t>
      </w:r>
      <w:proofErr w:type="spellEnd"/>
      <w:r w:rsidRPr="00B167DF">
        <w:rPr>
          <w:rFonts w:ascii="Palatino Linotype" w:eastAsia="Palatino Linotype" w:hAnsi="Palatino Linotype" w:cs="Palatino Linotype"/>
          <w:i/>
          <w:sz w:val="22"/>
          <w:szCs w:val="22"/>
        </w:rPr>
        <w:t xml:space="preserve"> Obligado y que sin ningún pretexto se pueden extraer de sus portales en no </w:t>
      </w:r>
      <w:proofErr w:type="spellStart"/>
      <w:r w:rsidRPr="00B167DF">
        <w:rPr>
          <w:rFonts w:ascii="Palatino Linotype" w:eastAsia="Palatino Linotype" w:hAnsi="Palatino Linotype" w:cs="Palatino Linotype"/>
          <w:i/>
          <w:sz w:val="22"/>
          <w:szCs w:val="22"/>
        </w:rPr>
        <w:t>mas</w:t>
      </w:r>
      <w:proofErr w:type="spellEnd"/>
      <w:r w:rsidRPr="00B167DF">
        <w:rPr>
          <w:rFonts w:ascii="Palatino Linotype" w:eastAsia="Palatino Linotype" w:hAnsi="Palatino Linotype" w:cs="Palatino Linotype"/>
          <w:i/>
          <w:sz w:val="22"/>
          <w:szCs w:val="22"/>
        </w:rPr>
        <w:t xml:space="preserve"> de 30 minutos tal cual se solicitan de manera, ordenada, clara, precisa y puntual y que se enfatizan obran en sus archivos. Esperando se pueda tener a la brevedad. Sin tener que seguir </w:t>
      </w:r>
      <w:proofErr w:type="spellStart"/>
      <w:r w:rsidRPr="00B167DF">
        <w:rPr>
          <w:rFonts w:ascii="Palatino Linotype" w:eastAsia="Palatino Linotype" w:hAnsi="Palatino Linotype" w:cs="Palatino Linotype"/>
          <w:i/>
          <w:sz w:val="22"/>
          <w:szCs w:val="22"/>
        </w:rPr>
        <w:t>litigimos</w:t>
      </w:r>
      <w:proofErr w:type="spellEnd"/>
      <w:r w:rsidRPr="00B167DF">
        <w:rPr>
          <w:rFonts w:ascii="Palatino Linotype" w:eastAsia="Palatino Linotype" w:hAnsi="Palatino Linotype" w:cs="Palatino Linotype"/>
          <w:i/>
          <w:sz w:val="22"/>
          <w:szCs w:val="22"/>
        </w:rPr>
        <w:t xml:space="preserve"> de Recursos de Revisión esto debido a trabas por servidores </w:t>
      </w:r>
      <w:proofErr w:type="spellStart"/>
      <w:r w:rsidRPr="00B167DF">
        <w:rPr>
          <w:rFonts w:ascii="Palatino Linotype" w:eastAsia="Palatino Linotype" w:hAnsi="Palatino Linotype" w:cs="Palatino Linotype"/>
          <w:i/>
          <w:sz w:val="22"/>
          <w:szCs w:val="22"/>
        </w:rPr>
        <w:t>publicos</w:t>
      </w:r>
      <w:proofErr w:type="spellEnd"/>
      <w:r w:rsidRPr="00B167DF">
        <w:rPr>
          <w:rFonts w:ascii="Palatino Linotype" w:eastAsia="Palatino Linotype" w:hAnsi="Palatino Linotype" w:cs="Palatino Linotype"/>
          <w:i/>
          <w:sz w:val="22"/>
          <w:szCs w:val="22"/>
        </w:rPr>
        <w:t xml:space="preserve"> o desconocimiento de sus archivos se me haga llegar en formato </w:t>
      </w:r>
      <w:proofErr w:type="spellStart"/>
      <w:r w:rsidRPr="00B167DF">
        <w:rPr>
          <w:rFonts w:ascii="Palatino Linotype" w:eastAsia="Palatino Linotype" w:hAnsi="Palatino Linotype" w:cs="Palatino Linotype"/>
          <w:i/>
          <w:sz w:val="22"/>
          <w:szCs w:val="22"/>
        </w:rPr>
        <w:t>pdf</w:t>
      </w:r>
      <w:proofErr w:type="spellEnd"/>
      <w:r w:rsidRPr="00B167DF">
        <w:rPr>
          <w:rFonts w:ascii="Palatino Linotype" w:eastAsia="Palatino Linotype" w:hAnsi="Palatino Linotype" w:cs="Palatino Linotype"/>
          <w:i/>
          <w:sz w:val="22"/>
          <w:szCs w:val="22"/>
        </w:rPr>
        <w:t xml:space="preserve">. Vía datos adjuntos o link de nube por correo electrónico. Agradezco la atención quedo pendiente de lo solicitado. Gracias. *El visor de nómina por sueldos y salarios, es un reporte que baja el tesorero del municipio de la plataforma del SAT en unos pocos minutos, usando la clave CIEC o la FIEL. del año 2020 a </w:t>
      </w:r>
      <w:r w:rsidRPr="00B167DF">
        <w:rPr>
          <w:rFonts w:ascii="Palatino Linotype" w:eastAsia="Palatino Linotype" w:hAnsi="Palatino Linotype" w:cs="Palatino Linotype"/>
          <w:i/>
          <w:sz w:val="22"/>
          <w:szCs w:val="22"/>
        </w:rPr>
        <w:lastRenderedPageBreak/>
        <w:t xml:space="preserve">la feche de esta solicitud Arroja los dos resultados que ocupo: 1) Diferencia a cargo o a favor o en contra 2) ISR retenido que a su vez es el monto histórico recuperado por conducto de la </w:t>
      </w:r>
      <w:proofErr w:type="gramStart"/>
      <w:r w:rsidRPr="00B167DF">
        <w:rPr>
          <w:rFonts w:ascii="Palatino Linotype" w:eastAsia="Palatino Linotype" w:hAnsi="Palatino Linotype" w:cs="Palatino Linotype"/>
          <w:i/>
          <w:sz w:val="22"/>
          <w:szCs w:val="22"/>
        </w:rPr>
        <w:t>Secretaria</w:t>
      </w:r>
      <w:proofErr w:type="gramEnd"/>
      <w:r w:rsidRPr="00B167DF">
        <w:rPr>
          <w:rFonts w:ascii="Palatino Linotype" w:eastAsia="Palatino Linotype" w:hAnsi="Palatino Linotype" w:cs="Palatino Linotype"/>
          <w:i/>
          <w:sz w:val="22"/>
          <w:szCs w:val="22"/>
        </w:rPr>
        <w:t xml:space="preserve"> de Finanzas del Estado. El visor de nómina por asimilados a salarios. Le aplican los comentarios del visor de salarios. Éstos dos visores se requieren por el municipio, y las paramunicipales También se solicita: *Reporte emitido por la </w:t>
      </w:r>
      <w:proofErr w:type="gramStart"/>
      <w:r w:rsidRPr="00B167DF">
        <w:rPr>
          <w:rFonts w:ascii="Palatino Linotype" w:eastAsia="Palatino Linotype" w:hAnsi="Palatino Linotype" w:cs="Palatino Linotype"/>
          <w:i/>
          <w:sz w:val="22"/>
          <w:szCs w:val="22"/>
        </w:rPr>
        <w:t>Secretaria</w:t>
      </w:r>
      <w:proofErr w:type="gramEnd"/>
      <w:r w:rsidRPr="00B167DF">
        <w:rPr>
          <w:rFonts w:ascii="Palatino Linotype" w:eastAsia="Palatino Linotype" w:hAnsi="Palatino Linotype" w:cs="Palatino Linotype"/>
          <w:i/>
          <w:sz w:val="22"/>
          <w:szCs w:val="22"/>
        </w:rPr>
        <w:t xml:space="preserve">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w:t>
      </w:r>
      <w:proofErr w:type="spellStart"/>
      <w:r w:rsidRPr="00B167DF">
        <w:rPr>
          <w:rFonts w:ascii="Palatino Linotype" w:eastAsia="Palatino Linotype" w:hAnsi="Palatino Linotype" w:cs="Palatino Linotype"/>
          <w:i/>
          <w:sz w:val="22"/>
          <w:szCs w:val="22"/>
        </w:rPr>
        <w:t>pdf</w:t>
      </w:r>
      <w:proofErr w:type="spellEnd"/>
      <w:r w:rsidRPr="00B167DF">
        <w:rPr>
          <w:rFonts w:ascii="Palatino Linotype" w:eastAsia="Palatino Linotype" w:hAnsi="Palatino Linotype" w:cs="Palatino Linotype"/>
          <w:i/>
          <w:sz w:val="22"/>
          <w:szCs w:val="22"/>
        </w:rPr>
        <w:t xml:space="preserve">. de un Ente </w:t>
      </w:r>
      <w:proofErr w:type="spellStart"/>
      <w:r w:rsidRPr="00B167DF">
        <w:rPr>
          <w:rFonts w:ascii="Palatino Linotype" w:eastAsia="Palatino Linotype" w:hAnsi="Palatino Linotype" w:cs="Palatino Linotype"/>
          <w:i/>
          <w:sz w:val="22"/>
          <w:szCs w:val="22"/>
        </w:rPr>
        <w:t>Publico</w:t>
      </w:r>
      <w:proofErr w:type="spellEnd"/>
      <w:r w:rsidRPr="00B167DF">
        <w:rPr>
          <w:rFonts w:ascii="Palatino Linotype" w:eastAsia="Palatino Linotype" w:hAnsi="Palatino Linotype" w:cs="Palatino Linotype"/>
          <w:i/>
          <w:sz w:val="22"/>
          <w:szCs w:val="22"/>
        </w:rPr>
        <w:t xml:space="preserve"> Municipal del estado de Guanajuato para que les sirva de ejemplo y no existan dudas de lo que se está requiriendo. Y como se me entrego de una forma total, en una sola </w:t>
      </w:r>
      <w:proofErr w:type="gramStart"/>
      <w:r w:rsidRPr="00B167DF">
        <w:rPr>
          <w:rFonts w:ascii="Palatino Linotype" w:eastAsia="Palatino Linotype" w:hAnsi="Palatino Linotype" w:cs="Palatino Linotype"/>
          <w:i/>
          <w:sz w:val="22"/>
          <w:szCs w:val="22"/>
        </w:rPr>
        <w:t>exhibición ,</w:t>
      </w:r>
      <w:proofErr w:type="gramEnd"/>
      <w:r w:rsidRPr="00B167DF">
        <w:rPr>
          <w:rFonts w:ascii="Palatino Linotype" w:eastAsia="Palatino Linotype" w:hAnsi="Palatino Linotype" w:cs="Palatino Linotype"/>
          <w:i/>
          <w:sz w:val="22"/>
          <w:szCs w:val="22"/>
        </w:rPr>
        <w:t xml:space="preserve"> clara y legiblemente y sobre todo ordenada.</w:t>
      </w:r>
      <w:r w:rsidRPr="00B167DF">
        <w:rPr>
          <w:rFonts w:ascii="Palatino Linotype" w:eastAsia="Palatino Linotype" w:hAnsi="Palatino Linotype" w:cs="Palatino Linotype"/>
          <w:b/>
          <w:i/>
          <w:sz w:val="22"/>
          <w:szCs w:val="22"/>
        </w:rPr>
        <w:t>”</w:t>
      </w:r>
      <w:r w:rsidRPr="00B167DF">
        <w:rPr>
          <w:rFonts w:ascii="Palatino Linotype" w:eastAsia="Palatino Linotype" w:hAnsi="Palatino Linotype" w:cs="Palatino Linotype"/>
          <w:i/>
          <w:sz w:val="22"/>
          <w:szCs w:val="22"/>
        </w:rPr>
        <w:t xml:space="preserve"> (sic) </w:t>
      </w:r>
    </w:p>
    <w:p w14:paraId="2DEC7C5A" w14:textId="77777777" w:rsidR="00752E71" w:rsidRPr="00B167DF" w:rsidRDefault="00752E71" w:rsidP="00752E71">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B167DF">
        <w:rPr>
          <w:rFonts w:ascii="Palatino Linotype" w:eastAsia="Palatino Linotype" w:hAnsi="Palatino Linotype" w:cs="Palatino Linotype"/>
          <w:b/>
        </w:rPr>
        <w:t xml:space="preserve">Modalidad de Entrega: </w:t>
      </w:r>
      <w:r w:rsidRPr="00B167DF">
        <w:rPr>
          <w:rFonts w:ascii="Palatino Linotype" w:eastAsia="Palatino Linotype" w:hAnsi="Palatino Linotype" w:cs="Palatino Linotype"/>
        </w:rPr>
        <w:t xml:space="preserve">Cualquier otro medio, incluido los electrónicos (USB, </w:t>
      </w:r>
      <w:proofErr w:type="gramStart"/>
      <w:r w:rsidRPr="00B167DF">
        <w:rPr>
          <w:rFonts w:ascii="Palatino Linotype" w:eastAsia="Palatino Linotype" w:hAnsi="Palatino Linotype" w:cs="Palatino Linotype"/>
        </w:rPr>
        <w:t>SD,  CD</w:t>
      </w:r>
      <w:proofErr w:type="gramEnd"/>
      <w:r w:rsidRPr="00B167DF">
        <w:rPr>
          <w:rFonts w:ascii="Palatino Linotype" w:eastAsia="Palatino Linotype" w:hAnsi="Palatino Linotype" w:cs="Palatino Linotype"/>
        </w:rPr>
        <w:t>-ROM), por correo electrónico y a través del Sistema de Acceso a la Información Mexiquense, SAIMEX; asimismo, señaló como medio para recibir información o notificaciones, correo electrónico, como se advierte a continuación:</w:t>
      </w:r>
    </w:p>
    <w:p w14:paraId="646B5E56"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19C013A1" wp14:editId="78BDBA83">
            <wp:extent cx="5612130" cy="560070"/>
            <wp:effectExtent l="0" t="0" r="0" b="0"/>
            <wp:docPr id="21401318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12130" cy="560070"/>
                    </a:xfrm>
                    <a:prstGeom prst="rect">
                      <a:avLst/>
                    </a:prstGeom>
                    <a:ln/>
                  </pic:spPr>
                </pic:pic>
              </a:graphicData>
            </a:graphic>
          </wp:inline>
        </w:drawing>
      </w:r>
    </w:p>
    <w:p w14:paraId="060EFAB0"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La persona solicitante adjuntó como ejemplo de la información que requiere, la respuesta a la solicitud con número de folio 110196500054524, presentada ante el municipio de Irapuato, Guanajuato, en la cual se requirió de igual forma, del Visor de nómina por sueldos y salarios, y por asimilados a salarios, la entrega de los resultados: Diferencia a cargo o a favor, o en contra, e ISR retenido; así como el Reporte emitido por la Secretaría de Finanzas del Estado en el que se especifica el monto del ISR que se obtuvo en devolución, y el Reporte emitido por el software de contabilidad gubernamental en el que se pueda apreciar el control del saldo </w:t>
      </w:r>
      <w:r w:rsidRPr="00B167DF">
        <w:rPr>
          <w:rFonts w:ascii="Palatino Linotype" w:eastAsia="Palatino Linotype" w:hAnsi="Palatino Linotype" w:cs="Palatino Linotype"/>
        </w:rPr>
        <w:lastRenderedPageBreak/>
        <w:t>pendiente de recuperar del ISR participable, y el Sujeto Obligado proporciono los formatos: Vista anual acumulada, Detalle del “Total por Sueldos y Salarios” y Detalle del “Total por Asimilados a Salarios”, de los ejercicios 2020 a 2024  obtenidos del aplicativo Visor de Comprobantes de Nómina del Patrón, del Servicio de Administración Tributaria, SAT; el Reporte emitido desde la página de la Secretaría de Finanzas, Inversión y Administración del Gobierno del Estado de Guanajuato, en el que se especifica el monto del ISR que se obtuvo en devolución; y finalmente manifestó que no contaba con el software de contabilidad gubernamental referido.</w:t>
      </w:r>
    </w:p>
    <w:p w14:paraId="07B3E591"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 xml:space="preserve">2. Respuesta. </w:t>
      </w:r>
      <w:r w:rsidRPr="00B167DF">
        <w:rPr>
          <w:rFonts w:ascii="Palatino Linotype" w:eastAsia="Palatino Linotype" w:hAnsi="Palatino Linotype" w:cs="Palatino Linotype"/>
        </w:rPr>
        <w:t xml:space="preserve">El </w:t>
      </w:r>
      <w:r w:rsidRPr="00B167DF">
        <w:rPr>
          <w:rFonts w:ascii="Palatino Linotype" w:eastAsia="Palatino Linotype" w:hAnsi="Palatino Linotype" w:cs="Palatino Linotype"/>
          <w:b/>
        </w:rPr>
        <w:t>once de septiembre de dos mil veinticuatro</w:t>
      </w:r>
      <w:r w:rsidRPr="00B167DF">
        <w:rPr>
          <w:rFonts w:ascii="Palatino Linotype" w:eastAsia="Palatino Linotype" w:hAnsi="Palatino Linotype" w:cs="Palatino Linotype"/>
        </w:rPr>
        <w:t xml:space="preserve">,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B7AA4EC" w14:textId="77777777" w:rsidR="00204857" w:rsidRPr="00B167DF" w:rsidRDefault="002A7DE1">
      <w:pPr>
        <w:spacing w:before="240" w:after="24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“entrega de información” (sic)</w:t>
      </w:r>
    </w:p>
    <w:p w14:paraId="4B15C2E2"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adjuntó lo siguiente:</w:t>
      </w:r>
    </w:p>
    <w:p w14:paraId="1CE22714"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Oficio número PM/UT/CAMG/0652/2024, del once de septiembre de dos mil veinticuatro, mediante el cual el Titular de la Unidad de Transparencia notificó a la persona solicitante la respuesta emitida por el servidor público habilitado de la Tesorería Municipal.</w:t>
      </w:r>
    </w:p>
    <w:p w14:paraId="2B01EEFA"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Oficio número TM/1030/2024, del seis de septiembre de dos mil veinticuatro, mediante el cual el Tesorero Municipal manifestó que la información solicitada no obraba en los archivos de la Tesorería Municipal.</w:t>
      </w:r>
    </w:p>
    <w:p w14:paraId="0439B5F4"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b/>
        </w:rPr>
        <w:lastRenderedPageBreak/>
        <w:t xml:space="preserve">3. Interposición del recurso de revisión. </w:t>
      </w:r>
      <w:r w:rsidRPr="00B167DF">
        <w:rPr>
          <w:rFonts w:ascii="Palatino Linotype" w:eastAsia="Palatino Linotype" w:hAnsi="Palatino Linotype" w:cs="Palatino Linotype"/>
        </w:rPr>
        <w:t xml:space="preserve">Inconforme con los términos de la respuesta emitida por parte del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el</w:t>
      </w:r>
      <w:r w:rsidRPr="00B167DF">
        <w:rPr>
          <w:rFonts w:ascii="Palatino Linotype" w:eastAsia="Palatino Linotype" w:hAnsi="Palatino Linotype" w:cs="Palatino Linotype"/>
          <w:b/>
        </w:rPr>
        <w:t xml:space="preserve"> veinticuatro de septiembre de dos mil veinticuatro, </w:t>
      </w:r>
      <w:r w:rsidRPr="00B167DF">
        <w:rPr>
          <w:rFonts w:ascii="Palatino Linotype" w:eastAsia="Palatino Linotype" w:hAnsi="Palatino Linotype" w:cs="Palatino Linotype"/>
        </w:rPr>
        <w:t xml:space="preserve">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interpuso el recurso de revisión a través de </w:t>
      </w:r>
      <w:r w:rsidRPr="00B167DF">
        <w:rPr>
          <w:rFonts w:ascii="Palatino Linotype" w:eastAsia="Palatino Linotype" w:hAnsi="Palatino Linotype" w:cs="Palatino Linotype"/>
          <w:b/>
        </w:rPr>
        <w:t xml:space="preserve">SAIMEX, </w:t>
      </w:r>
      <w:r w:rsidRPr="00B167DF">
        <w:rPr>
          <w:rFonts w:ascii="Palatino Linotype" w:eastAsia="Palatino Linotype" w:hAnsi="Palatino Linotype" w:cs="Palatino Linotype"/>
        </w:rPr>
        <w:t>en donde se manifestó de la siguiente manera:</w:t>
      </w:r>
    </w:p>
    <w:p w14:paraId="35060FE8" w14:textId="77777777" w:rsidR="00204857" w:rsidRPr="00B167DF" w:rsidRDefault="002A7DE1">
      <w:pPr>
        <w:tabs>
          <w:tab w:val="left" w:pos="2745"/>
        </w:tabs>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b/>
        </w:rPr>
        <w:t xml:space="preserve">Acto impugnado: </w:t>
      </w:r>
    </w:p>
    <w:p w14:paraId="449D0EF3" w14:textId="77777777" w:rsidR="00204857" w:rsidRPr="00B167DF" w:rsidRDefault="002A7DE1">
      <w:pPr>
        <w:tabs>
          <w:tab w:val="left" w:pos="2745"/>
        </w:tabs>
        <w:spacing w:before="240" w:after="24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“La no respuesta en el tiempo establecido por ley a mi solicitud de reportes” (sic)</w:t>
      </w:r>
    </w:p>
    <w:p w14:paraId="585347AF" w14:textId="77777777" w:rsidR="00204857" w:rsidRPr="00B167DF" w:rsidRDefault="002A7DE1">
      <w:pPr>
        <w:spacing w:line="360" w:lineRule="auto"/>
        <w:jc w:val="both"/>
        <w:rPr>
          <w:rFonts w:ascii="Palatino Linotype" w:eastAsia="Palatino Linotype" w:hAnsi="Palatino Linotype" w:cs="Palatino Linotype"/>
        </w:rPr>
      </w:pPr>
      <w:bookmarkStart w:id="3" w:name="_heading=h.30j0zll" w:colFirst="0" w:colLast="0"/>
      <w:bookmarkEnd w:id="3"/>
      <w:r w:rsidRPr="00B167DF">
        <w:rPr>
          <w:rFonts w:ascii="Palatino Linotype" w:eastAsia="Palatino Linotype" w:hAnsi="Palatino Linotype" w:cs="Palatino Linotype"/>
          <w:b/>
        </w:rPr>
        <w:t>Y, Razones o motivos de inconformidad</w:t>
      </w:r>
      <w:r w:rsidRPr="00B167DF">
        <w:rPr>
          <w:rFonts w:ascii="Palatino Linotype" w:eastAsia="Palatino Linotype" w:hAnsi="Palatino Linotype" w:cs="Palatino Linotype"/>
        </w:rPr>
        <w:t>:</w:t>
      </w:r>
    </w:p>
    <w:p w14:paraId="0DF1E263" w14:textId="77777777" w:rsidR="00204857" w:rsidRPr="00B167DF" w:rsidRDefault="002A7DE1">
      <w:pPr>
        <w:tabs>
          <w:tab w:val="left" w:pos="2745"/>
        </w:tabs>
        <w:spacing w:before="240" w:after="24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LEGIBLE Y TODA la información requerida y por favor que sea a mi Correo Electrónico que es el que solicito se haga llegar y </w:t>
      </w:r>
      <w:r w:rsidRPr="00B167DF">
        <w:rPr>
          <w:rFonts w:ascii="Palatino Linotype" w:eastAsia="Palatino Linotype" w:hAnsi="Palatino Linotype" w:cs="Palatino Linotype"/>
          <w:b/>
          <w:i/>
          <w:sz w:val="22"/>
          <w:szCs w:val="22"/>
        </w:rPr>
        <w:t>no por medio de su plataforma SAIMEX</w:t>
      </w:r>
      <w:r w:rsidRPr="00B167DF">
        <w:rPr>
          <w:rFonts w:ascii="Palatino Linotype" w:eastAsia="Palatino Linotype" w:hAnsi="Palatino Linotype" w:cs="Palatino Linotype"/>
          <w:i/>
          <w:sz w:val="22"/>
          <w:szCs w:val="22"/>
        </w:rPr>
        <w:t xml:space="preserve"> que es tediosa y poco entendible y de total desagrado para manejar para </w:t>
      </w:r>
      <w:proofErr w:type="spellStart"/>
      <w:r w:rsidRPr="00B167DF">
        <w:rPr>
          <w:rFonts w:ascii="Palatino Linotype" w:eastAsia="Palatino Linotype" w:hAnsi="Palatino Linotype" w:cs="Palatino Linotype"/>
          <w:i/>
          <w:sz w:val="22"/>
          <w:szCs w:val="22"/>
        </w:rPr>
        <w:t>mi</w:t>
      </w:r>
      <w:proofErr w:type="spellEnd"/>
      <w:r w:rsidRPr="00B167DF">
        <w:rPr>
          <w:rFonts w:ascii="Palatino Linotype" w:eastAsia="Palatino Linotype" w:hAnsi="Palatino Linotype" w:cs="Palatino Linotype"/>
          <w:i/>
          <w:sz w:val="22"/>
          <w:szCs w:val="22"/>
        </w:rPr>
        <w:t>. Gracias. Adjunto nuevamente ejemplo de la solicitud requerida” (sic)</w:t>
      </w:r>
    </w:p>
    <w:p w14:paraId="1386B354"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adjuntó nuevamente la respuesta a la solicitud con número de folio 110196500054524, presentada ante el municipio de Irapuato, Guanajuato.</w:t>
      </w:r>
    </w:p>
    <w:p w14:paraId="319A5C4F"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b/>
        </w:rPr>
        <w:t xml:space="preserve">4. Turno. </w:t>
      </w:r>
      <w:r w:rsidRPr="00B167D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167DF">
        <w:rPr>
          <w:rFonts w:ascii="Palatino Linotype" w:eastAsia="Palatino Linotype" w:hAnsi="Palatino Linotype" w:cs="Palatino Linotype"/>
          <w:b/>
        </w:rPr>
        <w:t xml:space="preserve">Guadalupe Ramírez Peña, </w:t>
      </w:r>
      <w:r w:rsidRPr="00B167DF">
        <w:rPr>
          <w:rFonts w:ascii="Palatino Linotype" w:eastAsia="Palatino Linotype" w:hAnsi="Palatino Linotype" w:cs="Palatino Linotype"/>
        </w:rPr>
        <w:t xml:space="preserve">a efecto de que analizara sobre su admisión o su </w:t>
      </w:r>
      <w:proofErr w:type="spellStart"/>
      <w:r w:rsidRPr="00B167DF">
        <w:rPr>
          <w:rFonts w:ascii="Palatino Linotype" w:eastAsia="Palatino Linotype" w:hAnsi="Palatino Linotype" w:cs="Palatino Linotype"/>
        </w:rPr>
        <w:t>desechamiento</w:t>
      </w:r>
      <w:proofErr w:type="spellEnd"/>
      <w:r w:rsidRPr="00B167DF">
        <w:rPr>
          <w:rFonts w:ascii="Palatino Linotype" w:eastAsia="Palatino Linotype" w:hAnsi="Palatino Linotype" w:cs="Palatino Linotype"/>
        </w:rPr>
        <w:t>.</w:t>
      </w:r>
    </w:p>
    <w:p w14:paraId="09D3FE6C"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lastRenderedPageBreak/>
        <w:t>5. Admisión del Recurso de revisión.</w:t>
      </w:r>
      <w:r w:rsidRPr="00B167DF">
        <w:rPr>
          <w:rFonts w:ascii="Palatino Linotype" w:eastAsia="Palatino Linotype" w:hAnsi="Palatino Linotype" w:cs="Palatino Linotype"/>
        </w:rPr>
        <w:t xml:space="preserve"> El </w:t>
      </w:r>
      <w:r w:rsidRPr="00B167DF">
        <w:rPr>
          <w:rFonts w:ascii="Palatino Linotype" w:eastAsia="Palatino Linotype" w:hAnsi="Palatino Linotype" w:cs="Palatino Linotype"/>
          <w:b/>
        </w:rPr>
        <w:t xml:space="preserve">veintisiete de septiembre de dos mil veinticuatro, </w:t>
      </w:r>
      <w:r w:rsidRPr="00B167D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presentara su informe justificado.</w:t>
      </w:r>
    </w:p>
    <w:p w14:paraId="24D41FCC" w14:textId="77777777" w:rsidR="00204857" w:rsidRPr="00B167DF" w:rsidRDefault="002A7DE1">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B167DF">
        <w:rPr>
          <w:rFonts w:ascii="Palatino Linotype" w:eastAsia="Palatino Linotype" w:hAnsi="Palatino Linotype" w:cs="Palatino Linotype"/>
          <w:b/>
        </w:rPr>
        <w:t>6. Manifestaciones</w:t>
      </w:r>
      <w:r w:rsidRPr="00B167DF">
        <w:rPr>
          <w:rFonts w:ascii="Palatino Linotype" w:eastAsia="Palatino Linotype" w:hAnsi="Palatino Linotype" w:cs="Palatino Linotype"/>
        </w:rPr>
        <w:t xml:space="preserve">. El </w:t>
      </w:r>
      <w:r w:rsidRPr="00B167DF">
        <w:rPr>
          <w:rFonts w:ascii="Palatino Linotype" w:eastAsia="Palatino Linotype" w:hAnsi="Palatino Linotype" w:cs="Palatino Linotype"/>
          <w:b/>
        </w:rPr>
        <w:t xml:space="preserve">veintisiete de septiembre de dos mil veinticuatro, </w:t>
      </w:r>
      <w:r w:rsidRPr="00B167DF">
        <w:rPr>
          <w:rFonts w:ascii="Palatino Linotype" w:eastAsia="Palatino Linotype" w:hAnsi="Palatino Linotype" w:cs="Palatino Linotype"/>
        </w:rPr>
        <w:t xml:space="preserve">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remitió a través de SAIMEX la respuesta a la solicitud con número de folio 110196500054524, presentada ante el municipio de Irapuato, Guanajuato.</w:t>
      </w:r>
    </w:p>
    <w:p w14:paraId="78D48F2D"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El </w:t>
      </w:r>
      <w:r w:rsidRPr="00B167DF">
        <w:rPr>
          <w:rFonts w:ascii="Palatino Linotype" w:eastAsia="Palatino Linotype" w:hAnsi="Palatino Linotype" w:cs="Palatino Linotype"/>
          <w:b/>
        </w:rPr>
        <w:t xml:space="preserve">siete de octubre de dos mil veinticuatro, </w:t>
      </w:r>
      <w:r w:rsidRPr="00B167DF">
        <w:rPr>
          <w:rFonts w:ascii="Palatino Linotype" w:eastAsia="Palatino Linotype" w:hAnsi="Palatino Linotype" w:cs="Palatino Linotype"/>
        </w:rPr>
        <w:t xml:space="preserve">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remitió su informe justificado, mediante el cual se proporciona el oficio número TM/1124/2024 emitido por el Tesorero Municipal.</w:t>
      </w:r>
    </w:p>
    <w:p w14:paraId="0D85A8C9"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Anexos</w:t>
      </w:r>
    </w:p>
    <w:p w14:paraId="5BA8EF2D"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Oficio número TM/1124/2024, del treinta de septiembre de dos mil veinticuatro, mediante el cual el Tesorero Municipal reitera en sus términos la respuesta proporcionada en primera instancia.</w:t>
      </w:r>
    </w:p>
    <w:p w14:paraId="7AEC681D"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Documento que se hizo del conocimiento de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con la finalidad de que manifestara lo que a su derecho estimara conveniente, sin embargo, fue omisa en ejercer dicha prerrogativa.</w:t>
      </w:r>
    </w:p>
    <w:p w14:paraId="5A630769" w14:textId="77777777" w:rsidR="00204857" w:rsidRPr="00B167DF" w:rsidRDefault="002A7DE1">
      <w:pPr>
        <w:widowControl w:val="0"/>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b/>
        </w:rPr>
        <w:t xml:space="preserve">7. Cierre de instrucción. </w:t>
      </w:r>
      <w:r w:rsidRPr="00B167DF">
        <w:rPr>
          <w:rFonts w:ascii="Palatino Linotype" w:eastAsia="Palatino Linotype" w:hAnsi="Palatino Linotype" w:cs="Palatino Linotype"/>
        </w:rPr>
        <w:t xml:space="preserve">Una vez transcurrido el periodo otorgado a las partes para </w:t>
      </w:r>
      <w:r w:rsidRPr="00B167DF">
        <w:rPr>
          <w:rFonts w:ascii="Palatino Linotype" w:eastAsia="Palatino Linotype" w:hAnsi="Palatino Linotype" w:cs="Palatino Linotype"/>
        </w:rPr>
        <w:lastRenderedPageBreak/>
        <w:t xml:space="preserve">realizar sus manifestaciones y no habiendo documentos que integrar al expediente, el </w:t>
      </w:r>
      <w:r w:rsidRPr="00B167DF">
        <w:rPr>
          <w:rFonts w:ascii="Palatino Linotype" w:eastAsia="Palatino Linotype" w:hAnsi="Palatino Linotype" w:cs="Palatino Linotype"/>
          <w:b/>
        </w:rPr>
        <w:t>diecisiete de octubre de dos mil veinticuatro</w:t>
      </w:r>
      <w:r w:rsidRPr="00B167D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420301F"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1E2DB19" w14:textId="77777777" w:rsidR="00204857" w:rsidRPr="00B167DF" w:rsidRDefault="002A7DE1">
      <w:pPr>
        <w:widowControl w:val="0"/>
        <w:spacing w:before="240" w:after="240" w:line="360" w:lineRule="auto"/>
        <w:jc w:val="center"/>
        <w:rPr>
          <w:rFonts w:ascii="Palatino Linotype" w:eastAsia="Palatino Linotype" w:hAnsi="Palatino Linotype" w:cs="Palatino Linotype"/>
          <w:b/>
        </w:rPr>
      </w:pPr>
      <w:r w:rsidRPr="00B167DF">
        <w:rPr>
          <w:rFonts w:ascii="Palatino Linotype" w:eastAsia="Palatino Linotype" w:hAnsi="Palatino Linotype" w:cs="Palatino Linotype"/>
          <w:b/>
        </w:rPr>
        <w:t>II. C O N S I D E R A N D O S</w:t>
      </w:r>
    </w:p>
    <w:p w14:paraId="76FC0CA5"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Primero. Competencia.</w:t>
      </w:r>
      <w:r w:rsidRPr="00B167D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E7E097C" w14:textId="77777777" w:rsidR="00204857" w:rsidRPr="00B167DF" w:rsidRDefault="002A7DE1">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B167DF">
        <w:rPr>
          <w:rFonts w:ascii="Palatino Linotype" w:eastAsia="Palatino Linotype" w:hAnsi="Palatino Linotype" w:cs="Palatino Linotype"/>
          <w:b/>
        </w:rPr>
        <w:t>Segundo. Oportunidad y Procedibilidad del Recurso de Revisión</w:t>
      </w:r>
      <w:r w:rsidRPr="00B167DF">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sidRPr="00B167DF">
        <w:rPr>
          <w:rFonts w:ascii="Palatino Linotype" w:eastAsia="Palatino Linotype" w:hAnsi="Palatino Linotype" w:cs="Palatino Linotype"/>
        </w:rPr>
        <w:lastRenderedPageBreak/>
        <w:t>artículos 178 y 180 de la Ley de Transparencia y Acceso a la Información Pública del Estado de México y Municipios.</w:t>
      </w:r>
    </w:p>
    <w:p w14:paraId="043EA80D"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 xml:space="preserve">remitió la respuesta a la solicitud de información el día </w:t>
      </w:r>
      <w:r w:rsidRPr="00B167DF">
        <w:rPr>
          <w:rFonts w:ascii="Palatino Linotype" w:eastAsia="Palatino Linotype" w:hAnsi="Palatino Linotype" w:cs="Palatino Linotype"/>
          <w:b/>
        </w:rPr>
        <w:t>once de septiembre de dos mil veinticuatro</w:t>
      </w:r>
      <w:r w:rsidRPr="00B167DF">
        <w:rPr>
          <w:rFonts w:ascii="Palatino Linotype" w:eastAsia="Palatino Linotype" w:hAnsi="Palatino Linotype" w:cs="Palatino Linotype"/>
        </w:rPr>
        <w:t>,</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rPr>
        <w:t xml:space="preserve">mientras que el recurso de revisión interpuesto por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se tuvo por presentado el día </w:t>
      </w:r>
      <w:r w:rsidRPr="00B167DF">
        <w:rPr>
          <w:rFonts w:ascii="Palatino Linotype" w:eastAsia="Palatino Linotype" w:hAnsi="Palatino Linotype" w:cs="Palatino Linotype"/>
          <w:b/>
        </w:rPr>
        <w:t>veinticuatro de septiembre de dos mil veinticuatro</w:t>
      </w:r>
      <w:r w:rsidRPr="00B167DF">
        <w:rPr>
          <w:rFonts w:ascii="Palatino Linotype" w:eastAsia="Palatino Linotype" w:hAnsi="Palatino Linotype" w:cs="Palatino Linotype"/>
        </w:rPr>
        <w:t>, esto es al octavo día hábil siguiente en que tuvo conocimiento de la respuesta impugnada. En este sentido, se concluye que el presente recurso de revisión se encuentra dentro de los márgenes temporales previstos en las disposiciones legales referidas.</w:t>
      </w:r>
    </w:p>
    <w:p w14:paraId="72C1B191" w14:textId="77777777" w:rsidR="00204857" w:rsidRPr="00B167DF" w:rsidRDefault="002A7DE1">
      <w:pPr>
        <w:spacing w:line="360" w:lineRule="auto"/>
        <w:jc w:val="both"/>
        <w:rPr>
          <w:rFonts w:ascii="Palatino Linotype" w:eastAsia="Palatino Linotype" w:hAnsi="Palatino Linotype" w:cs="Palatino Linotype"/>
        </w:rPr>
      </w:pPr>
      <w:bookmarkStart w:id="6" w:name="_heading=h.3znysh7" w:colFirst="0" w:colLast="0"/>
      <w:bookmarkEnd w:id="6"/>
      <w:r w:rsidRPr="00B167DF">
        <w:rPr>
          <w:rFonts w:ascii="Palatino Linotype" w:eastAsia="Palatino Linotype" w:hAnsi="Palatino Linotype" w:cs="Palatino Linotype"/>
        </w:rPr>
        <w:t>Además, por cuanto hace a la procedibilidad del recurso de revisión, es de suma importancia señalar que la parte</w:t>
      </w:r>
      <w:r w:rsidRPr="00B167DF">
        <w:rPr>
          <w:rFonts w:ascii="Palatino Linotype" w:eastAsia="Palatino Linotype" w:hAnsi="Palatino Linotype" w:cs="Palatino Linotype"/>
          <w:b/>
        </w:rPr>
        <w:t xml:space="preserve"> Recurrente</w:t>
      </w:r>
      <w:r w:rsidRPr="00B167DF">
        <w:rPr>
          <w:rFonts w:ascii="Palatino Linotype" w:eastAsia="Palatino Linotype" w:hAnsi="Palatino Linotype" w:cs="Palatino Linotype"/>
        </w:rPr>
        <w:t xml:space="preserve">, no señaló </w:t>
      </w:r>
      <w:r w:rsidRPr="00B167DF">
        <w:rPr>
          <w:rFonts w:ascii="Palatino Linotype" w:eastAsia="Palatino Linotype" w:hAnsi="Palatino Linotype" w:cs="Palatino Linotype"/>
          <w:b/>
        </w:rPr>
        <w:t>nombre</w:t>
      </w:r>
      <w:r w:rsidRPr="00B167DF">
        <w:rPr>
          <w:rFonts w:ascii="Palatino Linotype" w:eastAsia="Palatino Linotype" w:hAnsi="Palatino Linotype" w:cs="Palatino Linotype"/>
        </w:rPr>
        <w:t xml:space="preserve"> </w:t>
      </w:r>
      <w:r w:rsidRPr="00B167DF">
        <w:rPr>
          <w:rFonts w:ascii="Palatino Linotype" w:eastAsia="Palatino Linotype" w:hAnsi="Palatino Linotype" w:cs="Palatino Linotype"/>
          <w:b/>
        </w:rPr>
        <w:t>completo</w:t>
      </w:r>
      <w:r w:rsidRPr="00B167DF">
        <w:rPr>
          <w:rFonts w:ascii="Palatino Linotype" w:eastAsia="Palatino Linotype" w:hAnsi="Palatino Linotype" w:cs="Palatino Linotype"/>
        </w:rPr>
        <w:t xml:space="preserve"> con el cual desea ser identificado, como se advierte en el detalle de seguimiento del SAIMEX, lo cual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BC60662"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46EF9712" w14:textId="77777777" w:rsidR="00204857" w:rsidRPr="00B167DF" w:rsidRDefault="002A7DE1">
      <w:pPr>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rPr>
        <w:lastRenderedPageBreak/>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B167DF">
        <w:rPr>
          <w:rFonts w:ascii="Palatino Linotype" w:eastAsia="Palatino Linotype" w:hAnsi="Palatino Linotype" w:cs="Palatino Linotype"/>
          <w:b/>
        </w:rPr>
        <w:t xml:space="preserve"> SAIMEX.</w:t>
      </w:r>
    </w:p>
    <w:p w14:paraId="70837397"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Finalmente, se advierte que resulta procedente la interposición del recurso, según lo manifestado por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en sus motivos de inconformidad, de acuerdo al artículo 179, fracción I del ordenamiento legal citado, que a la letra dice: </w:t>
      </w:r>
    </w:p>
    <w:p w14:paraId="7DF650D4" w14:textId="77777777" w:rsidR="00204857" w:rsidRPr="00B167DF" w:rsidRDefault="002A7DE1">
      <w:pPr>
        <w:spacing w:before="120" w:after="12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179.</w:t>
      </w:r>
      <w:r w:rsidRPr="00B167D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D87C149" w14:textId="77777777" w:rsidR="00204857" w:rsidRPr="00B167DF" w:rsidRDefault="002A7DE1">
      <w:pPr>
        <w:spacing w:before="120" w:after="120"/>
        <w:ind w:left="1134"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0C0EF97F" w14:textId="77777777" w:rsidR="00204857" w:rsidRPr="00B167DF" w:rsidRDefault="002A7DE1">
      <w:pPr>
        <w:spacing w:before="120" w:after="120"/>
        <w:ind w:left="1134" w:right="900"/>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I. </w:t>
      </w:r>
      <w:r w:rsidRPr="00B167DF">
        <w:rPr>
          <w:rFonts w:ascii="Palatino Linotype" w:eastAsia="Palatino Linotype" w:hAnsi="Palatino Linotype" w:cs="Palatino Linotype"/>
          <w:i/>
          <w:sz w:val="22"/>
          <w:szCs w:val="22"/>
        </w:rPr>
        <w:t>La negativa a la información solicitada…”</w:t>
      </w:r>
    </w:p>
    <w:p w14:paraId="358626DF"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 xml:space="preserve">Tercero. Materia de la revisión. </w:t>
      </w:r>
      <w:r w:rsidRPr="00B167D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167DF">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B167DF">
        <w:rPr>
          <w:rFonts w:ascii="Palatino Linotype" w:eastAsia="Palatino Linotype" w:hAnsi="Palatino Linotype" w:cs="Palatino Linotype"/>
        </w:rPr>
        <w:t xml:space="preserve">de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o en su defecto, en caso de ser procedente, ordenar la entrega de información.</w:t>
      </w:r>
    </w:p>
    <w:p w14:paraId="768E1984"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 xml:space="preserve">Cuarto. Estudio del asunto. </w:t>
      </w:r>
      <w:r w:rsidRPr="00B167DF">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w:t>
      </w:r>
      <w:r w:rsidRPr="00B167DF">
        <w:rPr>
          <w:rFonts w:ascii="Palatino Linotype" w:eastAsia="Palatino Linotype" w:hAnsi="Palatino Linotype" w:cs="Palatino Linotype"/>
        </w:rPr>
        <w:lastRenderedPageBreak/>
        <w:t>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475DB5B"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4</w:t>
      </w:r>
      <w:r w:rsidRPr="00B167D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86D1C61"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167D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CE6ABC7"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167DF">
        <w:rPr>
          <w:rFonts w:ascii="Palatino Linotype" w:eastAsia="Palatino Linotype" w:hAnsi="Palatino Linotype" w:cs="Palatino Linotype"/>
          <w:i/>
          <w:sz w:val="22"/>
          <w:szCs w:val="22"/>
        </w:rPr>
        <w:t>.”</w:t>
      </w:r>
    </w:p>
    <w:p w14:paraId="0858B28F"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DC6D371"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lastRenderedPageBreak/>
        <w:t>“Artículo 12.-</w:t>
      </w:r>
      <w:r w:rsidRPr="00B167D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FAA786E"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29DB00C2" w14:textId="77777777" w:rsidR="00204857" w:rsidRPr="00B167DF" w:rsidRDefault="002A7DE1">
      <w:pPr>
        <w:spacing w:before="240" w:after="240" w:line="360" w:lineRule="auto"/>
        <w:ind w:right="-93"/>
        <w:jc w:val="both"/>
        <w:rPr>
          <w:rFonts w:ascii="Palatino Linotype" w:eastAsia="Palatino Linotype" w:hAnsi="Palatino Linotype" w:cs="Palatino Linotype"/>
        </w:rPr>
      </w:pPr>
      <w:r w:rsidRPr="00B167D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1B8E26D"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Sirve de apoyo a lo anterior, el Criterio de Interpretación con clave de control SO/003/2017, emitido por el Pleno del Instituto Nacional de Transparencia, Acceso a la Información y Protección de Datos </w:t>
      </w:r>
      <w:proofErr w:type="gramStart"/>
      <w:r w:rsidRPr="00B167DF">
        <w:rPr>
          <w:rFonts w:ascii="Palatino Linotype" w:eastAsia="Palatino Linotype" w:hAnsi="Palatino Linotype" w:cs="Palatino Linotype"/>
        </w:rPr>
        <w:t>Personales,  INAI</w:t>
      </w:r>
      <w:proofErr w:type="gramEnd"/>
      <w:r w:rsidRPr="00B167DF">
        <w:rPr>
          <w:rFonts w:ascii="Palatino Linotype" w:eastAsia="Palatino Linotype" w:hAnsi="Palatino Linotype" w:cs="Palatino Linotype"/>
        </w:rPr>
        <w:t>, que dispone lo siguiente:</w:t>
      </w:r>
      <w:r w:rsidRPr="00B167DF">
        <w:rPr>
          <w:rFonts w:ascii="Palatino Linotype" w:eastAsia="Palatino Linotype" w:hAnsi="Palatino Linotype" w:cs="Palatino Linotype"/>
          <w:b/>
        </w:rPr>
        <w:t xml:space="preserve"> </w:t>
      </w:r>
    </w:p>
    <w:p w14:paraId="3CD3422B"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No existe obligación de elaborar documentos ad hoc para atender las solicitudes de acceso a la información.</w:t>
      </w:r>
      <w:r w:rsidRPr="00B167D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B167DF">
        <w:rPr>
          <w:rFonts w:ascii="Palatino Linotype" w:eastAsia="Palatino Linotype" w:hAnsi="Palatino Linotype" w:cs="Palatino Linotype"/>
          <w:i/>
          <w:sz w:val="22"/>
          <w:szCs w:val="22"/>
        </w:rPr>
        <w:lastRenderedPageBreak/>
        <w:t>que la misma obre en sus archivos; sin necesidad de elaborar documentos ad hoc para atender las solicitudes de información.” (Sic)</w:t>
      </w:r>
    </w:p>
    <w:p w14:paraId="0F9E4BE8" w14:textId="77777777" w:rsidR="00204857" w:rsidRPr="00B167DF" w:rsidRDefault="002A7DE1">
      <w:pPr>
        <w:spacing w:before="120" w:after="12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6D2C66B" w14:textId="77777777" w:rsidR="00204857" w:rsidRPr="00B167DF" w:rsidRDefault="002A7DE1">
      <w:pPr>
        <w:spacing w:before="120" w:after="12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12C71F"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 xml:space="preserve">Artículo 3. </w:t>
      </w:r>
      <w:r w:rsidRPr="00B167DF">
        <w:rPr>
          <w:rFonts w:ascii="Palatino Linotype" w:eastAsia="Palatino Linotype" w:hAnsi="Palatino Linotype" w:cs="Palatino Linotype"/>
          <w:i/>
          <w:sz w:val="22"/>
          <w:szCs w:val="22"/>
        </w:rPr>
        <w:t>Para los efectos de la presente Ley se entenderá por:</w:t>
      </w:r>
    </w:p>
    <w:p w14:paraId="2E6DB858"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4245D7C4"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XI. Documento:</w:t>
      </w:r>
      <w:r w:rsidRPr="00B167DF">
        <w:rPr>
          <w:rFonts w:ascii="Palatino Linotype" w:eastAsia="Palatino Linotype" w:hAnsi="Palatino Linotype" w:cs="Palatino Linotype"/>
          <w:i/>
          <w:sz w:val="22"/>
          <w:szCs w:val="22"/>
        </w:rPr>
        <w:t xml:space="preserve"> Los expedientes, reportes, estudios, actas</w:t>
      </w:r>
      <w:r w:rsidRPr="00B167DF">
        <w:rPr>
          <w:rFonts w:ascii="Palatino Linotype" w:eastAsia="Palatino Linotype" w:hAnsi="Palatino Linotype" w:cs="Palatino Linotype"/>
          <w:b/>
          <w:i/>
          <w:sz w:val="22"/>
          <w:szCs w:val="22"/>
        </w:rPr>
        <w:t>,</w:t>
      </w:r>
      <w:r w:rsidRPr="00B167D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C736534"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1FE3E0D"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sz w:val="22"/>
          <w:szCs w:val="22"/>
        </w:rPr>
        <w:t>“</w:t>
      </w:r>
      <w:r w:rsidRPr="00B167D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167D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9F6179"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En </w:t>
      </w:r>
      <w:proofErr w:type="gramStart"/>
      <w:r w:rsidRPr="00B167DF">
        <w:rPr>
          <w:rFonts w:ascii="Palatino Linotype" w:eastAsia="Palatino Linotype" w:hAnsi="Palatino Linotype" w:cs="Palatino Linotype"/>
          <w:i/>
          <w:sz w:val="22"/>
          <w:szCs w:val="22"/>
        </w:rPr>
        <w:t>consecuencia</w:t>
      </w:r>
      <w:proofErr w:type="gramEnd"/>
      <w:r w:rsidRPr="00B167D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A6B363F"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167DF">
        <w:rPr>
          <w:rFonts w:ascii="Palatino Linotype" w:eastAsia="Palatino Linotype" w:hAnsi="Palatino Linotype" w:cs="Palatino Linotype"/>
          <w:i/>
          <w:sz w:val="22"/>
          <w:szCs w:val="22"/>
        </w:rPr>
        <w:t>que</w:t>
      </w:r>
      <w:proofErr w:type="gramEnd"/>
      <w:r w:rsidRPr="00B167DF">
        <w:rPr>
          <w:rFonts w:ascii="Palatino Linotype" w:eastAsia="Palatino Linotype" w:hAnsi="Palatino Linotype" w:cs="Palatino Linotype"/>
          <w:i/>
          <w:sz w:val="22"/>
          <w:szCs w:val="22"/>
        </w:rPr>
        <w:t xml:space="preserve"> en ejercicio de las atribuciones conferidas, sea generada por los Sujetos Obligados;</w:t>
      </w:r>
    </w:p>
    <w:p w14:paraId="2E0D002E"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2) Que se trate de información registrada en cualquier soporte documental, </w:t>
      </w:r>
      <w:proofErr w:type="gramStart"/>
      <w:r w:rsidRPr="00B167DF">
        <w:rPr>
          <w:rFonts w:ascii="Palatino Linotype" w:eastAsia="Palatino Linotype" w:hAnsi="Palatino Linotype" w:cs="Palatino Linotype"/>
          <w:i/>
          <w:sz w:val="22"/>
          <w:szCs w:val="22"/>
        </w:rPr>
        <w:t>que</w:t>
      </w:r>
      <w:proofErr w:type="gramEnd"/>
      <w:r w:rsidRPr="00B167DF">
        <w:rPr>
          <w:rFonts w:ascii="Palatino Linotype" w:eastAsia="Palatino Linotype" w:hAnsi="Palatino Linotype" w:cs="Palatino Linotype"/>
          <w:i/>
          <w:sz w:val="22"/>
          <w:szCs w:val="22"/>
        </w:rPr>
        <w:t xml:space="preserve"> en ejercicio de las atribuciones conferidas, sea administrada por los Sujetos Obligados, y</w:t>
      </w:r>
    </w:p>
    <w:p w14:paraId="43CCB0C3"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3) Que se trate de información registrada en cualquier soporte documental, </w:t>
      </w:r>
      <w:proofErr w:type="gramStart"/>
      <w:r w:rsidRPr="00B167DF">
        <w:rPr>
          <w:rFonts w:ascii="Palatino Linotype" w:eastAsia="Palatino Linotype" w:hAnsi="Palatino Linotype" w:cs="Palatino Linotype"/>
          <w:i/>
          <w:sz w:val="22"/>
          <w:szCs w:val="22"/>
        </w:rPr>
        <w:t>que</w:t>
      </w:r>
      <w:proofErr w:type="gramEnd"/>
      <w:r w:rsidRPr="00B167DF">
        <w:rPr>
          <w:rFonts w:ascii="Palatino Linotype" w:eastAsia="Palatino Linotype" w:hAnsi="Palatino Linotype" w:cs="Palatino Linotype"/>
          <w:i/>
          <w:sz w:val="22"/>
          <w:szCs w:val="22"/>
        </w:rPr>
        <w:t xml:space="preserve"> en ejercicio de las atribuciones conferidas, se encuentre en posesión de los Sujetos Obligados.” </w:t>
      </w:r>
    </w:p>
    <w:p w14:paraId="1EA610B1"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w:t>
      </w:r>
      <w:r w:rsidRPr="00B167DF">
        <w:rPr>
          <w:rFonts w:ascii="Palatino Linotype" w:eastAsia="Palatino Linotype" w:hAnsi="Palatino Linotype" w:cs="Palatino Linotype"/>
        </w:rPr>
        <w:lastRenderedPageBreak/>
        <w:t>transparencia y la versión pública que emita el servidor público habilitado de cada Sujeto Obligado; como así se establece en la Ley de Transparencia y Acceso a la Información Pública del Estado de México y Municipios.</w:t>
      </w:r>
    </w:p>
    <w:p w14:paraId="63DB26B2"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968770B"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requirió al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le proporcione información consistente en lo siguiente:</w:t>
      </w:r>
    </w:p>
    <w:p w14:paraId="67ABCEEA" w14:textId="77777777" w:rsidR="00204857" w:rsidRPr="00B167DF" w:rsidRDefault="002A7DE1">
      <w:pPr>
        <w:spacing w:before="240" w:after="240" w:line="360" w:lineRule="auto"/>
        <w:ind w:left="284" w:right="51"/>
        <w:jc w:val="both"/>
        <w:rPr>
          <w:rFonts w:ascii="Palatino Linotype" w:eastAsia="Palatino Linotype" w:hAnsi="Palatino Linotype" w:cs="Palatino Linotype"/>
        </w:rPr>
      </w:pPr>
      <w:r w:rsidRPr="00B167DF">
        <w:rPr>
          <w:rFonts w:ascii="Palatino Linotype" w:eastAsia="Palatino Linotype" w:hAnsi="Palatino Linotype" w:cs="Palatino Linotype"/>
        </w:rPr>
        <w:t>1. Del visor de nómina por sueldos y salarios, y por asimilados a salarios, de enero de dos mil veinte a agosto de dos mil veinticuatro.</w:t>
      </w:r>
    </w:p>
    <w:p w14:paraId="452DD2C1" w14:textId="77777777" w:rsidR="00204857" w:rsidRPr="00B167DF" w:rsidRDefault="002A7DE1">
      <w:pPr>
        <w:spacing w:before="120" w:after="120" w:line="360" w:lineRule="auto"/>
        <w:ind w:left="567" w:right="51"/>
        <w:jc w:val="both"/>
        <w:rPr>
          <w:rFonts w:ascii="Palatino Linotype" w:eastAsia="Palatino Linotype" w:hAnsi="Palatino Linotype" w:cs="Palatino Linotype"/>
        </w:rPr>
      </w:pPr>
      <w:r w:rsidRPr="00B167DF">
        <w:rPr>
          <w:rFonts w:ascii="Palatino Linotype" w:eastAsia="Palatino Linotype" w:hAnsi="Palatino Linotype" w:cs="Palatino Linotype"/>
        </w:rPr>
        <w:t>a. Diferencia de ISR a cargo o a favor, o en contra.</w:t>
      </w:r>
    </w:p>
    <w:p w14:paraId="09FB1799" w14:textId="77777777" w:rsidR="00204857" w:rsidRPr="00B167DF" w:rsidRDefault="002A7DE1">
      <w:pPr>
        <w:spacing w:before="120" w:after="120" w:line="360" w:lineRule="auto"/>
        <w:ind w:left="567" w:right="51"/>
        <w:jc w:val="both"/>
        <w:rPr>
          <w:rFonts w:ascii="Palatino Linotype" w:eastAsia="Palatino Linotype" w:hAnsi="Palatino Linotype" w:cs="Palatino Linotype"/>
        </w:rPr>
      </w:pPr>
      <w:r w:rsidRPr="00B167DF">
        <w:rPr>
          <w:rFonts w:ascii="Palatino Linotype" w:eastAsia="Palatino Linotype" w:hAnsi="Palatino Linotype" w:cs="Palatino Linotype"/>
        </w:rPr>
        <w:t>b. ISR retenido, correspondiente al monto histórico recuperado por conducto de la Secretaría de Finanzas del Estado.</w:t>
      </w:r>
    </w:p>
    <w:p w14:paraId="00C50820" w14:textId="77777777" w:rsidR="00204857" w:rsidRPr="00B167DF" w:rsidRDefault="002A7DE1">
      <w:pPr>
        <w:spacing w:before="240" w:after="240" w:line="360" w:lineRule="auto"/>
        <w:ind w:left="284" w:right="51"/>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2. Reporte emitido por la Secretaría de Finanzas del Estado en el que se especifica el monto del ISR que se obtuvo en devolución, de enero de dos mil quince a agosto de dos mil veinticuatro.</w:t>
      </w:r>
    </w:p>
    <w:p w14:paraId="21D5684D" w14:textId="77777777" w:rsidR="00204857" w:rsidRPr="00B167DF" w:rsidRDefault="002A7DE1">
      <w:pPr>
        <w:spacing w:before="240" w:after="240" w:line="360" w:lineRule="auto"/>
        <w:ind w:left="284" w:right="51"/>
        <w:jc w:val="both"/>
        <w:rPr>
          <w:rFonts w:ascii="Palatino Linotype" w:eastAsia="Palatino Linotype" w:hAnsi="Palatino Linotype" w:cs="Palatino Linotype"/>
        </w:rPr>
      </w:pPr>
      <w:r w:rsidRPr="00B167DF">
        <w:rPr>
          <w:rFonts w:ascii="Palatino Linotype" w:eastAsia="Palatino Linotype" w:hAnsi="Palatino Linotype" w:cs="Palatino Linotype"/>
        </w:rPr>
        <w:t>3. Reporte emitido por el software de contabilidad gubernamental en el que se pueda apreciar el control del saldo pendiente de recuperar del ISR participable, al treinta de agosto de dos mil veinticuatro. Puede ser el auxiliar contable de una cuenta de activo, una nota de desglose a los estados financieros.</w:t>
      </w:r>
    </w:p>
    <w:p w14:paraId="130F200D"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Asimismo, precisó que el visor de nómina es un reporte que puede ser descargado de la plataforma del SAT, usando la clave CIEC o la FIEL, y adjuntó como muestra de la información que requiere, la respuesta a la solicitud con número de folio 110196500054524, presentada ante el municipio de Irapuato, Guanajuato, que contiene la información que es del interés de la persona solicitante. A </w:t>
      </w:r>
      <w:proofErr w:type="gramStart"/>
      <w:r w:rsidRPr="00B167DF">
        <w:rPr>
          <w:rFonts w:ascii="Palatino Linotype" w:eastAsia="Palatino Linotype" w:hAnsi="Palatino Linotype" w:cs="Palatino Linotype"/>
        </w:rPr>
        <w:t>continuación</w:t>
      </w:r>
      <w:proofErr w:type="gramEnd"/>
      <w:r w:rsidRPr="00B167DF">
        <w:rPr>
          <w:rFonts w:ascii="Palatino Linotype" w:eastAsia="Palatino Linotype" w:hAnsi="Palatino Linotype" w:cs="Palatino Linotype"/>
        </w:rPr>
        <w:t xml:space="preserve"> se agregan algunos ejemplos, para mejor referencia:</w:t>
      </w:r>
    </w:p>
    <w:p w14:paraId="464D5C0A" w14:textId="77777777" w:rsidR="00204857" w:rsidRPr="00B167DF" w:rsidRDefault="002A7DE1">
      <w:pPr>
        <w:spacing w:before="240" w:after="240" w:line="360" w:lineRule="auto"/>
        <w:ind w:right="51"/>
        <w:jc w:val="both"/>
        <w:rPr>
          <w:rFonts w:ascii="Palatino Linotype" w:eastAsia="Palatino Linotype" w:hAnsi="Palatino Linotype" w:cs="Palatino Linotype"/>
          <w:b/>
        </w:rPr>
      </w:pPr>
      <w:r w:rsidRPr="00B167DF">
        <w:rPr>
          <w:rFonts w:ascii="Palatino Linotype" w:eastAsia="Palatino Linotype" w:hAnsi="Palatino Linotype" w:cs="Palatino Linotype"/>
          <w:b/>
        </w:rPr>
        <w:t>Del aplicativo Visor de Comprobantes de Nómina del Patrón, del Servicio de Administración Tributaria, SAT:</w:t>
      </w:r>
    </w:p>
    <w:p w14:paraId="20D0CE81" w14:textId="77777777" w:rsidR="00204857" w:rsidRPr="00B167DF" w:rsidRDefault="002A7DE1">
      <w:pPr>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b/>
        </w:rPr>
        <w:t>Vista anual acumulada – Ejercicio 2020</w:t>
      </w:r>
    </w:p>
    <w:p w14:paraId="058EE503"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21A9282E" wp14:editId="71773876">
            <wp:extent cx="5612130" cy="2275840"/>
            <wp:effectExtent l="0" t="0" r="0" b="0"/>
            <wp:docPr id="21401318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2275840"/>
                    </a:xfrm>
                    <a:prstGeom prst="rect">
                      <a:avLst/>
                    </a:prstGeom>
                    <a:ln/>
                  </pic:spPr>
                </pic:pic>
              </a:graphicData>
            </a:graphic>
          </wp:inline>
        </w:drawing>
      </w:r>
    </w:p>
    <w:tbl>
      <w:tblPr>
        <w:tblStyle w:val="af3"/>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B167DF" w:rsidRPr="00B167DF" w14:paraId="11B7B492" w14:textId="77777777">
        <w:trPr>
          <w:jc w:val="center"/>
        </w:trPr>
        <w:tc>
          <w:tcPr>
            <w:tcW w:w="4414" w:type="dxa"/>
            <w:shd w:val="clear" w:color="auto" w:fill="BFBFBF"/>
          </w:tcPr>
          <w:p w14:paraId="55F455C4" w14:textId="77777777" w:rsidR="00204857" w:rsidRPr="00B167DF" w:rsidRDefault="002A7DE1">
            <w:pPr>
              <w:spacing w:before="120" w:after="120"/>
              <w:jc w:val="center"/>
              <w:rPr>
                <w:rFonts w:ascii="Palatino Linotype" w:eastAsia="Palatino Linotype" w:hAnsi="Palatino Linotype" w:cs="Palatino Linotype"/>
                <w:b/>
                <w:sz w:val="20"/>
                <w:szCs w:val="20"/>
              </w:rPr>
            </w:pPr>
            <w:r w:rsidRPr="00B167DF">
              <w:rPr>
                <w:rFonts w:ascii="Palatino Linotype" w:eastAsia="Palatino Linotype" w:hAnsi="Palatino Linotype" w:cs="Palatino Linotype"/>
                <w:b/>
                <w:sz w:val="20"/>
                <w:szCs w:val="20"/>
              </w:rPr>
              <w:t xml:space="preserve">Detalle del “Total por Sueldos y Salarios” </w:t>
            </w:r>
          </w:p>
          <w:p w14:paraId="198B2A74" w14:textId="77777777" w:rsidR="00204857" w:rsidRPr="00B167DF" w:rsidRDefault="002A7DE1">
            <w:pPr>
              <w:spacing w:before="120" w:after="120"/>
              <w:jc w:val="center"/>
              <w:rPr>
                <w:rFonts w:ascii="Palatino Linotype" w:eastAsia="Palatino Linotype" w:hAnsi="Palatino Linotype" w:cs="Palatino Linotype"/>
                <w:b/>
                <w:sz w:val="20"/>
                <w:szCs w:val="20"/>
              </w:rPr>
            </w:pPr>
            <w:r w:rsidRPr="00B167DF">
              <w:rPr>
                <w:rFonts w:ascii="Palatino Linotype" w:eastAsia="Palatino Linotype" w:hAnsi="Palatino Linotype" w:cs="Palatino Linotype"/>
                <w:b/>
                <w:sz w:val="20"/>
                <w:szCs w:val="20"/>
              </w:rPr>
              <w:t xml:space="preserve"> Ejercicio 2020</w:t>
            </w:r>
          </w:p>
        </w:tc>
        <w:tc>
          <w:tcPr>
            <w:tcW w:w="4414" w:type="dxa"/>
            <w:shd w:val="clear" w:color="auto" w:fill="BFBFBF"/>
          </w:tcPr>
          <w:p w14:paraId="0AE86D59" w14:textId="77777777" w:rsidR="00204857" w:rsidRPr="00B167DF" w:rsidRDefault="002A7DE1">
            <w:pPr>
              <w:spacing w:before="120" w:after="120"/>
              <w:jc w:val="center"/>
              <w:rPr>
                <w:rFonts w:ascii="Palatino Linotype" w:eastAsia="Palatino Linotype" w:hAnsi="Palatino Linotype" w:cs="Palatino Linotype"/>
                <w:sz w:val="20"/>
                <w:szCs w:val="20"/>
              </w:rPr>
            </w:pPr>
            <w:r w:rsidRPr="00B167DF">
              <w:rPr>
                <w:rFonts w:ascii="Palatino Linotype" w:eastAsia="Palatino Linotype" w:hAnsi="Palatino Linotype" w:cs="Palatino Linotype"/>
                <w:b/>
                <w:sz w:val="20"/>
                <w:szCs w:val="20"/>
              </w:rPr>
              <w:t>Detalle del “Total por Asimilados a Salarios” Ejercicio 2020</w:t>
            </w:r>
          </w:p>
        </w:tc>
      </w:tr>
      <w:tr w:rsidR="00B167DF" w:rsidRPr="00B167DF" w14:paraId="183861B4" w14:textId="77777777">
        <w:trPr>
          <w:jc w:val="center"/>
        </w:trPr>
        <w:tc>
          <w:tcPr>
            <w:tcW w:w="4414" w:type="dxa"/>
          </w:tcPr>
          <w:p w14:paraId="4F96F238" w14:textId="77777777" w:rsidR="00204857" w:rsidRPr="00B167DF" w:rsidRDefault="002A7DE1">
            <w:pPr>
              <w:spacing w:before="120" w:after="120"/>
              <w:jc w:val="center"/>
              <w:rPr>
                <w:rFonts w:ascii="Palatino Linotype" w:eastAsia="Palatino Linotype" w:hAnsi="Palatino Linotype" w:cs="Palatino Linotype"/>
                <w:sz w:val="20"/>
                <w:szCs w:val="20"/>
              </w:rPr>
            </w:pPr>
            <w:r w:rsidRPr="00B167DF">
              <w:rPr>
                <w:rFonts w:ascii="Palatino Linotype" w:eastAsia="Palatino Linotype" w:hAnsi="Palatino Linotype" w:cs="Palatino Linotype"/>
                <w:noProof/>
              </w:rPr>
              <w:drawing>
                <wp:inline distT="0" distB="0" distL="0" distR="0" wp14:anchorId="05BDF936" wp14:editId="640E4749">
                  <wp:extent cx="2520000" cy="1710000"/>
                  <wp:effectExtent l="0" t="0" r="0" b="0"/>
                  <wp:docPr id="21401318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20000" cy="1710000"/>
                          </a:xfrm>
                          <a:prstGeom prst="rect">
                            <a:avLst/>
                          </a:prstGeom>
                          <a:ln/>
                        </pic:spPr>
                      </pic:pic>
                    </a:graphicData>
                  </a:graphic>
                </wp:inline>
              </w:drawing>
            </w:r>
          </w:p>
        </w:tc>
        <w:tc>
          <w:tcPr>
            <w:tcW w:w="4414" w:type="dxa"/>
          </w:tcPr>
          <w:p w14:paraId="6CD73C7C" w14:textId="77777777" w:rsidR="00204857" w:rsidRPr="00B167DF" w:rsidRDefault="002A7DE1">
            <w:pPr>
              <w:spacing w:before="120" w:after="120"/>
              <w:jc w:val="both"/>
              <w:rPr>
                <w:rFonts w:ascii="Palatino Linotype" w:eastAsia="Palatino Linotype" w:hAnsi="Palatino Linotype" w:cs="Palatino Linotype"/>
                <w:sz w:val="20"/>
                <w:szCs w:val="20"/>
              </w:rPr>
            </w:pPr>
            <w:r w:rsidRPr="00B167DF">
              <w:rPr>
                <w:rFonts w:ascii="Palatino Linotype" w:eastAsia="Palatino Linotype" w:hAnsi="Palatino Linotype" w:cs="Palatino Linotype"/>
                <w:noProof/>
              </w:rPr>
              <w:drawing>
                <wp:inline distT="0" distB="0" distL="0" distR="0" wp14:anchorId="12D19DFA" wp14:editId="0EA64D39">
                  <wp:extent cx="2520000" cy="1793483"/>
                  <wp:effectExtent l="0" t="0" r="0" b="0"/>
                  <wp:docPr id="214013190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520000" cy="1793483"/>
                          </a:xfrm>
                          <a:prstGeom prst="rect">
                            <a:avLst/>
                          </a:prstGeom>
                          <a:ln/>
                        </pic:spPr>
                      </pic:pic>
                    </a:graphicData>
                  </a:graphic>
                </wp:inline>
              </w:drawing>
            </w:r>
          </w:p>
        </w:tc>
      </w:tr>
    </w:tbl>
    <w:p w14:paraId="4608E539" w14:textId="77777777" w:rsidR="00204857" w:rsidRPr="00B167DF" w:rsidRDefault="002A7DE1">
      <w:pPr>
        <w:spacing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b/>
        </w:rPr>
        <w:t>Reporte emitido por la Secretaría de Finanzas del Estado de Guanajuato, en el que se especifica el monto del ISR que se obtuvo en devolución:</w:t>
      </w:r>
    </w:p>
    <w:p w14:paraId="5E4E8356" w14:textId="77777777" w:rsidR="00204857" w:rsidRPr="00B167DF" w:rsidRDefault="002A7DE1">
      <w:pPr>
        <w:spacing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1CED4F89" wp14:editId="57110DB7">
            <wp:extent cx="5612130" cy="4127129"/>
            <wp:effectExtent l="0" t="0" r="0" b="0"/>
            <wp:docPr id="214013190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b="8639"/>
                    <a:stretch>
                      <a:fillRect/>
                    </a:stretch>
                  </pic:blipFill>
                  <pic:spPr>
                    <a:xfrm>
                      <a:off x="0" y="0"/>
                      <a:ext cx="5612130" cy="4127129"/>
                    </a:xfrm>
                    <a:prstGeom prst="rect">
                      <a:avLst/>
                    </a:prstGeom>
                    <a:ln/>
                  </pic:spPr>
                </pic:pic>
              </a:graphicData>
            </a:graphic>
          </wp:inline>
        </w:drawing>
      </w:r>
    </w:p>
    <w:p w14:paraId="05116CF6"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respuesta, 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por conducto de la Unidad de Transparencia hizo del conocimiento de la persona solicitante el pronunciamiento emitido por la Tesorería Municipal, cuyo servidor público habilitado manifestó que la información solicitada no se encontraba en los archivos de dicha área.</w:t>
      </w:r>
    </w:p>
    <w:p w14:paraId="088DD05E" w14:textId="77777777" w:rsidR="00C35351" w:rsidRPr="00B167DF" w:rsidRDefault="002A7DE1" w:rsidP="00C3535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Inconforme con lo anterior, 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 xml:space="preserve">interpuso el recurso de revisión que se resuelve, donde alegó como motivo de inconformidad, la negativa de la información solicitada, por lo que reiteró en sus términos el requerimiento, </w:t>
      </w:r>
      <w:r w:rsidR="00C35351" w:rsidRPr="00B167DF">
        <w:rPr>
          <w:rFonts w:ascii="Palatino Linotype" w:eastAsia="Palatino Linotype" w:hAnsi="Palatino Linotype" w:cs="Palatino Linotype"/>
        </w:rPr>
        <w:t>asimismo, insistió en la modalidad de entrega de la información a través de correo electrónico.</w:t>
      </w:r>
    </w:p>
    <w:p w14:paraId="437F6610" w14:textId="77777777" w:rsidR="00204857" w:rsidRPr="00B167DF" w:rsidRDefault="002A7DE1" w:rsidP="00C3535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Es oportuno referir que no escapa de la óptica de este Organismo Garante que la persona solicitante, al momento de interponer su recurso de revisión, realizó diversos planteamientos subjetivos, tales como “</w:t>
      </w:r>
      <w:r w:rsidRPr="00B167DF">
        <w:rPr>
          <w:rFonts w:ascii="Palatino Linotype" w:eastAsia="Palatino Linotype" w:hAnsi="Palatino Linotype" w:cs="Palatino Linotype"/>
          <w:i/>
        </w:rPr>
        <w:t>Es realmente molesto tantas evasivas a entregar archivos reportes que obran en sus archivos y que además se les mando un ejemplo claro y exacto de lo solicitado. Ojalá con este Recurso de Revisión ya no hagan más pernicioso el tema</w:t>
      </w:r>
      <w:r w:rsidRPr="00B167DF">
        <w:rPr>
          <w:rFonts w:ascii="Palatino Linotype" w:eastAsia="Palatino Linotype" w:hAnsi="Palatino Linotype" w:cs="Palatino Linotype"/>
        </w:rPr>
        <w:t>” … “</w:t>
      </w:r>
      <w:r w:rsidRPr="00B167DF">
        <w:rPr>
          <w:rFonts w:ascii="Palatino Linotype" w:eastAsia="Palatino Linotype" w:hAnsi="Palatino Linotype" w:cs="Palatino Linotype"/>
          <w:i/>
        </w:rPr>
        <w:t>es tediosa y poco entendible y de total desagrado para manejar para mi</w:t>
      </w:r>
      <w:r w:rsidRPr="00B167DF">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sus motivos de inconformidad. En este sentido, se trata de manifestaciones sobre las cuales este Instituto no está facultado para pronunciarse.</w:t>
      </w:r>
    </w:p>
    <w:p w14:paraId="097B4B55"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Durante la etapa de manifestaciones 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remitió nuevamente la respuesta a la solicitud con número de folio 110196500054524, presentada ante el municipio de Irapuato, Guanajuato.</w:t>
      </w:r>
    </w:p>
    <w:p w14:paraId="5A05B559"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Mientras que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por conducto de la Tesorería Municipal reiteró la respuesta emitida en primera instancia, esto es, que no obran archivos en la misma.</w:t>
      </w:r>
    </w:p>
    <w:p w14:paraId="280AFD63" w14:textId="77777777" w:rsidR="00204857" w:rsidRPr="00B167DF" w:rsidRDefault="002A7DE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B167DF">
        <w:rPr>
          <w:rFonts w:ascii="Palatino Linotype" w:eastAsia="Palatino Linotype" w:hAnsi="Palatino Linotype" w:cs="Palatino Linotype"/>
          <w:b/>
        </w:rPr>
        <w:lastRenderedPageBreak/>
        <w:t xml:space="preserve">Sujeto Obligado, </w:t>
      </w:r>
      <w:r w:rsidRPr="00B167DF">
        <w:rPr>
          <w:rFonts w:ascii="Palatino Linotype" w:eastAsia="Palatino Linotype" w:hAnsi="Palatino Linotype" w:cs="Palatino Linotype"/>
        </w:rPr>
        <w:t xml:space="preserve">en contraposición con el motivo de inconformidad alegado por 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48A78193" w14:textId="77777777" w:rsidR="00204857" w:rsidRPr="00B167DF" w:rsidRDefault="002A7DE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En este tenor,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5D22D099"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1BA96283"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w:t>
      </w:r>
      <w:r w:rsidRPr="00B167DF">
        <w:rPr>
          <w:rFonts w:ascii="Palatino Linotype" w:eastAsia="Palatino Linotype" w:hAnsi="Palatino Linotype" w:cs="Palatino Linotype"/>
        </w:rPr>
        <w:lastRenderedPageBreak/>
        <w:t>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4C3508C4"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De lo manifestado con antelación se advierte que el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99E247E"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Ahora bien, toda vez que la persona solicitante requirió información del municipio y las paramunicipales, entendidas estas últimas como las dependencias que forman parte de la Administración Pública Municipal creadas para auxiliar a la administración central para realizar alguna actividad considerada estratégica o privada, la prestación de algún servicio público o social, o la aplicación de recursos con fines específicos, pudiendo ser entidades paramunicipales, organismos descentralizados, empresas, fideicomisos, o cualquier otro tipo de institución, organización o unidad administrativa pública de características similares, es preciso </w:t>
      </w:r>
      <w:r w:rsidRPr="00B167DF">
        <w:rPr>
          <w:rFonts w:ascii="Palatino Linotype" w:eastAsia="Palatino Linotype" w:hAnsi="Palatino Linotype" w:cs="Palatino Linotype"/>
        </w:rPr>
        <w:lastRenderedPageBreak/>
        <w:t>señalar que de acuerdo con los artículos 40 del Bando Municipal de Coacalco de Berriozábal y 31 del Reglamento Interno de la Administración Pública de Coacalco de Berriozábal,   la administración pública municipal se integra por las dependencias y entidades siguientes:</w:t>
      </w:r>
    </w:p>
    <w:p w14:paraId="32EAAEB8"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4448023E" wp14:editId="198AD96B">
            <wp:extent cx="5400000" cy="3491244"/>
            <wp:effectExtent l="0" t="0" r="0" b="0"/>
            <wp:docPr id="214013190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a:srcRect/>
                    <a:stretch>
                      <a:fillRect/>
                    </a:stretch>
                  </pic:blipFill>
                  <pic:spPr>
                    <a:xfrm>
                      <a:off x="0" y="0"/>
                      <a:ext cx="5400000" cy="3491244"/>
                    </a:xfrm>
                    <a:prstGeom prst="rect">
                      <a:avLst/>
                    </a:prstGeom>
                    <a:ln/>
                  </pic:spPr>
                </pic:pic>
              </a:graphicData>
            </a:graphic>
          </wp:inline>
        </w:drawing>
      </w:r>
    </w:p>
    <w:p w14:paraId="703DA47A"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Como se advierte, la administración pública municipal de Coacalco de Berriozábal se integra por la Secretaria Particular; la Secretaría Técnica; la Unidad de Transparencia y Protección de Datos Personales; las Coordinaciones de Mejora Regulatoria; de Giras y Eventos; de Logística; de Protección Civil y Bomberos, la Secretaría del Ayuntamiento; la Tesorería Municipal; la Contraloría Municipal; las Direcciones de Administración; de Gobierno; de Desarrollo y Fomento Económico; de Servicios Públicos; de Desarrollo Social; de Educación y Cultura; de Desarrollo </w:t>
      </w:r>
      <w:r w:rsidRPr="00B167DF">
        <w:rPr>
          <w:rFonts w:ascii="Palatino Linotype" w:eastAsia="Palatino Linotype" w:hAnsi="Palatino Linotype" w:cs="Palatino Linotype"/>
        </w:rPr>
        <w:lastRenderedPageBreak/>
        <w:t>Urbano; de Medio Ambiente; de Obras Públicas; Jurídica; y de Comunicación Institucional, la Comisaría de Seguridad Pública y Tránsito Municipal; Dirección de Desarrollo Social, como dependencias centralizadas.</w:t>
      </w:r>
    </w:p>
    <w:p w14:paraId="07DBE225" w14:textId="77777777" w:rsidR="00204857" w:rsidRPr="00B167DF" w:rsidRDefault="002A7DE1">
      <w:pPr>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rPr>
        <w:t xml:space="preserve">Asimismo, la forma de organización de la administración pública adoptada por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contempla al Instituto Municipal de la Mujer, el Instituto Municipal de la Juventud Coacalco, y el Instituto Municipal de Planeación, como Organismos Públicos Desconcentrados; el Sistema Municipal para el Desarrollo Integral de la Familia, DIF Coacalco, el Organismo Público Descentralizado para la Prestación de los Servicios de Agua Potable, Alcantarillado y Saneamiento de Coacalco de Berriozábal, SAPASAC, y el Instituto Municipal de Cultura Física y Deporte de Coacalco de Berriozábal, IMCUFIDEC; como Organismos Públicos Descentralizados; así como la Defensoría Municipal de Derechos Humanos, como Órgano Autónomo.</w:t>
      </w:r>
    </w:p>
    <w:p w14:paraId="197F68CE" w14:textId="77777777" w:rsidR="00204857" w:rsidRPr="00B167DF" w:rsidRDefault="002A7DE1">
      <w:pPr>
        <w:tabs>
          <w:tab w:val="left" w:pos="284"/>
        </w:tabs>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Sin embargo, si bien los organismos públicos descentralizados </w:t>
      </w:r>
      <w:r w:rsidRPr="00B167DF">
        <w:rPr>
          <w:rFonts w:ascii="Palatino Linotype" w:eastAsia="Palatino Linotype" w:hAnsi="Palatino Linotype" w:cs="Palatino Linotype"/>
          <w:b/>
        </w:rPr>
        <w:t xml:space="preserve">están dotados de personalidad jurídica propia, patrimonio propio y autonomía en el manejo de sus recursos,  </w:t>
      </w:r>
      <w:r w:rsidRPr="00B167DF">
        <w:rPr>
          <w:rFonts w:ascii="Palatino Linotype" w:eastAsia="Palatino Linotype" w:hAnsi="Palatino Linotype" w:cs="Palatino Linotype"/>
        </w:rPr>
        <w:t>y cuentan</w:t>
      </w:r>
      <w:r w:rsidRPr="00B167DF">
        <w:rPr>
          <w:rFonts w:ascii="Palatino Linotype" w:eastAsia="Palatino Linotype" w:hAnsi="Palatino Linotype" w:cs="Palatino Linotype"/>
          <w:b/>
        </w:rPr>
        <w:t xml:space="preserve"> c</w:t>
      </w:r>
      <w:r w:rsidRPr="00B167DF">
        <w:rPr>
          <w:rFonts w:ascii="Palatino Linotype" w:eastAsia="Palatino Linotype" w:hAnsi="Palatino Linotype" w:cs="Palatino Linotype"/>
        </w:rPr>
        <w:t xml:space="preserve">on su propio objeto, marco normativo, atribuciones y estructura orgánica para el cumplimiento de las mismas, debe decirse que </w:t>
      </w:r>
      <w:r w:rsidRPr="00B167DF">
        <w:rPr>
          <w:rFonts w:ascii="Palatino Linotype" w:eastAsia="Palatino Linotype" w:hAnsi="Palatino Linotype" w:cs="Palatino Linotype"/>
          <w:b/>
          <w:u w:val="single"/>
        </w:rPr>
        <w:t>en materia de transparencia</w:t>
      </w:r>
      <w:r w:rsidRPr="00B167DF">
        <w:rPr>
          <w:rFonts w:ascii="Palatino Linotype" w:eastAsia="Palatino Linotype" w:hAnsi="Palatino Linotype" w:cs="Palatino Linotype"/>
        </w:rPr>
        <w:t xml:space="preserve"> únicamente </w:t>
      </w:r>
      <w:r w:rsidRPr="00B167DF">
        <w:rPr>
          <w:rFonts w:ascii="Palatino Linotype" w:eastAsia="Palatino Linotype" w:hAnsi="Palatino Linotype" w:cs="Palatino Linotype"/>
          <w:b/>
        </w:rPr>
        <w:t xml:space="preserve">el Ayuntamiento de Coacalco de Berriozábal, </w:t>
      </w:r>
      <w:r w:rsidRPr="00B167DF">
        <w:rPr>
          <w:rFonts w:ascii="Palatino Linotype" w:eastAsia="Palatino Linotype" w:hAnsi="Palatino Linotype" w:cs="Palatino Linotype"/>
        </w:rPr>
        <w:t>el</w:t>
      </w:r>
      <w:r w:rsidRPr="00B167DF">
        <w:rPr>
          <w:rFonts w:ascii="Palatino Linotype" w:eastAsia="Palatino Linotype" w:hAnsi="Palatino Linotype" w:cs="Palatino Linotype"/>
          <w:b/>
        </w:rPr>
        <w:t xml:space="preserve"> Sistema Municipal para el Desarrollo Integral de la Familia, DIF Coacalco; </w:t>
      </w:r>
      <w:r w:rsidRPr="00B167DF">
        <w:rPr>
          <w:rFonts w:ascii="Palatino Linotype" w:eastAsia="Palatino Linotype" w:hAnsi="Palatino Linotype" w:cs="Palatino Linotype"/>
        </w:rPr>
        <w:t>y</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rPr>
        <w:t xml:space="preserve">el </w:t>
      </w:r>
      <w:r w:rsidRPr="00B167DF">
        <w:rPr>
          <w:rFonts w:ascii="Palatino Linotype" w:eastAsia="Palatino Linotype" w:hAnsi="Palatino Linotype" w:cs="Palatino Linotype"/>
          <w:b/>
        </w:rPr>
        <w:t>Organismo Público Descentralizado para la Prestación de los Servicios de Agua Potable, Alcantarillado y Saneamiento de Coacalco de Berriozábal, SAPASAC;</w:t>
      </w:r>
      <w:r w:rsidRPr="00B167DF">
        <w:rPr>
          <w:rFonts w:ascii="Palatino Linotype" w:eastAsia="Palatino Linotype" w:hAnsi="Palatino Linotype" w:cs="Palatino Linotype"/>
        </w:rPr>
        <w:t xml:space="preserve"> </w:t>
      </w:r>
      <w:r w:rsidRPr="00B167DF">
        <w:rPr>
          <w:rFonts w:ascii="Palatino Linotype" w:eastAsia="Palatino Linotype" w:hAnsi="Palatino Linotype" w:cs="Palatino Linotype"/>
          <w:b/>
          <w:u w:val="single"/>
        </w:rPr>
        <w:t>son reconocidos como Sujetos Obligados</w:t>
      </w:r>
      <w:r w:rsidRPr="00B167DF">
        <w:rPr>
          <w:rFonts w:ascii="Palatino Linotype" w:eastAsia="Palatino Linotype" w:hAnsi="Palatino Linotype" w:cs="Palatino Linotype"/>
        </w:rPr>
        <w:t xml:space="preserve"> de conformidad con el Padrón de Sujetos Obligados en materia de Transparencia y </w:t>
      </w:r>
      <w:r w:rsidRPr="00B167DF">
        <w:rPr>
          <w:rFonts w:ascii="Palatino Linotype" w:eastAsia="Palatino Linotype" w:hAnsi="Palatino Linotype" w:cs="Palatino Linotype"/>
        </w:rPr>
        <w:lastRenderedPageBreak/>
        <w:t>Acceso a la Información Pública del Estado de México y Municipios aprobado por el Pleno de este Instituto el veintisiete de enero de dos mil diecisiete y sus modificaciones posteriores, como se ilustra a continuación para mejor referencia:</w:t>
      </w:r>
    </w:p>
    <w:p w14:paraId="47E465A0" w14:textId="77777777" w:rsidR="00204857" w:rsidRPr="00B167DF" w:rsidRDefault="002A7DE1">
      <w:pPr>
        <w:tabs>
          <w:tab w:val="left" w:pos="284"/>
        </w:tabs>
        <w:spacing w:before="120" w:after="120"/>
        <w:ind w:right="51"/>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7EC3AFFD" wp14:editId="3443801C">
            <wp:extent cx="5612130" cy="300355"/>
            <wp:effectExtent l="0" t="0" r="0" b="0"/>
            <wp:docPr id="214013190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5612130" cy="300355"/>
                    </a:xfrm>
                    <a:prstGeom prst="rect">
                      <a:avLst/>
                    </a:prstGeom>
                    <a:ln/>
                  </pic:spPr>
                </pic:pic>
              </a:graphicData>
            </a:graphic>
          </wp:inline>
        </w:drawing>
      </w:r>
    </w:p>
    <w:p w14:paraId="201B8D35" w14:textId="77777777" w:rsidR="00204857" w:rsidRPr="00B167DF" w:rsidRDefault="002A7DE1">
      <w:pPr>
        <w:tabs>
          <w:tab w:val="left" w:pos="284"/>
        </w:tabs>
        <w:spacing w:before="120" w:after="120"/>
        <w:ind w:right="51"/>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1C968E1D" wp14:editId="56D69D24">
            <wp:extent cx="5612130" cy="308610"/>
            <wp:effectExtent l="0" t="0" r="0" b="0"/>
            <wp:docPr id="214013190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612130" cy="308610"/>
                    </a:xfrm>
                    <a:prstGeom prst="rect">
                      <a:avLst/>
                    </a:prstGeom>
                    <a:ln/>
                  </pic:spPr>
                </pic:pic>
              </a:graphicData>
            </a:graphic>
          </wp:inline>
        </w:drawing>
      </w:r>
    </w:p>
    <w:p w14:paraId="5C04FB2D" w14:textId="77777777" w:rsidR="00204857" w:rsidRPr="00B167DF" w:rsidRDefault="002A7DE1">
      <w:pPr>
        <w:tabs>
          <w:tab w:val="left" w:pos="284"/>
        </w:tabs>
        <w:spacing w:before="120" w:after="120"/>
        <w:ind w:right="51"/>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0257472C" wp14:editId="69521556">
            <wp:extent cx="5612130" cy="607060"/>
            <wp:effectExtent l="0" t="0" r="0" b="0"/>
            <wp:docPr id="214013190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612130" cy="607060"/>
                    </a:xfrm>
                    <a:prstGeom prst="rect">
                      <a:avLst/>
                    </a:prstGeom>
                    <a:ln/>
                  </pic:spPr>
                </pic:pic>
              </a:graphicData>
            </a:graphic>
          </wp:inline>
        </w:drawing>
      </w:r>
    </w:p>
    <w:p w14:paraId="4624CDC8" w14:textId="77777777" w:rsidR="00204857" w:rsidRPr="00B167DF" w:rsidRDefault="002A7DE1">
      <w:pPr>
        <w:tabs>
          <w:tab w:val="left" w:pos="284"/>
        </w:tabs>
        <w:spacing w:before="120" w:after="120"/>
        <w:ind w:right="51"/>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0D09607C" wp14:editId="3BC7302A">
            <wp:extent cx="5612130" cy="500380"/>
            <wp:effectExtent l="0" t="0" r="0" b="0"/>
            <wp:docPr id="21401319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5612130" cy="500380"/>
                    </a:xfrm>
                    <a:prstGeom prst="rect">
                      <a:avLst/>
                    </a:prstGeom>
                    <a:ln/>
                  </pic:spPr>
                </pic:pic>
              </a:graphicData>
            </a:graphic>
          </wp:inline>
        </w:drawing>
      </w:r>
    </w:p>
    <w:p w14:paraId="0CF742BB" w14:textId="77777777" w:rsidR="00204857" w:rsidRPr="00B167DF" w:rsidRDefault="002A7DE1">
      <w:pPr>
        <w:tabs>
          <w:tab w:val="left" w:pos="284"/>
        </w:tabs>
        <w:spacing w:before="120" w:after="120"/>
        <w:ind w:right="51"/>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638FA129" wp14:editId="18267CEF">
            <wp:extent cx="5612130" cy="334010"/>
            <wp:effectExtent l="0" t="0" r="0" b="0"/>
            <wp:docPr id="214013190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612130" cy="334010"/>
                    </a:xfrm>
                    <a:prstGeom prst="rect">
                      <a:avLst/>
                    </a:prstGeom>
                    <a:ln/>
                  </pic:spPr>
                </pic:pic>
              </a:graphicData>
            </a:graphic>
          </wp:inline>
        </w:drawing>
      </w:r>
    </w:p>
    <w:p w14:paraId="04C7C7F2" w14:textId="77777777" w:rsidR="00204857" w:rsidRPr="00B167DF" w:rsidRDefault="002A7DE1">
      <w:pPr>
        <w:tabs>
          <w:tab w:val="left" w:pos="284"/>
        </w:tabs>
        <w:spacing w:before="120" w:after="120"/>
        <w:ind w:right="51"/>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1793AAE7" wp14:editId="17101DBD">
            <wp:extent cx="5612130" cy="317500"/>
            <wp:effectExtent l="0" t="0" r="0" b="0"/>
            <wp:docPr id="21401319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5612130" cy="317500"/>
                    </a:xfrm>
                    <a:prstGeom prst="rect">
                      <a:avLst/>
                    </a:prstGeom>
                    <a:ln/>
                  </pic:spPr>
                </pic:pic>
              </a:graphicData>
            </a:graphic>
          </wp:inline>
        </w:drawing>
      </w:r>
    </w:p>
    <w:p w14:paraId="7F4E3161"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Por consiguiente, el Ayuntamiento de Coacalco de Berriozábal es responsable de transparentar la información relativa a las unidades y dependencias administrativas que integran la administración pública centralizada, del Instituto Municipal de la Mujer, del Instituto Municipal de la Juventud Coacalco, del Instituto Municipal de Planeación, del Instituto Municipal de Cultura Física y Deporte de Coacalco de Berriozábal, IMCUFIDEC, y la Defensoría Municipal de Derechos Humanos.</w:t>
      </w:r>
    </w:p>
    <w:p w14:paraId="75C9455B"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Por lo que se refiere al Sistema Municipal para el Desarrollo Integral de la Familia, DIF Coacalco, y el Organismo Público Descentralizado para la Prestación de los Servicios de Agua Potable, Alcantarillado y Saneamiento de Coacalco de </w:t>
      </w:r>
      <w:r w:rsidRPr="00B167DF">
        <w:rPr>
          <w:rFonts w:ascii="Palatino Linotype" w:eastAsia="Palatino Linotype" w:hAnsi="Palatino Linotype" w:cs="Palatino Linotype"/>
        </w:rPr>
        <w:lastRenderedPageBreak/>
        <w:t xml:space="preserve">Berriozábal, SAPASAC., se advierte una notoria incompetencia por parte del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para proporcionar información.</w:t>
      </w:r>
    </w:p>
    <w:p w14:paraId="45769C49" w14:textId="77777777" w:rsidR="00204857" w:rsidRPr="00B167DF" w:rsidRDefault="002A7DE1">
      <w:pPr>
        <w:spacing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Dicho lo anterior, es de recordar, respecto a la Declaración de Incompetencia, que la Ley de Transparencia y Acceso a la Información Pública del Estado de México, establece en los artículos 49, fracción II y 167, lo siguiente: </w:t>
      </w:r>
    </w:p>
    <w:p w14:paraId="72566978" w14:textId="77777777" w:rsidR="00204857" w:rsidRPr="00B167DF" w:rsidRDefault="00204857">
      <w:pPr>
        <w:tabs>
          <w:tab w:val="left" w:pos="1134"/>
        </w:tabs>
        <w:spacing w:line="360" w:lineRule="auto"/>
        <w:ind w:left="567" w:right="902"/>
        <w:jc w:val="both"/>
        <w:rPr>
          <w:rFonts w:ascii="Palatino Linotype" w:eastAsia="Palatino Linotype" w:hAnsi="Palatino Linotype" w:cs="Palatino Linotype"/>
          <w:i/>
          <w:sz w:val="22"/>
          <w:szCs w:val="22"/>
        </w:rPr>
      </w:pPr>
    </w:p>
    <w:p w14:paraId="78190F56" w14:textId="77777777" w:rsidR="00204857" w:rsidRPr="00B167DF" w:rsidRDefault="002A7DE1">
      <w:pPr>
        <w:tabs>
          <w:tab w:val="left" w:pos="1134"/>
          <w:tab w:val="left" w:pos="1276"/>
        </w:tabs>
        <w:spacing w:line="276" w:lineRule="auto"/>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49.</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Los Comités de Transparencia</w:t>
      </w:r>
      <w:r w:rsidRPr="00B167DF">
        <w:rPr>
          <w:rFonts w:ascii="Palatino Linotype" w:eastAsia="Palatino Linotype" w:hAnsi="Palatino Linotype" w:cs="Palatino Linotype"/>
          <w:i/>
          <w:sz w:val="22"/>
          <w:szCs w:val="22"/>
        </w:rPr>
        <w:t xml:space="preserve"> tendrán las siguientes atribuciones:</w:t>
      </w:r>
    </w:p>
    <w:p w14:paraId="746E4210" w14:textId="77777777" w:rsidR="00204857" w:rsidRPr="00B167DF" w:rsidRDefault="002A7DE1">
      <w:pPr>
        <w:tabs>
          <w:tab w:val="left" w:pos="1134"/>
        </w:tabs>
        <w:spacing w:line="276" w:lineRule="auto"/>
        <w:ind w:left="1134"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w:t>
      </w:r>
    </w:p>
    <w:p w14:paraId="44E94856" w14:textId="77777777" w:rsidR="00204857" w:rsidRPr="00B167DF" w:rsidRDefault="002A7DE1">
      <w:pPr>
        <w:tabs>
          <w:tab w:val="left" w:pos="1134"/>
        </w:tabs>
        <w:spacing w:line="276" w:lineRule="auto"/>
        <w:ind w:left="1134" w:right="902"/>
        <w:jc w:val="both"/>
        <w:rPr>
          <w:rFonts w:ascii="Palatino Linotype" w:eastAsia="Palatino Linotype" w:hAnsi="Palatino Linotype" w:cs="Palatino Linotype"/>
          <w:b/>
          <w:i/>
          <w:sz w:val="22"/>
          <w:szCs w:val="22"/>
          <w:u w:val="single"/>
        </w:rPr>
      </w:pPr>
      <w:r w:rsidRPr="00B167DF">
        <w:rPr>
          <w:rFonts w:ascii="Palatino Linotype" w:eastAsia="Palatino Linotype" w:hAnsi="Palatino Linotype" w:cs="Palatino Linotype"/>
          <w:b/>
          <w:i/>
          <w:sz w:val="22"/>
          <w:szCs w:val="22"/>
        </w:rPr>
        <w:t>II.</w:t>
      </w:r>
      <w:r w:rsidRPr="00B167DF">
        <w:rPr>
          <w:rFonts w:ascii="Calibri" w:eastAsia="Calibri" w:hAnsi="Calibri" w:cs="Calibri"/>
          <w:sz w:val="22"/>
          <w:szCs w:val="22"/>
        </w:rPr>
        <w:t xml:space="preserve"> </w:t>
      </w:r>
      <w:r w:rsidRPr="00B167DF">
        <w:rPr>
          <w:rFonts w:ascii="Palatino Linotype" w:eastAsia="Palatino Linotype" w:hAnsi="Palatino Linotype" w:cs="Palatino Linotype"/>
          <w:b/>
          <w:i/>
          <w:sz w:val="22"/>
          <w:szCs w:val="22"/>
        </w:rPr>
        <w:t>Confirmar, modificar o revocar</w:t>
      </w:r>
      <w:r w:rsidRPr="00B167DF">
        <w:rPr>
          <w:rFonts w:ascii="Palatino Linotype" w:eastAsia="Palatino Linotype" w:hAnsi="Palatino Linotype" w:cs="Palatino Linotype"/>
          <w:i/>
          <w:sz w:val="22"/>
          <w:szCs w:val="22"/>
        </w:rPr>
        <w:t xml:space="preserve"> las determinaciones </w:t>
      </w:r>
      <w:proofErr w:type="gramStart"/>
      <w:r w:rsidRPr="00B167DF">
        <w:rPr>
          <w:rFonts w:ascii="Palatino Linotype" w:eastAsia="Palatino Linotype" w:hAnsi="Palatino Linotype" w:cs="Palatino Linotype"/>
          <w:i/>
          <w:sz w:val="22"/>
          <w:szCs w:val="22"/>
        </w:rPr>
        <w:t>que</w:t>
      </w:r>
      <w:proofErr w:type="gramEnd"/>
      <w:r w:rsidRPr="00B167DF">
        <w:rPr>
          <w:rFonts w:ascii="Palatino Linotype" w:eastAsia="Palatino Linotype" w:hAnsi="Palatino Linotype" w:cs="Palatino Linotype"/>
          <w:i/>
          <w:sz w:val="22"/>
          <w:szCs w:val="22"/>
        </w:rPr>
        <w:t xml:space="preserve"> en materia de ampliación del plazo de respuesta, clasificación de la información </w:t>
      </w:r>
      <w:r w:rsidRPr="00B167DF">
        <w:rPr>
          <w:rFonts w:ascii="Palatino Linotype" w:eastAsia="Palatino Linotype" w:hAnsi="Palatino Linotype" w:cs="Palatino Linotype"/>
          <w:b/>
          <w:i/>
          <w:sz w:val="22"/>
          <w:szCs w:val="22"/>
        </w:rPr>
        <w:t>y declaración</w:t>
      </w:r>
      <w:r w:rsidRPr="00B167DF">
        <w:rPr>
          <w:rFonts w:ascii="Palatino Linotype" w:eastAsia="Palatino Linotype" w:hAnsi="Palatino Linotype" w:cs="Palatino Linotype"/>
          <w:i/>
          <w:sz w:val="22"/>
          <w:szCs w:val="22"/>
        </w:rPr>
        <w:t xml:space="preserve"> de inexistencia o </w:t>
      </w:r>
      <w:r w:rsidRPr="00B167DF">
        <w:rPr>
          <w:rFonts w:ascii="Palatino Linotype" w:eastAsia="Palatino Linotype" w:hAnsi="Palatino Linotype" w:cs="Palatino Linotype"/>
          <w:b/>
          <w:i/>
          <w:sz w:val="22"/>
          <w:szCs w:val="22"/>
        </w:rPr>
        <w:t>de incompetencia realicen los titulares de las áreas de los sujetos obligados;</w:t>
      </w:r>
    </w:p>
    <w:p w14:paraId="4488F411" w14:textId="77777777" w:rsidR="00204857" w:rsidRPr="00B167DF" w:rsidRDefault="002A7DE1">
      <w:pPr>
        <w:tabs>
          <w:tab w:val="left" w:pos="1134"/>
        </w:tabs>
        <w:spacing w:line="276" w:lineRule="auto"/>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w:t>
      </w:r>
    </w:p>
    <w:p w14:paraId="55080E6F" w14:textId="77777777" w:rsidR="00204857" w:rsidRPr="00B167DF" w:rsidRDefault="002A7DE1">
      <w:pPr>
        <w:tabs>
          <w:tab w:val="left" w:pos="1134"/>
        </w:tabs>
        <w:spacing w:line="276" w:lineRule="auto"/>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Artículo 167</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Cuando las unidades de transparencia determinen la notoria incompetencia</w:t>
      </w:r>
      <w:r w:rsidRPr="00B167DF">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B167DF">
        <w:rPr>
          <w:rFonts w:ascii="Palatino Linotype" w:eastAsia="Palatino Linotype" w:hAnsi="Palatino Linotype" w:cs="Palatino Linotype"/>
          <w:b/>
          <w:i/>
          <w:sz w:val="22"/>
          <w:szCs w:val="22"/>
        </w:rPr>
        <w:t>deberán comunicarlo al solicitante, dentro de los tres días hábiles posteriores a la recepción de la solicitud</w:t>
      </w:r>
      <w:r w:rsidRPr="00B167DF">
        <w:rPr>
          <w:rFonts w:ascii="Palatino Linotype" w:eastAsia="Palatino Linotype" w:hAnsi="Palatino Linotype" w:cs="Palatino Linotype"/>
          <w:i/>
          <w:sz w:val="22"/>
          <w:szCs w:val="22"/>
        </w:rPr>
        <w:t xml:space="preserve"> y, </w:t>
      </w:r>
      <w:r w:rsidRPr="00B167DF">
        <w:rPr>
          <w:rFonts w:ascii="Palatino Linotype" w:eastAsia="Palatino Linotype" w:hAnsi="Palatino Linotype" w:cs="Palatino Linotype"/>
          <w:b/>
          <w:i/>
          <w:sz w:val="22"/>
          <w:szCs w:val="22"/>
        </w:rPr>
        <w:t>en su caso orientar al solicitante, el o los sujetos obligados competentes.”</w:t>
      </w:r>
    </w:p>
    <w:p w14:paraId="311EA57F" w14:textId="77777777" w:rsidR="00204857" w:rsidRPr="00B167DF" w:rsidRDefault="002A7DE1">
      <w:pPr>
        <w:tabs>
          <w:tab w:val="left" w:pos="142"/>
          <w:tab w:val="left" w:pos="284"/>
        </w:tabs>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rPr>
        <w:t>De los preceptos citados se desprende que es atribución del Comité de Transparencia confirmar, modificar o revocar, en su caso, la declaración de incompetencia,</w:t>
      </w:r>
      <w:r w:rsidRPr="00B167DF">
        <w:rPr>
          <w:rFonts w:ascii="Palatino Linotype" w:eastAsia="Palatino Linotype" w:hAnsi="Palatino Linotype" w:cs="Palatino Linotype"/>
          <w:b/>
        </w:rPr>
        <w:t xml:space="preserve"> en aquellos casos en los que no se trate de una notoria incompetencia. </w:t>
      </w:r>
    </w:p>
    <w:p w14:paraId="7FBFC58F" w14:textId="77777777" w:rsidR="00204857" w:rsidRPr="00B167DF" w:rsidRDefault="002A7DE1">
      <w:pPr>
        <w:tabs>
          <w:tab w:val="left" w:pos="142"/>
          <w:tab w:val="left" w:pos="284"/>
        </w:tabs>
        <w:spacing w:before="240" w:after="240" w:line="360" w:lineRule="auto"/>
        <w:jc w:val="both"/>
        <w:rPr>
          <w:rFonts w:ascii="Palatino Linotype" w:eastAsia="Palatino Linotype" w:hAnsi="Palatino Linotype" w:cs="Palatino Linotype"/>
          <w:u w:val="single"/>
        </w:rPr>
      </w:pPr>
      <w:r w:rsidRPr="00B167DF">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 la persona solicitante. En otras </w:t>
      </w:r>
      <w:r w:rsidRPr="00B167DF">
        <w:rPr>
          <w:rFonts w:ascii="Palatino Linotype" w:eastAsia="Palatino Linotype" w:hAnsi="Palatino Linotype" w:cs="Palatino Linotype"/>
        </w:rPr>
        <w:lastRenderedPageBreak/>
        <w:t xml:space="preserve">palabras, la Ley de la Materia confiere a las Unidades de Transparencia la posibilidad de notificar la incompetencia cuando ésta sea notoria, siendo innecesario que dicha circunstancia sea sometida a consideración de los integrantes del Comité de Transparencia </w:t>
      </w:r>
      <w:r w:rsidRPr="00B167DF">
        <w:rPr>
          <w:rFonts w:ascii="Palatino Linotype" w:eastAsia="Palatino Linotype" w:hAnsi="Palatino Linotype" w:cs="Palatino Linotype"/>
          <w:u w:val="single"/>
        </w:rPr>
        <w:t xml:space="preserve">para su aprobación. </w:t>
      </w:r>
    </w:p>
    <w:p w14:paraId="7B0B09A3" w14:textId="77777777" w:rsidR="00204857" w:rsidRPr="00B167DF" w:rsidRDefault="002A7DE1">
      <w:pPr>
        <w:tabs>
          <w:tab w:val="left" w:pos="142"/>
          <w:tab w:val="left" w:pos="284"/>
        </w:tabs>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Como sustento de lo anterior, resulta aplicable el Criterio de Interpretación con Clave de control SO/002/2020, emitido por el Instituto Nacional de Transparencia, Acceso a la Información, y Protección de Datos Personales, INAI, que lleva por rubro y texto los siguientes:  </w:t>
      </w:r>
    </w:p>
    <w:p w14:paraId="717DBACE" w14:textId="77777777" w:rsidR="00204857" w:rsidRPr="00B167DF" w:rsidRDefault="002A7DE1">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“Declaración de incompetencia por parte del Comité, cuando no sea notoria o manifiesta.</w:t>
      </w:r>
      <w:r w:rsidRPr="00B167DF">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7F747621" w14:textId="77777777" w:rsidR="00204857" w:rsidRPr="00B167DF" w:rsidRDefault="002A7DE1">
      <w:pPr>
        <w:tabs>
          <w:tab w:val="left" w:pos="142"/>
          <w:tab w:val="left" w:pos="284"/>
        </w:tabs>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b/>
          <w:u w:val="single"/>
        </w:rPr>
        <w:t>duda razonable sobre la administración del documento materia de la solicitud de información</w:t>
      </w:r>
      <w:r w:rsidRPr="00B167DF">
        <w:rPr>
          <w:rFonts w:ascii="Palatino Linotype" w:eastAsia="Palatino Linotype" w:hAnsi="Palatino Linotype" w:cs="Palatino Linotype"/>
        </w:rPr>
        <w:t>, como se lee enseguida:</w:t>
      </w:r>
    </w:p>
    <w:p w14:paraId="31E4D596" w14:textId="77777777" w:rsidR="00204857" w:rsidRPr="00B167DF" w:rsidRDefault="002A7DE1">
      <w:pPr>
        <w:tabs>
          <w:tab w:val="left" w:pos="1418"/>
        </w:tabs>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B167DF">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w:t>
      </w:r>
      <w:r w:rsidRPr="00B167DF">
        <w:rPr>
          <w:rFonts w:ascii="Palatino Linotype" w:eastAsia="Palatino Linotype" w:hAnsi="Palatino Linotype" w:cs="Palatino Linotype"/>
          <w:i/>
          <w:sz w:val="22"/>
          <w:szCs w:val="22"/>
        </w:rPr>
        <w:lastRenderedPageBreak/>
        <w:t xml:space="preserve">sobre el o los Sujetos Obligados competentes para su atención. No obstante, es importante resaltar que </w:t>
      </w:r>
      <w:r w:rsidRPr="00B167DF">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B167DF">
        <w:rPr>
          <w:rFonts w:ascii="Palatino Linotype" w:eastAsia="Palatino Linotype" w:hAnsi="Palatino Linotype" w:cs="Palatino Linotype"/>
          <w:b/>
          <w:i/>
          <w:sz w:val="22"/>
          <w:szCs w:val="22"/>
          <w:u w:val="single"/>
        </w:rPr>
        <w:t>impiden determinar dentro del término legal de tres días hábiles</w:t>
      </w:r>
      <w:r w:rsidRPr="00B167DF">
        <w:rPr>
          <w:rFonts w:ascii="Palatino Linotype" w:eastAsia="Palatino Linotype" w:hAnsi="Palatino Linotype" w:cs="Palatino Linotype"/>
          <w:b/>
          <w:i/>
          <w:sz w:val="22"/>
          <w:szCs w:val="22"/>
        </w:rPr>
        <w:t>, si se posee o no la información por el Sujeto Obligado requerid</w:t>
      </w:r>
      <w:r w:rsidRPr="00B167DF">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2E2B03D" w14:textId="77777777" w:rsidR="00204857" w:rsidRPr="00B167DF" w:rsidRDefault="002A7DE1">
      <w:pPr>
        <w:tabs>
          <w:tab w:val="left" w:pos="142"/>
          <w:tab w:val="left" w:pos="284"/>
        </w:tabs>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En el caso particular, dado que se ha demostrado que el Sistema Municipal para el Desarrollo Integral de la Familia, DIF Coacalco, y el Organismo Público Descentralizado para la Prestación de los Servicios de Agua Potable, Alcantarillado y Saneamiento de Coacalco de Berriozábal, SAPASAC, son reconocidos como Sujetos Obligados en materia de transparencia, se estima que la incompetencia del Sujeto Obligado es notoria, por lo tanto resulta innecesaria la emisión de una declaratoria formal de incompetencia a través del Comité de Transparencia.</w:t>
      </w:r>
    </w:p>
    <w:p w14:paraId="3D8FD858"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Sin embargo, se insta al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para que en próximas ocasiones observe las formalidades y plazos que prevén las leyes de la materia a efecto de no vulnerar el derecho de acceso a la información de los particulares, asimismo, se hace de su conocimiento que el mismo artículo 167 de la Ley de la Materia, en su párrafo </w:t>
      </w:r>
      <w:r w:rsidRPr="00B167DF">
        <w:rPr>
          <w:rFonts w:ascii="Palatino Linotype" w:eastAsia="Palatino Linotype" w:hAnsi="Palatino Linotype" w:cs="Palatino Linotype"/>
        </w:rPr>
        <w:lastRenderedPageBreak/>
        <w:t>segundo concede, a los Sujetos Obligados, la posibilidad de atender de manera parcial las solicitudes de acceso a la información, dando respuesta únicamente respecto de aquellos requerimientos sobre los cuales se tiene competencia dentro del plazo de quince días hábiles contados a partir del día siguiente a la presentación de la solicitud, de conformidad con el párrafo primero del artículo 163 de la Ley de la Materia, y, respecto de la información sobre la cual se es incompetente, declarar la incompetencia en el término de tres días hábiles posteriores a la recepción de la solicitud.</w:t>
      </w:r>
    </w:p>
    <w:p w14:paraId="526B8D0C"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las relatadas circunstancias se dejan a salvo los derechos de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para que, en caso de considerarlo oportuno a sus intereses formule una nueva solicitud de información ante los Sujetos Obligados competentes.</w:t>
      </w:r>
    </w:p>
    <w:p w14:paraId="030EE07A"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Acotado lo anterior, derivado del análisis de las constancias que obran en el expediente electrónico en el que se actúa, se advirtió que la Unidad de Transparencia turnó la solicitud de información a la Tesorería Municipal, al considerarle como el área competente para conocer de la información solicitada, cuyo servidor público habilitado, tanto en respuesta como en informe justificado manifestó que la información solicitada no obraba en los archivos del área a su cargo.</w:t>
      </w:r>
    </w:p>
    <w:p w14:paraId="6CC65700"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Cabe señalar que la Tesorería Municipal es el órgano encargado de la recaudación de los ingresos municipales y </w:t>
      </w:r>
      <w:r w:rsidRPr="00B167DF">
        <w:rPr>
          <w:rFonts w:ascii="Palatino Linotype" w:eastAsia="Palatino Linotype" w:hAnsi="Palatino Linotype" w:cs="Palatino Linotype"/>
          <w:b/>
        </w:rPr>
        <w:t>responsable de realizar las erogaciones</w:t>
      </w:r>
      <w:r w:rsidRPr="00B167DF">
        <w:rPr>
          <w:rFonts w:ascii="Palatino Linotype" w:eastAsia="Palatino Linotype" w:hAnsi="Palatino Linotype" w:cs="Palatino Linotype"/>
        </w:rPr>
        <w:t xml:space="preserve"> que haga el ayuntamiento </w:t>
      </w:r>
      <w:r w:rsidRPr="00B167DF">
        <w:rPr>
          <w:rFonts w:ascii="Palatino Linotype" w:eastAsia="Palatino Linotype" w:hAnsi="Palatino Linotype" w:cs="Palatino Linotype"/>
          <w:b/>
        </w:rPr>
        <w:t>a través de los registros contables, financieros y administrativos</w:t>
      </w:r>
      <w:r w:rsidRPr="00B167DF">
        <w:rPr>
          <w:rFonts w:ascii="Palatino Linotype" w:eastAsia="Palatino Linotype" w:hAnsi="Palatino Linotype" w:cs="Palatino Linotype"/>
        </w:rPr>
        <w:t xml:space="preserve"> de los ingresos, </w:t>
      </w:r>
      <w:r w:rsidRPr="00B167DF">
        <w:rPr>
          <w:rFonts w:ascii="Palatino Linotype" w:eastAsia="Palatino Linotype" w:hAnsi="Palatino Linotype" w:cs="Palatino Linotype"/>
          <w:b/>
        </w:rPr>
        <w:t>egresos</w:t>
      </w:r>
      <w:r w:rsidRPr="00B167DF">
        <w:rPr>
          <w:rFonts w:ascii="Palatino Linotype" w:eastAsia="Palatino Linotype" w:hAnsi="Palatino Linotype" w:cs="Palatino Linotype"/>
        </w:rPr>
        <w:t xml:space="preserve"> e inventarios; participar en la formulación de Convenios Fiscales; así como de </w:t>
      </w:r>
      <w:r w:rsidRPr="00B167DF">
        <w:rPr>
          <w:rFonts w:ascii="Palatino Linotype" w:eastAsia="Palatino Linotype" w:hAnsi="Palatino Linotype" w:cs="Palatino Linotype"/>
          <w:b/>
          <w:u w:val="single"/>
        </w:rPr>
        <w:t xml:space="preserve">recaudar y administrar los ingresos que se deriven de la </w:t>
      </w:r>
      <w:r w:rsidRPr="00B167DF">
        <w:rPr>
          <w:rFonts w:ascii="Palatino Linotype" w:eastAsia="Palatino Linotype" w:hAnsi="Palatino Linotype" w:cs="Palatino Linotype"/>
          <w:b/>
          <w:u w:val="single"/>
        </w:rPr>
        <w:lastRenderedPageBreak/>
        <w:t>suscripción de convenios, acuerdos o la emisión de declaratorias de coordinación; los relativos a las transferencias otorgadas a favor del Municipio en el marco del Sistema Nacional o Estatal de Coordinación Fiscal</w:t>
      </w:r>
      <w:r w:rsidRPr="00B167DF">
        <w:rPr>
          <w:rFonts w:ascii="Palatino Linotype" w:eastAsia="Palatino Linotype" w:hAnsi="Palatino Linotype" w:cs="Palatino Linotype"/>
        </w:rPr>
        <w:t>, o los que reciba por cualquier otro concepto; dar cumplimiento a las leyes, convenios de coordinación fiscal y demás que en materia hacendaria celebre el Ayuntamiento con el Estado, entre otras atribuciones, de conformidad con lo establecido en los artículos 93 y 95, fracciones I,  IV, VIII, XIX y XX, de la Ley Orgánica Municipal del Estado de México, a saber:</w:t>
      </w:r>
    </w:p>
    <w:p w14:paraId="10047B10"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93</w:t>
      </w:r>
      <w:r w:rsidRPr="00B167DF">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16F1DA20"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5749B1C6"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95</w:t>
      </w:r>
      <w:r w:rsidRPr="00B167DF">
        <w:rPr>
          <w:rFonts w:ascii="Palatino Linotype" w:eastAsia="Palatino Linotype" w:hAnsi="Palatino Linotype" w:cs="Palatino Linotype"/>
          <w:i/>
          <w:sz w:val="22"/>
          <w:szCs w:val="22"/>
        </w:rPr>
        <w:t xml:space="preserve">.- Son atribuciones del tesorero municipal: </w:t>
      </w:r>
    </w:p>
    <w:p w14:paraId="4135E2F4"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Administrar la hacienda pública municipal</w:t>
      </w:r>
      <w:r w:rsidRPr="00B167DF">
        <w:rPr>
          <w:rFonts w:ascii="Palatino Linotype" w:eastAsia="Palatino Linotype" w:hAnsi="Palatino Linotype" w:cs="Palatino Linotype"/>
          <w:i/>
          <w:sz w:val="22"/>
          <w:szCs w:val="22"/>
        </w:rPr>
        <w:t>, de conformidad con las disposiciones legales aplicables;</w:t>
      </w:r>
    </w:p>
    <w:p w14:paraId="4B50854E"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6B16D2EE"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IV.</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u w:val="single"/>
        </w:rPr>
        <w:t>Llevar los registros contables, financieros y administrativos</w:t>
      </w:r>
      <w:r w:rsidRPr="00B167DF">
        <w:rPr>
          <w:rFonts w:ascii="Palatino Linotype" w:eastAsia="Palatino Linotype" w:hAnsi="Palatino Linotype" w:cs="Palatino Linotype"/>
          <w:b/>
          <w:i/>
          <w:sz w:val="22"/>
          <w:szCs w:val="22"/>
        </w:rPr>
        <w:t xml:space="preserve"> de los ingresos, egresos</w:t>
      </w:r>
      <w:r w:rsidRPr="00B167DF">
        <w:rPr>
          <w:rFonts w:ascii="Palatino Linotype" w:eastAsia="Palatino Linotype" w:hAnsi="Palatino Linotype" w:cs="Palatino Linotype"/>
          <w:i/>
          <w:sz w:val="22"/>
          <w:szCs w:val="22"/>
        </w:rPr>
        <w:t>, e inventarios;</w:t>
      </w:r>
    </w:p>
    <w:p w14:paraId="65A6ED3E"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4FE85C3B"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VIII</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Participar en la formulación de Convenios Fiscales</w:t>
      </w:r>
      <w:r w:rsidRPr="00B167DF">
        <w:rPr>
          <w:rFonts w:ascii="Palatino Linotype" w:eastAsia="Palatino Linotype" w:hAnsi="Palatino Linotype" w:cs="Palatino Linotype"/>
          <w:i/>
          <w:sz w:val="22"/>
          <w:szCs w:val="22"/>
        </w:rPr>
        <w:t xml:space="preserve"> y ejercer las atribuciones que le correspondan en el ámbito de su competencia;</w:t>
      </w:r>
    </w:p>
    <w:p w14:paraId="2027352D"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1B2FCED9"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XIX.</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w:t>
      </w:r>
      <w:r w:rsidRPr="00B167DF">
        <w:rPr>
          <w:rFonts w:ascii="Palatino Linotype" w:eastAsia="Palatino Linotype" w:hAnsi="Palatino Linotype" w:cs="Palatino Linotype"/>
          <w:i/>
          <w:sz w:val="22"/>
          <w:szCs w:val="22"/>
        </w:rPr>
        <w:t>; así como el importe de las sanciones por infracciones impuestas por las autoridades competentes, por la inobservancia de las diversas disposiciones y ordenamientos legales, constituyendo los créditos fiscales correspondientes;</w:t>
      </w:r>
    </w:p>
    <w:p w14:paraId="141F29F6"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lastRenderedPageBreak/>
        <w:t>XX.</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u w:val="single"/>
        </w:rPr>
        <w:t>Dar cumplimiento a las leyes, convenios de coordinación fiscal y demás que en materia hacendaria celebre el Ayuntamiento con el Estado;</w:t>
      </w:r>
      <w:r w:rsidRPr="00B167DF">
        <w:rPr>
          <w:rFonts w:ascii="Palatino Linotype" w:eastAsia="Palatino Linotype" w:hAnsi="Palatino Linotype" w:cs="Palatino Linotype"/>
          <w:b/>
          <w:i/>
          <w:sz w:val="22"/>
          <w:szCs w:val="22"/>
        </w:rPr>
        <w:t xml:space="preserve"> autorizar la suficiencia presupuestal</w:t>
      </w:r>
      <w:r w:rsidRPr="00B167DF">
        <w:rPr>
          <w:rFonts w:ascii="Palatino Linotype" w:eastAsia="Palatino Linotype" w:hAnsi="Palatino Linotype" w:cs="Palatino Linotype"/>
          <w:i/>
          <w:sz w:val="22"/>
          <w:szCs w:val="22"/>
        </w:rPr>
        <w:t xml:space="preserve"> para la adquisición de bienes y servicios requeridos por las áreas, de conformidad con el articulo su presupuesto autorizado para cada ejercicio, en términos de los artículos 93 y 95 de la Ley Orgánica Municipal del Estado de México.”</w:t>
      </w:r>
    </w:p>
    <w:p w14:paraId="0A996EA7"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Sin embargo, no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w:t>
      </w:r>
      <w:proofErr w:type="gramStart"/>
      <w:r w:rsidRPr="00B167DF">
        <w:rPr>
          <w:rFonts w:ascii="Palatino Linotype" w:eastAsia="Palatino Linotype" w:hAnsi="Palatino Linotype" w:cs="Palatino Linotype"/>
        </w:rPr>
        <w:t>éste</w:t>
      </w:r>
      <w:proofErr w:type="gramEnd"/>
      <w:r w:rsidRPr="00B167DF">
        <w:rPr>
          <w:rFonts w:ascii="Palatino Linotype" w:eastAsia="Palatino Linotype" w:hAnsi="Palatino Linotype" w:cs="Palatino Linotype"/>
        </w:rPr>
        <w:t xml:space="preserve"> derecho.</w:t>
      </w:r>
    </w:p>
    <w:p w14:paraId="3B36BD8E"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Lo anterior se afirma así en virtud de que en el expediente electrónico de la solicitud no obra registro del turno de la solicitud a los servidores públicos habilitados de las demás áreas que pudieran ser competentes para generar, administrar y/o poseer la información que es del interés de la persona solicitante, esto es, la Dirección de Administración, y el Instituto Municipal de Cultura Física y Deporte de Coacalco de Berriozábal, IMCUFIDEC, reiterando que los servidores públicos habilitados son las personas designadas en cada unidad administrativa de los Sujetos Obligados responsables de gestionar las solicitudes de información o de datos personales, para efectos de la búsqueda de la información en los archivos de las áreas a su cargo y la entrega de la información localizada a las Unidades de Transparencia atendiendo a la naturaleza de la misma.</w:t>
      </w:r>
    </w:p>
    <w:p w14:paraId="3E12D5F7"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tal sentido, es evidente que la respuesta del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 xml:space="preserve">es insuficiente para tener por satisfecho el Derecho Humano de acceso a la Información al no haberse agotado el procedimiento de búsqueda en todas las áreas competentes para conocer </w:t>
      </w:r>
      <w:r w:rsidRPr="00B167DF">
        <w:rPr>
          <w:rFonts w:ascii="Palatino Linotype" w:eastAsia="Palatino Linotype" w:hAnsi="Palatino Linotype" w:cs="Palatino Linotype"/>
        </w:rPr>
        <w:lastRenderedPageBreak/>
        <w:t>de la información, por tanto, es dable ordenar la búsqueda exhaustiva y razonable de la información y se haga entrega del soporte documental donde conste lo solicitado.</w:t>
      </w:r>
    </w:p>
    <w:p w14:paraId="73A7355A"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Para efectos de lo anterior, es oportuno hacer las siguientes precisiones:</w:t>
      </w:r>
    </w:p>
    <w:p w14:paraId="70B6A89E"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Respecto al </w:t>
      </w:r>
      <w:r w:rsidRPr="00B167DF">
        <w:rPr>
          <w:rFonts w:ascii="Palatino Linotype" w:eastAsia="Palatino Linotype" w:hAnsi="Palatino Linotype" w:cs="Palatino Linotype"/>
          <w:b/>
        </w:rPr>
        <w:t>punto 1</w:t>
      </w:r>
      <w:r w:rsidRPr="00B167DF">
        <w:rPr>
          <w:rFonts w:ascii="Palatino Linotype" w:eastAsia="Palatino Linotype" w:hAnsi="Palatino Linotype" w:cs="Palatino Linotype"/>
        </w:rPr>
        <w:t xml:space="preserve"> de la solicitud por medio del cual se requiere, del visor de nómina por sueldos y salarios, y asimilados a salarios, la diferencia a cargo o a favor, o en contra; y el ISR retenido, correspondiente al monto histórico recuperado por conducto de la Secretaria de Finanzas del Estado, de enero de dos mil veinte a agosto de dos mil veinticuatro, es preciso referir, en primer lugar, que las personas físicas y morales están obligadas al pago del Impuesto Sobre la Renta respecto de todos sus ingresos, en los términos establecidos en el artículo 1 de la Ley del Impuesto Sobre la Renta.</w:t>
      </w:r>
    </w:p>
    <w:p w14:paraId="2A6F9708"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w:t>
      </w:r>
      <w:r w:rsidRPr="00B167DF">
        <w:rPr>
          <w:rFonts w:ascii="Palatino Linotype" w:eastAsia="Palatino Linotype" w:hAnsi="Palatino Linotype" w:cs="Palatino Linotype"/>
          <w:b/>
          <w:u w:val="single"/>
        </w:rPr>
        <w:t xml:space="preserve">encontrándose obligadas las personas físicas o morales que hagan pagos por dichos conceptos, a efectuar las retenciones y enteros mensuales, </w:t>
      </w:r>
      <w:r w:rsidRPr="00B167DF">
        <w:rPr>
          <w:rFonts w:ascii="Palatino Linotype" w:eastAsia="Palatino Linotype" w:hAnsi="Palatino Linotype" w:cs="Palatino Linotype"/>
        </w:rPr>
        <w:t>que tendrán el carácter de pagos provisionales a cuenta del impuesto anual;</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b/>
          <w:u w:val="single"/>
        </w:rPr>
        <w:t>expedir y entregar comprobantes fiscales respectivos</w:t>
      </w:r>
      <w:r w:rsidRPr="00B167DF">
        <w:rPr>
          <w:rFonts w:ascii="Palatino Linotype" w:eastAsia="Palatino Linotype" w:hAnsi="Palatino Linotype" w:cs="Palatino Linotype"/>
        </w:rPr>
        <w:t xml:space="preserve">, así como </w:t>
      </w:r>
      <w:r w:rsidRPr="00B167DF">
        <w:rPr>
          <w:rFonts w:ascii="Palatino Linotype" w:eastAsia="Palatino Linotype" w:hAnsi="Palatino Linotype" w:cs="Palatino Linotype"/>
          <w:b/>
          <w:u w:val="single"/>
        </w:rPr>
        <w:t>calcular el impuesto anual de cada persona que le hubiere prestado servicios personales subordinados</w:t>
      </w:r>
      <w:r w:rsidRPr="00B167DF">
        <w:rPr>
          <w:rFonts w:ascii="Palatino Linotype" w:eastAsia="Palatino Linotype" w:hAnsi="Palatino Linotype" w:cs="Palatino Linotype"/>
        </w:rPr>
        <w:t xml:space="preserve">, de conformidad con los artículos 94, fracciones I y IV, 96 párrafo primero, 97 párrafo </w:t>
      </w:r>
      <w:r w:rsidRPr="00B167DF">
        <w:rPr>
          <w:rFonts w:ascii="Palatino Linotype" w:eastAsia="Palatino Linotype" w:hAnsi="Palatino Linotype" w:cs="Palatino Linotype"/>
        </w:rPr>
        <w:lastRenderedPageBreak/>
        <w:t>primero y 99, fracciones I y III del Capítulo I De los ingresos por salarios y en general por la prestación de un servicio personal subordinado, del Título IV De las personas  físicas, de la Ley del Impuesto Sobre la Renta, a saber:</w:t>
      </w:r>
    </w:p>
    <w:p w14:paraId="1601DB76" w14:textId="77777777" w:rsidR="00204857" w:rsidRPr="00B167DF" w:rsidRDefault="002A7DE1">
      <w:pPr>
        <w:tabs>
          <w:tab w:val="left" w:pos="7938"/>
        </w:tabs>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“Artículo 94. </w:t>
      </w:r>
      <w:r w:rsidRPr="00B167DF">
        <w:rPr>
          <w:rFonts w:ascii="Palatino Linotype" w:eastAsia="Palatino Linotype" w:hAnsi="Palatino Linotype" w:cs="Palatino Linotype"/>
          <w:b/>
          <w:i/>
          <w:sz w:val="22"/>
          <w:szCs w:val="22"/>
          <w:u w:val="single"/>
        </w:rPr>
        <w:t>Se consideran ingresos por la prestación de un servicio personal subordinado</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los salarios y demás prestaciones que deriven de una relación laboral</w:t>
      </w:r>
      <w:r w:rsidRPr="00B167DF">
        <w:rPr>
          <w:rFonts w:ascii="Palatino Linotype" w:eastAsia="Palatino Linotype" w:hAnsi="Palatino Linotype" w:cs="Palatino Linotype"/>
          <w:i/>
          <w:sz w:val="22"/>
          <w:szCs w:val="22"/>
        </w:rPr>
        <w:t xml:space="preserve">, incluyendo </w:t>
      </w:r>
      <w:r w:rsidRPr="00B167DF">
        <w:rPr>
          <w:rFonts w:ascii="Palatino Linotype" w:eastAsia="Palatino Linotype" w:hAnsi="Palatino Linotype" w:cs="Palatino Linotype"/>
          <w:b/>
          <w:i/>
          <w:sz w:val="22"/>
          <w:szCs w:val="22"/>
        </w:rPr>
        <w:t>la participación de los trabajadores en las utilidades de las empresas</w:t>
      </w:r>
      <w:r w:rsidRPr="00B167DF">
        <w:rPr>
          <w:rFonts w:ascii="Palatino Linotype" w:eastAsia="Palatino Linotype" w:hAnsi="Palatino Linotype" w:cs="Palatino Linotype"/>
          <w:i/>
          <w:sz w:val="22"/>
          <w:szCs w:val="22"/>
        </w:rPr>
        <w:t xml:space="preserve"> y </w:t>
      </w:r>
      <w:r w:rsidRPr="00B167DF">
        <w:rPr>
          <w:rFonts w:ascii="Palatino Linotype" w:eastAsia="Palatino Linotype" w:hAnsi="Palatino Linotype" w:cs="Palatino Linotype"/>
          <w:b/>
          <w:i/>
          <w:sz w:val="22"/>
          <w:szCs w:val="22"/>
        </w:rPr>
        <w:t>las prestaciones percibidas como consecuencia de la terminación de la relación laboral</w:t>
      </w:r>
      <w:r w:rsidRPr="00B167DF">
        <w:rPr>
          <w:rFonts w:ascii="Palatino Linotype" w:eastAsia="Palatino Linotype" w:hAnsi="Palatino Linotype" w:cs="Palatino Linotype"/>
          <w:i/>
          <w:sz w:val="22"/>
          <w:szCs w:val="22"/>
        </w:rPr>
        <w:t xml:space="preserve">. Para los efectos de este impuesto, </w:t>
      </w:r>
      <w:r w:rsidRPr="00B167DF">
        <w:rPr>
          <w:rFonts w:ascii="Palatino Linotype" w:eastAsia="Palatino Linotype" w:hAnsi="Palatino Linotype" w:cs="Palatino Linotype"/>
          <w:b/>
          <w:i/>
          <w:sz w:val="22"/>
          <w:szCs w:val="22"/>
        </w:rPr>
        <w:t xml:space="preserve">se asimilan a estos ingresos </w:t>
      </w:r>
      <w:r w:rsidRPr="00B167DF">
        <w:rPr>
          <w:rFonts w:ascii="Palatino Linotype" w:eastAsia="Palatino Linotype" w:hAnsi="Palatino Linotype" w:cs="Palatino Linotype"/>
          <w:i/>
          <w:sz w:val="22"/>
          <w:szCs w:val="22"/>
        </w:rPr>
        <w:t>los siguientes:</w:t>
      </w:r>
    </w:p>
    <w:p w14:paraId="604CF144" w14:textId="77777777" w:rsidR="00204857" w:rsidRPr="00B167DF" w:rsidRDefault="002A7DE1">
      <w:pPr>
        <w:tabs>
          <w:tab w:val="left" w:pos="7938"/>
        </w:tabs>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 Las remuneraciones y demás prestaciones, obtenidas por los funcionarios y trabajadores de</w:t>
      </w:r>
      <w:r w:rsidRPr="00B167DF">
        <w:rPr>
          <w:rFonts w:ascii="Palatino Linotype" w:eastAsia="Palatino Linotype" w:hAnsi="Palatino Linotype" w:cs="Palatino Linotype"/>
          <w:i/>
          <w:sz w:val="22"/>
          <w:szCs w:val="22"/>
        </w:rPr>
        <w:t xml:space="preserve"> la Federación, de las entidades federativas y de </w:t>
      </w:r>
      <w:r w:rsidRPr="00B167DF">
        <w:rPr>
          <w:rFonts w:ascii="Palatino Linotype" w:eastAsia="Palatino Linotype" w:hAnsi="Palatino Linotype" w:cs="Palatino Linotype"/>
          <w:b/>
          <w:i/>
          <w:sz w:val="22"/>
          <w:szCs w:val="22"/>
        </w:rPr>
        <w:t>los municipios</w:t>
      </w:r>
      <w:r w:rsidRPr="00B167DF">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02D0AEC6" w14:textId="77777777" w:rsidR="00204857" w:rsidRPr="00B167DF" w:rsidRDefault="002A7DE1">
      <w:pPr>
        <w:tabs>
          <w:tab w:val="left" w:pos="7938"/>
        </w:tabs>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1ACD9914" w14:textId="77777777" w:rsidR="00204857" w:rsidRPr="00B167DF" w:rsidRDefault="002A7DE1">
      <w:pPr>
        <w:tabs>
          <w:tab w:val="left" w:pos="7938"/>
        </w:tabs>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IV.</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Los honorarios a personas que presten servicios preponderantemente a un prestatario</w:t>
      </w:r>
      <w:r w:rsidRPr="00B167DF">
        <w:rPr>
          <w:rFonts w:ascii="Palatino Linotype" w:eastAsia="Palatino Linotype" w:hAnsi="Palatino Linotype" w:cs="Palatino Linotype"/>
          <w:i/>
          <w:sz w:val="22"/>
          <w:szCs w:val="22"/>
        </w:rPr>
        <w:t xml:space="preserve">, siempre que los mismos se lleven a cabo </w:t>
      </w:r>
      <w:r w:rsidRPr="00B167DF">
        <w:rPr>
          <w:rFonts w:ascii="Palatino Linotype" w:eastAsia="Palatino Linotype" w:hAnsi="Palatino Linotype" w:cs="Palatino Linotype"/>
          <w:b/>
          <w:i/>
          <w:sz w:val="22"/>
          <w:szCs w:val="22"/>
        </w:rPr>
        <w:t>en las instalaciones de este último</w:t>
      </w:r>
      <w:r w:rsidRPr="00B167DF">
        <w:t>.</w:t>
      </w:r>
    </w:p>
    <w:p w14:paraId="5C76621E" w14:textId="77777777" w:rsidR="00204857" w:rsidRPr="00B167DF" w:rsidRDefault="002A7DE1">
      <w:pPr>
        <w:tabs>
          <w:tab w:val="left" w:pos="7938"/>
        </w:tabs>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Artículo 96. </w:t>
      </w:r>
      <w:r w:rsidRPr="00B167DF">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B167DF">
        <w:rPr>
          <w:rFonts w:ascii="Palatino Linotype" w:eastAsia="Palatino Linotype" w:hAnsi="Palatino Linotype" w:cs="Palatino Linotype"/>
          <w:i/>
          <w:sz w:val="22"/>
          <w:szCs w:val="22"/>
          <w:u w:val="single"/>
        </w:rPr>
        <w:t xml:space="preserve"> </w:t>
      </w:r>
      <w:r w:rsidRPr="00B167DF">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449EFF2D" w14:textId="77777777" w:rsidR="00204857" w:rsidRPr="00B167DF" w:rsidRDefault="002A7DE1">
      <w:pPr>
        <w:tabs>
          <w:tab w:val="left" w:pos="7938"/>
        </w:tabs>
        <w:spacing w:before="120" w:after="120"/>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w:t>
      </w:r>
    </w:p>
    <w:p w14:paraId="22B038DE" w14:textId="77777777" w:rsidR="00204857" w:rsidRPr="00B167DF" w:rsidRDefault="002A7DE1">
      <w:pPr>
        <w:tabs>
          <w:tab w:val="left" w:pos="7938"/>
        </w:tabs>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97</w:t>
      </w:r>
      <w:r w:rsidRPr="00B167DF">
        <w:rPr>
          <w:rFonts w:ascii="Palatino Linotype" w:eastAsia="Palatino Linotype" w:hAnsi="Palatino Linotype" w:cs="Palatino Linotype"/>
          <w:i/>
          <w:sz w:val="22"/>
          <w:szCs w:val="22"/>
        </w:rPr>
        <w:t>. Las personas obligadas a efectuar retenciones en los términos del artículo 96 de esta Ley, calcularán el impuesto anual de cada persona que le hubiere prestado servicios personales subordinados.</w:t>
      </w:r>
    </w:p>
    <w:p w14:paraId="5D82561E" w14:textId="77777777" w:rsidR="00204857" w:rsidRPr="00B167DF" w:rsidRDefault="002A7DE1">
      <w:pPr>
        <w:tabs>
          <w:tab w:val="left" w:pos="7938"/>
        </w:tabs>
        <w:spacing w:before="120" w:after="120"/>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w:t>
      </w:r>
    </w:p>
    <w:p w14:paraId="6C2EA2F3" w14:textId="77777777" w:rsidR="00204857" w:rsidRPr="00B167DF" w:rsidRDefault="002A7DE1">
      <w:pPr>
        <w:tabs>
          <w:tab w:val="left" w:pos="7938"/>
        </w:tabs>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99.</w:t>
      </w:r>
      <w:r w:rsidRPr="00B167DF">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542E2D40" w14:textId="77777777" w:rsidR="00204857" w:rsidRPr="00B167DF" w:rsidRDefault="002A7DE1">
      <w:pPr>
        <w:tabs>
          <w:tab w:val="left" w:pos="7938"/>
        </w:tabs>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I. Efectuar las retenciones </w:t>
      </w:r>
      <w:r w:rsidRPr="00B167DF">
        <w:rPr>
          <w:rFonts w:ascii="Palatino Linotype" w:eastAsia="Palatino Linotype" w:hAnsi="Palatino Linotype" w:cs="Palatino Linotype"/>
          <w:i/>
          <w:sz w:val="22"/>
          <w:szCs w:val="22"/>
        </w:rPr>
        <w:t>señaladas en el artículo 96 de esta Ley.</w:t>
      </w:r>
    </w:p>
    <w:p w14:paraId="0A8ADC86" w14:textId="77777777" w:rsidR="00204857" w:rsidRPr="00B167DF" w:rsidRDefault="002A7DE1">
      <w:pPr>
        <w:tabs>
          <w:tab w:val="left" w:pos="7938"/>
        </w:tabs>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0C3AC637" w14:textId="77777777" w:rsidR="00204857" w:rsidRPr="00B167DF" w:rsidRDefault="002A7DE1">
      <w:pPr>
        <w:tabs>
          <w:tab w:val="left" w:pos="7938"/>
        </w:tabs>
        <w:spacing w:before="120" w:after="120"/>
        <w:ind w:left="1134" w:right="902"/>
        <w:jc w:val="both"/>
        <w:rPr>
          <w:rFonts w:ascii="Palatino Linotype" w:eastAsia="Palatino Linotype" w:hAnsi="Palatino Linotype" w:cs="Palatino Linotype"/>
          <w:i/>
          <w:sz w:val="20"/>
          <w:szCs w:val="20"/>
        </w:rPr>
      </w:pPr>
      <w:r w:rsidRPr="00B167DF">
        <w:rPr>
          <w:rFonts w:ascii="Palatino Linotype" w:eastAsia="Palatino Linotype" w:hAnsi="Palatino Linotype" w:cs="Palatino Linotype"/>
          <w:b/>
          <w:i/>
          <w:sz w:val="22"/>
          <w:szCs w:val="22"/>
        </w:rPr>
        <w:lastRenderedPageBreak/>
        <w:t>III.</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Expedir y entregar comprobantes fiscales</w:t>
      </w:r>
      <w:r w:rsidRPr="00B167DF">
        <w:rPr>
          <w:rFonts w:ascii="Palatino Linotype" w:eastAsia="Palatino Linotype" w:hAnsi="Palatino Linotype" w:cs="Palatino Linotype"/>
          <w:i/>
          <w:sz w:val="22"/>
          <w:szCs w:val="22"/>
        </w:rPr>
        <w:t xml:space="preserve"> a las personas que reciban pagos por los conceptos a que se refiere este Capítulo, </w:t>
      </w:r>
      <w:r w:rsidRPr="00B167DF">
        <w:rPr>
          <w:rFonts w:ascii="Palatino Linotype" w:eastAsia="Palatino Linotype" w:hAnsi="Palatino Linotype" w:cs="Palatino Linotype"/>
          <w:b/>
          <w:i/>
          <w:sz w:val="22"/>
          <w:szCs w:val="22"/>
        </w:rPr>
        <w:t>en la fecha en que se realice la erogación correspondiente</w:t>
      </w:r>
      <w:r w:rsidRPr="00B167DF">
        <w:rPr>
          <w:rFonts w:ascii="Palatino Linotype" w:eastAsia="Palatino Linotype" w:hAnsi="Palatino Linotype" w:cs="Palatino Linotype"/>
          <w:i/>
          <w:sz w:val="22"/>
          <w:szCs w:val="22"/>
        </w:rPr>
        <w:t>, los cuales podrán utilizarse como constancia o recibo de pago para efectos de la legislación laboral a que se refieren los artículos 132 fracciones VII y VIII, y 804, primer párrafo, fracciones II y IV, de la Ley Federal de Trabajo.”</w:t>
      </w:r>
    </w:p>
    <w:p w14:paraId="45D2F509" w14:textId="77777777" w:rsidR="00204857" w:rsidRPr="00B167DF" w:rsidRDefault="002A7DE1">
      <w:pPr>
        <w:spacing w:before="240" w:after="240" w:line="360" w:lineRule="auto"/>
        <w:jc w:val="both"/>
      </w:pPr>
      <w:r w:rsidRPr="00B167DF">
        <w:rPr>
          <w:rFonts w:ascii="Palatino Linotype" w:eastAsia="Palatino Linotype" w:hAnsi="Palatino Linotype" w:cs="Palatino Linotype"/>
        </w:rPr>
        <w:t xml:space="preserve">No obsta mencionar que los pagos, que a su vez sean ingresos en los términos del Capítulo I De los ingresos por salarios y en general por la prestación de un servicio personal subordinado, del Título IV De las personas  físicas, de la Ley del Impuesto Sobre la Renta, se podrán deducir, para lo cual </w:t>
      </w:r>
      <w:r w:rsidRPr="00B167DF">
        <w:rPr>
          <w:rFonts w:ascii="Palatino Linotype" w:eastAsia="Palatino Linotype" w:hAnsi="Palatino Linotype" w:cs="Palatino Linotype"/>
          <w:b/>
        </w:rPr>
        <w:t xml:space="preserve">las erogaciones por </w:t>
      </w:r>
      <w:r w:rsidRPr="00B167DF">
        <w:rPr>
          <w:b/>
        </w:rPr>
        <w:t xml:space="preserve">concepto de </w:t>
      </w:r>
      <w:r w:rsidRPr="00B167DF">
        <w:rPr>
          <w:rFonts w:ascii="Palatino Linotype" w:eastAsia="Palatino Linotype" w:hAnsi="Palatino Linotype" w:cs="Palatino Linotype"/>
          <w:b/>
        </w:rPr>
        <w:t>remuneración, las retenciones correspondientes y las deducciones del impuesto local por salarios y, en general, por la prestación de un servicio personal independiente</w:t>
      </w:r>
      <w:r w:rsidRPr="00B167DF">
        <w:rPr>
          <w:rFonts w:ascii="Palatino Linotype" w:eastAsia="Palatino Linotype" w:hAnsi="Palatino Linotype" w:cs="Palatino Linotype"/>
        </w:rPr>
        <w:t xml:space="preserve">, </w:t>
      </w:r>
      <w:r w:rsidRPr="00B167DF">
        <w:rPr>
          <w:rFonts w:ascii="Palatino Linotype" w:eastAsia="Palatino Linotype" w:hAnsi="Palatino Linotype" w:cs="Palatino Linotype"/>
          <w:b/>
          <w:u w:val="single"/>
        </w:rPr>
        <w:t>deben constar en comprobantes fiscales</w:t>
      </w:r>
      <w:r w:rsidRPr="00B167DF">
        <w:rPr>
          <w:rFonts w:ascii="Palatino Linotype" w:eastAsia="Palatino Linotype" w:hAnsi="Palatino Linotype" w:cs="Palatino Linotype"/>
        </w:rPr>
        <w:t xml:space="preserve"> emitidos en términos del Código Fiscal de la Federación, además del cumplimiento de las obligaciones y disposiciones que la Ley del Impuesto Sobre la Renta establezcan al respecto, como se desprende el artículo 27, fracción V, de la referida Ley, que en su parte conducente señala lo siguiente:</w:t>
      </w:r>
    </w:p>
    <w:p w14:paraId="490F37EE"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27</w:t>
      </w:r>
      <w:r w:rsidRPr="00B167DF">
        <w:rPr>
          <w:rFonts w:ascii="Palatino Linotype" w:eastAsia="Palatino Linotype" w:hAnsi="Palatino Linotype" w:cs="Palatino Linotype"/>
          <w:i/>
          <w:sz w:val="22"/>
          <w:szCs w:val="22"/>
        </w:rPr>
        <w:t>. Las deducciones autorizadas en este Título deberán reunir los siguientes requisitos:</w:t>
      </w:r>
    </w:p>
    <w:p w14:paraId="67E1813F"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51283B48" w14:textId="77777777" w:rsidR="00204857" w:rsidRPr="00B167DF" w:rsidRDefault="002A7DE1">
      <w:pPr>
        <w:spacing w:before="120" w:after="120"/>
        <w:ind w:left="1134"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V…</w:t>
      </w:r>
    </w:p>
    <w:p w14:paraId="0F771A7E"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Los pagos que a la vez sean ingresos en los términos del Capítulo I del Título IV, de esta Ley, </w:t>
      </w:r>
      <w:r w:rsidRPr="00B167DF">
        <w:rPr>
          <w:rFonts w:ascii="Palatino Linotype" w:eastAsia="Palatino Linotype" w:hAnsi="Palatino Linotype" w:cs="Palatino Linotype"/>
          <w:b/>
          <w:i/>
          <w:sz w:val="22"/>
          <w:szCs w:val="22"/>
        </w:rPr>
        <w:t xml:space="preserve">se podrán deducir siempre que las erogaciones por concepto de remuneración, las retenciones correspondientes y las deducciones del impuesto local por salarios y, en general, por la prestación de un servicio personal independiente, </w:t>
      </w:r>
      <w:r w:rsidRPr="00B167DF">
        <w:rPr>
          <w:rFonts w:ascii="Palatino Linotype" w:eastAsia="Palatino Linotype" w:hAnsi="Palatino Linotype" w:cs="Palatino Linotype"/>
          <w:b/>
          <w:i/>
          <w:sz w:val="22"/>
          <w:szCs w:val="22"/>
          <w:u w:val="single"/>
        </w:rPr>
        <w:t>consten en comprobantes fiscales emitidos en términos del Código Fiscal de la Federación</w:t>
      </w:r>
      <w:r w:rsidRPr="00B167DF">
        <w:rPr>
          <w:rFonts w:ascii="Palatino Linotype" w:eastAsia="Palatino Linotype" w:hAnsi="Palatino Linotype" w:cs="Palatino Linotype"/>
          <w:i/>
          <w:sz w:val="22"/>
          <w:szCs w:val="22"/>
        </w:rPr>
        <w:t xml:space="preserve"> y se cumpla con las obligaciones a que se refiere el artículo 99, fracciones I, II, III y V de la presente Ley, así como las disposiciones que, en </w:t>
      </w:r>
      <w:r w:rsidRPr="00B167DF">
        <w:rPr>
          <w:rFonts w:ascii="Palatino Linotype" w:eastAsia="Palatino Linotype" w:hAnsi="Palatino Linotype" w:cs="Palatino Linotype"/>
          <w:i/>
          <w:sz w:val="22"/>
          <w:szCs w:val="22"/>
        </w:rPr>
        <w:lastRenderedPageBreak/>
        <w:t>su caso, regulen el subsidio para el empleo y los contribuyentes cumplan con la obligación de inscribir a los trabajadores en el Instituto Mexicano del Seguro Social cuando estén obligados a ello, en los términos de las leyes de seguridad social. “</w:t>
      </w:r>
    </w:p>
    <w:p w14:paraId="67400560"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Con base en lo previo, los municipios, al estar obligados a realizar el pago a los servidores públicos por los servicios prestados, de conformidad con el artículo 71 de la Ley del Trabajo de los Servidores Públicos del Estado de México, están obligados a retener el Impuesto Sobre la Renta y enterarlo a más tardar el día 17 del mes inmediato posterior a aquel que corresponda el pago, al Servicio de Administración Tributaria, SAT, al ser la dependencia que se encarga de la recaudación, impuestos y la vigilancia del cumplimiento de las obligaciones fiscales por parte de los contribuyentes.</w:t>
      </w:r>
    </w:p>
    <w:p w14:paraId="1E1B1728"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Para tales efectos, la entidad retenedora –el municipio-, debe entregar un comprobante fiscal que ampare las respectivas retenciones conforme a lo establecido en los artículos 29 párrafo primero y 32-G fracción I del Código Fiscal de la Federación, a saber:</w:t>
      </w:r>
    </w:p>
    <w:p w14:paraId="105426DC" w14:textId="77777777" w:rsidR="00204857" w:rsidRPr="00B167DF" w:rsidRDefault="002A7DE1">
      <w:pPr>
        <w:spacing w:before="120" w:after="12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29.</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 xml:space="preserve">Cuando las leyes fiscales </w:t>
      </w:r>
      <w:r w:rsidRPr="00B167DF">
        <w:rPr>
          <w:rFonts w:ascii="Palatino Linotype" w:eastAsia="Palatino Linotype" w:hAnsi="Palatino Linotype" w:cs="Palatino Linotype"/>
          <w:b/>
          <w:i/>
          <w:sz w:val="22"/>
          <w:szCs w:val="22"/>
          <w:u w:val="single"/>
        </w:rPr>
        <w:t>establezcan la obligación de expedir comprobantes fiscales</w:t>
      </w:r>
      <w:r w:rsidRPr="00B167DF">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i/>
          <w:sz w:val="22"/>
          <w:szCs w:val="22"/>
          <w:u w:val="single"/>
        </w:rPr>
        <w:t>l</w:t>
      </w:r>
      <w:r w:rsidRPr="00B167DF">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sidRPr="00B167DF">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B167DF">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B167DF">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07638AC9" w14:textId="77777777" w:rsidR="00204857" w:rsidRPr="00B167DF" w:rsidRDefault="002A7DE1">
      <w:pPr>
        <w:ind w:left="851" w:right="567"/>
        <w:jc w:val="both"/>
        <w:rPr>
          <w:rFonts w:ascii="Palatino Linotype" w:eastAsia="Palatino Linotype" w:hAnsi="Palatino Linotype" w:cs="Palatino Linotype"/>
          <w:b/>
          <w:i/>
        </w:rPr>
      </w:pPr>
      <w:r w:rsidRPr="00B167DF">
        <w:rPr>
          <w:rFonts w:ascii="Palatino Linotype" w:eastAsia="Palatino Linotype" w:hAnsi="Palatino Linotype" w:cs="Palatino Linotype"/>
          <w:b/>
          <w:i/>
        </w:rPr>
        <w:lastRenderedPageBreak/>
        <w:t>…</w:t>
      </w:r>
    </w:p>
    <w:p w14:paraId="10CFF1BA" w14:textId="77777777" w:rsidR="00204857" w:rsidRPr="00B167DF" w:rsidRDefault="002A7DE1">
      <w:pPr>
        <w:spacing w:before="120" w:after="120"/>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Artículo 32-G.</w:t>
      </w:r>
      <w:r w:rsidRPr="00B167DF">
        <w:rPr>
          <w:rFonts w:ascii="Palatino Linotype" w:eastAsia="Palatino Linotype" w:hAnsi="Palatino Linotype" w:cs="Palatino Linotype"/>
          <w:i/>
          <w:sz w:val="22"/>
          <w:szCs w:val="22"/>
        </w:rPr>
        <w:t xml:space="preserve"> La Federación, las Entidades Federativas, el Distrito Federal, y sus Organismos Descentralizados, así como </w:t>
      </w:r>
      <w:r w:rsidRPr="00B167DF">
        <w:rPr>
          <w:rFonts w:ascii="Palatino Linotype" w:eastAsia="Palatino Linotype" w:hAnsi="Palatino Linotype" w:cs="Palatino Linotype"/>
          <w:b/>
          <w:i/>
          <w:sz w:val="22"/>
          <w:szCs w:val="22"/>
        </w:rPr>
        <w:t>los Municipios,</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 xml:space="preserve">tendrán la </w:t>
      </w:r>
      <w:r w:rsidRPr="00B167DF">
        <w:rPr>
          <w:rFonts w:ascii="Palatino Linotype" w:eastAsia="Palatino Linotype" w:hAnsi="Palatino Linotype" w:cs="Palatino Linotype"/>
          <w:b/>
          <w:i/>
          <w:sz w:val="22"/>
          <w:szCs w:val="22"/>
          <w:u w:val="single"/>
        </w:rPr>
        <w:t>obligación de presentar ante las autoridades fiscales</w:t>
      </w:r>
      <w:r w:rsidRPr="00B167DF">
        <w:rPr>
          <w:rFonts w:ascii="Palatino Linotype" w:eastAsia="Palatino Linotype" w:hAnsi="Palatino Linotype" w:cs="Palatino Linotype"/>
          <w:b/>
          <w:i/>
          <w:sz w:val="22"/>
          <w:szCs w:val="22"/>
        </w:rPr>
        <w:t>, a través de los medios y formatos electrónicos que señale el Servicio de Administración, la información relativa a:</w:t>
      </w:r>
    </w:p>
    <w:p w14:paraId="14792299"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 xml:space="preserve">Las personas a las que en el mes inmediato anterior </w:t>
      </w:r>
      <w:r w:rsidRPr="00B167DF">
        <w:rPr>
          <w:rFonts w:ascii="Palatino Linotype" w:eastAsia="Palatino Linotype" w:hAnsi="Palatino Linotype" w:cs="Palatino Linotype"/>
          <w:b/>
          <w:i/>
          <w:sz w:val="22"/>
          <w:szCs w:val="22"/>
          <w:u w:val="single"/>
        </w:rPr>
        <w:t>les hubieren efectuado retenciones de impuesto sobre la renta</w:t>
      </w:r>
      <w:r w:rsidRPr="00B167DF">
        <w:rPr>
          <w:rFonts w:ascii="Palatino Linotype" w:eastAsia="Palatino Linotype" w:hAnsi="Palatino Linotype" w:cs="Palatino Linotype"/>
          <w:b/>
          <w:i/>
          <w:sz w:val="22"/>
          <w:szCs w:val="22"/>
        </w:rPr>
        <w:t>,</w:t>
      </w:r>
      <w:r w:rsidRPr="00B167DF">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0630F9A3"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Ahora bien, para efecto de optimizar y agilizar la presentación de la Declaración Anual del Impuesto Sobre la Renta, el Servicio de Administración Tributaria, SAT, desarrollo los Visores de comprobantes de nómina tanto para el patrón como para el trabajador, que se constituyes como una herramienta en línea que permite a los trabajadores consultar los ingresos y retenciones por concepto de sueldos, salarios, asimilados a salarios y pagos por separación, manifestados al SAT por el patrón, a través de los </w:t>
      </w:r>
      <w:proofErr w:type="spellStart"/>
      <w:r w:rsidRPr="00B167DF">
        <w:rPr>
          <w:rFonts w:ascii="Palatino Linotype" w:eastAsia="Palatino Linotype" w:hAnsi="Palatino Linotype" w:cs="Palatino Linotype"/>
        </w:rPr>
        <w:t>CFDIs</w:t>
      </w:r>
      <w:proofErr w:type="spellEnd"/>
      <w:r w:rsidRPr="00B167DF">
        <w:rPr>
          <w:rFonts w:ascii="Palatino Linotype" w:eastAsia="Palatino Linotype" w:hAnsi="Palatino Linotype" w:cs="Palatino Linotype"/>
        </w:rPr>
        <w:t xml:space="preserve"> de nómina expedidos; y a los </w:t>
      </w:r>
      <w:r w:rsidRPr="00B167DF">
        <w:rPr>
          <w:rFonts w:ascii="Palatino Linotype" w:eastAsia="Palatino Linotype" w:hAnsi="Palatino Linotype" w:cs="Palatino Linotype"/>
          <w:i/>
        </w:rPr>
        <w:t>patrones</w:t>
      </w:r>
      <w:r w:rsidRPr="00B167DF">
        <w:rPr>
          <w:rFonts w:ascii="Palatino Linotype" w:eastAsia="Palatino Linotype" w:hAnsi="Palatino Linotype" w:cs="Palatino Linotype"/>
        </w:rPr>
        <w:t xml:space="preserve">, conocer oportunamente la información que será </w:t>
      </w:r>
      <w:proofErr w:type="spellStart"/>
      <w:r w:rsidRPr="00B167DF">
        <w:rPr>
          <w:rFonts w:ascii="Palatino Linotype" w:eastAsia="Palatino Linotype" w:hAnsi="Palatino Linotype" w:cs="Palatino Linotype"/>
        </w:rPr>
        <w:t>pre-llenada</w:t>
      </w:r>
      <w:proofErr w:type="spellEnd"/>
      <w:r w:rsidRPr="00B167DF">
        <w:rPr>
          <w:rFonts w:ascii="Palatino Linotype" w:eastAsia="Palatino Linotype" w:hAnsi="Palatino Linotype" w:cs="Palatino Linotype"/>
        </w:rPr>
        <w:t xml:space="preserve"> en la Declaración Anual para la deducción de nómina, consultar los pagos realizados de los trabajadores de forma acumulada, verificar la información de forma individual de cada uno de los empleados a los que se le haya expedido un </w:t>
      </w:r>
      <w:proofErr w:type="spellStart"/>
      <w:r w:rsidRPr="00B167DF">
        <w:rPr>
          <w:rFonts w:ascii="Palatino Linotype" w:eastAsia="Palatino Linotype" w:hAnsi="Palatino Linotype" w:cs="Palatino Linotype"/>
        </w:rPr>
        <w:t>CFDIs</w:t>
      </w:r>
      <w:proofErr w:type="spellEnd"/>
      <w:r w:rsidRPr="00B167DF">
        <w:rPr>
          <w:rFonts w:ascii="Palatino Linotype" w:eastAsia="Palatino Linotype" w:hAnsi="Palatino Linotype" w:cs="Palatino Linotype"/>
        </w:rPr>
        <w:t xml:space="preserve"> de nómina, identificar oportunamente errores en la información timbrada y en su caso corregirla, adicionalmente pueden realizarse conciliaciones del impuesto retenido de todos los trabajadores asentado en los comprobantes, contra el impuesto enterado en los pagos provisionales por concepto de ISR Retenciones por Sueldos y Salarios y de ISR Retenciones por Asimilados a Salarios, es decir, permite verificar que el ISR retenido o timbrado se haya enterado -pagado-.</w:t>
      </w:r>
    </w:p>
    <w:p w14:paraId="1FE5A295"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 xml:space="preserve">Atento a lo anterior, se colige que </w:t>
      </w:r>
      <w:r w:rsidRPr="00B167DF">
        <w:rPr>
          <w:rFonts w:ascii="Palatino Linotype" w:eastAsia="Palatino Linotype" w:hAnsi="Palatino Linotype" w:cs="Palatino Linotype"/>
          <w:b/>
          <w:u w:val="single"/>
        </w:rPr>
        <w:t>la información que requiere la persona solicitante</w:t>
      </w:r>
      <w:r w:rsidRPr="00B167DF">
        <w:rPr>
          <w:rFonts w:ascii="Palatino Linotype" w:eastAsia="Palatino Linotype" w:hAnsi="Palatino Linotype" w:cs="Palatino Linotype"/>
          <w:b/>
        </w:rPr>
        <w:t xml:space="preserve"> en el punto en estudio, </w:t>
      </w:r>
      <w:r w:rsidRPr="00B167DF">
        <w:rPr>
          <w:rFonts w:ascii="Palatino Linotype" w:eastAsia="Palatino Linotype" w:hAnsi="Palatino Linotype" w:cs="Palatino Linotype"/>
          <w:b/>
          <w:u w:val="single"/>
        </w:rPr>
        <w:t>se obtiene del Visor de comprobantes de nómina para el patrón</w:t>
      </w:r>
      <w:r w:rsidRPr="00B167DF">
        <w:rPr>
          <w:rFonts w:ascii="Palatino Linotype" w:eastAsia="Palatino Linotype" w:hAnsi="Palatino Linotype" w:cs="Palatino Linotype"/>
        </w:rPr>
        <w:t>, que se localiza en el portal de internet del SAT, concretamente en el apartado de Declaraciones</w:t>
      </w:r>
      <w:r w:rsidRPr="00B167DF">
        <w:rPr>
          <w:rFonts w:ascii="Palatino Linotype" w:eastAsia="Palatino Linotype" w:hAnsi="Palatino Linotype" w:cs="Palatino Linotype"/>
          <w:vertAlign w:val="superscript"/>
        </w:rPr>
        <w:footnoteReference w:id="1"/>
      </w:r>
      <w:r w:rsidRPr="00B167DF">
        <w:rPr>
          <w:rFonts w:ascii="Palatino Linotype" w:eastAsia="Palatino Linotype" w:hAnsi="Palatino Linotype" w:cs="Palatino Linotype"/>
        </w:rPr>
        <w:t xml:space="preserve">, y, para acceder a la misma, es necesario autenticarse con el RFC y la contraseña o </w:t>
      </w:r>
      <w:proofErr w:type="spellStart"/>
      <w:proofErr w:type="gramStart"/>
      <w:r w:rsidRPr="00B167DF">
        <w:rPr>
          <w:rFonts w:ascii="Palatino Linotype" w:eastAsia="Palatino Linotype" w:hAnsi="Palatino Linotype" w:cs="Palatino Linotype"/>
        </w:rPr>
        <w:t>e.firma</w:t>
      </w:r>
      <w:proofErr w:type="spellEnd"/>
      <w:proofErr w:type="gramEnd"/>
      <w:r w:rsidRPr="00B167DF">
        <w:rPr>
          <w:rFonts w:ascii="Palatino Linotype" w:eastAsia="Palatino Linotype" w:hAnsi="Palatino Linotype" w:cs="Palatino Linotype"/>
        </w:rPr>
        <w:t>, como se ilustra en seguida para mejor referencia:</w:t>
      </w:r>
    </w:p>
    <w:p w14:paraId="479AE2BA"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60518984" wp14:editId="33156D16">
            <wp:extent cx="3419469" cy="3905250"/>
            <wp:effectExtent l="0" t="0" r="0" b="0"/>
            <wp:docPr id="214013190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20"/>
                    <a:srcRect t="-1" b="29213"/>
                    <a:stretch/>
                  </pic:blipFill>
                  <pic:spPr bwMode="auto">
                    <a:xfrm>
                      <a:off x="0" y="0"/>
                      <a:ext cx="3420000" cy="3905856"/>
                    </a:xfrm>
                    <a:prstGeom prst="rect">
                      <a:avLst/>
                    </a:prstGeom>
                    <a:ln>
                      <a:noFill/>
                    </a:ln>
                    <a:extLst>
                      <a:ext uri="{53640926-AAD7-44D8-BBD7-CCE9431645EC}">
                        <a14:shadowObscured xmlns:a14="http://schemas.microsoft.com/office/drawing/2010/main"/>
                      </a:ext>
                    </a:extLst>
                  </pic:spPr>
                </pic:pic>
              </a:graphicData>
            </a:graphic>
          </wp:inline>
        </w:drawing>
      </w:r>
    </w:p>
    <w:p w14:paraId="1BF8E70B"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5806C08E" wp14:editId="1615E014">
            <wp:extent cx="3419475" cy="1545487"/>
            <wp:effectExtent l="0" t="0" r="0" b="0"/>
            <wp:docPr id="21401319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20"/>
                    <a:srcRect t="71986"/>
                    <a:stretch/>
                  </pic:blipFill>
                  <pic:spPr bwMode="auto">
                    <a:xfrm>
                      <a:off x="0" y="0"/>
                      <a:ext cx="3420000" cy="1545724"/>
                    </a:xfrm>
                    <a:prstGeom prst="rect">
                      <a:avLst/>
                    </a:prstGeom>
                    <a:ln>
                      <a:noFill/>
                    </a:ln>
                    <a:extLst>
                      <a:ext uri="{53640926-AAD7-44D8-BBD7-CCE9431645EC}">
                        <a14:shadowObscured xmlns:a14="http://schemas.microsoft.com/office/drawing/2010/main"/>
                      </a:ext>
                    </a:extLst>
                  </pic:spPr>
                </pic:pic>
              </a:graphicData>
            </a:graphic>
          </wp:inline>
        </w:drawing>
      </w:r>
    </w:p>
    <w:p w14:paraId="36C452EF"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Los documentos que pueden obtenerse del </w:t>
      </w:r>
      <w:r w:rsidRPr="00B167DF">
        <w:rPr>
          <w:rFonts w:ascii="Palatino Linotype" w:eastAsia="Palatino Linotype" w:hAnsi="Palatino Linotype" w:cs="Palatino Linotype"/>
          <w:b/>
        </w:rPr>
        <w:t xml:space="preserve">Visor de comprobantes de nómina para el patrón, </w:t>
      </w:r>
      <w:r w:rsidRPr="00B167DF">
        <w:rPr>
          <w:rFonts w:ascii="Palatino Linotype" w:eastAsia="Palatino Linotype" w:hAnsi="Palatino Linotype" w:cs="Palatino Linotype"/>
        </w:rPr>
        <w:t>son los siguientes</w:t>
      </w:r>
    </w:p>
    <w:p w14:paraId="24AE6EAC"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60422699" wp14:editId="64CF926C">
            <wp:extent cx="4601217" cy="2600688"/>
            <wp:effectExtent l="0" t="0" r="0" b="0"/>
            <wp:docPr id="21401319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4601217" cy="2600688"/>
                    </a:xfrm>
                    <a:prstGeom prst="rect">
                      <a:avLst/>
                    </a:prstGeom>
                    <a:ln/>
                  </pic:spPr>
                </pic:pic>
              </a:graphicData>
            </a:graphic>
          </wp:inline>
        </w:drawing>
      </w:r>
    </w:p>
    <w:p w14:paraId="52D879C6"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Además, cabe señalar que en el Portal referido se localiza la Guía de Usuario del Visor de comprobantes de nómina del patrón, en la cual se establecen las modalidades de consulta de la información, como se observa a continuación:</w:t>
      </w:r>
    </w:p>
    <w:p w14:paraId="55C49119"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0A312715" wp14:editId="1AB50F0C">
            <wp:extent cx="5608955" cy="972185"/>
            <wp:effectExtent l="0" t="0" r="0" b="0"/>
            <wp:docPr id="21401319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608955" cy="972185"/>
                    </a:xfrm>
                    <a:prstGeom prst="rect">
                      <a:avLst/>
                    </a:prstGeom>
                    <a:ln/>
                  </pic:spPr>
                </pic:pic>
              </a:graphicData>
            </a:graphic>
          </wp:inline>
        </w:drawing>
      </w:r>
      <w:r w:rsidRPr="00B167DF">
        <w:rPr>
          <w:noProof/>
        </w:rPr>
        <mc:AlternateContent>
          <mc:Choice Requires="wps">
            <w:drawing>
              <wp:anchor distT="0" distB="0" distL="114300" distR="114300" simplePos="0" relativeHeight="251658240" behindDoc="0" locked="0" layoutInCell="1" hidden="0" allowOverlap="1" wp14:anchorId="2F0EFE9A" wp14:editId="6D4A191C">
                <wp:simplePos x="0" y="0"/>
                <wp:positionH relativeFrom="column">
                  <wp:posOffset>330200</wp:posOffset>
                </wp:positionH>
                <wp:positionV relativeFrom="paragraph">
                  <wp:posOffset>228600</wp:posOffset>
                </wp:positionV>
                <wp:extent cx="223755" cy="641600"/>
                <wp:effectExtent l="0" t="0" r="0" b="0"/>
                <wp:wrapNone/>
                <wp:docPr id="2140131882" name="Abrir llave 2140131882"/>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3FE32ACA" w14:textId="77777777" w:rsidR="00752E71" w:rsidRDefault="00752E71">
                            <w:pPr>
                              <w:textDirection w:val="btLr"/>
                            </w:pPr>
                          </w:p>
                        </w:txbxContent>
                      </wps:txbx>
                      <wps:bodyPr spcFirstLastPara="1" wrap="square" lIns="91425" tIns="91425" rIns="91425" bIns="91425" anchor="ctr" anchorCtr="0">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140131882" o:spid="_x0000_s1026" type="#_x0000_t87" style="position:absolute;left:0;text-align:left;margin-left:26pt;margin-top:18pt;width:17.6pt;height:5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" adj="407" strokecolor="#c00000" strokeweight="2pt">
                <v:stroke startarrowwidth="narrow" startarrowlength="short" endarrowwidth="narrow" endarrowlength="short"/>
                <v:textbox inset="2.53958mm,2.53958mm,2.53958mm,2.53958mm">
                  <w:txbxContent>
                    <w:p w:rsidR="00752E71" w:rsidRDefault="00752E71">
                      <w:pPr>
                        <w:textDirection w:val="btLr"/>
                      </w:pPr>
                    </w:p>
                  </w:txbxContent>
                </v:textbox>
              </v:shape>
            </w:pict>
          </mc:Fallback>
        </mc:AlternateContent>
      </w:r>
    </w:p>
    <w:p w14:paraId="70FF42B2"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La información a la cual desea acceder la persona solicitante corresponde con la generada a partir de la Consulta Global, misma que permite al retenedor conocer la información global o acumulada que asentó en los comprobantes de todos sus trabajadores, de forma mensual –</w:t>
      </w:r>
      <w:r w:rsidRPr="00B167DF">
        <w:rPr>
          <w:rFonts w:ascii="Palatino Linotype" w:eastAsia="Palatino Linotype" w:hAnsi="Palatino Linotype" w:cs="Palatino Linotype"/>
          <w:sz w:val="22"/>
          <w:szCs w:val="22"/>
        </w:rPr>
        <w:t>de la cual se obtienen los reportes Detalle del “Total por Sueldos y Salarios” y Detalle del “Total por Asimilados a Salarios”-</w:t>
      </w:r>
      <w:r w:rsidRPr="00B167DF">
        <w:rPr>
          <w:rFonts w:ascii="Palatino Linotype" w:eastAsia="Palatino Linotype" w:hAnsi="Palatino Linotype" w:cs="Palatino Linotype"/>
        </w:rPr>
        <w:t>,  y que contempla, además, las modalidades de consulta: “Vista anual acumulada”</w:t>
      </w:r>
      <w:r w:rsidRPr="00B167DF">
        <w:rPr>
          <w:rFonts w:ascii="Palatino Linotype" w:eastAsia="Palatino Linotype" w:hAnsi="Palatino Linotype" w:cs="Palatino Linotype"/>
          <w:sz w:val="22"/>
          <w:szCs w:val="22"/>
        </w:rPr>
        <w:t xml:space="preserve"> –de la cual se obtiene el documento Vista anual acumulada-</w:t>
      </w:r>
      <w:r w:rsidRPr="00B167DF">
        <w:rPr>
          <w:rFonts w:ascii="Palatino Linotype" w:eastAsia="Palatino Linotype" w:hAnsi="Palatino Linotype" w:cs="Palatino Linotype"/>
        </w:rPr>
        <w:t>, “Vista anual” y “Vista mensual”.</w:t>
      </w:r>
    </w:p>
    <w:p w14:paraId="0BAEA5F9"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Con la finalidad de esclarecer el argumento anterior, es oportuno referir que de conformidad con el procedimiento de consulta de la información previsto en la Guía de Usuario del Visor de comprobantes de nómina del patrón, al seleccionar la opción “Consultar información Global”, se muestra un resumen de los </w:t>
      </w:r>
      <w:proofErr w:type="spellStart"/>
      <w:r w:rsidRPr="00B167DF">
        <w:rPr>
          <w:rFonts w:ascii="Palatino Linotype" w:eastAsia="Palatino Linotype" w:hAnsi="Palatino Linotype" w:cs="Palatino Linotype"/>
        </w:rPr>
        <w:t>CFDIs</w:t>
      </w:r>
      <w:proofErr w:type="spellEnd"/>
      <w:r w:rsidRPr="00B167DF">
        <w:rPr>
          <w:rFonts w:ascii="Palatino Linotype" w:eastAsia="Palatino Linotype" w:hAnsi="Palatino Linotype" w:cs="Palatino Linotype"/>
        </w:rPr>
        <w:t xml:space="preserve"> de nómina que se expidieron por conceptos de sueldos y salarios, y asimilados a salarios, y </w:t>
      </w:r>
      <w:r w:rsidRPr="00B167DF">
        <w:rPr>
          <w:rFonts w:ascii="Palatino Linotype" w:eastAsia="Palatino Linotype" w:hAnsi="Palatino Linotype" w:cs="Palatino Linotype"/>
          <w:b/>
        </w:rPr>
        <w:t xml:space="preserve">para conocer la información mensual relativa a la diferencia de ISR retenido y enterado por el ente retenedor </w:t>
      </w:r>
      <w:r w:rsidRPr="00B167DF">
        <w:rPr>
          <w:rFonts w:ascii="Palatino Linotype" w:eastAsia="Palatino Linotype" w:hAnsi="Palatino Linotype" w:cs="Palatino Linotype"/>
          <w:sz w:val="22"/>
          <w:szCs w:val="22"/>
        </w:rPr>
        <w:t>–es decir, el ISR a favor o en contra-</w:t>
      </w:r>
      <w:r w:rsidRPr="00B167DF">
        <w:rPr>
          <w:rFonts w:ascii="Palatino Linotype" w:eastAsia="Palatino Linotype" w:hAnsi="Palatino Linotype" w:cs="Palatino Linotype"/>
          <w:b/>
        </w:rPr>
        <w:t>, por sueldos y salarios, y por asimilados a salarios</w:t>
      </w:r>
      <w:r w:rsidRPr="00B167DF">
        <w:rPr>
          <w:rFonts w:ascii="Palatino Linotype" w:eastAsia="Palatino Linotype" w:hAnsi="Palatino Linotype" w:cs="Palatino Linotype"/>
        </w:rPr>
        <w:t xml:space="preserve">, basta con dar clic en la opción ”Ver Detalle” que aparece en cada concepto, obteniendo como resultado en la pantalla, los reportes Detalle del “Total por Sueldos y Salarios” y Detalle del “Total por Asimilados a Salarios”, como se observa en la siguientes imágenes extraídas de la Guía: </w:t>
      </w:r>
    </w:p>
    <w:p w14:paraId="4621E5F2"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4EB225BB" wp14:editId="235E59C4">
            <wp:extent cx="5612130" cy="4796804"/>
            <wp:effectExtent l="0" t="0" r="0" b="0"/>
            <wp:docPr id="21401319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b="30096"/>
                    <a:stretch>
                      <a:fillRect/>
                    </a:stretch>
                  </pic:blipFill>
                  <pic:spPr>
                    <a:xfrm>
                      <a:off x="0" y="0"/>
                      <a:ext cx="5612130" cy="4796804"/>
                    </a:xfrm>
                    <a:prstGeom prst="rect">
                      <a:avLst/>
                    </a:prstGeom>
                    <a:ln/>
                  </pic:spPr>
                </pic:pic>
              </a:graphicData>
            </a:graphic>
          </wp:inline>
        </w:drawing>
      </w:r>
    </w:p>
    <w:p w14:paraId="1D7F605D"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75A67E14" wp14:editId="0F3FC938">
            <wp:extent cx="5612130" cy="2046781"/>
            <wp:effectExtent l="0" t="0" r="0" b="0"/>
            <wp:docPr id="21401319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t="70172"/>
                    <a:stretch>
                      <a:fillRect/>
                    </a:stretch>
                  </pic:blipFill>
                  <pic:spPr>
                    <a:xfrm>
                      <a:off x="0" y="0"/>
                      <a:ext cx="5612130" cy="2046781"/>
                    </a:xfrm>
                    <a:prstGeom prst="rect">
                      <a:avLst/>
                    </a:prstGeom>
                    <a:ln/>
                  </pic:spPr>
                </pic:pic>
              </a:graphicData>
            </a:graphic>
          </wp:inline>
        </w:drawing>
      </w:r>
    </w:p>
    <w:p w14:paraId="3AA09565"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 xml:space="preserve">Respecto al reporte de ISR retenido correspondiente al monto histórico recuperado por conducto de la Secretaria de Finanzas del Estado, se precisa que en el siguiente nivel de consulta de la información, es decir, en la modalidad “Vista anual acumulada”, se muestra el </w:t>
      </w:r>
      <w:r w:rsidRPr="00B167DF">
        <w:rPr>
          <w:rFonts w:ascii="Palatino Linotype" w:eastAsia="Palatino Linotype" w:hAnsi="Palatino Linotype" w:cs="Palatino Linotype"/>
          <w:b/>
        </w:rPr>
        <w:t>registro del Acumulado Anual Total,</w:t>
      </w:r>
      <w:r w:rsidRPr="00B167DF">
        <w:rPr>
          <w:rFonts w:ascii="Palatino Linotype" w:eastAsia="Palatino Linotype" w:hAnsi="Palatino Linotype" w:cs="Palatino Linotype"/>
        </w:rPr>
        <w:t xml:space="preserve"> que contiene los pagos acumulados realizados a los trabajadores </w:t>
      </w:r>
      <w:r w:rsidRPr="00B167DF">
        <w:rPr>
          <w:rFonts w:ascii="Palatino Linotype" w:eastAsia="Palatino Linotype" w:hAnsi="Palatino Linotype" w:cs="Palatino Linotype"/>
          <w:b/>
          <w:u w:val="single"/>
        </w:rPr>
        <w:t>durante el ejercicio</w:t>
      </w:r>
      <w:r w:rsidRPr="00B167DF">
        <w:rPr>
          <w:rFonts w:ascii="Palatino Linotype" w:eastAsia="Palatino Linotype" w:hAnsi="Palatino Linotype" w:cs="Palatino Linotype"/>
        </w:rPr>
        <w:t>, y se integra de las columnas siguientes: Concepto, Salarios, Indemnización, Total sueldos, Asimilados a salarios y un Total pagado por nómina, es decir, contiene una columna que integra un gran total resumido de cada concepto, además del número de trabajadores, así como también el</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b/>
          <w:u w:val="single"/>
        </w:rPr>
        <w:t>total de ISR retenido e ISR enterado</w:t>
      </w:r>
      <w:r w:rsidRPr="00B167DF">
        <w:rPr>
          <w:rFonts w:ascii="Palatino Linotype" w:eastAsia="Palatino Linotype" w:hAnsi="Palatino Linotype" w:cs="Palatino Linotype"/>
        </w:rPr>
        <w:t>. Asimismo, al dar clic en el ícono PDF, es posible generar un documento con la información que se visualiza en el aplicativo, como se ilustra a continuación para mejor referencia:</w:t>
      </w:r>
    </w:p>
    <w:p w14:paraId="3D9013B7" w14:textId="77777777" w:rsidR="002C004E" w:rsidRPr="00B167DF" w:rsidRDefault="002A7DE1">
      <w:pPr>
        <w:spacing w:before="240" w:after="240" w:line="360" w:lineRule="auto"/>
        <w:ind w:right="49"/>
        <w:jc w:val="center"/>
        <w:rPr>
          <w:rFonts w:ascii="Palatino Linotype" w:eastAsia="Palatino Linotype" w:hAnsi="Palatino Linotype" w:cs="Palatino Linotype"/>
        </w:rPr>
      </w:pPr>
      <w:bookmarkStart w:id="7" w:name="_heading=h.1t3h5sf" w:colFirst="0" w:colLast="0"/>
      <w:bookmarkEnd w:id="7"/>
      <w:r w:rsidRPr="00B167DF">
        <w:rPr>
          <w:rFonts w:ascii="Palatino Linotype" w:eastAsia="Palatino Linotype" w:hAnsi="Palatino Linotype" w:cs="Palatino Linotype"/>
          <w:noProof/>
        </w:rPr>
        <w:drawing>
          <wp:inline distT="0" distB="0" distL="0" distR="0" wp14:anchorId="1D1717E0" wp14:editId="19FBBE80">
            <wp:extent cx="5040000" cy="3043481"/>
            <wp:effectExtent l="0" t="0" r="0" b="0"/>
            <wp:docPr id="21401319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5040000" cy="3043481"/>
                    </a:xfrm>
                    <a:prstGeom prst="rect">
                      <a:avLst/>
                    </a:prstGeom>
                    <a:ln/>
                  </pic:spPr>
                </pic:pic>
              </a:graphicData>
            </a:graphic>
          </wp:inline>
        </w:drawing>
      </w:r>
    </w:p>
    <w:p w14:paraId="5B512D05" w14:textId="77777777" w:rsidR="00204857" w:rsidRPr="00B167DF" w:rsidRDefault="002A7DE1">
      <w:pPr>
        <w:spacing w:before="240" w:after="240" w:line="360" w:lineRule="auto"/>
        <w:ind w:right="49"/>
        <w:jc w:val="center"/>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69C7EAF8" wp14:editId="358E2E52">
            <wp:extent cx="5040000" cy="3380192"/>
            <wp:effectExtent l="0" t="0" r="0" b="0"/>
            <wp:docPr id="21401319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040000" cy="3380192"/>
                    </a:xfrm>
                    <a:prstGeom prst="rect">
                      <a:avLst/>
                    </a:prstGeom>
                    <a:ln/>
                  </pic:spPr>
                </pic:pic>
              </a:graphicData>
            </a:graphic>
          </wp:inline>
        </w:drawing>
      </w:r>
    </w:p>
    <w:p w14:paraId="5438F4FA" w14:textId="77777777" w:rsidR="002C004E" w:rsidRPr="00B167DF" w:rsidRDefault="002C004E" w:rsidP="002C004E">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esta línea de pensamiento, dado que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 xml:space="preserve">al ser un ente retenedor del Impuesto Sobre la Renta que se genere por ingresos por salarios -y en general por la prestación de un servicio personal subordinado-, y encontrarse constreñido a generar y entregar un CFDI que ampare dichas retenciones para el cumplimiento de las obligaciones fiscales que le impone la Ley, para lo cual es indispensable que se encuentre inscrito en el Registro Federal de Contribuyentes y cuente con la clave correspondiente de RFC, así como una contraseña y una firma electrónica o </w:t>
      </w:r>
      <w:proofErr w:type="spellStart"/>
      <w:r w:rsidRPr="00B167DF">
        <w:rPr>
          <w:rFonts w:ascii="Palatino Linotype" w:eastAsia="Palatino Linotype" w:hAnsi="Palatino Linotype" w:cs="Palatino Linotype"/>
        </w:rPr>
        <w:t>e.firma</w:t>
      </w:r>
      <w:proofErr w:type="spellEnd"/>
      <w:r w:rsidRPr="00B167DF">
        <w:rPr>
          <w:rFonts w:ascii="Palatino Linotype" w:eastAsia="Palatino Linotype" w:hAnsi="Palatino Linotype" w:cs="Palatino Linotype"/>
        </w:rPr>
        <w:t xml:space="preserve">, se concluye que se encuentra en posibilidad de entregar la información que es tema de estudio, toda vez que </w:t>
      </w:r>
      <w:r w:rsidRPr="00B167DF">
        <w:rPr>
          <w:rFonts w:ascii="Palatino Linotype" w:eastAsia="Palatino Linotype" w:hAnsi="Palatino Linotype" w:cs="Palatino Linotype"/>
          <w:b/>
          <w:u w:val="single"/>
        </w:rPr>
        <w:t xml:space="preserve">la información alojada en el aplicativo </w:t>
      </w:r>
      <w:r w:rsidRPr="00B167DF">
        <w:rPr>
          <w:rFonts w:ascii="Palatino Linotype" w:eastAsia="Palatino Linotype" w:hAnsi="Palatino Linotype" w:cs="Palatino Linotype"/>
          <w:b/>
          <w:i/>
          <w:u w:val="single"/>
        </w:rPr>
        <w:t>Visor de comprobantes de nómina del patrón</w:t>
      </w:r>
      <w:r w:rsidRPr="00B167DF">
        <w:rPr>
          <w:rFonts w:ascii="Palatino Linotype" w:eastAsia="Palatino Linotype" w:hAnsi="Palatino Linotype" w:cs="Palatino Linotype"/>
          <w:b/>
          <w:u w:val="single"/>
        </w:rPr>
        <w:t xml:space="preserve"> del SAT -al cual tiene acceso a través de su clave de RFC, y su contraseña o </w:t>
      </w:r>
      <w:proofErr w:type="spellStart"/>
      <w:r w:rsidRPr="00B167DF">
        <w:rPr>
          <w:rFonts w:ascii="Palatino Linotype" w:eastAsia="Palatino Linotype" w:hAnsi="Palatino Linotype" w:cs="Palatino Linotype"/>
          <w:b/>
          <w:u w:val="single"/>
        </w:rPr>
        <w:t>e.firma</w:t>
      </w:r>
      <w:proofErr w:type="spellEnd"/>
      <w:r w:rsidRPr="00B167DF">
        <w:rPr>
          <w:rFonts w:ascii="Palatino Linotype" w:eastAsia="Palatino Linotype" w:hAnsi="Palatino Linotype" w:cs="Palatino Linotype"/>
          <w:b/>
          <w:u w:val="single"/>
        </w:rPr>
        <w:t xml:space="preserve">-, se alimenta de forma automática mediante el timbrado de los </w:t>
      </w:r>
      <w:proofErr w:type="spellStart"/>
      <w:r w:rsidRPr="00B167DF">
        <w:rPr>
          <w:rFonts w:ascii="Palatino Linotype" w:eastAsia="Palatino Linotype" w:hAnsi="Palatino Linotype" w:cs="Palatino Linotype"/>
          <w:b/>
          <w:u w:val="single"/>
        </w:rPr>
        <w:t>CFDIs</w:t>
      </w:r>
      <w:proofErr w:type="spellEnd"/>
      <w:r w:rsidRPr="00B167DF">
        <w:rPr>
          <w:rFonts w:ascii="Palatino Linotype" w:eastAsia="Palatino Linotype" w:hAnsi="Palatino Linotype" w:cs="Palatino Linotype"/>
          <w:b/>
          <w:u w:val="single"/>
        </w:rPr>
        <w:t xml:space="preserve"> de  nómina, una vez que estos se generan</w:t>
      </w:r>
      <w:r w:rsidRPr="00B167DF">
        <w:rPr>
          <w:rFonts w:ascii="Palatino Linotype" w:eastAsia="Palatino Linotype" w:hAnsi="Palatino Linotype" w:cs="Palatino Linotype"/>
        </w:rPr>
        <w:t xml:space="preserve">, </w:t>
      </w:r>
      <w:r w:rsidRPr="00B167DF">
        <w:rPr>
          <w:rFonts w:ascii="Palatino Linotype" w:eastAsia="Palatino Linotype" w:hAnsi="Palatino Linotype" w:cs="Palatino Linotype"/>
        </w:rPr>
        <w:lastRenderedPageBreak/>
        <w:t xml:space="preserve">siendo información que administra como usuario del portal de Trámites y Servicios del SAT; por consiguiente, es procedente ordenar se haga entrega de los reportes generados en dicho aplicativo, referentemente en formato PDF, o en el que se hubieran generado, correspondientes al </w:t>
      </w:r>
      <w:r w:rsidRPr="00B167DF">
        <w:rPr>
          <w:rFonts w:ascii="Palatino Linotype" w:eastAsia="Palatino Linotype" w:hAnsi="Palatino Linotype" w:cs="Palatino Linotype"/>
          <w:b/>
        </w:rPr>
        <w:t>Detalle del “Total por Sueldos y Salarios” y Detalle del “Total por Asimilados a Salarios”,</w:t>
      </w:r>
      <w:r w:rsidRPr="00B167DF">
        <w:rPr>
          <w:rFonts w:ascii="Palatino Linotype" w:eastAsia="Palatino Linotype" w:hAnsi="Palatino Linotype" w:cs="Palatino Linotype"/>
        </w:rPr>
        <w:t xml:space="preserve"> los cuales </w:t>
      </w:r>
      <w:r w:rsidRPr="00B167DF">
        <w:rPr>
          <w:rFonts w:ascii="Palatino Linotype" w:eastAsia="Palatino Linotype" w:hAnsi="Palatino Linotype" w:cs="Palatino Linotype"/>
          <w:b/>
          <w:u w:val="single"/>
        </w:rPr>
        <w:t>dan cuenta de la diferencia del ISR retenido y enterado de forma mensual</w:t>
      </w:r>
      <w:r w:rsidRPr="00B167DF">
        <w:rPr>
          <w:rFonts w:ascii="Palatino Linotype" w:eastAsia="Palatino Linotype" w:hAnsi="Palatino Linotype" w:cs="Palatino Linotype"/>
        </w:rPr>
        <w:t xml:space="preserve">; así como la </w:t>
      </w:r>
      <w:r w:rsidRPr="00B167DF">
        <w:rPr>
          <w:rFonts w:ascii="Palatino Linotype" w:eastAsia="Palatino Linotype" w:hAnsi="Palatino Linotype" w:cs="Palatino Linotype"/>
          <w:b/>
        </w:rPr>
        <w:t>Vista anual acumulada</w:t>
      </w:r>
      <w:r w:rsidRPr="00B167DF">
        <w:rPr>
          <w:rFonts w:ascii="Palatino Linotype" w:eastAsia="Palatino Linotype" w:hAnsi="Palatino Linotype" w:cs="Palatino Linotype"/>
        </w:rPr>
        <w:t xml:space="preserve">, que </w:t>
      </w:r>
      <w:r w:rsidRPr="00B167DF">
        <w:rPr>
          <w:rFonts w:ascii="Palatino Linotype" w:eastAsia="Palatino Linotype" w:hAnsi="Palatino Linotype" w:cs="Palatino Linotype"/>
          <w:b/>
          <w:u w:val="single"/>
        </w:rPr>
        <w:t>da cuenta del total de ISR retenido por ejercicio,</w:t>
      </w:r>
      <w:r w:rsidRPr="00B167DF">
        <w:rPr>
          <w:rFonts w:ascii="Palatino Linotype" w:eastAsia="Palatino Linotype" w:hAnsi="Palatino Linotype" w:cs="Palatino Linotype"/>
        </w:rPr>
        <w:t xml:space="preserve"> de cuyo análisis la persona solicitante podrá advertir el monto recuperado por la Secretaría de Finanzas de la entidad, del uno de enero de dos mil veinte al treinta de agosto de dos mil veinticuatro.</w:t>
      </w:r>
    </w:p>
    <w:p w14:paraId="281B04B2"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Para efectos de lo anterior, es oportuno reiterar que el requerimiento de información deberá turnarse a los servidores públicos habilitados de las dependencias o unidades administrativas competentes para conocer del mismo de acuerdo con sus atribuciones, quienes deberán realizar la búsqueda exhaustiva y razonable en los archivos de las áreas a su cargo, preponderantemente aquellas responsables del timbrado de los </w:t>
      </w:r>
      <w:proofErr w:type="spellStart"/>
      <w:r w:rsidRPr="00B167DF">
        <w:rPr>
          <w:rFonts w:ascii="Palatino Linotype" w:eastAsia="Palatino Linotype" w:hAnsi="Palatino Linotype" w:cs="Palatino Linotype"/>
        </w:rPr>
        <w:t>CFDIs</w:t>
      </w:r>
      <w:proofErr w:type="spellEnd"/>
      <w:r w:rsidRPr="00B167DF">
        <w:rPr>
          <w:rFonts w:ascii="Palatino Linotype" w:eastAsia="Palatino Linotype" w:hAnsi="Palatino Linotype" w:cs="Palatino Linotype"/>
        </w:rPr>
        <w:t xml:space="preserve"> de nómina, en la cual no se podrá excluir al Instituto Municipal de Cultura Física y Deporte de Coacalco de Berriozábal, IMCUFIDEC.</w:t>
      </w:r>
    </w:p>
    <w:p w14:paraId="2F8FED64"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el caso de la administración pública municipal centralizada, se precisa que de acuerdo con los artículos 58 del Bando Municipal y 52 del Reglamento Interno de la Administración Pública, la </w:t>
      </w:r>
      <w:r w:rsidRPr="00B167DF">
        <w:rPr>
          <w:rFonts w:ascii="Palatino Linotype" w:eastAsia="Palatino Linotype" w:hAnsi="Palatino Linotype" w:cs="Palatino Linotype"/>
          <w:b/>
        </w:rPr>
        <w:t>Dirección de Administración</w:t>
      </w:r>
      <w:r w:rsidRPr="00B167DF">
        <w:rPr>
          <w:rFonts w:ascii="Palatino Linotype" w:eastAsia="Palatino Linotype" w:hAnsi="Palatino Linotype" w:cs="Palatino Linotype"/>
        </w:rPr>
        <w:t xml:space="preserve"> se encarga de planear, establecer y difundir entre las dependencias de la administración pública, las políticas y procedimientos necesarios para el control eficiente de los recursos materiales, tecnológicos, de servicios generales y capital humano que se </w:t>
      </w:r>
      <w:r w:rsidRPr="00B167DF">
        <w:rPr>
          <w:rFonts w:ascii="Palatino Linotype" w:eastAsia="Palatino Linotype" w:hAnsi="Palatino Linotype" w:cs="Palatino Linotype"/>
        </w:rPr>
        <w:lastRenderedPageBreak/>
        <w:t xml:space="preserve">proporcionan a las dependencias y unidades administrativas en todas sus modalidades, entre cuyas funciones se encuentra la de </w:t>
      </w:r>
      <w:r w:rsidRPr="00B167DF">
        <w:rPr>
          <w:rFonts w:ascii="Palatino Linotype" w:eastAsia="Palatino Linotype" w:hAnsi="Palatino Linotype" w:cs="Palatino Linotype"/>
          <w:b/>
        </w:rPr>
        <w:t xml:space="preserve">dirigir, evaluar y autorizar los programas, procesos y procedimientos para </w:t>
      </w:r>
      <w:r w:rsidRPr="00B167DF">
        <w:rPr>
          <w:rFonts w:ascii="Palatino Linotype" w:eastAsia="Palatino Linotype" w:hAnsi="Palatino Linotype" w:cs="Palatino Linotype"/>
          <w:b/>
          <w:u w:val="single"/>
        </w:rPr>
        <w:t>la elaboración, pago de nómina y el timbrado de la misma para los efectos fiscales correspondientes</w:t>
      </w:r>
      <w:r w:rsidRPr="00B167DF">
        <w:rPr>
          <w:rFonts w:ascii="Palatino Linotype" w:eastAsia="Palatino Linotype" w:hAnsi="Palatino Linotype" w:cs="Palatino Linotype"/>
        </w:rPr>
        <w:t>.</w:t>
      </w:r>
    </w:p>
    <w:p w14:paraId="3F92EF2B" w14:textId="77777777" w:rsidR="00986510" w:rsidRPr="00B167DF" w:rsidRDefault="00986510" w:rsidP="00986510">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No obstante, no debe perderse de vista que la normatividad aplicable no establece como obligatorio el uso de dicha herramienta o aplicativo, por lo que si la información a la que se hace referencia no obra en los archivos del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bastará con que así se haga del conocimiento de la persona solicitante para tener por colmado el requerimiento de información, en términos de lo dispuesto por el artículo 19, párrafo segundo de la Ley de Transparencia y Acceso a la Información Pública del Estado de México y Municipios, a saber:</w:t>
      </w:r>
    </w:p>
    <w:p w14:paraId="02EE164C" w14:textId="77777777" w:rsidR="00986510" w:rsidRPr="00B167DF" w:rsidRDefault="00986510" w:rsidP="00986510">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19</w:t>
      </w:r>
      <w:r w:rsidRPr="00B167DF">
        <w:rPr>
          <w:rFonts w:ascii="Palatino Linotype" w:eastAsia="Palatino Linotype" w:hAnsi="Palatino Linotype" w:cs="Palatino Linotype"/>
          <w:i/>
          <w:sz w:val="22"/>
          <w:szCs w:val="22"/>
        </w:rPr>
        <w:t>…</w:t>
      </w:r>
    </w:p>
    <w:p w14:paraId="02DA14A4" w14:textId="77777777" w:rsidR="00986510" w:rsidRPr="00B167DF" w:rsidRDefault="00986510" w:rsidP="00986510">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03567F72" w14:textId="77777777" w:rsidR="00986510" w:rsidRPr="00B167DF" w:rsidRDefault="00986510" w:rsidP="00986510">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Lo anterior es así en virtud de que los entes públicos únicamente se encuentran obligados a entregar aquella información que les sea requerida y que hubieran generado, administren o posean y obre en sus archivos, en estado en el que se encuentre, más no se les constriñe a procesar, generar o resumir información, realizar cálculos, practicar investigaciones o elaborar documentos </w:t>
      </w:r>
      <w:r w:rsidRPr="00B167DF">
        <w:rPr>
          <w:rFonts w:ascii="Palatino Linotype" w:eastAsia="Palatino Linotype" w:hAnsi="Palatino Linotype" w:cs="Palatino Linotype"/>
          <w:i/>
        </w:rPr>
        <w:t>ad hoc</w:t>
      </w:r>
      <w:r w:rsidRPr="00B167DF">
        <w:rPr>
          <w:rFonts w:ascii="Palatino Linotype" w:eastAsia="Palatino Linotype" w:hAnsi="Palatino Linotype" w:cs="Palatino Linotype"/>
        </w:rPr>
        <w:t xml:space="preserve"> para presentarla conforme al interés de los solicitantes, </w:t>
      </w:r>
      <w:r w:rsidRPr="00B167DF">
        <w:rPr>
          <w:rFonts w:ascii="Palatino Linotype" w:hAnsi="Palatino Linotype"/>
        </w:rPr>
        <w:t xml:space="preserve">lo cual, toma sustento en </w:t>
      </w:r>
      <w:r w:rsidRPr="00B167DF">
        <w:rPr>
          <w:rFonts w:ascii="Palatino Linotype" w:eastAsia="Palatino Linotype" w:hAnsi="Palatino Linotype" w:cs="Palatino Linotype"/>
        </w:rPr>
        <w:t xml:space="preserve">el párrafo segundo del artículo 12 de la Ley de Transparencia y Acceso a la Información Pública del Estado de México y Municipios, y el Criterio de </w:t>
      </w:r>
      <w:r w:rsidRPr="00B167DF">
        <w:rPr>
          <w:rFonts w:ascii="Palatino Linotype" w:eastAsia="Palatino Linotype" w:hAnsi="Palatino Linotype" w:cs="Palatino Linotype"/>
        </w:rPr>
        <w:lastRenderedPageBreak/>
        <w:t xml:space="preserve">interpretación </w:t>
      </w:r>
      <w:r w:rsidRPr="00B167DF">
        <w:rPr>
          <w:rFonts w:ascii="Palatino Linotype" w:hAnsi="Palatino Linotype"/>
        </w:rPr>
        <w:t xml:space="preserve">SO/003/2017 del Instituto Nacional de Transparencia, Acceso a la Información y Protección de Datos Personales, referidos con </w:t>
      </w:r>
      <w:r w:rsidRPr="00B167DF">
        <w:rPr>
          <w:rFonts w:ascii="Palatino Linotype" w:eastAsia="Palatino Linotype" w:hAnsi="Palatino Linotype" w:cs="Palatino Linotype"/>
        </w:rPr>
        <w:t>antelación.</w:t>
      </w:r>
    </w:p>
    <w:p w14:paraId="2863F4CE"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Por otro lado, respecto a los </w:t>
      </w:r>
      <w:r w:rsidRPr="00B167DF">
        <w:rPr>
          <w:rFonts w:ascii="Palatino Linotype" w:eastAsia="Palatino Linotype" w:hAnsi="Palatino Linotype" w:cs="Palatino Linotype"/>
          <w:b/>
        </w:rPr>
        <w:t xml:space="preserve">puntos 2 </w:t>
      </w:r>
      <w:r w:rsidRPr="00B167DF">
        <w:rPr>
          <w:rFonts w:ascii="Palatino Linotype" w:eastAsia="Palatino Linotype" w:hAnsi="Palatino Linotype" w:cs="Palatino Linotype"/>
        </w:rPr>
        <w:t xml:space="preserve">y </w:t>
      </w:r>
      <w:r w:rsidRPr="00B167DF">
        <w:rPr>
          <w:rFonts w:ascii="Palatino Linotype" w:eastAsia="Palatino Linotype" w:hAnsi="Palatino Linotype" w:cs="Palatino Linotype"/>
          <w:b/>
        </w:rPr>
        <w:t>3</w:t>
      </w:r>
      <w:r w:rsidRPr="00B167DF">
        <w:rPr>
          <w:rFonts w:ascii="Palatino Linotype" w:eastAsia="Palatino Linotype" w:hAnsi="Palatino Linotype" w:cs="Palatino Linotype"/>
        </w:rPr>
        <w:t>, mediante los cuales se requirió el reporte emitido por la Secretaría de Finanzas del Estado en el que se especifique el monto del ISR que se obtuvo en devolución, de enero de dos mil quince a agosto de dos mil veinticuatro, y el reporte emitido por el software de contabilidad gubernamental en el que se pueda apreciar el control del saldo pendiente de recuperar del ISR participable, al treinta de agosto de dos mil veinticuatro, se menciona en primera instancia, que derivado del timbrado de la nómina, los entes públicos pueden acceder al beneficio fiscal de obtener la devolución de las retenciones de ISR enteradas sobre los sueldos que paguen a los trabajadores; esto, de conformidad con el artículo 3-B de la Ley de Coordinación Fiscal, a saber:</w:t>
      </w:r>
    </w:p>
    <w:p w14:paraId="1DB33E1F"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3-B</w:t>
      </w:r>
      <w:r w:rsidRPr="00B167DF">
        <w:rPr>
          <w:rFonts w:ascii="Palatino Linotype" w:eastAsia="Palatino Linotype" w:hAnsi="Palatino Linotype" w:cs="Palatino Linotype"/>
          <w:i/>
          <w:sz w:val="22"/>
          <w:szCs w:val="22"/>
        </w:rPr>
        <w:t xml:space="preserve">.- Las </w:t>
      </w:r>
      <w:r w:rsidRPr="00B167DF">
        <w:rPr>
          <w:rFonts w:ascii="Palatino Linotype" w:eastAsia="Palatino Linotype" w:hAnsi="Palatino Linotype" w:cs="Palatino Linotype"/>
          <w:b/>
          <w:i/>
          <w:sz w:val="22"/>
          <w:szCs w:val="22"/>
        </w:rPr>
        <w:t xml:space="preserve">entidades </w:t>
      </w:r>
      <w:r w:rsidRPr="00B167DF">
        <w:rPr>
          <w:rFonts w:ascii="Palatino Linotype" w:eastAsia="Palatino Linotype" w:hAnsi="Palatino Linotype" w:cs="Palatino Linotype"/>
          <w:b/>
          <w:i/>
          <w:sz w:val="22"/>
          <w:szCs w:val="22"/>
          <w:u w:val="single"/>
        </w:rPr>
        <w:t>adheridas al Sistema Nacional de Coordinación Fiscal</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participarán al 100% de la recaudación que se obtenga del impuesto sobre la renta</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u w:val="single"/>
        </w:rPr>
        <w:t>que efectivamente se entere a la Federación</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correspondiente al salario del personal que preste o desempeñe un servicio personal subordinado en las dependencias</w:t>
      </w:r>
      <w:r w:rsidRPr="00B167DF">
        <w:rPr>
          <w:rFonts w:ascii="Palatino Linotype" w:eastAsia="Palatino Linotype" w:hAnsi="Palatino Linotype" w:cs="Palatino Linotype"/>
          <w:i/>
          <w:sz w:val="22"/>
          <w:szCs w:val="22"/>
        </w:rPr>
        <w:t xml:space="preserve"> de la entidad federativa, </w:t>
      </w:r>
      <w:r w:rsidRPr="00B167DF">
        <w:rPr>
          <w:rFonts w:ascii="Palatino Linotype" w:eastAsia="Palatino Linotype" w:hAnsi="Palatino Linotype" w:cs="Palatino Linotype"/>
          <w:b/>
          <w:i/>
          <w:sz w:val="22"/>
          <w:szCs w:val="22"/>
        </w:rPr>
        <w:t>del municipio</w:t>
      </w:r>
      <w:r w:rsidRPr="00B167DF">
        <w:rPr>
          <w:rFonts w:ascii="Palatino Linotype" w:eastAsia="Palatino Linotype" w:hAnsi="Palatino Linotype" w:cs="Palatino Linotype"/>
          <w:i/>
          <w:sz w:val="22"/>
          <w:szCs w:val="22"/>
        </w:rPr>
        <w:t xml:space="preserve"> o demarcación territorial del Distrito Federal, </w:t>
      </w:r>
      <w:r w:rsidRPr="00B167DF">
        <w:rPr>
          <w:rFonts w:ascii="Palatino Linotype" w:eastAsia="Palatino Linotype" w:hAnsi="Palatino Linotype" w:cs="Palatino Linotype"/>
          <w:b/>
          <w:i/>
          <w:sz w:val="22"/>
          <w:szCs w:val="22"/>
        </w:rPr>
        <w:t>así como en sus respectivos organismos autónomos y entidades</w:t>
      </w:r>
      <w:r w:rsidRPr="00B167DF">
        <w:rPr>
          <w:rFonts w:ascii="Palatino Linotype" w:eastAsia="Palatino Linotype" w:hAnsi="Palatino Linotype" w:cs="Palatino Linotype"/>
          <w:i/>
          <w:sz w:val="22"/>
          <w:szCs w:val="22"/>
        </w:rPr>
        <w:t xml:space="preserve"> paraestatales y </w:t>
      </w:r>
      <w:r w:rsidRPr="00B167DF">
        <w:rPr>
          <w:rFonts w:ascii="Palatino Linotype" w:eastAsia="Palatino Linotype" w:hAnsi="Palatino Linotype" w:cs="Palatino Linotype"/>
          <w:b/>
          <w:i/>
          <w:sz w:val="22"/>
          <w:szCs w:val="22"/>
        </w:rPr>
        <w:t>paramunicipales</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u w:val="single"/>
        </w:rPr>
        <w:t>siempre que el salario sea efectivamente pagado por los entes mencionados con cargo a sus participaciones u otros ingresos locales</w:t>
      </w:r>
      <w:r w:rsidRPr="00B167DF">
        <w:rPr>
          <w:rFonts w:ascii="Palatino Linotype" w:eastAsia="Palatino Linotype" w:hAnsi="Palatino Linotype" w:cs="Palatino Linotype"/>
          <w:i/>
          <w:sz w:val="22"/>
          <w:szCs w:val="22"/>
        </w:rPr>
        <w:t xml:space="preserve">. </w:t>
      </w:r>
    </w:p>
    <w:p w14:paraId="0062E945"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Para efectos del párrafo anterior, se considerará la recaudación que se obtenga por el Impuesto sobre la Renta, una vez descontadas las devoluciones por dicho concepto. </w:t>
      </w:r>
    </w:p>
    <w:p w14:paraId="6D9BA829"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u w:val="single"/>
        </w:rPr>
      </w:pPr>
      <w:r w:rsidRPr="00B167DF">
        <w:rPr>
          <w:rFonts w:ascii="Palatino Linotype" w:eastAsia="Palatino Linotype" w:hAnsi="Palatino Linotype" w:cs="Palatino Linotype"/>
          <w:i/>
          <w:sz w:val="22"/>
          <w:szCs w:val="22"/>
        </w:rPr>
        <w:t xml:space="preserve">Asimismo, para que resulte aplicable lo dispuesto en el primer párrafo de este artículo, </w:t>
      </w:r>
      <w:r w:rsidRPr="00B167DF">
        <w:rPr>
          <w:rFonts w:ascii="Palatino Linotype" w:eastAsia="Palatino Linotype" w:hAnsi="Palatino Linotype" w:cs="Palatino Linotype"/>
          <w:b/>
          <w:i/>
          <w:sz w:val="22"/>
          <w:szCs w:val="22"/>
          <w:u w:val="single"/>
        </w:rPr>
        <w:t>las entidades deberán enterar a la Federación el 100% de la retención que deben efectuar del Impuesto sobre la Renta</w:t>
      </w:r>
      <w:r w:rsidRPr="00B167DF">
        <w:rPr>
          <w:rFonts w:ascii="Palatino Linotype" w:eastAsia="Palatino Linotype" w:hAnsi="Palatino Linotype" w:cs="Palatino Linotype"/>
          <w:b/>
          <w:i/>
          <w:sz w:val="22"/>
          <w:szCs w:val="22"/>
        </w:rPr>
        <w:t xml:space="preserve"> correspondiente </w:t>
      </w:r>
      <w:r w:rsidRPr="00B167DF">
        <w:rPr>
          <w:rFonts w:ascii="Palatino Linotype" w:eastAsia="Palatino Linotype" w:hAnsi="Palatino Linotype" w:cs="Palatino Linotype"/>
          <w:b/>
          <w:i/>
          <w:sz w:val="22"/>
          <w:szCs w:val="22"/>
        </w:rPr>
        <w:lastRenderedPageBreak/>
        <w:t xml:space="preserve">a los ingresos por salarios que las entidades paguen </w:t>
      </w:r>
      <w:r w:rsidRPr="00B167DF">
        <w:rPr>
          <w:rFonts w:ascii="Palatino Linotype" w:eastAsia="Palatino Linotype" w:hAnsi="Palatino Linotype" w:cs="Palatino Linotype"/>
          <w:b/>
          <w:i/>
          <w:sz w:val="22"/>
          <w:szCs w:val="22"/>
          <w:u w:val="single"/>
        </w:rPr>
        <w:t>con cargo a recursos federales</w:t>
      </w:r>
      <w:r w:rsidRPr="00B167DF">
        <w:rPr>
          <w:rFonts w:ascii="Palatino Linotype" w:eastAsia="Palatino Linotype" w:hAnsi="Palatino Linotype" w:cs="Palatino Linotype"/>
          <w:i/>
          <w:sz w:val="22"/>
          <w:szCs w:val="22"/>
          <w:u w:val="single"/>
        </w:rPr>
        <w:t>.</w:t>
      </w:r>
    </w:p>
    <w:p w14:paraId="078F15E9"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Las entidades deberán participar a sus municipios o demarcaciones territoriales, el 100% de la recaudación del impuesto </w:t>
      </w:r>
      <w:r w:rsidRPr="00B167DF">
        <w:rPr>
          <w:rFonts w:ascii="Palatino Linotype" w:eastAsia="Palatino Linotype" w:hAnsi="Palatino Linotype" w:cs="Palatino Linotype"/>
          <w:i/>
          <w:sz w:val="22"/>
          <w:szCs w:val="22"/>
        </w:rPr>
        <w:t xml:space="preserve">al que se refiere el párrafo primero de este artículo, </w:t>
      </w:r>
      <w:r w:rsidRPr="00B167DF">
        <w:rPr>
          <w:rFonts w:ascii="Palatino Linotype" w:eastAsia="Palatino Linotype" w:hAnsi="Palatino Linotype" w:cs="Palatino Linotype"/>
          <w:b/>
          <w:i/>
          <w:sz w:val="22"/>
          <w:szCs w:val="22"/>
        </w:rPr>
        <w:t>correspondiente al personal que preste o desempeñe un servicio personal subordinado en el municipio o demarcación territorial de que se trate</w:t>
      </w:r>
      <w:r w:rsidRPr="00B167DF">
        <w:rPr>
          <w:rFonts w:ascii="Palatino Linotype" w:eastAsia="Palatino Linotype" w:hAnsi="Palatino Linotype" w:cs="Palatino Linotype"/>
          <w:i/>
          <w:sz w:val="22"/>
          <w:szCs w:val="22"/>
        </w:rPr>
        <w:t>.”</w:t>
      </w:r>
    </w:p>
    <w:p w14:paraId="17485035"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Cabe señalar que dicho precepto legal se reformó mediante Decreto por el que se reforman y adicionan diversas disposiciones de la Ley de Coordinación Fiscal y de la Ley General de Contabilidad Gubernamental, publicado el nueve de diciembre de dos mil trece en el Diario Oficial de la Federación, y </w:t>
      </w:r>
      <w:r w:rsidRPr="00B167DF">
        <w:rPr>
          <w:rFonts w:ascii="Palatino Linotype" w:eastAsia="Palatino Linotype" w:hAnsi="Palatino Linotype" w:cs="Palatino Linotype"/>
          <w:b/>
          <w:u w:val="single"/>
        </w:rPr>
        <w:t>entró en vigor el uno de enero de dos mil quince</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rPr>
        <w:t>de conformidad con el Transitorio Noveno, a saber:</w:t>
      </w:r>
    </w:p>
    <w:p w14:paraId="4C39BC72"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w:t>
      </w:r>
      <w:proofErr w:type="gramStart"/>
      <w:r w:rsidRPr="00B167DF">
        <w:rPr>
          <w:rFonts w:ascii="Palatino Linotype" w:eastAsia="Palatino Linotype" w:hAnsi="Palatino Linotype" w:cs="Palatino Linotype"/>
          <w:b/>
          <w:i/>
          <w:sz w:val="22"/>
          <w:szCs w:val="22"/>
        </w:rPr>
        <w:t>Noveno.-</w:t>
      </w:r>
      <w:proofErr w:type="gramEnd"/>
      <w:r w:rsidRPr="00B167DF">
        <w:rPr>
          <w:rFonts w:ascii="Palatino Linotype" w:eastAsia="Palatino Linotype" w:hAnsi="Palatino Linotype" w:cs="Palatino Linotype"/>
          <w:i/>
          <w:sz w:val="22"/>
          <w:szCs w:val="22"/>
        </w:rPr>
        <w:t>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w:t>
      </w:r>
      <w:r w:rsidRPr="00B167DF">
        <w:rPr>
          <w:rFonts w:ascii="Palatino Linotype" w:eastAsia="Palatino Linotype" w:hAnsi="Palatino Linotype" w:cs="Palatino Linotype"/>
          <w:b/>
          <w:i/>
          <w:sz w:val="22"/>
          <w:szCs w:val="22"/>
        </w:rPr>
        <w:t>lo dispuesto en el artículo 3-B</w:t>
      </w:r>
      <w:r w:rsidRPr="00B167DF">
        <w:rPr>
          <w:rFonts w:ascii="Palatino Linotype" w:eastAsia="Palatino Linotype" w:hAnsi="Palatino Linotype" w:cs="Palatino Linotype"/>
          <w:i/>
          <w:sz w:val="22"/>
          <w:szCs w:val="22"/>
        </w:rPr>
        <w:t xml:space="preserve"> de dicha Ley, </w:t>
      </w:r>
      <w:r w:rsidRPr="00B167DF">
        <w:rPr>
          <w:rFonts w:ascii="Palatino Linotype" w:eastAsia="Palatino Linotype" w:hAnsi="Palatino Linotype" w:cs="Palatino Linotype"/>
          <w:b/>
          <w:i/>
          <w:sz w:val="22"/>
          <w:szCs w:val="22"/>
          <w:u w:val="single"/>
        </w:rPr>
        <w:t>entrarán en vigor el 1 de enero de 2015</w:t>
      </w:r>
      <w:r w:rsidRPr="00B167DF">
        <w:rPr>
          <w:rFonts w:ascii="Palatino Linotype" w:eastAsia="Palatino Linotype" w:hAnsi="Palatino Linotype" w:cs="Palatino Linotype"/>
          <w:i/>
          <w:sz w:val="22"/>
          <w:szCs w:val="22"/>
        </w:rPr>
        <w:t>.”</w:t>
      </w:r>
    </w:p>
    <w:p w14:paraId="5DFF4E49"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En este sentido, se colige que a partir del uno de enero de dos mil quince -fecha a partir de la cual se solicita la información-, las entidades adheridas al Sistema Nacional de Coordinación Fiscal,  participan al 100% de la recaudación que se obtenga del Impuesto Sobre la Renta que efectivamente se entere a la federación, correspondiente al salario del personal que preste o desempeñe un servicio personal subordinado en las dependencias de la entidad federativa, del municipio o alcaldía de la Ciudad de México, así como en sus respectivos organismos autónomos y entidades paraestatales y paramunicipales, bajo dos premisas fundamentales: </w:t>
      </w:r>
    </w:p>
    <w:p w14:paraId="266B1D70" w14:textId="77777777" w:rsidR="00204857" w:rsidRPr="00B167DF" w:rsidRDefault="002A7DE1">
      <w:pPr>
        <w:spacing w:before="240" w:after="24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1. Que el salario sea efectivamente pagado con cargo a sus participaciones u otros ingresos locales.</w:t>
      </w:r>
    </w:p>
    <w:p w14:paraId="76552022" w14:textId="77777777" w:rsidR="00204857" w:rsidRPr="00B167DF" w:rsidRDefault="002A7DE1">
      <w:pPr>
        <w:spacing w:before="240" w:after="24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2. Que hayan enterado a la Federación el 100% del ISR de los salarios que paguen con cargo a recursos federales.</w:t>
      </w:r>
    </w:p>
    <w:p w14:paraId="3ABEBF5F"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Asimismo, dado que no existía antecedente para distinguir el origen de los recursos utilizados en el pago de los sueldos y salarios del personal de los entes públicos, y por lo tanto del ISR, la Unidad de Coordinación con Entidades Federativas, UCEF y el Servicio de Administración Tributaria, SAT, implementaron un mecanismo para su identificación, el cual que se lleva a cabo a través del Comprobante Fiscal Digital por Internet de nómina, cuyo complemento de percepciones se modificó para incluir el origen de los recursos con los que se paga los sueldos y salarios y con ello se determinan los montos que se participan por concepto de ISR a los entes públicos.</w:t>
      </w:r>
    </w:p>
    <w:p w14:paraId="42C085A4"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De conformidad con las Reglas de operación para la aplicación del artículo 3-B de la Ley de Coordinación Fiscal, el proceso de identificación y validación del pago de sueldos y salarios y del ISR por fuente de financiamiento se lleva a cabo, de forma general, conforme el procedimiento siguiente: </w:t>
      </w:r>
    </w:p>
    <w:p w14:paraId="6ED3AE28" w14:textId="77777777" w:rsidR="00204857" w:rsidRPr="00B167DF" w:rsidRDefault="002A7DE1">
      <w:pPr>
        <w:spacing w:before="120" w:after="12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 Los entes públicos deben cumplir con sus obligaciones de retención y entero de ISR, </w:t>
      </w:r>
      <w:r w:rsidRPr="00B167DF">
        <w:rPr>
          <w:rFonts w:ascii="Palatino Linotype" w:eastAsia="Palatino Linotype" w:hAnsi="Palatino Linotype" w:cs="Palatino Linotype"/>
          <w:b/>
        </w:rPr>
        <w:t xml:space="preserve">así como expedir y entregar los comprobantes fiscales a las personas que reciban pagos por salarios, y en general por la prestación de un servicio personal subordinado, </w:t>
      </w:r>
      <w:r w:rsidRPr="00B167DF">
        <w:rPr>
          <w:rFonts w:ascii="Palatino Linotype" w:eastAsia="Palatino Linotype" w:hAnsi="Palatino Linotype" w:cs="Palatino Linotype"/>
        </w:rPr>
        <w:t xml:space="preserve">en términos de lo dispuesto por los artículos 96 y 99, fracción III de la Ley del Impuesto sobre la Renta, y que utilicen correctamente las </w:t>
      </w:r>
      <w:r w:rsidRPr="00B167DF">
        <w:rPr>
          <w:rFonts w:ascii="Palatino Linotype" w:eastAsia="Palatino Linotype" w:hAnsi="Palatino Linotype" w:cs="Palatino Linotype"/>
        </w:rPr>
        <w:lastRenderedPageBreak/>
        <w:t>claves en del Catálogo Atributo: Tipo Percepción del Complemento del CFDI comprobante CFDI de nómina.</w:t>
      </w:r>
    </w:p>
    <w:p w14:paraId="49CD1C9B" w14:textId="77777777" w:rsidR="00204857" w:rsidRPr="00B167DF" w:rsidRDefault="002A7DE1">
      <w:pPr>
        <w:spacing w:before="120" w:after="12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La UCEF solicita a las entidades federativas que mensualmente ratifiquen el listado de claves del Registro Federal de Contribuyentes (RFC) de sus entes públicos que pagan sueldos y salarios en términos de lo señalado en el artículo 3-B de la Ley de Coordinación Fiscal, y una vez recibida la información es enviada al SAT.</w:t>
      </w:r>
    </w:p>
    <w:p w14:paraId="5CCF4BAF" w14:textId="77777777" w:rsidR="00204857" w:rsidRPr="00B167DF" w:rsidRDefault="002A7DE1">
      <w:pPr>
        <w:spacing w:before="120" w:after="12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El SAT valida la información de los CFDI de nómina correspondientes al periodo, a efecto de identificar por cada RFC los importes de la retención del ISR pagado con participaciones u otros ingresos locales y el pagado con recursos federales, lo cual es validado con las declaraciones del ISR del mismo periodo; en su caso, el SAT informa a las entidades federativas las inconsistencias u omisiones resultantes, para que éstas subsanen las omisiones o realicen las aclaraciones o correcciones procedentes.</w:t>
      </w:r>
    </w:p>
    <w:p w14:paraId="17976F90" w14:textId="77777777" w:rsidR="00204857" w:rsidRPr="00B167DF" w:rsidRDefault="002A7DE1">
      <w:pPr>
        <w:spacing w:before="120" w:after="12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El SAT remite mensualmente a la UCEF el informe de los entes públicos que elaboraron correctamente sus CFDI de nómina, para efecto de que dicha Unidad determine los montos susceptibles de ser participados a las entidades federativas.</w:t>
      </w:r>
    </w:p>
    <w:p w14:paraId="279FABE0" w14:textId="77777777" w:rsidR="00204857" w:rsidRPr="00B167DF" w:rsidRDefault="002A7DE1">
      <w:pPr>
        <w:spacing w:before="120" w:after="12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 La UCEF lleva un registro de los montos acumulados del ISR participado a las entidades federativas y lo coteja con los informes que recibe del SAT para determinar las cantidades a entregar por concepto ISR que se entera a la Federación. </w:t>
      </w:r>
    </w:p>
    <w:p w14:paraId="33916B92" w14:textId="77777777" w:rsidR="00204857" w:rsidRPr="00B167DF" w:rsidRDefault="002A7DE1">
      <w:pPr>
        <w:spacing w:before="120" w:after="12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 El SAT informa anualmente a la UCEF acerca de los entes públicos a los que se hayan detectado diferencias en el entero del 100% de la retención que deben </w:t>
      </w:r>
      <w:r w:rsidRPr="00B167DF">
        <w:rPr>
          <w:rFonts w:ascii="Palatino Linotype" w:eastAsia="Palatino Linotype" w:hAnsi="Palatino Linotype" w:cs="Palatino Linotype"/>
        </w:rPr>
        <w:lastRenderedPageBreak/>
        <w:t xml:space="preserve">efectuar del ISR, así como de los montos correspondientes a las devoluciones del ISR efectuadas, para efectos de que dicha Unidad realice los ajustes respectivos. </w:t>
      </w:r>
    </w:p>
    <w:p w14:paraId="6CD8868B" w14:textId="77777777" w:rsidR="00204857" w:rsidRPr="00B167DF" w:rsidRDefault="002A7DE1">
      <w:pPr>
        <w:spacing w:before="120" w:after="120" w:line="360" w:lineRule="auto"/>
        <w:ind w:left="284"/>
        <w:jc w:val="both"/>
        <w:rPr>
          <w:rFonts w:ascii="Palatino Linotype" w:eastAsia="Palatino Linotype" w:hAnsi="Palatino Linotype" w:cs="Palatino Linotype"/>
          <w:b/>
        </w:rPr>
      </w:pPr>
      <w:r w:rsidRPr="00B167DF">
        <w:rPr>
          <w:rFonts w:ascii="Palatino Linotype" w:eastAsia="Palatino Linotype" w:hAnsi="Palatino Linotype" w:cs="Palatino Linotype"/>
        </w:rPr>
        <w:t xml:space="preserve">• Por su parte, </w:t>
      </w:r>
      <w:r w:rsidRPr="00B167DF">
        <w:rPr>
          <w:rFonts w:ascii="Palatino Linotype" w:eastAsia="Palatino Linotype" w:hAnsi="Palatino Linotype" w:cs="Palatino Linotype"/>
          <w:b/>
          <w:u w:val="single"/>
        </w:rPr>
        <w:t>las entidades federativas participarán a sus municipios</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rPr>
        <w:t>o alcaldías en el caso de la CDMX,</w:t>
      </w:r>
      <w:r w:rsidRPr="00B167DF">
        <w:rPr>
          <w:rFonts w:ascii="Palatino Linotype" w:eastAsia="Palatino Linotype" w:hAnsi="Palatino Linotype" w:cs="Palatino Linotype"/>
          <w:b/>
        </w:rPr>
        <w:t xml:space="preserve"> el ISR que a éstos les corresponda en términos de lo señalado en el artículo 3-B de la Ley de Coordinación Fiscal, dentro de los 5 días siguientes a su recepción.</w:t>
      </w:r>
    </w:p>
    <w:p w14:paraId="49AE7FC7" w14:textId="77777777" w:rsidR="00204857" w:rsidRPr="00B167DF" w:rsidRDefault="002A7DE1">
      <w:pPr>
        <w:spacing w:before="120" w:after="120" w:line="276" w:lineRule="auto"/>
        <w:jc w:val="center"/>
        <w:rPr>
          <w:rFonts w:ascii="Palatino Linotype" w:eastAsia="Palatino Linotype" w:hAnsi="Palatino Linotype" w:cs="Palatino Linotype"/>
          <w:b/>
        </w:rPr>
      </w:pPr>
      <w:r w:rsidRPr="00B167DF">
        <w:rPr>
          <w:noProof/>
        </w:rPr>
        <w:drawing>
          <wp:inline distT="0" distB="0" distL="0" distR="0" wp14:anchorId="2A93CDCB" wp14:editId="034A9B99">
            <wp:extent cx="5612130" cy="2599055"/>
            <wp:effectExtent l="0" t="0" r="0" b="0"/>
            <wp:docPr id="21401318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612130" cy="2599055"/>
                    </a:xfrm>
                    <a:prstGeom prst="rect">
                      <a:avLst/>
                    </a:prstGeom>
                    <a:ln/>
                  </pic:spPr>
                </pic:pic>
              </a:graphicData>
            </a:graphic>
          </wp:inline>
        </w:drawing>
      </w:r>
    </w:p>
    <w:p w14:paraId="4668C3BE"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Ahora bien, derivado de la consulta del portal del Sistema Nacional de Coordinación Fiscal, se advirtió que el Estado de México pertenece a dicho Sistema, por lo tanto, se infiere que si es susceptible de participar en obtención del 100% de la recaudación del Impuesto Sobre la Renta enterado a la Federación por los conceptos establecidos en el Capítulo I De los ingresos por salarios y en general por la prestación de un servicio personal subordinado, del Título IV De las personas  físicas, de la Ley del Impuesto Sobre la Renta:</w:t>
      </w:r>
    </w:p>
    <w:p w14:paraId="3C2A30AE" w14:textId="77777777" w:rsidR="00204857" w:rsidRPr="00B167DF" w:rsidRDefault="002A7DE1">
      <w:pPr>
        <w:spacing w:before="240" w:after="240" w:line="360" w:lineRule="auto"/>
        <w:jc w:val="center"/>
        <w:rPr>
          <w:rFonts w:ascii="Palatino Linotype" w:eastAsia="Palatino Linotype" w:hAnsi="Palatino Linotype" w:cs="Palatino Linotype"/>
          <w:sz w:val="22"/>
          <w:szCs w:val="22"/>
        </w:rPr>
      </w:pPr>
      <w:r w:rsidRPr="00B167DF">
        <w:rPr>
          <w:rFonts w:ascii="Palatino Linotype" w:eastAsia="Palatino Linotype" w:hAnsi="Palatino Linotype" w:cs="Palatino Linotype"/>
          <w:noProof/>
          <w:sz w:val="22"/>
          <w:szCs w:val="22"/>
        </w:rPr>
        <w:lastRenderedPageBreak/>
        <w:drawing>
          <wp:inline distT="0" distB="0" distL="0" distR="0" wp14:anchorId="603FEE8F" wp14:editId="0FAFC3B7">
            <wp:extent cx="3420000" cy="2182485"/>
            <wp:effectExtent l="0" t="0" r="0" b="0"/>
            <wp:docPr id="21401318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420000" cy="2182485"/>
                    </a:xfrm>
                    <a:prstGeom prst="rect">
                      <a:avLst/>
                    </a:prstGeom>
                    <a:ln/>
                  </pic:spPr>
                </pic:pic>
              </a:graphicData>
            </a:graphic>
          </wp:inline>
        </w:drawing>
      </w:r>
      <w:r w:rsidRPr="00B167DF">
        <w:rPr>
          <w:noProof/>
        </w:rPr>
        <mc:AlternateContent>
          <mc:Choice Requires="wps">
            <w:drawing>
              <wp:anchor distT="0" distB="0" distL="114300" distR="114300" simplePos="0" relativeHeight="251659264" behindDoc="0" locked="0" layoutInCell="1" hidden="0" allowOverlap="1" wp14:anchorId="64F3ECD7" wp14:editId="7CD1D822">
                <wp:simplePos x="0" y="0"/>
                <wp:positionH relativeFrom="column">
                  <wp:posOffset>2387600</wp:posOffset>
                </wp:positionH>
                <wp:positionV relativeFrom="paragraph">
                  <wp:posOffset>1651000</wp:posOffset>
                </wp:positionV>
                <wp:extent cx="504985" cy="570398"/>
                <wp:effectExtent l="0" t="0" r="0" b="0"/>
                <wp:wrapNone/>
                <wp:docPr id="2140131879" name="Rectángulo 2140131879"/>
                <wp:cNvGraphicFramePr/>
                <a:graphic xmlns:a="http://schemas.openxmlformats.org/drawingml/2006/main">
                  <a:graphicData uri="http://schemas.microsoft.com/office/word/2010/wordprocessingShape">
                    <wps:wsp>
                      <wps:cNvSpPr/>
                      <wps:spPr>
                        <a:xfrm>
                          <a:off x="5136370" y="3537664"/>
                          <a:ext cx="419260" cy="484673"/>
                        </a:xfrm>
                        <a:prstGeom prst="rect">
                          <a:avLst/>
                        </a:prstGeom>
                        <a:noFill/>
                        <a:ln w="28575" cap="flat" cmpd="sng">
                          <a:solidFill>
                            <a:srgbClr val="C00000"/>
                          </a:solidFill>
                          <a:prstDash val="solid"/>
                          <a:round/>
                          <a:headEnd type="none" w="sm" len="sm"/>
                          <a:tailEnd type="none" w="sm" len="sm"/>
                        </a:ln>
                      </wps:spPr>
                      <wps:txbx>
                        <w:txbxContent>
                          <w:p w14:paraId="12817E5F" w14:textId="77777777" w:rsidR="00752E71" w:rsidRDefault="00752E71">
                            <w:pPr>
                              <w:textDirection w:val="btLr"/>
                            </w:pPr>
                          </w:p>
                        </w:txbxContent>
                      </wps:txbx>
                      <wps:bodyPr spcFirstLastPara="1" wrap="square" lIns="91425" tIns="91425" rIns="91425" bIns="91425" anchor="ctr" anchorCtr="0">
                        <a:noAutofit/>
                      </wps:bodyPr>
                    </wps:wsp>
                  </a:graphicData>
                </a:graphic>
              </wp:anchor>
            </w:drawing>
          </mc:Choice>
          <mc:Fallback>
            <w:pict>
              <v:rect id="Rectángulo 2140131879" o:spid="_x0000_s1027" style="position:absolute;left:0;text-align:left;margin-left:188pt;margin-top:130pt;width:39.75pt;height:4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" filled="f" strokecolor="#c00000" strokeweight="2.25pt">
                <v:stroke startarrowwidth="narrow" startarrowlength="short" endarrowwidth="narrow" endarrowlength="short" joinstyle="round"/>
                <v:textbox inset="2.53958mm,2.53958mm,2.53958mm,2.53958mm">
                  <w:txbxContent>
                    <w:p w:rsidR="00752E71" w:rsidRDefault="00752E71">
                      <w:pPr>
                        <w:textDirection w:val="btLr"/>
                      </w:pPr>
                    </w:p>
                  </w:txbxContent>
                </v:textbox>
              </v:rect>
            </w:pict>
          </mc:Fallback>
        </mc:AlternateContent>
      </w:r>
    </w:p>
    <w:p w14:paraId="399A6930"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Como se precisó en líneas anteriores, a partir del uno de enero de dos mil quince las entidades adheridas al Sistema Nacional de Coordinación Fiscal, participaron al 100% de la recaudación que se obtuvo del ISR que efectivamente se enteró a la Federación, correspondiente al salario del personal que preste o desempeñe un servicio personal subordinado en las dependencias del ente público respectivo, y sus organismos autónomos y entidades paraestatales y paramunicipales.</w:t>
      </w:r>
    </w:p>
    <w:p w14:paraId="73C23871"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Lo anterior se robustece con el artículo 1° de Ley de Ingresos de los Municipios del Estado de México para el ejercicio 2015, en donde se visualiza  que dicho instrumento normativo contempló como ingreso para los municipios, el relativo al Impuesto Sobre la Renta efectivamente enterado a la Federación, correspondiente al salario de su personal que preste o desempeñe un servicio personal subordinado así como de sus organismos públicos descentralizados, que en su parte conducente dispone lo siguiente:</w:t>
      </w:r>
    </w:p>
    <w:p w14:paraId="7CFC375D" w14:textId="77777777" w:rsidR="00204857" w:rsidRPr="00B167DF" w:rsidRDefault="002A7DE1">
      <w:pPr>
        <w:spacing w:before="120" w:after="120"/>
        <w:ind w:left="851" w:right="76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1.- La hacienda pública de los municipios</w:t>
      </w:r>
      <w:r w:rsidRPr="00B167DF">
        <w:rPr>
          <w:rFonts w:ascii="Palatino Linotype" w:eastAsia="Palatino Linotype" w:hAnsi="Palatino Linotype" w:cs="Palatino Linotype"/>
          <w:i/>
          <w:sz w:val="22"/>
          <w:szCs w:val="22"/>
        </w:rPr>
        <w:t xml:space="preserve"> del Estado de México, </w:t>
      </w:r>
      <w:r w:rsidRPr="00B167DF">
        <w:rPr>
          <w:rFonts w:ascii="Palatino Linotype" w:eastAsia="Palatino Linotype" w:hAnsi="Palatino Linotype" w:cs="Palatino Linotype"/>
          <w:b/>
          <w:i/>
          <w:sz w:val="22"/>
          <w:szCs w:val="22"/>
        </w:rPr>
        <w:t>percibirá durante el ejercicio fiscal del año 2015, los ingresos provenientes</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de los conceptos</w:t>
      </w:r>
      <w:r w:rsidRPr="00B167DF">
        <w:rPr>
          <w:rFonts w:ascii="Palatino Linotype" w:eastAsia="Palatino Linotype" w:hAnsi="Palatino Linotype" w:cs="Palatino Linotype"/>
          <w:i/>
          <w:sz w:val="22"/>
          <w:szCs w:val="22"/>
        </w:rPr>
        <w:t xml:space="preserve"> que a continuación se enumeran:</w:t>
      </w:r>
    </w:p>
    <w:p w14:paraId="72E4F5C6" w14:textId="77777777" w:rsidR="00204857" w:rsidRPr="00B167DF" w:rsidRDefault="002A7DE1">
      <w:pPr>
        <w:spacing w:before="120" w:after="120"/>
        <w:ind w:left="851" w:right="76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lastRenderedPageBreak/>
        <w:t>…</w:t>
      </w:r>
    </w:p>
    <w:p w14:paraId="54B5AB08" w14:textId="77777777" w:rsidR="00204857" w:rsidRPr="00B167DF" w:rsidRDefault="002A7DE1">
      <w:pPr>
        <w:spacing w:before="120" w:after="120"/>
        <w:ind w:left="851" w:right="760"/>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8. PARTICIPACIONES, APORTACIONES, CONVENIOS Y SUBSIDIOS:</w:t>
      </w:r>
    </w:p>
    <w:p w14:paraId="586F46B8" w14:textId="77777777" w:rsidR="00204857" w:rsidRPr="00B167DF" w:rsidRDefault="002A7DE1">
      <w:pPr>
        <w:spacing w:before="120" w:after="120"/>
        <w:ind w:left="1134" w:right="76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3FF8E180" w14:textId="77777777" w:rsidR="00204857" w:rsidRPr="00B167DF" w:rsidRDefault="002A7DE1">
      <w:pPr>
        <w:spacing w:before="120" w:after="120"/>
        <w:ind w:left="1134" w:right="760"/>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 xml:space="preserve">8.1.9. El Impuesto Sobre la Renta efectivamente enterado a la Federación, </w:t>
      </w:r>
      <w:r w:rsidRPr="00B167DF">
        <w:rPr>
          <w:rFonts w:ascii="Palatino Linotype" w:eastAsia="Palatino Linotype" w:hAnsi="Palatino Linotype" w:cs="Palatino Linotype"/>
          <w:i/>
          <w:sz w:val="22"/>
          <w:szCs w:val="22"/>
        </w:rPr>
        <w:t xml:space="preserve">correspondiente al salario de su personal que preste o desempeñe un servicio personal </w:t>
      </w:r>
      <w:proofErr w:type="gramStart"/>
      <w:r w:rsidRPr="00B167DF">
        <w:rPr>
          <w:rFonts w:ascii="Palatino Linotype" w:eastAsia="Palatino Linotype" w:hAnsi="Palatino Linotype" w:cs="Palatino Linotype"/>
          <w:i/>
          <w:sz w:val="22"/>
          <w:szCs w:val="22"/>
        </w:rPr>
        <w:t>subordinado</w:t>
      </w:r>
      <w:proofErr w:type="gramEnd"/>
      <w:r w:rsidRPr="00B167DF">
        <w:rPr>
          <w:rFonts w:ascii="Palatino Linotype" w:eastAsia="Palatino Linotype" w:hAnsi="Palatino Linotype" w:cs="Palatino Linotype"/>
          <w:i/>
          <w:sz w:val="22"/>
          <w:szCs w:val="22"/>
        </w:rPr>
        <w:t xml:space="preserve"> así como de sus organismos públicos descentralizados.</w:t>
      </w:r>
      <w:r w:rsidRPr="00B167DF">
        <w:rPr>
          <w:rFonts w:ascii="Palatino Linotype" w:eastAsia="Palatino Linotype" w:hAnsi="Palatino Linotype" w:cs="Palatino Linotype"/>
          <w:b/>
          <w:i/>
          <w:sz w:val="22"/>
          <w:szCs w:val="22"/>
        </w:rPr>
        <w:t xml:space="preserve">” </w:t>
      </w:r>
    </w:p>
    <w:p w14:paraId="49EFD17A"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Para efectuar la asignación de dichas participaciones, nuestra entidad federativa se ciñe a lo establecido en las Reglas para la Asignación de las Participaciones Federales y Estatales a los Municipios del Estado de México, las cuales, en su parte conducente disponen lo siguiente: </w:t>
      </w:r>
    </w:p>
    <w:p w14:paraId="10441754"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Secretaría</w:t>
      </w:r>
      <w:r w:rsidRPr="00B167DF">
        <w:rPr>
          <w:rFonts w:ascii="Palatino Linotype" w:eastAsia="Palatino Linotype" w:hAnsi="Palatino Linotype" w:cs="Palatino Linotype"/>
          <w:i/>
          <w:sz w:val="22"/>
          <w:szCs w:val="22"/>
        </w:rPr>
        <w:t xml:space="preserve">, a la </w:t>
      </w:r>
      <w:r w:rsidRPr="00B167DF">
        <w:rPr>
          <w:rFonts w:ascii="Palatino Linotype" w:eastAsia="Palatino Linotype" w:hAnsi="Palatino Linotype" w:cs="Palatino Linotype"/>
          <w:b/>
          <w:i/>
          <w:sz w:val="22"/>
          <w:szCs w:val="22"/>
          <w:u w:val="single"/>
        </w:rPr>
        <w:t>Secretaría de Finanzas del Gobierno del Estado de México</w:t>
      </w:r>
    </w:p>
    <w:p w14:paraId="1F3FBB79"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6B07CF25"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proofErr w:type="gramStart"/>
      <w:r w:rsidRPr="00B167DF">
        <w:rPr>
          <w:rFonts w:ascii="Palatino Linotype" w:eastAsia="Palatino Linotype" w:hAnsi="Palatino Linotype" w:cs="Palatino Linotype"/>
          <w:b/>
          <w:i/>
          <w:sz w:val="22"/>
          <w:szCs w:val="22"/>
        </w:rPr>
        <w:t>Tercera</w:t>
      </w:r>
      <w:r w:rsidRPr="00B167DF">
        <w:rPr>
          <w:rFonts w:ascii="Palatino Linotype" w:eastAsia="Palatino Linotype" w:hAnsi="Palatino Linotype" w:cs="Palatino Linotype"/>
          <w:i/>
          <w:sz w:val="22"/>
          <w:szCs w:val="22"/>
        </w:rPr>
        <w:t>.-</w:t>
      </w:r>
      <w:proofErr w:type="gramEnd"/>
      <w:r w:rsidRPr="00B167DF">
        <w:rPr>
          <w:rFonts w:ascii="Palatino Linotype" w:eastAsia="Palatino Linotype" w:hAnsi="Palatino Linotype" w:cs="Palatino Linotype"/>
          <w:i/>
          <w:sz w:val="22"/>
          <w:szCs w:val="22"/>
        </w:rPr>
        <w:t xml:space="preserve"> El Estado de México deberá liquidar a los municipios, a más tardar el último día hábil de cada mes, el monto que por concepto de participaciones provisionales Federales y Estatales, les corresponde. Para tal efecto, l</w:t>
      </w:r>
      <w:r w:rsidRPr="00B167DF">
        <w:rPr>
          <w:rFonts w:ascii="Palatino Linotype" w:eastAsia="Palatino Linotype" w:hAnsi="Palatino Linotype" w:cs="Palatino Linotype"/>
          <w:b/>
          <w:i/>
          <w:sz w:val="22"/>
          <w:szCs w:val="22"/>
          <w:u w:val="single"/>
        </w:rPr>
        <w:t>a Secretaría emitirá una Constancia desglosando las participaciones</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por cada uno de los conceptos señalados en el artículo 219 del Código Financiero.</w:t>
      </w:r>
    </w:p>
    <w:p w14:paraId="25A2B581"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6E19E177" w14:textId="77777777" w:rsidR="00204857" w:rsidRPr="00B167DF" w:rsidRDefault="002A7DE1">
      <w:pPr>
        <w:spacing w:before="120" w:after="120"/>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DEL CÁLCULO DE PARTICIPACIONES POR CONCEPTO DEL ISR</w:t>
      </w:r>
    </w:p>
    <w:p w14:paraId="71EB76A2"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proofErr w:type="gramStart"/>
      <w:r w:rsidRPr="00B167DF">
        <w:rPr>
          <w:rFonts w:ascii="Palatino Linotype" w:eastAsia="Palatino Linotype" w:hAnsi="Palatino Linotype" w:cs="Palatino Linotype"/>
          <w:b/>
          <w:i/>
          <w:sz w:val="22"/>
          <w:szCs w:val="22"/>
        </w:rPr>
        <w:t>Novena</w:t>
      </w:r>
      <w:r w:rsidRPr="00B167DF">
        <w:rPr>
          <w:rFonts w:ascii="Palatino Linotype" w:eastAsia="Palatino Linotype" w:hAnsi="Palatino Linotype" w:cs="Palatino Linotype"/>
          <w:i/>
          <w:sz w:val="22"/>
          <w:szCs w:val="22"/>
        </w:rPr>
        <w:t>.-</w:t>
      </w:r>
      <w:proofErr w:type="gramEnd"/>
      <w:r w:rsidRPr="00B167DF">
        <w:rPr>
          <w:rFonts w:ascii="Palatino Linotype" w:eastAsia="Palatino Linotype" w:hAnsi="Palatino Linotype" w:cs="Palatino Linotype"/>
          <w:i/>
          <w:sz w:val="22"/>
          <w:szCs w:val="22"/>
        </w:rPr>
        <w:t xml:space="preserve"> De conformidad con lo establecido en el artículo 223 del Código Financiero, </w:t>
      </w:r>
      <w:r w:rsidRPr="00B167DF">
        <w:rPr>
          <w:rFonts w:ascii="Palatino Linotype" w:eastAsia="Palatino Linotype" w:hAnsi="Palatino Linotype" w:cs="Palatino Linotype"/>
          <w:b/>
          <w:i/>
          <w:sz w:val="22"/>
          <w:szCs w:val="22"/>
        </w:rPr>
        <w:t xml:space="preserve">las participaciones derivadas del Impuesto Sobre la Renta correspondientes a cada Ayuntamiento y sus organismos públicos descentralizados </w:t>
      </w:r>
      <w:r w:rsidRPr="00B167DF">
        <w:rPr>
          <w:rFonts w:ascii="Palatino Linotype" w:eastAsia="Palatino Linotype" w:hAnsi="Palatino Linotype" w:cs="Palatino Linotype"/>
          <w:b/>
          <w:i/>
          <w:sz w:val="22"/>
          <w:szCs w:val="22"/>
          <w:u w:val="single"/>
        </w:rPr>
        <w:t>se transferirán a cada municipio conforme al monto efectivamente enterado a la federación</w:t>
      </w:r>
      <w:r w:rsidRPr="00B167DF">
        <w:rPr>
          <w:rFonts w:ascii="Palatino Linotype" w:eastAsia="Palatino Linotype" w:hAnsi="Palatino Linotype" w:cs="Palatino Linotype"/>
          <w:i/>
          <w:sz w:val="22"/>
          <w:szCs w:val="22"/>
        </w:rPr>
        <w:t>.”</w:t>
      </w:r>
    </w:p>
    <w:p w14:paraId="71330DF9"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De lo hasta aquí expuesto, se concluye que la federación transfiere recursos a las entidades federativas por concepto de participaciones federales, las cuales se encuentran previstas en el Ramo General 28 Participaciones a Entidades Federativas </w:t>
      </w:r>
      <w:r w:rsidRPr="00B167DF">
        <w:rPr>
          <w:rFonts w:ascii="Palatino Linotype" w:eastAsia="Palatino Linotype" w:hAnsi="Palatino Linotype" w:cs="Palatino Linotype"/>
        </w:rPr>
        <w:lastRenderedPageBreak/>
        <w:t>y Municipios del Gasto no programable contemplado en el Presupuesto de Egresos la Federación de cada ejercicio fiscal, entre las que se encuentra la participación de la recaudación que se obtenga del ISR efectivamente enterado correspondiente al salario del personal de los entes públicos; la entidad federativa a su vez, cuenta con la obligación de participar a los municipios el ISR que a éstos y a sus organismos públicos descentralizados les corresponda.</w:t>
      </w:r>
    </w:p>
    <w:p w14:paraId="4EAC03AA" w14:textId="77777777" w:rsidR="00204857" w:rsidRPr="00B167DF" w:rsidRDefault="002A7DE1">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B167DF">
        <w:rPr>
          <w:rFonts w:ascii="Palatino Linotype" w:eastAsia="Palatino Linotype" w:hAnsi="Palatino Linotype" w:cs="Palatino Linotype"/>
        </w:rPr>
        <w:t xml:space="preserve">En otras palabras, la entidad federativa, a través de la Secretaría de Finanzas es responsable de transferir a los municipios las participaciones derivadas del Impuesto Sobre la Renta, que le corresponda a los ayuntamientos y a sus organismos descentralizados, </w:t>
      </w:r>
      <w:r w:rsidRPr="00B167DF">
        <w:rPr>
          <w:rFonts w:ascii="Palatino Linotype" w:eastAsia="Palatino Linotype" w:hAnsi="Palatino Linotype" w:cs="Palatino Linotype"/>
          <w:b/>
          <w:u w:val="single"/>
        </w:rPr>
        <w:t>lo que se traduce en la imposibilidad de los organismos descentralizados para atender los requerimientos de información en estudio</w:t>
      </w:r>
      <w:r w:rsidRPr="00B167DF">
        <w:rPr>
          <w:rFonts w:ascii="Palatino Linotype" w:eastAsia="Palatino Linotype" w:hAnsi="Palatino Linotype" w:cs="Palatino Linotype"/>
        </w:rPr>
        <w:t>, siendo el ayuntamiento el competente para contar con la información requerida.</w:t>
      </w:r>
    </w:p>
    <w:p w14:paraId="3815747D"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Robustece lo anterior el artículo 223 del Código Financiero del Estado de México, a saber:  </w:t>
      </w:r>
    </w:p>
    <w:p w14:paraId="2A22B02F" w14:textId="77777777" w:rsidR="00204857" w:rsidRPr="00B167DF" w:rsidRDefault="002A7DE1">
      <w:pPr>
        <w:spacing w:before="240" w:after="24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223</w:t>
      </w:r>
      <w:r w:rsidRPr="00B167DF">
        <w:rPr>
          <w:rFonts w:ascii="Palatino Linotype" w:eastAsia="Palatino Linotype" w:hAnsi="Palatino Linotype" w:cs="Palatino Linotype"/>
          <w:i/>
          <w:sz w:val="22"/>
          <w:szCs w:val="22"/>
        </w:rPr>
        <w:t xml:space="preserve">.- </w:t>
      </w:r>
      <w:r w:rsidRPr="00B167DF">
        <w:rPr>
          <w:rFonts w:ascii="Palatino Linotype" w:eastAsia="Palatino Linotype" w:hAnsi="Palatino Linotype" w:cs="Palatino Linotype"/>
          <w:b/>
          <w:i/>
          <w:sz w:val="22"/>
          <w:szCs w:val="22"/>
        </w:rPr>
        <w:t>Las participaciones derivadas del Impuesto Sobre la Renta</w:t>
      </w:r>
      <w:r w:rsidRPr="00B167DF">
        <w:rPr>
          <w:rFonts w:ascii="Palatino Linotype" w:eastAsia="Palatino Linotype" w:hAnsi="Palatino Linotype" w:cs="Palatino Linotype"/>
          <w:i/>
          <w:sz w:val="22"/>
          <w:szCs w:val="22"/>
        </w:rPr>
        <w:t xml:space="preserve"> correspondientes a cada Ayuntamiento y sus organismos públicos descentralizados </w:t>
      </w:r>
      <w:r w:rsidRPr="00B167DF">
        <w:rPr>
          <w:rFonts w:ascii="Palatino Linotype" w:eastAsia="Palatino Linotype" w:hAnsi="Palatino Linotype" w:cs="Palatino Linotype"/>
          <w:b/>
          <w:i/>
          <w:sz w:val="22"/>
          <w:szCs w:val="22"/>
          <w:u w:val="single"/>
        </w:rPr>
        <w:t>se transferirán a cada municipio</w:t>
      </w:r>
      <w:r w:rsidRPr="00B167DF">
        <w:rPr>
          <w:rFonts w:ascii="Palatino Linotype" w:eastAsia="Palatino Linotype" w:hAnsi="Palatino Linotype" w:cs="Palatino Linotype"/>
          <w:i/>
          <w:sz w:val="22"/>
          <w:szCs w:val="22"/>
        </w:rPr>
        <w:t xml:space="preserve"> conforme al monto efectivamente enterado a la federación.”</w:t>
      </w:r>
    </w:p>
    <w:p w14:paraId="0FCDCD93"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Y, si bien es cierto la Secretaría de Finanzas transfiere los recursos por concepto de participaciones a los municipios y genera la Constancia en la que desglosa las participaciones, no menos cierto es que la información también puede ser obtenida por los propios municipios.</w:t>
      </w:r>
    </w:p>
    <w:p w14:paraId="6554335A"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 xml:space="preserve">Como sustento de lo anterior, el artículo 6, antepenúltimo párrafo de la Ley de Coordinación Fiscal, dispone que la entidad federativa, por medio de la dependencia competente -la Secretaría de Finanzas-, cuenta con la obligación de publicar a más tardar el 15 de febrero de cada ejercicio, en el Periódico Oficial, así como en su página oficial de Internet, el calendario de entrega, porcentaje, fórmulas y variables utilizadas, así como los </w:t>
      </w:r>
      <w:r w:rsidRPr="00B167DF">
        <w:rPr>
          <w:rFonts w:ascii="Palatino Linotype" w:eastAsia="Palatino Linotype" w:hAnsi="Palatino Linotype" w:cs="Palatino Linotype"/>
          <w:b/>
          <w:u w:val="single"/>
        </w:rPr>
        <w:t>montos estimados, de las participaciones que las entidades reciban y de las que tengan obligación de participar a sus municipios o demarcaciones territoriales</w:t>
      </w:r>
      <w:r w:rsidRPr="00B167DF">
        <w:rPr>
          <w:rFonts w:ascii="Palatino Linotype" w:eastAsia="Palatino Linotype" w:hAnsi="Palatino Linotype" w:cs="Palatino Linotype"/>
        </w:rPr>
        <w:t xml:space="preserve">, así como a </w:t>
      </w:r>
      <w:r w:rsidRPr="00B167DF">
        <w:rPr>
          <w:rFonts w:ascii="Palatino Linotype" w:eastAsia="Palatino Linotype" w:hAnsi="Palatino Linotype" w:cs="Palatino Linotype"/>
          <w:b/>
          <w:u w:val="single"/>
        </w:rPr>
        <w:t>publicar trimestralmente</w:t>
      </w:r>
      <w:r w:rsidRPr="00B167DF">
        <w:rPr>
          <w:rFonts w:ascii="Palatino Linotype" w:eastAsia="Palatino Linotype" w:hAnsi="Palatino Linotype" w:cs="Palatino Linotype"/>
        </w:rPr>
        <w:t xml:space="preserve"> de a través de los mismos medios, </w:t>
      </w:r>
      <w:r w:rsidRPr="00B167DF">
        <w:rPr>
          <w:rFonts w:ascii="Palatino Linotype" w:eastAsia="Palatino Linotype" w:hAnsi="Palatino Linotype" w:cs="Palatino Linotype"/>
          <w:b/>
          <w:u w:val="single"/>
        </w:rPr>
        <w:t>el importe de las participaciones entregadas y, en su caso, el ajuste realizado al término de cada ejercicio fiscal</w:t>
      </w:r>
      <w:r w:rsidRPr="00B167DF">
        <w:rPr>
          <w:rFonts w:ascii="Palatino Linotype" w:eastAsia="Palatino Linotype" w:hAnsi="Palatino Linotype" w:cs="Palatino Linotype"/>
        </w:rPr>
        <w:t>, publicaciones que se deberán realizar conforme a los lineamientos que al efecto emita la Secretaría de Hacienda y Crédito Público, por lo que en estricto sentido, dicha información se encuentra disponible y es de acceso público, como se ilustra a continuación respecto del ejercicio 2017, a manera de ejemplo:</w:t>
      </w:r>
    </w:p>
    <w:p w14:paraId="6A42F150"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195D7D00" wp14:editId="32912B2A">
            <wp:extent cx="4680000" cy="1348717"/>
            <wp:effectExtent l="0" t="0" r="0" b="0"/>
            <wp:docPr id="21401318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680000" cy="1348717"/>
                    </a:xfrm>
                    <a:prstGeom prst="rect">
                      <a:avLst/>
                    </a:prstGeom>
                    <a:ln/>
                  </pic:spPr>
                </pic:pic>
              </a:graphicData>
            </a:graphic>
          </wp:inline>
        </w:drawing>
      </w:r>
      <w:r w:rsidRPr="00B167DF">
        <w:rPr>
          <w:rFonts w:ascii="Palatino Linotype" w:eastAsia="Palatino Linotype" w:hAnsi="Palatino Linotype" w:cs="Palatino Linotype"/>
          <w:noProof/>
        </w:rPr>
        <w:drawing>
          <wp:inline distT="0" distB="0" distL="0" distR="0" wp14:anchorId="0631ACA6" wp14:editId="3AB90D3C">
            <wp:extent cx="4680000" cy="610550"/>
            <wp:effectExtent l="0" t="0" r="0" b="0"/>
            <wp:docPr id="21401318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4680000" cy="610550"/>
                    </a:xfrm>
                    <a:prstGeom prst="rect">
                      <a:avLst/>
                    </a:prstGeom>
                    <a:ln/>
                  </pic:spPr>
                </pic:pic>
              </a:graphicData>
            </a:graphic>
          </wp:inline>
        </w:drawing>
      </w:r>
      <w:r w:rsidRPr="00B167DF">
        <w:rPr>
          <w:rFonts w:ascii="Palatino Linotype" w:eastAsia="Palatino Linotype" w:hAnsi="Palatino Linotype" w:cs="Palatino Linotype"/>
          <w:noProof/>
        </w:rPr>
        <w:drawing>
          <wp:inline distT="0" distB="0" distL="0" distR="0" wp14:anchorId="683D81B9" wp14:editId="1AA688A0">
            <wp:extent cx="4680000" cy="162036"/>
            <wp:effectExtent l="0" t="0" r="0" b="0"/>
            <wp:docPr id="21401318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4680000" cy="162036"/>
                    </a:xfrm>
                    <a:prstGeom prst="rect">
                      <a:avLst/>
                    </a:prstGeom>
                    <a:ln/>
                  </pic:spPr>
                </pic:pic>
              </a:graphicData>
            </a:graphic>
          </wp:inline>
        </w:drawing>
      </w:r>
    </w:p>
    <w:p w14:paraId="2530804D"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lastRenderedPageBreak/>
        <w:drawing>
          <wp:inline distT="0" distB="0" distL="0" distR="0" wp14:anchorId="01D4239E" wp14:editId="42670E6F">
            <wp:extent cx="4680000" cy="3584927"/>
            <wp:effectExtent l="0" t="0" r="0" b="0"/>
            <wp:docPr id="21401318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4680000" cy="3584927"/>
                    </a:xfrm>
                    <a:prstGeom prst="rect">
                      <a:avLst/>
                    </a:prstGeom>
                    <a:ln/>
                  </pic:spPr>
                </pic:pic>
              </a:graphicData>
            </a:graphic>
          </wp:inline>
        </w:drawing>
      </w:r>
      <w:r w:rsidRPr="00B167DF">
        <w:rPr>
          <w:rFonts w:ascii="Palatino Linotype" w:eastAsia="Palatino Linotype" w:hAnsi="Palatino Linotype" w:cs="Palatino Linotype"/>
        </w:rPr>
        <w:t xml:space="preserve"> </w:t>
      </w:r>
    </w:p>
    <w:p w14:paraId="50B6D593"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rFonts w:ascii="Palatino Linotype" w:eastAsia="Palatino Linotype" w:hAnsi="Palatino Linotype" w:cs="Palatino Linotype"/>
          <w:noProof/>
        </w:rPr>
        <w:drawing>
          <wp:inline distT="0" distB="0" distL="0" distR="0" wp14:anchorId="06A18E59" wp14:editId="7EDEA486">
            <wp:extent cx="5612130" cy="3249295"/>
            <wp:effectExtent l="0" t="0" r="0" b="0"/>
            <wp:docPr id="21401318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612130" cy="3249295"/>
                    </a:xfrm>
                    <a:prstGeom prst="rect">
                      <a:avLst/>
                    </a:prstGeom>
                    <a:ln/>
                  </pic:spPr>
                </pic:pic>
              </a:graphicData>
            </a:graphic>
          </wp:inline>
        </w:drawing>
      </w:r>
      <w:r w:rsidRPr="00B167DF">
        <w:rPr>
          <w:rFonts w:ascii="Palatino Linotype" w:eastAsia="Palatino Linotype" w:hAnsi="Palatino Linotype" w:cs="Palatino Linotype"/>
        </w:rPr>
        <w:t xml:space="preserve"> </w:t>
      </w:r>
      <w:r w:rsidRPr="00B167DF">
        <w:rPr>
          <w:noProof/>
        </w:rPr>
        <mc:AlternateContent>
          <mc:Choice Requires="wps">
            <w:drawing>
              <wp:anchor distT="0" distB="0" distL="114300" distR="114300" simplePos="0" relativeHeight="251661312" behindDoc="0" locked="0" layoutInCell="1" hidden="0" allowOverlap="1" wp14:anchorId="3E5AB1B9" wp14:editId="3860E897">
                <wp:simplePos x="0" y="0"/>
                <wp:positionH relativeFrom="column">
                  <wp:posOffset>381000</wp:posOffset>
                </wp:positionH>
                <wp:positionV relativeFrom="paragraph">
                  <wp:posOffset>1866900</wp:posOffset>
                </wp:positionV>
                <wp:extent cx="1779199" cy="778533"/>
                <wp:effectExtent l="0" t="0" r="0" b="0"/>
                <wp:wrapNone/>
                <wp:docPr id="2140131883" name="Rectángulo 2140131883"/>
                <wp:cNvGraphicFramePr/>
                <a:graphic xmlns:a="http://schemas.openxmlformats.org/drawingml/2006/main">
                  <a:graphicData uri="http://schemas.microsoft.com/office/word/2010/wordprocessingShape">
                    <wps:wsp>
                      <wps:cNvSpPr/>
                      <wps:spPr>
                        <a:xfrm>
                          <a:off x="4513551" y="3447884"/>
                          <a:ext cx="1664899" cy="664233"/>
                        </a:xfrm>
                        <a:prstGeom prst="rect">
                          <a:avLst/>
                        </a:prstGeom>
                        <a:noFill/>
                        <a:ln w="38100" cap="flat" cmpd="sng">
                          <a:solidFill>
                            <a:srgbClr val="C00000"/>
                          </a:solidFill>
                          <a:prstDash val="solid"/>
                          <a:round/>
                          <a:headEnd type="none" w="sm" len="sm"/>
                          <a:tailEnd type="none" w="sm" len="sm"/>
                        </a:ln>
                      </wps:spPr>
                      <wps:txbx>
                        <w:txbxContent>
                          <w:p w14:paraId="157E0FBA" w14:textId="77777777" w:rsidR="00752E71" w:rsidRDefault="00752E71">
                            <w:pPr>
                              <w:textDirection w:val="btLr"/>
                            </w:pPr>
                          </w:p>
                        </w:txbxContent>
                      </wps:txbx>
                      <wps:bodyPr spcFirstLastPara="1" wrap="square" lIns="91425" tIns="91425" rIns="91425" bIns="91425" anchor="ctr" anchorCtr="0">
                        <a:noAutofit/>
                      </wps:bodyPr>
                    </wps:wsp>
                  </a:graphicData>
                </a:graphic>
              </wp:anchor>
            </w:drawing>
          </mc:Choice>
          <mc:Fallback>
            <w:pict>
              <v:rect id="Rectángulo 2140131883" o:spid="_x0000_s1028" style="position:absolute;left:0;text-align:left;margin-left:30pt;margin-top:147pt;width:140.1pt;height:6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" filled="f" strokecolor="#c00000" strokeweight="3pt">
                <v:stroke startarrowwidth="narrow" startarrowlength="short" endarrowwidth="narrow" endarrowlength="short" joinstyle="round"/>
                <v:textbox inset="2.53958mm,2.53958mm,2.53958mm,2.53958mm">
                  <w:txbxContent>
                    <w:p w:rsidR="00752E71" w:rsidRDefault="00752E71">
                      <w:pPr>
                        <w:textDirection w:val="btLr"/>
                      </w:pPr>
                    </w:p>
                  </w:txbxContent>
                </v:textbox>
              </v:rect>
            </w:pict>
          </mc:Fallback>
        </mc:AlternateContent>
      </w:r>
    </w:p>
    <w:p w14:paraId="112C4CCF" w14:textId="77777777" w:rsidR="00204857" w:rsidRPr="00B167DF" w:rsidRDefault="002C004E">
      <w:pPr>
        <w:spacing w:before="240" w:after="240" w:line="360" w:lineRule="auto"/>
        <w:jc w:val="center"/>
        <w:rPr>
          <w:rFonts w:ascii="Palatino Linotype" w:eastAsia="Palatino Linotype" w:hAnsi="Palatino Linotype" w:cs="Palatino Linotype"/>
        </w:rPr>
      </w:pPr>
      <w:r w:rsidRPr="00B167DF">
        <w:rPr>
          <w:noProof/>
        </w:rPr>
        <w:lastRenderedPageBreak/>
        <mc:AlternateContent>
          <mc:Choice Requires="wps">
            <w:drawing>
              <wp:anchor distT="0" distB="0" distL="114300" distR="114300" simplePos="0" relativeHeight="251660288" behindDoc="0" locked="0" layoutInCell="1" hidden="0" allowOverlap="1" wp14:anchorId="78C7AF49" wp14:editId="1F9C79D5">
                <wp:simplePos x="0" y="0"/>
                <wp:positionH relativeFrom="column">
                  <wp:posOffset>4879975</wp:posOffset>
                </wp:positionH>
                <wp:positionV relativeFrom="paragraph">
                  <wp:posOffset>-141605</wp:posOffset>
                </wp:positionV>
                <wp:extent cx="320261" cy="232741"/>
                <wp:effectExtent l="0" t="0" r="0" b="0"/>
                <wp:wrapNone/>
                <wp:docPr id="2140131884" name="Conector recto de flecha 2140131884"/>
                <wp:cNvGraphicFramePr/>
                <a:graphic xmlns:a="http://schemas.openxmlformats.org/drawingml/2006/main">
                  <a:graphicData uri="http://schemas.microsoft.com/office/word/2010/wordprocessingShape">
                    <wps:wsp>
                      <wps:cNvCnPr/>
                      <wps:spPr>
                        <a:xfrm>
                          <a:off x="0" y="0"/>
                          <a:ext cx="320261" cy="232741"/>
                        </a:xfrm>
                        <a:prstGeom prst="straightConnector1">
                          <a:avLst/>
                        </a:prstGeom>
                        <a:noFill/>
                        <a:ln w="25400" cap="flat" cmpd="sng">
                          <a:solidFill>
                            <a:srgbClr val="C00000"/>
                          </a:solidFill>
                          <a:prstDash val="solid"/>
                          <a:round/>
                          <a:headEnd type="none" w="sm" len="sm"/>
                          <a:tailEnd type="triangle" w="med" len="med"/>
                        </a:ln>
                      </wps:spPr>
                      <wps:bodyPr/>
                    </wps:wsp>
                  </a:graphicData>
                </a:graphic>
              </wp:anchor>
            </w:drawing>
          </mc:Choice>
          <mc:Fallback>
            <w:pict>
              <v:shapetype w14:anchorId="55F58006" id="_x0000_t32" coordsize="21600,21600" o:spt="32" o:oned="t" path="m,l21600,21600e" filled="f">
                <v:path arrowok="t" fillok="f" o:connecttype="none"/>
                <o:lock v:ext="edit" shapetype="t"/>
              </v:shapetype>
              <v:shape id="Conector recto de flecha 2140131884" o:spid="_x0000_s1026" type="#_x0000_t32" style="position:absolute;margin-left:384.25pt;margin-top:-11.15pt;width:25.2pt;height:18.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" strokecolor="#c00000" strokeweight="2pt">
                <v:stroke startarrowwidth="narrow" startarrowlength="short" endarrow="block"/>
              </v:shape>
            </w:pict>
          </mc:Fallback>
        </mc:AlternateContent>
      </w:r>
      <w:r w:rsidR="002A7DE1" w:rsidRPr="00B167DF">
        <w:rPr>
          <w:rFonts w:ascii="Palatino Linotype" w:eastAsia="Palatino Linotype" w:hAnsi="Palatino Linotype" w:cs="Palatino Linotype"/>
          <w:noProof/>
        </w:rPr>
        <w:drawing>
          <wp:inline distT="0" distB="0" distL="0" distR="0" wp14:anchorId="50FAB306" wp14:editId="3CB2D46E">
            <wp:extent cx="5612130" cy="907415"/>
            <wp:effectExtent l="0" t="0" r="0" b="0"/>
            <wp:docPr id="21401318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612130" cy="907415"/>
                    </a:xfrm>
                    <a:prstGeom prst="rect">
                      <a:avLst/>
                    </a:prstGeom>
                    <a:ln/>
                  </pic:spPr>
                </pic:pic>
              </a:graphicData>
            </a:graphic>
          </wp:inline>
        </w:drawing>
      </w:r>
      <w:r w:rsidR="002A7DE1" w:rsidRPr="00B167DF">
        <w:rPr>
          <w:noProof/>
        </w:rPr>
        <mc:AlternateContent>
          <mc:Choice Requires="wpg">
            <w:drawing>
              <wp:anchor distT="0" distB="0" distL="114300" distR="114300" simplePos="0" relativeHeight="251662336" behindDoc="0" locked="0" layoutInCell="1" hidden="0" allowOverlap="1" wp14:anchorId="338C6557" wp14:editId="2C188B3B">
                <wp:simplePos x="0" y="0"/>
                <wp:positionH relativeFrom="column">
                  <wp:posOffset>3035300</wp:posOffset>
                </wp:positionH>
                <wp:positionV relativeFrom="paragraph">
                  <wp:posOffset>241300</wp:posOffset>
                </wp:positionV>
                <wp:extent cx="226613" cy="206149"/>
                <wp:effectExtent l="0" t="0" r="0" b="0"/>
                <wp:wrapNone/>
                <wp:docPr id="2140131880" name="Conector recto de flecha 2140131880"/>
                <wp:cNvGraphicFramePr/>
                <a:graphic xmlns:a="http://schemas.openxmlformats.org/drawingml/2006/main">
                  <a:graphicData uri="http://schemas.microsoft.com/office/word/2010/wordprocessingShape">
                    <wps:wsp>
                      <wps:cNvCnPr/>
                      <wps:spPr>
                        <a:xfrm flipH="1">
                          <a:off x="5270794" y="3715026"/>
                          <a:ext cx="150413" cy="129949"/>
                        </a:xfrm>
                        <a:prstGeom prst="straightConnector1">
                          <a:avLst/>
                        </a:prstGeom>
                        <a:noFill/>
                        <a:ln w="254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3035300</wp:posOffset>
                </wp:positionH>
                <wp:positionV relativeFrom="paragraph">
                  <wp:posOffset>241300</wp:posOffset>
                </wp:positionV>
                <wp:extent cx="226613" cy="206149"/>
                <wp:effectExtent b="0" l="0" r="0" t="0"/>
                <wp:wrapNone/>
                <wp:docPr id="2140131880"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226613" cy="206149"/>
                        </a:xfrm>
                        <a:prstGeom prst="rect"/>
                        <a:ln/>
                      </pic:spPr>
                    </pic:pic>
                  </a:graphicData>
                </a:graphic>
              </wp:anchor>
            </w:drawing>
          </mc:Fallback>
        </mc:AlternateContent>
      </w:r>
    </w:p>
    <w:p w14:paraId="6B8B63F5"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Cabe señalar </w:t>
      </w:r>
      <w:proofErr w:type="gramStart"/>
      <w:r w:rsidRPr="00B167DF">
        <w:rPr>
          <w:rFonts w:ascii="Palatino Linotype" w:eastAsia="Palatino Linotype" w:hAnsi="Palatino Linotype" w:cs="Palatino Linotype"/>
        </w:rPr>
        <w:t>que</w:t>
      </w:r>
      <w:proofErr w:type="gramEnd"/>
      <w:r w:rsidRPr="00B167DF">
        <w:rPr>
          <w:rFonts w:ascii="Palatino Linotype" w:eastAsia="Palatino Linotype" w:hAnsi="Palatino Linotype" w:cs="Palatino Linotype"/>
        </w:rPr>
        <w:t xml:space="preserve"> de la consulta de participaciones a municipios, se genera un documento el cual puede descargarse en formato Excel.  </w:t>
      </w:r>
    </w:p>
    <w:p w14:paraId="5D86A823"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De igual forma se señala que la Constancia mensual de liquidación de participaciones de los municipios del Estado de México, se puede obtener por los propios municipios bajo la siguiente serie de pasos establecida en el portal del Registro Estatal de Trámites y Servicios:</w:t>
      </w:r>
    </w:p>
    <w:p w14:paraId="11ED238E" w14:textId="77777777" w:rsidR="00204857" w:rsidRPr="00B167DF" w:rsidRDefault="002A7DE1">
      <w:pPr>
        <w:spacing w:before="240" w:after="240" w:line="360" w:lineRule="auto"/>
        <w:jc w:val="both"/>
        <w:rPr>
          <w:rFonts w:ascii="Palatino Linotype" w:eastAsia="Palatino Linotype" w:hAnsi="Palatino Linotype" w:cs="Palatino Linotype"/>
          <w:b/>
        </w:rPr>
      </w:pPr>
      <w:r w:rsidRPr="00B167DF">
        <w:rPr>
          <w:rFonts w:ascii="Palatino Linotype" w:eastAsia="Palatino Linotype" w:hAnsi="Palatino Linotype" w:cs="Palatino Linotype"/>
          <w:b/>
        </w:rPr>
        <w:t>Constancia mensual de liquidación de participaciones de los municipios del Estado de México</w:t>
      </w:r>
    </w:p>
    <w:p w14:paraId="5179B416"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1. Deberá ingresar a la página web de la Secretaría de Finanzas: </w:t>
      </w:r>
      <w:hyperlink r:id="rId39">
        <w:r w:rsidRPr="00B167DF">
          <w:rPr>
            <w:rFonts w:ascii="Palatino Linotype" w:eastAsia="Palatino Linotype" w:hAnsi="Palatino Linotype" w:cs="Palatino Linotype"/>
            <w:u w:val="single"/>
          </w:rPr>
          <w:t>https://sfpya.edomexico.gob.mx/participaciones/</w:t>
        </w:r>
      </w:hyperlink>
      <w:r w:rsidRPr="00B167DF">
        <w:rPr>
          <w:rFonts w:ascii="Palatino Linotype" w:eastAsia="Palatino Linotype" w:hAnsi="Palatino Linotype" w:cs="Palatino Linotype"/>
        </w:rPr>
        <w:t xml:space="preserve"> </w:t>
      </w:r>
    </w:p>
    <w:p w14:paraId="44FE7DFE"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2. Una vez dentro de la página, seleccionar la opción de "Participaciones a Municipios".</w:t>
      </w:r>
    </w:p>
    <w:p w14:paraId="7234567B"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 3. Dar clic en al apartado de “Constancias de Participaciones”, aparecerá un cuadro con diferentes opciones (Municipio, año y mes), dependiendo del municipio y temporalidad. </w:t>
      </w:r>
    </w:p>
    <w:p w14:paraId="5CE6AB63"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4. Seleccione el municipio, año y mes del que desea obtener la constancia de liquidación de participaciones y oprima el botón "Generar". </w:t>
      </w:r>
    </w:p>
    <w:p w14:paraId="1849D4CD"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5. El sistema generar una constancia sin validez oficial, a modo de consulta. </w:t>
      </w:r>
    </w:p>
    <w:p w14:paraId="63757C29"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En caso de ser servidora o servidor público municipal y a fin de obtener la constancia de liquidación de participaciones con validez oficial, una vez generada la constancia sin validez oficial:</w:t>
      </w:r>
    </w:p>
    <w:p w14:paraId="2D2919DF"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6. Deberá presionar el botón "COMPROBANTE" situado en la parte inferior de la pantalla, deberá Introducir el "Usuario" y "Contraseña". </w:t>
      </w:r>
    </w:p>
    <w:p w14:paraId="1CD245D9"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7. Seleccionar la opción “Constancias de liquidación oficiales”. </w:t>
      </w:r>
    </w:p>
    <w:p w14:paraId="49CE5466" w14:textId="77777777" w:rsidR="00204857" w:rsidRPr="00B167DF" w:rsidRDefault="002A7DE1">
      <w:pPr>
        <w:spacing w:before="240" w:after="240" w:line="276"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8. Por último, seleccionar el mes deseado y el sistema generará la constancia con sello digital.</w:t>
      </w:r>
    </w:p>
    <w:p w14:paraId="0B889A3C"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Cabe resaltar que al ejecutar los pasos establecidos en los numerales del 1 al 5 este Organismo Garante logró obtener la siguiente constancia de liquidación de participaciones en la que se puede observar el monto por el concepto de participaciones en el que se aprecia el monto por Impuesto Sobre la Renta, tal como se ilustra en la siguiente imagen: </w:t>
      </w:r>
    </w:p>
    <w:p w14:paraId="1291A6B9" w14:textId="77777777" w:rsidR="002C004E" w:rsidRPr="00B167DF" w:rsidRDefault="002C004E">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44A21AFE" wp14:editId="19F263D5">
                <wp:simplePos x="0" y="0"/>
                <wp:positionH relativeFrom="margin">
                  <wp:align>right</wp:align>
                </wp:positionH>
                <wp:positionV relativeFrom="paragraph">
                  <wp:posOffset>34290</wp:posOffset>
                </wp:positionV>
                <wp:extent cx="5505450" cy="30765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05450" cy="3076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33E9A" id="Conector recto 1"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7pt" to="815.8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" strokecolor="black [3200]" strokeweight="2pt">
                <v:shadow on="t" color="black" opacity="24903f" origin=",.5" offset="0,.55556mm"/>
                <w10:wrap anchorx="margin"/>
              </v:line>
            </w:pict>
          </mc:Fallback>
        </mc:AlternateContent>
      </w:r>
    </w:p>
    <w:p w14:paraId="78B5C026" w14:textId="77777777" w:rsidR="00204857" w:rsidRPr="00B167DF" w:rsidRDefault="002A7DE1">
      <w:pPr>
        <w:spacing w:before="240" w:after="240" w:line="360" w:lineRule="auto"/>
        <w:jc w:val="center"/>
        <w:rPr>
          <w:rFonts w:ascii="Palatino Linotype" w:eastAsia="Palatino Linotype" w:hAnsi="Palatino Linotype" w:cs="Palatino Linotype"/>
        </w:rPr>
      </w:pPr>
      <w:r w:rsidRPr="00B167DF">
        <w:rPr>
          <w:noProof/>
        </w:rPr>
        <w:lastRenderedPageBreak/>
        <w:drawing>
          <wp:inline distT="0" distB="0" distL="0" distR="0" wp14:anchorId="02ECA8E4" wp14:editId="4C17E362">
            <wp:extent cx="5040000" cy="6547864"/>
            <wp:effectExtent l="0" t="0" r="0" b="0"/>
            <wp:docPr id="21401318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5040000" cy="6547864"/>
                    </a:xfrm>
                    <a:prstGeom prst="rect">
                      <a:avLst/>
                    </a:prstGeom>
                    <a:ln/>
                  </pic:spPr>
                </pic:pic>
              </a:graphicData>
            </a:graphic>
          </wp:inline>
        </w:drawing>
      </w:r>
    </w:p>
    <w:p w14:paraId="6F9973CD" w14:textId="77777777" w:rsidR="00204857" w:rsidRPr="00B167DF" w:rsidRDefault="002A7DE1">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Con base en lo previo, se colige que 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cuenta con facultades para generar, poseer y/o administrar la información solicitada en los requerimientos en </w:t>
      </w:r>
      <w:r w:rsidRPr="00B167DF">
        <w:rPr>
          <w:rFonts w:ascii="Palatino Linotype" w:eastAsia="Palatino Linotype" w:hAnsi="Palatino Linotype" w:cs="Palatino Linotype"/>
        </w:rPr>
        <w:lastRenderedPageBreak/>
        <w:t>estudio, en razón de que las participaciones fueron recibidas y formaron parte de la hacienda pública municipal, en consecuencia es procedente ordenar la búsqueda exhaustiva y razonable en las áreas que resulten competentes, de acuerdo con sus atribuciones para conocer de la información, entre las cuales no podrá excluirse a la Tesorería Municipal, y se proceda a la entrega del reporte emitido por la Secretaría de Finanzas del Estado de México, en el que se especifique el monto del ISR que se obtuvo en devolución del uno enero de dos mil quince al treinta de agosto de dos mil veinticuatro, así como el reporte emitido por el software de contabilidad gubernamental en el que se pueda apreciar el control del saldo pendiente de recuperar del ISR participable, al treinta de agosto de dos mil veinticuatro, preferentemente en formato PDF, o en el que se hubiera generado.</w:t>
      </w:r>
    </w:p>
    <w:p w14:paraId="6CFC855E" w14:textId="77777777" w:rsidR="00204857" w:rsidRPr="00B167DF" w:rsidRDefault="002A7DE1" w:rsidP="00986510">
      <w:pPr>
        <w:spacing w:before="240" w:after="240" w:line="360" w:lineRule="auto"/>
        <w:jc w:val="both"/>
        <w:rPr>
          <w:rFonts w:ascii="Palatino Linotype" w:eastAsia="Palatino Linotype" w:hAnsi="Palatino Linotype" w:cs="Palatino Linotype"/>
        </w:rPr>
      </w:pPr>
      <w:bookmarkStart w:id="9" w:name="_heading=h.lnxbz9" w:colFirst="0" w:colLast="0"/>
      <w:bookmarkEnd w:id="9"/>
      <w:r w:rsidRPr="00B167DF">
        <w:rPr>
          <w:rFonts w:ascii="Palatino Linotype" w:eastAsia="Palatino Linotype" w:hAnsi="Palatino Linotype" w:cs="Palatino Linotype"/>
        </w:rPr>
        <w:t>Asimismo, se precisa que para el caso de no localizar información respecto del reporte emitido por el software de contabilidad gubernamental en el que se pueda apreciar el control del saldo pendiente de recuperar del ISR participable, bastará con que así se haga del conocimiento de la persona solicitante para tener por colmado el requerimiento de información, en términos de lo dispuesto por el artículo 19, párrafo segundo de la Ley de Transparencia y Acceso a la Información Pública del Est</w:t>
      </w:r>
      <w:r w:rsidR="00986510" w:rsidRPr="00B167DF">
        <w:rPr>
          <w:rFonts w:ascii="Palatino Linotype" w:eastAsia="Palatino Linotype" w:hAnsi="Palatino Linotype" w:cs="Palatino Linotype"/>
        </w:rPr>
        <w:t>ado de México y Municipios, referido con antelación.</w:t>
      </w:r>
    </w:p>
    <w:p w14:paraId="2E9557C4" w14:textId="77777777" w:rsidR="00752E71" w:rsidRPr="00B167DF" w:rsidRDefault="00752E71" w:rsidP="00752E71">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Finalmente, respecto a la modalidad de entrega, es imprescindible mencionar que el acceso a la información debe darse en la medida de entrega y de </w:t>
      </w:r>
      <w:r w:rsidR="0064504C" w:rsidRPr="00B167DF">
        <w:rPr>
          <w:rFonts w:ascii="Palatino Linotype" w:eastAsia="Palatino Linotype" w:hAnsi="Palatino Linotype" w:cs="Palatino Linotype"/>
        </w:rPr>
        <w:t>envío</w:t>
      </w:r>
      <w:r w:rsidRPr="00B167DF">
        <w:rPr>
          <w:rFonts w:ascii="Palatino Linotype" w:eastAsia="Palatino Linotype" w:hAnsi="Palatino Linotype" w:cs="Palatino Linotype"/>
        </w:rPr>
        <w:t xml:space="preserve"> elegidos por las personas solicitantes, según dispone el artículo 164 de la Ley de Transparencia y Acceso a la Información Pública del Estado de México y </w:t>
      </w:r>
      <w:proofErr w:type="gramStart"/>
      <w:r w:rsidRPr="00B167DF">
        <w:rPr>
          <w:rFonts w:ascii="Palatino Linotype" w:eastAsia="Palatino Linotype" w:hAnsi="Palatino Linotype" w:cs="Palatino Linotype"/>
        </w:rPr>
        <w:t>Municipios,  que</w:t>
      </w:r>
      <w:proofErr w:type="gramEnd"/>
      <w:r w:rsidRPr="00B167DF">
        <w:rPr>
          <w:rFonts w:ascii="Palatino Linotype" w:eastAsia="Palatino Linotype" w:hAnsi="Palatino Linotype" w:cs="Palatino Linotype"/>
        </w:rPr>
        <w:t xml:space="preserve"> es del tenor literal siguiente:</w:t>
      </w:r>
    </w:p>
    <w:p w14:paraId="3254D458" w14:textId="77777777" w:rsidR="00752E71" w:rsidRPr="00B167DF" w:rsidRDefault="00752E71" w:rsidP="00752E71">
      <w:pPr>
        <w:spacing w:before="120" w:after="120"/>
        <w:ind w:left="851" w:right="902"/>
        <w:jc w:val="both"/>
        <w:rPr>
          <w:rFonts w:ascii="Palatino Linotype" w:eastAsia="Palatino Linotype" w:hAnsi="Palatino Linotype" w:cs="Palatino Linotype"/>
          <w:i/>
          <w:sz w:val="22"/>
        </w:rPr>
      </w:pPr>
      <w:proofErr w:type="gramStart"/>
      <w:r w:rsidRPr="00B167DF">
        <w:rPr>
          <w:rFonts w:ascii="Palatino Linotype" w:eastAsia="Palatino Linotype" w:hAnsi="Palatino Linotype" w:cs="Palatino Linotype"/>
          <w:i/>
          <w:sz w:val="22"/>
        </w:rPr>
        <w:lastRenderedPageBreak/>
        <w:t>”</w:t>
      </w:r>
      <w:r w:rsidRPr="00B167DF">
        <w:rPr>
          <w:rFonts w:ascii="Palatino Linotype" w:hAnsi="Palatino Linotype"/>
          <w:b/>
          <w:i/>
          <w:sz w:val="22"/>
        </w:rPr>
        <w:t>Artículo</w:t>
      </w:r>
      <w:proofErr w:type="gramEnd"/>
      <w:r w:rsidRPr="00B167DF">
        <w:rPr>
          <w:rFonts w:ascii="Palatino Linotype" w:hAnsi="Palatino Linotype"/>
          <w:b/>
          <w:i/>
          <w:sz w:val="22"/>
        </w:rPr>
        <w:t xml:space="preserve"> 164</w:t>
      </w:r>
      <w:r w:rsidRPr="00B167DF">
        <w:rPr>
          <w:rFonts w:ascii="Palatino Linotype" w:hAnsi="Palatino Linotype"/>
          <w:i/>
          <w:sz w:val="22"/>
        </w:rPr>
        <w:t>. El acceso se dará en la modalidad de entrega y, en su caso, de envío elegidos por el solicitante. Cuando la información no pueda entregarse o enviarse en la modalidad solicitada, el sujeto obligado deberá ofrecer otra u otras modalidades de entrega.</w:t>
      </w:r>
    </w:p>
    <w:p w14:paraId="7B62FB26" w14:textId="77777777" w:rsidR="00752E71" w:rsidRPr="00B167DF" w:rsidRDefault="00752E71" w:rsidP="00752E71">
      <w:pPr>
        <w:spacing w:before="120" w:after="120"/>
        <w:ind w:left="851" w:right="902"/>
        <w:rPr>
          <w:rFonts w:ascii="Palatino Linotype" w:eastAsia="Palatino Linotype" w:hAnsi="Palatino Linotype" w:cs="Palatino Linotype"/>
          <w:i/>
          <w:sz w:val="22"/>
        </w:rPr>
      </w:pPr>
      <w:r w:rsidRPr="00B167DF">
        <w:rPr>
          <w:rFonts w:ascii="Palatino Linotype" w:hAnsi="Palatino Linotype"/>
          <w:i/>
          <w:sz w:val="22"/>
        </w:rPr>
        <w:t>En cualquier caso, se deberá fundar y motivar la necesidad de ofrecer otras modalidades.”</w:t>
      </w:r>
    </w:p>
    <w:p w14:paraId="1F49D013" w14:textId="77777777" w:rsidR="00752E71" w:rsidRPr="00B167DF" w:rsidRDefault="00752E71" w:rsidP="00752E7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En el caso concreto, dado que la persona solicitante señaló como modalidad de entrega, cualquier otro medio incluido los electrónicos y correo electrónico, tal y como se precisó en el antecedente 1 de la presente resolución, y en los motivos de inconformidad alegados en el recurso de revisión que se resuelve, insistió en la entrega a través de correo electrónico, se estima que la información debe entregarse a través del SAIMEX y correo electrónico.</w:t>
      </w:r>
    </w:p>
    <w:p w14:paraId="6DC038B3"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De lo hasta aquí expuesto, se concluye que los motivos de inconformidad de la parte </w:t>
      </w:r>
      <w:r w:rsidRPr="00B167DF">
        <w:rPr>
          <w:rFonts w:ascii="Palatino Linotype" w:eastAsia="Palatino Linotype" w:hAnsi="Palatino Linotype" w:cs="Palatino Linotype"/>
          <w:b/>
        </w:rPr>
        <w:t xml:space="preserve">Recurrente </w:t>
      </w:r>
      <w:r w:rsidRPr="00B167DF">
        <w:rPr>
          <w:rFonts w:ascii="Palatino Linotype" w:eastAsia="Palatino Linotype" w:hAnsi="Palatino Linotype" w:cs="Palatino Linotype"/>
        </w:rPr>
        <w:t xml:space="preserve">devienen parcialmente fundados, siendo procedente </w:t>
      </w:r>
      <w:r w:rsidRPr="00B167DF">
        <w:rPr>
          <w:rFonts w:ascii="Palatino Linotype" w:eastAsia="Palatino Linotype" w:hAnsi="Palatino Linotype" w:cs="Palatino Linotype"/>
          <w:i/>
        </w:rPr>
        <w:t xml:space="preserve">Revocar </w:t>
      </w:r>
      <w:r w:rsidRPr="00B167DF">
        <w:rPr>
          <w:rFonts w:ascii="Palatino Linotype" w:eastAsia="Palatino Linotype" w:hAnsi="Palatino Linotype" w:cs="Palatino Linotype"/>
        </w:rPr>
        <w:t xml:space="preserve">la respuesta proporcionada por el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24C1607"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Quinto. Versión Pública.</w:t>
      </w:r>
      <w:r w:rsidRPr="00B167DF">
        <w:rPr>
          <w:rFonts w:ascii="Palatino Linotype" w:eastAsia="Palatino Linotype" w:hAnsi="Palatino Linotype" w:cs="Palatino Linotype"/>
          <w:sz w:val="28"/>
          <w:szCs w:val="28"/>
        </w:rPr>
        <w:t xml:space="preserve"> </w:t>
      </w:r>
      <w:r w:rsidRPr="00B167DF">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3BF5CCB5"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Lo anterior de conformidad con lo que señalan los artículos 3 fracciones IX, XX, XXI y XLV, 91, 132, 137 y 143, fracción I de la Ley de Transparencia y Acceso a la Información Pública del Estado de México y Municipios que establecen:</w:t>
      </w:r>
    </w:p>
    <w:p w14:paraId="5FBAFE24"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Artículo 3</w:t>
      </w:r>
      <w:r w:rsidRPr="00B167DF">
        <w:rPr>
          <w:rFonts w:ascii="Palatino Linotype" w:eastAsia="Palatino Linotype" w:hAnsi="Palatino Linotype" w:cs="Palatino Linotype"/>
          <w:i/>
          <w:sz w:val="22"/>
          <w:szCs w:val="22"/>
        </w:rPr>
        <w:t>. Para los efectos de la presente Ley se entenderá por:</w:t>
      </w:r>
    </w:p>
    <w:p w14:paraId="23B49960"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626CB9BC"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IX. Datos personales</w:t>
      </w:r>
      <w:r w:rsidRPr="00B167D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01E548A"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XX. Información clasificada</w:t>
      </w:r>
      <w:r w:rsidRPr="00B167DF">
        <w:rPr>
          <w:rFonts w:ascii="Palatino Linotype" w:eastAsia="Palatino Linotype" w:hAnsi="Palatino Linotype" w:cs="Palatino Linotype"/>
          <w:i/>
          <w:sz w:val="22"/>
          <w:szCs w:val="22"/>
        </w:rPr>
        <w:t>: Aquella considerada por la presente Ley como reservada o confidencial;</w:t>
      </w:r>
    </w:p>
    <w:p w14:paraId="269DF38C"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XXI. Información confidencial: </w:t>
      </w:r>
      <w:r w:rsidRPr="00B167DF">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950B4B"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XLV. Versión pública:</w:t>
      </w:r>
      <w:r w:rsidRPr="00B167D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4DEFE69"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69D2C487"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91.</w:t>
      </w:r>
      <w:r w:rsidRPr="00B167D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5CA6CB2"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132.</w:t>
      </w:r>
      <w:r w:rsidRPr="00B167DF">
        <w:rPr>
          <w:rFonts w:ascii="Palatino Linotype" w:eastAsia="Palatino Linotype" w:hAnsi="Palatino Linotype" w:cs="Palatino Linotype"/>
          <w:i/>
          <w:sz w:val="22"/>
          <w:szCs w:val="22"/>
        </w:rPr>
        <w:t xml:space="preserve"> La clasificación de la información se llevará a cabo en el momento en que:</w:t>
      </w:r>
    </w:p>
    <w:p w14:paraId="51B8D9F4"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Se reciba una solicitud de acceso a la información;</w:t>
      </w:r>
    </w:p>
    <w:p w14:paraId="3B8E580F"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w:t>
      </w:r>
      <w:r w:rsidRPr="00B167DF">
        <w:rPr>
          <w:rFonts w:ascii="Palatino Linotype" w:eastAsia="Palatino Linotype" w:hAnsi="Palatino Linotype" w:cs="Palatino Linotype"/>
          <w:i/>
          <w:sz w:val="22"/>
          <w:szCs w:val="22"/>
        </w:rPr>
        <w:t xml:space="preserve"> Se determine mediante resolución de autoridad competente; o</w:t>
      </w:r>
    </w:p>
    <w:p w14:paraId="5ED4F8EF"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III.</w:t>
      </w:r>
      <w:r w:rsidRPr="00B167DF">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B5EDF96"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71B45382"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137.</w:t>
      </w:r>
      <w:r w:rsidRPr="00B167D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w:t>
      </w:r>
      <w:r w:rsidRPr="00B167DF">
        <w:rPr>
          <w:rFonts w:ascii="Palatino Linotype" w:eastAsia="Palatino Linotype" w:hAnsi="Palatino Linotype" w:cs="Palatino Linotype"/>
          <w:i/>
          <w:sz w:val="22"/>
          <w:szCs w:val="22"/>
        </w:rPr>
        <w:lastRenderedPageBreak/>
        <w:t>pública en la que se testen las partes o secciones clasificadas, indicando su contenido de manera genérica y fundando y motivando su clasificación.</w:t>
      </w:r>
    </w:p>
    <w:p w14:paraId="2DF49026" w14:textId="77777777" w:rsidR="00204857" w:rsidRPr="00B167DF" w:rsidRDefault="002A7DE1">
      <w:pPr>
        <w:spacing w:before="120" w:after="120"/>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w:t>
      </w:r>
    </w:p>
    <w:p w14:paraId="1A4AC744"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Artículo 143</w:t>
      </w:r>
      <w:r w:rsidRPr="00B167D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1CB3DCA"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D0E502A"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92636AC"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A0C2F09" w14:textId="77777777" w:rsidR="00204857" w:rsidRPr="00B167DF" w:rsidRDefault="002A7DE1">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 xml:space="preserve">Respecto a las formalidades que deberá llevar el acuerdo de clasificación que deberá emitir 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70756234"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 “Quincuagésimo. </w:t>
      </w:r>
      <w:r w:rsidRPr="00B167DF">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2456158" w14:textId="77777777" w:rsidR="00204857" w:rsidRPr="00B167DF" w:rsidRDefault="002A7DE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Quincuagésimo primero. </w:t>
      </w:r>
      <w:r w:rsidRPr="00B167DF">
        <w:rPr>
          <w:rFonts w:ascii="Palatino Linotype" w:eastAsia="Palatino Linotype" w:hAnsi="Palatino Linotype" w:cs="Palatino Linotype"/>
          <w:i/>
          <w:sz w:val="22"/>
          <w:szCs w:val="22"/>
        </w:rPr>
        <w:t xml:space="preserve">Toda acta del Comité de Transparencia deberá contener: </w:t>
      </w:r>
    </w:p>
    <w:p w14:paraId="1AB461EF"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El número de sesión y fecha; </w:t>
      </w:r>
    </w:p>
    <w:p w14:paraId="151DD60F"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w:t>
      </w:r>
      <w:r w:rsidRPr="00B167DF">
        <w:rPr>
          <w:rFonts w:ascii="Palatino Linotype" w:eastAsia="Palatino Linotype" w:hAnsi="Palatino Linotype" w:cs="Palatino Linotype"/>
          <w:i/>
          <w:sz w:val="22"/>
          <w:szCs w:val="22"/>
        </w:rPr>
        <w:t xml:space="preserve">. El nombre del área que solicitó la clasificación de información; </w:t>
      </w:r>
    </w:p>
    <w:p w14:paraId="34A9B4D2"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III</w:t>
      </w:r>
      <w:r w:rsidRPr="00B167DF">
        <w:rPr>
          <w:rFonts w:ascii="Palatino Linotype" w:eastAsia="Palatino Linotype" w:hAnsi="Palatino Linotype" w:cs="Palatino Linotype"/>
          <w:i/>
          <w:sz w:val="22"/>
          <w:szCs w:val="22"/>
        </w:rPr>
        <w:t xml:space="preserve">. La fundamentación legal y motivación correspondiente; </w:t>
      </w:r>
    </w:p>
    <w:p w14:paraId="6D8ABF0B"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IV</w:t>
      </w:r>
      <w:r w:rsidRPr="00B167DF">
        <w:rPr>
          <w:rFonts w:ascii="Palatino Linotype" w:eastAsia="Palatino Linotype" w:hAnsi="Palatino Linotype" w:cs="Palatino Linotype"/>
          <w:i/>
          <w:sz w:val="22"/>
          <w:szCs w:val="22"/>
        </w:rPr>
        <w:t xml:space="preserve">. La resolución o resoluciones aprobadas; y </w:t>
      </w:r>
    </w:p>
    <w:p w14:paraId="7ECFF244"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V</w:t>
      </w:r>
      <w:r w:rsidRPr="00B167DF">
        <w:rPr>
          <w:rFonts w:ascii="Palatino Linotype" w:eastAsia="Palatino Linotype" w:hAnsi="Palatino Linotype" w:cs="Palatino Linotype"/>
          <w:i/>
          <w:sz w:val="22"/>
          <w:szCs w:val="22"/>
        </w:rPr>
        <w:t xml:space="preserve">. La rúbrica o firma digital de cada integrante del Comité de Transparencia. </w:t>
      </w:r>
    </w:p>
    <w:p w14:paraId="0A8E22DA" w14:textId="77777777" w:rsidR="00204857" w:rsidRPr="00B167DF" w:rsidRDefault="002A7DE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09DBBA53"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Los motivos y razonamientos que sustenten la confirmación o modificación de la prueba de daño;</w:t>
      </w:r>
    </w:p>
    <w:p w14:paraId="4D87AD4F"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II</w:t>
      </w:r>
      <w:r w:rsidRPr="00B167DF">
        <w:rPr>
          <w:rFonts w:ascii="Palatino Linotype" w:eastAsia="Palatino Linotype" w:hAnsi="Palatino Linotype" w:cs="Palatino Linotype"/>
          <w:i/>
          <w:sz w:val="22"/>
          <w:szCs w:val="22"/>
        </w:rPr>
        <w:t>. Descripción de las partes o secciones reservadas, en caso de clasificación parcial</w:t>
      </w:r>
      <w:r w:rsidRPr="00B167DF">
        <w:rPr>
          <w:rFonts w:ascii="Palatino Linotype" w:eastAsia="Palatino Linotype" w:hAnsi="Palatino Linotype" w:cs="Palatino Linotype"/>
          <w:b/>
          <w:i/>
          <w:sz w:val="22"/>
          <w:szCs w:val="22"/>
        </w:rPr>
        <w:t xml:space="preserve">; </w:t>
      </w:r>
    </w:p>
    <w:p w14:paraId="6910A183"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III.</w:t>
      </w:r>
      <w:r w:rsidRPr="00B167DF">
        <w:rPr>
          <w:rFonts w:ascii="Palatino Linotype" w:eastAsia="Palatino Linotype" w:hAnsi="Palatino Linotype" w:cs="Palatino Linotype"/>
          <w:i/>
          <w:sz w:val="22"/>
          <w:szCs w:val="22"/>
        </w:rPr>
        <w:t xml:space="preserve"> El periodo por el que mantendrá su clasificación y fecha de expiración; y </w:t>
      </w:r>
    </w:p>
    <w:p w14:paraId="3E111B6C" w14:textId="77777777" w:rsidR="00204857" w:rsidRPr="00B167DF" w:rsidRDefault="002A7DE1">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IV.</w:t>
      </w:r>
      <w:r w:rsidRPr="00B167DF">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155C93D" w14:textId="77777777" w:rsidR="00204857" w:rsidRPr="00B167DF" w:rsidRDefault="002A7DE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315FC2E" w14:textId="77777777" w:rsidR="00204857" w:rsidRPr="00B167DF" w:rsidRDefault="002A7DE1">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3D785471"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4C4C43D3" w14:textId="77777777" w:rsidR="00204857" w:rsidRPr="00B167DF" w:rsidRDefault="002A7DE1">
      <w:pPr>
        <w:spacing w:before="120" w:after="12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r w:rsidRPr="00B167DF">
        <w:rPr>
          <w:rFonts w:ascii="Palatino Linotype" w:eastAsia="Palatino Linotype" w:hAnsi="Palatino Linotype" w:cs="Palatino Linotype"/>
          <w:b/>
          <w:i/>
          <w:sz w:val="22"/>
          <w:szCs w:val="22"/>
        </w:rPr>
        <w:t>Quincuagésimo segundo</w:t>
      </w:r>
      <w:r w:rsidRPr="00B167DF">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4D2C826" w14:textId="77777777" w:rsidR="00204857" w:rsidRPr="00B167DF" w:rsidRDefault="002A7DE1">
      <w:pPr>
        <w:spacing w:before="120" w:after="12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555331F" w14:textId="77777777" w:rsidR="00204857" w:rsidRPr="00B167DF" w:rsidRDefault="002A7DE1">
      <w:pPr>
        <w:spacing w:before="120" w:after="120"/>
        <w:ind w:left="1134"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096F384" w14:textId="77777777" w:rsidR="00204857" w:rsidRPr="00B167DF" w:rsidRDefault="002A7DE1">
      <w:pPr>
        <w:spacing w:before="120" w:after="120"/>
        <w:ind w:left="1134"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w:t>
      </w:r>
      <w:r w:rsidRPr="00B167DF">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A090530" w14:textId="77777777" w:rsidR="00204857" w:rsidRPr="00B167DF" w:rsidRDefault="002A7DE1">
      <w:pPr>
        <w:spacing w:before="120" w:after="120"/>
        <w:ind w:left="1134"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III.</w:t>
      </w:r>
      <w:r w:rsidRPr="00B167DF">
        <w:rPr>
          <w:rFonts w:ascii="Palatino Linotype" w:eastAsia="Palatino Linotype" w:hAnsi="Palatino Linotype" w:cs="Palatino Linotype"/>
          <w:i/>
          <w:sz w:val="22"/>
          <w:szCs w:val="22"/>
        </w:rPr>
        <w:t xml:space="preserve"> Señalar las personas o instancias autorizadas a acceder a la información clasificada.</w:t>
      </w:r>
    </w:p>
    <w:p w14:paraId="7718F48D" w14:textId="77777777" w:rsidR="00204857" w:rsidRPr="00B167DF" w:rsidRDefault="002A7DE1">
      <w:pPr>
        <w:spacing w:before="120" w:after="12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36AB791" w14:textId="77777777" w:rsidR="00204857" w:rsidRPr="00B167DF" w:rsidRDefault="002A7DE1">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w:t>
      </w:r>
    </w:p>
    <w:p w14:paraId="0010F059" w14:textId="77777777" w:rsidR="00204857" w:rsidRPr="00B167DF" w:rsidRDefault="002A7DE1">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 xml:space="preserve">Quincuagésimo cuarto. </w:t>
      </w:r>
      <w:r w:rsidRPr="00B167DF">
        <w:rPr>
          <w:rFonts w:ascii="Palatino Linotype" w:eastAsia="Palatino Linotype" w:hAnsi="Palatino Linotype" w:cs="Palatino Linotype"/>
          <w:i/>
          <w:sz w:val="22"/>
          <w:szCs w:val="22"/>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w:t>
      </w:r>
      <w:r w:rsidRPr="00B167DF">
        <w:rPr>
          <w:rFonts w:ascii="Palatino Linotype" w:eastAsia="Palatino Linotype" w:hAnsi="Palatino Linotype" w:cs="Palatino Linotype"/>
          <w:i/>
          <w:sz w:val="22"/>
          <w:szCs w:val="22"/>
        </w:rPr>
        <w:lastRenderedPageBreak/>
        <w:t>formen parte, la fecha y sesión del Comité de Transparencia en la que se confirmó dicha clasificación.</w:t>
      </w:r>
      <w:r w:rsidRPr="00B167DF">
        <w:rPr>
          <w:rFonts w:ascii="Palatino Linotype" w:eastAsia="Palatino Linotype" w:hAnsi="Palatino Linotype" w:cs="Palatino Linotype"/>
          <w:b/>
          <w:i/>
          <w:sz w:val="22"/>
          <w:szCs w:val="22"/>
        </w:rPr>
        <w:t xml:space="preserve"> </w:t>
      </w:r>
    </w:p>
    <w:p w14:paraId="24E1426D"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 xml:space="preserve">Quincuagésimo quinto. </w:t>
      </w:r>
      <w:r w:rsidRPr="00B167DF">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B167DF">
        <w:rPr>
          <w:rFonts w:ascii="Palatino Linotype" w:eastAsia="Palatino Linotype" w:hAnsi="Palatino Linotype" w:cs="Palatino Linotype"/>
          <w:i/>
          <w:sz w:val="22"/>
          <w:szCs w:val="22"/>
        </w:rPr>
        <w:t>testado</w:t>
      </w:r>
      <w:proofErr w:type="spellEnd"/>
      <w:r w:rsidRPr="00B167D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0BE1CFF" w14:textId="77777777" w:rsidR="00204857" w:rsidRPr="00B167DF" w:rsidRDefault="002A7DE1">
      <w:pPr>
        <w:spacing w:before="120" w:after="120"/>
        <w:ind w:left="851" w:right="902"/>
        <w:jc w:val="both"/>
        <w:rPr>
          <w:rFonts w:ascii="Palatino Linotype" w:eastAsia="Palatino Linotype" w:hAnsi="Palatino Linotype" w:cs="Palatino Linotype"/>
          <w:b/>
          <w:i/>
          <w:sz w:val="22"/>
          <w:szCs w:val="22"/>
        </w:rPr>
      </w:pPr>
      <w:r w:rsidRPr="00B167DF">
        <w:rPr>
          <w:rFonts w:ascii="Palatino Linotype" w:eastAsia="Palatino Linotype" w:hAnsi="Palatino Linotype" w:cs="Palatino Linotype"/>
          <w:b/>
          <w:i/>
          <w:sz w:val="22"/>
          <w:szCs w:val="22"/>
        </w:rPr>
        <w:t>...</w:t>
      </w:r>
    </w:p>
    <w:p w14:paraId="486B6277"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Quincuagésimo séptimo</w:t>
      </w:r>
      <w:r w:rsidRPr="00B167D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AAD4493"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w:t>
      </w:r>
      <w:r w:rsidRPr="00B167DF">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42C90F8"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w:t>
      </w:r>
      <w:r w:rsidRPr="00B167DF">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CC26490" w14:textId="77777777" w:rsidR="00204857" w:rsidRPr="00B167DF" w:rsidRDefault="002A7DE1">
      <w:pPr>
        <w:spacing w:before="120" w:after="120"/>
        <w:ind w:left="1134"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III</w:t>
      </w:r>
      <w:r w:rsidRPr="00B167DF">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898ECC9"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DC0BA41" w14:textId="77777777" w:rsidR="00204857" w:rsidRPr="00B167DF" w:rsidRDefault="002A7DE1">
      <w:pPr>
        <w:spacing w:before="120" w:after="120"/>
        <w:ind w:left="851" w:right="902"/>
        <w:jc w:val="both"/>
        <w:rPr>
          <w:rFonts w:ascii="Palatino Linotype" w:eastAsia="Palatino Linotype" w:hAnsi="Palatino Linotype" w:cs="Palatino Linotype"/>
          <w:i/>
          <w:sz w:val="22"/>
          <w:szCs w:val="22"/>
        </w:rPr>
      </w:pPr>
      <w:r w:rsidRPr="00B167DF">
        <w:rPr>
          <w:rFonts w:ascii="Palatino Linotype" w:eastAsia="Palatino Linotype" w:hAnsi="Palatino Linotype" w:cs="Palatino Linotype"/>
          <w:b/>
          <w:i/>
          <w:sz w:val="22"/>
          <w:szCs w:val="22"/>
        </w:rPr>
        <w:t>Quincuagésimo octavo</w:t>
      </w:r>
      <w:r w:rsidRPr="00B167DF">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5B62448"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479AC1BC" w14:textId="77777777" w:rsidR="00204857" w:rsidRPr="00B167DF" w:rsidRDefault="002A7DE1">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167DF">
        <w:rPr>
          <w:rFonts w:ascii="Palatino Linotype" w:eastAsia="Palatino Linotype" w:hAnsi="Palatino Linotype" w:cs="Palatino Linotype"/>
          <w:b/>
        </w:rPr>
        <w:lastRenderedPageBreak/>
        <w:t>III. R E S U E L V E</w:t>
      </w:r>
    </w:p>
    <w:p w14:paraId="17073280" w14:textId="77777777" w:rsidR="00204857" w:rsidRPr="00B167DF" w:rsidRDefault="002A7DE1">
      <w:pPr>
        <w:spacing w:before="240" w:after="240" w:line="360" w:lineRule="auto"/>
        <w:jc w:val="both"/>
        <w:rPr>
          <w:rFonts w:ascii="Palatino Linotype" w:eastAsia="Palatino Linotype" w:hAnsi="Palatino Linotype" w:cs="Palatino Linotype"/>
        </w:rPr>
      </w:pPr>
      <w:bookmarkStart w:id="10" w:name="_heading=h.26in1rg" w:colFirst="0" w:colLast="0"/>
      <w:bookmarkEnd w:id="10"/>
      <w:r w:rsidRPr="00B167DF">
        <w:rPr>
          <w:rFonts w:ascii="Palatino Linotype" w:eastAsia="Palatino Linotype" w:hAnsi="Palatino Linotype" w:cs="Palatino Linotype"/>
          <w:b/>
        </w:rPr>
        <w:t xml:space="preserve">Primero. </w:t>
      </w:r>
      <w:r w:rsidRPr="00B167DF">
        <w:rPr>
          <w:rFonts w:ascii="Palatino Linotype" w:eastAsia="Palatino Linotype" w:hAnsi="Palatino Linotype" w:cs="Palatino Linotype"/>
        </w:rPr>
        <w:t xml:space="preserve">Resultan </w:t>
      </w:r>
      <w:r w:rsidRPr="00B167DF">
        <w:rPr>
          <w:rFonts w:ascii="Palatino Linotype" w:eastAsia="Palatino Linotype" w:hAnsi="Palatino Linotype" w:cs="Palatino Linotype"/>
          <w:b/>
        </w:rPr>
        <w:t>parcialmente fundadas</w:t>
      </w:r>
      <w:r w:rsidRPr="00B167DF">
        <w:rPr>
          <w:rFonts w:ascii="Palatino Linotype" w:eastAsia="Palatino Linotype" w:hAnsi="Palatino Linotype" w:cs="Palatino Linotype"/>
        </w:rPr>
        <w:t xml:space="preserve"> las razones o motivos de inconformidad hechos valer por la parte</w:t>
      </w:r>
      <w:r w:rsidRPr="00B167DF">
        <w:rPr>
          <w:rFonts w:ascii="Palatino Linotype" w:eastAsia="Palatino Linotype" w:hAnsi="Palatino Linotype" w:cs="Palatino Linotype"/>
          <w:b/>
        </w:rPr>
        <w:t xml:space="preserve"> Recurrente</w:t>
      </w:r>
      <w:r w:rsidRPr="00B167DF">
        <w:rPr>
          <w:rFonts w:ascii="Palatino Linotype" w:eastAsia="Palatino Linotype" w:hAnsi="Palatino Linotype" w:cs="Palatino Linotype"/>
        </w:rPr>
        <w:t xml:space="preserve"> en el recurso de revisión </w:t>
      </w:r>
      <w:r w:rsidRPr="00B167DF">
        <w:rPr>
          <w:rFonts w:ascii="Palatino Linotype" w:eastAsia="Palatino Linotype" w:hAnsi="Palatino Linotype" w:cs="Palatino Linotype"/>
          <w:b/>
        </w:rPr>
        <w:t>05794/INFOEM/IP/RR/2024</w:t>
      </w:r>
      <w:r w:rsidRPr="00B167DF">
        <w:rPr>
          <w:rFonts w:ascii="Palatino Linotype" w:eastAsia="Palatino Linotype" w:hAnsi="Palatino Linotype" w:cs="Palatino Linotype"/>
        </w:rPr>
        <w:t xml:space="preserve">; por lo que, en términos del </w:t>
      </w:r>
      <w:r w:rsidRPr="00B167DF">
        <w:rPr>
          <w:rFonts w:ascii="Palatino Linotype" w:eastAsia="Palatino Linotype" w:hAnsi="Palatino Linotype" w:cs="Palatino Linotype"/>
          <w:b/>
        </w:rPr>
        <w:t>Considerando</w:t>
      </w:r>
      <w:r w:rsidRPr="00B167DF">
        <w:rPr>
          <w:rFonts w:ascii="Palatino Linotype" w:eastAsia="Palatino Linotype" w:hAnsi="Palatino Linotype" w:cs="Palatino Linotype"/>
        </w:rPr>
        <w:t xml:space="preserve"> </w:t>
      </w:r>
      <w:r w:rsidRPr="00B167DF">
        <w:rPr>
          <w:rFonts w:ascii="Palatino Linotype" w:eastAsia="Palatino Linotype" w:hAnsi="Palatino Linotype" w:cs="Palatino Linotype"/>
          <w:b/>
        </w:rPr>
        <w:t xml:space="preserve">Cuarto </w:t>
      </w:r>
      <w:r w:rsidRPr="00B167DF">
        <w:rPr>
          <w:rFonts w:ascii="Palatino Linotype" w:eastAsia="Palatino Linotype" w:hAnsi="Palatino Linotype" w:cs="Palatino Linotype"/>
        </w:rPr>
        <w:t xml:space="preserve">de esta resolución, se </w:t>
      </w:r>
      <w:r w:rsidRPr="00B167DF">
        <w:rPr>
          <w:rFonts w:ascii="Palatino Linotype" w:eastAsia="Palatino Linotype" w:hAnsi="Palatino Linotype" w:cs="Palatino Linotype"/>
          <w:b/>
        </w:rPr>
        <w:t xml:space="preserve">Revoca </w:t>
      </w:r>
      <w:r w:rsidRPr="00B167DF">
        <w:rPr>
          <w:rFonts w:ascii="Palatino Linotype" w:eastAsia="Palatino Linotype" w:hAnsi="Palatino Linotype" w:cs="Palatino Linotype"/>
        </w:rPr>
        <w:t xml:space="preserve">la respuesta emitida por el </w:t>
      </w:r>
      <w:r w:rsidRPr="00B167DF">
        <w:rPr>
          <w:rFonts w:ascii="Palatino Linotype" w:eastAsia="Palatino Linotype" w:hAnsi="Palatino Linotype" w:cs="Palatino Linotype"/>
          <w:b/>
        </w:rPr>
        <w:t xml:space="preserve">Sujeto Obligado. </w:t>
      </w:r>
    </w:p>
    <w:p w14:paraId="0A290CE1" w14:textId="77777777" w:rsidR="00204857" w:rsidRPr="00B167DF" w:rsidRDefault="002A7DE1">
      <w:pPr>
        <w:tabs>
          <w:tab w:val="left" w:pos="5040"/>
        </w:tabs>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b/>
        </w:rPr>
        <w:t xml:space="preserve">Segundo. </w:t>
      </w:r>
      <w:r w:rsidRPr="00B167DF">
        <w:rPr>
          <w:rFonts w:ascii="Palatino Linotype" w:eastAsia="Palatino Linotype" w:hAnsi="Palatino Linotype" w:cs="Palatino Linotype"/>
        </w:rPr>
        <w:t xml:space="preserve">Se </w:t>
      </w:r>
      <w:r w:rsidRPr="00B167DF">
        <w:rPr>
          <w:rFonts w:ascii="Palatino Linotype" w:eastAsia="Palatino Linotype" w:hAnsi="Palatino Linotype" w:cs="Palatino Linotype"/>
          <w:b/>
        </w:rPr>
        <w:t xml:space="preserve">Ordena </w:t>
      </w:r>
      <w:r w:rsidRPr="00B167DF">
        <w:rPr>
          <w:rFonts w:ascii="Palatino Linotype" w:eastAsia="Palatino Linotype" w:hAnsi="Palatino Linotype" w:cs="Palatino Linotype"/>
        </w:rPr>
        <w:t xml:space="preserve">al </w:t>
      </w:r>
      <w:r w:rsidRPr="00B167DF">
        <w:rPr>
          <w:rFonts w:ascii="Palatino Linotype" w:eastAsia="Palatino Linotype" w:hAnsi="Palatino Linotype" w:cs="Palatino Linotype"/>
          <w:b/>
        </w:rPr>
        <w:t xml:space="preserve">Sujeto Obligado, </w:t>
      </w:r>
      <w:r w:rsidRPr="00B167DF">
        <w:rPr>
          <w:rFonts w:ascii="Palatino Linotype" w:eastAsia="Palatino Linotype" w:hAnsi="Palatino Linotype" w:cs="Palatino Linotype"/>
        </w:rPr>
        <w:t xml:space="preserve">en términos de los </w:t>
      </w:r>
      <w:r w:rsidRPr="00B167DF">
        <w:rPr>
          <w:rFonts w:ascii="Palatino Linotype" w:eastAsia="Palatino Linotype" w:hAnsi="Palatino Linotype" w:cs="Palatino Linotype"/>
          <w:b/>
        </w:rPr>
        <w:t>Considerandos</w:t>
      </w:r>
      <w:r w:rsidRPr="00B167DF">
        <w:rPr>
          <w:rFonts w:ascii="Palatino Linotype" w:eastAsia="Palatino Linotype" w:hAnsi="Palatino Linotype" w:cs="Palatino Linotype"/>
        </w:rPr>
        <w:t xml:space="preserve"> </w:t>
      </w:r>
      <w:r w:rsidRPr="00B167DF">
        <w:rPr>
          <w:rFonts w:ascii="Palatino Linotype" w:eastAsia="Palatino Linotype" w:hAnsi="Palatino Linotype" w:cs="Palatino Linotype"/>
          <w:b/>
        </w:rPr>
        <w:t xml:space="preserve">Cuarto </w:t>
      </w:r>
      <w:r w:rsidRPr="00B167DF">
        <w:rPr>
          <w:rFonts w:ascii="Palatino Linotype" w:eastAsia="Palatino Linotype" w:hAnsi="Palatino Linotype" w:cs="Palatino Linotype"/>
        </w:rPr>
        <w:t xml:space="preserve">y </w:t>
      </w:r>
      <w:r w:rsidRPr="00B167DF">
        <w:rPr>
          <w:rFonts w:ascii="Palatino Linotype" w:eastAsia="Palatino Linotype" w:hAnsi="Palatino Linotype" w:cs="Palatino Linotype"/>
          <w:b/>
        </w:rPr>
        <w:t xml:space="preserve">Quinto </w:t>
      </w:r>
      <w:r w:rsidRPr="00B167DF">
        <w:rPr>
          <w:rFonts w:ascii="Palatino Linotype" w:eastAsia="Palatino Linotype" w:hAnsi="Palatino Linotype" w:cs="Palatino Linotype"/>
        </w:rPr>
        <w:t xml:space="preserve">de esta resolución, haga entrega, vía </w:t>
      </w:r>
      <w:r w:rsidRPr="00B167DF">
        <w:rPr>
          <w:rFonts w:ascii="Palatino Linotype" w:eastAsia="Palatino Linotype" w:hAnsi="Palatino Linotype" w:cs="Palatino Linotype"/>
          <w:b/>
        </w:rPr>
        <w:t>SAIMEX</w:t>
      </w:r>
      <w:r w:rsidR="00C35351" w:rsidRPr="00B167DF">
        <w:rPr>
          <w:rFonts w:ascii="Palatino Linotype" w:eastAsia="Palatino Linotype" w:hAnsi="Palatino Linotype" w:cs="Palatino Linotype"/>
          <w:b/>
        </w:rPr>
        <w:t xml:space="preserve"> </w:t>
      </w:r>
      <w:r w:rsidR="00C35351" w:rsidRPr="00B167DF">
        <w:rPr>
          <w:rFonts w:ascii="Palatino Linotype" w:eastAsia="Palatino Linotype" w:hAnsi="Palatino Linotype" w:cs="Palatino Linotype"/>
        </w:rPr>
        <w:t xml:space="preserve">y </w:t>
      </w:r>
      <w:r w:rsidRPr="00B167DF">
        <w:rPr>
          <w:rFonts w:ascii="Palatino Linotype" w:eastAsia="Palatino Linotype" w:hAnsi="Palatino Linotype" w:cs="Palatino Linotype"/>
        </w:rPr>
        <w:t>correo electrónico, previa búsqueda exhaustiva y razonable, en versión pública de ser procedente,</w:t>
      </w:r>
      <w:r w:rsidRPr="00B167DF">
        <w:rPr>
          <w:rFonts w:ascii="Palatino Linotype" w:eastAsia="Palatino Linotype" w:hAnsi="Palatino Linotype" w:cs="Palatino Linotype"/>
          <w:b/>
        </w:rPr>
        <w:t xml:space="preserve"> </w:t>
      </w:r>
      <w:r w:rsidRPr="00B167DF">
        <w:rPr>
          <w:rFonts w:ascii="Palatino Linotype" w:eastAsia="Palatino Linotype" w:hAnsi="Palatino Linotype" w:cs="Palatino Linotype"/>
        </w:rPr>
        <w:t>de lo siguiente:</w:t>
      </w:r>
    </w:p>
    <w:p w14:paraId="63DFC5F0" w14:textId="77777777" w:rsidR="00204857" w:rsidRPr="00B167DF" w:rsidRDefault="002A7DE1">
      <w:pPr>
        <w:spacing w:before="240" w:after="240" w:line="360" w:lineRule="auto"/>
        <w:ind w:right="51"/>
        <w:jc w:val="both"/>
        <w:rPr>
          <w:rFonts w:ascii="Palatino Linotype" w:eastAsia="Palatino Linotype" w:hAnsi="Palatino Linotype" w:cs="Palatino Linotype"/>
        </w:rPr>
      </w:pPr>
      <w:r w:rsidRPr="00B167DF">
        <w:rPr>
          <w:rFonts w:ascii="Palatino Linotype" w:eastAsia="Palatino Linotype" w:hAnsi="Palatino Linotype" w:cs="Palatino Linotype"/>
        </w:rPr>
        <w:t>Del ayuntamiento y de los organismos públicos descentralizados, preferentemente en formato PDF o en el que se hubiera generado:</w:t>
      </w:r>
    </w:p>
    <w:p w14:paraId="1AB97CDA" w14:textId="77777777" w:rsidR="00204857" w:rsidRPr="00B167DF" w:rsidRDefault="002A7DE1">
      <w:pPr>
        <w:pBdr>
          <w:top w:val="nil"/>
          <w:left w:val="nil"/>
          <w:bottom w:val="nil"/>
          <w:right w:val="nil"/>
          <w:between w:val="nil"/>
        </w:pBdr>
        <w:spacing w:before="240" w:line="360" w:lineRule="auto"/>
        <w:ind w:left="284"/>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1. Reportes del aplicativo “Visor de comprobantes de nómina del patrón” del SAT, del uno de enero de dos mil veinte al treinta de agosto de dos mil veinticuatro: </w:t>
      </w:r>
    </w:p>
    <w:p w14:paraId="58F789EA" w14:textId="77777777" w:rsidR="00204857" w:rsidRPr="00B167DF" w:rsidRDefault="002A7DE1">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sidRPr="00B167DF">
        <w:rPr>
          <w:rFonts w:ascii="Palatino Linotype" w:eastAsia="Palatino Linotype" w:hAnsi="Palatino Linotype" w:cs="Palatino Linotype"/>
        </w:rPr>
        <w:t>a. Detalle del “Total por Sueldos y Salarios”.</w:t>
      </w:r>
    </w:p>
    <w:p w14:paraId="2B72C43B" w14:textId="77777777" w:rsidR="00204857" w:rsidRPr="00B167DF" w:rsidRDefault="002A7DE1">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sidRPr="00B167DF">
        <w:rPr>
          <w:rFonts w:ascii="Palatino Linotype" w:eastAsia="Palatino Linotype" w:hAnsi="Palatino Linotype" w:cs="Palatino Linotype"/>
        </w:rPr>
        <w:t>b. Detalle del “Total por Asimilados a Salarios”.</w:t>
      </w:r>
    </w:p>
    <w:p w14:paraId="6CDEC653" w14:textId="77777777" w:rsidR="00204857" w:rsidRPr="00B167DF" w:rsidRDefault="002A7DE1">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sidRPr="00B167DF">
        <w:rPr>
          <w:rFonts w:ascii="Palatino Linotype" w:eastAsia="Palatino Linotype" w:hAnsi="Palatino Linotype" w:cs="Palatino Linotype"/>
        </w:rPr>
        <w:t>c. Vista anual acumulada.</w:t>
      </w:r>
    </w:p>
    <w:p w14:paraId="396B5584" w14:textId="77777777" w:rsidR="00204857" w:rsidRPr="00B167DF" w:rsidRDefault="002A7DE1">
      <w:pPr>
        <w:spacing w:before="240" w:after="240" w:line="360" w:lineRule="auto"/>
        <w:ind w:left="284" w:right="51"/>
        <w:jc w:val="both"/>
        <w:rPr>
          <w:rFonts w:ascii="Palatino Linotype" w:eastAsia="Palatino Linotype" w:hAnsi="Palatino Linotype" w:cs="Palatino Linotype"/>
        </w:rPr>
      </w:pPr>
      <w:r w:rsidRPr="00B167DF">
        <w:rPr>
          <w:rFonts w:ascii="Palatino Linotype" w:eastAsia="Palatino Linotype" w:hAnsi="Palatino Linotype" w:cs="Palatino Linotype"/>
        </w:rPr>
        <w:t>2. Reporte emitido por la Secretaría de Finanzas del Estado de México, relativa al monto del ISR que se obtuvo en devolución</w:t>
      </w:r>
      <w:r w:rsidRPr="00B167DF">
        <w:t xml:space="preserve"> </w:t>
      </w:r>
      <w:r w:rsidRPr="00B167DF">
        <w:rPr>
          <w:rFonts w:ascii="Palatino Linotype" w:eastAsia="Palatino Linotype" w:hAnsi="Palatino Linotype" w:cs="Palatino Linotype"/>
        </w:rPr>
        <w:t>del uno de enero de dos mil quince al treinta de agosto de dos mil veinticuatro.</w:t>
      </w:r>
    </w:p>
    <w:p w14:paraId="65BC6A10" w14:textId="77777777" w:rsidR="00204857" w:rsidRPr="00B167DF" w:rsidRDefault="002A7DE1">
      <w:pPr>
        <w:spacing w:before="240" w:after="240" w:line="360" w:lineRule="auto"/>
        <w:ind w:left="284" w:right="51"/>
        <w:jc w:val="both"/>
        <w:rPr>
          <w:rFonts w:ascii="Palatino Linotype" w:eastAsia="Palatino Linotype" w:hAnsi="Palatino Linotype" w:cs="Palatino Linotype"/>
        </w:rPr>
      </w:pPr>
      <w:r w:rsidRPr="00B167DF">
        <w:rPr>
          <w:rFonts w:ascii="Palatino Linotype" w:eastAsia="Palatino Linotype" w:hAnsi="Palatino Linotype" w:cs="Palatino Linotype"/>
        </w:rPr>
        <w:lastRenderedPageBreak/>
        <w:t>3. Reporte emitido por el software de contabilidad gubernamental en el que se pueda apreciar el control del saldo pendiente de recuperar del ISR participable, al treinta de agosto de dos mil veinticuatro.</w:t>
      </w:r>
    </w:p>
    <w:p w14:paraId="083DE219" w14:textId="77777777" w:rsidR="00204857" w:rsidRPr="00B167DF" w:rsidRDefault="002A7DE1">
      <w:pPr>
        <w:tabs>
          <w:tab w:val="left" w:pos="5040"/>
        </w:tabs>
        <w:spacing w:before="120" w:after="120"/>
        <w:ind w:left="284" w:right="51"/>
        <w:jc w:val="both"/>
        <w:rPr>
          <w:rFonts w:ascii="Palatino Linotype" w:eastAsia="Palatino Linotype" w:hAnsi="Palatino Linotype" w:cs="Palatino Linotype"/>
          <w:b/>
          <w:i/>
          <w:sz w:val="20"/>
          <w:szCs w:val="20"/>
        </w:rPr>
      </w:pPr>
      <w:r w:rsidRPr="00B167DF">
        <w:rPr>
          <w:rFonts w:ascii="Palatino Linotype" w:eastAsia="Palatino Linotype" w:hAnsi="Palatino Linotype" w:cs="Palatino Linotype"/>
          <w:i/>
          <w:sz w:val="20"/>
          <w:szCs w:val="20"/>
        </w:rPr>
        <w:t xml:space="preserve">De ser procedente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167DF">
        <w:rPr>
          <w:rFonts w:ascii="Palatino Linotype" w:eastAsia="Palatino Linotype" w:hAnsi="Palatino Linotype" w:cs="Palatino Linotype"/>
          <w:b/>
          <w:i/>
          <w:sz w:val="20"/>
          <w:szCs w:val="20"/>
        </w:rPr>
        <w:t>Recurrente.</w:t>
      </w:r>
    </w:p>
    <w:p w14:paraId="49179D57" w14:textId="77777777" w:rsidR="00204857" w:rsidRPr="00B167DF" w:rsidRDefault="002A7DE1">
      <w:pPr>
        <w:spacing w:before="240" w:after="240"/>
        <w:ind w:left="284"/>
        <w:jc w:val="both"/>
        <w:rPr>
          <w:rFonts w:ascii="Palatino Linotype" w:eastAsia="Palatino Linotype" w:hAnsi="Palatino Linotype" w:cs="Palatino Linotype"/>
          <w:i/>
          <w:sz w:val="20"/>
          <w:szCs w:val="20"/>
        </w:rPr>
      </w:pPr>
      <w:r w:rsidRPr="00B167DF">
        <w:rPr>
          <w:rFonts w:ascii="Palatino Linotype" w:eastAsia="Palatino Linotype" w:hAnsi="Palatino Linotype" w:cs="Palatino Linotype"/>
          <w:i/>
          <w:sz w:val="20"/>
          <w:szCs w:val="20"/>
        </w:rPr>
        <w:t>En el supuesto q</w:t>
      </w:r>
      <w:r w:rsidR="00986510" w:rsidRPr="00B167DF">
        <w:rPr>
          <w:rFonts w:ascii="Palatino Linotype" w:eastAsia="Palatino Linotype" w:hAnsi="Palatino Linotype" w:cs="Palatino Linotype"/>
          <w:i/>
          <w:sz w:val="20"/>
          <w:szCs w:val="20"/>
        </w:rPr>
        <w:t>ue la información ordenada en los</w:t>
      </w:r>
      <w:r w:rsidRPr="00B167DF">
        <w:rPr>
          <w:rFonts w:ascii="Palatino Linotype" w:eastAsia="Palatino Linotype" w:hAnsi="Palatino Linotype" w:cs="Palatino Linotype"/>
          <w:i/>
          <w:sz w:val="20"/>
          <w:szCs w:val="20"/>
        </w:rPr>
        <w:t xml:space="preserve"> punto</w:t>
      </w:r>
      <w:r w:rsidR="00986510" w:rsidRPr="00B167DF">
        <w:rPr>
          <w:rFonts w:ascii="Palatino Linotype" w:eastAsia="Palatino Linotype" w:hAnsi="Palatino Linotype" w:cs="Palatino Linotype"/>
          <w:i/>
          <w:sz w:val="20"/>
          <w:szCs w:val="20"/>
        </w:rPr>
        <w:t>s 1 y</w:t>
      </w:r>
      <w:r w:rsidRPr="00B167DF">
        <w:rPr>
          <w:rFonts w:ascii="Palatino Linotype" w:eastAsia="Palatino Linotype" w:hAnsi="Palatino Linotype" w:cs="Palatino Linotype"/>
          <w:i/>
          <w:sz w:val="20"/>
          <w:szCs w:val="20"/>
        </w:rPr>
        <w:t xml:space="preserve"> 3 no obre en los archivos del </w:t>
      </w:r>
      <w:r w:rsidRPr="00B167DF">
        <w:rPr>
          <w:rFonts w:ascii="Palatino Linotype" w:eastAsia="Palatino Linotype" w:hAnsi="Palatino Linotype" w:cs="Palatino Linotype"/>
          <w:b/>
          <w:i/>
          <w:sz w:val="20"/>
          <w:szCs w:val="20"/>
        </w:rPr>
        <w:t>Sujeto Obligado</w:t>
      </w:r>
      <w:r w:rsidRPr="00B167DF">
        <w:rPr>
          <w:rFonts w:ascii="Palatino Linotype" w:eastAsia="Palatino Linotype" w:hAnsi="Palatino Linotype" w:cs="Palatino Linotype"/>
          <w:i/>
          <w:sz w:val="20"/>
          <w:szCs w:val="20"/>
        </w:rPr>
        <w:t xml:space="preserve">, bastará con que así lo haga del conocimiento de la parte </w:t>
      </w:r>
      <w:r w:rsidRPr="00B167DF">
        <w:rPr>
          <w:rFonts w:ascii="Palatino Linotype" w:eastAsia="Palatino Linotype" w:hAnsi="Palatino Linotype" w:cs="Palatino Linotype"/>
          <w:b/>
          <w:i/>
          <w:sz w:val="20"/>
          <w:szCs w:val="20"/>
        </w:rPr>
        <w:t>Recurrente</w:t>
      </w:r>
      <w:r w:rsidRPr="00B167DF">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29FBFEA7"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b/>
        </w:rPr>
        <w:t xml:space="preserve">Tercero. Notifíquese, </w:t>
      </w:r>
      <w:r w:rsidRPr="00B167DF">
        <w:rPr>
          <w:rFonts w:ascii="Palatino Linotype" w:eastAsia="Palatino Linotype" w:hAnsi="Palatino Linotype" w:cs="Palatino Linotype"/>
        </w:rPr>
        <w:t xml:space="preserve">vía </w:t>
      </w:r>
      <w:r w:rsidRPr="00B167DF">
        <w:rPr>
          <w:rFonts w:ascii="Palatino Linotype" w:eastAsia="Palatino Linotype" w:hAnsi="Palatino Linotype" w:cs="Palatino Linotype"/>
          <w:b/>
        </w:rPr>
        <w:t>SAIMEX</w:t>
      </w:r>
      <w:r w:rsidRPr="00B167DF">
        <w:rPr>
          <w:rFonts w:ascii="Palatino Linotype" w:eastAsia="Palatino Linotype" w:hAnsi="Palatino Linotype" w:cs="Palatino Linotype"/>
        </w:rPr>
        <w:t xml:space="preserve">, al Titular de la Unidad de Transparencia del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36523A9" w14:textId="77777777" w:rsidR="00204857" w:rsidRPr="00B167DF" w:rsidRDefault="002A7DE1">
      <w:pPr>
        <w:spacing w:before="240" w:after="240" w:line="360" w:lineRule="auto"/>
        <w:jc w:val="both"/>
        <w:rPr>
          <w:rFonts w:ascii="Palatino Linotype" w:eastAsia="Palatino Linotype" w:hAnsi="Palatino Linotype" w:cs="Palatino Linotype"/>
        </w:rPr>
      </w:pPr>
      <w:r w:rsidRPr="00B167DF">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167DF">
        <w:rPr>
          <w:rFonts w:ascii="Palatino Linotype" w:eastAsia="Palatino Linotype" w:hAnsi="Palatino Linotype" w:cs="Palatino Linotype"/>
          <w:b/>
        </w:rPr>
        <w:t>Sujeto Obligado</w:t>
      </w:r>
      <w:r w:rsidRPr="00B167DF">
        <w:rPr>
          <w:rFonts w:ascii="Palatino Linotype" w:eastAsia="Palatino Linotype" w:hAnsi="Palatino Linotype" w:cs="Palatino Linotype"/>
        </w:rPr>
        <w:t xml:space="preserve"> de manera fundada y motivada, podrá solicitar una ampliación de plazo para el cumplimiento de la presente resolución.</w:t>
      </w:r>
    </w:p>
    <w:p w14:paraId="1A15DFD1" w14:textId="77777777" w:rsidR="00204857" w:rsidRPr="00B167DF" w:rsidRDefault="002A7DE1">
      <w:pPr>
        <w:spacing w:before="240" w:after="240" w:line="360" w:lineRule="auto"/>
        <w:jc w:val="both"/>
        <w:rPr>
          <w:rFonts w:ascii="Palatino Linotype" w:eastAsia="Palatino Linotype" w:hAnsi="Palatino Linotype" w:cs="Palatino Linotype"/>
        </w:rPr>
      </w:pPr>
      <w:bookmarkStart w:id="11" w:name="_heading=h.17dp8vu" w:colFirst="0" w:colLast="0"/>
      <w:bookmarkEnd w:id="11"/>
      <w:r w:rsidRPr="00B167DF">
        <w:rPr>
          <w:rFonts w:ascii="Palatino Linotype" w:eastAsia="Palatino Linotype" w:hAnsi="Palatino Linotype" w:cs="Palatino Linotype"/>
          <w:b/>
        </w:rPr>
        <w:lastRenderedPageBreak/>
        <w:t xml:space="preserve">Cuarto.  Notifíquese, </w:t>
      </w:r>
      <w:r w:rsidRPr="00B167DF">
        <w:rPr>
          <w:rFonts w:ascii="Palatino Linotype" w:eastAsia="Palatino Linotype" w:hAnsi="Palatino Linotype" w:cs="Palatino Linotype"/>
        </w:rPr>
        <w:t xml:space="preserve">vía </w:t>
      </w:r>
      <w:r w:rsidRPr="00B167DF">
        <w:rPr>
          <w:rFonts w:ascii="Palatino Linotype" w:eastAsia="Palatino Linotype" w:hAnsi="Palatino Linotype" w:cs="Palatino Linotype"/>
          <w:b/>
        </w:rPr>
        <w:t>SAIMEX</w:t>
      </w:r>
      <w:r w:rsidRPr="00B167DF">
        <w:rPr>
          <w:rFonts w:ascii="Palatino Linotype" w:eastAsia="Palatino Linotype" w:hAnsi="Palatino Linotype" w:cs="Palatino Linotype"/>
        </w:rPr>
        <w:t xml:space="preserve"> y </w:t>
      </w:r>
      <w:r w:rsidRPr="00B167DF">
        <w:rPr>
          <w:rFonts w:ascii="Palatino Linotype" w:eastAsia="Palatino Linotype" w:hAnsi="Palatino Linotype" w:cs="Palatino Linotype"/>
          <w:b/>
        </w:rPr>
        <w:t>correo electrónico</w:t>
      </w:r>
      <w:r w:rsidRPr="00B167DF">
        <w:rPr>
          <w:rFonts w:ascii="Palatino Linotype" w:eastAsia="Palatino Linotype" w:hAnsi="Palatino Linotype" w:cs="Palatino Linotype"/>
        </w:rPr>
        <w:t xml:space="preserve"> a la parte </w:t>
      </w:r>
      <w:r w:rsidRPr="00B167DF">
        <w:rPr>
          <w:rFonts w:ascii="Palatino Linotype" w:eastAsia="Palatino Linotype" w:hAnsi="Palatino Linotype" w:cs="Palatino Linotype"/>
          <w:b/>
        </w:rPr>
        <w:t>Recurrente</w:t>
      </w:r>
      <w:r w:rsidRPr="00B167D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4380B19" w14:textId="77777777" w:rsidR="00204857" w:rsidRPr="00B167DF" w:rsidRDefault="002A7DE1" w:rsidP="000A0982">
      <w:pPr>
        <w:spacing w:before="240" w:after="240" w:line="360" w:lineRule="auto"/>
        <w:ind w:right="49"/>
        <w:jc w:val="both"/>
        <w:rPr>
          <w:rFonts w:ascii="Palatino Linotype" w:eastAsia="Palatino Linotype" w:hAnsi="Palatino Linotype" w:cs="Palatino Linotype"/>
        </w:rPr>
      </w:pPr>
      <w:r w:rsidRPr="00B167D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182A66">
        <w:rPr>
          <w:rFonts w:ascii="Palatino Linotype" w:eastAsia="Palatino Linotype" w:hAnsi="Palatino Linotype" w:cs="Palatino Linotype"/>
        </w:rPr>
        <w:t xml:space="preserve"> (</w:t>
      </w:r>
      <w:r w:rsidR="000A0982" w:rsidRPr="00B167DF">
        <w:rPr>
          <w:rFonts w:ascii="Palatino Linotype" w:hAnsi="Palatino Linotype"/>
        </w:rPr>
        <w:t>EMITIENDO VOTO PARTICULAR</w:t>
      </w:r>
      <w:r w:rsidR="00182A66">
        <w:rPr>
          <w:rFonts w:ascii="Palatino Linotype" w:hAnsi="Palatino Linotype"/>
        </w:rPr>
        <w:t>)</w:t>
      </w:r>
      <w:r w:rsidRPr="00B167DF">
        <w:rPr>
          <w:rFonts w:ascii="Palatino Linotype" w:eastAsia="Palatino Linotype" w:hAnsi="Palatino Linotype" w:cs="Palatino Linotype"/>
        </w:rPr>
        <w:t>, EN LA TRIGÉSIMA OCTAVA SESIÓN ORDINARIA CELEBRADA EL SEIS DE NOVIEMBRE DE DOS MIL VEINTICUATRO, ANTE EL SECRETARIO TÉCNICO DEL PLENO ALEXIS TAPIA RAMÍREZ.</w:t>
      </w:r>
    </w:p>
    <w:p w14:paraId="050EA470" w14:textId="77777777" w:rsidR="00204857" w:rsidRPr="00B167DF" w:rsidRDefault="00204857">
      <w:pPr>
        <w:spacing w:before="240" w:after="240" w:line="360" w:lineRule="auto"/>
        <w:jc w:val="center"/>
        <w:rPr>
          <w:rFonts w:ascii="Palatino Linotype" w:eastAsia="Palatino Linotype" w:hAnsi="Palatino Linotype" w:cs="Palatino Linotype"/>
        </w:rPr>
      </w:pPr>
      <w:bookmarkStart w:id="12" w:name="_heading=h.1fob9te" w:colFirst="0" w:colLast="0"/>
      <w:bookmarkEnd w:id="12"/>
    </w:p>
    <w:p w14:paraId="1DC714D0"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797624E9"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4472E512"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06CAC912"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2C906FBD"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3C1B61FA"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018A9621"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3CAE2F74"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015F4937"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3F887A47" w14:textId="77777777" w:rsidR="00986510" w:rsidRPr="00B167DF" w:rsidRDefault="00986510">
      <w:pPr>
        <w:spacing w:before="240" w:after="240" w:line="360" w:lineRule="auto"/>
        <w:jc w:val="center"/>
        <w:rPr>
          <w:rFonts w:ascii="Palatino Linotype" w:eastAsia="Palatino Linotype" w:hAnsi="Palatino Linotype" w:cs="Palatino Linotype"/>
        </w:rPr>
      </w:pPr>
    </w:p>
    <w:p w14:paraId="71C7D194" w14:textId="77777777" w:rsidR="00986510" w:rsidRPr="00B167DF" w:rsidRDefault="00986510">
      <w:pPr>
        <w:spacing w:before="240" w:after="240" w:line="360" w:lineRule="auto"/>
        <w:jc w:val="center"/>
        <w:rPr>
          <w:rFonts w:ascii="Palatino Linotype" w:eastAsia="Palatino Linotype" w:hAnsi="Palatino Linotype" w:cs="Palatino Linotype"/>
        </w:rPr>
      </w:pPr>
    </w:p>
    <w:sectPr w:rsidR="00986510" w:rsidRPr="00B167DF">
      <w:headerReference w:type="default" r:id="rId41"/>
      <w:footerReference w:type="default" r:id="rId42"/>
      <w:headerReference w:type="first" r:id="rId43"/>
      <w:footerReference w:type="first" r:id="rId4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17031" w14:textId="77777777" w:rsidR="0058720C" w:rsidRDefault="0058720C">
      <w:r>
        <w:separator/>
      </w:r>
    </w:p>
  </w:endnote>
  <w:endnote w:type="continuationSeparator" w:id="0">
    <w:p w14:paraId="6E7D71F8" w14:textId="77777777" w:rsidR="0058720C" w:rsidRDefault="00587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9A2C" w14:textId="77777777" w:rsidR="00752E71" w:rsidRDefault="00752E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E1BC5">
      <w:rPr>
        <w:rFonts w:ascii="Palatino Linotype" w:eastAsia="Palatino Linotype" w:hAnsi="Palatino Linotype" w:cs="Palatino Linotype"/>
        <w:b/>
        <w:noProof/>
        <w:color w:val="000000"/>
        <w:sz w:val="20"/>
        <w:szCs w:val="20"/>
      </w:rPr>
      <w:t>63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E1BC5">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6CB16219" w14:textId="77777777" w:rsidR="00752E71" w:rsidRDefault="00752E7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D096" w14:textId="77777777" w:rsidR="00752E71" w:rsidRDefault="00752E7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E1BC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E1BC5">
      <w:rPr>
        <w:rFonts w:ascii="Palatino Linotype" w:eastAsia="Palatino Linotype" w:hAnsi="Palatino Linotype" w:cs="Palatino Linotype"/>
        <w:b/>
        <w:noProof/>
        <w:color w:val="000000"/>
        <w:sz w:val="20"/>
        <w:szCs w:val="20"/>
      </w:rPr>
      <w:t>65</w:t>
    </w:r>
    <w:r>
      <w:rPr>
        <w:rFonts w:ascii="Palatino Linotype" w:eastAsia="Palatino Linotype" w:hAnsi="Palatino Linotype" w:cs="Palatino Linotype"/>
        <w:b/>
        <w:color w:val="000000"/>
        <w:sz w:val="20"/>
        <w:szCs w:val="20"/>
      </w:rPr>
      <w:fldChar w:fldCharType="end"/>
    </w:r>
  </w:p>
  <w:p w14:paraId="0C25F199" w14:textId="77777777" w:rsidR="00752E71" w:rsidRDefault="00752E7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AF50E" w14:textId="77777777" w:rsidR="0058720C" w:rsidRDefault="0058720C">
      <w:r>
        <w:separator/>
      </w:r>
    </w:p>
  </w:footnote>
  <w:footnote w:type="continuationSeparator" w:id="0">
    <w:p w14:paraId="7BADEB82" w14:textId="77777777" w:rsidR="0058720C" w:rsidRDefault="0058720C">
      <w:r>
        <w:continuationSeparator/>
      </w:r>
    </w:p>
  </w:footnote>
  <w:footnote w:id="1">
    <w:p w14:paraId="37D8B2C5" w14:textId="77777777" w:rsidR="00752E71" w:rsidRDefault="00752E7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w:t>
      </w:r>
    </w:p>
    <w:p w14:paraId="0F4EF81A" w14:textId="77777777" w:rsidR="00752E71" w:rsidRDefault="00752E71">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28FC" w14:textId="77777777" w:rsidR="00752E71" w:rsidRDefault="00752E71">
    <w:pPr>
      <w:rPr>
        <w:rFonts w:ascii="Cambria" w:eastAsia="Cambria" w:hAnsi="Cambria" w:cs="Cambria"/>
        <w:color w:val="000000"/>
      </w:rPr>
    </w:pPr>
    <w:r>
      <w:rPr>
        <w:noProof/>
      </w:rPr>
      <w:drawing>
        <wp:anchor distT="0" distB="0" distL="0" distR="0" simplePos="0" relativeHeight="251658240" behindDoc="1" locked="0" layoutInCell="1" hidden="0" allowOverlap="1" wp14:anchorId="231F8D27" wp14:editId="0C76D368">
          <wp:simplePos x="0" y="0"/>
          <wp:positionH relativeFrom="column">
            <wp:posOffset>-1080101</wp:posOffset>
          </wp:positionH>
          <wp:positionV relativeFrom="paragraph">
            <wp:posOffset>-488275</wp:posOffset>
          </wp:positionV>
          <wp:extent cx="7809865" cy="10165715"/>
          <wp:effectExtent l="0" t="0" r="0" b="0"/>
          <wp:wrapNone/>
          <wp:docPr id="21401318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752E71" w14:paraId="57EA5844" w14:textId="77777777">
      <w:tc>
        <w:tcPr>
          <w:tcW w:w="2489" w:type="dxa"/>
          <w:shd w:val="clear" w:color="auto" w:fill="auto"/>
        </w:tcPr>
        <w:p w14:paraId="4958126E" w14:textId="77777777" w:rsidR="00752E71" w:rsidRDefault="00752E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2C7D95B" w14:textId="77777777" w:rsidR="00752E71" w:rsidRDefault="00752E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05794/INFOEM/IP/RR/2024</w:t>
          </w:r>
        </w:p>
      </w:tc>
    </w:tr>
    <w:tr w:rsidR="00752E71" w14:paraId="7EA52653" w14:textId="77777777">
      <w:trPr>
        <w:trHeight w:val="228"/>
      </w:trPr>
      <w:tc>
        <w:tcPr>
          <w:tcW w:w="2489" w:type="dxa"/>
          <w:shd w:val="clear" w:color="auto" w:fill="auto"/>
          <w:vAlign w:val="center"/>
        </w:tcPr>
        <w:p w14:paraId="54490B3C" w14:textId="77777777" w:rsidR="00752E71" w:rsidRDefault="00752E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140D12B" w14:textId="77777777" w:rsidR="00752E71" w:rsidRDefault="00752E7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752E71" w14:paraId="56A1B4D6" w14:textId="77777777">
      <w:tc>
        <w:tcPr>
          <w:tcW w:w="2489" w:type="dxa"/>
          <w:shd w:val="clear" w:color="auto" w:fill="auto"/>
          <w:vAlign w:val="center"/>
        </w:tcPr>
        <w:p w14:paraId="20BC37D7" w14:textId="77777777" w:rsidR="00752E71" w:rsidRDefault="00752E7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FB6E5FB" w14:textId="77777777" w:rsidR="00752E71" w:rsidRDefault="00752E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A349E4" w14:textId="77777777" w:rsidR="00752E71" w:rsidRDefault="00752E7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3121" w14:textId="77777777" w:rsidR="00752E71" w:rsidRDefault="00752E7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45990623" wp14:editId="1A8D3FE3">
          <wp:simplePos x="0" y="0"/>
          <wp:positionH relativeFrom="column">
            <wp:posOffset>-1080127</wp:posOffset>
          </wp:positionH>
          <wp:positionV relativeFrom="paragraph">
            <wp:posOffset>-369902</wp:posOffset>
          </wp:positionV>
          <wp:extent cx="7809865" cy="10165715"/>
          <wp:effectExtent l="0" t="0" r="0" b="0"/>
          <wp:wrapNone/>
          <wp:docPr id="21401318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953" w:type="dxa"/>
      <w:tblInd w:w="3261" w:type="dxa"/>
      <w:tblLayout w:type="fixed"/>
      <w:tblLook w:val="0400" w:firstRow="0" w:lastRow="0" w:firstColumn="0" w:lastColumn="0" w:noHBand="0" w:noVBand="1"/>
    </w:tblPr>
    <w:tblGrid>
      <w:gridCol w:w="2489"/>
      <w:gridCol w:w="3464"/>
    </w:tblGrid>
    <w:tr w:rsidR="00752E71" w14:paraId="1FB10A98" w14:textId="77777777">
      <w:tc>
        <w:tcPr>
          <w:tcW w:w="2489" w:type="dxa"/>
          <w:shd w:val="clear" w:color="auto" w:fill="auto"/>
        </w:tcPr>
        <w:p w14:paraId="6AB1B200" w14:textId="77777777" w:rsidR="00752E71" w:rsidRDefault="00752E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E06A33C" w14:textId="77777777" w:rsidR="00752E71" w:rsidRDefault="00752E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05794/INFOEM/IP/RR/2024</w:t>
          </w:r>
        </w:p>
      </w:tc>
    </w:tr>
    <w:tr w:rsidR="00752E71" w14:paraId="4A51F1D6" w14:textId="77777777">
      <w:tc>
        <w:tcPr>
          <w:tcW w:w="2489" w:type="dxa"/>
          <w:shd w:val="clear" w:color="auto" w:fill="auto"/>
        </w:tcPr>
        <w:p w14:paraId="65F01BDE" w14:textId="77777777" w:rsidR="00752E71" w:rsidRDefault="00752E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476A0BC2" w14:textId="7A8A5F57" w:rsidR="00752E71" w:rsidRDefault="0085137F">
          <w:pPr>
            <w:ind w:right="175"/>
            <w:jc w:val="both"/>
            <w:rPr>
              <w:rFonts w:ascii="Palatino Linotype" w:eastAsia="Palatino Linotype" w:hAnsi="Palatino Linotype" w:cs="Palatino Linotype"/>
              <w:b/>
              <w:sz w:val="22"/>
              <w:szCs w:val="22"/>
            </w:rPr>
          </w:pPr>
          <w:r w:rsidRPr="0085137F">
            <w:rPr>
              <w:rFonts w:ascii="Palatino Linotype" w:eastAsia="Palatino Linotype" w:hAnsi="Palatino Linotype" w:cs="Palatino Linotype"/>
              <w:b/>
              <w:sz w:val="22"/>
              <w:szCs w:val="22"/>
            </w:rPr>
            <w:t>XXXXXXX XX X</w:t>
          </w:r>
        </w:p>
      </w:tc>
    </w:tr>
    <w:tr w:rsidR="00752E71" w14:paraId="28505DD3" w14:textId="77777777">
      <w:trPr>
        <w:trHeight w:val="228"/>
      </w:trPr>
      <w:tc>
        <w:tcPr>
          <w:tcW w:w="2489" w:type="dxa"/>
          <w:shd w:val="clear" w:color="auto" w:fill="auto"/>
          <w:vAlign w:val="center"/>
        </w:tcPr>
        <w:p w14:paraId="44B768D9" w14:textId="77777777" w:rsidR="00752E71" w:rsidRDefault="00752E7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B3E18F5" w14:textId="77777777" w:rsidR="00752E71" w:rsidRDefault="00752E7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752E71" w14:paraId="1E272099" w14:textId="77777777">
      <w:tc>
        <w:tcPr>
          <w:tcW w:w="2489" w:type="dxa"/>
          <w:shd w:val="clear" w:color="auto" w:fill="auto"/>
          <w:vAlign w:val="center"/>
        </w:tcPr>
        <w:p w14:paraId="2E2C33EE" w14:textId="77777777" w:rsidR="00752E71" w:rsidRDefault="00752E7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0D107DA" w14:textId="77777777" w:rsidR="00752E71" w:rsidRDefault="00752E7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E1A3E5C" w14:textId="77777777" w:rsidR="00752E71" w:rsidRDefault="00752E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711"/>
    <w:multiLevelType w:val="multilevel"/>
    <w:tmpl w:val="5744536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57"/>
    <w:rsid w:val="000A0982"/>
    <w:rsid w:val="000E1BC5"/>
    <w:rsid w:val="00182A66"/>
    <w:rsid w:val="00204857"/>
    <w:rsid w:val="002A7DE1"/>
    <w:rsid w:val="002C004E"/>
    <w:rsid w:val="00371EB7"/>
    <w:rsid w:val="0058720C"/>
    <w:rsid w:val="0064504C"/>
    <w:rsid w:val="00752E71"/>
    <w:rsid w:val="007E1B58"/>
    <w:rsid w:val="0085137F"/>
    <w:rsid w:val="00986510"/>
    <w:rsid w:val="00B167DF"/>
    <w:rsid w:val="00B85085"/>
    <w:rsid w:val="00C35351"/>
    <w:rsid w:val="00CF41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68E13"/>
  <w15:docId w15:val="{42D714AB-AAB3-4991-A165-7600A715E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fpya.edomexico.gob.mx/participaciones/" TargetMode="External"/><Relationship Id="rId21"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2pVoZwcEhT8YICkoALjmgkMDw==">CgMxLjAyCWguNGQzNG9nODIIaC5namRneHMyCWguM2R5NnZrbTIJaC4zMGowemxsMgloLjJzOGV5bzEyCGgudHlqY3d0MgloLjN6bnlzaDcyCWguMXQzaDVzZjIJaC4yZXQ5MnAwMghoLmxueGJ6OTIJaC4yNmluMXJnMgloLjE3ZHA4dnUyCWguMWZvYjl0ZTgAciExMnI1YTdiUGZNSFJuYVBSaWxCUlEzYWVoZzhhaGpBSWI=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14558</Words>
  <Characters>80070</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2024-11-07T21:40:00Z</cp:lastPrinted>
  <dcterms:created xsi:type="dcterms:W3CDTF">2024-11-29T18:47:00Z</dcterms:created>
  <dcterms:modified xsi:type="dcterms:W3CDTF">2024-11-29T18:47:00Z</dcterms:modified>
</cp:coreProperties>
</file>