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CB9C2" w14:textId="77777777" w:rsidR="00907DCD" w:rsidRDefault="00650D1F">
      <w:pPr>
        <w:spacing w:before="240" w:after="240" w:line="360" w:lineRule="auto"/>
        <w:ind w:right="-592"/>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fecha diecinueve (19) de </w:t>
      </w:r>
      <w:r w:rsidR="00257234">
        <w:rPr>
          <w:rFonts w:ascii="Palatino Linotype" w:eastAsia="Palatino Linotype" w:hAnsi="Palatino Linotype" w:cs="Palatino Linotype"/>
          <w:sz w:val="24"/>
          <w:szCs w:val="24"/>
        </w:rPr>
        <w:t>septiembre de dos mil veinticuatro</w:t>
      </w:r>
      <w:r>
        <w:rPr>
          <w:rFonts w:ascii="Palatino Linotype" w:eastAsia="Palatino Linotype" w:hAnsi="Palatino Linotype" w:cs="Palatino Linotype"/>
          <w:sz w:val="24"/>
          <w:szCs w:val="24"/>
        </w:rPr>
        <w:t>.</w:t>
      </w:r>
    </w:p>
    <w:p w14:paraId="15EF2A4F" w14:textId="4E5019BC" w:rsidR="00907DCD" w:rsidRDefault="00650D1F">
      <w:pPr>
        <w:pBdr>
          <w:top w:val="nil"/>
          <w:left w:val="nil"/>
          <w:bottom w:val="nil"/>
          <w:right w:val="nil"/>
          <w:between w:val="nil"/>
        </w:pBdr>
        <w:tabs>
          <w:tab w:val="center" w:pos="4419"/>
          <w:tab w:val="right" w:pos="8838"/>
        </w:tabs>
        <w:spacing w:line="360" w:lineRule="auto"/>
        <w:ind w:right="-592"/>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VISTO el</w:t>
      </w:r>
      <w:r>
        <w:rPr>
          <w:rFonts w:ascii="Palatino Linotype" w:eastAsia="Palatino Linotype" w:hAnsi="Palatino Linotype" w:cs="Palatino Linotype"/>
          <w:color w:val="000000"/>
          <w:sz w:val="24"/>
          <w:szCs w:val="24"/>
        </w:rPr>
        <w:t xml:space="preserve"> expediente electrónico formado con motivo del recurso de revisión </w:t>
      </w:r>
      <w:r>
        <w:rPr>
          <w:rFonts w:ascii="Palatino Linotype" w:eastAsia="Palatino Linotype" w:hAnsi="Palatino Linotype" w:cs="Palatino Linotype"/>
          <w:b/>
          <w:color w:val="000000"/>
          <w:sz w:val="24"/>
          <w:szCs w:val="24"/>
        </w:rPr>
        <w:t xml:space="preserve">06953/INFOEM/IP/RR/2023, </w:t>
      </w:r>
      <w:r>
        <w:rPr>
          <w:rFonts w:ascii="Palatino Linotype" w:eastAsia="Palatino Linotype" w:hAnsi="Palatino Linotype" w:cs="Palatino Linotype"/>
          <w:color w:val="000000"/>
          <w:sz w:val="24"/>
          <w:szCs w:val="24"/>
        </w:rPr>
        <w:t xml:space="preserve">promovido por </w:t>
      </w:r>
      <w:r w:rsidR="001A55C8">
        <w:rPr>
          <w:rFonts w:ascii="Palatino Linotype" w:eastAsia="Palatino Linotype" w:hAnsi="Palatino Linotype" w:cs="Palatino Linotype"/>
          <w:b/>
          <w:color w:val="000000"/>
          <w:sz w:val="24"/>
          <w:szCs w:val="24"/>
        </w:rPr>
        <w:t xml:space="preserve">XXX </w:t>
      </w:r>
      <w:proofErr w:type="spellStart"/>
      <w:r w:rsidR="001A55C8">
        <w:rPr>
          <w:rFonts w:ascii="Palatino Linotype" w:eastAsia="Palatino Linotype" w:hAnsi="Palatino Linotype" w:cs="Palatino Linotype"/>
          <w:b/>
          <w:color w:val="000000"/>
          <w:sz w:val="24"/>
          <w:szCs w:val="24"/>
        </w:rPr>
        <w:t>XXX</w:t>
      </w:r>
      <w:proofErr w:type="spellEnd"/>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en su calidad de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en contra de la respuesta del </w:t>
      </w:r>
      <w:r>
        <w:rPr>
          <w:rFonts w:ascii="Palatino Linotype" w:eastAsia="Palatino Linotype" w:hAnsi="Palatino Linotype" w:cs="Palatino Linotype"/>
          <w:b/>
          <w:color w:val="000000"/>
          <w:sz w:val="24"/>
          <w:szCs w:val="24"/>
        </w:rPr>
        <w:t>Ayuntamiento de Rayón</w:t>
      </w:r>
      <w:r>
        <w:rPr>
          <w:rFonts w:ascii="Palatino Linotype" w:eastAsia="Palatino Linotype" w:hAnsi="Palatino Linotype" w:cs="Palatino Linotype"/>
          <w:color w:val="000000"/>
          <w:sz w:val="24"/>
          <w:szCs w:val="24"/>
        </w:rPr>
        <w:t>,</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en lo sucesivo el</w:t>
      </w:r>
      <w:r>
        <w:rPr>
          <w:rFonts w:ascii="Palatino Linotype" w:eastAsia="Palatino Linotype" w:hAnsi="Palatino Linotype" w:cs="Palatino Linotype"/>
          <w:b/>
          <w:color w:val="000000"/>
          <w:sz w:val="24"/>
          <w:szCs w:val="24"/>
        </w:rPr>
        <w:t xml:space="preserve"> SUJETO OBLIGADO, </w:t>
      </w:r>
      <w:r>
        <w:rPr>
          <w:rFonts w:ascii="Palatino Linotype" w:eastAsia="Palatino Linotype" w:hAnsi="Palatino Linotype" w:cs="Palatino Linotype"/>
          <w:color w:val="000000"/>
          <w:sz w:val="24"/>
          <w:szCs w:val="24"/>
        </w:rPr>
        <w:t>se procede a dictar la presente resolución, con base en los siguientes:</w:t>
      </w:r>
    </w:p>
    <w:p w14:paraId="1336E295" w14:textId="77777777" w:rsidR="00907DCD" w:rsidRDefault="00650D1F">
      <w:pPr>
        <w:pStyle w:val="Ttulo1"/>
        <w:ind w:right="-592"/>
        <w:jc w:val="center"/>
        <w:rPr>
          <w:rFonts w:ascii="Palatino Linotype" w:eastAsia="Palatino Linotype" w:hAnsi="Palatino Linotype" w:cs="Palatino Linotype"/>
          <w:b/>
          <w:color w:val="000000"/>
          <w:sz w:val="24"/>
          <w:szCs w:val="24"/>
        </w:rPr>
      </w:pPr>
      <w:bookmarkStart w:id="0" w:name="_heading=h.gjdgxs" w:colFirst="0" w:colLast="0"/>
      <w:bookmarkEnd w:id="0"/>
      <w:r>
        <w:rPr>
          <w:rFonts w:ascii="Palatino Linotype" w:eastAsia="Palatino Linotype" w:hAnsi="Palatino Linotype" w:cs="Palatino Linotype"/>
          <w:b/>
          <w:color w:val="000000"/>
          <w:sz w:val="24"/>
          <w:szCs w:val="24"/>
        </w:rPr>
        <w:t>A N T E C E D E N T E S</w:t>
      </w:r>
    </w:p>
    <w:p w14:paraId="3B9F255A" w14:textId="77777777" w:rsidR="00907DCD" w:rsidRDefault="00907DCD">
      <w:pPr>
        <w:ind w:right="-592"/>
        <w:rPr>
          <w:rFonts w:ascii="Palatino Linotype" w:eastAsia="Palatino Linotype" w:hAnsi="Palatino Linotype" w:cs="Palatino Linotype"/>
          <w:sz w:val="24"/>
          <w:szCs w:val="24"/>
        </w:rPr>
      </w:pPr>
    </w:p>
    <w:p w14:paraId="6368C283"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El veinte (20) de septiembre de dos mil veintitrés, </w:t>
      </w:r>
      <w:r>
        <w:rPr>
          <w:rFonts w:ascii="Palatino Linotype" w:eastAsia="Palatino Linotype" w:hAnsi="Palatino Linotype" w:cs="Palatino Linotype"/>
          <w:b/>
          <w:color w:val="000000"/>
          <w:sz w:val="24"/>
          <w:szCs w:val="24"/>
        </w:rPr>
        <w:t xml:space="preserve">EL RECURRENTE </w:t>
      </w:r>
      <w:r>
        <w:rPr>
          <w:rFonts w:ascii="Palatino Linotype" w:eastAsia="Palatino Linotype" w:hAnsi="Palatino Linotype" w:cs="Palatino Linotype"/>
          <w:color w:val="000000"/>
          <w:sz w:val="24"/>
          <w:szCs w:val="24"/>
        </w:rPr>
        <w:t>presentó</w:t>
      </w:r>
      <w:r>
        <w:rPr>
          <w:rFonts w:ascii="Palatino Linotype" w:eastAsia="Palatino Linotype" w:hAnsi="Palatino Linotype" w:cs="Palatino Linotype"/>
          <w:b/>
          <w:color w:val="000000"/>
          <w:sz w:val="24"/>
          <w:szCs w:val="24"/>
        </w:rPr>
        <w:t>,</w:t>
      </w:r>
      <w:r>
        <w:rPr>
          <w:rFonts w:ascii="Palatino Linotype" w:eastAsia="Palatino Linotype" w:hAnsi="Palatino Linotype" w:cs="Palatino Linotype"/>
          <w:color w:val="000000"/>
          <w:sz w:val="24"/>
          <w:szCs w:val="24"/>
        </w:rPr>
        <w:t xml:space="preserve"> ante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vía Sistema de Acceso a la Información Mexiquense (</w:t>
      </w:r>
      <w:r>
        <w:rPr>
          <w:rFonts w:ascii="Palatino Linotype" w:eastAsia="Palatino Linotype" w:hAnsi="Palatino Linotype" w:cs="Palatino Linotype"/>
          <w:b/>
          <w:color w:val="000000"/>
          <w:sz w:val="24"/>
          <w:szCs w:val="24"/>
        </w:rPr>
        <w:t>SAIMEX)</w:t>
      </w:r>
      <w:r>
        <w:rPr>
          <w:rFonts w:ascii="Palatino Linotype" w:eastAsia="Palatino Linotype" w:hAnsi="Palatino Linotype" w:cs="Palatino Linotype"/>
          <w:color w:val="000000"/>
          <w:sz w:val="24"/>
          <w:szCs w:val="24"/>
        </w:rPr>
        <w:t xml:space="preserve">, la solicitud de información pública registrada con el número </w:t>
      </w:r>
      <w:r>
        <w:rPr>
          <w:rFonts w:ascii="Palatino Linotype" w:eastAsia="Palatino Linotype" w:hAnsi="Palatino Linotype" w:cs="Palatino Linotype"/>
          <w:b/>
          <w:color w:val="000000"/>
          <w:sz w:val="24"/>
          <w:szCs w:val="24"/>
        </w:rPr>
        <w:t xml:space="preserve">00063/RAYÓN/IP/2023 </w:t>
      </w:r>
      <w:r>
        <w:rPr>
          <w:rFonts w:ascii="Palatino Linotype" w:eastAsia="Palatino Linotype" w:hAnsi="Palatino Linotype" w:cs="Palatino Linotype"/>
          <w:color w:val="000000"/>
          <w:sz w:val="24"/>
          <w:szCs w:val="24"/>
        </w:rPr>
        <w:t>mediante la cual solicitó lo siguiente:</w:t>
      </w:r>
    </w:p>
    <w:p w14:paraId="44FB0D1B" w14:textId="77777777" w:rsidR="00907DCD" w:rsidRDefault="00907DCD">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6E32A5C3" w14:textId="77777777" w:rsidR="00907DCD" w:rsidRDefault="00650D1F">
      <w:pPr>
        <w:pBdr>
          <w:top w:val="nil"/>
          <w:left w:val="nil"/>
          <w:bottom w:val="nil"/>
          <w:right w:val="nil"/>
          <w:between w:val="nil"/>
        </w:pBdr>
        <w:spacing w:line="360" w:lineRule="auto"/>
        <w:ind w:left="567" w:right="-592"/>
        <w:jc w:val="both"/>
        <w:rPr>
          <w:rFonts w:ascii="Palatino Linotype" w:eastAsia="Palatino Linotype" w:hAnsi="Palatino Linotype" w:cs="Palatino Linotype"/>
          <w:i/>
          <w:color w:val="000000"/>
          <w:sz w:val="24"/>
          <w:szCs w:val="24"/>
        </w:rPr>
      </w:pPr>
      <w:r>
        <w:rPr>
          <w:rFonts w:ascii="Palatino Linotype" w:eastAsia="Palatino Linotype" w:hAnsi="Palatino Linotype" w:cs="Palatino Linotype"/>
          <w:i/>
          <w:color w:val="000000"/>
          <w:sz w:val="24"/>
          <w:szCs w:val="24"/>
        </w:rPr>
        <w:t xml:space="preserve">“Nombrar cuantos contratos de agua están registrados en la Tesorería Municipal de Rayón a nombre de </w:t>
      </w:r>
      <w:r w:rsidRPr="0006691A">
        <w:rPr>
          <w:rFonts w:ascii="Palatino Linotype" w:eastAsia="Palatino Linotype" w:hAnsi="Palatino Linotype" w:cs="Palatino Linotype"/>
          <w:i/>
          <w:color w:val="000000"/>
          <w:sz w:val="24"/>
          <w:szCs w:val="24"/>
          <w:highlight w:val="yellow"/>
        </w:rPr>
        <w:t>MARÍA LUCÍA MARTÍNEZ JARDÓN</w:t>
      </w:r>
      <w:r>
        <w:rPr>
          <w:rFonts w:ascii="Palatino Linotype" w:eastAsia="Palatino Linotype" w:hAnsi="Palatino Linotype" w:cs="Palatino Linotype"/>
          <w:i/>
          <w:color w:val="000000"/>
          <w:sz w:val="24"/>
          <w:szCs w:val="24"/>
        </w:rPr>
        <w:t>, y en que domicilios.”</w:t>
      </w:r>
    </w:p>
    <w:p w14:paraId="280E2BB1" w14:textId="77777777" w:rsidR="00907DCD" w:rsidRDefault="00907DCD">
      <w:pPr>
        <w:pBdr>
          <w:top w:val="nil"/>
          <w:left w:val="nil"/>
          <w:bottom w:val="nil"/>
          <w:right w:val="nil"/>
          <w:between w:val="nil"/>
        </w:pBdr>
        <w:spacing w:line="360" w:lineRule="auto"/>
        <w:ind w:left="567" w:right="-592"/>
        <w:jc w:val="both"/>
        <w:rPr>
          <w:rFonts w:ascii="Palatino Linotype" w:eastAsia="Palatino Linotype" w:hAnsi="Palatino Linotype" w:cs="Palatino Linotype"/>
          <w:i/>
          <w:color w:val="000000"/>
          <w:sz w:val="24"/>
          <w:szCs w:val="24"/>
        </w:rPr>
      </w:pPr>
    </w:p>
    <w:p w14:paraId="42AEF6E6"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Señaló como modalidad de entrega de la información a través de </w:t>
      </w:r>
      <w:r>
        <w:rPr>
          <w:rFonts w:ascii="Palatino Linotype" w:eastAsia="Palatino Linotype" w:hAnsi="Palatino Linotype" w:cs="Palatino Linotype"/>
          <w:b/>
          <w:color w:val="000000"/>
          <w:sz w:val="24"/>
          <w:szCs w:val="24"/>
        </w:rPr>
        <w:t>COPIAS CERTIFICADAS.</w:t>
      </w:r>
    </w:p>
    <w:p w14:paraId="4D42A7FA" w14:textId="77777777" w:rsidR="00907DCD" w:rsidRDefault="00907DCD">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1132F42B"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lastRenderedPageBreak/>
        <w:t>El diez (10) de octubre de dos mil veintitrés, el Sujeto Obligado dio respuesta a la solicitud en los siguientes términos:</w:t>
      </w:r>
    </w:p>
    <w:p w14:paraId="6ACDE0FF" w14:textId="77777777" w:rsidR="00907DCD" w:rsidRDefault="00650D1F">
      <w:pPr>
        <w:pBdr>
          <w:top w:val="nil"/>
          <w:left w:val="nil"/>
          <w:bottom w:val="nil"/>
          <w:right w:val="nil"/>
          <w:between w:val="nil"/>
        </w:pBdr>
        <w:ind w:left="567" w:right="11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a interponer recurso de revisión en términos de lo establecido en los artículos 176, 177 y 178 de la Ley invocada.” ATENTAMENTE Mtra. NORMA ARANSASU VALDES PEDRAZA Unidad de Transparencia Ayuntamiento de Rayón ATENTAMENTE Mtra. NORMA ARANSASU VALDES PEDRAZA Unidad de Transparencia Ayuntamiento de Rayón ATENTAMENTE Mtra. NORMA ARANSASU VALDES PEDRAZA Unidad de Transparencia Ayuntamiento de Rayón</w:t>
      </w:r>
    </w:p>
    <w:p w14:paraId="773D8C7F" w14:textId="77777777" w:rsidR="00907DCD" w:rsidRDefault="00650D1F">
      <w:pPr>
        <w:pBdr>
          <w:top w:val="nil"/>
          <w:left w:val="nil"/>
          <w:bottom w:val="nil"/>
          <w:right w:val="nil"/>
          <w:between w:val="nil"/>
        </w:pBdr>
        <w:ind w:left="567" w:right="11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ATENTAMENTE</w:t>
      </w:r>
    </w:p>
    <w:p w14:paraId="0F43D9B4" w14:textId="77777777" w:rsidR="00907DCD" w:rsidRDefault="00650D1F">
      <w:pPr>
        <w:pBdr>
          <w:top w:val="nil"/>
          <w:left w:val="nil"/>
          <w:bottom w:val="nil"/>
          <w:right w:val="nil"/>
          <w:between w:val="nil"/>
        </w:pBdr>
        <w:ind w:left="567" w:right="11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Mtra. NORMA ARANSASU VALDES PEDRAZA”</w:t>
      </w:r>
    </w:p>
    <w:p w14:paraId="390381B8" w14:textId="77777777" w:rsidR="00907DCD" w:rsidRDefault="00907DCD">
      <w:pPr>
        <w:pBdr>
          <w:top w:val="nil"/>
          <w:left w:val="nil"/>
          <w:bottom w:val="nil"/>
          <w:right w:val="nil"/>
          <w:between w:val="nil"/>
        </w:pBdr>
        <w:ind w:left="720" w:right="-592"/>
        <w:rPr>
          <w:rFonts w:ascii="Palatino Linotype" w:eastAsia="Palatino Linotype" w:hAnsi="Palatino Linotype" w:cs="Palatino Linotype"/>
          <w:color w:val="000000"/>
          <w:sz w:val="24"/>
          <w:szCs w:val="24"/>
        </w:rPr>
      </w:pPr>
    </w:p>
    <w:p w14:paraId="56943394"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El Sujeto Obligado adjuntó el documento electrónico denominado </w:t>
      </w:r>
      <w:r>
        <w:rPr>
          <w:rFonts w:ascii="Palatino Linotype" w:eastAsia="Palatino Linotype" w:hAnsi="Palatino Linotype" w:cs="Palatino Linotype"/>
          <w:b/>
          <w:color w:val="000000"/>
          <w:sz w:val="24"/>
          <w:szCs w:val="24"/>
        </w:rPr>
        <w:t>Escaneo0027.pdf</w:t>
      </w:r>
      <w:r>
        <w:rPr>
          <w:rFonts w:ascii="Palatino Linotype" w:eastAsia="Palatino Linotype" w:hAnsi="Palatino Linotype" w:cs="Palatino Linotype"/>
          <w:color w:val="000000"/>
          <w:sz w:val="24"/>
          <w:szCs w:val="24"/>
        </w:rPr>
        <w:t>, suscrito por la Titular de la Unidad de Transparencia mediante el cual indica que la información que solicita no es susceptible de entregarse, por no ser de carácter público, por corresponder a una persona física y se refiere a la vida privada.</w:t>
      </w:r>
    </w:p>
    <w:p w14:paraId="0E8B9667" w14:textId="77777777" w:rsidR="00907DCD" w:rsidRDefault="00907DCD">
      <w:pPr>
        <w:pBdr>
          <w:top w:val="nil"/>
          <w:left w:val="nil"/>
          <w:bottom w:val="nil"/>
          <w:right w:val="nil"/>
          <w:between w:val="nil"/>
        </w:pBdr>
        <w:spacing w:line="360" w:lineRule="auto"/>
        <w:ind w:right="-592"/>
        <w:jc w:val="both"/>
        <w:rPr>
          <w:rFonts w:ascii="Palatino Linotype" w:eastAsia="Palatino Linotype" w:hAnsi="Palatino Linotype" w:cs="Palatino Linotype"/>
          <w:i/>
          <w:color w:val="000000"/>
          <w:sz w:val="24"/>
          <w:szCs w:val="24"/>
        </w:rPr>
      </w:pPr>
    </w:p>
    <w:p w14:paraId="1C159488"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bookmarkStart w:id="1" w:name="_heading=h.30j0zll" w:colFirst="0" w:colLast="0"/>
      <w:bookmarkEnd w:id="1"/>
      <w:r>
        <w:rPr>
          <w:rFonts w:ascii="Palatino Linotype" w:eastAsia="Palatino Linotype" w:hAnsi="Palatino Linotype" w:cs="Palatino Linotype"/>
          <w:color w:val="000000"/>
          <w:sz w:val="24"/>
          <w:szCs w:val="24"/>
        </w:rPr>
        <w:t xml:space="preserve">El once (11) de octubre de dos mil veintitrés, </w:t>
      </w:r>
      <w:r>
        <w:rPr>
          <w:rFonts w:ascii="Palatino Linotype" w:eastAsia="Palatino Linotype" w:hAnsi="Palatino Linotype" w:cs="Palatino Linotype"/>
          <w:b/>
          <w:color w:val="000000"/>
          <w:sz w:val="24"/>
          <w:szCs w:val="24"/>
        </w:rPr>
        <w:t>EL RECURRENTE</w:t>
      </w:r>
      <w:r>
        <w:rPr>
          <w:rFonts w:ascii="Palatino Linotype" w:eastAsia="Palatino Linotype" w:hAnsi="Palatino Linotype" w:cs="Palatino Linotype"/>
          <w:color w:val="000000"/>
          <w:sz w:val="24"/>
          <w:szCs w:val="24"/>
        </w:rPr>
        <w:t xml:space="preserve"> interpuso el recurso de revisión, en contra de la respuesta y señaló como:</w:t>
      </w:r>
    </w:p>
    <w:p w14:paraId="02EFF835" w14:textId="77777777" w:rsidR="00907DCD" w:rsidRDefault="00907DCD">
      <w:pPr>
        <w:pBdr>
          <w:top w:val="nil"/>
          <w:left w:val="nil"/>
          <w:bottom w:val="nil"/>
          <w:right w:val="nil"/>
          <w:between w:val="nil"/>
        </w:pBdr>
        <w:ind w:left="720" w:right="-592"/>
        <w:rPr>
          <w:rFonts w:ascii="Palatino Linotype" w:eastAsia="Palatino Linotype" w:hAnsi="Palatino Linotype" w:cs="Palatino Linotype"/>
          <w:b/>
          <w:color w:val="000000"/>
          <w:sz w:val="24"/>
          <w:szCs w:val="24"/>
        </w:rPr>
      </w:pPr>
    </w:p>
    <w:p w14:paraId="4B11B1B7" w14:textId="77777777" w:rsidR="00907DCD" w:rsidRDefault="00650D1F">
      <w:pPr>
        <w:numPr>
          <w:ilvl w:val="0"/>
          <w:numId w:val="5"/>
        </w:numPr>
        <w:pBdr>
          <w:top w:val="nil"/>
          <w:left w:val="nil"/>
          <w:bottom w:val="nil"/>
          <w:right w:val="nil"/>
          <w:between w:val="nil"/>
        </w:pBdr>
        <w:spacing w:line="360" w:lineRule="auto"/>
        <w:ind w:right="-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lastRenderedPageBreak/>
        <w:t xml:space="preserve">Acto impugnado: </w:t>
      </w:r>
      <w:r>
        <w:rPr>
          <w:rFonts w:ascii="Palatino Linotype" w:eastAsia="Palatino Linotype" w:hAnsi="Palatino Linotype" w:cs="Palatino Linotype"/>
          <w:i/>
          <w:color w:val="000000"/>
          <w:sz w:val="22"/>
          <w:szCs w:val="22"/>
        </w:rPr>
        <w:t>“Respuesta solicitud de Información 00063/RAYON/IP/2023 Rayón, Estado de México a 10 de octubre del 2023 del área Unidad de Transparencia y Proyectos de Inversión” (sic)</w:t>
      </w:r>
    </w:p>
    <w:p w14:paraId="00DB969F" w14:textId="77777777" w:rsidR="00907DCD" w:rsidRDefault="00650D1F">
      <w:pPr>
        <w:numPr>
          <w:ilvl w:val="0"/>
          <w:numId w:val="5"/>
        </w:numPr>
        <w:pBdr>
          <w:top w:val="nil"/>
          <w:left w:val="nil"/>
          <w:bottom w:val="nil"/>
          <w:right w:val="nil"/>
          <w:between w:val="nil"/>
        </w:pBdr>
        <w:spacing w:line="360" w:lineRule="auto"/>
        <w:ind w:right="-25"/>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b/>
          <w:color w:val="000000"/>
          <w:sz w:val="22"/>
          <w:szCs w:val="22"/>
        </w:rPr>
        <w:t>Motivos o razones de inconformidad: “</w:t>
      </w:r>
      <w:r>
        <w:rPr>
          <w:rFonts w:ascii="Palatino Linotype" w:eastAsia="Palatino Linotype" w:hAnsi="Palatino Linotype" w:cs="Palatino Linotype"/>
          <w:i/>
          <w:color w:val="000000"/>
          <w:sz w:val="22"/>
          <w:szCs w:val="22"/>
        </w:rPr>
        <w:t>La negativa del Gobierno de Rayón 2022 2024 a proporcionar la información solicitada en esta ocasión, pudo ser motivada por ya haberse realizado alguna alteración a los registros de la Tesorería Municipal, para que la respuesta no concuerde con lo que se emitió en el Oficio: MR/TM/TRANSPARENCIA/HHI11/06/2021 Rayón, Méx., a 11 de octubre de 2021 por la misma Unidad de Transparencia.” (sic)</w:t>
      </w:r>
    </w:p>
    <w:p w14:paraId="032E13C7" w14:textId="77777777" w:rsidR="00907DCD" w:rsidRDefault="00907DCD">
      <w:pPr>
        <w:pBdr>
          <w:top w:val="nil"/>
          <w:left w:val="nil"/>
          <w:bottom w:val="nil"/>
          <w:right w:val="nil"/>
          <w:between w:val="nil"/>
        </w:pBdr>
        <w:spacing w:line="360" w:lineRule="auto"/>
        <w:ind w:left="720" w:right="-592"/>
        <w:jc w:val="both"/>
        <w:rPr>
          <w:rFonts w:ascii="Palatino Linotype" w:eastAsia="Palatino Linotype" w:hAnsi="Palatino Linotype" w:cs="Palatino Linotype"/>
          <w:b/>
          <w:color w:val="000000"/>
          <w:sz w:val="24"/>
          <w:szCs w:val="24"/>
        </w:rPr>
      </w:pPr>
    </w:p>
    <w:p w14:paraId="19B96DBF" w14:textId="77777777" w:rsidR="00907DCD" w:rsidRDefault="00650D1F">
      <w:pPr>
        <w:numPr>
          <w:ilvl w:val="0"/>
          <w:numId w:val="1"/>
        </w:num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El Recurrente adjuntó el oficio MR/TM/TRANSPARENCIA/HHI11/06/2021 suscrito por el Tesorero Municipal en el que refiere que no existe contrato de agua de la persona señalada en la solicitud.</w:t>
      </w:r>
    </w:p>
    <w:p w14:paraId="79B3FD0E" w14:textId="77777777" w:rsidR="00907DCD" w:rsidRDefault="00907DCD">
      <w:pPr>
        <w:pBdr>
          <w:top w:val="nil"/>
          <w:left w:val="nil"/>
          <w:bottom w:val="nil"/>
          <w:right w:val="nil"/>
          <w:between w:val="nil"/>
        </w:pBdr>
        <w:spacing w:line="360" w:lineRule="auto"/>
        <w:ind w:left="720" w:right="-592"/>
        <w:jc w:val="both"/>
        <w:rPr>
          <w:rFonts w:ascii="Palatino Linotype" w:eastAsia="Palatino Linotype" w:hAnsi="Palatino Linotype" w:cs="Palatino Linotype"/>
          <w:i/>
          <w:color w:val="000000"/>
          <w:sz w:val="24"/>
          <w:szCs w:val="24"/>
        </w:rPr>
      </w:pPr>
    </w:p>
    <w:p w14:paraId="08FFEA47"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Se registraron los recursos de revisión bajo los números de expediente al rubro indicados, asimismo con fundamento en lo dispuesto por el artículo 185 fracción I de la </w:t>
      </w:r>
      <w:r>
        <w:rPr>
          <w:rFonts w:ascii="Palatino Linotype" w:eastAsia="Palatino Linotype" w:hAnsi="Palatino Linotype" w:cs="Palatino Linotype"/>
          <w:b/>
          <w:color w:val="000000"/>
          <w:sz w:val="24"/>
          <w:szCs w:val="24"/>
        </w:rPr>
        <w:t xml:space="preserve">Ley de Transparencia y Acceso a la Información Pública del Estado de México y Municipios </w:t>
      </w:r>
      <w:r>
        <w:rPr>
          <w:rFonts w:ascii="Palatino Linotype" w:eastAsia="Palatino Linotype" w:hAnsi="Palatino Linotype" w:cs="Palatino Linotype"/>
          <w:color w:val="000000"/>
          <w:sz w:val="24"/>
          <w:szCs w:val="24"/>
        </w:rPr>
        <w:t xml:space="preserve">se </w:t>
      </w:r>
      <w:r>
        <w:rPr>
          <w:rFonts w:ascii="Palatino Linotype" w:eastAsia="Palatino Linotype" w:hAnsi="Palatino Linotype" w:cs="Palatino Linotype"/>
          <w:sz w:val="24"/>
          <w:szCs w:val="24"/>
        </w:rPr>
        <w:t>turna</w:t>
      </w:r>
      <w:r>
        <w:rPr>
          <w:rFonts w:ascii="Palatino Linotype" w:eastAsia="Palatino Linotype" w:hAnsi="Palatino Linotype" w:cs="Palatino Linotype"/>
          <w:color w:val="000000"/>
          <w:sz w:val="24"/>
          <w:szCs w:val="24"/>
        </w:rPr>
        <w:t xml:space="preserve"> a la </w:t>
      </w:r>
      <w:r>
        <w:rPr>
          <w:rFonts w:ascii="Palatino Linotype" w:eastAsia="Palatino Linotype" w:hAnsi="Palatino Linotype" w:cs="Palatino Linotype"/>
          <w:b/>
          <w:color w:val="000000"/>
          <w:sz w:val="24"/>
          <w:szCs w:val="24"/>
        </w:rPr>
        <w:t xml:space="preserve">Comisionada María del Rosario Mejía Ayala, </w:t>
      </w:r>
      <w:r>
        <w:rPr>
          <w:rFonts w:ascii="Palatino Linotype" w:eastAsia="Palatino Linotype" w:hAnsi="Palatino Linotype" w:cs="Palatino Linotype"/>
          <w:sz w:val="24"/>
          <w:szCs w:val="24"/>
        </w:rPr>
        <w:t>para</w:t>
      </w:r>
      <w:r>
        <w:rPr>
          <w:rFonts w:ascii="Palatino Linotype" w:eastAsia="Palatino Linotype" w:hAnsi="Palatino Linotype" w:cs="Palatino Linotype"/>
          <w:color w:val="000000"/>
          <w:sz w:val="24"/>
          <w:szCs w:val="24"/>
        </w:rPr>
        <w:t xml:space="preserve"> su análisis.</w:t>
      </w:r>
    </w:p>
    <w:p w14:paraId="5CCB5C1D" w14:textId="77777777" w:rsidR="00907DCD" w:rsidRDefault="00907DCD">
      <w:pPr>
        <w:pBdr>
          <w:top w:val="nil"/>
          <w:left w:val="nil"/>
          <w:bottom w:val="nil"/>
          <w:right w:val="nil"/>
          <w:between w:val="nil"/>
        </w:pBdr>
        <w:spacing w:line="360" w:lineRule="auto"/>
        <w:ind w:right="-592"/>
        <w:jc w:val="both"/>
        <w:rPr>
          <w:rFonts w:ascii="Palatino Linotype" w:eastAsia="Palatino Linotype" w:hAnsi="Palatino Linotype" w:cs="Palatino Linotype"/>
          <w:color w:val="000000"/>
          <w:sz w:val="24"/>
          <w:szCs w:val="24"/>
        </w:rPr>
      </w:pPr>
    </w:p>
    <w:p w14:paraId="0099B8D4"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La Comisionada Ponente con fundamento en lo dispuesto por el artículo 185 fracción II de la ley de la materia, a través del acuerdo de admisión de fecha dieciocho (18) de octubre de dos mil veintitrés, puso a disposición de las partes el expediente electrónico vía </w:t>
      </w:r>
      <w:r>
        <w:rPr>
          <w:rFonts w:ascii="Palatino Linotype" w:eastAsia="Palatino Linotype" w:hAnsi="Palatino Linotype" w:cs="Palatino Linotype"/>
          <w:b/>
          <w:color w:val="000000"/>
          <w:sz w:val="24"/>
          <w:szCs w:val="24"/>
        </w:rPr>
        <w:t xml:space="preserve">SAIMEX </w:t>
      </w:r>
      <w:r>
        <w:rPr>
          <w:rFonts w:ascii="Palatino Linotype" w:eastAsia="Palatino Linotype" w:hAnsi="Palatino Linotype" w:cs="Palatino Linotype"/>
          <w:color w:val="000000"/>
          <w:sz w:val="24"/>
          <w:szCs w:val="24"/>
        </w:rPr>
        <w:t xml:space="preserve">a efecto de que en un plazo máximo de siete días </w:t>
      </w:r>
      <w:r>
        <w:rPr>
          <w:rFonts w:ascii="Palatino Linotype" w:eastAsia="Palatino Linotype" w:hAnsi="Palatino Linotype" w:cs="Palatino Linotype"/>
          <w:sz w:val="24"/>
          <w:szCs w:val="24"/>
        </w:rPr>
        <w:t>manifestara</w:t>
      </w:r>
      <w:r>
        <w:rPr>
          <w:rFonts w:ascii="Palatino Linotype" w:eastAsia="Palatino Linotype" w:hAnsi="Palatino Linotype" w:cs="Palatino Linotype"/>
          <w:color w:val="000000"/>
          <w:sz w:val="24"/>
          <w:szCs w:val="24"/>
        </w:rPr>
        <w:t xml:space="preserve"> lo que a derecho </w:t>
      </w:r>
      <w:r>
        <w:rPr>
          <w:rFonts w:ascii="Palatino Linotype" w:eastAsia="Palatino Linotype" w:hAnsi="Palatino Linotype" w:cs="Palatino Linotype"/>
          <w:sz w:val="24"/>
          <w:szCs w:val="24"/>
        </w:rPr>
        <w:t>conviniera</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lastRenderedPageBreak/>
        <w:t>ofreciera</w:t>
      </w:r>
      <w:r>
        <w:rPr>
          <w:rFonts w:ascii="Palatino Linotype" w:eastAsia="Palatino Linotype" w:hAnsi="Palatino Linotype" w:cs="Palatino Linotype"/>
          <w:color w:val="000000"/>
          <w:sz w:val="24"/>
          <w:szCs w:val="24"/>
        </w:rPr>
        <w:t xml:space="preserve"> pruebas y alegatos según corresponda al caso concreto, de esta forma para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sz w:val="24"/>
          <w:szCs w:val="24"/>
        </w:rPr>
        <w:t>presentará</w:t>
      </w:r>
      <w:r>
        <w:rPr>
          <w:rFonts w:ascii="Palatino Linotype" w:eastAsia="Palatino Linotype" w:hAnsi="Palatino Linotype" w:cs="Palatino Linotype"/>
          <w:color w:val="000000"/>
          <w:sz w:val="24"/>
          <w:szCs w:val="24"/>
        </w:rPr>
        <w:t xml:space="preserve"> el informe justificado procedente.</w:t>
      </w:r>
    </w:p>
    <w:p w14:paraId="24544CE6" w14:textId="77777777" w:rsidR="00907DCD" w:rsidRDefault="00907DCD">
      <w:pPr>
        <w:pBdr>
          <w:top w:val="nil"/>
          <w:left w:val="nil"/>
          <w:bottom w:val="nil"/>
          <w:right w:val="nil"/>
          <w:between w:val="nil"/>
        </w:pBdr>
        <w:ind w:left="720" w:right="-592"/>
        <w:rPr>
          <w:rFonts w:ascii="Palatino Linotype" w:eastAsia="Palatino Linotype" w:hAnsi="Palatino Linotype" w:cs="Palatino Linotype"/>
          <w:i/>
          <w:color w:val="000000"/>
          <w:sz w:val="24"/>
          <w:szCs w:val="24"/>
        </w:rPr>
      </w:pPr>
    </w:p>
    <w:p w14:paraId="5116C9A7" w14:textId="77777777" w:rsidR="00907DCD" w:rsidRDefault="00650D1F">
      <w:pPr>
        <w:numPr>
          <w:ilvl w:val="0"/>
          <w:numId w:val="6"/>
        </w:numPr>
        <w:tabs>
          <w:tab w:val="left" w:pos="284"/>
        </w:tabs>
        <w:spacing w:before="240" w:after="240"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El </w:t>
      </w:r>
      <w:r>
        <w:rPr>
          <w:rFonts w:ascii="Palatino Linotype" w:eastAsia="Palatino Linotype" w:hAnsi="Palatino Linotype" w:cs="Palatino Linotype"/>
          <w:b/>
          <w:color w:val="000000"/>
          <w:sz w:val="24"/>
          <w:szCs w:val="24"/>
        </w:rPr>
        <w:t xml:space="preserve">SUJETO OBLIGADO </w:t>
      </w:r>
      <w:r>
        <w:rPr>
          <w:rFonts w:ascii="Palatino Linotype" w:eastAsia="Palatino Linotype" w:hAnsi="Palatino Linotype" w:cs="Palatino Linotype"/>
          <w:color w:val="000000"/>
          <w:sz w:val="24"/>
          <w:szCs w:val="24"/>
        </w:rPr>
        <w:t xml:space="preserve">rindió informe justificado el seis (6) de noviembre de dos mil veintitrés a través de los documentos electrónicos </w:t>
      </w:r>
      <w:r>
        <w:rPr>
          <w:rFonts w:ascii="Palatino Linotype" w:eastAsia="Palatino Linotype" w:hAnsi="Palatino Linotype" w:cs="Palatino Linotype"/>
          <w:b/>
          <w:color w:val="000000"/>
          <w:sz w:val="24"/>
          <w:szCs w:val="24"/>
        </w:rPr>
        <w:t xml:space="preserve">acuerdo 632023.pdf; </w:t>
      </w:r>
      <w:proofErr w:type="spellStart"/>
      <w:r>
        <w:rPr>
          <w:rFonts w:ascii="Palatino Linotype" w:eastAsia="Palatino Linotype" w:hAnsi="Palatino Linotype" w:cs="Palatino Linotype"/>
          <w:b/>
          <w:color w:val="000000"/>
          <w:sz w:val="24"/>
          <w:szCs w:val="24"/>
        </w:rPr>
        <w:t>y</w:t>
      </w:r>
      <w:proofErr w:type="spellEnd"/>
      <w:r>
        <w:rPr>
          <w:rFonts w:ascii="Palatino Linotype" w:eastAsia="Palatino Linotype" w:hAnsi="Palatino Linotype" w:cs="Palatino Linotype"/>
          <w:b/>
          <w:color w:val="000000"/>
          <w:sz w:val="24"/>
          <w:szCs w:val="24"/>
        </w:rPr>
        <w:t xml:space="preserve"> informe 632023.pdf, </w:t>
      </w:r>
      <w:r>
        <w:rPr>
          <w:rFonts w:ascii="Palatino Linotype" w:eastAsia="Palatino Linotype" w:hAnsi="Palatino Linotype" w:cs="Palatino Linotype"/>
          <w:color w:val="000000"/>
          <w:sz w:val="24"/>
          <w:szCs w:val="24"/>
        </w:rPr>
        <w:t>los cuales se pusieron a la vista del Recurrente el nueve (9) de septiembre de dos mil veinticuatro; sin embargo, se describe su contenido medular, siendo el siguiente:</w:t>
      </w:r>
    </w:p>
    <w:p w14:paraId="7242F68D" w14:textId="77777777" w:rsidR="00907DCD" w:rsidRDefault="00650D1F">
      <w:pPr>
        <w:numPr>
          <w:ilvl w:val="0"/>
          <w:numId w:val="2"/>
        </w:numPr>
        <w:pBdr>
          <w:top w:val="nil"/>
          <w:left w:val="nil"/>
          <w:bottom w:val="nil"/>
          <w:right w:val="nil"/>
          <w:between w:val="nil"/>
        </w:pBdr>
        <w:tabs>
          <w:tab w:val="left" w:pos="284"/>
        </w:tabs>
        <w:spacing w:before="240" w:line="360" w:lineRule="auto"/>
        <w:ind w:left="567" w:right="115"/>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acuerdo 632023.pdf: </w:t>
      </w:r>
      <w:r>
        <w:rPr>
          <w:rFonts w:ascii="Palatino Linotype" w:eastAsia="Palatino Linotype" w:hAnsi="Palatino Linotype" w:cs="Palatino Linotype"/>
          <w:color w:val="000000"/>
          <w:sz w:val="22"/>
          <w:szCs w:val="22"/>
        </w:rPr>
        <w:t>Acuerdo CT/AC/001-2023 de fecha 11 de octubre de dos mil veintitrés</w:t>
      </w:r>
      <w:r>
        <w:rPr>
          <w:rFonts w:ascii="Palatino Linotype" w:eastAsia="Palatino Linotype" w:hAnsi="Palatino Linotype" w:cs="Palatino Linotype"/>
          <w:b/>
          <w:color w:val="000000"/>
          <w:sz w:val="22"/>
          <w:szCs w:val="22"/>
        </w:rPr>
        <w:t xml:space="preserve"> </w:t>
      </w:r>
      <w:r>
        <w:rPr>
          <w:rFonts w:ascii="Palatino Linotype" w:eastAsia="Palatino Linotype" w:hAnsi="Palatino Linotype" w:cs="Palatino Linotype"/>
          <w:color w:val="000000"/>
          <w:sz w:val="22"/>
          <w:szCs w:val="22"/>
        </w:rPr>
        <w:t>en el que se clasifica como información confidencial el Sistema de Datos Personales denominado “Padrón de Tomas de Agua”;</w:t>
      </w:r>
    </w:p>
    <w:p w14:paraId="0DF97085" w14:textId="77777777" w:rsidR="00907DCD" w:rsidRDefault="00650D1F">
      <w:pPr>
        <w:numPr>
          <w:ilvl w:val="0"/>
          <w:numId w:val="2"/>
        </w:numPr>
        <w:pBdr>
          <w:top w:val="nil"/>
          <w:left w:val="nil"/>
          <w:bottom w:val="nil"/>
          <w:right w:val="nil"/>
          <w:between w:val="nil"/>
        </w:pBdr>
        <w:tabs>
          <w:tab w:val="left" w:pos="284"/>
        </w:tabs>
        <w:spacing w:after="240" w:line="360" w:lineRule="auto"/>
        <w:ind w:left="567" w:right="115"/>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color w:val="000000"/>
          <w:sz w:val="22"/>
          <w:szCs w:val="22"/>
        </w:rPr>
        <w:t xml:space="preserve">informe 632023.pdf: </w:t>
      </w:r>
      <w:r>
        <w:rPr>
          <w:rFonts w:ascii="Palatino Linotype" w:eastAsia="Palatino Linotype" w:hAnsi="Palatino Linotype" w:cs="Palatino Linotype"/>
          <w:color w:val="000000"/>
          <w:sz w:val="22"/>
          <w:szCs w:val="22"/>
        </w:rPr>
        <w:t xml:space="preserve">Documento suscrito por la Titular de la Unidad de Transparencia mediante el cual indica que se adjunta el acuerdo que sustenta la clasificación de la información que refiere el Recurrente en su escrito </w:t>
      </w:r>
      <w:proofErr w:type="spellStart"/>
      <w:r>
        <w:rPr>
          <w:rFonts w:ascii="Palatino Linotype" w:eastAsia="Palatino Linotype" w:hAnsi="Palatino Linotype" w:cs="Palatino Linotype"/>
          <w:color w:val="000000"/>
          <w:sz w:val="22"/>
          <w:szCs w:val="22"/>
        </w:rPr>
        <w:t>recursal</w:t>
      </w:r>
      <w:proofErr w:type="spellEnd"/>
      <w:r>
        <w:rPr>
          <w:rFonts w:ascii="Palatino Linotype" w:eastAsia="Palatino Linotype" w:hAnsi="Palatino Linotype" w:cs="Palatino Linotype"/>
          <w:color w:val="000000"/>
          <w:sz w:val="22"/>
          <w:szCs w:val="22"/>
        </w:rPr>
        <w:t>.</w:t>
      </w:r>
    </w:p>
    <w:p w14:paraId="355E4402" w14:textId="77777777" w:rsidR="00907DCD" w:rsidRDefault="00907DCD">
      <w:pPr>
        <w:tabs>
          <w:tab w:val="left" w:pos="284"/>
        </w:tabs>
        <w:spacing w:before="240" w:line="360" w:lineRule="auto"/>
        <w:ind w:right="-592"/>
        <w:jc w:val="both"/>
        <w:rPr>
          <w:rFonts w:ascii="Palatino Linotype" w:eastAsia="Palatino Linotype" w:hAnsi="Palatino Linotype" w:cs="Palatino Linotype"/>
          <w:i/>
          <w:color w:val="000000"/>
          <w:sz w:val="24"/>
          <w:szCs w:val="24"/>
        </w:rPr>
      </w:pPr>
    </w:p>
    <w:p w14:paraId="7C63C236" w14:textId="77777777" w:rsidR="00907DCD" w:rsidRDefault="00650D1F">
      <w:pPr>
        <w:numPr>
          <w:ilvl w:val="0"/>
          <w:numId w:val="6"/>
        </w:numPr>
        <w:tabs>
          <w:tab w:val="left" w:pos="284"/>
        </w:tabs>
        <w:spacing w:line="360" w:lineRule="auto"/>
        <w:ind w:left="0" w:right="-592" w:firstLine="0"/>
        <w:jc w:val="both"/>
        <w:rPr>
          <w:color w:val="000000"/>
        </w:rPr>
      </w:pPr>
      <w:r>
        <w:rPr>
          <w:rFonts w:ascii="Palatino Linotype" w:eastAsia="Palatino Linotype" w:hAnsi="Palatino Linotype" w:cs="Palatino Linotype"/>
          <w:color w:val="000000"/>
          <w:sz w:val="24"/>
          <w:szCs w:val="24"/>
        </w:rPr>
        <w:t>Por su parte, el Recurrente adjuntó el documento electrónico denominado</w:t>
      </w:r>
      <w:r>
        <w:rPr>
          <w:rFonts w:ascii="Palatino Linotype" w:eastAsia="Palatino Linotype" w:hAnsi="Palatino Linotype" w:cs="Palatino Linotype"/>
          <w:sz w:val="24"/>
          <w:szCs w:val="24"/>
        </w:rPr>
        <w:t>.</w:t>
      </w:r>
    </w:p>
    <w:p w14:paraId="1A1E8862" w14:textId="77777777" w:rsidR="00907DCD" w:rsidRDefault="00907DCD">
      <w:pPr>
        <w:tabs>
          <w:tab w:val="left" w:pos="284"/>
        </w:tabs>
        <w:spacing w:line="360" w:lineRule="auto"/>
        <w:ind w:left="4613" w:right="-592"/>
        <w:jc w:val="both"/>
        <w:rPr>
          <w:rFonts w:ascii="Palatino Linotype" w:eastAsia="Palatino Linotype" w:hAnsi="Palatino Linotype" w:cs="Palatino Linotype"/>
          <w:sz w:val="24"/>
          <w:szCs w:val="24"/>
        </w:rPr>
      </w:pPr>
    </w:p>
    <w:p w14:paraId="2062C755" w14:textId="77777777" w:rsidR="00907DCD" w:rsidRDefault="00650D1F">
      <w:pPr>
        <w:numPr>
          <w:ilvl w:val="0"/>
          <w:numId w:val="6"/>
        </w:numPr>
        <w:tabs>
          <w:tab w:val="left" w:pos="284"/>
        </w:tabs>
        <w:spacing w:after="240" w:line="360" w:lineRule="auto"/>
        <w:ind w:left="0" w:right="-592" w:firstLine="0"/>
        <w:jc w:val="both"/>
        <w:rPr>
          <w:color w:val="000000"/>
        </w:rPr>
      </w:pPr>
      <w:r>
        <w:rPr>
          <w:rFonts w:ascii="Palatino Linotype" w:eastAsia="Palatino Linotype" w:hAnsi="Palatino Linotype" w:cs="Palatino Linotype"/>
          <w:color w:val="000000"/>
          <w:sz w:val="24"/>
          <w:szCs w:val="24"/>
        </w:rPr>
        <w:t>El dos (2) de febrero de dos mil veinticuatro, se notificó el acuerdo mediante el cual se amplió el plazo para emitir resolución.</w:t>
      </w:r>
    </w:p>
    <w:p w14:paraId="0885D668" w14:textId="77777777" w:rsidR="00907DCD" w:rsidRDefault="00650D1F">
      <w:pPr>
        <w:numPr>
          <w:ilvl w:val="0"/>
          <w:numId w:val="6"/>
        </w:numPr>
        <w:pBdr>
          <w:top w:val="nil"/>
          <w:left w:val="nil"/>
          <w:bottom w:val="nil"/>
          <w:right w:val="nil"/>
          <w:between w:val="nil"/>
        </w:pBdr>
        <w:spacing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El trece (13) de septiembre de dos mil veintitrés, la Comisionada Ponente decretó el cierre de instrucción, por lo que </w:t>
      </w:r>
      <w:r>
        <w:rPr>
          <w:rFonts w:ascii="Palatino Linotype" w:eastAsia="Palatino Linotype" w:hAnsi="Palatino Linotype" w:cs="Palatino Linotype"/>
          <w:sz w:val="24"/>
          <w:szCs w:val="24"/>
        </w:rPr>
        <w:t>tornó</w:t>
      </w:r>
      <w:r>
        <w:rPr>
          <w:rFonts w:ascii="Palatino Linotype" w:eastAsia="Palatino Linotype" w:hAnsi="Palatino Linotype" w:cs="Palatino Linotype"/>
          <w:color w:val="000000"/>
          <w:sz w:val="24"/>
          <w:szCs w:val="24"/>
        </w:rPr>
        <w:t xml:space="preserve"> la presente resolución para su aprobación.</w:t>
      </w:r>
    </w:p>
    <w:p w14:paraId="117F150C" w14:textId="77777777" w:rsidR="00907DCD" w:rsidRDefault="00650D1F">
      <w:pPr>
        <w:pStyle w:val="Ttulo1"/>
        <w:ind w:right="-592"/>
        <w:jc w:val="center"/>
        <w:rPr>
          <w:rFonts w:ascii="Palatino Linotype" w:eastAsia="Palatino Linotype" w:hAnsi="Palatino Linotype" w:cs="Palatino Linotype"/>
          <w:b/>
          <w:color w:val="000000"/>
          <w:sz w:val="24"/>
          <w:szCs w:val="24"/>
        </w:rPr>
      </w:pPr>
      <w:bookmarkStart w:id="2" w:name="_heading=h.1fob9te" w:colFirst="0" w:colLast="0"/>
      <w:bookmarkEnd w:id="2"/>
      <w:r>
        <w:rPr>
          <w:rFonts w:ascii="Palatino Linotype" w:eastAsia="Palatino Linotype" w:hAnsi="Palatino Linotype" w:cs="Palatino Linotype"/>
          <w:b/>
          <w:color w:val="000000"/>
          <w:sz w:val="24"/>
          <w:szCs w:val="24"/>
        </w:rPr>
        <w:lastRenderedPageBreak/>
        <w:t xml:space="preserve">C O N S I D E R A N D O </w:t>
      </w:r>
    </w:p>
    <w:p w14:paraId="535728DA" w14:textId="77777777" w:rsidR="00907DCD" w:rsidRDefault="00907DCD">
      <w:pPr>
        <w:ind w:right="-592"/>
        <w:rPr>
          <w:rFonts w:ascii="Palatino Linotype" w:eastAsia="Palatino Linotype" w:hAnsi="Palatino Linotype" w:cs="Palatino Linotype"/>
          <w:sz w:val="24"/>
          <w:szCs w:val="24"/>
        </w:rPr>
      </w:pPr>
    </w:p>
    <w:p w14:paraId="51C71593" w14:textId="77777777" w:rsidR="00907DCD" w:rsidRDefault="00650D1F">
      <w:pPr>
        <w:pStyle w:val="Ttulo2"/>
        <w:ind w:right="-592"/>
        <w:rPr>
          <w:rFonts w:ascii="Palatino Linotype" w:eastAsia="Palatino Linotype" w:hAnsi="Palatino Linotype" w:cs="Palatino Linotype"/>
          <w:b/>
          <w:color w:val="000000"/>
          <w:sz w:val="24"/>
          <w:szCs w:val="24"/>
        </w:rPr>
      </w:pPr>
      <w:bookmarkStart w:id="3" w:name="_heading=h.3znysh7" w:colFirst="0" w:colLast="0"/>
      <w:bookmarkEnd w:id="3"/>
      <w:r>
        <w:rPr>
          <w:rFonts w:ascii="Palatino Linotype" w:eastAsia="Palatino Linotype" w:hAnsi="Palatino Linotype" w:cs="Palatino Linotype"/>
          <w:b/>
          <w:color w:val="000000"/>
          <w:sz w:val="24"/>
          <w:szCs w:val="24"/>
        </w:rPr>
        <w:t>PRIMERO. De la competencia</w:t>
      </w:r>
    </w:p>
    <w:p w14:paraId="5D939532" w14:textId="77777777" w:rsidR="00907DCD" w:rsidRDefault="00650D1F">
      <w:pPr>
        <w:numPr>
          <w:ilvl w:val="0"/>
          <w:numId w:val="6"/>
        </w:numPr>
        <w:pBdr>
          <w:top w:val="nil"/>
          <w:left w:val="nil"/>
          <w:bottom w:val="nil"/>
          <w:right w:val="nil"/>
          <w:between w:val="nil"/>
        </w:pBdr>
        <w:spacing w:before="240" w:after="240" w:line="360" w:lineRule="auto"/>
        <w:ind w:left="0" w:right="-592" w:firstLine="0"/>
        <w:jc w:val="both"/>
        <w:rPr>
          <w:color w:val="000000"/>
        </w:rPr>
      </w:pPr>
      <w:r>
        <w:rPr>
          <w:rFonts w:ascii="Palatino Linotype" w:eastAsia="Palatino Linotype" w:hAnsi="Palatino Linotype" w:cs="Palatino Linotype"/>
          <w:color w:val="000000"/>
          <w:sz w:val="24"/>
          <w:szCs w:val="24"/>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Pr>
          <w:rFonts w:ascii="Palatino Linotype" w:eastAsia="Palatino Linotype" w:hAnsi="Palatino Linotype" w:cs="Palatino Linotype"/>
          <w:b/>
          <w:color w:val="000000"/>
          <w:sz w:val="24"/>
          <w:szCs w:val="24"/>
        </w:rPr>
        <w:t>Constitución Política de los Estados Unidos Mexicanos</w:t>
      </w:r>
      <w:r>
        <w:rPr>
          <w:rFonts w:ascii="Palatino Linotype" w:eastAsia="Palatino Linotype" w:hAnsi="Palatino Linotype" w:cs="Palatino Linotype"/>
          <w:color w:val="000000"/>
          <w:sz w:val="24"/>
          <w:szCs w:val="24"/>
        </w:rPr>
        <w:t xml:space="preserve">; 5, párrafos </w:t>
      </w:r>
      <w:r>
        <w:rPr>
          <w:rFonts w:ascii="Palatino Linotype" w:eastAsia="Palatino Linotype" w:hAnsi="Palatino Linotype" w:cs="Palatino Linotype"/>
          <w:color w:val="222222"/>
          <w:sz w:val="24"/>
          <w:szCs w:val="24"/>
        </w:rPr>
        <w:t>trigésimo y trigésimo primero fracciones</w:t>
      </w:r>
      <w:r>
        <w:rPr>
          <w:rFonts w:ascii="Palatino Linotype" w:eastAsia="Palatino Linotype" w:hAnsi="Palatino Linotype" w:cs="Palatino Linotype"/>
          <w:color w:val="000000"/>
          <w:sz w:val="24"/>
          <w:szCs w:val="24"/>
        </w:rPr>
        <w:t xml:space="preserve"> IV y V de la </w:t>
      </w:r>
      <w:r>
        <w:rPr>
          <w:rFonts w:ascii="Palatino Linotype" w:eastAsia="Palatino Linotype" w:hAnsi="Palatino Linotype" w:cs="Palatino Linotype"/>
          <w:b/>
          <w:color w:val="000000"/>
          <w:sz w:val="24"/>
          <w:szCs w:val="24"/>
        </w:rPr>
        <w:t>Constitución Política del Estado Libre y Soberano de México</w:t>
      </w:r>
      <w:r>
        <w:rPr>
          <w:rFonts w:ascii="Palatino Linotype" w:eastAsia="Palatino Linotype" w:hAnsi="Palatino Linotype" w:cs="Palatino Linotype"/>
          <w:color w:val="000000"/>
          <w:sz w:val="24"/>
          <w:szCs w:val="24"/>
        </w:rPr>
        <w:t xml:space="preserve">; artículos 1, 2 fracción II, 13, 29, 36 fracciones I y II, 176, 178, 179, 181 párrafo tercero y 185 de la </w:t>
      </w:r>
      <w:r>
        <w:rPr>
          <w:rFonts w:ascii="Palatino Linotype" w:eastAsia="Palatino Linotype" w:hAnsi="Palatino Linotype" w:cs="Palatino Linotype"/>
          <w:b/>
          <w:color w:val="000000"/>
          <w:sz w:val="24"/>
          <w:szCs w:val="24"/>
        </w:rPr>
        <w:t>Ley de Transparencia y Acceso a la Información Pública del Estado de México y Municipios</w:t>
      </w:r>
      <w:r>
        <w:rPr>
          <w:rFonts w:ascii="Palatino Linotype" w:eastAsia="Palatino Linotype" w:hAnsi="Palatino Linotype" w:cs="Palatino Linotype"/>
          <w:color w:val="000000"/>
          <w:sz w:val="24"/>
          <w:szCs w:val="24"/>
        </w:rPr>
        <w:t xml:space="preserve">; y 7, 9 fracciones I y XXIV, y 11 del </w:t>
      </w:r>
      <w:r>
        <w:rPr>
          <w:rFonts w:ascii="Palatino Linotype" w:eastAsia="Palatino Linotype" w:hAnsi="Palatino Linotype" w:cs="Palatino Linotype"/>
          <w:b/>
          <w:color w:val="000000"/>
          <w:sz w:val="24"/>
          <w:szCs w:val="24"/>
        </w:rPr>
        <w:t>Reglamento Interior del Instituto de Transparencia, Acceso a la Información Pública y Protección de Datos Personales del Estado de México y Municipios</w:t>
      </w:r>
      <w:r>
        <w:rPr>
          <w:rFonts w:ascii="Palatino Linotype" w:eastAsia="Palatino Linotype" w:hAnsi="Palatino Linotype" w:cs="Palatino Linotype"/>
          <w:color w:val="000000"/>
          <w:sz w:val="24"/>
          <w:szCs w:val="24"/>
        </w:rPr>
        <w:t>.</w:t>
      </w:r>
    </w:p>
    <w:p w14:paraId="01CF957B" w14:textId="77777777" w:rsidR="00907DCD" w:rsidRDefault="00650D1F">
      <w:pPr>
        <w:pStyle w:val="Ttulo2"/>
        <w:ind w:right="-592"/>
        <w:rPr>
          <w:rFonts w:ascii="Palatino Linotype" w:eastAsia="Palatino Linotype" w:hAnsi="Palatino Linotype" w:cs="Palatino Linotype"/>
          <w:b/>
          <w:color w:val="000000"/>
          <w:sz w:val="24"/>
          <w:szCs w:val="24"/>
        </w:rPr>
      </w:pPr>
      <w:bookmarkStart w:id="4" w:name="_heading=h.2et92p0" w:colFirst="0" w:colLast="0"/>
      <w:bookmarkEnd w:id="4"/>
      <w:r>
        <w:rPr>
          <w:rFonts w:ascii="Palatino Linotype" w:eastAsia="Palatino Linotype" w:hAnsi="Palatino Linotype" w:cs="Palatino Linotype"/>
          <w:b/>
          <w:color w:val="000000"/>
          <w:sz w:val="24"/>
          <w:szCs w:val="24"/>
        </w:rPr>
        <w:t>SEGUNDO. De la oportunidad y procedencia.</w:t>
      </w:r>
    </w:p>
    <w:p w14:paraId="13A63BE5" w14:textId="77777777" w:rsidR="00920425" w:rsidRPr="00920425" w:rsidRDefault="00920425" w:rsidP="00920425">
      <w:pPr>
        <w:rPr>
          <w:rFonts w:eastAsia="Palatino Linotype"/>
        </w:rPr>
      </w:pPr>
    </w:p>
    <w:p w14:paraId="6B547A1C" w14:textId="77777777" w:rsidR="00907DCD" w:rsidRDefault="00650D1F">
      <w:pPr>
        <w:numPr>
          <w:ilvl w:val="0"/>
          <w:numId w:val="6"/>
        </w:numPr>
        <w:pBdr>
          <w:top w:val="nil"/>
          <w:left w:val="nil"/>
          <w:bottom w:val="nil"/>
          <w:right w:val="nil"/>
          <w:between w:val="nil"/>
        </w:pBdr>
        <w:tabs>
          <w:tab w:val="left" w:pos="426"/>
        </w:tabs>
        <w:spacing w:line="360" w:lineRule="auto"/>
        <w:ind w:left="0" w:right="-592" w:firstLine="0"/>
        <w:jc w:val="both"/>
        <w:rPr>
          <w:color w:val="000000"/>
        </w:rPr>
      </w:pPr>
      <w:bookmarkStart w:id="5" w:name="_heading=h.tyjcwt" w:colFirst="0" w:colLast="0"/>
      <w:bookmarkEnd w:id="5"/>
      <w:r>
        <w:rPr>
          <w:rFonts w:ascii="Palatino Linotype" w:eastAsia="Palatino Linotype" w:hAnsi="Palatino Linotype" w:cs="Palatino Linotype"/>
          <w:color w:val="000000"/>
          <w:sz w:val="24"/>
          <w:szCs w:val="24"/>
        </w:rPr>
        <w:t xml:space="preserve">El medio de impugnación fue presentado a través del SAIMEX en el formato previamente aprobado para tal efecto y dentro del plazo legal de quince días hábiles otorgados; siendo así que 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entregó respuesta el diez (10) de octubre de dos mil veintitrés, de tal forma que el plazo para interponer el recurso de revisión transcurrió del once (11) al treinta y uno (31) de octubre de dos mil veintitrés, el recurso de revisión fue interpuesto el once (11) de octubre de dos mil veintitrés, éste se encuentra </w:t>
      </w:r>
      <w:r>
        <w:rPr>
          <w:rFonts w:ascii="Palatino Linotype" w:eastAsia="Palatino Linotype" w:hAnsi="Palatino Linotype" w:cs="Palatino Linotype"/>
          <w:color w:val="000000"/>
          <w:sz w:val="24"/>
          <w:szCs w:val="24"/>
        </w:rPr>
        <w:lastRenderedPageBreak/>
        <w:t>dentro de los márgenes temporales previstos en el artículo 178 de la Ley de Transparencia y Acceso a la Información Pública del Estado de México y Municipios</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 xml:space="preserve">vigente. </w:t>
      </w:r>
    </w:p>
    <w:p w14:paraId="22DD84AD" w14:textId="77777777" w:rsidR="00907DCD" w:rsidRDefault="00907DCD">
      <w:pPr>
        <w:tabs>
          <w:tab w:val="left" w:pos="426"/>
        </w:tabs>
        <w:spacing w:line="360" w:lineRule="auto"/>
        <w:ind w:right="-592"/>
        <w:jc w:val="both"/>
        <w:rPr>
          <w:rFonts w:ascii="Palatino Linotype" w:eastAsia="Palatino Linotype" w:hAnsi="Palatino Linotype" w:cs="Palatino Linotype"/>
          <w:color w:val="000000"/>
          <w:sz w:val="24"/>
          <w:szCs w:val="24"/>
        </w:rPr>
      </w:pPr>
    </w:p>
    <w:p w14:paraId="2737A81B" w14:textId="77777777" w:rsidR="00907DCD" w:rsidRPr="00920425" w:rsidRDefault="00650D1F">
      <w:pPr>
        <w:numPr>
          <w:ilvl w:val="0"/>
          <w:numId w:val="6"/>
        </w:numPr>
        <w:pBdr>
          <w:top w:val="nil"/>
          <w:left w:val="nil"/>
          <w:bottom w:val="nil"/>
          <w:right w:val="nil"/>
          <w:between w:val="nil"/>
        </w:pBdr>
        <w:tabs>
          <w:tab w:val="left" w:pos="426"/>
        </w:tabs>
        <w:spacing w:line="360" w:lineRule="auto"/>
        <w:ind w:left="0" w:right="-592" w:firstLine="0"/>
        <w:jc w:val="both"/>
        <w:rPr>
          <w:color w:val="000000"/>
        </w:rPr>
      </w:pPr>
      <w:r>
        <w:rPr>
          <w:rFonts w:ascii="Palatino Linotype" w:eastAsia="Palatino Linotype" w:hAnsi="Palatino Linotype" w:cs="Palatino Linotype"/>
          <w:color w:val="000000"/>
          <w:sz w:val="24"/>
          <w:szCs w:val="24"/>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D38E3AF" w14:textId="77777777" w:rsidR="00920425" w:rsidRPr="00920425" w:rsidRDefault="00920425" w:rsidP="00920425">
      <w:pPr>
        <w:rPr>
          <w:color w:val="000000"/>
        </w:rPr>
      </w:pPr>
    </w:p>
    <w:p w14:paraId="2A837C2E" w14:textId="77777777" w:rsidR="00920425" w:rsidRPr="0085379B" w:rsidRDefault="00920425" w:rsidP="00920425">
      <w:pPr>
        <w:pStyle w:val="Ttulo2"/>
        <w:tabs>
          <w:tab w:val="left" w:pos="0"/>
        </w:tabs>
        <w:spacing w:before="0" w:line="360" w:lineRule="auto"/>
        <w:rPr>
          <w:rFonts w:ascii="Palatino Linotype" w:hAnsi="Palatino Linotype"/>
          <w:b/>
          <w:color w:val="auto"/>
          <w:sz w:val="24"/>
          <w:szCs w:val="24"/>
        </w:rPr>
      </w:pPr>
      <w:r w:rsidRPr="0085379B">
        <w:rPr>
          <w:rFonts w:ascii="Palatino Linotype" w:hAnsi="Palatino Linotype"/>
          <w:b/>
          <w:color w:val="auto"/>
          <w:sz w:val="24"/>
          <w:szCs w:val="24"/>
        </w:rPr>
        <w:t xml:space="preserve">TERCERO. De las causales de sobreseimiento </w:t>
      </w:r>
    </w:p>
    <w:p w14:paraId="113FAEC1"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bookmarkStart w:id="6" w:name="_Toc529263621"/>
      <w:bookmarkStart w:id="7" w:name="_Toc530650937"/>
      <w:bookmarkStart w:id="8" w:name="_Toc535334654"/>
      <w:bookmarkStart w:id="9" w:name="_Toc2248735"/>
    </w:p>
    <w:p w14:paraId="531FE4E0"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rPr>
        <w:t xml:space="preserve">El recurso de revisión </w:t>
      </w:r>
      <w:r w:rsidRPr="0085379B">
        <w:rPr>
          <w:rFonts w:ascii="Palatino Linotype" w:hAnsi="Palatino Linotype" w:cs="Arial"/>
          <w:sz w:val="24"/>
        </w:rPr>
        <w:t xml:space="preserve">tiene como finalidad reparar cualquier posible afectación al derecho de acceso a la información pública en términos del Título Octavo de la Ley de </w:t>
      </w:r>
      <w:r w:rsidRPr="0085379B">
        <w:rPr>
          <w:rFonts w:ascii="Palatino Linotype" w:eastAsia="Calibri" w:hAnsi="Palatino Linotype" w:cs="Arial"/>
          <w:sz w:val="24"/>
        </w:rPr>
        <w:t>Transparencia, Acceso a la Información Pública del Estado de México y Municipios</w:t>
      </w:r>
      <w:r w:rsidRPr="0085379B">
        <w:rPr>
          <w:rFonts w:ascii="Palatino Linotype" w:hAnsi="Palatino Linotype" w:cs="Arial"/>
          <w:sz w:val="24"/>
        </w:rPr>
        <w:t xml:space="preserve">, y determinar la confirmación; revocación o modificación; </w:t>
      </w:r>
      <w:proofErr w:type="spellStart"/>
      <w:r w:rsidRPr="0085379B">
        <w:rPr>
          <w:rFonts w:ascii="Palatino Linotype" w:hAnsi="Palatino Linotype" w:cs="Arial"/>
          <w:sz w:val="24"/>
        </w:rPr>
        <w:t>desechamiento</w:t>
      </w:r>
      <w:proofErr w:type="spellEnd"/>
      <w:r w:rsidRPr="0085379B">
        <w:rPr>
          <w:rFonts w:ascii="Palatino Linotype" w:hAnsi="Palatino Linotype" w:cs="Arial"/>
          <w:sz w:val="24"/>
        </w:rPr>
        <w:t xml:space="preserve"> o </w:t>
      </w:r>
      <w:r w:rsidRPr="0085379B">
        <w:rPr>
          <w:rFonts w:ascii="Palatino Linotype" w:hAnsi="Palatino Linotype" w:cs="Arial"/>
          <w:b/>
          <w:sz w:val="24"/>
          <w:u w:val="single"/>
        </w:rPr>
        <w:t>sobreseimiento</w:t>
      </w:r>
      <w:r w:rsidRPr="0085379B">
        <w:rPr>
          <w:rFonts w:ascii="Palatino Linotype" w:hAnsi="Palatino Linotype" w:cs="Arial"/>
          <w:sz w:val="24"/>
        </w:rPr>
        <w:t xml:space="preserve">; y en su caso ordenar la entrega de la información con respecto a la respuesta emitida por el </w:t>
      </w:r>
      <w:r w:rsidRPr="0085379B">
        <w:rPr>
          <w:rFonts w:ascii="Palatino Linotype" w:hAnsi="Palatino Linotype" w:cs="Arial"/>
          <w:b/>
          <w:sz w:val="24"/>
        </w:rPr>
        <w:t>SUJETO</w:t>
      </w:r>
      <w:r w:rsidRPr="0085379B">
        <w:rPr>
          <w:rFonts w:ascii="Palatino Linotype" w:hAnsi="Palatino Linotype" w:cs="Arial"/>
          <w:sz w:val="24"/>
        </w:rPr>
        <w:t xml:space="preserve"> </w:t>
      </w:r>
      <w:r w:rsidRPr="0085379B">
        <w:rPr>
          <w:rFonts w:ascii="Palatino Linotype" w:hAnsi="Palatino Linotype" w:cs="Arial"/>
          <w:b/>
          <w:sz w:val="24"/>
        </w:rPr>
        <w:t>OBLIGADO</w:t>
      </w:r>
      <w:r w:rsidRPr="0085379B">
        <w:rPr>
          <w:rFonts w:ascii="Palatino Linotype" w:hAnsi="Palatino Linotype" w:cs="Arial"/>
          <w:sz w:val="24"/>
        </w:rPr>
        <w:t>.</w:t>
      </w:r>
    </w:p>
    <w:p w14:paraId="099C3926"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49491D21"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rPr>
        <w:t xml:space="preserve">De </w:t>
      </w:r>
      <w:r w:rsidRPr="0085379B">
        <w:rPr>
          <w:rFonts w:ascii="Palatino Linotype" w:eastAsia="Calibri" w:hAnsi="Palatino Linotype"/>
          <w:sz w:val="24"/>
        </w:rPr>
        <w:t xml:space="preserve">acuerdo al precepto legal contenido en la fracción III del artículo 192 de la </w:t>
      </w:r>
      <w:r w:rsidRPr="0085379B">
        <w:rPr>
          <w:rFonts w:ascii="Palatino Linotype" w:eastAsia="Calibri" w:hAnsi="Palatino Linotype"/>
          <w:b/>
          <w:sz w:val="24"/>
        </w:rPr>
        <w:t>Ley de Transparencia y Acceso a la Información Pública del Estado de México y Municipios</w:t>
      </w:r>
      <w:r w:rsidRPr="0085379B">
        <w:rPr>
          <w:rFonts w:ascii="Palatino Linotype" w:eastAsia="Calibri" w:hAnsi="Palatino Linotype"/>
          <w:sz w:val="24"/>
        </w:rPr>
        <w:t xml:space="preserve">, el recurso será sobreseído, en todo o en parte, cuando una vez admitido, </w:t>
      </w:r>
      <w:r w:rsidRPr="0085379B">
        <w:rPr>
          <w:rFonts w:ascii="Palatino Linotype" w:eastAsia="Calibri" w:hAnsi="Palatino Linotype"/>
          <w:sz w:val="24"/>
        </w:rPr>
        <w:lastRenderedPageBreak/>
        <w:t>el sujeto obligado responsable del acto lo modifique o revoque de tal manera que el recurso de revisión quede sin materia; de ahí que la actualización de alguno de éste trae como consecuencia que el medio de impugnación se concluya sin que se analice el objeto de estudio planteado, es decir se sobresea.</w:t>
      </w:r>
    </w:p>
    <w:p w14:paraId="14EF48EB" w14:textId="77777777" w:rsidR="00920425" w:rsidRPr="0085379B" w:rsidRDefault="00920425" w:rsidP="00920425">
      <w:pPr>
        <w:pStyle w:val="Prrafodelista"/>
        <w:ind w:left="0"/>
        <w:rPr>
          <w:rFonts w:ascii="Palatino Linotype" w:eastAsia="Calibri" w:hAnsi="Palatino Linotype" w:cs="Arial"/>
          <w:color w:val="000000" w:themeColor="text1"/>
          <w:sz w:val="24"/>
          <w:lang w:val="es-ES"/>
        </w:rPr>
      </w:pPr>
    </w:p>
    <w:p w14:paraId="3ACD0F40"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Para </w:t>
      </w:r>
      <w:r w:rsidRPr="0085379B">
        <w:rPr>
          <w:rFonts w:ascii="Palatino Linotype" w:eastAsia="Calibri" w:hAnsi="Palatino Linotype"/>
          <w:sz w:val="24"/>
        </w:rPr>
        <w:t xml:space="preserve">los efectos de esta resolución, es oportuno precisar los alcances jurídicos de la fracción III de la disposición legal transcrita. Así, procede el sobreseimiento del recurso de revisión cuando el </w:t>
      </w:r>
      <w:r w:rsidRPr="0085379B">
        <w:rPr>
          <w:rFonts w:ascii="Palatino Linotype" w:eastAsia="Calibri" w:hAnsi="Palatino Linotype"/>
          <w:b/>
          <w:sz w:val="24"/>
        </w:rPr>
        <w:t>SUJETO OBLIGADO</w:t>
      </w:r>
      <w:r w:rsidRPr="0085379B">
        <w:rPr>
          <w:rFonts w:ascii="Palatino Linotype" w:eastAsia="Calibri" w:hAnsi="Palatino Linotype"/>
          <w:sz w:val="24"/>
        </w:rPr>
        <w:t>:</w:t>
      </w:r>
    </w:p>
    <w:p w14:paraId="67CEE6B6" w14:textId="77777777" w:rsidR="00920425" w:rsidRPr="0085379B" w:rsidRDefault="00920425" w:rsidP="00920425">
      <w:pPr>
        <w:rPr>
          <w:rFonts w:ascii="Palatino Linotype" w:eastAsia="Calibri" w:hAnsi="Palatino Linotype" w:cs="Arial"/>
          <w:color w:val="000000" w:themeColor="text1"/>
          <w:lang w:val="es-ES"/>
        </w:rPr>
      </w:pPr>
    </w:p>
    <w:p w14:paraId="0775B381" w14:textId="77777777" w:rsidR="00920425" w:rsidRPr="0085379B" w:rsidRDefault="00920425" w:rsidP="00C135CF">
      <w:pPr>
        <w:numPr>
          <w:ilvl w:val="0"/>
          <w:numId w:val="8"/>
        </w:numPr>
        <w:spacing w:line="360" w:lineRule="auto"/>
        <w:ind w:left="851" w:right="822" w:firstLine="0"/>
        <w:contextualSpacing/>
        <w:jc w:val="both"/>
        <w:rPr>
          <w:rFonts w:ascii="Palatino Linotype" w:hAnsi="Palatino Linotype" w:cs="Arial"/>
          <w:sz w:val="22"/>
        </w:rPr>
      </w:pPr>
      <w:r w:rsidRPr="0085379B">
        <w:rPr>
          <w:rFonts w:ascii="Palatino Linotype" w:hAnsi="Palatino Linotype" w:cs="Arial"/>
          <w:b/>
          <w:sz w:val="22"/>
        </w:rPr>
        <w:t>Modifique el acto impugnado:</w:t>
      </w:r>
      <w:r w:rsidRPr="0085379B">
        <w:rPr>
          <w:rFonts w:ascii="Palatino Linotype" w:hAnsi="Palatino Linotype" w:cs="Arial"/>
          <w:sz w:val="22"/>
        </w:rPr>
        <w:t xml:space="preserve"> Se actualiza cuando el </w:t>
      </w:r>
      <w:r w:rsidRPr="0085379B">
        <w:rPr>
          <w:rFonts w:ascii="Palatino Linotype" w:hAnsi="Palatino Linotype" w:cs="Arial"/>
          <w:b/>
          <w:sz w:val="22"/>
        </w:rPr>
        <w:t>SUJETO OBLIGADO</w:t>
      </w:r>
      <w:r w:rsidRPr="0085379B">
        <w:rPr>
          <w:rFonts w:ascii="Palatino Linotype" w:hAnsi="Palatino Linotype" w:cs="Arial"/>
          <w:sz w:val="22"/>
        </w:rPr>
        <w:t xml:space="preserve"> después de haber otorgado una respuesta y hasta antes de dictada la resolución del recurso de revisión, emite una diversa en la que subsane las deficiencias que hubiera tenido.</w:t>
      </w:r>
    </w:p>
    <w:p w14:paraId="4974181B" w14:textId="77777777" w:rsidR="00920425" w:rsidRPr="0085379B" w:rsidRDefault="00920425" w:rsidP="00C135CF">
      <w:pPr>
        <w:spacing w:line="360" w:lineRule="auto"/>
        <w:ind w:left="851" w:right="822"/>
        <w:contextualSpacing/>
        <w:jc w:val="both"/>
        <w:rPr>
          <w:rFonts w:ascii="Palatino Linotype" w:hAnsi="Palatino Linotype" w:cs="Arial"/>
          <w:sz w:val="22"/>
        </w:rPr>
      </w:pPr>
    </w:p>
    <w:p w14:paraId="05CD9F26" w14:textId="77777777" w:rsidR="00920425" w:rsidRPr="0085379B" w:rsidRDefault="00920425" w:rsidP="00C135CF">
      <w:pPr>
        <w:numPr>
          <w:ilvl w:val="0"/>
          <w:numId w:val="8"/>
        </w:numPr>
        <w:spacing w:line="360" w:lineRule="auto"/>
        <w:ind w:left="851" w:right="822" w:firstLine="0"/>
        <w:contextualSpacing/>
        <w:jc w:val="both"/>
        <w:rPr>
          <w:rFonts w:ascii="Palatino Linotype" w:hAnsi="Palatino Linotype" w:cs="Arial"/>
          <w:sz w:val="22"/>
        </w:rPr>
      </w:pPr>
      <w:r w:rsidRPr="0085379B">
        <w:rPr>
          <w:rFonts w:ascii="Palatino Linotype" w:hAnsi="Palatino Linotype" w:cs="Arial"/>
          <w:b/>
          <w:sz w:val="22"/>
        </w:rPr>
        <w:t>Revoque el acto impugnado:</w:t>
      </w:r>
      <w:r w:rsidRPr="0085379B">
        <w:rPr>
          <w:rFonts w:ascii="Palatino Linotype" w:hAnsi="Palatino Linotype" w:cs="Arial"/>
          <w:sz w:val="22"/>
        </w:rPr>
        <w:t xml:space="preserve"> En este supuesto, el </w:t>
      </w:r>
      <w:r w:rsidRPr="0085379B">
        <w:rPr>
          <w:rFonts w:ascii="Palatino Linotype" w:hAnsi="Palatino Linotype" w:cs="Arial"/>
          <w:b/>
          <w:sz w:val="22"/>
        </w:rPr>
        <w:t>SUJETO OBLIGADO</w:t>
      </w:r>
      <w:r w:rsidRPr="0085379B">
        <w:rPr>
          <w:rFonts w:ascii="Palatino Linotype" w:hAnsi="Palatino Linotype" w:cs="Arial"/>
          <w:sz w:val="22"/>
        </w:rPr>
        <w:t xml:space="preserve"> deja sin efectos la primera respuesta y en su lugar emite otra que satisfaga lo solicitado por el Particular en un primer momento.</w:t>
      </w:r>
    </w:p>
    <w:p w14:paraId="3C5F3864" w14:textId="77777777" w:rsidR="00920425" w:rsidRPr="0085379B" w:rsidRDefault="00920425" w:rsidP="00920425">
      <w:pPr>
        <w:spacing w:line="360" w:lineRule="auto"/>
        <w:ind w:right="616"/>
        <w:contextualSpacing/>
        <w:jc w:val="both"/>
        <w:rPr>
          <w:rFonts w:ascii="Palatino Linotype" w:hAnsi="Palatino Linotype" w:cs="Arial"/>
        </w:rPr>
      </w:pPr>
    </w:p>
    <w:p w14:paraId="2C032806" w14:textId="77777777" w:rsidR="00920425" w:rsidRPr="0085379B" w:rsidRDefault="00920425" w:rsidP="00920425">
      <w:pPr>
        <w:pStyle w:val="Prrafodelista"/>
        <w:numPr>
          <w:ilvl w:val="0"/>
          <w:numId w:val="6"/>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Las </w:t>
      </w:r>
      <w:r w:rsidRPr="0085379B">
        <w:rPr>
          <w:rFonts w:ascii="Palatino Linotype" w:eastAsia="Calibri" w:hAnsi="Palatino Linotype"/>
          <w:sz w:val="24"/>
        </w:rPr>
        <w:t>consecuencias jurídicas de esta modificación o revocación es que el recurso de revisión interpuesto quede sin efectos o sin materia. Un acto impugnado queda sin efectos, cuando aun existiendo jurídicamente, no genera consecuencia legal alguna; queda sin materia, cuando ha sido satisfecha la pretensión del Particular, ya sea porque se hizo la entrega de la información solicitada o porque se completó la misma.</w:t>
      </w:r>
    </w:p>
    <w:p w14:paraId="102343E7" w14:textId="77777777" w:rsidR="00C135CF" w:rsidRPr="0085379B" w:rsidRDefault="00920425" w:rsidP="005B7F2D">
      <w:pPr>
        <w:pStyle w:val="Prrafodelista"/>
        <w:numPr>
          <w:ilvl w:val="0"/>
          <w:numId w:val="6"/>
        </w:numPr>
        <w:tabs>
          <w:tab w:val="left" w:pos="284"/>
          <w:tab w:val="left" w:pos="567"/>
        </w:tabs>
        <w:spacing w:line="360" w:lineRule="auto"/>
        <w:ind w:left="0" w:firstLine="0"/>
        <w:jc w:val="both"/>
        <w:rPr>
          <w:rFonts w:ascii="Palatino Linotype" w:hAnsi="Palatino Linotype"/>
          <w:sz w:val="24"/>
          <w:szCs w:val="14"/>
        </w:rPr>
      </w:pPr>
      <w:r w:rsidRPr="0085379B">
        <w:rPr>
          <w:rFonts w:ascii="Palatino Linotype" w:eastAsia="Calibri" w:hAnsi="Palatino Linotype" w:cs="Arial"/>
          <w:color w:val="000000" w:themeColor="text1"/>
          <w:sz w:val="24"/>
          <w:lang w:val="es-ES"/>
        </w:rPr>
        <w:lastRenderedPageBreak/>
        <w:t xml:space="preserve">En el presente caso, </w:t>
      </w:r>
      <w:r w:rsidR="00C135CF" w:rsidRPr="0085379B">
        <w:rPr>
          <w:rFonts w:ascii="Palatino Linotype" w:hAnsi="Palatino Linotype" w:cs="Arial"/>
          <w:color w:val="000000"/>
          <w:sz w:val="24"/>
          <w:lang w:val="es-ES"/>
        </w:rPr>
        <w:t xml:space="preserve">el Recurrente solicitó el </w:t>
      </w:r>
      <w:r w:rsidR="00C135CF" w:rsidRPr="0085379B">
        <w:rPr>
          <w:rFonts w:ascii="Palatino Linotype" w:hAnsi="Palatino Linotype"/>
          <w:sz w:val="24"/>
          <w:szCs w:val="14"/>
        </w:rPr>
        <w:t xml:space="preserve">número de contratos de agua registrados por una persona, así como los domicilios. </w:t>
      </w:r>
      <w:r w:rsidR="005B7F2D" w:rsidRPr="0085379B">
        <w:rPr>
          <w:rFonts w:ascii="Palatino Linotype" w:hAnsi="Palatino Linotype"/>
          <w:sz w:val="24"/>
          <w:szCs w:val="14"/>
        </w:rPr>
        <w:t>El Sujeto Obligado manifestó que no puede proporcionar la información por corresponder a la vida privada de una persona física.</w:t>
      </w:r>
    </w:p>
    <w:p w14:paraId="33F0A09A" w14:textId="77777777" w:rsidR="00C135CF" w:rsidRPr="0085379B" w:rsidRDefault="00C135CF" w:rsidP="00C135CF">
      <w:pPr>
        <w:pStyle w:val="Prrafodelista"/>
        <w:tabs>
          <w:tab w:val="left" w:pos="284"/>
          <w:tab w:val="left" w:pos="567"/>
        </w:tabs>
        <w:spacing w:line="360" w:lineRule="auto"/>
        <w:ind w:left="0"/>
        <w:jc w:val="both"/>
        <w:rPr>
          <w:rFonts w:ascii="Palatino Linotype" w:hAnsi="Palatino Linotype"/>
          <w:b/>
          <w:bCs/>
          <w:color w:val="000000"/>
          <w:szCs w:val="22"/>
          <w:lang w:val="es-ES"/>
        </w:rPr>
      </w:pPr>
    </w:p>
    <w:p w14:paraId="314E09D0" w14:textId="77777777" w:rsidR="00C135CF" w:rsidRPr="0085379B" w:rsidRDefault="00C135CF" w:rsidP="00C135CF">
      <w:pPr>
        <w:pStyle w:val="Prrafodelista"/>
        <w:numPr>
          <w:ilvl w:val="0"/>
          <w:numId w:val="6"/>
        </w:numPr>
        <w:spacing w:line="360" w:lineRule="auto"/>
        <w:ind w:left="0" w:firstLine="0"/>
        <w:jc w:val="both"/>
        <w:rPr>
          <w:rFonts w:ascii="Palatino Linotype" w:eastAsia="MS Mincho" w:hAnsi="Palatino Linotype"/>
          <w:sz w:val="24"/>
        </w:rPr>
      </w:pPr>
      <w:r w:rsidRPr="0085379B">
        <w:rPr>
          <w:rFonts w:ascii="Palatino Linotype" w:eastAsia="Palatino Linotype" w:hAnsi="Palatino Linotype" w:cs="Palatino Linotype"/>
          <w:sz w:val="24"/>
        </w:rPr>
        <w:t xml:space="preserve">Al respecto, es menester hacer referencia a lo establecido en los artículos 50, 53 fracciones II, IV y V, 58, 59 fracciones I y II, y 162 </w:t>
      </w:r>
      <w:r w:rsidRPr="0085379B">
        <w:rPr>
          <w:rFonts w:ascii="Palatino Linotype" w:eastAsia="Arial Unicode MS" w:hAnsi="Palatino Linotype" w:cs="Arial"/>
          <w:sz w:val="24"/>
          <w:lang w:eastAsia="en-US"/>
        </w:rPr>
        <w:t>de la Ley de Transparencia y Acceso a la Información del Estado de México y Municipios, que a la letra estipulan lo siguiente:</w:t>
      </w:r>
    </w:p>
    <w:p w14:paraId="19DB508C" w14:textId="77777777" w:rsidR="00C135CF" w:rsidRPr="0085379B" w:rsidRDefault="00C135CF" w:rsidP="00C135CF">
      <w:pPr>
        <w:spacing w:line="360" w:lineRule="auto"/>
        <w:jc w:val="both"/>
        <w:rPr>
          <w:rFonts w:ascii="Palatino Linotype" w:eastAsia="Arial Unicode MS" w:hAnsi="Palatino Linotype" w:cs="Arial"/>
          <w:lang w:eastAsia="en-US"/>
        </w:rPr>
      </w:pPr>
    </w:p>
    <w:p w14:paraId="0DADD87D"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i/>
          <w:iCs/>
          <w:sz w:val="22"/>
        </w:rPr>
        <w:t xml:space="preserve">Artículo 50. </w:t>
      </w:r>
      <w:r w:rsidRPr="0085379B">
        <w:rPr>
          <w:rFonts w:ascii="Palatino Linotype" w:eastAsia="Palatino Linotype" w:hAnsi="Palatino Linotype" w:cs="Palatino Linotype"/>
          <w:i/>
          <w:iCs/>
          <w:sz w:val="22"/>
        </w:rPr>
        <w:t>Los sujetos obligados contarán con un área responsable para la atención de las solicitudes de información, a la que se le denominará Unidad de Transparencia.</w:t>
      </w:r>
    </w:p>
    <w:p w14:paraId="6156EDC7"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p>
    <w:p w14:paraId="5EECD83D"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i/>
          <w:iCs/>
          <w:sz w:val="22"/>
        </w:rPr>
        <w:t xml:space="preserve">Artículo 53. </w:t>
      </w:r>
      <w:r w:rsidRPr="0085379B">
        <w:rPr>
          <w:rFonts w:ascii="Palatino Linotype" w:eastAsia="Palatino Linotype" w:hAnsi="Palatino Linotype" w:cs="Palatino Linotype"/>
          <w:i/>
          <w:iCs/>
          <w:sz w:val="22"/>
        </w:rPr>
        <w:t>Las Unidades de Transparencia tendrán las siguientes funciones:</w:t>
      </w:r>
    </w:p>
    <w:p w14:paraId="3F307A0C"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i/>
          <w:iCs/>
          <w:sz w:val="22"/>
        </w:rPr>
        <w:t>(…)</w:t>
      </w:r>
    </w:p>
    <w:p w14:paraId="41C6E8B0"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Cs/>
          <w:i/>
          <w:iCs/>
          <w:sz w:val="22"/>
        </w:rPr>
        <w:t>II.</w:t>
      </w:r>
      <w:r w:rsidRPr="0085379B">
        <w:rPr>
          <w:rFonts w:ascii="Palatino Linotype" w:eastAsia="Palatino Linotype" w:hAnsi="Palatino Linotype" w:cs="Palatino Linotype"/>
          <w:i/>
          <w:iCs/>
          <w:sz w:val="22"/>
        </w:rPr>
        <w:t xml:space="preserve"> Recibir, tramitar y dar respuesta a las solicitudes de acceso a la información;</w:t>
      </w:r>
    </w:p>
    <w:p w14:paraId="06D988F9"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i/>
          <w:iCs/>
          <w:sz w:val="22"/>
        </w:rPr>
        <w:t>(…)</w:t>
      </w:r>
    </w:p>
    <w:p w14:paraId="6268748C" w14:textId="77777777" w:rsidR="00C135CF" w:rsidRPr="0085379B" w:rsidRDefault="00C135CF" w:rsidP="00C135CF">
      <w:pPr>
        <w:spacing w:line="360" w:lineRule="auto"/>
        <w:ind w:left="851" w:right="822"/>
        <w:jc w:val="both"/>
        <w:rPr>
          <w:rFonts w:ascii="Palatino Linotype" w:eastAsia="Palatino Linotype" w:hAnsi="Palatino Linotype" w:cs="Palatino Linotype"/>
          <w:b/>
          <w:i/>
          <w:iCs/>
          <w:sz w:val="22"/>
        </w:rPr>
      </w:pPr>
      <w:r w:rsidRPr="0085379B">
        <w:rPr>
          <w:rFonts w:ascii="Palatino Linotype" w:eastAsia="Palatino Linotype" w:hAnsi="Palatino Linotype" w:cs="Palatino Linotype"/>
          <w:b/>
          <w:bCs/>
          <w:i/>
          <w:iCs/>
          <w:sz w:val="22"/>
        </w:rPr>
        <w:t>IV.</w:t>
      </w:r>
      <w:r w:rsidRPr="0085379B">
        <w:rPr>
          <w:rFonts w:ascii="Palatino Linotype" w:eastAsia="Palatino Linotype" w:hAnsi="Palatino Linotype" w:cs="Palatino Linotype"/>
          <w:b/>
          <w:i/>
          <w:iCs/>
          <w:sz w:val="22"/>
        </w:rPr>
        <w:t xml:space="preserve"> Realizar, con efectividad, los trámites internos necesarios para la atención de las solicitudes de acceso a la información;</w:t>
      </w:r>
    </w:p>
    <w:p w14:paraId="5C4C129F"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bCs/>
          <w:i/>
          <w:iCs/>
          <w:sz w:val="22"/>
        </w:rPr>
        <w:t>V.</w:t>
      </w:r>
      <w:r w:rsidRPr="0085379B">
        <w:rPr>
          <w:rFonts w:ascii="Palatino Linotype" w:eastAsia="Palatino Linotype" w:hAnsi="Palatino Linotype" w:cs="Palatino Linotype"/>
          <w:i/>
          <w:iCs/>
          <w:sz w:val="22"/>
        </w:rPr>
        <w:t xml:space="preserve"> Entregar, en su caso, a los particulares la información solicitada;</w:t>
      </w:r>
    </w:p>
    <w:p w14:paraId="6D734FF3"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i/>
          <w:iCs/>
          <w:sz w:val="22"/>
        </w:rPr>
        <w:t>(…)</w:t>
      </w:r>
    </w:p>
    <w:p w14:paraId="7BCF1695"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p>
    <w:p w14:paraId="52A25554"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i/>
          <w:iCs/>
          <w:sz w:val="22"/>
        </w:rPr>
        <w:lastRenderedPageBreak/>
        <w:t xml:space="preserve">Artículo 58. </w:t>
      </w:r>
      <w:r w:rsidRPr="0085379B">
        <w:rPr>
          <w:rFonts w:ascii="Palatino Linotype" w:eastAsia="Palatino Linotype" w:hAnsi="Palatino Linotype" w:cs="Palatino Linotype"/>
          <w:i/>
          <w:iCs/>
          <w:sz w:val="22"/>
        </w:rPr>
        <w:t>Los servidores públicos habilitados serán designados por el titular del sujeto obligado a propuesta del responsable de la Unidad de Transparencia.</w:t>
      </w:r>
    </w:p>
    <w:p w14:paraId="38B05374"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p>
    <w:p w14:paraId="5F7E5E1C"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i/>
          <w:iCs/>
          <w:sz w:val="22"/>
        </w:rPr>
        <w:t xml:space="preserve">Artículo 59. </w:t>
      </w:r>
      <w:r w:rsidRPr="0085379B">
        <w:rPr>
          <w:rFonts w:ascii="Palatino Linotype" w:eastAsia="Palatino Linotype" w:hAnsi="Palatino Linotype" w:cs="Palatino Linotype"/>
          <w:i/>
          <w:iCs/>
          <w:sz w:val="22"/>
        </w:rPr>
        <w:t>Los servidores públicos habilitados tendrán las funciones siguientes:</w:t>
      </w:r>
    </w:p>
    <w:p w14:paraId="0DED3144"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p>
    <w:p w14:paraId="5F87B00E"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bCs/>
          <w:i/>
          <w:iCs/>
          <w:sz w:val="22"/>
        </w:rPr>
        <w:t>I.</w:t>
      </w:r>
      <w:r w:rsidRPr="0085379B">
        <w:rPr>
          <w:rFonts w:ascii="Palatino Linotype" w:eastAsia="Palatino Linotype" w:hAnsi="Palatino Linotype" w:cs="Palatino Linotype"/>
          <w:i/>
          <w:iCs/>
          <w:sz w:val="22"/>
        </w:rPr>
        <w:t xml:space="preserve"> Localizar la información que le solicite la Unidad de Transparencia;</w:t>
      </w:r>
    </w:p>
    <w:p w14:paraId="7379E552"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b/>
          <w:bCs/>
          <w:i/>
          <w:iCs/>
          <w:sz w:val="22"/>
        </w:rPr>
        <w:t>II.</w:t>
      </w:r>
      <w:r w:rsidRPr="0085379B">
        <w:rPr>
          <w:rFonts w:ascii="Palatino Linotype" w:eastAsia="Palatino Linotype" w:hAnsi="Palatino Linotype" w:cs="Palatino Linotype"/>
          <w:i/>
          <w:iCs/>
          <w:sz w:val="22"/>
        </w:rPr>
        <w:t xml:space="preserve"> Proporcionar la información que obre en los archivos y que le sea solicitada por la Unidad de Transparencia;</w:t>
      </w:r>
    </w:p>
    <w:p w14:paraId="265F6BA2"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r w:rsidRPr="0085379B">
        <w:rPr>
          <w:rFonts w:ascii="Palatino Linotype" w:eastAsia="Palatino Linotype" w:hAnsi="Palatino Linotype" w:cs="Palatino Linotype"/>
          <w:i/>
          <w:iCs/>
          <w:sz w:val="22"/>
        </w:rPr>
        <w:t>(...)</w:t>
      </w:r>
    </w:p>
    <w:p w14:paraId="35B0EE9C" w14:textId="77777777" w:rsidR="00C135CF" w:rsidRPr="0085379B" w:rsidRDefault="00C135CF" w:rsidP="00C135CF">
      <w:pPr>
        <w:spacing w:line="360" w:lineRule="auto"/>
        <w:ind w:left="851" w:right="822"/>
        <w:jc w:val="both"/>
        <w:rPr>
          <w:rFonts w:ascii="Palatino Linotype" w:eastAsia="Palatino Linotype" w:hAnsi="Palatino Linotype" w:cs="Palatino Linotype"/>
          <w:i/>
          <w:iCs/>
          <w:sz w:val="22"/>
        </w:rPr>
      </w:pPr>
    </w:p>
    <w:p w14:paraId="5FBE9875" w14:textId="77777777" w:rsidR="00C135CF" w:rsidRPr="0085379B" w:rsidRDefault="00C135CF" w:rsidP="00C135CF">
      <w:pPr>
        <w:spacing w:line="360" w:lineRule="auto"/>
        <w:ind w:left="851" w:right="822"/>
        <w:jc w:val="both"/>
        <w:rPr>
          <w:rFonts w:ascii="Palatino Linotype" w:eastAsia="Palatino Linotype" w:hAnsi="Palatino Linotype" w:cs="Palatino Linotype"/>
          <w:b/>
          <w:i/>
          <w:iCs/>
          <w:sz w:val="22"/>
          <w:u w:val="single"/>
        </w:rPr>
      </w:pPr>
      <w:r w:rsidRPr="0085379B">
        <w:rPr>
          <w:rFonts w:ascii="Palatino Linotype" w:eastAsia="Palatino Linotype" w:hAnsi="Palatino Linotype" w:cs="Palatino Linotype"/>
          <w:b/>
          <w:i/>
          <w:iCs/>
          <w:sz w:val="22"/>
        </w:rPr>
        <w:t xml:space="preserve">Artículo 162. </w:t>
      </w:r>
      <w:r w:rsidRPr="0085379B">
        <w:rPr>
          <w:rFonts w:ascii="Palatino Linotype" w:eastAsia="Palatino Linotype" w:hAnsi="Palatino Linotype" w:cs="Palatino Linotype"/>
          <w:b/>
          <w:i/>
          <w:iCs/>
          <w:sz w:val="22"/>
          <w:u w:val="single"/>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2DEBACC7" w14:textId="77777777" w:rsidR="00C135CF" w:rsidRPr="0085379B" w:rsidRDefault="00C135CF" w:rsidP="00C135CF">
      <w:pPr>
        <w:spacing w:line="360" w:lineRule="auto"/>
        <w:ind w:left="851" w:right="822"/>
        <w:jc w:val="both"/>
        <w:rPr>
          <w:rFonts w:ascii="Palatino Linotype" w:eastAsia="Palatino Linotype" w:hAnsi="Palatino Linotype" w:cs="Palatino Linotype"/>
          <w:b/>
          <w:i/>
          <w:iCs/>
          <w:sz w:val="22"/>
          <w:u w:val="single"/>
        </w:rPr>
      </w:pPr>
      <w:r w:rsidRPr="0085379B">
        <w:rPr>
          <w:rFonts w:ascii="Palatino Linotype" w:eastAsia="Palatino Linotype" w:hAnsi="Palatino Linotype" w:cs="Palatino Linotype"/>
          <w:b/>
          <w:i/>
          <w:iCs/>
          <w:sz w:val="22"/>
        </w:rPr>
        <w:t>(Énfasis añadido)</w:t>
      </w:r>
    </w:p>
    <w:p w14:paraId="455013D4" w14:textId="77777777" w:rsidR="00C135CF" w:rsidRPr="0085379B" w:rsidRDefault="00C135CF" w:rsidP="00C135CF">
      <w:pPr>
        <w:spacing w:line="360" w:lineRule="auto"/>
        <w:jc w:val="both"/>
        <w:rPr>
          <w:rFonts w:ascii="Palatino Linotype" w:eastAsia="Palatino Linotype" w:hAnsi="Palatino Linotype" w:cs="Palatino Linotype"/>
        </w:rPr>
      </w:pPr>
    </w:p>
    <w:p w14:paraId="2C157512" w14:textId="77777777" w:rsidR="00C135CF" w:rsidRPr="0085379B" w:rsidRDefault="00C135CF" w:rsidP="00C135CF">
      <w:pPr>
        <w:pStyle w:val="Prrafodelista"/>
        <w:numPr>
          <w:ilvl w:val="0"/>
          <w:numId w:val="6"/>
        </w:numPr>
        <w:spacing w:line="360" w:lineRule="auto"/>
        <w:ind w:left="0" w:firstLine="0"/>
        <w:jc w:val="both"/>
        <w:rPr>
          <w:rFonts w:ascii="Palatino Linotype" w:eastAsia="Arial Unicode MS" w:hAnsi="Palatino Linotype" w:cs="Arial"/>
          <w:sz w:val="24"/>
          <w:lang w:eastAsia="en-US"/>
        </w:rPr>
      </w:pPr>
      <w:r w:rsidRPr="0085379B">
        <w:rPr>
          <w:rFonts w:ascii="Palatino Linotype" w:eastAsia="Palatino Linotype" w:hAnsi="Palatino Linotype" w:cs="Palatino Linotype"/>
          <w:sz w:val="24"/>
        </w:rPr>
        <w:t xml:space="preserve">De los artículos citados se desprende que las Unidades de Transparencia de los sujetos obligados son las encargadas de tramitar internamente </w:t>
      </w:r>
      <w:r w:rsidRPr="0085379B">
        <w:rPr>
          <w:rFonts w:ascii="Palatino Linotype" w:eastAsia="Arial Unicode MS" w:hAnsi="Palatino Linotype" w:cs="Arial"/>
          <w:sz w:val="24"/>
          <w:lang w:eastAsia="en-US"/>
        </w:rPr>
        <w:t xml:space="preserve">las solicitudes de información y tienen, entre otras funciones, las de recibir, tramitar y dar respuesta a las solicitudes de acceso a la información; realizar, con efectividad, los trámites internos necesarios para la atención de las solicitudes de acceso a la información; así como, entregar, en su caso, a los particulares la información. Por su parte, </w:t>
      </w:r>
      <w:r w:rsidRPr="0085379B">
        <w:rPr>
          <w:rFonts w:ascii="Palatino Linotype" w:eastAsia="Arial Unicode MS" w:hAnsi="Palatino Linotype" w:cs="Arial"/>
          <w:b/>
          <w:sz w:val="24"/>
          <w:lang w:eastAsia="en-US"/>
        </w:rPr>
        <w:t xml:space="preserve">los </w:t>
      </w:r>
      <w:r w:rsidRPr="0085379B">
        <w:rPr>
          <w:rFonts w:ascii="Palatino Linotype" w:eastAsia="Arial Unicode MS" w:hAnsi="Palatino Linotype" w:cs="Arial"/>
          <w:b/>
          <w:sz w:val="24"/>
          <w:lang w:eastAsia="en-US"/>
        </w:rPr>
        <w:lastRenderedPageBreak/>
        <w:t>servidores públicos habilitados auxiliarán a las Unidades de Transparencia localizando la información solicitada y proporcionando la misma que obre en sus archivos.</w:t>
      </w:r>
      <w:r w:rsidRPr="0085379B">
        <w:rPr>
          <w:rFonts w:ascii="Palatino Linotype" w:eastAsia="Arial Unicode MS" w:hAnsi="Palatino Linotype" w:cs="Arial"/>
          <w:sz w:val="24"/>
          <w:lang w:eastAsia="en-US"/>
        </w:rPr>
        <w:t xml:space="preserve"> Asimismo, es una obligación de las Unidades de Transparencia turnar a todas las áreas que se consideren competentes para que realicen una búsqueda exhaustiva y razonable de la información solicitada a fin de que ésta sea entregada a los solicitantes.</w:t>
      </w:r>
    </w:p>
    <w:p w14:paraId="4E391133" w14:textId="77777777" w:rsidR="00C135CF" w:rsidRPr="0085379B" w:rsidRDefault="00C135CF" w:rsidP="005B7F2D">
      <w:pPr>
        <w:rPr>
          <w:rFonts w:ascii="Palatino Linotype" w:eastAsia="Arial Unicode MS" w:hAnsi="Palatino Linotype" w:cs="Arial"/>
          <w:lang w:eastAsia="en-US"/>
        </w:rPr>
      </w:pPr>
    </w:p>
    <w:p w14:paraId="7E55AD50" w14:textId="77777777" w:rsidR="00C135CF" w:rsidRPr="0085379B" w:rsidRDefault="00C135CF" w:rsidP="00C135CF">
      <w:pPr>
        <w:pStyle w:val="Prrafodelista"/>
        <w:numPr>
          <w:ilvl w:val="0"/>
          <w:numId w:val="6"/>
        </w:numPr>
        <w:spacing w:line="360" w:lineRule="auto"/>
        <w:ind w:left="0" w:firstLine="0"/>
        <w:jc w:val="both"/>
        <w:rPr>
          <w:rFonts w:ascii="Palatino Linotype" w:eastAsia="Arial Unicode MS" w:hAnsi="Palatino Linotype" w:cs="Arial"/>
          <w:sz w:val="24"/>
          <w:lang w:eastAsia="en-US"/>
        </w:rPr>
      </w:pPr>
      <w:r w:rsidRPr="0085379B">
        <w:rPr>
          <w:rFonts w:ascii="Palatino Linotype" w:eastAsia="Arial Unicode MS" w:hAnsi="Palatino Linotype" w:cs="Arial"/>
          <w:sz w:val="24"/>
          <w:lang w:eastAsia="en-US"/>
        </w:rPr>
        <w:t>En el presente asunto en particular, se aprecia que, quien dio respuesta a la solicitud es el Titular de la Unidad de Transparencia, sin que se haya realizado el turno de la solicitud a las áreas que de acuerdo a sus atribuciones, funciones y competencias deban generar, administrar y poseer la información requerida por el particular.</w:t>
      </w:r>
    </w:p>
    <w:p w14:paraId="37E6C375" w14:textId="77777777" w:rsidR="005B7F2D" w:rsidRPr="0085379B" w:rsidRDefault="005B7F2D" w:rsidP="005B7F2D">
      <w:pPr>
        <w:pStyle w:val="Prrafodelista"/>
        <w:rPr>
          <w:rFonts w:ascii="Palatino Linotype" w:hAnsi="Palatino Linotype"/>
          <w:bCs/>
          <w:color w:val="000000"/>
          <w:sz w:val="24"/>
          <w:szCs w:val="22"/>
          <w:lang w:val="es-ES"/>
        </w:rPr>
      </w:pPr>
    </w:p>
    <w:p w14:paraId="2AE540D6" w14:textId="77777777" w:rsidR="005B7F2D" w:rsidRPr="0085379B" w:rsidRDefault="008F6428" w:rsidP="005B7F2D">
      <w:pPr>
        <w:pStyle w:val="Prrafodelista"/>
        <w:numPr>
          <w:ilvl w:val="0"/>
          <w:numId w:val="6"/>
        </w:numPr>
        <w:tabs>
          <w:tab w:val="left" w:pos="284"/>
          <w:tab w:val="left" w:pos="567"/>
        </w:tabs>
        <w:spacing w:line="360" w:lineRule="auto"/>
        <w:ind w:left="0" w:firstLine="0"/>
        <w:jc w:val="both"/>
        <w:rPr>
          <w:rFonts w:ascii="Palatino Linotype" w:hAnsi="Palatino Linotype"/>
          <w:bCs/>
          <w:color w:val="000000"/>
          <w:sz w:val="24"/>
          <w:szCs w:val="22"/>
          <w:lang w:val="es-ES_tradnl"/>
        </w:rPr>
      </w:pPr>
      <w:r w:rsidRPr="0085379B">
        <w:rPr>
          <w:rFonts w:ascii="Palatino Linotype" w:hAnsi="Palatino Linotype"/>
          <w:bCs/>
          <w:color w:val="000000"/>
          <w:sz w:val="24"/>
          <w:szCs w:val="22"/>
          <w:lang w:val="es-ES"/>
        </w:rPr>
        <w:t>En</w:t>
      </w:r>
      <w:r w:rsidR="005B7F2D" w:rsidRPr="0085379B">
        <w:rPr>
          <w:rFonts w:ascii="Palatino Linotype" w:hAnsi="Palatino Linotype"/>
          <w:bCs/>
          <w:color w:val="000000"/>
          <w:sz w:val="24"/>
          <w:szCs w:val="22"/>
          <w:lang w:val="es-ES"/>
        </w:rPr>
        <w:t xml:space="preserve"> ese contexto, debemos precisar que la información solicitada por el particular </w:t>
      </w:r>
      <w:r w:rsidR="005B7F2D" w:rsidRPr="0085379B">
        <w:rPr>
          <w:rFonts w:ascii="Palatino Linotype" w:hAnsi="Palatino Linotype"/>
          <w:bCs/>
          <w:color w:val="000000"/>
          <w:sz w:val="24"/>
          <w:szCs w:val="22"/>
        </w:rPr>
        <w:t>corresponden a una persona fí</w:t>
      </w:r>
      <w:r w:rsidRPr="0085379B">
        <w:rPr>
          <w:rFonts w:ascii="Palatino Linotype" w:hAnsi="Palatino Linotype"/>
          <w:bCs/>
          <w:color w:val="000000"/>
          <w:sz w:val="24"/>
          <w:szCs w:val="22"/>
        </w:rPr>
        <w:t xml:space="preserve">sica identificable, </w:t>
      </w:r>
      <w:r w:rsidR="005B7F2D" w:rsidRPr="0085379B">
        <w:rPr>
          <w:rFonts w:ascii="Palatino Linotype" w:hAnsi="Palatino Linotype"/>
          <w:bCs/>
          <w:color w:val="000000"/>
          <w:sz w:val="24"/>
          <w:szCs w:val="22"/>
        </w:rPr>
        <w:t xml:space="preserve">de acuerdo </w:t>
      </w:r>
      <w:r w:rsidRPr="0085379B">
        <w:rPr>
          <w:rFonts w:ascii="Palatino Linotype" w:hAnsi="Palatino Linotype"/>
          <w:bCs/>
          <w:color w:val="000000"/>
          <w:sz w:val="24"/>
          <w:szCs w:val="22"/>
        </w:rPr>
        <w:t>con lo establecido en</w:t>
      </w:r>
      <w:r w:rsidR="005B7F2D" w:rsidRPr="0085379B">
        <w:rPr>
          <w:rFonts w:ascii="Palatino Linotype" w:hAnsi="Palatino Linotype"/>
          <w:bCs/>
          <w:color w:val="000000"/>
          <w:sz w:val="24"/>
          <w:szCs w:val="22"/>
        </w:rPr>
        <w:t xml:space="preserve"> el artículo 116, párrafo primero de la Ley General de Transparencia y el artículo 143, fracción I de la Ley de Transparencia y Acceso a la Información Pública del Estado de México y Municipios, los cuales señalan lo siguiente: </w:t>
      </w:r>
    </w:p>
    <w:p w14:paraId="37F529B5" w14:textId="77777777" w:rsidR="005B7F2D" w:rsidRPr="0085379B" w:rsidRDefault="005B7F2D" w:rsidP="005B7F2D">
      <w:pPr>
        <w:pStyle w:val="Prrafodelista"/>
        <w:tabs>
          <w:tab w:val="left" w:pos="284"/>
          <w:tab w:val="left" w:pos="567"/>
        </w:tabs>
        <w:ind w:left="0"/>
        <w:rPr>
          <w:rFonts w:ascii="Palatino Linotype" w:hAnsi="Palatino Linotype"/>
          <w:bCs/>
          <w:color w:val="000000"/>
          <w:sz w:val="24"/>
          <w:szCs w:val="22"/>
          <w:lang w:val="es-ES_tradnl"/>
        </w:rPr>
      </w:pPr>
    </w:p>
    <w:p w14:paraId="534DE808" w14:textId="77777777" w:rsidR="005B7F2D" w:rsidRPr="0085379B" w:rsidRDefault="005B7F2D" w:rsidP="005B7F2D">
      <w:pPr>
        <w:pStyle w:val="Prrafodelista"/>
        <w:tabs>
          <w:tab w:val="left" w:pos="284"/>
          <w:tab w:val="left" w:pos="567"/>
        </w:tabs>
        <w:spacing w:line="360" w:lineRule="auto"/>
        <w:ind w:left="851" w:right="822"/>
        <w:jc w:val="both"/>
        <w:rPr>
          <w:rFonts w:ascii="Palatino Linotype" w:hAnsi="Palatino Linotype"/>
          <w:bCs/>
          <w:i/>
          <w:color w:val="000000"/>
          <w:szCs w:val="22"/>
        </w:rPr>
      </w:pPr>
      <w:r w:rsidRPr="0085379B">
        <w:rPr>
          <w:rFonts w:ascii="Palatino Linotype" w:hAnsi="Palatino Linotype"/>
          <w:bCs/>
          <w:i/>
          <w:color w:val="000000"/>
          <w:szCs w:val="22"/>
        </w:rPr>
        <w:t>“</w:t>
      </w:r>
      <w:r w:rsidRPr="0085379B">
        <w:rPr>
          <w:rFonts w:ascii="Palatino Linotype" w:hAnsi="Palatino Linotype"/>
          <w:b/>
          <w:bCs/>
          <w:i/>
          <w:color w:val="000000"/>
          <w:szCs w:val="22"/>
        </w:rPr>
        <w:t xml:space="preserve">Artículo 116. </w:t>
      </w:r>
      <w:r w:rsidRPr="0085379B">
        <w:rPr>
          <w:rFonts w:ascii="Palatino Linotype" w:hAnsi="Palatino Linotype"/>
          <w:bCs/>
          <w:i/>
          <w:color w:val="000000"/>
          <w:szCs w:val="22"/>
        </w:rPr>
        <w:t>Se considera información confidencial la que contiene datos personales concernientes a una persona identificada o identificable…”</w:t>
      </w:r>
    </w:p>
    <w:p w14:paraId="6ECB6E98" w14:textId="77777777" w:rsidR="005B7F2D" w:rsidRPr="0085379B" w:rsidRDefault="005B7F2D" w:rsidP="005B7F2D">
      <w:pPr>
        <w:pStyle w:val="Prrafodelista"/>
        <w:tabs>
          <w:tab w:val="left" w:pos="284"/>
          <w:tab w:val="left" w:pos="567"/>
        </w:tabs>
        <w:spacing w:line="360" w:lineRule="auto"/>
        <w:ind w:left="851" w:right="822"/>
        <w:jc w:val="both"/>
        <w:rPr>
          <w:rFonts w:ascii="Palatino Linotype" w:hAnsi="Palatino Linotype"/>
          <w:bCs/>
          <w:i/>
          <w:color w:val="000000"/>
          <w:szCs w:val="22"/>
        </w:rPr>
      </w:pPr>
    </w:p>
    <w:p w14:paraId="0D5EA872" w14:textId="77777777" w:rsidR="005B7F2D" w:rsidRPr="0085379B" w:rsidRDefault="005B7F2D" w:rsidP="005B7F2D">
      <w:pPr>
        <w:pStyle w:val="Prrafodelista"/>
        <w:tabs>
          <w:tab w:val="left" w:pos="284"/>
          <w:tab w:val="left" w:pos="567"/>
        </w:tabs>
        <w:spacing w:line="360" w:lineRule="auto"/>
        <w:ind w:left="851" w:right="822"/>
        <w:jc w:val="both"/>
        <w:rPr>
          <w:rFonts w:ascii="Palatino Linotype" w:hAnsi="Palatino Linotype"/>
          <w:bCs/>
          <w:i/>
          <w:color w:val="000000"/>
          <w:szCs w:val="22"/>
        </w:rPr>
      </w:pPr>
      <w:r w:rsidRPr="0085379B">
        <w:rPr>
          <w:rFonts w:ascii="Palatino Linotype" w:hAnsi="Palatino Linotype"/>
          <w:bCs/>
          <w:i/>
          <w:color w:val="000000"/>
          <w:szCs w:val="22"/>
        </w:rPr>
        <w:t>“</w:t>
      </w:r>
      <w:r w:rsidRPr="0085379B">
        <w:rPr>
          <w:rFonts w:ascii="Palatino Linotype" w:hAnsi="Palatino Linotype"/>
          <w:b/>
          <w:bCs/>
          <w:i/>
          <w:color w:val="000000"/>
          <w:szCs w:val="22"/>
        </w:rPr>
        <w:t xml:space="preserve">Artículo 143.- </w:t>
      </w:r>
      <w:r w:rsidRPr="0085379B">
        <w:rPr>
          <w:rFonts w:ascii="Palatino Linotype" w:hAnsi="Palatino Linotype"/>
          <w:bCs/>
          <w:i/>
          <w:color w:val="000000"/>
          <w:szCs w:val="22"/>
        </w:rPr>
        <w:t xml:space="preserve">Para los efectos de esta ley se considera información confidencial la clasificada como tal, de manera permanente por su naturaleza cuando: </w:t>
      </w:r>
    </w:p>
    <w:p w14:paraId="0370CE32" w14:textId="77777777" w:rsidR="005B7F2D" w:rsidRPr="0085379B" w:rsidRDefault="005B7F2D" w:rsidP="005B7F2D">
      <w:pPr>
        <w:pStyle w:val="Prrafodelista"/>
        <w:tabs>
          <w:tab w:val="left" w:pos="284"/>
          <w:tab w:val="left" w:pos="567"/>
        </w:tabs>
        <w:spacing w:line="360" w:lineRule="auto"/>
        <w:ind w:left="851" w:right="822"/>
        <w:jc w:val="both"/>
        <w:rPr>
          <w:rFonts w:ascii="Palatino Linotype" w:hAnsi="Palatino Linotype"/>
          <w:bCs/>
          <w:i/>
          <w:color w:val="000000"/>
          <w:szCs w:val="22"/>
        </w:rPr>
      </w:pPr>
      <w:r w:rsidRPr="0085379B">
        <w:rPr>
          <w:rFonts w:ascii="Palatino Linotype" w:hAnsi="Palatino Linotype"/>
          <w:b/>
          <w:bCs/>
          <w:i/>
          <w:color w:val="000000"/>
          <w:szCs w:val="22"/>
        </w:rPr>
        <w:lastRenderedPageBreak/>
        <w:t>I.</w:t>
      </w:r>
      <w:r w:rsidRPr="0085379B">
        <w:rPr>
          <w:rFonts w:ascii="Palatino Linotype" w:hAnsi="Palatino Linotype"/>
          <w:bCs/>
          <w:i/>
          <w:color w:val="000000"/>
          <w:szCs w:val="22"/>
        </w:rPr>
        <w:t xml:space="preserve"> Se refiera a la información privada y los datos personales concernientes a una persona física o jurídico colectiva identificada o identificable</w:t>
      </w:r>
    </w:p>
    <w:p w14:paraId="19A31129" w14:textId="77777777" w:rsidR="005B7F2D" w:rsidRPr="0085379B" w:rsidRDefault="005B7F2D" w:rsidP="005B7F2D">
      <w:pPr>
        <w:pStyle w:val="Prrafodelista"/>
        <w:tabs>
          <w:tab w:val="left" w:pos="284"/>
          <w:tab w:val="left" w:pos="567"/>
        </w:tabs>
        <w:spacing w:line="360" w:lineRule="auto"/>
        <w:ind w:left="851" w:right="822"/>
        <w:jc w:val="both"/>
        <w:rPr>
          <w:rFonts w:ascii="Palatino Linotype" w:hAnsi="Palatino Linotype"/>
          <w:bCs/>
          <w:i/>
          <w:color w:val="000000"/>
          <w:szCs w:val="22"/>
        </w:rPr>
      </w:pPr>
      <w:r w:rsidRPr="0085379B">
        <w:rPr>
          <w:rFonts w:ascii="Palatino Linotype" w:hAnsi="Palatino Linotype"/>
          <w:bCs/>
          <w:i/>
          <w:color w:val="000000"/>
          <w:szCs w:val="22"/>
        </w:rPr>
        <w:t>…” (Sic)</w:t>
      </w:r>
    </w:p>
    <w:p w14:paraId="1FD5FFD4" w14:textId="77777777" w:rsidR="008F6428" w:rsidRPr="0085379B" w:rsidRDefault="008F6428" w:rsidP="008F6428">
      <w:pPr>
        <w:pStyle w:val="Prrafodelista"/>
        <w:tabs>
          <w:tab w:val="left" w:pos="284"/>
          <w:tab w:val="left" w:pos="567"/>
        </w:tabs>
        <w:spacing w:line="360" w:lineRule="auto"/>
        <w:ind w:left="0"/>
        <w:jc w:val="both"/>
        <w:rPr>
          <w:rFonts w:ascii="Palatino Linotype" w:hAnsi="Palatino Linotype"/>
          <w:bCs/>
          <w:color w:val="000000"/>
          <w:sz w:val="24"/>
          <w:szCs w:val="22"/>
          <w:lang w:val="es-ES_tradnl"/>
        </w:rPr>
      </w:pPr>
    </w:p>
    <w:p w14:paraId="6FC428C0" w14:textId="77777777" w:rsidR="008F6428" w:rsidRPr="0085379B" w:rsidRDefault="008F6428" w:rsidP="008F6428">
      <w:pPr>
        <w:numPr>
          <w:ilvl w:val="0"/>
          <w:numId w:val="6"/>
        </w:numPr>
        <w:spacing w:line="360" w:lineRule="auto"/>
        <w:ind w:left="0" w:right="49" w:firstLine="0"/>
        <w:contextualSpacing/>
        <w:jc w:val="both"/>
        <w:rPr>
          <w:rFonts w:ascii="Palatino Linotype" w:eastAsia="MS Mincho" w:hAnsi="Palatino Linotype"/>
          <w:sz w:val="28"/>
          <w:szCs w:val="24"/>
          <w:lang w:val="es-ES_tradnl"/>
        </w:rPr>
      </w:pPr>
      <w:r w:rsidRPr="0085379B">
        <w:rPr>
          <w:rFonts w:ascii="Palatino Linotype" w:hAnsi="Palatino Linotype" w:cs="Arial"/>
          <w:sz w:val="24"/>
        </w:rPr>
        <w:t xml:space="preserve">Lo anterior, es así en virtud de que no se debe perder vista que </w:t>
      </w:r>
      <w:r w:rsidRPr="0085379B">
        <w:rPr>
          <w:rFonts w:ascii="Palatino Linotype" w:hAnsi="Palatino Linotype"/>
          <w:sz w:val="24"/>
          <w:lang w:eastAsia="es-MX"/>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conferidas, para lo cual se deberá observar lo establecido en los artículos 3 fracciones IX, XX, XXI, XXXII y XLV; 6, 49 fracción VIII, 91, 137, 143, fracción I, de la Ley de Transparencia y Acceso a la Información Pública del Estado de México y Municipios vigente que a continuación se insertan:</w:t>
      </w:r>
    </w:p>
    <w:p w14:paraId="535C4B8E" w14:textId="77777777" w:rsidR="008F6428" w:rsidRPr="0085379B" w:rsidRDefault="008F6428" w:rsidP="008F6428">
      <w:pPr>
        <w:spacing w:line="360" w:lineRule="auto"/>
        <w:ind w:right="49"/>
        <w:contextualSpacing/>
        <w:jc w:val="both"/>
        <w:rPr>
          <w:rFonts w:ascii="Palatino Linotype" w:eastAsia="MS Mincho" w:hAnsi="Palatino Linotype"/>
          <w:sz w:val="28"/>
          <w:szCs w:val="24"/>
          <w:lang w:val="es-ES_tradnl"/>
        </w:rPr>
      </w:pPr>
    </w:p>
    <w:p w14:paraId="16CB5F87"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“Artículo 3. Para los efectos de la presente Ley se entenderá por:</w:t>
      </w:r>
    </w:p>
    <w:p w14:paraId="131C88D3"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Cs/>
          <w:i/>
          <w:iCs/>
          <w:sz w:val="22"/>
          <w:lang w:eastAsia="es-MX"/>
        </w:rPr>
        <w:t>…</w:t>
      </w:r>
    </w:p>
    <w:p w14:paraId="48B9C4C5"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IX. Datos personales:</w:t>
      </w:r>
      <w:r w:rsidRPr="0085379B">
        <w:rPr>
          <w:rFonts w:ascii="Palatino Linotype" w:hAnsi="Palatino Linotype"/>
          <w:i/>
          <w:iCs/>
          <w:sz w:val="22"/>
          <w:lang w:eastAsia="es-MX"/>
        </w:rPr>
        <w:t xml:space="preserve"> La información concerniente a una persona, identificada o identificable según lo dispuesto por la Ley de Protección de Datos Personales del Estado de México;</w:t>
      </w:r>
    </w:p>
    <w:p w14:paraId="19BE834C"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bCs/>
          <w:i/>
          <w:iCs/>
          <w:sz w:val="22"/>
          <w:lang w:eastAsia="es-MX"/>
        </w:rPr>
      </w:pPr>
      <w:r w:rsidRPr="0085379B">
        <w:rPr>
          <w:rFonts w:ascii="Palatino Linotype" w:hAnsi="Palatino Linotype"/>
          <w:bCs/>
          <w:i/>
          <w:iCs/>
          <w:sz w:val="22"/>
          <w:lang w:eastAsia="es-MX"/>
        </w:rPr>
        <w:t>…</w:t>
      </w:r>
    </w:p>
    <w:p w14:paraId="3CBFCA42"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b/>
          <w:bCs/>
          <w:i/>
          <w:iCs/>
          <w:sz w:val="22"/>
          <w:lang w:eastAsia="es-MX"/>
        </w:rPr>
        <w:t>XX. Información clasificada:</w:t>
      </w:r>
      <w:r w:rsidRPr="0085379B">
        <w:rPr>
          <w:rFonts w:ascii="Palatino Linotype" w:hAnsi="Palatino Linotype"/>
          <w:i/>
          <w:iCs/>
          <w:sz w:val="22"/>
          <w:lang w:eastAsia="es-MX"/>
        </w:rPr>
        <w:t xml:space="preserve"> Aquella considerada por la presente Ley como reservada o confidencial;</w:t>
      </w:r>
    </w:p>
    <w:p w14:paraId="24BF230A"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b/>
          <w:bCs/>
          <w:i/>
          <w:iCs/>
          <w:sz w:val="22"/>
          <w:lang w:eastAsia="es-MX"/>
        </w:rPr>
        <w:lastRenderedPageBreak/>
        <w:t>XXI. Información confidencial:</w:t>
      </w:r>
      <w:r w:rsidRPr="0085379B">
        <w:rPr>
          <w:rFonts w:ascii="Palatino Linotype" w:hAnsi="Palatino Linotype"/>
          <w:i/>
          <w:iCs/>
          <w:sz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3B00109"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bCs/>
          <w:i/>
          <w:iCs/>
          <w:sz w:val="22"/>
          <w:lang w:eastAsia="es-MX"/>
        </w:rPr>
      </w:pPr>
      <w:r w:rsidRPr="0085379B">
        <w:rPr>
          <w:rFonts w:ascii="Palatino Linotype" w:hAnsi="Palatino Linotype"/>
          <w:bCs/>
          <w:i/>
          <w:iCs/>
          <w:sz w:val="22"/>
          <w:lang w:eastAsia="es-MX"/>
        </w:rPr>
        <w:t>…</w:t>
      </w:r>
    </w:p>
    <w:p w14:paraId="22249E46"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b/>
          <w:bCs/>
          <w:i/>
          <w:iCs/>
          <w:sz w:val="22"/>
          <w:lang w:eastAsia="es-MX"/>
        </w:rPr>
        <w:t>XXXII. Protección de Datos Personales:</w:t>
      </w:r>
      <w:r w:rsidRPr="0085379B">
        <w:rPr>
          <w:rFonts w:ascii="Palatino Linotype" w:hAnsi="Palatino Linotype"/>
          <w:i/>
          <w:iCs/>
          <w:sz w:val="22"/>
          <w:lang w:eastAsia="es-MX"/>
        </w:rPr>
        <w:t xml:space="preserve"> Derecho humano que tutela la privacidad de datos personales en poder de los sujetos obligados y sujetos particulares;</w:t>
      </w:r>
    </w:p>
    <w:p w14:paraId="71D89B66"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i/>
          <w:iCs/>
          <w:sz w:val="22"/>
          <w:lang w:eastAsia="es-MX"/>
        </w:rPr>
        <w:t>…</w:t>
      </w:r>
    </w:p>
    <w:p w14:paraId="1DCE8C32"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XLV. Versión pública</w:t>
      </w:r>
      <w:r w:rsidRPr="0085379B">
        <w:rPr>
          <w:rFonts w:ascii="Palatino Linotype" w:hAnsi="Palatino Linotype"/>
          <w:i/>
          <w:iCs/>
          <w:sz w:val="22"/>
          <w:lang w:eastAsia="es-MX"/>
        </w:rPr>
        <w:t>: Documento en el que se elimine, suprime o borra la información clasificada como reservada o confidencial para permitir su acceso.</w:t>
      </w:r>
    </w:p>
    <w:p w14:paraId="17E5229F"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b/>
          <w:bCs/>
          <w:i/>
          <w:iCs/>
          <w:sz w:val="22"/>
          <w:lang w:eastAsia="es-MX"/>
        </w:rPr>
      </w:pPr>
    </w:p>
    <w:p w14:paraId="4C6DFA0A"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Artículo 6.</w:t>
      </w:r>
      <w:r w:rsidRPr="0085379B">
        <w:rPr>
          <w:rFonts w:ascii="Palatino Linotype" w:hAnsi="Palatino Linotype"/>
          <w:i/>
          <w:iCs/>
          <w:sz w:val="22"/>
          <w:lang w:eastAsia="es-MX"/>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321E2807"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b/>
          <w:bCs/>
          <w:i/>
          <w:iCs/>
          <w:sz w:val="22"/>
          <w:lang w:eastAsia="es-MX"/>
        </w:rPr>
      </w:pPr>
    </w:p>
    <w:p w14:paraId="49F25894"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b/>
          <w:bCs/>
          <w:i/>
          <w:iCs/>
          <w:sz w:val="22"/>
          <w:lang w:eastAsia="es-MX"/>
        </w:rPr>
        <w:t>Artículo 49.</w:t>
      </w:r>
      <w:r w:rsidRPr="0085379B">
        <w:rPr>
          <w:rFonts w:ascii="Palatino Linotype" w:hAnsi="Palatino Linotype"/>
          <w:i/>
          <w:iCs/>
          <w:sz w:val="22"/>
          <w:lang w:eastAsia="es-MX"/>
        </w:rPr>
        <w:t xml:space="preserve"> Los Comités de Transparencia tendrán las siguientes atribuciones:</w:t>
      </w:r>
    </w:p>
    <w:p w14:paraId="713CFCE8"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i/>
          <w:iCs/>
          <w:sz w:val="22"/>
          <w:lang w:eastAsia="es-MX"/>
        </w:rPr>
        <w:t>…</w:t>
      </w:r>
    </w:p>
    <w:p w14:paraId="4BBF33A3"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b/>
          <w:bCs/>
          <w:i/>
          <w:iCs/>
          <w:sz w:val="22"/>
          <w:lang w:eastAsia="es-MX"/>
        </w:rPr>
        <w:t>VIII</w:t>
      </w:r>
      <w:r w:rsidRPr="0085379B">
        <w:rPr>
          <w:rFonts w:ascii="Palatino Linotype" w:hAnsi="Palatino Linotype"/>
          <w:i/>
          <w:iCs/>
          <w:sz w:val="22"/>
          <w:lang w:eastAsia="es-MX"/>
        </w:rPr>
        <w:t>. Aprobar, modificar o revocar la clasificación de la información;</w:t>
      </w:r>
    </w:p>
    <w:p w14:paraId="012CC8AA"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i/>
          <w:iCs/>
          <w:sz w:val="22"/>
          <w:lang w:eastAsia="es-MX"/>
        </w:rPr>
      </w:pPr>
      <w:r w:rsidRPr="0085379B">
        <w:rPr>
          <w:rFonts w:ascii="Palatino Linotype" w:hAnsi="Palatino Linotype"/>
          <w:i/>
          <w:iCs/>
          <w:sz w:val="22"/>
          <w:lang w:eastAsia="es-MX"/>
        </w:rPr>
        <w:lastRenderedPageBreak/>
        <w:t>…</w:t>
      </w:r>
    </w:p>
    <w:p w14:paraId="2E1ACA12"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cs="Arial"/>
          <w:b/>
          <w:bCs/>
          <w:i/>
          <w:noProof/>
          <w:sz w:val="22"/>
        </w:rPr>
      </w:pPr>
    </w:p>
    <w:p w14:paraId="54C6E3BD" w14:textId="77777777" w:rsidR="008F6428" w:rsidRPr="0085379B" w:rsidRDefault="008F6428" w:rsidP="008F6428">
      <w:pPr>
        <w:shd w:val="clear" w:color="auto" w:fill="FFFFFF"/>
        <w:spacing w:line="360" w:lineRule="auto"/>
        <w:ind w:left="851" w:right="851"/>
        <w:contextualSpacing/>
        <w:jc w:val="both"/>
        <w:rPr>
          <w:rFonts w:ascii="Palatino Linotype" w:hAnsi="Palatino Linotype" w:cs="Arial"/>
          <w:bCs/>
          <w:i/>
          <w:noProof/>
          <w:sz w:val="22"/>
        </w:rPr>
      </w:pPr>
      <w:r w:rsidRPr="0085379B">
        <w:rPr>
          <w:rFonts w:ascii="Palatino Linotype" w:hAnsi="Palatino Linotype" w:cs="Arial"/>
          <w:b/>
          <w:bCs/>
          <w:i/>
          <w:noProof/>
          <w:sz w:val="22"/>
        </w:rPr>
        <w:t xml:space="preserve">Artículo 91. </w:t>
      </w:r>
      <w:r w:rsidRPr="0085379B">
        <w:rPr>
          <w:rFonts w:ascii="Palatino Linotype" w:hAnsi="Palatino Linotype" w:cs="Arial"/>
          <w:bCs/>
          <w:i/>
          <w:noProof/>
          <w:sz w:val="22"/>
        </w:rPr>
        <w:t>El acceso a la información pública será restringido excepcionalmente, cuando ésta sea clasificada como reservada o confidencial.</w:t>
      </w:r>
    </w:p>
    <w:p w14:paraId="6D1BAEC6" w14:textId="77777777" w:rsidR="008F6428" w:rsidRPr="0085379B" w:rsidRDefault="008F6428" w:rsidP="00650D1F">
      <w:pPr>
        <w:shd w:val="clear" w:color="auto" w:fill="FFFFFF"/>
        <w:spacing w:line="360" w:lineRule="auto"/>
        <w:ind w:left="851" w:right="851"/>
        <w:contextualSpacing/>
        <w:jc w:val="both"/>
        <w:rPr>
          <w:rFonts w:ascii="Palatino Linotype" w:hAnsi="Palatino Linotype" w:cs="Arial"/>
          <w:bCs/>
          <w:i/>
          <w:noProof/>
          <w:sz w:val="22"/>
        </w:rPr>
      </w:pPr>
      <w:r w:rsidRPr="0085379B">
        <w:rPr>
          <w:rFonts w:ascii="Palatino Linotype" w:hAnsi="Palatino Linotype" w:cs="Arial"/>
          <w:bCs/>
          <w:i/>
          <w:noProof/>
          <w:sz w:val="22"/>
        </w:rPr>
        <w:t>…</w:t>
      </w:r>
    </w:p>
    <w:p w14:paraId="5A0CD3AB" w14:textId="77777777" w:rsidR="008F6428" w:rsidRPr="0085379B" w:rsidRDefault="008F6428" w:rsidP="00650D1F">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Artículo 137</w:t>
      </w:r>
      <w:r w:rsidRPr="0085379B">
        <w:rPr>
          <w:rFonts w:ascii="Palatino Linotype" w:hAnsi="Palatino Linotype"/>
          <w:i/>
          <w:iCs/>
          <w:sz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9213D22" w14:textId="77777777" w:rsidR="00650D1F" w:rsidRPr="0085379B" w:rsidRDefault="00650D1F" w:rsidP="00650D1F">
      <w:pPr>
        <w:shd w:val="clear" w:color="auto" w:fill="FFFFFF"/>
        <w:spacing w:line="360" w:lineRule="auto"/>
        <w:ind w:left="851" w:right="851"/>
        <w:contextualSpacing/>
        <w:jc w:val="both"/>
        <w:rPr>
          <w:rFonts w:ascii="Palatino Linotype" w:hAnsi="Palatino Linotype"/>
          <w:sz w:val="22"/>
          <w:lang w:eastAsia="es-MX"/>
        </w:rPr>
      </w:pPr>
    </w:p>
    <w:p w14:paraId="4B331E6A" w14:textId="77777777" w:rsidR="008F6428" w:rsidRPr="0085379B" w:rsidRDefault="008F6428" w:rsidP="00650D1F">
      <w:pPr>
        <w:shd w:val="clear" w:color="auto" w:fill="FFFFFF"/>
        <w:spacing w:line="360" w:lineRule="auto"/>
        <w:ind w:left="851" w:right="851"/>
        <w:contextualSpacing/>
        <w:jc w:val="both"/>
        <w:rPr>
          <w:rFonts w:ascii="Palatino Linotype" w:hAnsi="Palatino Linotype"/>
          <w:sz w:val="22"/>
          <w:lang w:eastAsia="es-MX"/>
        </w:rPr>
      </w:pPr>
      <w:r w:rsidRPr="0085379B">
        <w:rPr>
          <w:rFonts w:ascii="Palatino Linotype" w:hAnsi="Palatino Linotype"/>
          <w:b/>
          <w:bCs/>
          <w:i/>
          <w:iCs/>
          <w:sz w:val="22"/>
          <w:lang w:eastAsia="es-MX"/>
        </w:rPr>
        <w:t>Artículo 143</w:t>
      </w:r>
      <w:r w:rsidRPr="0085379B">
        <w:rPr>
          <w:rFonts w:ascii="Palatino Linotype" w:hAnsi="Palatino Linotype"/>
          <w:i/>
          <w:iCs/>
          <w:sz w:val="22"/>
          <w:lang w:eastAsia="es-MX"/>
        </w:rPr>
        <w:t>. Para los efectos de esta Ley se considera información confidencial, la clasificada como tal, de manera permanente, por su naturaleza, cuando:</w:t>
      </w:r>
    </w:p>
    <w:p w14:paraId="032292EA" w14:textId="77777777" w:rsidR="008F6428" w:rsidRPr="0085379B" w:rsidRDefault="008F6428" w:rsidP="008F6428">
      <w:pPr>
        <w:shd w:val="clear" w:color="auto" w:fill="FFFFFF"/>
        <w:spacing w:line="360" w:lineRule="auto"/>
        <w:ind w:left="851" w:right="851"/>
        <w:contextualSpacing/>
        <w:jc w:val="both"/>
        <w:rPr>
          <w:rFonts w:ascii="Palatino Linotype" w:eastAsia="Calibri" w:hAnsi="Palatino Linotype" w:cs="Arial"/>
          <w:bCs/>
          <w:i/>
          <w:noProof/>
          <w:sz w:val="22"/>
        </w:rPr>
      </w:pPr>
      <w:r w:rsidRPr="0085379B">
        <w:rPr>
          <w:rFonts w:ascii="Palatino Linotype" w:hAnsi="Palatino Linotype"/>
          <w:b/>
          <w:i/>
          <w:iCs/>
          <w:sz w:val="22"/>
          <w:lang w:eastAsia="es-MX"/>
        </w:rPr>
        <w:t>I.</w:t>
      </w:r>
      <w:r w:rsidRPr="0085379B">
        <w:rPr>
          <w:rFonts w:ascii="Palatino Linotype" w:hAnsi="Palatino Linotype"/>
          <w:i/>
          <w:iCs/>
          <w:sz w:val="22"/>
          <w:lang w:eastAsia="es-MX"/>
        </w:rPr>
        <w:t xml:space="preserve"> Se refiera a la información privada y los datos personales concernientes a una persona física o jurídico colectiva identificada o identificable..</w:t>
      </w:r>
      <w:r w:rsidRPr="0085379B">
        <w:rPr>
          <w:rFonts w:ascii="Palatino Linotype" w:eastAsia="Calibri" w:hAnsi="Palatino Linotype" w:cs="Arial"/>
          <w:bCs/>
          <w:i/>
          <w:noProof/>
          <w:sz w:val="22"/>
        </w:rPr>
        <w:t>.”(Sic)</w:t>
      </w:r>
    </w:p>
    <w:p w14:paraId="606ADCA5" w14:textId="77777777" w:rsidR="008F6428" w:rsidRPr="0085379B" w:rsidRDefault="008F6428" w:rsidP="008F6428">
      <w:pPr>
        <w:pStyle w:val="Prrafodelista"/>
        <w:numPr>
          <w:ilvl w:val="0"/>
          <w:numId w:val="6"/>
        </w:numPr>
        <w:autoSpaceDE w:val="0"/>
        <w:autoSpaceDN w:val="0"/>
        <w:adjustRightInd w:val="0"/>
        <w:spacing w:before="240" w:after="240" w:line="360" w:lineRule="auto"/>
        <w:ind w:left="0" w:firstLine="0"/>
        <w:jc w:val="both"/>
        <w:rPr>
          <w:rFonts w:ascii="Palatino Linotype" w:hAnsi="Palatino Linotype" w:cs="Arial"/>
          <w:sz w:val="24"/>
        </w:rPr>
      </w:pPr>
      <w:r w:rsidRPr="0085379B">
        <w:rPr>
          <w:rFonts w:ascii="Palatino Linotype" w:hAnsi="Palatino Linotype" w:cs="Arial"/>
          <w:sz w:val="24"/>
        </w:rPr>
        <w:t xml:space="preserve">De los preceptos anteriores se desprende que cuando un documento que contenga tanto información de interés público como información privada debe ser clasificada, y se hará la entrega del mismo, testando las secciones o datos que deban ser clasificados; por ende el </w:t>
      </w:r>
      <w:r w:rsidRPr="0085379B">
        <w:rPr>
          <w:rFonts w:ascii="Palatino Linotype" w:hAnsi="Palatino Linotype" w:cs="Arial"/>
          <w:b/>
          <w:sz w:val="24"/>
        </w:rPr>
        <w:t>Sujeto Obligado</w:t>
      </w:r>
      <w:r w:rsidRPr="0085379B">
        <w:rPr>
          <w:rFonts w:ascii="Palatino Linotype" w:hAnsi="Palatino Linotype" w:cs="Arial"/>
          <w:sz w:val="24"/>
        </w:rPr>
        <w:t xml:space="preserve"> deberá proceder a testar los datos personales que se encuentre contenidos en los documentos para satisfacer el derecho de acceso a la información pública del Recurrente, esto es, los datos concernientes a una persona identificada o identificable, o aquellos datos que tengan el carácter de </w:t>
      </w:r>
      <w:r w:rsidRPr="0085379B">
        <w:rPr>
          <w:rFonts w:ascii="Palatino Linotype" w:hAnsi="Palatino Linotype" w:cs="Arial"/>
          <w:sz w:val="24"/>
        </w:rPr>
        <w:lastRenderedPageBreak/>
        <w:t>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14:paraId="7E9F8446" w14:textId="77777777" w:rsidR="008F6428" w:rsidRPr="0085379B" w:rsidRDefault="008F6428" w:rsidP="00650D1F">
      <w:pPr>
        <w:pStyle w:val="Prrafodelista"/>
        <w:tabs>
          <w:tab w:val="left" w:pos="284"/>
          <w:tab w:val="left" w:pos="567"/>
        </w:tabs>
        <w:spacing w:line="360" w:lineRule="auto"/>
        <w:ind w:left="0"/>
        <w:jc w:val="both"/>
        <w:rPr>
          <w:rFonts w:ascii="Palatino Linotype" w:hAnsi="Palatino Linotype"/>
          <w:bCs/>
          <w:color w:val="000000"/>
          <w:sz w:val="24"/>
          <w:szCs w:val="22"/>
          <w:lang w:val="es-ES"/>
        </w:rPr>
      </w:pPr>
    </w:p>
    <w:p w14:paraId="48A27C92" w14:textId="77777777" w:rsidR="00650D1F" w:rsidRPr="0085379B" w:rsidRDefault="00650D1F" w:rsidP="00650D1F">
      <w:pPr>
        <w:pStyle w:val="Prrafodelista"/>
        <w:numPr>
          <w:ilvl w:val="0"/>
          <w:numId w:val="6"/>
        </w:numPr>
        <w:autoSpaceDE w:val="0"/>
        <w:autoSpaceDN w:val="0"/>
        <w:adjustRightInd w:val="0"/>
        <w:spacing w:before="240" w:after="240" w:line="360" w:lineRule="auto"/>
        <w:ind w:left="0" w:firstLine="0"/>
        <w:jc w:val="both"/>
        <w:rPr>
          <w:rFonts w:ascii="Palatino Linotype" w:hAnsi="Palatino Linotype" w:cs="Arial"/>
          <w:sz w:val="32"/>
        </w:rPr>
      </w:pPr>
      <w:r w:rsidRPr="0085379B">
        <w:rPr>
          <w:rFonts w:ascii="Palatino Linotype" w:hAnsi="Palatino Linotype" w:cs="Arial"/>
          <w:sz w:val="24"/>
        </w:rPr>
        <w:t>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1C91D2B8"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b/>
          <w:i/>
          <w:sz w:val="22"/>
        </w:rPr>
        <w:t>“Artículo 49.</w:t>
      </w:r>
      <w:r w:rsidRPr="0085379B">
        <w:rPr>
          <w:rFonts w:ascii="Palatino Linotype" w:hAnsi="Palatino Linotype"/>
          <w:i/>
          <w:sz w:val="22"/>
        </w:rPr>
        <w:t xml:space="preserve"> </w:t>
      </w:r>
      <w:r w:rsidRPr="0085379B">
        <w:rPr>
          <w:rFonts w:ascii="Palatino Linotype" w:hAnsi="Palatino Linotype"/>
          <w:b/>
          <w:i/>
          <w:sz w:val="22"/>
        </w:rPr>
        <w:t>Los Comités de Transparencia</w:t>
      </w:r>
      <w:r w:rsidRPr="0085379B">
        <w:rPr>
          <w:rFonts w:ascii="Palatino Linotype" w:hAnsi="Palatino Linotype"/>
          <w:i/>
          <w:sz w:val="22"/>
        </w:rPr>
        <w:t xml:space="preserve"> tendrán las siguientes atribuciones:</w:t>
      </w:r>
    </w:p>
    <w:p w14:paraId="214DA2FB" w14:textId="77777777" w:rsidR="00650D1F" w:rsidRPr="0085379B" w:rsidRDefault="00650D1F" w:rsidP="00650D1F">
      <w:pPr>
        <w:spacing w:line="360" w:lineRule="auto"/>
        <w:ind w:left="851" w:right="851"/>
        <w:contextualSpacing/>
        <w:jc w:val="both"/>
        <w:rPr>
          <w:rFonts w:ascii="Palatino Linotype" w:hAnsi="Palatino Linotype"/>
          <w:b/>
          <w:i/>
          <w:sz w:val="22"/>
        </w:rPr>
      </w:pPr>
      <w:r w:rsidRPr="0085379B">
        <w:rPr>
          <w:rFonts w:ascii="Palatino Linotype" w:hAnsi="Palatino Linotype"/>
          <w:b/>
          <w:i/>
          <w:sz w:val="22"/>
        </w:rPr>
        <w:t>…</w:t>
      </w:r>
    </w:p>
    <w:p w14:paraId="3A722B42"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b/>
          <w:i/>
          <w:sz w:val="22"/>
        </w:rPr>
        <w:t>VIII. Aprobar, modificar o revocar la clasificación de la información</w:t>
      </w:r>
      <w:r w:rsidRPr="0085379B">
        <w:rPr>
          <w:rFonts w:ascii="Palatino Linotype" w:hAnsi="Palatino Linotype"/>
          <w:i/>
          <w:sz w:val="22"/>
        </w:rPr>
        <w:t>…”</w:t>
      </w:r>
    </w:p>
    <w:p w14:paraId="48F26608"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i/>
          <w:sz w:val="22"/>
        </w:rPr>
        <w:t>…</w:t>
      </w:r>
    </w:p>
    <w:p w14:paraId="16411FB2"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i/>
          <w:sz w:val="22"/>
        </w:rPr>
        <w:t>“</w:t>
      </w:r>
      <w:r w:rsidRPr="0085379B">
        <w:rPr>
          <w:rFonts w:ascii="Palatino Linotype" w:hAnsi="Palatino Linotype"/>
          <w:b/>
          <w:i/>
          <w:sz w:val="22"/>
        </w:rPr>
        <w:t>Artículo 53.</w:t>
      </w:r>
      <w:r w:rsidRPr="0085379B">
        <w:rPr>
          <w:rFonts w:ascii="Palatino Linotype" w:hAnsi="Palatino Linotype"/>
          <w:i/>
          <w:sz w:val="22"/>
        </w:rPr>
        <w:t xml:space="preserve"> Las </w:t>
      </w:r>
      <w:r w:rsidRPr="0085379B">
        <w:rPr>
          <w:rFonts w:ascii="Palatino Linotype" w:hAnsi="Palatino Linotype"/>
          <w:b/>
          <w:i/>
          <w:sz w:val="22"/>
        </w:rPr>
        <w:t>Unidades de Transparencia</w:t>
      </w:r>
      <w:r w:rsidRPr="0085379B">
        <w:rPr>
          <w:rFonts w:ascii="Palatino Linotype" w:hAnsi="Palatino Linotype"/>
          <w:i/>
          <w:sz w:val="22"/>
        </w:rPr>
        <w:t xml:space="preserve"> tendrán las siguientes </w:t>
      </w:r>
      <w:r w:rsidRPr="0085379B">
        <w:rPr>
          <w:rFonts w:ascii="Palatino Linotype" w:hAnsi="Palatino Linotype"/>
          <w:b/>
          <w:i/>
          <w:sz w:val="22"/>
        </w:rPr>
        <w:t>funciones</w:t>
      </w:r>
      <w:r w:rsidRPr="0085379B">
        <w:rPr>
          <w:rFonts w:ascii="Palatino Linotype" w:hAnsi="Palatino Linotype"/>
          <w:i/>
          <w:sz w:val="22"/>
        </w:rPr>
        <w:t>:</w:t>
      </w:r>
    </w:p>
    <w:p w14:paraId="5B699A86" w14:textId="77777777" w:rsidR="00650D1F" w:rsidRPr="0085379B" w:rsidRDefault="00650D1F" w:rsidP="00650D1F">
      <w:pPr>
        <w:tabs>
          <w:tab w:val="left" w:pos="3280"/>
        </w:tabs>
        <w:spacing w:line="360" w:lineRule="auto"/>
        <w:ind w:left="851" w:right="851"/>
        <w:contextualSpacing/>
        <w:jc w:val="both"/>
        <w:rPr>
          <w:rFonts w:ascii="Palatino Linotype" w:hAnsi="Palatino Linotype"/>
          <w:i/>
          <w:sz w:val="22"/>
        </w:rPr>
      </w:pPr>
      <w:r w:rsidRPr="0085379B">
        <w:rPr>
          <w:rFonts w:ascii="Palatino Linotype" w:hAnsi="Palatino Linotype"/>
          <w:i/>
          <w:sz w:val="22"/>
        </w:rPr>
        <w:t>…</w:t>
      </w:r>
      <w:r w:rsidRPr="0085379B">
        <w:rPr>
          <w:rFonts w:ascii="Palatino Linotype" w:hAnsi="Palatino Linotype"/>
          <w:i/>
          <w:sz w:val="22"/>
        </w:rPr>
        <w:tab/>
      </w:r>
    </w:p>
    <w:p w14:paraId="7D59DC9E" w14:textId="77777777" w:rsidR="00650D1F" w:rsidRPr="0085379B" w:rsidRDefault="00650D1F" w:rsidP="00650D1F">
      <w:pPr>
        <w:spacing w:line="360" w:lineRule="auto"/>
        <w:ind w:left="851" w:right="851"/>
        <w:contextualSpacing/>
        <w:jc w:val="both"/>
        <w:rPr>
          <w:rFonts w:ascii="Palatino Linotype" w:hAnsi="Palatino Linotype"/>
          <w:b/>
          <w:i/>
          <w:sz w:val="22"/>
        </w:rPr>
      </w:pPr>
      <w:r w:rsidRPr="0085379B">
        <w:rPr>
          <w:rFonts w:ascii="Palatino Linotype" w:hAnsi="Palatino Linotype"/>
          <w:b/>
          <w:i/>
          <w:sz w:val="22"/>
        </w:rPr>
        <w:t>X. Presentar ante el Comité, el proyecto de clasificación de información;</w:t>
      </w:r>
    </w:p>
    <w:p w14:paraId="7B71A6B6"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i/>
          <w:sz w:val="22"/>
        </w:rPr>
        <w:t xml:space="preserve">…” </w:t>
      </w:r>
    </w:p>
    <w:p w14:paraId="52158422"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b/>
          <w:i/>
          <w:sz w:val="22"/>
        </w:rPr>
        <w:t>“Artículo 59.</w:t>
      </w:r>
      <w:r w:rsidRPr="0085379B">
        <w:rPr>
          <w:rFonts w:ascii="Palatino Linotype" w:hAnsi="Palatino Linotype"/>
          <w:i/>
          <w:sz w:val="22"/>
        </w:rPr>
        <w:t xml:space="preserve"> Los </w:t>
      </w:r>
      <w:r w:rsidRPr="0085379B">
        <w:rPr>
          <w:rFonts w:ascii="Palatino Linotype" w:hAnsi="Palatino Linotype"/>
          <w:b/>
          <w:i/>
          <w:sz w:val="22"/>
        </w:rPr>
        <w:t>servidores públicos habilitados</w:t>
      </w:r>
      <w:r w:rsidRPr="0085379B">
        <w:rPr>
          <w:rFonts w:ascii="Palatino Linotype" w:hAnsi="Palatino Linotype"/>
          <w:i/>
          <w:sz w:val="22"/>
        </w:rPr>
        <w:t xml:space="preserve"> tendrán las </w:t>
      </w:r>
      <w:r w:rsidRPr="0085379B">
        <w:rPr>
          <w:rFonts w:ascii="Palatino Linotype" w:hAnsi="Palatino Linotype"/>
          <w:b/>
          <w:i/>
          <w:sz w:val="22"/>
        </w:rPr>
        <w:t>funciones</w:t>
      </w:r>
      <w:r w:rsidRPr="0085379B">
        <w:rPr>
          <w:rFonts w:ascii="Palatino Linotype" w:hAnsi="Palatino Linotype"/>
          <w:i/>
          <w:sz w:val="22"/>
        </w:rPr>
        <w:t xml:space="preserve"> siguientes:</w:t>
      </w:r>
    </w:p>
    <w:p w14:paraId="1E7AFB79" w14:textId="77777777" w:rsidR="00650D1F" w:rsidRPr="0085379B" w:rsidRDefault="00650D1F" w:rsidP="00650D1F">
      <w:pPr>
        <w:spacing w:line="360" w:lineRule="auto"/>
        <w:ind w:left="851" w:right="851"/>
        <w:contextualSpacing/>
        <w:jc w:val="both"/>
        <w:rPr>
          <w:rFonts w:ascii="Palatino Linotype" w:hAnsi="Palatino Linotype"/>
          <w:b/>
          <w:i/>
          <w:sz w:val="22"/>
        </w:rPr>
      </w:pPr>
      <w:r w:rsidRPr="0085379B">
        <w:rPr>
          <w:rFonts w:ascii="Palatino Linotype" w:hAnsi="Palatino Linotype"/>
          <w:b/>
          <w:i/>
          <w:sz w:val="22"/>
        </w:rPr>
        <w:t>…</w:t>
      </w:r>
    </w:p>
    <w:p w14:paraId="6F0E12BE"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b/>
          <w:i/>
          <w:sz w:val="22"/>
        </w:rPr>
        <w:lastRenderedPageBreak/>
        <w:t>V. Integrar y presentar al responsable de la Unidad de Transparencia la propuesta de clasificación de información</w:t>
      </w:r>
      <w:r w:rsidRPr="0085379B">
        <w:rPr>
          <w:rFonts w:ascii="Palatino Linotype" w:hAnsi="Palatino Linotype"/>
          <w:i/>
          <w:sz w:val="22"/>
        </w:rPr>
        <w:t>, la cual tendrá los fundamentos y argumentos en que se basa dicha propuesta;</w:t>
      </w:r>
    </w:p>
    <w:p w14:paraId="09F1EF4C"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i/>
          <w:sz w:val="22"/>
        </w:rPr>
        <w:t>…”</w:t>
      </w:r>
    </w:p>
    <w:p w14:paraId="2175FC38" w14:textId="77777777" w:rsidR="00650D1F" w:rsidRPr="0085379B" w:rsidRDefault="00650D1F" w:rsidP="00650D1F">
      <w:pPr>
        <w:spacing w:line="360" w:lineRule="auto"/>
        <w:ind w:left="851" w:right="851"/>
        <w:contextualSpacing/>
        <w:jc w:val="both"/>
        <w:rPr>
          <w:rFonts w:ascii="Palatino Linotype" w:hAnsi="Palatino Linotype"/>
          <w:i/>
          <w:sz w:val="22"/>
        </w:rPr>
      </w:pPr>
    </w:p>
    <w:p w14:paraId="4659C05E" w14:textId="77777777" w:rsidR="00650D1F" w:rsidRPr="0085379B" w:rsidRDefault="00650D1F" w:rsidP="00650D1F">
      <w:pPr>
        <w:spacing w:line="360" w:lineRule="auto"/>
        <w:ind w:left="851" w:right="851"/>
        <w:contextualSpacing/>
        <w:jc w:val="both"/>
        <w:rPr>
          <w:rFonts w:ascii="Palatino Linotype" w:hAnsi="Palatino Linotype"/>
          <w:i/>
          <w:sz w:val="22"/>
        </w:rPr>
      </w:pPr>
      <w:r w:rsidRPr="0085379B">
        <w:rPr>
          <w:rFonts w:ascii="Palatino Linotype" w:hAnsi="Palatino Linotype"/>
          <w:i/>
          <w:sz w:val="22"/>
        </w:rPr>
        <w:t>Énfasis añadido.</w:t>
      </w:r>
    </w:p>
    <w:p w14:paraId="7C35AFAF" w14:textId="77777777" w:rsidR="00650D1F" w:rsidRPr="0085379B" w:rsidRDefault="00650D1F" w:rsidP="00650D1F">
      <w:pPr>
        <w:spacing w:before="240" w:after="240"/>
        <w:ind w:left="992" w:right="1043"/>
        <w:contextualSpacing/>
        <w:jc w:val="both"/>
        <w:rPr>
          <w:rFonts w:ascii="Palatino Linotype" w:hAnsi="Palatino Linotype"/>
          <w:i/>
        </w:rPr>
      </w:pPr>
    </w:p>
    <w:p w14:paraId="32A1CF1A" w14:textId="77777777" w:rsidR="00650D1F" w:rsidRPr="0085379B" w:rsidRDefault="00650D1F" w:rsidP="00650D1F">
      <w:pPr>
        <w:pStyle w:val="Prrafodelista"/>
        <w:numPr>
          <w:ilvl w:val="0"/>
          <w:numId w:val="6"/>
        </w:numPr>
        <w:spacing w:before="240" w:after="240" w:line="360" w:lineRule="auto"/>
        <w:ind w:left="0" w:firstLine="0"/>
        <w:jc w:val="both"/>
        <w:rPr>
          <w:rFonts w:ascii="Palatino Linotype" w:hAnsi="Palatino Linotype" w:cs="Arial"/>
          <w:sz w:val="24"/>
        </w:rPr>
      </w:pPr>
      <w:r w:rsidRPr="0085379B">
        <w:rPr>
          <w:rFonts w:ascii="Palatino Linotype" w:hAnsi="Palatino Linotype" w:cs="Arial"/>
          <w:sz w:val="24"/>
        </w:rPr>
        <w:t>Denotándose de dichos ordenamientos jurídicos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0492DC1C" w14:textId="77777777" w:rsidR="00650D1F" w:rsidRPr="0085379B" w:rsidRDefault="00650D1F" w:rsidP="00650D1F">
      <w:pPr>
        <w:pStyle w:val="Prrafodelista"/>
        <w:spacing w:before="240" w:after="240" w:line="360" w:lineRule="auto"/>
        <w:ind w:left="0"/>
        <w:jc w:val="both"/>
        <w:rPr>
          <w:rFonts w:ascii="Palatino Linotype" w:hAnsi="Palatino Linotype" w:cs="Arial"/>
          <w:sz w:val="24"/>
        </w:rPr>
      </w:pPr>
    </w:p>
    <w:p w14:paraId="1112D27A" w14:textId="77777777" w:rsidR="00650D1F" w:rsidRPr="0085379B" w:rsidRDefault="00650D1F" w:rsidP="00650D1F">
      <w:pPr>
        <w:pStyle w:val="Prrafodelista"/>
        <w:numPr>
          <w:ilvl w:val="0"/>
          <w:numId w:val="6"/>
        </w:numPr>
        <w:spacing w:before="240" w:after="240" w:line="360" w:lineRule="auto"/>
        <w:ind w:left="0" w:firstLine="0"/>
        <w:jc w:val="both"/>
        <w:rPr>
          <w:rFonts w:ascii="Palatino Linotype" w:hAnsi="Palatino Linotype" w:cs="Arial"/>
          <w:sz w:val="28"/>
        </w:rPr>
      </w:pPr>
      <w:r w:rsidRPr="0085379B">
        <w:rPr>
          <w:rFonts w:ascii="Palatino Linotype" w:hAnsi="Palatino Linotype" w:cs="Arial"/>
          <w:sz w:val="24"/>
        </w:rPr>
        <w:t>Para lo cual, a su vez en el caso de información de carácter confidencial se debe atender a lo que señala el artículo 149 de la Ley de Transparencia Local vigente, cuyo contenido es de la literalidad siguiente:</w:t>
      </w:r>
    </w:p>
    <w:p w14:paraId="1A213D8E" w14:textId="77777777" w:rsidR="00650D1F" w:rsidRPr="0085379B" w:rsidRDefault="00650D1F" w:rsidP="00650D1F">
      <w:pPr>
        <w:spacing w:line="360" w:lineRule="auto"/>
        <w:ind w:left="851" w:right="851"/>
        <w:jc w:val="both"/>
        <w:rPr>
          <w:rFonts w:ascii="Palatino Linotype" w:hAnsi="Palatino Linotype"/>
          <w:i/>
          <w:sz w:val="22"/>
        </w:rPr>
      </w:pPr>
      <w:r w:rsidRPr="0085379B">
        <w:rPr>
          <w:rFonts w:ascii="Palatino Linotype" w:hAnsi="Palatino Linotype"/>
          <w:i/>
          <w:sz w:val="22"/>
        </w:rPr>
        <w:lastRenderedPageBreak/>
        <w:t>“</w:t>
      </w:r>
      <w:r w:rsidRPr="0085379B">
        <w:rPr>
          <w:rFonts w:ascii="Palatino Linotype" w:hAnsi="Palatino Linotype"/>
          <w:b/>
          <w:i/>
          <w:sz w:val="22"/>
        </w:rPr>
        <w:t>Artículo 149.</w:t>
      </w:r>
      <w:r w:rsidRPr="0085379B">
        <w:rPr>
          <w:rFonts w:ascii="Palatino Linotype" w:hAnsi="Palatino Linotype"/>
          <w:i/>
          <w:sz w:val="22"/>
        </w:rPr>
        <w:t xml:space="preserve"> El </w:t>
      </w:r>
      <w:r w:rsidRPr="0085379B">
        <w:rPr>
          <w:rFonts w:ascii="Palatino Linotype" w:hAnsi="Palatino Linotype"/>
          <w:b/>
          <w:i/>
          <w:sz w:val="22"/>
        </w:rPr>
        <w:t>acuerdo que clasifique la información como confidencial</w:t>
      </w:r>
      <w:r w:rsidRPr="0085379B">
        <w:rPr>
          <w:rFonts w:ascii="Palatino Linotype" w:hAnsi="Palatino Linotype"/>
          <w:i/>
          <w:sz w:val="22"/>
        </w:rPr>
        <w:t xml:space="preserve"> deberá contener un razonamiento lógico en el que demuestre que la información se encuentra en alguna o algunas de las hipótesis previstas en la presente Ley.”</w:t>
      </w:r>
    </w:p>
    <w:p w14:paraId="08434303" w14:textId="77777777" w:rsidR="00650D1F" w:rsidRPr="0085379B" w:rsidRDefault="00650D1F" w:rsidP="00650D1F">
      <w:pPr>
        <w:pStyle w:val="Prrafodelista"/>
        <w:numPr>
          <w:ilvl w:val="0"/>
          <w:numId w:val="6"/>
        </w:numPr>
        <w:spacing w:before="240" w:after="240" w:line="360" w:lineRule="auto"/>
        <w:ind w:left="0" w:firstLine="0"/>
        <w:jc w:val="both"/>
        <w:rPr>
          <w:rFonts w:ascii="Palatino Linotype" w:hAnsi="Palatino Linotype" w:cs="Arial"/>
          <w:sz w:val="24"/>
          <w:lang w:eastAsia="es-CO"/>
        </w:rPr>
      </w:pPr>
      <w:r w:rsidRPr="0085379B">
        <w:rPr>
          <w:rFonts w:ascii="Palatino Linotype" w:hAnsi="Palatino Linotype" w:cs="Arial"/>
          <w:sz w:val="24"/>
          <w:lang w:eastAsia="es-CO"/>
        </w:rPr>
        <w:t xml:space="preserve">Es decir, el </w:t>
      </w:r>
      <w:r w:rsidRPr="0085379B">
        <w:rPr>
          <w:rFonts w:ascii="Palatino Linotype" w:hAnsi="Palatino Linotype" w:cs="Arial"/>
          <w:b/>
          <w:sz w:val="24"/>
          <w:lang w:eastAsia="es-CO"/>
        </w:rPr>
        <w:t>Sujeto Obligado</w:t>
      </w:r>
      <w:r w:rsidRPr="0085379B">
        <w:rPr>
          <w:rFonts w:ascii="Palatino Linotype" w:hAnsi="Palatino Linotype" w:cs="Arial"/>
          <w:sz w:val="24"/>
          <w:lang w:eastAsia="es-CO"/>
        </w:rPr>
        <w:t xml:space="preserve"> a través de su Comité de Transparencia, deberá elaborar acuerdo que contenga un razonamiento lógico con el que se demuestre que la información que se clasifica como confidencial, encuadra en alguna de las hipótesis que contempla la Ley de la Materia en su artículo 143; ya que de lo contrario se estaría violentando el derecho de acceso a la información de la solicitante.</w:t>
      </w:r>
    </w:p>
    <w:p w14:paraId="176E7613" w14:textId="77777777" w:rsidR="00650D1F" w:rsidRPr="0085379B" w:rsidRDefault="00650D1F" w:rsidP="00650D1F">
      <w:pPr>
        <w:pStyle w:val="Prrafodelista"/>
        <w:spacing w:before="240" w:after="240" w:line="360" w:lineRule="auto"/>
        <w:ind w:left="0"/>
        <w:jc w:val="both"/>
        <w:rPr>
          <w:rFonts w:ascii="Palatino Linotype" w:hAnsi="Palatino Linotype" w:cs="Arial"/>
          <w:sz w:val="24"/>
          <w:lang w:eastAsia="es-CO"/>
        </w:rPr>
      </w:pPr>
    </w:p>
    <w:p w14:paraId="03B48249" w14:textId="77777777" w:rsidR="00650D1F" w:rsidRPr="0085379B" w:rsidRDefault="00650D1F" w:rsidP="00650D1F">
      <w:pPr>
        <w:pStyle w:val="Prrafodelista"/>
        <w:numPr>
          <w:ilvl w:val="0"/>
          <w:numId w:val="6"/>
        </w:numPr>
        <w:spacing w:before="240" w:after="240" w:line="360" w:lineRule="auto"/>
        <w:ind w:left="0" w:firstLine="0"/>
        <w:jc w:val="both"/>
        <w:rPr>
          <w:rFonts w:ascii="Palatino Linotype" w:hAnsi="Palatino Linotype" w:cs="Arial"/>
          <w:sz w:val="28"/>
          <w:lang w:eastAsia="es-CO"/>
        </w:rPr>
      </w:pPr>
      <w:r w:rsidRPr="0085379B">
        <w:rPr>
          <w:rFonts w:ascii="Palatino Linotype" w:hAnsi="Palatino Linotype" w:cs="Arial"/>
          <w:sz w:val="24"/>
        </w:rPr>
        <w:t xml:space="preserve">Asimismo, se destaca que el acuerdo de clasificación que elabore el Sujeto Obligado debe cumplir con las formalidades exigidas en la Ley; </w:t>
      </w:r>
      <w:r w:rsidRPr="0085379B">
        <w:rPr>
          <w:rFonts w:ascii="Palatino Linotype" w:hAnsi="Palatino Linotype"/>
          <w:sz w:val="24"/>
          <w:lang w:val="es-ES_tradnl"/>
        </w:rPr>
        <w:t xml:space="preserve">es decir, </w:t>
      </w:r>
      <w:r w:rsidRPr="0085379B">
        <w:rPr>
          <w:rFonts w:ascii="Palatino Linotype" w:hAnsi="Palatino Linotype"/>
          <w:sz w:val="24"/>
        </w:rPr>
        <w:t>resulta necesario que el Comité de Transparencia d</w:t>
      </w:r>
      <w:r w:rsidRPr="0085379B">
        <w:rPr>
          <w:rFonts w:ascii="Palatino Linotype" w:hAnsi="Palatino Linotype"/>
          <w:sz w:val="24"/>
          <w:lang w:val="es-ES_tradnl"/>
        </w:rPr>
        <w:t xml:space="preserve">el Sujeto Obligado </w:t>
      </w:r>
      <w:r w:rsidRPr="0085379B">
        <w:rPr>
          <w:rFonts w:ascii="Palatino Linotype" w:hAnsi="Palatino Linotype"/>
          <w:sz w:val="24"/>
        </w:rPr>
        <w:t>emita el Acuerdo de Clasificación correspondiente</w:t>
      </w:r>
      <w:r w:rsidRPr="0085379B">
        <w:rPr>
          <w:rFonts w:ascii="Palatino Linotype" w:hAnsi="Palatino Linotype"/>
          <w:sz w:val="24"/>
          <w:lang w:val="es-ES_tradnl"/>
        </w:rPr>
        <w:t xml:space="preserve"> debidamente fundado y motivado</w:t>
      </w:r>
      <w:r w:rsidRPr="0085379B">
        <w:rPr>
          <w:rFonts w:ascii="Palatino Linotype" w:hAnsi="Palatino Linotype"/>
          <w:sz w:val="24"/>
        </w:rPr>
        <w:t xml:space="preserve">, el cual deberá cumplir cabalmente con las formalidades previstas en el artículo 137 de la Ley de Transparencia y Acceso a la Información Pública del Estado de México y Municipios, ya expuesto; así como con los numerales aplicables de los </w:t>
      </w:r>
      <w:r w:rsidRPr="0085379B">
        <w:rPr>
          <w:rFonts w:ascii="Palatino Linotype" w:hAnsi="Palatino Linotype"/>
          <w:b/>
          <w:sz w:val="24"/>
        </w:rPr>
        <w:t>LINEAMIENTOS GENERALES EN MATERIA DE CLASIFICACIÓN Y DESCLASIFICACIÓN DE LA INFORMACIÓN, ASÍ COMO PARA LA ELABORACIÓN DE VERSIONES PÚBLICAS</w:t>
      </w:r>
      <w:r w:rsidRPr="0085379B">
        <w:rPr>
          <w:rFonts w:ascii="Palatino Linotype" w:hAnsi="Palatino Linotype"/>
          <w:sz w:val="24"/>
        </w:rPr>
        <w:t>.</w:t>
      </w:r>
    </w:p>
    <w:p w14:paraId="3EF6D3A8" w14:textId="77777777" w:rsidR="00650D1F" w:rsidRPr="0085379B" w:rsidRDefault="00650D1F" w:rsidP="00650D1F">
      <w:pPr>
        <w:pStyle w:val="Prrafodelista"/>
        <w:spacing w:before="240" w:after="240" w:line="360" w:lineRule="auto"/>
        <w:ind w:left="0"/>
        <w:jc w:val="both"/>
        <w:rPr>
          <w:rFonts w:ascii="Palatino Linotype" w:hAnsi="Palatino Linotype" w:cs="Arial"/>
          <w:sz w:val="24"/>
          <w:lang w:eastAsia="es-CO"/>
        </w:rPr>
      </w:pPr>
    </w:p>
    <w:p w14:paraId="1E22A328" w14:textId="77777777" w:rsidR="00650D1F" w:rsidRPr="0085379B" w:rsidRDefault="00650D1F" w:rsidP="00650D1F">
      <w:pPr>
        <w:pStyle w:val="Prrafodelista"/>
        <w:numPr>
          <w:ilvl w:val="0"/>
          <w:numId w:val="6"/>
        </w:numPr>
        <w:spacing w:before="240" w:after="240" w:line="360" w:lineRule="auto"/>
        <w:ind w:left="0" w:firstLine="0"/>
        <w:jc w:val="both"/>
        <w:rPr>
          <w:rFonts w:ascii="Palatino Linotype" w:hAnsi="Palatino Linotype" w:cs="Arial"/>
          <w:sz w:val="32"/>
          <w:lang w:eastAsia="es-CO"/>
        </w:rPr>
      </w:pPr>
      <w:r w:rsidRPr="0085379B">
        <w:rPr>
          <w:rFonts w:ascii="Palatino Linotype" w:hAnsi="Palatino Linotype" w:cs="Arial"/>
          <w:sz w:val="24"/>
        </w:rPr>
        <w:lastRenderedPageBreak/>
        <w:t>Es entonces que, cuando se clasifica información como confidencial es importante someterlo al Comité de Transparencia, quien debe confirmar, modificar o revocar la clasificación</w:t>
      </w:r>
      <w:r w:rsidRPr="0085379B">
        <w:rPr>
          <w:rFonts w:ascii="Palatino Linotype" w:hAnsi="Palatino Linotype"/>
          <w:sz w:val="24"/>
          <w:lang w:eastAsia="es-MX"/>
        </w:rPr>
        <w:t xml:space="preserve">, por lo que el acuerdo respectivo, deberá hacerse del conocimiento del </w:t>
      </w:r>
      <w:r w:rsidRPr="0085379B">
        <w:rPr>
          <w:rFonts w:ascii="Palatino Linotype" w:hAnsi="Palatino Linotype"/>
          <w:bCs/>
          <w:sz w:val="24"/>
          <w:lang w:eastAsia="es-MX"/>
        </w:rPr>
        <w:t>Recurrente</w:t>
      </w:r>
      <w:r w:rsidRPr="0085379B">
        <w:rPr>
          <w:rFonts w:ascii="Palatino Linotype" w:hAnsi="Palatino Linotype"/>
          <w:sz w:val="24"/>
          <w:lang w:eastAsia="es-MX"/>
        </w:rPr>
        <w:t>.</w:t>
      </w:r>
    </w:p>
    <w:p w14:paraId="31DA082E" w14:textId="77777777" w:rsidR="00650D1F" w:rsidRPr="0085379B" w:rsidRDefault="00650D1F" w:rsidP="00650D1F">
      <w:pPr>
        <w:pStyle w:val="Prrafodelista"/>
        <w:rPr>
          <w:rFonts w:ascii="Palatino Linotype" w:hAnsi="Palatino Linotype" w:cs="Arial"/>
          <w:sz w:val="24"/>
          <w:lang w:eastAsia="es-CO"/>
        </w:rPr>
      </w:pPr>
    </w:p>
    <w:p w14:paraId="14788D9A" w14:textId="77777777" w:rsidR="00D87060" w:rsidRPr="0085379B" w:rsidRDefault="00650D1F" w:rsidP="00D87060">
      <w:pPr>
        <w:pStyle w:val="Prrafodelista"/>
        <w:numPr>
          <w:ilvl w:val="0"/>
          <w:numId w:val="6"/>
        </w:numPr>
        <w:spacing w:before="240" w:after="240" w:line="360" w:lineRule="auto"/>
        <w:ind w:left="0" w:firstLine="0"/>
        <w:jc w:val="both"/>
        <w:rPr>
          <w:rFonts w:ascii="Palatino Linotype" w:hAnsi="Palatino Linotype" w:cs="Arial"/>
          <w:sz w:val="32"/>
          <w:lang w:eastAsia="es-CO"/>
        </w:rPr>
      </w:pPr>
      <w:r w:rsidRPr="0085379B">
        <w:rPr>
          <w:rFonts w:ascii="Palatino Linotype" w:hAnsi="Palatino Linotype" w:cs="Arial"/>
          <w:sz w:val="24"/>
          <w:lang w:eastAsia="es-CO"/>
        </w:rPr>
        <w:t xml:space="preserve">En el presente caso, </w:t>
      </w:r>
      <w:r w:rsidR="005C0762" w:rsidRPr="0085379B">
        <w:rPr>
          <w:rFonts w:ascii="Palatino Linotype" w:hAnsi="Palatino Linotype" w:cs="Arial"/>
          <w:sz w:val="24"/>
          <w:lang w:eastAsia="es-CO"/>
        </w:rPr>
        <w:t xml:space="preserve">en informe justificado </w:t>
      </w:r>
      <w:r w:rsidRPr="0085379B">
        <w:rPr>
          <w:rFonts w:ascii="Palatino Linotype" w:hAnsi="Palatino Linotype" w:cs="Arial"/>
          <w:sz w:val="24"/>
          <w:lang w:eastAsia="es-CO"/>
        </w:rPr>
        <w:t xml:space="preserve">el Sujeto Obligado entregó el acuerdo </w:t>
      </w:r>
      <w:r w:rsidR="005C0762" w:rsidRPr="0085379B">
        <w:rPr>
          <w:rFonts w:ascii="Palatino Linotype" w:hAnsi="Palatino Linotype" w:cs="Arial"/>
          <w:sz w:val="24"/>
          <w:lang w:eastAsia="es-CO"/>
        </w:rPr>
        <w:t>mediante el cual se clasificó como confidencial el Padrón de Tomas de Agua</w:t>
      </w:r>
      <w:r w:rsidRPr="0085379B">
        <w:rPr>
          <w:rFonts w:ascii="Palatino Linotype" w:hAnsi="Palatino Linotype" w:cs="Arial"/>
          <w:sz w:val="24"/>
          <w:lang w:eastAsia="es-CO"/>
        </w:rPr>
        <w:t>, emitido por el Comit</w:t>
      </w:r>
      <w:r w:rsidR="005C0762" w:rsidRPr="0085379B">
        <w:rPr>
          <w:rFonts w:ascii="Palatino Linotype" w:hAnsi="Palatino Linotype" w:cs="Arial"/>
          <w:sz w:val="24"/>
          <w:lang w:eastAsia="es-CO"/>
        </w:rPr>
        <w:t xml:space="preserve">é de Transparencia, </w:t>
      </w:r>
      <w:r w:rsidR="00D87060" w:rsidRPr="0085379B">
        <w:rPr>
          <w:rFonts w:ascii="Palatino Linotype" w:hAnsi="Palatino Linotype" w:cs="Arial"/>
          <w:sz w:val="24"/>
          <w:lang w:eastAsia="es-CO"/>
        </w:rPr>
        <w:t>que</w:t>
      </w:r>
      <w:r w:rsidR="00F110CC" w:rsidRPr="0085379B">
        <w:rPr>
          <w:rFonts w:ascii="Palatino Linotype" w:hAnsi="Palatino Linotype" w:cs="Arial"/>
          <w:sz w:val="24"/>
          <w:lang w:eastAsia="es-CO"/>
        </w:rPr>
        <w:t xml:space="preserve"> </w:t>
      </w:r>
      <w:r w:rsidR="00D87060" w:rsidRPr="0085379B">
        <w:rPr>
          <w:rFonts w:ascii="Palatino Linotype" w:hAnsi="Palatino Linotype" w:cs="Arial"/>
          <w:sz w:val="24"/>
          <w:lang w:eastAsia="es-CO"/>
        </w:rPr>
        <w:t>contiene los elementos establecidos por la normatividad aplicable para la clasificación de la información:</w:t>
      </w:r>
      <w:r w:rsidR="00D87060" w:rsidRPr="0085379B">
        <w:rPr>
          <w:noProof/>
          <w:lang w:eastAsia="es-MX"/>
        </w:rPr>
        <w:t xml:space="preserve"> </w:t>
      </w:r>
    </w:p>
    <w:p w14:paraId="6FDD0BF5" w14:textId="77777777" w:rsidR="00D87060" w:rsidRPr="00940226" w:rsidRDefault="00D87060" w:rsidP="00D87060">
      <w:pPr>
        <w:pStyle w:val="Prrafodelista"/>
        <w:rPr>
          <w:rFonts w:ascii="Palatino Linotype" w:hAnsi="Palatino Linotype" w:cs="Arial"/>
          <w:sz w:val="32"/>
          <w:highlight w:val="yellow"/>
          <w:lang w:eastAsia="es-CO"/>
        </w:rPr>
      </w:pPr>
    </w:p>
    <w:p w14:paraId="0E20ACFE" w14:textId="77777777" w:rsidR="005C0762" w:rsidRPr="00940226" w:rsidRDefault="00D87060" w:rsidP="00D87060">
      <w:pPr>
        <w:pStyle w:val="Prrafodelista"/>
        <w:spacing w:before="240" w:after="240" w:line="360" w:lineRule="auto"/>
        <w:ind w:left="0"/>
        <w:jc w:val="center"/>
        <w:rPr>
          <w:rFonts w:ascii="Palatino Linotype" w:hAnsi="Palatino Linotype" w:cs="Arial"/>
          <w:sz w:val="32"/>
          <w:highlight w:val="yellow"/>
          <w:lang w:eastAsia="es-CO"/>
        </w:rPr>
      </w:pPr>
      <w:r w:rsidRPr="00940226">
        <w:rPr>
          <w:rFonts w:ascii="Palatino Linotype" w:hAnsi="Palatino Linotype" w:cs="Arial"/>
          <w:noProof/>
          <w:sz w:val="24"/>
          <w:highlight w:val="yellow"/>
          <w:lang w:eastAsia="es-MX"/>
        </w:rPr>
        <w:drawing>
          <wp:inline distT="0" distB="0" distL="0" distR="0" wp14:anchorId="7AB51392" wp14:editId="0FBCBE81">
            <wp:extent cx="5049672" cy="286375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64940" cy="2872410"/>
                    </a:xfrm>
                    <a:prstGeom prst="rect">
                      <a:avLst/>
                    </a:prstGeom>
                  </pic:spPr>
                </pic:pic>
              </a:graphicData>
            </a:graphic>
          </wp:inline>
        </w:drawing>
      </w:r>
    </w:p>
    <w:p w14:paraId="169950D6" w14:textId="77777777" w:rsidR="005C0762" w:rsidRPr="00940226" w:rsidRDefault="005C0762" w:rsidP="00D87060">
      <w:pPr>
        <w:rPr>
          <w:rFonts w:ascii="Palatino Linotype" w:hAnsi="Palatino Linotype" w:cs="Arial"/>
          <w:sz w:val="32"/>
          <w:highlight w:val="yellow"/>
          <w:lang w:eastAsia="es-CO"/>
        </w:rPr>
      </w:pPr>
    </w:p>
    <w:p w14:paraId="12BEDCF0" w14:textId="77777777" w:rsidR="005C0762" w:rsidRPr="00940226" w:rsidRDefault="005C0762" w:rsidP="00F110CC">
      <w:pPr>
        <w:pStyle w:val="Prrafodelista"/>
        <w:spacing w:before="240" w:after="240" w:line="360" w:lineRule="auto"/>
        <w:ind w:left="0"/>
        <w:jc w:val="center"/>
        <w:rPr>
          <w:rFonts w:ascii="Palatino Linotype" w:hAnsi="Palatino Linotype" w:cs="Arial"/>
          <w:sz w:val="32"/>
          <w:highlight w:val="yellow"/>
          <w:lang w:eastAsia="es-CO"/>
        </w:rPr>
      </w:pPr>
    </w:p>
    <w:p w14:paraId="3F2EA9B2" w14:textId="77777777" w:rsidR="008F6428"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r w:rsidRPr="00CD5103">
        <w:rPr>
          <w:rFonts w:ascii="Palatino Linotype" w:hAnsi="Palatino Linotype"/>
          <w:bCs/>
          <w:noProof/>
          <w:color w:val="000000"/>
          <w:sz w:val="24"/>
          <w:szCs w:val="22"/>
          <w:lang w:eastAsia="es-MX"/>
        </w:rPr>
        <w:drawing>
          <wp:inline distT="0" distB="0" distL="0" distR="0" wp14:anchorId="56E51515" wp14:editId="2D66A5A4">
            <wp:extent cx="5620534" cy="1114581"/>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0534" cy="1114581"/>
                    </a:xfrm>
                    <a:prstGeom prst="rect">
                      <a:avLst/>
                    </a:prstGeom>
                  </pic:spPr>
                </pic:pic>
              </a:graphicData>
            </a:graphic>
          </wp:inline>
        </w:drawing>
      </w:r>
    </w:p>
    <w:p w14:paraId="7C30E894" w14:textId="77777777" w:rsidR="005C0762" w:rsidRPr="00940226" w:rsidRDefault="005C0762" w:rsidP="005C0762">
      <w:pPr>
        <w:pStyle w:val="Prrafodelista"/>
        <w:tabs>
          <w:tab w:val="left" w:pos="284"/>
          <w:tab w:val="left" w:pos="567"/>
        </w:tabs>
        <w:spacing w:line="360" w:lineRule="auto"/>
        <w:ind w:left="0"/>
        <w:jc w:val="both"/>
        <w:rPr>
          <w:rFonts w:ascii="Palatino Linotype" w:hAnsi="Palatino Linotype"/>
          <w:bCs/>
          <w:color w:val="000000"/>
          <w:sz w:val="24"/>
          <w:szCs w:val="22"/>
          <w:highlight w:val="yellow"/>
          <w:lang w:val="es-ES"/>
        </w:rPr>
      </w:pPr>
    </w:p>
    <w:p w14:paraId="7B576A93" w14:textId="77777777" w:rsidR="005C0762" w:rsidRPr="00CD5103"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lang w:val="es-ES"/>
        </w:rPr>
      </w:pPr>
      <w:r w:rsidRPr="00CD5103">
        <w:rPr>
          <w:rFonts w:ascii="Palatino Linotype" w:hAnsi="Palatino Linotype"/>
          <w:bCs/>
          <w:noProof/>
          <w:color w:val="000000"/>
          <w:sz w:val="24"/>
          <w:szCs w:val="22"/>
          <w:lang w:eastAsia="es-MX"/>
        </w:rPr>
        <w:lastRenderedPageBreak/>
        <w:drawing>
          <wp:inline distT="0" distB="0" distL="0" distR="0" wp14:anchorId="55ED4457" wp14:editId="0A63AD8D">
            <wp:extent cx="5544324" cy="4887007"/>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44324" cy="4887007"/>
                    </a:xfrm>
                    <a:prstGeom prst="rect">
                      <a:avLst/>
                    </a:prstGeom>
                  </pic:spPr>
                </pic:pic>
              </a:graphicData>
            </a:graphic>
          </wp:inline>
        </w:drawing>
      </w:r>
    </w:p>
    <w:p w14:paraId="63A0907F" w14:textId="77777777" w:rsidR="005C0762" w:rsidRPr="00940226" w:rsidRDefault="005C0762"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p>
    <w:p w14:paraId="21D44529" w14:textId="77777777" w:rsidR="005C0762"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r w:rsidRPr="00CD5103">
        <w:rPr>
          <w:rFonts w:ascii="Palatino Linotype" w:hAnsi="Palatino Linotype"/>
          <w:bCs/>
          <w:noProof/>
          <w:color w:val="000000"/>
          <w:sz w:val="24"/>
          <w:szCs w:val="22"/>
          <w:lang w:eastAsia="es-MX"/>
        </w:rPr>
        <w:lastRenderedPageBreak/>
        <w:drawing>
          <wp:inline distT="0" distB="0" distL="0" distR="0" wp14:anchorId="2D05BBF0" wp14:editId="5007A520">
            <wp:extent cx="5742940" cy="3428365"/>
            <wp:effectExtent l="0" t="0" r="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42940" cy="3428365"/>
                    </a:xfrm>
                    <a:prstGeom prst="rect">
                      <a:avLst/>
                    </a:prstGeom>
                  </pic:spPr>
                </pic:pic>
              </a:graphicData>
            </a:graphic>
          </wp:inline>
        </w:drawing>
      </w:r>
    </w:p>
    <w:p w14:paraId="676DF462" w14:textId="77777777" w:rsidR="00D87060"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r w:rsidRPr="00CD5103">
        <w:rPr>
          <w:rFonts w:ascii="Palatino Linotype" w:hAnsi="Palatino Linotype"/>
          <w:bCs/>
          <w:noProof/>
          <w:color w:val="000000"/>
          <w:sz w:val="24"/>
          <w:szCs w:val="22"/>
          <w:lang w:eastAsia="es-MX"/>
        </w:rPr>
        <w:lastRenderedPageBreak/>
        <w:drawing>
          <wp:inline distT="0" distB="0" distL="0" distR="0" wp14:anchorId="5056ACA4" wp14:editId="2829FEA0">
            <wp:extent cx="5715798" cy="3400900"/>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5798" cy="3400900"/>
                    </a:xfrm>
                    <a:prstGeom prst="rect">
                      <a:avLst/>
                    </a:prstGeom>
                  </pic:spPr>
                </pic:pic>
              </a:graphicData>
            </a:graphic>
          </wp:inline>
        </w:drawing>
      </w:r>
    </w:p>
    <w:p w14:paraId="0045402D" w14:textId="77777777" w:rsidR="005C0762" w:rsidRPr="00940226" w:rsidRDefault="005C0762"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p>
    <w:p w14:paraId="7BBBB963" w14:textId="77777777" w:rsidR="005C0762"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r w:rsidRPr="00CD5103">
        <w:rPr>
          <w:rFonts w:ascii="Palatino Linotype" w:hAnsi="Palatino Linotype"/>
          <w:bCs/>
          <w:noProof/>
          <w:color w:val="000000"/>
          <w:sz w:val="24"/>
          <w:szCs w:val="22"/>
          <w:lang w:eastAsia="es-MX"/>
        </w:rPr>
        <w:drawing>
          <wp:inline distT="0" distB="0" distL="0" distR="0" wp14:anchorId="6E19FAF1" wp14:editId="75BCDFF1">
            <wp:extent cx="5742940" cy="206184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2061845"/>
                    </a:xfrm>
                    <a:prstGeom prst="rect">
                      <a:avLst/>
                    </a:prstGeom>
                  </pic:spPr>
                </pic:pic>
              </a:graphicData>
            </a:graphic>
          </wp:inline>
        </w:drawing>
      </w:r>
    </w:p>
    <w:p w14:paraId="6BC41043" w14:textId="77777777" w:rsidR="00D87060"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p>
    <w:p w14:paraId="5BB0C7F5" w14:textId="77777777" w:rsidR="00D87060" w:rsidRPr="00940226" w:rsidRDefault="00D87060"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r w:rsidRPr="00940226">
        <w:rPr>
          <w:rFonts w:ascii="Palatino Linotype" w:hAnsi="Palatino Linotype"/>
          <w:bCs/>
          <w:noProof/>
          <w:color w:val="000000"/>
          <w:sz w:val="24"/>
          <w:szCs w:val="22"/>
          <w:highlight w:val="yellow"/>
          <w:lang w:eastAsia="es-MX"/>
        </w:rPr>
        <w:lastRenderedPageBreak/>
        <w:drawing>
          <wp:inline distT="0" distB="0" distL="0" distR="0" wp14:anchorId="69E80C12" wp14:editId="0624018F">
            <wp:extent cx="4012442" cy="3515101"/>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20875" cy="3522489"/>
                    </a:xfrm>
                    <a:prstGeom prst="rect">
                      <a:avLst/>
                    </a:prstGeom>
                  </pic:spPr>
                </pic:pic>
              </a:graphicData>
            </a:graphic>
          </wp:inline>
        </w:drawing>
      </w:r>
    </w:p>
    <w:p w14:paraId="27F3F851" w14:textId="77777777" w:rsidR="00F110CC" w:rsidRPr="00940226" w:rsidRDefault="00F110CC" w:rsidP="00F110CC">
      <w:pPr>
        <w:pStyle w:val="Prrafodelista"/>
        <w:tabs>
          <w:tab w:val="left" w:pos="284"/>
          <w:tab w:val="left" w:pos="567"/>
        </w:tabs>
        <w:spacing w:line="360" w:lineRule="auto"/>
        <w:ind w:left="0"/>
        <w:jc w:val="center"/>
        <w:rPr>
          <w:rFonts w:ascii="Palatino Linotype" w:hAnsi="Palatino Linotype"/>
          <w:bCs/>
          <w:color w:val="000000"/>
          <w:sz w:val="24"/>
          <w:szCs w:val="22"/>
          <w:highlight w:val="yellow"/>
          <w:lang w:val="es-ES"/>
        </w:rPr>
      </w:pPr>
    </w:p>
    <w:p w14:paraId="558A0DFF" w14:textId="77777777" w:rsidR="00F110CC" w:rsidRPr="00940226" w:rsidRDefault="00F110CC" w:rsidP="00F110CC">
      <w:pPr>
        <w:pStyle w:val="Prrafodelista"/>
        <w:tabs>
          <w:tab w:val="left" w:pos="284"/>
          <w:tab w:val="left" w:pos="567"/>
        </w:tabs>
        <w:spacing w:line="360" w:lineRule="auto"/>
        <w:ind w:left="0"/>
        <w:jc w:val="both"/>
        <w:rPr>
          <w:rFonts w:ascii="Palatino Linotype" w:hAnsi="Palatino Linotype"/>
          <w:bCs/>
          <w:color w:val="000000"/>
          <w:sz w:val="24"/>
          <w:szCs w:val="22"/>
          <w:highlight w:val="yellow"/>
          <w:lang w:val="es-ES"/>
        </w:rPr>
      </w:pPr>
    </w:p>
    <w:p w14:paraId="2C47CFEC"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Así, </w:t>
      </w:r>
      <w:r w:rsidRPr="0085379B">
        <w:rPr>
          <w:rFonts w:ascii="Palatino Linotype" w:eastAsia="Calibri" w:hAnsi="Palatino Linotype"/>
          <w:sz w:val="24"/>
        </w:rPr>
        <w:t xml:space="preserve">este Pleno advierte </w:t>
      </w:r>
      <w:r w:rsidR="00F110CC" w:rsidRPr="0085379B">
        <w:rPr>
          <w:rFonts w:ascii="Palatino Linotype" w:eastAsia="Calibri" w:hAnsi="Palatino Linotype"/>
          <w:sz w:val="24"/>
        </w:rPr>
        <w:t xml:space="preserve">con la entrega del acuerdo emitido por el Comité de Transparencia, en el que se clasificó el Padrón de Tomas de Agua, </w:t>
      </w:r>
      <w:r w:rsidRPr="0085379B">
        <w:rPr>
          <w:rFonts w:ascii="Palatino Linotype" w:eastAsia="Calibri" w:hAnsi="Palatino Linotype"/>
          <w:sz w:val="24"/>
        </w:rPr>
        <w:t xml:space="preserve">el </w:t>
      </w:r>
      <w:r w:rsidRPr="0085379B">
        <w:rPr>
          <w:rFonts w:ascii="Palatino Linotype" w:eastAsia="Calibri" w:hAnsi="Palatino Linotype"/>
          <w:b/>
          <w:sz w:val="24"/>
        </w:rPr>
        <w:t>SUJETO OBLIGADO</w:t>
      </w:r>
      <w:r w:rsidRPr="0085379B">
        <w:rPr>
          <w:rFonts w:ascii="Palatino Linotype" w:eastAsia="Calibri" w:hAnsi="Palatino Linotype"/>
          <w:sz w:val="24"/>
        </w:rPr>
        <w:t xml:space="preserve"> </w:t>
      </w:r>
      <w:r w:rsidRPr="0085379B">
        <w:rPr>
          <w:rFonts w:ascii="Palatino Linotype" w:eastAsia="Calibri" w:hAnsi="Palatino Linotype"/>
          <w:b/>
          <w:sz w:val="24"/>
        </w:rPr>
        <w:t xml:space="preserve">modificó </w:t>
      </w:r>
      <w:r w:rsidRPr="0085379B">
        <w:rPr>
          <w:rFonts w:ascii="Palatino Linotype" w:eastAsia="Calibri" w:hAnsi="Palatino Linotype"/>
          <w:sz w:val="24"/>
        </w:rPr>
        <w:t>el acto que le dio origen a los recursos de revisión y que aunado a ello, la información fue remitida por el servidor público habilitado, lo que trae como consecuencia que el mismo quede sin materia, actualizándose de este modo, la hipótesis jurídica contenida en la fracción III del artículo 192 de la Ley de Transparencia Local.</w:t>
      </w:r>
    </w:p>
    <w:p w14:paraId="5A0053DE"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599E6242"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lastRenderedPageBreak/>
        <w:t xml:space="preserve">Ahora bien, </w:t>
      </w:r>
      <w:r w:rsidRPr="0085379B">
        <w:rPr>
          <w:rFonts w:ascii="Palatino Linotype" w:eastAsia="Calibri" w:hAnsi="Palatino Linotype"/>
          <w:sz w:val="24"/>
        </w:rPr>
        <w:t xml:space="preserve">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85379B">
        <w:rPr>
          <w:rFonts w:ascii="Palatino Linotype" w:eastAsia="Calibri" w:hAnsi="Palatino Linotype"/>
          <w:b/>
          <w:sz w:val="24"/>
        </w:rPr>
        <w:t>SUJETOS OBLIGADOS</w:t>
      </w:r>
      <w:r w:rsidRPr="0085379B">
        <w:rPr>
          <w:rFonts w:ascii="Palatino Linotype" w:eastAsia="Calibri" w:hAnsi="Palatino Linotype"/>
          <w:sz w:val="24"/>
        </w:rPr>
        <w:t xml:space="preserve"> o la negativa de entrega de esta, derivada de la solicitud de información pública.</w:t>
      </w:r>
    </w:p>
    <w:p w14:paraId="2C2C6C6C" w14:textId="77777777" w:rsidR="00920425" w:rsidRPr="0085379B" w:rsidRDefault="00920425" w:rsidP="00920425">
      <w:pPr>
        <w:rPr>
          <w:rFonts w:ascii="Palatino Linotype" w:eastAsia="Calibri" w:hAnsi="Palatino Linotype" w:cs="Arial"/>
          <w:color w:val="000000" w:themeColor="text1"/>
          <w:sz w:val="28"/>
          <w:lang w:val="es-ES"/>
        </w:rPr>
      </w:pPr>
    </w:p>
    <w:p w14:paraId="3F483B09"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De </w:t>
      </w:r>
      <w:r w:rsidRPr="0085379B">
        <w:rPr>
          <w:rFonts w:ascii="Palatino Linotype" w:eastAsia="Calibri" w:hAnsi="Palatino Linotype"/>
          <w:sz w:val="24"/>
        </w:rPr>
        <w:t xml:space="preserve">este modo, cuando el </w:t>
      </w:r>
      <w:r w:rsidRPr="0085379B">
        <w:rPr>
          <w:rFonts w:ascii="Palatino Linotype" w:eastAsia="Calibri" w:hAnsi="Palatino Linotype"/>
          <w:b/>
          <w:sz w:val="24"/>
        </w:rPr>
        <w:t xml:space="preserve">SUJETO OBLIGADO, </w:t>
      </w:r>
      <w:r w:rsidRPr="0085379B">
        <w:rPr>
          <w:rFonts w:ascii="Palatino Linotype" w:eastAsia="Calibri" w:hAnsi="Palatino Linotype"/>
          <w:sz w:val="24"/>
        </w:rPr>
        <w:t xml:space="preserve">antes de que se dicte resolución definitiva, entrega la información solicitada o completa la información que en un primer momento fue incompleta o no correspondió con lo solicitado; el recurso de revisión que al efecto se haya interpuesto queda sin materia lo que imposibilita el estudio de fondo de la </w:t>
      </w:r>
      <w:r w:rsidRPr="0085379B">
        <w:rPr>
          <w:rFonts w:ascii="Palatino Linotype" w:eastAsia="Calibri" w:hAnsi="Palatino Linotype"/>
          <w:i/>
          <w:sz w:val="24"/>
        </w:rPr>
        <w:t>litis</w:t>
      </w:r>
      <w:r w:rsidRPr="0085379B">
        <w:rPr>
          <w:rFonts w:ascii="Palatino Linotype" w:eastAsia="Calibri" w:hAnsi="Palatino Linotype"/>
          <w:sz w:val="24"/>
        </w:rPr>
        <w:t xml:space="preserve"> planteada, debido a que la afectación en su esfera de derechos fue restituida por la propia autoridad que emitió el acto motivo de impugnación.</w:t>
      </w:r>
    </w:p>
    <w:p w14:paraId="510D8CE7"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cs="Arial"/>
          <w:color w:val="000000" w:themeColor="text1"/>
          <w:sz w:val="24"/>
          <w:lang w:val="es-ES"/>
        </w:rPr>
      </w:pPr>
    </w:p>
    <w:p w14:paraId="0FE36272" w14:textId="77777777" w:rsidR="00920425" w:rsidRPr="0085379B" w:rsidRDefault="00920425" w:rsidP="00920425">
      <w:pPr>
        <w:pStyle w:val="Prrafodelista"/>
        <w:numPr>
          <w:ilvl w:val="0"/>
          <w:numId w:val="6"/>
        </w:numPr>
        <w:tabs>
          <w:tab w:val="left" w:pos="426"/>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Sirve </w:t>
      </w:r>
      <w:r w:rsidRPr="0085379B">
        <w:rPr>
          <w:rFonts w:ascii="Palatino Linotype" w:eastAsia="Calibri" w:hAnsi="Palatino Linotype"/>
          <w:sz w:val="24"/>
        </w:rPr>
        <w:t>de sustento a lo anterior la siguiente jurisprudencia por contradicción, cuyo rubro, texto y datos de identificación son los siguientes:</w:t>
      </w:r>
    </w:p>
    <w:p w14:paraId="214471CD" w14:textId="77777777" w:rsidR="00920425" w:rsidRPr="0085379B" w:rsidRDefault="00920425" w:rsidP="00920425">
      <w:pPr>
        <w:rPr>
          <w:rFonts w:ascii="Palatino Linotype" w:eastAsia="Calibri" w:hAnsi="Palatino Linotype" w:cs="Arial"/>
          <w:color w:val="000000" w:themeColor="text1"/>
          <w:lang w:val="es-ES"/>
        </w:rPr>
      </w:pPr>
    </w:p>
    <w:p w14:paraId="59CE9CC3" w14:textId="77777777" w:rsidR="00920425" w:rsidRPr="0085379B" w:rsidRDefault="00920425" w:rsidP="00920425">
      <w:pPr>
        <w:pStyle w:val="Prrafodelista"/>
        <w:tabs>
          <w:tab w:val="left" w:pos="709"/>
          <w:tab w:val="left" w:pos="851"/>
        </w:tabs>
        <w:spacing w:line="360" w:lineRule="auto"/>
        <w:ind w:left="851" w:right="822"/>
        <w:jc w:val="both"/>
        <w:rPr>
          <w:rFonts w:ascii="Palatino Linotype" w:eastAsia="Calibri" w:hAnsi="Palatino Linotype" w:cs="Arial"/>
          <w:color w:val="000000" w:themeColor="text1"/>
          <w:lang w:val="es-ES"/>
        </w:rPr>
      </w:pPr>
      <w:r w:rsidRPr="0085379B">
        <w:rPr>
          <w:rFonts w:ascii="Palatino Linotype" w:eastAsia="Calibri" w:hAnsi="Palatino Linotype"/>
          <w:b/>
          <w:i/>
        </w:rPr>
        <w:t xml:space="preserve">CESACIÓN DE EFECTOS DEL ACTO RECLAMADO POR VIOLACIÓN AL ARTÍCULO 8o. DE LA CONSTITUCIÓN POLÍTICA DE LOS ESTADOS UNIDOS MEXICANOS. OPERA CUANDO LA AUTORIDAD RESPONSABLE AL RENDIR SU INFORME JUSTIFICADO EXHIBE LA </w:t>
      </w:r>
      <w:r w:rsidRPr="0085379B">
        <w:rPr>
          <w:rFonts w:ascii="Palatino Linotype" w:eastAsia="Calibri" w:hAnsi="Palatino Linotype"/>
          <w:b/>
          <w:i/>
        </w:rPr>
        <w:lastRenderedPageBreak/>
        <w:t>CONTESTACIÓN A LA PETICIÓN FORMULADA, QUEDANDO EXPEDITOS LOS DERECHOS DEL QUEJOSO PARA AMPLIAR SU DEMANDA INICIAL, PROMOVER OTRO JUICIO DE AMPARO O EL MEDIO ORDINARIO DE DEFENSA QUE PROCEDA.</w:t>
      </w:r>
      <w:r w:rsidRPr="0085379B">
        <w:rPr>
          <w:rFonts w:ascii="Palatino Linotype" w:eastAsia="Calibri" w:hAnsi="Palatino Linotype"/>
          <w:i/>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ampliar su demanda inicial, promover otro juicio de amparo o el medio ordinario de defensa que proceda, toda vez que se trata de un nuevo acto.</w:t>
      </w:r>
    </w:p>
    <w:p w14:paraId="6660D621" w14:textId="77777777" w:rsidR="00920425" w:rsidRPr="0085379B" w:rsidRDefault="00920425" w:rsidP="00920425">
      <w:pPr>
        <w:rPr>
          <w:rFonts w:ascii="Palatino Linotype" w:eastAsia="Calibri" w:hAnsi="Palatino Linotype" w:cs="Arial"/>
          <w:color w:val="000000" w:themeColor="text1"/>
          <w:lang w:val="es-ES"/>
        </w:rPr>
      </w:pPr>
    </w:p>
    <w:p w14:paraId="2C03A268" w14:textId="77777777" w:rsidR="00920425" w:rsidRPr="0085379B" w:rsidRDefault="00920425" w:rsidP="00920425">
      <w:pPr>
        <w:pStyle w:val="Prrafodelista"/>
        <w:numPr>
          <w:ilvl w:val="0"/>
          <w:numId w:val="6"/>
        </w:numPr>
        <w:tabs>
          <w:tab w:val="left" w:pos="284"/>
          <w:tab w:val="left" w:pos="567"/>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La </w:t>
      </w:r>
      <w:r w:rsidRPr="0085379B">
        <w:rPr>
          <w:rFonts w:ascii="Palatino Linotype" w:eastAsia="Calibri" w:hAnsi="Palatino Linotype"/>
          <w:sz w:val="24"/>
        </w:rPr>
        <w:t xml:space="preserve">anterior jurisprudencia resulta aplicable al presente asunto, en dos aspectos: </w:t>
      </w:r>
    </w:p>
    <w:p w14:paraId="227A3145"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rPr>
      </w:pPr>
    </w:p>
    <w:p w14:paraId="44C0F477" w14:textId="77777777" w:rsidR="00920425" w:rsidRPr="0085379B" w:rsidRDefault="00920425" w:rsidP="00920425">
      <w:pPr>
        <w:numPr>
          <w:ilvl w:val="0"/>
          <w:numId w:val="9"/>
        </w:numPr>
        <w:spacing w:line="360" w:lineRule="auto"/>
        <w:ind w:left="567" w:right="616" w:firstLine="0"/>
        <w:contextualSpacing/>
        <w:jc w:val="both"/>
        <w:rPr>
          <w:rFonts w:ascii="Palatino Linotype" w:eastAsia="Calibri" w:hAnsi="Palatino Linotype"/>
        </w:rPr>
      </w:pPr>
      <w:r w:rsidRPr="0085379B">
        <w:rPr>
          <w:rFonts w:ascii="Palatino Linotype" w:eastAsia="Calibri" w:hAnsi="Palatino Linotype"/>
          <w:b/>
        </w:rPr>
        <w:t>La cesación de los efectos perniciosos del acto de autoridad:</w:t>
      </w:r>
      <w:r w:rsidRPr="0085379B">
        <w:rPr>
          <w:rFonts w:ascii="Palatino Linotype" w:eastAsia="Calibri" w:hAnsi="Palatino Linotype"/>
        </w:rPr>
        <w:t xml:space="preserve"> Al respecto, la Ley de Transparencia contempla la figura jurídica del sobreseimiento cuando el </w:t>
      </w:r>
      <w:r w:rsidRPr="0085379B">
        <w:rPr>
          <w:rFonts w:ascii="Palatino Linotype" w:eastAsia="Calibri" w:hAnsi="Palatino Linotype"/>
          <w:b/>
        </w:rPr>
        <w:t>SUJETO OBLIGADO</w:t>
      </w:r>
      <w:r w:rsidRPr="0085379B">
        <w:rPr>
          <w:rFonts w:ascii="Palatino Linotype" w:eastAsia="Calibri" w:hAnsi="Palatino Linotype"/>
        </w:rPr>
        <w:t xml:space="preserve"> de </w:t>
      </w:r>
      <w:r w:rsidRPr="0085379B">
        <w:rPr>
          <w:rFonts w:ascii="Palatino Linotype" w:eastAsia="Calibri" w:hAnsi="Palatino Linotype"/>
          <w:i/>
        </w:rPr>
        <w:t>motu proprio</w:t>
      </w:r>
      <w:r w:rsidRPr="0085379B">
        <w:rPr>
          <w:rFonts w:ascii="Palatino Linotype" w:eastAsia="Calibri" w:hAnsi="Palatino Linotype"/>
        </w:rPr>
        <w:t xml:space="preserve"> modifica o revoca de tal manera el acto motivo de la </w:t>
      </w:r>
      <w:r w:rsidRPr="0085379B">
        <w:rPr>
          <w:rFonts w:ascii="Palatino Linotype" w:eastAsia="Calibri" w:hAnsi="Palatino Linotype"/>
        </w:rPr>
        <w:lastRenderedPageBreak/>
        <w:t>impugnación que lo deja sin materia; es decir, cesan los efectos de éste y el derecho de acceso a la información pública se encuentra satisfecho.</w:t>
      </w:r>
    </w:p>
    <w:p w14:paraId="396F4F40" w14:textId="77777777" w:rsidR="00920425" w:rsidRPr="0085379B" w:rsidRDefault="00920425" w:rsidP="00920425">
      <w:pPr>
        <w:spacing w:line="360" w:lineRule="auto"/>
        <w:ind w:left="567" w:right="616"/>
        <w:contextualSpacing/>
        <w:rPr>
          <w:rFonts w:ascii="Palatino Linotype" w:eastAsia="Calibri" w:hAnsi="Palatino Linotype"/>
        </w:rPr>
      </w:pPr>
    </w:p>
    <w:p w14:paraId="7E4011CE" w14:textId="77777777" w:rsidR="00920425" w:rsidRPr="0085379B" w:rsidRDefault="00920425" w:rsidP="00920425">
      <w:pPr>
        <w:numPr>
          <w:ilvl w:val="0"/>
          <w:numId w:val="9"/>
        </w:numPr>
        <w:spacing w:line="360" w:lineRule="auto"/>
        <w:ind w:left="567" w:right="616" w:firstLine="0"/>
        <w:contextualSpacing/>
        <w:jc w:val="both"/>
        <w:rPr>
          <w:rFonts w:ascii="Palatino Linotype" w:eastAsia="Calibri" w:hAnsi="Palatino Linotype"/>
        </w:rPr>
      </w:pPr>
      <w:r w:rsidRPr="0085379B">
        <w:rPr>
          <w:rFonts w:ascii="Palatino Linotype" w:eastAsia="Calibri" w:hAnsi="Palatino Linotype"/>
          <w:b/>
        </w:rPr>
        <w:t>El momento procesal para modificar el acto impugnado:</w:t>
      </w:r>
      <w:r w:rsidRPr="0085379B">
        <w:rPr>
          <w:rFonts w:ascii="Palatino Linotype" w:eastAsia="Calibri" w:hAnsi="Palatino Linotype"/>
        </w:rPr>
        <w:t xml:space="preserve"> Para que se actualice el sobreseimiento de un recurso de revisión, el </w:t>
      </w:r>
      <w:r w:rsidRPr="0085379B">
        <w:rPr>
          <w:rFonts w:ascii="Palatino Linotype" w:eastAsia="Calibri" w:hAnsi="Palatino Linotype"/>
          <w:b/>
        </w:rPr>
        <w:t>SUJETO OBLIGADO</w:t>
      </w:r>
      <w:r w:rsidRPr="0085379B">
        <w:rPr>
          <w:rFonts w:ascii="Palatino Linotype" w:eastAsia="Calibri" w:hAnsi="Palatino Linotype"/>
        </w:rPr>
        <w:t xml:space="preserve"> puede entregar o completar la información al momento de rendir su informe de justificación o </w:t>
      </w:r>
      <w:r w:rsidRPr="0085379B">
        <w:rPr>
          <w:rFonts w:ascii="Palatino Linotype" w:eastAsia="Calibri" w:hAnsi="Palatino Linotype"/>
          <w:b/>
          <w:u w:val="single"/>
        </w:rPr>
        <w:t>posteriormente</w:t>
      </w:r>
      <w:r w:rsidRPr="0085379B">
        <w:rPr>
          <w:rFonts w:ascii="Palatino Linotype" w:eastAsia="Calibri" w:hAnsi="Palatino Linotype"/>
        </w:rPr>
        <w:t xml:space="preserve"> a éste, siempre y cuando el Pleno del Instituto no haya dictado resolución definitiva.</w:t>
      </w:r>
    </w:p>
    <w:p w14:paraId="7AF7F794" w14:textId="77777777" w:rsidR="00920425" w:rsidRPr="0085379B" w:rsidRDefault="00920425" w:rsidP="0092042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5E1F0C3" w14:textId="77777777" w:rsidR="00920425" w:rsidRPr="0085379B" w:rsidRDefault="00920425" w:rsidP="00920425">
      <w:pPr>
        <w:pStyle w:val="Prrafodelista"/>
        <w:numPr>
          <w:ilvl w:val="0"/>
          <w:numId w:val="6"/>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Eduardo Pallares, </w:t>
      </w:r>
      <w:r w:rsidRPr="0085379B">
        <w:rPr>
          <w:rFonts w:ascii="Palatino Linotype" w:eastAsia="Calibri" w:hAnsi="Palatino Linotype"/>
          <w:sz w:val="24"/>
        </w:rPr>
        <w:t xml:space="preserve">en su artículo </w:t>
      </w:r>
      <w:r w:rsidRPr="0085379B">
        <w:rPr>
          <w:rFonts w:ascii="Palatino Linotype" w:eastAsia="Calibri" w:hAnsi="Palatino Linotype"/>
          <w:i/>
          <w:sz w:val="24"/>
        </w:rPr>
        <w:t>“La caducidad y el sobreseimiento en el amparo”</w:t>
      </w:r>
      <w:r w:rsidRPr="0085379B">
        <w:rPr>
          <w:rFonts w:ascii="Palatino Linotype" w:eastAsia="Calibri" w:hAnsi="Palatino Linotype"/>
          <w:sz w:val="24"/>
        </w:rPr>
        <w:t xml:space="preserve">, cita la definición de Aguilera Paz, aduciendo que se </w:t>
      </w:r>
      <w:r w:rsidRPr="0085379B">
        <w:rPr>
          <w:rFonts w:ascii="Palatino Linotype" w:eastAsia="Calibri" w:hAnsi="Palatino Linotype"/>
          <w:i/>
          <w:sz w:val="24"/>
        </w:rPr>
        <w:t>“...entiende por sobreseimiento en el tecnicismo forense, el hecho de cesar en el procedimiento o curso de la causa, por no existir méritos bastantes para entrar en un juicio o para entablar la contienda judicial que debe ser objeto del mismo...”</w:t>
      </w:r>
      <w:r w:rsidRPr="0085379B">
        <w:rPr>
          <w:rFonts w:ascii="Palatino Linotype" w:eastAsia="Calibri" w:hAnsi="Palatino Linotype"/>
          <w:sz w:val="24"/>
        </w:rPr>
        <w:t>. Asimismo, señala que existe el sobreseimiento provisional y el definitivo</w:t>
      </w:r>
      <w:r w:rsidRPr="0085379B">
        <w:rPr>
          <w:rFonts w:ascii="Palatino Linotype" w:eastAsia="Calibri" w:hAnsi="Palatino Linotype"/>
          <w:i/>
          <w:sz w:val="24"/>
        </w:rPr>
        <w:t>: “...el definitivo es una verdadera sentencia que pone fin al juicio, y que una vez dictada, produce cosa juzgada, mientras que el provisorio tiene por efectos suspender la prosecución de la causa...”</w:t>
      </w:r>
    </w:p>
    <w:p w14:paraId="17DE3665" w14:textId="77777777" w:rsidR="00920425" w:rsidRPr="0085379B" w:rsidRDefault="00920425" w:rsidP="00920425">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14:paraId="42D97418" w14:textId="77777777" w:rsidR="00920425" w:rsidRPr="0085379B" w:rsidRDefault="00920425" w:rsidP="00920425">
      <w:pPr>
        <w:pStyle w:val="Prrafodelista"/>
        <w:numPr>
          <w:ilvl w:val="0"/>
          <w:numId w:val="6"/>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Así, </w:t>
      </w:r>
      <w:r w:rsidRPr="0085379B">
        <w:rPr>
          <w:rFonts w:ascii="Palatino Linotype" w:eastAsia="Calibri" w:hAnsi="Palatino Linotype"/>
          <w:sz w:val="24"/>
        </w:rPr>
        <w:t xml:space="preserve">para la doctrina el sobreseimiento provoca que un procedimiento se suspenda o se resuelva en definitiva </w:t>
      </w:r>
      <w:r w:rsidRPr="0085379B">
        <w:rPr>
          <w:rFonts w:ascii="Palatino Linotype" w:eastAsia="Calibri" w:hAnsi="Palatino Linotype"/>
          <w:b/>
          <w:sz w:val="24"/>
          <w:u w:val="single"/>
        </w:rPr>
        <w:t xml:space="preserve">sin que se entre al estudio de los agravios o motivos de inconformidad. </w:t>
      </w:r>
      <w:r w:rsidRPr="0085379B">
        <w:rPr>
          <w:rFonts w:ascii="Palatino Linotype" w:eastAsia="Calibri" w:hAnsi="Palatino Linotype"/>
          <w:sz w:val="24"/>
        </w:rPr>
        <w:t>Este mismo criterio es compartido por el más alto tribunal del país en múltiples jurisprudencias, por lo que a continuación se agrega una de ellas que sirve como orientador en esta resolución:</w:t>
      </w:r>
    </w:p>
    <w:p w14:paraId="2B47876D" w14:textId="77777777" w:rsidR="00920425" w:rsidRPr="0085379B" w:rsidRDefault="00920425" w:rsidP="00920425">
      <w:pPr>
        <w:rPr>
          <w:rFonts w:ascii="Palatino Linotype" w:eastAsia="Calibri" w:hAnsi="Palatino Linotype" w:cs="Arial"/>
          <w:color w:val="000000" w:themeColor="text1"/>
          <w:lang w:val="es-ES"/>
        </w:rPr>
      </w:pPr>
    </w:p>
    <w:p w14:paraId="722317BE" w14:textId="77777777" w:rsidR="00920425" w:rsidRPr="0085379B" w:rsidRDefault="00920425" w:rsidP="00920425">
      <w:pPr>
        <w:spacing w:line="360" w:lineRule="auto"/>
        <w:ind w:left="851" w:right="822"/>
        <w:contextualSpacing/>
        <w:jc w:val="both"/>
        <w:rPr>
          <w:rFonts w:ascii="Palatino Linotype" w:eastAsia="Calibri" w:hAnsi="Palatino Linotype"/>
          <w:i/>
          <w:sz w:val="22"/>
          <w:lang w:val="es-AR"/>
        </w:rPr>
      </w:pPr>
      <w:r w:rsidRPr="0085379B">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85379B">
        <w:rPr>
          <w:rFonts w:ascii="Palatino Linotype" w:eastAsia="Calibri" w:hAnsi="Palatino Linotype"/>
          <w:i/>
          <w:sz w:val="22"/>
          <w:lang w:val="es-AR"/>
        </w:rPr>
        <w:t xml:space="preserve"> en el juicio de amparo directo </w:t>
      </w:r>
      <w:r w:rsidRPr="0085379B">
        <w:rPr>
          <w:rFonts w:ascii="Palatino Linotype" w:eastAsia="Calibri" w:hAnsi="Palatino Linotype"/>
          <w:b/>
          <w:i/>
          <w:sz w:val="22"/>
          <w:lang w:val="es-AR"/>
        </w:rPr>
        <w:t>provoca la terminación de la controversia planteada</w:t>
      </w:r>
      <w:r w:rsidRPr="0085379B">
        <w:rPr>
          <w:rFonts w:ascii="Palatino Linotype" w:eastAsia="Calibri" w:hAnsi="Palatino Linotype"/>
          <w:i/>
          <w:sz w:val="22"/>
          <w:lang w:val="es-AR"/>
        </w:rPr>
        <w:t xml:space="preserve"> por el quejoso en la demanda de amparo</w:t>
      </w:r>
      <w:r w:rsidRPr="0085379B">
        <w:rPr>
          <w:rFonts w:ascii="Palatino Linotype" w:eastAsia="Calibri" w:hAnsi="Palatino Linotype"/>
          <w:b/>
          <w:i/>
          <w:sz w:val="22"/>
          <w:lang w:val="es-AR"/>
        </w:rPr>
        <w:t>, sin hacer un pronunciamiento de fondo sobre la legalidad o ilegalidad de la sentencia reclamada</w:t>
      </w:r>
      <w:r w:rsidRPr="0085379B">
        <w:rPr>
          <w:rFonts w:ascii="Palatino Linotype" w:eastAsia="Calibri" w:hAnsi="Palatino Linotype"/>
          <w:i/>
          <w:sz w:val="22"/>
          <w:lang w:val="es-AR"/>
        </w:rPr>
        <w:t xml:space="preserve">. </w:t>
      </w:r>
      <w:r w:rsidRPr="0085379B">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5379B">
        <w:rPr>
          <w:rFonts w:ascii="Palatino Linotype" w:eastAsia="Calibri" w:hAnsi="Palatino Linotype"/>
          <w:i/>
          <w:sz w:val="22"/>
          <w:lang w:val="es-AR"/>
        </w:rPr>
        <w:t>.</w:t>
      </w:r>
    </w:p>
    <w:p w14:paraId="4752C83D" w14:textId="77777777" w:rsidR="00920425" w:rsidRPr="0085379B" w:rsidRDefault="00920425" w:rsidP="00920425">
      <w:pPr>
        <w:spacing w:line="360" w:lineRule="auto"/>
        <w:ind w:left="851" w:right="822"/>
        <w:contextualSpacing/>
        <w:jc w:val="both"/>
        <w:rPr>
          <w:rFonts w:ascii="Palatino Linotype" w:eastAsia="Calibri" w:hAnsi="Palatino Linotype"/>
          <w:i/>
          <w:sz w:val="22"/>
          <w:lang w:val="es-AR"/>
        </w:rPr>
      </w:pPr>
      <w:r w:rsidRPr="0085379B">
        <w:rPr>
          <w:rFonts w:ascii="Palatino Linotype" w:eastAsia="Calibri" w:hAnsi="Palatino Linotype"/>
          <w:i/>
          <w:sz w:val="22"/>
          <w:lang w:val="es-AR"/>
        </w:rPr>
        <w:t>SÉPTIMO TRIBUNAL COLEGIADO EN MATERIA CIVIL DEL PRIMER CIRCUITO.</w:t>
      </w:r>
    </w:p>
    <w:p w14:paraId="4DD89B82" w14:textId="77777777" w:rsidR="00920425" w:rsidRPr="0085379B" w:rsidRDefault="00920425" w:rsidP="00920425">
      <w:pPr>
        <w:spacing w:line="360" w:lineRule="auto"/>
        <w:ind w:left="851" w:right="822"/>
        <w:contextualSpacing/>
        <w:jc w:val="both"/>
        <w:rPr>
          <w:rFonts w:ascii="Palatino Linotype" w:eastAsia="Calibri" w:hAnsi="Palatino Linotype"/>
          <w:b/>
          <w:i/>
          <w:sz w:val="22"/>
          <w:lang w:val="es-AR"/>
        </w:rPr>
      </w:pPr>
      <w:r w:rsidRPr="0085379B">
        <w:rPr>
          <w:rFonts w:ascii="Palatino Linotype" w:eastAsia="Calibri" w:hAnsi="Palatino Linotype"/>
          <w:i/>
          <w:sz w:val="22"/>
          <w:lang w:val="es-AR"/>
        </w:rPr>
        <w:t>Amparo directo 699/2008. Mariana Leticia González Steele. 13 de noviembre de 2008. Unanimidad de votos. Ponente: Sara Judith Montalvo Trejo. Secretario: Arnulfo Mateos García.</w:t>
      </w:r>
    </w:p>
    <w:p w14:paraId="09D2B1C8" w14:textId="77777777" w:rsidR="00920425" w:rsidRPr="0085379B" w:rsidRDefault="00920425" w:rsidP="00920425">
      <w:pPr>
        <w:spacing w:line="360" w:lineRule="auto"/>
        <w:ind w:right="565"/>
        <w:contextualSpacing/>
        <w:jc w:val="both"/>
        <w:rPr>
          <w:rFonts w:ascii="Palatino Linotype" w:eastAsia="Calibri" w:hAnsi="Palatino Linotype"/>
          <w:b/>
          <w:i/>
          <w:sz w:val="22"/>
          <w:lang w:val="es-AR"/>
        </w:rPr>
      </w:pPr>
    </w:p>
    <w:p w14:paraId="72FAFA2E" w14:textId="77777777" w:rsidR="00920425" w:rsidRPr="0085379B" w:rsidRDefault="00920425" w:rsidP="00920425">
      <w:pPr>
        <w:pStyle w:val="Prrafodelista"/>
        <w:numPr>
          <w:ilvl w:val="0"/>
          <w:numId w:val="6"/>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cs="Arial"/>
          <w:color w:val="000000" w:themeColor="text1"/>
          <w:sz w:val="24"/>
          <w:lang w:val="es-ES"/>
        </w:rPr>
        <w:t xml:space="preserve">Consecuentemente, </w:t>
      </w:r>
      <w:r w:rsidRPr="0085379B">
        <w:rPr>
          <w:rFonts w:ascii="Palatino Linotype" w:eastAsia="Calibri" w:hAnsi="Palatino Linotype"/>
          <w:sz w:val="24"/>
        </w:rPr>
        <w:t>por lo que hace a los motivos de inconformidad, los mismos devienen inatendibles por actualizarse la figura del sobreseimiento, misma que impide el estudio de los agravios planteados, máxime que se ha dado cumplimiento al derecho de acceso a la información.</w:t>
      </w:r>
    </w:p>
    <w:p w14:paraId="215C9D37" w14:textId="77777777" w:rsidR="00920425" w:rsidRPr="0085379B" w:rsidRDefault="00920425" w:rsidP="00920425">
      <w:pPr>
        <w:pStyle w:val="Prrafodelista"/>
        <w:tabs>
          <w:tab w:val="left" w:pos="284"/>
        </w:tabs>
        <w:spacing w:line="360" w:lineRule="auto"/>
        <w:ind w:left="0"/>
        <w:jc w:val="both"/>
        <w:rPr>
          <w:rFonts w:ascii="Palatino Linotype" w:eastAsia="Calibri" w:hAnsi="Palatino Linotype" w:cs="Arial"/>
          <w:color w:val="000000" w:themeColor="text1"/>
          <w:sz w:val="24"/>
          <w:lang w:val="es-ES"/>
        </w:rPr>
      </w:pPr>
    </w:p>
    <w:p w14:paraId="79080D09" w14:textId="77777777" w:rsidR="00920425" w:rsidRPr="0085379B" w:rsidRDefault="00920425" w:rsidP="00920425">
      <w:pPr>
        <w:pStyle w:val="Prrafodelista"/>
        <w:numPr>
          <w:ilvl w:val="0"/>
          <w:numId w:val="6"/>
        </w:numPr>
        <w:tabs>
          <w:tab w:val="left" w:pos="284"/>
        </w:tabs>
        <w:spacing w:line="360" w:lineRule="auto"/>
        <w:ind w:left="0" w:firstLine="0"/>
        <w:jc w:val="both"/>
        <w:rPr>
          <w:rFonts w:ascii="Palatino Linotype" w:eastAsia="Calibri" w:hAnsi="Palatino Linotype" w:cs="Arial"/>
          <w:color w:val="000000" w:themeColor="text1"/>
          <w:sz w:val="24"/>
          <w:lang w:val="es-ES"/>
        </w:rPr>
      </w:pPr>
      <w:r w:rsidRPr="0085379B">
        <w:rPr>
          <w:rFonts w:ascii="Palatino Linotype" w:eastAsia="Calibri" w:hAnsi="Palatino Linotype"/>
          <w:sz w:val="24"/>
        </w:rPr>
        <w:lastRenderedPageBreak/>
        <w:t xml:space="preserve">Bajo </w:t>
      </w:r>
      <w:r w:rsidRPr="0085379B">
        <w:rPr>
          <w:rFonts w:ascii="Palatino Linotype" w:eastAsia="Calibri" w:hAnsi="Palatino Linotype"/>
          <w:sz w:val="24"/>
          <w:lang w:val="es-CO"/>
        </w:rPr>
        <w:t xml:space="preserve">ese tenor y en términos del artículo 186 fracción I este Pleno determina el </w:t>
      </w:r>
      <w:r w:rsidRPr="0085379B">
        <w:rPr>
          <w:rFonts w:ascii="Palatino Linotype" w:eastAsia="Calibri" w:hAnsi="Palatino Linotype"/>
          <w:b/>
          <w:sz w:val="24"/>
          <w:lang w:val="es-CO"/>
        </w:rPr>
        <w:t xml:space="preserve">SOBRESEIMIENTO </w:t>
      </w:r>
      <w:r w:rsidRPr="0085379B">
        <w:rPr>
          <w:rFonts w:ascii="Palatino Linotype" w:eastAsia="Calibri" w:hAnsi="Palatino Linotype"/>
          <w:sz w:val="24"/>
          <w:lang w:val="es-CO"/>
        </w:rPr>
        <w:t xml:space="preserve">del recurso de revisión </w:t>
      </w:r>
      <w:r w:rsidR="00D87060" w:rsidRPr="0085379B">
        <w:rPr>
          <w:rFonts w:ascii="Palatino Linotype" w:hAnsi="Palatino Linotype" w:cs="Arial"/>
          <w:b/>
          <w:bCs/>
          <w:sz w:val="24"/>
        </w:rPr>
        <w:t>06953/INFOEM/IP/RR/2023</w:t>
      </w:r>
      <w:r w:rsidRPr="0085379B">
        <w:rPr>
          <w:rFonts w:ascii="Palatino Linotype" w:eastAsia="Calibri" w:hAnsi="Palatino Linotype"/>
          <w:sz w:val="24"/>
          <w:lang w:val="es-CO"/>
        </w:rPr>
        <w:t>, toda vez que la afectación al derecho de acceso a la información pública establecido constitucionalmente a favor del Particular ha sido resarcida.</w:t>
      </w:r>
    </w:p>
    <w:p w14:paraId="44E90C1A" w14:textId="77777777" w:rsidR="00920425" w:rsidRPr="0085379B" w:rsidRDefault="00920425" w:rsidP="00920425">
      <w:pPr>
        <w:pStyle w:val="Prrafodelista"/>
        <w:shd w:val="clear" w:color="auto" w:fill="FFFFFF"/>
        <w:tabs>
          <w:tab w:val="left" w:pos="284"/>
        </w:tabs>
        <w:spacing w:line="360" w:lineRule="auto"/>
        <w:ind w:left="0"/>
        <w:jc w:val="both"/>
        <w:rPr>
          <w:rFonts w:ascii="Palatino Linotype" w:hAnsi="Palatino Linotype" w:cs="Arial"/>
          <w:sz w:val="24"/>
        </w:rPr>
      </w:pPr>
    </w:p>
    <w:p w14:paraId="3B8228C6" w14:textId="77777777" w:rsidR="00920425" w:rsidRPr="0085379B" w:rsidRDefault="00920425" w:rsidP="00920425">
      <w:pPr>
        <w:pStyle w:val="Sinespaciado"/>
        <w:numPr>
          <w:ilvl w:val="0"/>
          <w:numId w:val="6"/>
        </w:numPr>
        <w:tabs>
          <w:tab w:val="left" w:pos="284"/>
        </w:tabs>
        <w:spacing w:line="360" w:lineRule="auto"/>
        <w:ind w:left="0" w:right="0" w:firstLine="0"/>
        <w:contextualSpacing/>
        <w:rPr>
          <w:rFonts w:ascii="Palatino Linotype" w:eastAsia="Calibri" w:hAnsi="Palatino Linotype"/>
          <w:sz w:val="24"/>
        </w:rPr>
      </w:pPr>
      <w:r w:rsidRPr="0085379B">
        <w:rPr>
          <w:rFonts w:ascii="Palatino Linotype" w:eastAsia="Calibri" w:hAnsi="Palatino Linotype"/>
          <w:sz w:val="24"/>
        </w:rPr>
        <w:t xml:space="preserve">Por lo anteriormente expuesto y fundado, este </w:t>
      </w:r>
      <w:r w:rsidRPr="0085379B">
        <w:rPr>
          <w:rFonts w:ascii="Palatino Linotype" w:eastAsia="Calibri" w:hAnsi="Palatino Linotype"/>
          <w:b/>
          <w:bCs/>
          <w:sz w:val="24"/>
        </w:rPr>
        <w:t>ÓRGANO GARANTE</w:t>
      </w:r>
      <w:r w:rsidRPr="0085379B">
        <w:rPr>
          <w:rFonts w:ascii="Palatino Linotype" w:eastAsia="Calibri" w:hAnsi="Palatino Linotype"/>
          <w:sz w:val="24"/>
        </w:rPr>
        <w:t xml:space="preserve"> emite los siguientes:</w:t>
      </w:r>
      <w:bookmarkEnd w:id="6"/>
      <w:bookmarkEnd w:id="7"/>
      <w:bookmarkEnd w:id="8"/>
      <w:bookmarkEnd w:id="9"/>
    </w:p>
    <w:p w14:paraId="0B62F9EB" w14:textId="77777777" w:rsidR="00920425" w:rsidRPr="0085379B" w:rsidRDefault="00920425" w:rsidP="00920425">
      <w:pPr>
        <w:pStyle w:val="Sinespaciado"/>
        <w:tabs>
          <w:tab w:val="left" w:pos="284"/>
        </w:tabs>
        <w:spacing w:line="360" w:lineRule="auto"/>
        <w:contextualSpacing/>
        <w:rPr>
          <w:rFonts w:ascii="Palatino Linotype" w:eastAsia="Calibri" w:hAnsi="Palatino Linotype"/>
          <w:sz w:val="24"/>
        </w:rPr>
      </w:pPr>
    </w:p>
    <w:p w14:paraId="6F1A5282" w14:textId="77777777" w:rsidR="00920425" w:rsidRPr="0085379B" w:rsidRDefault="00920425" w:rsidP="00920425">
      <w:pPr>
        <w:spacing w:line="360" w:lineRule="auto"/>
        <w:jc w:val="center"/>
        <w:rPr>
          <w:rFonts w:ascii="Palatino Linotype" w:hAnsi="Palatino Linotype"/>
          <w:b/>
          <w:sz w:val="24"/>
          <w:lang w:val="es-ES"/>
        </w:rPr>
      </w:pPr>
      <w:r w:rsidRPr="0085379B">
        <w:rPr>
          <w:rFonts w:ascii="Palatino Linotype" w:hAnsi="Palatino Linotype"/>
          <w:b/>
          <w:sz w:val="24"/>
          <w:lang w:val="es-ES"/>
        </w:rPr>
        <w:t>R E S O L U T I V O S</w:t>
      </w:r>
    </w:p>
    <w:p w14:paraId="5FDC3086" w14:textId="77777777" w:rsidR="00920425" w:rsidRPr="0085379B" w:rsidRDefault="00920425" w:rsidP="00920425">
      <w:pPr>
        <w:pStyle w:val="Sinespaciado"/>
        <w:spacing w:line="360" w:lineRule="auto"/>
        <w:rPr>
          <w:rFonts w:ascii="Palatino Linotype" w:hAnsi="Palatino Linotype"/>
          <w:sz w:val="24"/>
          <w:szCs w:val="20"/>
        </w:rPr>
      </w:pPr>
    </w:p>
    <w:p w14:paraId="1D3E62B8" w14:textId="77777777" w:rsidR="00920425" w:rsidRPr="0085379B" w:rsidRDefault="00920425" w:rsidP="00920425">
      <w:pPr>
        <w:spacing w:line="360" w:lineRule="auto"/>
        <w:jc w:val="both"/>
        <w:rPr>
          <w:rFonts w:ascii="Palatino Linotype" w:eastAsiaTheme="minorHAnsi" w:hAnsi="Palatino Linotype" w:cstheme="minorBidi"/>
          <w:sz w:val="24"/>
          <w:lang w:eastAsia="en-US"/>
        </w:rPr>
      </w:pPr>
      <w:r w:rsidRPr="0085379B">
        <w:rPr>
          <w:rFonts w:ascii="Palatino Linotype" w:eastAsiaTheme="minorHAnsi" w:hAnsi="Palatino Linotype" w:cstheme="minorBidi"/>
          <w:b/>
          <w:sz w:val="24"/>
          <w:lang w:eastAsia="en-US"/>
        </w:rPr>
        <w:t xml:space="preserve">PRIMERO. </w:t>
      </w:r>
      <w:r w:rsidRPr="0085379B">
        <w:rPr>
          <w:rFonts w:ascii="Palatino Linotype" w:eastAsia="MS Mincho" w:hAnsi="Palatino Linotype"/>
          <w:sz w:val="24"/>
          <w:lang w:val="es-ES_tradnl"/>
        </w:rPr>
        <w:t xml:space="preserve">Se </w:t>
      </w:r>
      <w:r w:rsidRPr="0085379B">
        <w:rPr>
          <w:rFonts w:ascii="Palatino Linotype" w:eastAsia="MS Mincho" w:hAnsi="Palatino Linotype"/>
          <w:b/>
          <w:sz w:val="24"/>
          <w:lang w:val="es-ES_tradnl"/>
        </w:rPr>
        <w:t>SOBRESEE</w:t>
      </w:r>
      <w:r w:rsidRPr="0085379B">
        <w:rPr>
          <w:rFonts w:ascii="Palatino Linotype" w:eastAsia="MS Mincho" w:hAnsi="Palatino Linotype"/>
          <w:sz w:val="24"/>
          <w:lang w:val="es-ES_tradnl"/>
        </w:rPr>
        <w:t xml:space="preserve"> el recurso de revisión número </w:t>
      </w:r>
      <w:r w:rsidR="00D87060" w:rsidRPr="0085379B">
        <w:rPr>
          <w:rFonts w:ascii="Palatino Linotype" w:eastAsia="MS Mincho" w:hAnsi="Palatino Linotype"/>
          <w:b/>
          <w:sz w:val="24"/>
          <w:lang w:val="es-ES_tradnl"/>
        </w:rPr>
        <w:t>06953/INFOEM/IP/RR/2023</w:t>
      </w:r>
      <w:r w:rsidRPr="0085379B">
        <w:rPr>
          <w:rFonts w:ascii="Palatino Linotype" w:eastAsia="MS Mincho" w:hAnsi="Palatino Linotype"/>
          <w:b/>
          <w:sz w:val="24"/>
          <w:lang w:val="es-ES_tradnl"/>
        </w:rPr>
        <w:t xml:space="preserve"> </w:t>
      </w:r>
      <w:r w:rsidRPr="0085379B">
        <w:rPr>
          <w:rFonts w:ascii="Palatino Linotype" w:eastAsia="MS Mincho" w:hAnsi="Palatino Linotype"/>
          <w:bCs/>
          <w:sz w:val="24"/>
          <w:lang w:val="es-ES_tradnl"/>
        </w:rPr>
        <w:t>conforme al artículo 192 fracción III de la Ley de Transparencia y Acceso a la Información Pública del Estado de México y Municipios,</w:t>
      </w:r>
      <w:r w:rsidRPr="0085379B">
        <w:rPr>
          <w:rFonts w:ascii="Palatino Linotype" w:eastAsia="MS Mincho" w:hAnsi="Palatino Linotype"/>
          <w:sz w:val="24"/>
          <w:lang w:val="es-ES_tradnl"/>
        </w:rPr>
        <w:t xml:space="preserve"> porque al </w:t>
      </w:r>
      <w:r w:rsidRPr="0085379B">
        <w:rPr>
          <w:rFonts w:ascii="Palatino Linotype" w:eastAsia="MS Mincho" w:hAnsi="Palatino Linotype"/>
          <w:b/>
          <w:bCs/>
          <w:sz w:val="24"/>
          <w:lang w:val="es-ES_tradnl"/>
        </w:rPr>
        <w:t>modificar la respuesta a través del informe justificado y atender lo solicitado</w:t>
      </w:r>
      <w:r w:rsidRPr="0085379B">
        <w:rPr>
          <w:rFonts w:ascii="Palatino Linotype" w:eastAsia="MS Mincho" w:hAnsi="Palatino Linotype"/>
          <w:sz w:val="24"/>
          <w:lang w:val="es-ES_tradnl"/>
        </w:rPr>
        <w:t xml:space="preserve">, el recurso de revisión quedó sin materia en términos del Considerando </w:t>
      </w:r>
      <w:r w:rsidRPr="0085379B">
        <w:rPr>
          <w:rFonts w:ascii="Palatino Linotype" w:eastAsia="MS Mincho" w:hAnsi="Palatino Linotype"/>
          <w:b/>
          <w:sz w:val="24"/>
          <w:lang w:val="es-ES_tradnl"/>
        </w:rPr>
        <w:t>TERCERO</w:t>
      </w:r>
      <w:r w:rsidRPr="0085379B">
        <w:rPr>
          <w:rFonts w:ascii="Palatino Linotype" w:eastAsia="MS Mincho" w:hAnsi="Palatino Linotype"/>
          <w:sz w:val="24"/>
          <w:lang w:val="es-ES_tradnl"/>
        </w:rPr>
        <w:t xml:space="preserve"> de la presente resolución.</w:t>
      </w:r>
    </w:p>
    <w:p w14:paraId="7D5DDEBE" w14:textId="77777777" w:rsidR="00920425" w:rsidRPr="0085379B" w:rsidRDefault="00920425" w:rsidP="00920425">
      <w:pPr>
        <w:spacing w:line="360" w:lineRule="auto"/>
        <w:jc w:val="both"/>
        <w:rPr>
          <w:rFonts w:ascii="Palatino Linotype" w:eastAsiaTheme="minorHAnsi" w:hAnsi="Palatino Linotype" w:cstheme="minorBidi"/>
          <w:sz w:val="28"/>
          <w:lang w:eastAsia="en-US"/>
        </w:rPr>
      </w:pPr>
    </w:p>
    <w:p w14:paraId="15371E2E" w14:textId="77777777" w:rsidR="00920425" w:rsidRPr="0085379B" w:rsidRDefault="00920425" w:rsidP="00920425">
      <w:pPr>
        <w:spacing w:line="360" w:lineRule="auto"/>
        <w:jc w:val="both"/>
        <w:rPr>
          <w:rFonts w:ascii="Palatino Linotype" w:eastAsia="Calibri" w:hAnsi="Palatino Linotype" w:cs="Arial"/>
          <w:b/>
          <w:bCs/>
          <w:sz w:val="24"/>
          <w:lang w:val="es-ES" w:eastAsia="en-US"/>
        </w:rPr>
      </w:pPr>
      <w:r w:rsidRPr="0085379B">
        <w:rPr>
          <w:rFonts w:ascii="Palatino Linotype" w:eastAsia="Calibri" w:hAnsi="Palatino Linotype" w:cs="Arial"/>
          <w:b/>
          <w:bCs/>
          <w:sz w:val="24"/>
          <w:lang w:val="es-ES" w:eastAsia="en-US"/>
        </w:rPr>
        <w:t xml:space="preserve">SEGUNDO. REMÍTASE </w:t>
      </w:r>
      <w:r w:rsidRPr="0085379B">
        <w:rPr>
          <w:rFonts w:ascii="Palatino Linotype" w:eastAsia="Calibri" w:hAnsi="Palatino Linotype" w:cs="Arial"/>
          <w:bCs/>
          <w:sz w:val="24"/>
          <w:lang w:val="es-ES" w:eastAsia="en-US"/>
        </w:rPr>
        <w:t xml:space="preserve">a través del Sistema de Acceso a la Información Mexiquense </w:t>
      </w:r>
      <w:r w:rsidRPr="0085379B">
        <w:rPr>
          <w:rFonts w:ascii="Palatino Linotype" w:eastAsia="Calibri" w:hAnsi="Palatino Linotype" w:cs="Arial"/>
          <w:b/>
          <w:bCs/>
          <w:sz w:val="24"/>
          <w:lang w:val="es-ES" w:eastAsia="en-US"/>
        </w:rPr>
        <w:t xml:space="preserve">(SAIMEX) </w:t>
      </w:r>
      <w:r w:rsidRPr="0085379B">
        <w:rPr>
          <w:rFonts w:ascii="Palatino Linotype" w:eastAsia="Calibri" w:hAnsi="Palatino Linotype" w:cs="Arial"/>
          <w:bCs/>
          <w:sz w:val="24"/>
          <w:lang w:val="es-ES" w:eastAsia="en-US"/>
        </w:rPr>
        <w:t>la presente resolución al Titular de la Unidad de Transparencia del</w:t>
      </w:r>
      <w:r w:rsidRPr="0085379B">
        <w:rPr>
          <w:rFonts w:ascii="Palatino Linotype" w:eastAsia="Calibri" w:hAnsi="Palatino Linotype" w:cs="Arial"/>
          <w:b/>
          <w:bCs/>
          <w:sz w:val="24"/>
          <w:lang w:val="es-ES" w:eastAsia="en-US"/>
        </w:rPr>
        <w:t xml:space="preserve"> SUJETO OBLIGADO. </w:t>
      </w:r>
    </w:p>
    <w:p w14:paraId="7E8D87A0" w14:textId="77777777" w:rsidR="00920425" w:rsidRPr="0085379B" w:rsidRDefault="00920425" w:rsidP="00920425">
      <w:pPr>
        <w:tabs>
          <w:tab w:val="left" w:pos="3263"/>
        </w:tabs>
        <w:spacing w:line="360" w:lineRule="auto"/>
        <w:jc w:val="both"/>
        <w:rPr>
          <w:rFonts w:ascii="Palatino Linotype" w:eastAsia="Palatino Linotype" w:hAnsi="Palatino Linotype" w:cs="Palatino Linotype"/>
          <w:b/>
          <w:sz w:val="24"/>
          <w:lang w:eastAsia="en-US"/>
        </w:rPr>
      </w:pPr>
      <w:r w:rsidRPr="0085379B">
        <w:rPr>
          <w:rFonts w:ascii="Palatino Linotype" w:eastAsia="Palatino Linotype" w:hAnsi="Palatino Linotype" w:cs="Palatino Linotype"/>
          <w:b/>
          <w:sz w:val="24"/>
          <w:lang w:eastAsia="en-US"/>
        </w:rPr>
        <w:tab/>
      </w:r>
    </w:p>
    <w:p w14:paraId="1698F8D1" w14:textId="77777777" w:rsidR="00920425" w:rsidRPr="0085379B" w:rsidRDefault="00920425" w:rsidP="00920425">
      <w:pPr>
        <w:spacing w:line="360" w:lineRule="auto"/>
        <w:jc w:val="both"/>
        <w:rPr>
          <w:rFonts w:ascii="Palatino Linotype" w:hAnsi="Palatino Linotype"/>
          <w:color w:val="222222"/>
          <w:sz w:val="24"/>
          <w:lang w:val="es-ES"/>
        </w:rPr>
      </w:pPr>
      <w:r w:rsidRPr="0085379B">
        <w:rPr>
          <w:rFonts w:ascii="Palatino Linotype" w:hAnsi="Palatino Linotype" w:cs="Arial"/>
          <w:b/>
          <w:sz w:val="24"/>
          <w:lang w:eastAsia="en-US"/>
        </w:rPr>
        <w:lastRenderedPageBreak/>
        <w:t xml:space="preserve">TERCERO. </w:t>
      </w:r>
      <w:r w:rsidRPr="0085379B">
        <w:rPr>
          <w:rFonts w:ascii="Palatino Linotype" w:hAnsi="Palatino Linotype"/>
          <w:b/>
          <w:bCs/>
          <w:sz w:val="24"/>
          <w:lang w:val="es-ES" w:eastAsia="en-US"/>
        </w:rPr>
        <w:t xml:space="preserve">Notifíquese </w:t>
      </w:r>
      <w:r w:rsidRPr="0085379B">
        <w:rPr>
          <w:rFonts w:ascii="Palatino Linotype" w:hAnsi="Palatino Linotype"/>
          <w:bCs/>
          <w:sz w:val="24"/>
          <w:lang w:val="es-ES" w:eastAsia="en-US"/>
        </w:rPr>
        <w:t xml:space="preserve">al </w:t>
      </w:r>
      <w:r w:rsidRPr="0085379B">
        <w:rPr>
          <w:rFonts w:ascii="Palatino Linotype" w:hAnsi="Palatino Linotype"/>
          <w:b/>
          <w:bCs/>
          <w:sz w:val="24"/>
          <w:lang w:val="es-ES" w:eastAsia="en-US"/>
        </w:rPr>
        <w:t>RECURRENTE</w:t>
      </w:r>
      <w:r w:rsidRPr="0085379B">
        <w:rPr>
          <w:rFonts w:ascii="Palatino Linotype" w:eastAsiaTheme="minorHAnsi" w:hAnsi="Palatino Linotype" w:cstheme="minorBidi"/>
          <w:sz w:val="24"/>
          <w:lang w:eastAsia="en-US"/>
        </w:rPr>
        <w:t xml:space="preserve"> </w:t>
      </w:r>
      <w:r w:rsidRPr="0085379B">
        <w:rPr>
          <w:rFonts w:ascii="Palatino Linotype" w:hAnsi="Palatino Linotype"/>
          <w:sz w:val="24"/>
          <w:lang w:val="es-ES"/>
        </w:rPr>
        <w:t>la presente resolución vía SAIMEX.</w:t>
      </w:r>
    </w:p>
    <w:p w14:paraId="058E2ECA" w14:textId="77777777" w:rsidR="00920425" w:rsidRPr="0085379B" w:rsidRDefault="00920425" w:rsidP="00920425">
      <w:pPr>
        <w:spacing w:line="360" w:lineRule="auto"/>
        <w:jc w:val="both"/>
        <w:rPr>
          <w:rFonts w:ascii="Palatino Linotype" w:hAnsi="Palatino Linotype"/>
          <w:color w:val="222222"/>
          <w:sz w:val="24"/>
          <w:lang w:val="es-ES"/>
        </w:rPr>
      </w:pPr>
    </w:p>
    <w:p w14:paraId="3AA5AC16" w14:textId="77777777" w:rsidR="000E184E" w:rsidRPr="0085379B" w:rsidRDefault="00920425" w:rsidP="000E184E">
      <w:pPr>
        <w:spacing w:line="360" w:lineRule="auto"/>
        <w:jc w:val="both"/>
        <w:rPr>
          <w:rFonts w:ascii="Palatino Linotype" w:eastAsia="MS Mincho" w:hAnsi="Palatino Linotype"/>
          <w:sz w:val="24"/>
          <w:lang w:val="es-ES"/>
        </w:rPr>
      </w:pPr>
      <w:r w:rsidRPr="0085379B">
        <w:rPr>
          <w:rFonts w:ascii="Palatino Linotype" w:eastAsia="MS Mincho" w:hAnsi="Palatino Linotype"/>
          <w:b/>
          <w:sz w:val="24"/>
        </w:rPr>
        <w:t>CUARTO.</w:t>
      </w:r>
      <w:r w:rsidRPr="0085379B">
        <w:rPr>
          <w:rFonts w:ascii="Palatino Linotype" w:eastAsia="MS Mincho" w:hAnsi="Palatino Linotype"/>
          <w:sz w:val="24"/>
        </w:rPr>
        <w:t xml:space="preserve"> </w:t>
      </w:r>
      <w:r w:rsidR="000E184E" w:rsidRPr="0085379B">
        <w:rPr>
          <w:rFonts w:ascii="Palatino Linotype" w:eastAsia="MS Mincho" w:hAnsi="Palatino Linotype"/>
          <w:sz w:val="24"/>
          <w:lang w:val="es-ES"/>
        </w:rPr>
        <w:t xml:space="preserve">Se hace del conocimiento de </w:t>
      </w:r>
      <w:r w:rsidR="000E184E" w:rsidRPr="0085379B">
        <w:rPr>
          <w:rFonts w:ascii="Palatino Linotype" w:eastAsia="MS Mincho" w:hAnsi="Palatino Linotype"/>
          <w:b/>
          <w:sz w:val="24"/>
        </w:rPr>
        <w:t>RECURRENTE</w:t>
      </w:r>
      <w:r w:rsidR="000E184E" w:rsidRPr="0085379B">
        <w:rPr>
          <w:rFonts w:ascii="Palatino Linotype" w:eastAsia="MS Mincho" w:hAnsi="Palatino Linotype"/>
          <w:sz w:val="24"/>
        </w:rPr>
        <w:t xml:space="preserve"> </w:t>
      </w:r>
      <w:r w:rsidR="000E184E" w:rsidRPr="0085379B">
        <w:rPr>
          <w:rFonts w:ascii="Palatino Linotype" w:eastAsia="MS Mincho" w:hAnsi="Palatino Linotype"/>
          <w:sz w:val="24"/>
          <w:lang w:val="es-ES"/>
        </w:rPr>
        <w:t xml:space="preserve">que, de conformidad con lo establecido en el artículo 196 de la Ley de Transparencia y Acceso a la Información Pública del Estado de México y Municipios, </w:t>
      </w:r>
      <w:r w:rsidR="000E184E" w:rsidRPr="0085379B">
        <w:rPr>
          <w:rFonts w:ascii="Palatino Linotype" w:eastAsia="MS Mincho" w:hAnsi="Palatino Linotype"/>
          <w:sz w:val="24"/>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0E184E" w:rsidRPr="0085379B">
        <w:rPr>
          <w:rFonts w:ascii="Palatino Linotype" w:eastAsia="MS Mincho" w:hAnsi="Palatino Linotype"/>
          <w:sz w:val="24"/>
          <w:lang w:val="es-ES"/>
        </w:rPr>
        <w:t xml:space="preserve">, o bien, </w:t>
      </w:r>
      <w:r w:rsidR="000E184E" w:rsidRPr="0085379B">
        <w:rPr>
          <w:rFonts w:ascii="Palatino Linotype" w:eastAsia="MS Mincho" w:hAnsi="Palatino Linotype"/>
          <w:bCs/>
          <w:sz w:val="24"/>
          <w:lang w:val="es-ES"/>
        </w:rPr>
        <w:t>vía juicio de amparo</w:t>
      </w:r>
      <w:r w:rsidR="000E184E" w:rsidRPr="0085379B">
        <w:rPr>
          <w:rFonts w:ascii="Palatino Linotype" w:eastAsia="MS Mincho" w:hAnsi="Palatino Linotype"/>
          <w:sz w:val="24"/>
          <w:lang w:val="es-ES"/>
        </w:rPr>
        <w:t> en los términos de las leyes aplicables.</w:t>
      </w:r>
    </w:p>
    <w:p w14:paraId="00C7A462" w14:textId="77777777" w:rsidR="00920425" w:rsidRPr="00920425" w:rsidRDefault="00920425" w:rsidP="00920425">
      <w:pPr>
        <w:spacing w:line="360" w:lineRule="auto"/>
        <w:jc w:val="both"/>
        <w:rPr>
          <w:rFonts w:ascii="Palatino Linotype" w:eastAsia="MS Mincho" w:hAnsi="Palatino Linotype"/>
          <w:lang w:val="es-ES"/>
        </w:rPr>
      </w:pPr>
    </w:p>
    <w:p w14:paraId="05F9F5A8" w14:textId="77777777" w:rsidR="00907DCD" w:rsidRDefault="00907DCD" w:rsidP="00D87060">
      <w:pPr>
        <w:pBdr>
          <w:top w:val="nil"/>
          <w:left w:val="nil"/>
          <w:bottom w:val="nil"/>
          <w:right w:val="nil"/>
          <w:between w:val="nil"/>
        </w:pBdr>
        <w:tabs>
          <w:tab w:val="left" w:pos="426"/>
        </w:tabs>
        <w:spacing w:line="360" w:lineRule="auto"/>
        <w:ind w:right="-592"/>
        <w:jc w:val="both"/>
        <w:rPr>
          <w:color w:val="000000"/>
        </w:rPr>
      </w:pPr>
    </w:p>
    <w:p w14:paraId="6151EE65" w14:textId="77777777" w:rsidR="00257234" w:rsidRPr="00257234" w:rsidRDefault="00257234" w:rsidP="00257234">
      <w:pPr>
        <w:spacing w:line="360" w:lineRule="auto"/>
        <w:ind w:right="113" w:firstLine="1"/>
        <w:jc w:val="both"/>
        <w:rPr>
          <w:rFonts w:ascii="Palatino Linotype" w:hAnsi="Palatino Linotype"/>
          <w:sz w:val="24"/>
        </w:rPr>
      </w:pPr>
      <w:r w:rsidRPr="00257234">
        <w:rPr>
          <w:rFonts w:ascii="Palatino Linotype" w:hAnsi="Palatino Linotype"/>
          <w:sz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(AUSENCIA JUSTIFICADA) EN LA TRIGÉSIMA TERCERA SESIÓN ORDINARIA CELEBRADA EL DIECINUEVE (19) DE SEPTIEMBRE DE DOS MIL VEINTICUATRO, ANTE EL SECRETARIO TÉCNICO DEL PLENO ALEXIS TAPIA RAMÍREZ. </w:t>
      </w:r>
    </w:p>
    <w:p w14:paraId="1F337F27" w14:textId="77777777" w:rsidR="00257234" w:rsidRPr="00902BA4" w:rsidRDefault="00257234" w:rsidP="00257234">
      <w:pPr>
        <w:widowControl w:val="0"/>
        <w:autoSpaceDE w:val="0"/>
        <w:autoSpaceDN w:val="0"/>
        <w:adjustRightInd w:val="0"/>
        <w:spacing w:after="200" w:line="276" w:lineRule="auto"/>
        <w:ind w:left="-142" w:right="-234"/>
        <w:rPr>
          <w:rFonts w:ascii="Calibri" w:hAnsi="Calibri" w:cs="Calibri"/>
        </w:rPr>
      </w:pPr>
    </w:p>
    <w:p w14:paraId="15A1C952" w14:textId="77777777" w:rsidR="00D87060" w:rsidRPr="00D87060" w:rsidRDefault="00D87060" w:rsidP="00D87060">
      <w:pPr>
        <w:pBdr>
          <w:top w:val="nil"/>
          <w:left w:val="nil"/>
          <w:bottom w:val="nil"/>
          <w:right w:val="nil"/>
          <w:between w:val="nil"/>
        </w:pBdr>
        <w:tabs>
          <w:tab w:val="left" w:pos="426"/>
        </w:tabs>
        <w:spacing w:line="360" w:lineRule="auto"/>
        <w:ind w:right="-592"/>
        <w:jc w:val="both"/>
        <w:rPr>
          <w:color w:val="000000"/>
        </w:rPr>
      </w:pPr>
    </w:p>
    <w:sectPr w:rsidR="00D87060" w:rsidRPr="00D87060">
      <w:headerReference w:type="even" r:id="rId16"/>
      <w:headerReference w:type="default" r:id="rId17"/>
      <w:footerReference w:type="default" r:id="rId18"/>
      <w:headerReference w:type="first" r:id="rId19"/>
      <w:footerReference w:type="first" r:id="rId20"/>
      <w:pgSz w:w="12240" w:h="15840"/>
      <w:pgMar w:top="80" w:right="1608" w:bottom="1418" w:left="1588" w:header="709" w:footer="73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2FC44" w14:textId="77777777" w:rsidR="00DF0231" w:rsidRDefault="00DF0231">
      <w:r>
        <w:separator/>
      </w:r>
    </w:p>
  </w:endnote>
  <w:endnote w:type="continuationSeparator" w:id="0">
    <w:p w14:paraId="11F11287" w14:textId="77777777" w:rsidR="00DF0231" w:rsidRDefault="00DF0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E9054" w14:textId="77777777" w:rsidR="00650D1F" w:rsidRDefault="00650D1F">
    <w:pPr>
      <w:pBdr>
        <w:top w:val="nil"/>
        <w:left w:val="nil"/>
        <w:bottom w:val="nil"/>
        <w:right w:val="nil"/>
        <w:between w:val="nil"/>
      </w:pBdr>
      <w:tabs>
        <w:tab w:val="center" w:pos="4419"/>
        <w:tab w:val="right" w:pos="8838"/>
      </w:tabs>
      <w:jc w:val="right"/>
      <w:rPr>
        <w:color w:val="000000"/>
      </w:rPr>
    </w:pPr>
  </w:p>
  <w:p w14:paraId="23C3A90E" w14:textId="77777777" w:rsidR="00650D1F" w:rsidRDefault="00650D1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5379B">
      <w:rPr>
        <w:b/>
        <w:noProof/>
        <w:color w:val="000000"/>
        <w:sz w:val="24"/>
        <w:szCs w:val="24"/>
      </w:rPr>
      <w:t>28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5379B">
      <w:rPr>
        <w:b/>
        <w:noProof/>
        <w:color w:val="000000"/>
        <w:sz w:val="24"/>
        <w:szCs w:val="24"/>
      </w:rPr>
      <w:t>29</w:t>
    </w:r>
    <w:r>
      <w:rPr>
        <w:b/>
        <w:color w:val="000000"/>
        <w:sz w:val="24"/>
        <w:szCs w:val="24"/>
      </w:rPr>
      <w:fldChar w:fldCharType="end"/>
    </w:r>
  </w:p>
  <w:p w14:paraId="24393CF4" w14:textId="77777777" w:rsidR="00650D1F" w:rsidRDefault="00650D1F">
    <w:pPr>
      <w:pBdr>
        <w:top w:val="nil"/>
        <w:left w:val="nil"/>
        <w:bottom w:val="nil"/>
        <w:right w:val="nil"/>
        <w:between w:val="nil"/>
      </w:pBdr>
      <w:tabs>
        <w:tab w:val="center" w:pos="4419"/>
        <w:tab w:val="right" w:pos="8838"/>
      </w:tabs>
      <w:rPr>
        <w:color w:val="000000"/>
      </w:rPr>
    </w:pPr>
  </w:p>
  <w:p w14:paraId="42E41F54" w14:textId="77777777" w:rsidR="00650D1F" w:rsidRDefault="00650D1F"/>
  <w:p w14:paraId="4492A651" w14:textId="77777777" w:rsidR="00650D1F" w:rsidRDefault="00650D1F"/>
  <w:p w14:paraId="4903523C" w14:textId="77777777" w:rsidR="00650D1F" w:rsidRDefault="00650D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2BAC4" w14:textId="77777777" w:rsidR="00650D1F" w:rsidRDefault="00650D1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85379B">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85379B">
      <w:rPr>
        <w:b/>
        <w:noProof/>
        <w:color w:val="000000"/>
        <w:sz w:val="24"/>
        <w:szCs w:val="24"/>
      </w:rPr>
      <w:t>29</w:t>
    </w:r>
    <w:r>
      <w:rPr>
        <w:b/>
        <w:color w:val="000000"/>
        <w:sz w:val="24"/>
        <w:szCs w:val="24"/>
      </w:rPr>
      <w:fldChar w:fldCharType="end"/>
    </w:r>
  </w:p>
  <w:p w14:paraId="4783C01A" w14:textId="77777777" w:rsidR="00650D1F" w:rsidRDefault="00650D1F">
    <w:pPr>
      <w:pBdr>
        <w:top w:val="nil"/>
        <w:left w:val="nil"/>
        <w:bottom w:val="nil"/>
        <w:right w:val="nil"/>
        <w:between w:val="nil"/>
      </w:pBdr>
      <w:tabs>
        <w:tab w:val="center" w:pos="4419"/>
        <w:tab w:val="right" w:pos="8838"/>
      </w:tabs>
      <w:rPr>
        <w:color w:val="000000"/>
      </w:rPr>
    </w:pPr>
  </w:p>
  <w:p w14:paraId="246D898D" w14:textId="77777777" w:rsidR="00650D1F" w:rsidRDefault="00650D1F"/>
  <w:p w14:paraId="1942B37A" w14:textId="77777777" w:rsidR="00650D1F" w:rsidRDefault="00650D1F"/>
  <w:p w14:paraId="2EEC0D36" w14:textId="77777777" w:rsidR="00650D1F" w:rsidRDefault="00650D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A5E6" w14:textId="77777777" w:rsidR="00DF0231" w:rsidRDefault="00DF0231">
      <w:r>
        <w:separator/>
      </w:r>
    </w:p>
  </w:footnote>
  <w:footnote w:type="continuationSeparator" w:id="0">
    <w:p w14:paraId="4DB72696" w14:textId="77777777" w:rsidR="00DF0231" w:rsidRDefault="00DF0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7C3C6" w14:textId="77777777" w:rsidR="00650D1F" w:rsidRDefault="00DF0231">
    <w:pPr>
      <w:pBdr>
        <w:top w:val="nil"/>
        <w:left w:val="nil"/>
        <w:bottom w:val="nil"/>
        <w:right w:val="nil"/>
        <w:between w:val="nil"/>
      </w:pBdr>
      <w:tabs>
        <w:tab w:val="center" w:pos="4419"/>
        <w:tab w:val="right" w:pos="8838"/>
      </w:tabs>
      <w:rPr>
        <w:color w:val="000000"/>
      </w:rPr>
    </w:pPr>
    <w:r>
      <w:rPr>
        <w:color w:val="000000"/>
      </w:rPr>
      <w:pict w14:anchorId="4B8C35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 style="position:absolute;margin-left:0;margin-top:0;width:663.5pt;height:12in;z-index:-251657728;mso-position-horizontal:center;mso-position-horizontal-relative:margin;mso-position-vertical:center;mso-position-vertical-relative:margin">
          <v:imagedata r:id="rId1" o:title="image1"/>
          <w10:wrap anchorx="margin" anchory="margin"/>
        </v:shape>
      </w:pict>
    </w:r>
  </w:p>
  <w:p w14:paraId="3AEE7FB0" w14:textId="77777777" w:rsidR="00650D1F" w:rsidRDefault="00650D1F"/>
  <w:p w14:paraId="6AA5470C" w14:textId="77777777" w:rsidR="00650D1F" w:rsidRDefault="00650D1F"/>
  <w:p w14:paraId="61A37578" w14:textId="77777777" w:rsidR="00650D1F" w:rsidRDefault="00650D1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A8B0" w14:textId="77777777" w:rsidR="00650D1F" w:rsidRDefault="00650D1F">
    <w:pPr>
      <w:widowControl w:val="0"/>
      <w:pBdr>
        <w:top w:val="nil"/>
        <w:left w:val="nil"/>
        <w:bottom w:val="nil"/>
        <w:right w:val="nil"/>
        <w:between w:val="nil"/>
      </w:pBdr>
      <w:spacing w:line="276" w:lineRule="auto"/>
    </w:pPr>
  </w:p>
  <w:tbl>
    <w:tblPr>
      <w:tblStyle w:val="a"/>
      <w:tblW w:w="9356" w:type="dxa"/>
      <w:tblInd w:w="0" w:type="dxa"/>
      <w:tblLayout w:type="fixed"/>
      <w:tblLook w:val="0400" w:firstRow="0" w:lastRow="0" w:firstColumn="0" w:lastColumn="0" w:noHBand="0" w:noVBand="1"/>
    </w:tblPr>
    <w:tblGrid>
      <w:gridCol w:w="1843"/>
      <w:gridCol w:w="7513"/>
    </w:tblGrid>
    <w:tr w:rsidR="00650D1F" w14:paraId="7D4734BA" w14:textId="77777777">
      <w:trPr>
        <w:trHeight w:val="1435"/>
      </w:trPr>
      <w:tc>
        <w:tcPr>
          <w:tcW w:w="1843" w:type="dxa"/>
          <w:shd w:val="clear" w:color="auto" w:fill="auto"/>
        </w:tcPr>
        <w:p w14:paraId="5BD52527" w14:textId="77777777" w:rsidR="00650D1F" w:rsidRDefault="00650D1F">
          <w:pPr>
            <w:tabs>
              <w:tab w:val="right" w:pos="4273"/>
            </w:tabs>
            <w:rPr>
              <w:rFonts w:ascii="Garamond" w:eastAsia="Garamond" w:hAnsi="Garamond" w:cs="Garamond"/>
              <w:sz w:val="16"/>
              <w:szCs w:val="16"/>
            </w:rPr>
          </w:pPr>
          <w:r>
            <w:rPr>
              <w:rFonts w:ascii="Garamond" w:eastAsia="Garamond" w:hAnsi="Garamond" w:cs="Garamond"/>
              <w:sz w:val="16"/>
              <w:szCs w:val="16"/>
            </w:rPr>
            <w:t xml:space="preserve"> </w:t>
          </w:r>
        </w:p>
      </w:tc>
      <w:tc>
        <w:tcPr>
          <w:tcW w:w="7513" w:type="dxa"/>
          <w:shd w:val="clear" w:color="auto" w:fill="auto"/>
        </w:tcPr>
        <w:p w14:paraId="1AFF325F" w14:textId="77777777" w:rsidR="00650D1F" w:rsidRDefault="00650D1F"/>
        <w:tbl>
          <w:tblPr>
            <w:tblStyle w:val="a0"/>
            <w:tblW w:w="5528" w:type="dxa"/>
            <w:tblInd w:w="1594" w:type="dxa"/>
            <w:tblBorders>
              <w:top w:val="nil"/>
              <w:left w:val="nil"/>
              <w:bottom w:val="nil"/>
              <w:right w:val="nil"/>
              <w:insideH w:val="nil"/>
              <w:insideV w:val="nil"/>
            </w:tblBorders>
            <w:tblLayout w:type="fixed"/>
            <w:tblLook w:val="0400" w:firstRow="0" w:lastRow="0" w:firstColumn="0" w:lastColumn="0" w:noHBand="0" w:noVBand="1"/>
          </w:tblPr>
          <w:tblGrid>
            <w:gridCol w:w="2551"/>
            <w:gridCol w:w="2977"/>
          </w:tblGrid>
          <w:tr w:rsidR="00650D1F" w14:paraId="008469AE" w14:textId="77777777">
            <w:trPr>
              <w:trHeight w:val="338"/>
            </w:trPr>
            <w:tc>
              <w:tcPr>
                <w:tcW w:w="2551" w:type="dxa"/>
              </w:tcPr>
              <w:p w14:paraId="4B3C1AE3" w14:textId="77777777" w:rsidR="00650D1F" w:rsidRDefault="00650D1F">
                <w:pPr>
                  <w:tabs>
                    <w:tab w:val="right" w:pos="8838"/>
                  </w:tabs>
                  <w:ind w:right="-105"/>
                  <w:rPr>
                    <w:rFonts w:ascii="Palatino Linotype" w:eastAsia="Palatino Linotype" w:hAnsi="Palatino Linotype" w:cs="Palatino Linotype"/>
                    <w:b/>
                    <w:sz w:val="22"/>
                    <w:szCs w:val="22"/>
                  </w:rPr>
                </w:pPr>
              </w:p>
              <w:p w14:paraId="5BE04F07" w14:textId="77777777" w:rsidR="00650D1F" w:rsidRDefault="00650D1F">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tcPr>
              <w:p w14:paraId="4744B435" w14:textId="77777777" w:rsidR="00650D1F" w:rsidRDefault="00650D1F">
                <w:pPr>
                  <w:tabs>
                    <w:tab w:val="right" w:pos="8838"/>
                  </w:tabs>
                  <w:ind w:right="-105" w:hanging="101"/>
                  <w:jc w:val="both"/>
                  <w:rPr>
                    <w:rFonts w:ascii="Palatino Linotype" w:eastAsia="Palatino Linotype" w:hAnsi="Palatino Linotype" w:cs="Palatino Linotype"/>
                    <w:sz w:val="22"/>
                    <w:szCs w:val="22"/>
                  </w:rPr>
                </w:pPr>
              </w:p>
              <w:p w14:paraId="31C227FA" w14:textId="77777777" w:rsidR="00650D1F" w:rsidRDefault="00650D1F">
                <w:pPr>
                  <w:tabs>
                    <w:tab w:val="right" w:pos="8838"/>
                  </w:tabs>
                  <w:ind w:right="-105" w:hanging="10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06953/INFOEM/IP/RR/2023</w:t>
                </w:r>
              </w:p>
            </w:tc>
          </w:tr>
          <w:tr w:rsidR="00650D1F" w14:paraId="1A1F88DA" w14:textId="77777777">
            <w:trPr>
              <w:trHeight w:val="283"/>
            </w:trPr>
            <w:tc>
              <w:tcPr>
                <w:tcW w:w="2551" w:type="dxa"/>
              </w:tcPr>
              <w:p w14:paraId="72D6F31A" w14:textId="77777777" w:rsidR="00650D1F" w:rsidRDefault="00650D1F">
                <w:pPr>
                  <w:tabs>
                    <w:tab w:val="right" w:pos="8838"/>
                  </w:tabs>
                  <w:ind w:right="-105"/>
                  <w:rPr>
                    <w:rFonts w:ascii="Palatino Linotype" w:eastAsia="Palatino Linotype" w:hAnsi="Palatino Linotype" w:cs="Palatino Linotype"/>
                    <w:b/>
                    <w:sz w:val="22"/>
                    <w:szCs w:val="22"/>
                  </w:rPr>
                </w:pPr>
                <w:bookmarkStart w:id="10" w:name="_heading=h.26in1rg" w:colFirst="0" w:colLast="0"/>
                <w:bookmarkEnd w:id="10"/>
                <w:r>
                  <w:rPr>
                    <w:rFonts w:ascii="Palatino Linotype" w:eastAsia="Palatino Linotype" w:hAnsi="Palatino Linotype" w:cs="Palatino Linotype"/>
                    <w:b/>
                    <w:sz w:val="22"/>
                    <w:szCs w:val="22"/>
                  </w:rPr>
                  <w:t>Sujeto Obligado:</w:t>
                </w:r>
              </w:p>
            </w:tc>
            <w:tc>
              <w:tcPr>
                <w:tcW w:w="2977" w:type="dxa"/>
              </w:tcPr>
              <w:p w14:paraId="3B3923CF" w14:textId="77777777" w:rsidR="00650D1F" w:rsidRDefault="00650D1F">
                <w:pPr>
                  <w:tabs>
                    <w:tab w:val="left" w:pos="2834"/>
                    <w:tab w:val="right" w:pos="8838"/>
                  </w:tabs>
                  <w:ind w:left="-113" w:right="-10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Rayón</w:t>
                </w:r>
              </w:p>
            </w:tc>
          </w:tr>
          <w:tr w:rsidR="00650D1F" w14:paraId="63C9D61B" w14:textId="77777777">
            <w:trPr>
              <w:trHeight w:val="283"/>
            </w:trPr>
            <w:tc>
              <w:tcPr>
                <w:tcW w:w="2551" w:type="dxa"/>
              </w:tcPr>
              <w:p w14:paraId="46D1E611" w14:textId="77777777" w:rsidR="00650D1F" w:rsidRDefault="00650D1F">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tcPr>
              <w:p w14:paraId="7D73EFF7" w14:textId="77777777" w:rsidR="00650D1F" w:rsidRDefault="00650D1F">
                <w:pPr>
                  <w:tabs>
                    <w:tab w:val="right" w:pos="8838"/>
                  </w:tabs>
                  <w:ind w:left="-113" w:right="-105"/>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María del Rosario Mejía Ayala</w:t>
                </w:r>
              </w:p>
            </w:tc>
          </w:tr>
        </w:tbl>
        <w:p w14:paraId="5127C1EB" w14:textId="77777777" w:rsidR="00650D1F" w:rsidRDefault="00650D1F">
          <w:pPr>
            <w:tabs>
              <w:tab w:val="right" w:pos="8838"/>
            </w:tabs>
            <w:ind w:left="-28"/>
            <w:jc w:val="both"/>
            <w:rPr>
              <w:rFonts w:ascii="Arial" w:eastAsia="Arial" w:hAnsi="Arial" w:cs="Arial"/>
              <w:b/>
              <w:sz w:val="22"/>
              <w:szCs w:val="22"/>
            </w:rPr>
          </w:pPr>
        </w:p>
      </w:tc>
    </w:tr>
  </w:tbl>
  <w:p w14:paraId="2FBEB40A" w14:textId="77777777" w:rsidR="00650D1F" w:rsidRDefault="00DF0231">
    <w:pPr>
      <w:pBdr>
        <w:top w:val="nil"/>
        <w:left w:val="nil"/>
        <w:bottom w:val="nil"/>
        <w:right w:val="nil"/>
        <w:between w:val="nil"/>
      </w:pBdr>
      <w:tabs>
        <w:tab w:val="center" w:pos="4419"/>
        <w:tab w:val="right" w:pos="8838"/>
      </w:tabs>
      <w:rPr>
        <w:color w:val="000000"/>
        <w:sz w:val="14"/>
        <w:szCs w:val="14"/>
      </w:rPr>
    </w:pPr>
    <w:r>
      <w:rPr>
        <w:color w:val="000000"/>
        <w:sz w:val="14"/>
        <w:szCs w:val="14"/>
      </w:rPr>
      <w:pict w14:anchorId="5CF79B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104.3pt;margin-top:-133.1pt;width:663.5pt;height:12in;z-index:-251659776;mso-position-horizontal:absolute;mso-position-horizontal-relative:margin;mso-position-vertical:absolute;mso-position-vertical-relative:margin">
          <v:imagedata r:id="rId1" o:title="image1"/>
          <w10:wrap anchorx="margin" anchory="margin"/>
        </v:shape>
      </w:pict>
    </w:r>
  </w:p>
  <w:p w14:paraId="420DAFD6" w14:textId="77777777" w:rsidR="00650D1F" w:rsidRDefault="00650D1F"/>
  <w:p w14:paraId="221F742B" w14:textId="77777777" w:rsidR="00650D1F" w:rsidRDefault="00650D1F"/>
  <w:p w14:paraId="2BB85DC7" w14:textId="77777777" w:rsidR="00650D1F" w:rsidRDefault="00650D1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C5119" w14:textId="77777777" w:rsidR="00650D1F" w:rsidRDefault="00650D1F">
    <w:pPr>
      <w:widowControl w:val="0"/>
      <w:pBdr>
        <w:top w:val="nil"/>
        <w:left w:val="nil"/>
        <w:bottom w:val="nil"/>
        <w:right w:val="nil"/>
        <w:between w:val="nil"/>
      </w:pBdr>
      <w:spacing w:line="276" w:lineRule="auto"/>
    </w:pPr>
  </w:p>
  <w:tbl>
    <w:tblPr>
      <w:tblStyle w:val="a1"/>
      <w:tblW w:w="9498" w:type="dxa"/>
      <w:tblInd w:w="0" w:type="dxa"/>
      <w:tblLayout w:type="fixed"/>
      <w:tblLook w:val="0400" w:firstRow="0" w:lastRow="0" w:firstColumn="0" w:lastColumn="0" w:noHBand="0" w:noVBand="1"/>
    </w:tblPr>
    <w:tblGrid>
      <w:gridCol w:w="1560"/>
      <w:gridCol w:w="7938"/>
    </w:tblGrid>
    <w:tr w:rsidR="00650D1F" w14:paraId="4149CD3F" w14:textId="77777777">
      <w:trPr>
        <w:trHeight w:val="1435"/>
      </w:trPr>
      <w:tc>
        <w:tcPr>
          <w:tcW w:w="1560" w:type="dxa"/>
          <w:shd w:val="clear" w:color="auto" w:fill="auto"/>
        </w:tcPr>
        <w:p w14:paraId="41CFF6C9" w14:textId="77777777" w:rsidR="00650D1F" w:rsidRDefault="00650D1F">
          <w:pPr>
            <w:tabs>
              <w:tab w:val="right" w:pos="4273"/>
            </w:tabs>
            <w:rPr>
              <w:rFonts w:ascii="Garamond" w:eastAsia="Garamond" w:hAnsi="Garamond" w:cs="Garamond"/>
              <w:sz w:val="22"/>
              <w:szCs w:val="22"/>
            </w:rPr>
          </w:pPr>
        </w:p>
      </w:tc>
      <w:tc>
        <w:tcPr>
          <w:tcW w:w="7938" w:type="dxa"/>
          <w:shd w:val="clear" w:color="auto" w:fill="auto"/>
        </w:tcPr>
        <w:p w14:paraId="623B5A87" w14:textId="77777777" w:rsidR="00650D1F" w:rsidRDefault="00650D1F">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8940" w:type="dxa"/>
            <w:tblInd w:w="1879" w:type="dxa"/>
            <w:tblBorders>
              <w:top w:val="nil"/>
              <w:left w:val="nil"/>
              <w:bottom w:val="nil"/>
              <w:right w:val="nil"/>
              <w:insideH w:val="nil"/>
              <w:insideV w:val="nil"/>
            </w:tblBorders>
            <w:tblLayout w:type="fixed"/>
            <w:tblLook w:val="0400" w:firstRow="0" w:lastRow="0" w:firstColumn="0" w:lastColumn="0" w:noHBand="0" w:noVBand="1"/>
          </w:tblPr>
          <w:tblGrid>
            <w:gridCol w:w="2445"/>
            <w:gridCol w:w="3885"/>
            <w:gridCol w:w="2610"/>
          </w:tblGrid>
          <w:tr w:rsidR="00650D1F" w14:paraId="6101F576" w14:textId="77777777">
            <w:trPr>
              <w:trHeight w:val="144"/>
            </w:trPr>
            <w:tc>
              <w:tcPr>
                <w:tcW w:w="2445" w:type="dxa"/>
              </w:tcPr>
              <w:p w14:paraId="1A0CE142" w14:textId="77777777" w:rsidR="00650D1F" w:rsidRDefault="00650D1F">
                <w:pPr>
                  <w:tabs>
                    <w:tab w:val="right" w:pos="8838"/>
                  </w:tabs>
                  <w:ind w:left="-74" w:right="-105"/>
                  <w:rPr>
                    <w:rFonts w:ascii="Palatino Linotype" w:eastAsia="Palatino Linotype" w:hAnsi="Palatino Linotype" w:cs="Palatino Linotype"/>
                    <w:b/>
                    <w:sz w:val="22"/>
                    <w:szCs w:val="22"/>
                  </w:rPr>
                </w:pPr>
                <w:bookmarkStart w:id="11" w:name="_heading=h.lnxbz9" w:colFirst="0" w:colLast="0"/>
                <w:bookmarkEnd w:id="11"/>
                <w:r>
                  <w:rPr>
                    <w:rFonts w:ascii="Palatino Linotype" w:eastAsia="Palatino Linotype" w:hAnsi="Palatino Linotype" w:cs="Palatino Linotype"/>
                    <w:b/>
                    <w:sz w:val="22"/>
                    <w:szCs w:val="22"/>
                  </w:rPr>
                  <w:t>Recurso de Revisión:</w:t>
                </w:r>
              </w:p>
            </w:tc>
            <w:tc>
              <w:tcPr>
                <w:tcW w:w="3885" w:type="dxa"/>
              </w:tcPr>
              <w:p w14:paraId="7B2A703F" w14:textId="77777777" w:rsidR="00650D1F" w:rsidRDefault="00650D1F">
                <w:pPr>
                  <w:tabs>
                    <w:tab w:val="right" w:pos="8838"/>
                  </w:tabs>
                  <w:ind w:left="-3" w:right="-94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06953/INFOEM/IP/RR/2023</w:t>
                </w:r>
                <w:r>
                  <w:rPr>
                    <w:rFonts w:ascii="Palatino Linotype" w:eastAsia="Palatino Linotype" w:hAnsi="Palatino Linotype" w:cs="Palatino Linotype"/>
                  </w:rPr>
                  <w:t xml:space="preserve"> </w:t>
                </w:r>
              </w:p>
            </w:tc>
            <w:tc>
              <w:tcPr>
                <w:tcW w:w="2610" w:type="dxa"/>
              </w:tcPr>
              <w:p w14:paraId="262127D6" w14:textId="77777777" w:rsidR="00650D1F" w:rsidRDefault="00650D1F">
                <w:pPr>
                  <w:tabs>
                    <w:tab w:val="right" w:pos="8838"/>
                  </w:tabs>
                  <w:ind w:left="-74" w:right="-105"/>
                  <w:jc w:val="both"/>
                  <w:rPr>
                    <w:rFonts w:ascii="Palatino Linotype" w:eastAsia="Palatino Linotype" w:hAnsi="Palatino Linotype" w:cs="Palatino Linotype"/>
                    <w:sz w:val="22"/>
                    <w:szCs w:val="22"/>
                  </w:rPr>
                </w:pPr>
              </w:p>
            </w:tc>
          </w:tr>
          <w:tr w:rsidR="00650D1F" w14:paraId="4D8AD83F" w14:textId="77777777">
            <w:trPr>
              <w:trHeight w:val="144"/>
            </w:trPr>
            <w:tc>
              <w:tcPr>
                <w:tcW w:w="2445" w:type="dxa"/>
              </w:tcPr>
              <w:p w14:paraId="23329CF7" w14:textId="77777777" w:rsidR="00650D1F" w:rsidRDefault="00650D1F">
                <w:pPr>
                  <w:tabs>
                    <w:tab w:val="right" w:pos="8838"/>
                  </w:tabs>
                  <w:ind w:left="-74" w:right="-105"/>
                  <w:rPr>
                    <w:rFonts w:ascii="Palatino Linotype" w:eastAsia="Palatino Linotype" w:hAnsi="Palatino Linotype" w:cs="Palatino Linotype"/>
                    <w:b/>
                    <w:sz w:val="22"/>
                    <w:szCs w:val="22"/>
                  </w:rPr>
                </w:pPr>
                <w:bookmarkStart w:id="12" w:name="_heading=h.35nkun2" w:colFirst="0" w:colLast="0"/>
                <w:bookmarkEnd w:id="12"/>
                <w:r>
                  <w:rPr>
                    <w:rFonts w:ascii="Palatino Linotype" w:eastAsia="Palatino Linotype" w:hAnsi="Palatino Linotype" w:cs="Palatino Linotype"/>
                    <w:b/>
                    <w:sz w:val="22"/>
                    <w:szCs w:val="22"/>
                  </w:rPr>
                  <w:t>Recurrente:</w:t>
                </w:r>
              </w:p>
            </w:tc>
            <w:tc>
              <w:tcPr>
                <w:tcW w:w="3885" w:type="dxa"/>
              </w:tcPr>
              <w:p w14:paraId="67BC7530" w14:textId="6DA8039D" w:rsidR="00650D1F" w:rsidRDefault="001A55C8">
                <w:pPr>
                  <w:tabs>
                    <w:tab w:val="left" w:pos="3122"/>
                    <w:tab w:val="right" w:pos="8838"/>
                  </w:tabs>
                  <w:ind w:right="-94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XXX </w:t>
                </w:r>
                <w:proofErr w:type="spellStart"/>
                <w:r>
                  <w:rPr>
                    <w:rFonts w:ascii="Palatino Linotype" w:eastAsia="Palatino Linotype" w:hAnsi="Palatino Linotype" w:cs="Palatino Linotype"/>
                    <w:sz w:val="22"/>
                    <w:szCs w:val="22"/>
                  </w:rPr>
                  <w:t>XXX</w:t>
                </w:r>
                <w:proofErr w:type="spellEnd"/>
              </w:p>
            </w:tc>
            <w:tc>
              <w:tcPr>
                <w:tcW w:w="2610" w:type="dxa"/>
              </w:tcPr>
              <w:p w14:paraId="43E89AE3" w14:textId="77777777" w:rsidR="00650D1F" w:rsidRDefault="00650D1F">
                <w:pPr>
                  <w:tabs>
                    <w:tab w:val="left" w:pos="3122"/>
                    <w:tab w:val="right" w:pos="8838"/>
                  </w:tabs>
                  <w:ind w:right="-105"/>
                  <w:jc w:val="both"/>
                  <w:rPr>
                    <w:rFonts w:ascii="Palatino Linotype" w:eastAsia="Palatino Linotype" w:hAnsi="Palatino Linotype" w:cs="Palatino Linotype"/>
                    <w:sz w:val="22"/>
                    <w:szCs w:val="22"/>
                  </w:rPr>
                </w:pPr>
              </w:p>
            </w:tc>
          </w:tr>
          <w:tr w:rsidR="00650D1F" w14:paraId="07D0ED7F" w14:textId="77777777">
            <w:trPr>
              <w:trHeight w:val="283"/>
            </w:trPr>
            <w:tc>
              <w:tcPr>
                <w:tcW w:w="2445" w:type="dxa"/>
              </w:tcPr>
              <w:p w14:paraId="6296C44C" w14:textId="77777777" w:rsidR="00650D1F" w:rsidRDefault="00650D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85" w:type="dxa"/>
              </w:tcPr>
              <w:p w14:paraId="4CF58887" w14:textId="77777777" w:rsidR="00650D1F" w:rsidRDefault="00650D1F">
                <w:pPr>
                  <w:tabs>
                    <w:tab w:val="left" w:pos="2834"/>
                    <w:tab w:val="right" w:pos="8838"/>
                  </w:tabs>
                  <w:ind w:left="-3" w:right="-94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Ayuntamiento de Rayón</w:t>
                </w:r>
              </w:p>
            </w:tc>
            <w:tc>
              <w:tcPr>
                <w:tcW w:w="2610" w:type="dxa"/>
              </w:tcPr>
              <w:p w14:paraId="0283729F" w14:textId="77777777" w:rsidR="00650D1F" w:rsidRDefault="00650D1F">
                <w:pPr>
                  <w:tabs>
                    <w:tab w:val="left" w:pos="2834"/>
                    <w:tab w:val="right" w:pos="8838"/>
                  </w:tabs>
                  <w:ind w:left="-74" w:right="-105"/>
                  <w:jc w:val="both"/>
                  <w:rPr>
                    <w:rFonts w:ascii="Palatino Linotype" w:eastAsia="Palatino Linotype" w:hAnsi="Palatino Linotype" w:cs="Palatino Linotype"/>
                    <w:sz w:val="22"/>
                    <w:szCs w:val="22"/>
                  </w:rPr>
                </w:pPr>
              </w:p>
            </w:tc>
          </w:tr>
          <w:tr w:rsidR="00650D1F" w14:paraId="765B9708" w14:textId="77777777">
            <w:trPr>
              <w:trHeight w:val="283"/>
            </w:trPr>
            <w:tc>
              <w:tcPr>
                <w:tcW w:w="2445" w:type="dxa"/>
              </w:tcPr>
              <w:p w14:paraId="7533C94C" w14:textId="77777777" w:rsidR="00650D1F" w:rsidRDefault="00650D1F">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85" w:type="dxa"/>
              </w:tcPr>
              <w:p w14:paraId="5EBE673A" w14:textId="77777777" w:rsidR="00650D1F" w:rsidRDefault="00650D1F">
                <w:pPr>
                  <w:tabs>
                    <w:tab w:val="right" w:pos="8838"/>
                  </w:tabs>
                  <w:ind w:left="-3" w:right="-946"/>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c>
              <w:tcPr>
                <w:tcW w:w="2610" w:type="dxa"/>
              </w:tcPr>
              <w:p w14:paraId="498B0C16" w14:textId="77777777" w:rsidR="00650D1F" w:rsidRDefault="00650D1F">
                <w:pPr>
                  <w:tabs>
                    <w:tab w:val="right" w:pos="8838"/>
                  </w:tabs>
                  <w:ind w:left="-74" w:right="-105"/>
                  <w:jc w:val="both"/>
                  <w:rPr>
                    <w:rFonts w:ascii="Palatino Linotype" w:eastAsia="Palatino Linotype" w:hAnsi="Palatino Linotype" w:cs="Palatino Linotype"/>
                    <w:sz w:val="22"/>
                    <w:szCs w:val="22"/>
                  </w:rPr>
                </w:pPr>
              </w:p>
            </w:tc>
          </w:tr>
        </w:tbl>
        <w:p w14:paraId="32BE1574" w14:textId="77777777" w:rsidR="00650D1F" w:rsidRDefault="00650D1F">
          <w:pPr>
            <w:tabs>
              <w:tab w:val="right" w:pos="8838"/>
            </w:tabs>
            <w:ind w:left="-28"/>
            <w:jc w:val="both"/>
            <w:rPr>
              <w:rFonts w:ascii="Arial" w:eastAsia="Arial" w:hAnsi="Arial" w:cs="Arial"/>
              <w:b/>
              <w:sz w:val="22"/>
              <w:szCs w:val="22"/>
            </w:rPr>
          </w:pPr>
        </w:p>
      </w:tc>
    </w:tr>
  </w:tbl>
  <w:p w14:paraId="4753B604" w14:textId="77777777" w:rsidR="00650D1F" w:rsidRDefault="00DF0231">
    <w:pPr>
      <w:pBdr>
        <w:top w:val="nil"/>
        <w:left w:val="nil"/>
        <w:bottom w:val="nil"/>
        <w:right w:val="nil"/>
        <w:between w:val="nil"/>
      </w:pBdr>
      <w:tabs>
        <w:tab w:val="center" w:pos="4419"/>
        <w:tab w:val="right" w:pos="8838"/>
        <w:tab w:val="center" w:pos="4522"/>
      </w:tabs>
      <w:rPr>
        <w:color w:val="000000"/>
      </w:rPr>
    </w:pPr>
    <w:r>
      <w:rPr>
        <w:color w:val="000000"/>
        <w:sz w:val="14"/>
        <w:szCs w:val="14"/>
      </w:rPr>
      <w:pict w14:anchorId="2216A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 style="position:absolute;margin-left:-75.8pt;margin-top:-134.3pt;width:663.5pt;height:12in;z-index:-251658752;mso-position-horizontal:absolute;mso-position-horizontal-relative:margin;mso-position-vertical:absolute;mso-position-vertical-relative:margin">
          <v:imagedata r:id="rId1" o:title="image1"/>
          <w10:wrap anchorx="margin" anchory="margin"/>
        </v:shape>
      </w:pict>
    </w:r>
  </w:p>
  <w:p w14:paraId="717A7FE8" w14:textId="77777777" w:rsidR="00650D1F" w:rsidRDefault="00650D1F"/>
  <w:p w14:paraId="0389D9ED" w14:textId="77777777" w:rsidR="00650D1F" w:rsidRDefault="00650D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61270"/>
    <w:multiLevelType w:val="hybridMultilevel"/>
    <w:tmpl w:val="AFC8FDB4"/>
    <w:lvl w:ilvl="0" w:tplc="F0F2F2C8">
      <w:start w:val="1"/>
      <w:numFmt w:val="decimal"/>
      <w:lvlText w:val="%1."/>
      <w:lvlJc w:val="left"/>
      <w:pPr>
        <w:ind w:left="720" w:hanging="360"/>
      </w:pPr>
      <w:rPr>
        <w:rFonts w:eastAsia="Calibri" w:hint="default"/>
        <w:b/>
        <w:i w:val="0"/>
        <w:sz w:val="24"/>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9A0150F"/>
    <w:multiLevelType w:val="multilevel"/>
    <w:tmpl w:val="2F1EF23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4317490"/>
    <w:multiLevelType w:val="hybridMultilevel"/>
    <w:tmpl w:val="9244E622"/>
    <w:lvl w:ilvl="0" w:tplc="92BE0B36">
      <w:start w:val="1"/>
      <w:numFmt w:val="decimal"/>
      <w:lvlText w:val="%1."/>
      <w:lvlJc w:val="left"/>
      <w:pPr>
        <w:ind w:left="4613" w:hanging="360"/>
      </w:pPr>
      <w:rPr>
        <w:rFonts w:ascii="Palatino Linotype" w:hAnsi="Palatino Linotype" w:hint="default"/>
        <w:b/>
        <w:i w:val="0"/>
        <w:color w:val="auto"/>
        <w:sz w:val="24"/>
      </w:rPr>
    </w:lvl>
    <w:lvl w:ilvl="1" w:tplc="47FC0D3C">
      <w:start w:val="1"/>
      <w:numFmt w:val="upperRoman"/>
      <w:lvlText w:val="%2."/>
      <w:lvlJc w:val="left"/>
      <w:pPr>
        <w:ind w:left="1800" w:hanging="720"/>
      </w:pPr>
      <w:rPr>
        <w:rFonts w:ascii="Palatino Linotype" w:hAnsi="Palatino Linotype" w:hint="default"/>
        <w:b/>
        <w:color w:val="auto"/>
        <w:sz w:val="24"/>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666386"/>
    <w:multiLevelType w:val="multilevel"/>
    <w:tmpl w:val="D54A1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67459C0"/>
    <w:multiLevelType w:val="multilevel"/>
    <w:tmpl w:val="B888DC82"/>
    <w:lvl w:ilvl="0">
      <w:start w:val="1"/>
      <w:numFmt w:val="decimal"/>
      <w:lvlText w:val="%1."/>
      <w:lvlJc w:val="left"/>
      <w:pPr>
        <w:ind w:left="4613"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sz w:val="24"/>
        <w:szCs w:val="24"/>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424D90"/>
    <w:multiLevelType w:val="multilevel"/>
    <w:tmpl w:val="89840B22"/>
    <w:lvl w:ilvl="0">
      <w:start w:val="1"/>
      <w:numFmt w:val="decimal"/>
      <w:lvlText w:val="%1."/>
      <w:lvlJc w:val="left"/>
      <w:pPr>
        <w:ind w:left="720" w:hanging="360"/>
      </w:pPr>
      <w:rPr>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D70BC6"/>
    <w:multiLevelType w:val="multilevel"/>
    <w:tmpl w:val="93A830CE"/>
    <w:lvl w:ilvl="0">
      <w:start w:val="1"/>
      <w:numFmt w:val="bullet"/>
      <w:pStyle w:val="Listaconvieta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B9D437D"/>
    <w:multiLevelType w:val="multilevel"/>
    <w:tmpl w:val="C1D8F3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6E1E3B3F"/>
    <w:multiLevelType w:val="hybridMultilevel"/>
    <w:tmpl w:val="B6068E44"/>
    <w:lvl w:ilvl="0" w:tplc="6556F56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num w:numId="1" w16cid:durableId="1297225808">
    <w:abstractNumId w:val="7"/>
  </w:num>
  <w:num w:numId="2" w16cid:durableId="747579463">
    <w:abstractNumId w:val="8"/>
  </w:num>
  <w:num w:numId="3" w16cid:durableId="1376008325">
    <w:abstractNumId w:val="1"/>
  </w:num>
  <w:num w:numId="4" w16cid:durableId="79301134">
    <w:abstractNumId w:val="6"/>
  </w:num>
  <w:num w:numId="5" w16cid:durableId="453330479">
    <w:abstractNumId w:val="4"/>
  </w:num>
  <w:num w:numId="6" w16cid:durableId="1496456817">
    <w:abstractNumId w:val="5"/>
  </w:num>
  <w:num w:numId="7" w16cid:durableId="1739860165">
    <w:abstractNumId w:val="0"/>
  </w:num>
  <w:num w:numId="8" w16cid:durableId="1436555660">
    <w:abstractNumId w:val="10"/>
  </w:num>
  <w:num w:numId="9" w16cid:durableId="1702394710">
    <w:abstractNumId w:val="2"/>
  </w:num>
  <w:num w:numId="10" w16cid:durableId="1398622974">
    <w:abstractNumId w:val="3"/>
  </w:num>
  <w:num w:numId="11" w16cid:durableId="11940747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7DCD"/>
    <w:rsid w:val="0006691A"/>
    <w:rsid w:val="000E184E"/>
    <w:rsid w:val="00193CA3"/>
    <w:rsid w:val="001A55C8"/>
    <w:rsid w:val="001F29E6"/>
    <w:rsid w:val="00252C80"/>
    <w:rsid w:val="00257234"/>
    <w:rsid w:val="005B7F2D"/>
    <w:rsid w:val="005C0762"/>
    <w:rsid w:val="00650D1F"/>
    <w:rsid w:val="006A53EB"/>
    <w:rsid w:val="00804475"/>
    <w:rsid w:val="0085379B"/>
    <w:rsid w:val="008C0D83"/>
    <w:rsid w:val="008F6428"/>
    <w:rsid w:val="00907DCD"/>
    <w:rsid w:val="00920425"/>
    <w:rsid w:val="00940226"/>
    <w:rsid w:val="00985698"/>
    <w:rsid w:val="00BB545E"/>
    <w:rsid w:val="00C135CF"/>
    <w:rsid w:val="00CD5103"/>
    <w:rsid w:val="00D87060"/>
    <w:rsid w:val="00DF0231"/>
    <w:rsid w:val="00F110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AC4073"/>
  <w15:docId w15:val="{D2F6458C-93F1-4B79-A09F-DCFDBC80B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contextualSpacing/>
    </w:pPr>
    <w:rPr>
      <w:rFonts w:asciiTheme="majorHAnsi" w:eastAsiaTheme="majorEastAsia" w:hAnsiTheme="majorHAnsi" w:cstheme="majorBidi"/>
      <w:spacing w:val="-10"/>
      <w:kern w:val="28"/>
      <w:sz w:val="56"/>
      <w:szCs w:val="56"/>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TtuloCar">
    <w:name w:val="Título Car"/>
    <w:basedOn w:val="Fuentedeprrafopredeter"/>
    <w:link w:val="Ttul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rPr>
      <w:rFonts w:asciiTheme="minorHAnsi" w:eastAsiaTheme="minorEastAsia"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8E6432"/>
    <w:pPr>
      <w:spacing w:before="100" w:beforeAutospacing="1" w:after="100" w:afterAutospacing="1"/>
    </w:pPr>
    <w:rPr>
      <w:sz w:val="24"/>
      <w:szCs w:val="24"/>
      <w:lang w:eastAsia="es-MX"/>
    </w:rPr>
  </w:style>
  <w:style w:type="table" w:styleId="Tablaconcuadrcula6concolores">
    <w:name w:val="Grid Table 6 Colorful"/>
    <w:basedOn w:val="Tablanormal"/>
    <w:uiPriority w:val="51"/>
    <w:rsid w:val="008E6432"/>
    <w:rPr>
      <w:rFonts w:asciiTheme="minorHAnsi" w:eastAsiaTheme="minorEastAsia" w:hAnsiTheme="minorHAnsi" w:cstheme="minorBidi"/>
      <w:color w:val="000000" w:themeColor="text1"/>
      <w:sz w:val="24"/>
      <w:szCs w:val="24"/>
      <w:lang w:val="es-ES_tradnl" w:eastAsia="es-E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rPr>
      <w:rFonts w:asciiTheme="minorHAnsi" w:hAnsiTheme="minorHAnsi" w:cstheme="minorBidi"/>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character" w:customStyle="1" w:styleId="medium">
    <w:name w:val="medium"/>
    <w:basedOn w:val="Fuentedeprrafopredeter"/>
    <w:rsid w:val="00E04AA7"/>
  </w:style>
  <w:style w:type="paragraph" w:styleId="Textosinformato">
    <w:name w:val="Plain Text"/>
    <w:basedOn w:val="Normal"/>
    <w:link w:val="TextosinformatoCar"/>
    <w:rsid w:val="00D10EF0"/>
    <w:rPr>
      <w:rFonts w:ascii="Courier New" w:hAnsi="Courier New"/>
      <w:lang w:val="es-ES"/>
    </w:rPr>
  </w:style>
  <w:style w:type="character" w:customStyle="1" w:styleId="TextosinformatoCar">
    <w:name w:val="Texto sin formato Car"/>
    <w:basedOn w:val="Fuentedeprrafopredeter"/>
    <w:link w:val="Textosinformato"/>
    <w:rsid w:val="00D10EF0"/>
    <w:rPr>
      <w:rFonts w:ascii="Courier New" w:eastAsia="Times New Roman" w:hAnsi="Courier New"/>
      <w:lang w:val="es-ES" w:eastAsia="es-ES"/>
    </w:rPr>
  </w:style>
  <w:style w:type="paragraph" w:customStyle="1" w:styleId="p">
    <w:name w:val="p"/>
    <w:basedOn w:val="Normal"/>
    <w:rsid w:val="00F05CCB"/>
    <w:pPr>
      <w:spacing w:before="100" w:beforeAutospacing="1" w:after="100" w:afterAutospacing="1"/>
    </w:pPr>
    <w:rPr>
      <w:sz w:val="24"/>
      <w:szCs w:val="24"/>
      <w:lang w:eastAsia="es-MX"/>
    </w:rPr>
  </w:style>
  <w:style w:type="character" w:customStyle="1" w:styleId="il">
    <w:name w:val="il"/>
    <w:basedOn w:val="Fuentedeprrafopredeter"/>
    <w:rsid w:val="008B3B7F"/>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color w:val="000000"/>
      <w:sz w:val="24"/>
      <w:szCs w:val="24"/>
    </w:rPr>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color w:val="000000"/>
      <w:sz w:val="24"/>
      <w:szCs w:val="24"/>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wFgU4jUDLTwszTYSd2+sDppLYw==">CgMxLjAyCGguZ2pkZ3hzMgloLjMwajB6bGwyCWguMWZvYjl0ZTIJaC4zem55c2g3MgloLjJldDkycDAyCGgudHlqY3d0MgloLjNkeTZ2a20yCWguMXQzaDVzZjIJaC40ZDM0b2c4MgloLjJzOGV5bzEyCWguMTdkcDh2dTIJaC4zcmRjcmpuMgloLjI2aW4xcmcyCGgubG54Yno5MgloLjM1bmt1bjI4AHIhMVVGQ243bHFjR2s3RE9SbGYydWpLSHRfakcySGFfT0Nw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271A4F6-BF32-4839-A309-98F6367EA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29</Pages>
  <Words>4636</Words>
  <Characters>25503</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José Fernado Lobato Rodríguez</dc:creator>
  <cp:lastModifiedBy>inf03m612@outlook.com</cp:lastModifiedBy>
  <cp:revision>5</cp:revision>
  <dcterms:created xsi:type="dcterms:W3CDTF">2024-09-18T23:17:00Z</dcterms:created>
  <dcterms:modified xsi:type="dcterms:W3CDTF">2024-10-09T16:57:00Z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