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565" w:rsidRPr="00786FAB" w:rsidRDefault="00786FAB" w:rsidP="00786FAB">
      <w:pPr>
        <w:spacing w:line="360" w:lineRule="auto"/>
        <w:jc w:val="both"/>
        <w:rPr>
          <w:rFonts w:ascii="Palatino Linotype" w:hAnsi="Palatino Linotype"/>
          <w:sz w:val="24"/>
        </w:rPr>
      </w:pPr>
      <w:r w:rsidRPr="00786FAB">
        <w:rPr>
          <w:rFonts w:ascii="Palatino Linotype" w:hAnsi="Palatino Linotype"/>
          <w:sz w:val="24"/>
        </w:rPr>
        <w:t>Resolución del Pleno del Instituto de Transparencia, Acceso a la Información Pública y Protección de Datos Personales del Estado de México y Municipios, con domicilio en Metepec, Estado de México, a seis de noviembre de dos mil veinticuatro.</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w:t>
      </w:r>
      <w:r>
        <w:rPr>
          <w:rFonts w:ascii="Palatino Linotype" w:eastAsia="Palatino Linotype" w:hAnsi="Palatino Linotype" w:cs="Palatino Linotype"/>
          <w:color w:val="000000"/>
          <w:sz w:val="24"/>
          <w:szCs w:val="24"/>
        </w:rPr>
        <w:t xml:space="preserve"> el expediente electrónico formado con motivo del recurso de revisión número </w:t>
      </w:r>
      <w:r>
        <w:rPr>
          <w:rFonts w:ascii="Palatino Linotype" w:eastAsia="Palatino Linotype" w:hAnsi="Palatino Linotype" w:cs="Palatino Linotype"/>
          <w:b/>
          <w:color w:val="000000"/>
          <w:sz w:val="24"/>
          <w:szCs w:val="24"/>
        </w:rPr>
        <w:t>05880/INFOEM/IP/RR/2024</w:t>
      </w:r>
      <w:r>
        <w:rPr>
          <w:rFonts w:ascii="Palatino Linotype" w:eastAsia="Palatino Linotype" w:hAnsi="Palatino Linotype" w:cs="Palatino Linotype"/>
          <w:color w:val="000000"/>
          <w:sz w:val="24"/>
          <w:szCs w:val="24"/>
        </w:rPr>
        <w:t xml:space="preserve">, interpuesto por </w:t>
      </w:r>
      <w:r>
        <w:rPr>
          <w:rFonts w:ascii="Palatino Linotype" w:eastAsia="Palatino Linotype" w:hAnsi="Palatino Linotype" w:cs="Palatino Linotype"/>
          <w:b/>
          <w:color w:val="000000"/>
          <w:sz w:val="24"/>
          <w:szCs w:val="24"/>
        </w:rPr>
        <w:t>un particular que no proporciono nombre o seudónimo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 xml:space="preserve">en lo sucesivo el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en contra de la respuesta del</w:t>
      </w:r>
      <w:r>
        <w:rPr>
          <w:rFonts w:ascii="Palatino Linotype" w:eastAsia="Palatino Linotype" w:hAnsi="Palatino Linotype" w:cs="Palatino Linotype"/>
          <w:b/>
          <w:color w:val="000000"/>
          <w:sz w:val="24"/>
          <w:szCs w:val="24"/>
        </w:rPr>
        <w:t xml:space="preserve"> Ayuntamiento de </w:t>
      </w:r>
      <w:proofErr w:type="spellStart"/>
      <w:r>
        <w:rPr>
          <w:rFonts w:ascii="Palatino Linotype" w:eastAsia="Palatino Linotype" w:hAnsi="Palatino Linotype" w:cs="Palatino Linotype"/>
          <w:b/>
          <w:color w:val="000000"/>
          <w:sz w:val="24"/>
          <w:szCs w:val="24"/>
        </w:rPr>
        <w:t>Tezoyuca</w:t>
      </w:r>
      <w:proofErr w:type="spellEnd"/>
      <w:r>
        <w:rPr>
          <w:rFonts w:ascii="Palatino Linotype" w:eastAsia="Palatino Linotype" w:hAnsi="Palatino Linotype" w:cs="Palatino Linotype"/>
          <w:color w:val="000000"/>
          <w:sz w:val="24"/>
          <w:szCs w:val="24"/>
        </w:rPr>
        <w:t>, en lo subsecuente</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keepNext/>
        <w:keepLines/>
        <w:spacing w:after="0" w:line="360" w:lineRule="auto"/>
        <w:jc w:val="center"/>
        <w:rPr>
          <w:rFonts w:ascii="Palatino Linotype" w:eastAsia="Palatino Linotype" w:hAnsi="Palatino Linotype" w:cs="Palatino Linotype"/>
          <w:b/>
          <w:color w:val="000000"/>
          <w:sz w:val="32"/>
          <w:szCs w:val="32"/>
        </w:rPr>
      </w:pPr>
      <w:r>
        <w:rPr>
          <w:rFonts w:ascii="Palatino Linotype" w:eastAsia="Palatino Linotype" w:hAnsi="Palatino Linotype" w:cs="Palatino Linotype"/>
          <w:b/>
          <w:color w:val="000000"/>
          <w:sz w:val="32"/>
          <w:szCs w:val="32"/>
        </w:rPr>
        <w:t>ANTECEDENTES</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keepNext/>
        <w:keepLines/>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PRIMERO. De la Solicitud de Informac</w:t>
      </w:r>
      <w:bookmarkStart w:id="0" w:name="_GoBack"/>
      <w:bookmarkEnd w:id="0"/>
      <w:r>
        <w:rPr>
          <w:rFonts w:ascii="Palatino Linotype" w:eastAsia="Palatino Linotype" w:hAnsi="Palatino Linotype" w:cs="Palatino Linotype"/>
          <w:b/>
          <w:color w:val="000000"/>
          <w:sz w:val="28"/>
          <w:szCs w:val="28"/>
        </w:rPr>
        <w:t>ión.</w:t>
      </w: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 fecha once de septiembre de dos mil veinticuatro, el Recurrente presentó mediante el Sistema de Acceso a la Información Mexiquense (SAIMEX), solicitud de información registrada con el número de </w:t>
      </w:r>
      <w:r>
        <w:rPr>
          <w:rFonts w:ascii="Palatino Linotype" w:eastAsia="Palatino Linotype" w:hAnsi="Palatino Linotype" w:cs="Palatino Linotype"/>
          <w:sz w:val="24"/>
          <w:szCs w:val="24"/>
        </w:rPr>
        <w:t>expediente</w:t>
      </w:r>
      <w:r w:rsidR="00835B47">
        <w:rPr>
          <w:rFonts w:ascii="Verdana" w:eastAsia="Verdana" w:hAnsi="Verdana" w:cs="Verdana"/>
          <w:b/>
          <w:color w:val="FF0000"/>
          <w:sz w:val="24"/>
          <w:szCs w:val="24"/>
        </w:rPr>
        <w:t xml:space="preserve"> </w:t>
      </w:r>
      <w:r>
        <w:rPr>
          <w:rFonts w:ascii="Palatino Linotype" w:eastAsia="Palatino Linotype" w:hAnsi="Palatino Linotype" w:cs="Palatino Linotype"/>
          <w:b/>
          <w:sz w:val="24"/>
          <w:szCs w:val="24"/>
        </w:rPr>
        <w:t>00091/TEZOYUCA/IP/2024</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color w:val="000000"/>
          <w:sz w:val="24"/>
          <w:szCs w:val="24"/>
        </w:rPr>
        <w:t>mediante la cual solicitó información en el tenor siguiente:</w:t>
      </w:r>
    </w:p>
    <w:p w:rsidR="00817565" w:rsidRDefault="00817565">
      <w:pPr>
        <w:spacing w:after="0" w:line="360" w:lineRule="auto"/>
        <w:jc w:val="both"/>
        <w:rPr>
          <w:rFonts w:ascii="Palatino Linotype" w:eastAsia="Palatino Linotype" w:hAnsi="Palatino Linotype" w:cs="Palatino Linotype"/>
          <w:i/>
          <w:color w:val="000000"/>
          <w:sz w:val="24"/>
          <w:szCs w:val="24"/>
        </w:rPr>
      </w:pPr>
    </w:p>
    <w:p w:rsidR="00817565" w:rsidRDefault="00786FAB">
      <w:pPr>
        <w:spacing w:after="0"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4"/>
          <w:szCs w:val="24"/>
        </w:rPr>
        <w:t xml:space="preserve">“Solicito todos y cada uno de los contratos de cada una de las propiedades con las que cuenta el municipio de </w:t>
      </w:r>
      <w:proofErr w:type="spellStart"/>
      <w:r>
        <w:rPr>
          <w:rFonts w:ascii="Palatino Linotype" w:eastAsia="Palatino Linotype" w:hAnsi="Palatino Linotype" w:cs="Palatino Linotype"/>
          <w:i/>
          <w:color w:val="000000"/>
          <w:sz w:val="24"/>
          <w:szCs w:val="24"/>
        </w:rPr>
        <w:t>tezoyuca</w:t>
      </w:r>
      <w:proofErr w:type="spellEnd"/>
      <w:r>
        <w:rPr>
          <w:rFonts w:ascii="Palatino Linotype" w:eastAsia="Palatino Linotype" w:hAnsi="Palatino Linotype" w:cs="Palatino Linotype"/>
          <w:i/>
          <w:color w:val="000000"/>
          <w:sz w:val="24"/>
          <w:szCs w:val="24"/>
        </w:rPr>
        <w:t>, nombre, dirección.</w:t>
      </w:r>
      <w:r>
        <w:rPr>
          <w:rFonts w:ascii="Palatino Linotype" w:eastAsia="Palatino Linotype" w:hAnsi="Palatino Linotype" w:cs="Palatino Linotype"/>
          <w:i/>
          <w:color w:val="000000"/>
        </w:rPr>
        <w:t xml:space="preserve"> (Sic)</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Modalidad de entrega: </w:t>
      </w:r>
      <w:r>
        <w:rPr>
          <w:rFonts w:ascii="Palatino Linotype" w:eastAsia="Palatino Linotype" w:hAnsi="Palatino Linotype" w:cs="Palatino Linotype"/>
          <w:b/>
          <w:color w:val="000000"/>
          <w:sz w:val="24"/>
          <w:szCs w:val="24"/>
        </w:rPr>
        <w:t>A través del SAIMEX</w:t>
      </w:r>
      <w:r>
        <w:rPr>
          <w:rFonts w:ascii="Palatino Linotype" w:eastAsia="Palatino Linotype" w:hAnsi="Palatino Linotype" w:cs="Palatino Linotype"/>
          <w:color w:val="000000"/>
          <w:sz w:val="24"/>
          <w:szCs w:val="24"/>
        </w:rPr>
        <w:t>.</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keepNext/>
        <w:keepLines/>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lastRenderedPageBreak/>
        <w:t>SEGUNDO. De la respuesta del Sujeto Obligado.</w:t>
      </w: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las constancias que obran en el expediente electrónico, se observa que el veintiuno de septiembre de dos mil veinticuatro, el Sujeto Obligado dio respuesta a la solicitud de información manifestando lo siguiente:</w:t>
      </w:r>
    </w:p>
    <w:p w:rsidR="00817565" w:rsidRDefault="00817565">
      <w:pPr>
        <w:spacing w:after="0" w:line="360" w:lineRule="auto"/>
        <w:jc w:val="both"/>
        <w:rPr>
          <w:rFonts w:ascii="Palatino Linotype" w:eastAsia="Palatino Linotype" w:hAnsi="Palatino Linotype" w:cs="Palatino Linotype"/>
          <w:color w:val="000000"/>
          <w:sz w:val="24"/>
          <w:szCs w:val="24"/>
        </w:rPr>
      </w:pPr>
    </w:p>
    <w:tbl>
      <w:tblPr>
        <w:tblStyle w:val="a"/>
        <w:tblW w:w="7715" w:type="dxa"/>
        <w:jc w:val="center"/>
        <w:tblInd w:w="0" w:type="dxa"/>
        <w:tblLayout w:type="fixed"/>
        <w:tblLook w:val="0400" w:firstRow="0" w:lastRow="0" w:firstColumn="0" w:lastColumn="0" w:noHBand="0" w:noVBand="1"/>
      </w:tblPr>
      <w:tblGrid>
        <w:gridCol w:w="7715"/>
      </w:tblGrid>
      <w:tr w:rsidR="00817565">
        <w:trPr>
          <w:trHeight w:val="302"/>
          <w:jc w:val="center"/>
        </w:trPr>
        <w:tc>
          <w:tcPr>
            <w:tcW w:w="7715" w:type="dxa"/>
            <w:vAlign w:val="center"/>
          </w:tcPr>
          <w:p w:rsidR="00817565" w:rsidRDefault="00786FAB">
            <w:pPr>
              <w:spacing w:after="0" w:line="240" w:lineRule="auto"/>
              <w:jc w:val="right"/>
              <w:rPr>
                <w:rFonts w:ascii="Palatino Linotype" w:eastAsia="Palatino Linotype" w:hAnsi="Palatino Linotype" w:cs="Palatino Linotype"/>
                <w:i/>
              </w:rPr>
            </w:pPr>
            <w:proofErr w:type="spellStart"/>
            <w:r>
              <w:rPr>
                <w:rFonts w:ascii="Palatino Linotype" w:eastAsia="Palatino Linotype" w:hAnsi="Palatino Linotype" w:cs="Palatino Linotype"/>
                <w:i/>
              </w:rPr>
              <w:t>Tezoyuca</w:t>
            </w:r>
            <w:proofErr w:type="spellEnd"/>
            <w:r>
              <w:rPr>
                <w:rFonts w:ascii="Palatino Linotype" w:eastAsia="Palatino Linotype" w:hAnsi="Palatino Linotype" w:cs="Palatino Linotype"/>
                <w:i/>
              </w:rPr>
              <w:t>, México a 21 de Septiembre de 2024</w:t>
            </w:r>
          </w:p>
        </w:tc>
      </w:tr>
      <w:tr w:rsidR="00817565">
        <w:trPr>
          <w:trHeight w:val="302"/>
          <w:jc w:val="center"/>
        </w:trPr>
        <w:tc>
          <w:tcPr>
            <w:tcW w:w="7715" w:type="dxa"/>
            <w:vAlign w:val="center"/>
          </w:tcPr>
          <w:p w:rsidR="00817565" w:rsidRDefault="00786FAB">
            <w:pPr>
              <w:spacing w:after="0" w:line="240" w:lineRule="auto"/>
              <w:jc w:val="right"/>
              <w:rPr>
                <w:rFonts w:ascii="Palatino Linotype" w:eastAsia="Palatino Linotype" w:hAnsi="Palatino Linotype" w:cs="Palatino Linotype"/>
                <w:i/>
              </w:rPr>
            </w:pPr>
            <w:r>
              <w:rPr>
                <w:rFonts w:ascii="Palatino Linotype" w:eastAsia="Palatino Linotype" w:hAnsi="Palatino Linotype" w:cs="Palatino Linotype"/>
                <w:i/>
              </w:rPr>
              <w:t>Nombre del solicitante: C. Solicitante</w:t>
            </w:r>
          </w:p>
        </w:tc>
      </w:tr>
      <w:tr w:rsidR="00817565">
        <w:trPr>
          <w:trHeight w:val="302"/>
          <w:jc w:val="center"/>
        </w:trPr>
        <w:tc>
          <w:tcPr>
            <w:tcW w:w="7715" w:type="dxa"/>
            <w:vAlign w:val="center"/>
          </w:tcPr>
          <w:p w:rsidR="00817565" w:rsidRDefault="00786FAB">
            <w:pPr>
              <w:spacing w:after="0" w:line="240" w:lineRule="auto"/>
              <w:jc w:val="right"/>
              <w:rPr>
                <w:rFonts w:ascii="Palatino Linotype" w:eastAsia="Palatino Linotype" w:hAnsi="Palatino Linotype" w:cs="Palatino Linotype"/>
                <w:i/>
              </w:rPr>
            </w:pPr>
            <w:r>
              <w:rPr>
                <w:rFonts w:ascii="Palatino Linotype" w:eastAsia="Palatino Linotype" w:hAnsi="Palatino Linotype" w:cs="Palatino Linotype"/>
                <w:i/>
              </w:rPr>
              <w:t>Folio de la solicitud: 00091/TEZOYUCA/IP/2024</w:t>
            </w:r>
          </w:p>
        </w:tc>
      </w:tr>
      <w:tr w:rsidR="00817565">
        <w:trPr>
          <w:trHeight w:val="453"/>
          <w:jc w:val="center"/>
        </w:trPr>
        <w:tc>
          <w:tcPr>
            <w:tcW w:w="7715" w:type="dxa"/>
            <w:vAlign w:val="center"/>
          </w:tcPr>
          <w:p w:rsidR="00817565" w:rsidRDefault="00817565">
            <w:pPr>
              <w:spacing w:after="0" w:line="240" w:lineRule="auto"/>
              <w:jc w:val="right"/>
              <w:rPr>
                <w:rFonts w:ascii="Palatino Linotype" w:eastAsia="Palatino Linotype" w:hAnsi="Palatino Linotype" w:cs="Palatino Linotype"/>
                <w:i/>
              </w:rPr>
            </w:pPr>
          </w:p>
        </w:tc>
      </w:tr>
      <w:tr w:rsidR="00817565">
        <w:trPr>
          <w:trHeight w:val="151"/>
          <w:jc w:val="center"/>
        </w:trPr>
        <w:tc>
          <w:tcPr>
            <w:tcW w:w="7715" w:type="dxa"/>
            <w:vAlign w:val="center"/>
          </w:tcPr>
          <w:p w:rsidR="00817565" w:rsidRDefault="00786FAB">
            <w:pPr>
              <w:spacing w:after="0" w:line="240" w:lineRule="auto"/>
              <w:rPr>
                <w:rFonts w:ascii="Palatino Linotype" w:eastAsia="Palatino Linotype" w:hAnsi="Palatino Linotype" w:cs="Palatino Linotype"/>
                <w:i/>
              </w:rPr>
            </w:pPr>
            <w:r>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817565">
        <w:trPr>
          <w:trHeight w:val="145"/>
          <w:jc w:val="center"/>
        </w:trPr>
        <w:tc>
          <w:tcPr>
            <w:tcW w:w="7715" w:type="dxa"/>
            <w:vAlign w:val="center"/>
          </w:tcPr>
          <w:p w:rsidR="00817565" w:rsidRDefault="00817565">
            <w:pPr>
              <w:spacing w:after="0" w:line="240" w:lineRule="auto"/>
              <w:rPr>
                <w:rFonts w:ascii="Palatino Linotype" w:eastAsia="Palatino Linotype" w:hAnsi="Palatino Linotype" w:cs="Palatino Linotype"/>
                <w:i/>
              </w:rPr>
            </w:pPr>
          </w:p>
        </w:tc>
      </w:tr>
    </w:tbl>
    <w:p w:rsidR="00817565" w:rsidRDefault="00817565">
      <w:pPr>
        <w:spacing w:after="0" w:line="360" w:lineRule="auto"/>
        <w:jc w:val="both"/>
        <w:rPr>
          <w:rFonts w:ascii="Palatino Linotype" w:eastAsia="Palatino Linotype" w:hAnsi="Palatino Linotype" w:cs="Palatino Linotype"/>
          <w:i/>
          <w:color w:val="000000"/>
        </w:rPr>
      </w:pPr>
    </w:p>
    <w:p w:rsidR="00817565" w:rsidRDefault="00786FAB">
      <w:pPr>
        <w:spacing w:after="0" w:line="360"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color w:val="000000"/>
          <w:sz w:val="24"/>
          <w:szCs w:val="24"/>
        </w:rPr>
        <w:t xml:space="preserve">El Sujeto Obligado, adjuntó a su respuesta el documento denominado </w:t>
      </w: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IMG_20240921_0008.pdf”,</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los cuales </w:t>
      </w:r>
      <w:r>
        <w:rPr>
          <w:rFonts w:ascii="Palatino Linotype" w:eastAsia="Palatino Linotype" w:hAnsi="Palatino Linotype" w:cs="Palatino Linotype"/>
          <w:color w:val="000000"/>
          <w:sz w:val="24"/>
          <w:szCs w:val="24"/>
        </w:rPr>
        <w:t>no se reproducen por ser del conocimiento de las partes; no obstante, su contenido será motivo de análisis en el estudio correspondiente.</w:t>
      </w:r>
    </w:p>
    <w:p w:rsidR="00817565" w:rsidRDefault="00817565">
      <w:pPr>
        <w:spacing w:after="0" w:line="360" w:lineRule="auto"/>
        <w:jc w:val="both"/>
        <w:rPr>
          <w:rFonts w:ascii="Palatino Linotype" w:eastAsia="Palatino Linotype" w:hAnsi="Palatino Linotype" w:cs="Palatino Linotype"/>
          <w:sz w:val="24"/>
          <w:szCs w:val="24"/>
        </w:rPr>
      </w:pPr>
    </w:p>
    <w:p w:rsidR="00817565" w:rsidRDefault="00786FAB">
      <w:pPr>
        <w:keepNext/>
        <w:keepLines/>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TERCERO. Del recurso de revisión.</w:t>
      </w: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Inconforme con la respuesta emitida por el Sujeto Obligado, el Recurrente interpuso el presente recurso de revisión el día veintiséis de septiembre de dos mil veinticuatro, el cual se registró con el expediente número </w:t>
      </w:r>
      <w:r>
        <w:rPr>
          <w:rFonts w:ascii="Palatino Linotype" w:eastAsia="Palatino Linotype" w:hAnsi="Palatino Linotype" w:cs="Palatino Linotype"/>
          <w:b/>
          <w:color w:val="000000"/>
          <w:sz w:val="24"/>
          <w:szCs w:val="24"/>
        </w:rPr>
        <w:t>05880/INFOEM/IP/RR/2024</w:t>
      </w:r>
      <w:r>
        <w:rPr>
          <w:rFonts w:ascii="Palatino Linotype" w:eastAsia="Palatino Linotype" w:hAnsi="Palatino Linotype" w:cs="Palatino Linotype"/>
          <w:color w:val="000000"/>
          <w:sz w:val="24"/>
          <w:szCs w:val="24"/>
        </w:rPr>
        <w:t>, manifestando lo siguiente:</w:t>
      </w:r>
    </w:p>
    <w:p w:rsidR="00817565" w:rsidRDefault="00786FAB">
      <w:pPr>
        <w:numPr>
          <w:ilvl w:val="0"/>
          <w:numId w:val="9"/>
        </w:numPr>
        <w:pBdr>
          <w:top w:val="nil"/>
          <w:left w:val="nil"/>
          <w:bottom w:val="nil"/>
          <w:right w:val="nil"/>
          <w:between w:val="nil"/>
        </w:pBdr>
        <w:spacing w:after="0" w:line="360" w:lineRule="auto"/>
        <w:ind w:right="56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lastRenderedPageBreak/>
        <w:t>Acto Impugnado y Motivos de Inconformidad</w:t>
      </w: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b/>
          <w:i/>
          <w:color w:val="000000"/>
          <w:sz w:val="24"/>
          <w:szCs w:val="24"/>
        </w:rPr>
        <w:t xml:space="preserve">: </w:t>
      </w:r>
      <w:r>
        <w:rPr>
          <w:rFonts w:ascii="Palatino Linotype" w:eastAsia="Palatino Linotype" w:hAnsi="Palatino Linotype" w:cs="Palatino Linotype"/>
          <w:i/>
          <w:color w:val="000000"/>
          <w:sz w:val="24"/>
          <w:szCs w:val="24"/>
        </w:rPr>
        <w:t xml:space="preserve">“Por lo visto la titular no sabe leer así mismo le solicito la entrega de la información tal y </w:t>
      </w:r>
      <w:proofErr w:type="spellStart"/>
      <w:r>
        <w:rPr>
          <w:rFonts w:ascii="Palatino Linotype" w:eastAsia="Palatino Linotype" w:hAnsi="Palatino Linotype" w:cs="Palatino Linotype"/>
          <w:i/>
          <w:color w:val="000000"/>
          <w:sz w:val="24"/>
          <w:szCs w:val="24"/>
        </w:rPr>
        <w:t>cuál</w:t>
      </w:r>
      <w:proofErr w:type="spellEnd"/>
      <w:r>
        <w:rPr>
          <w:rFonts w:ascii="Palatino Linotype" w:eastAsia="Palatino Linotype" w:hAnsi="Palatino Linotype" w:cs="Palatino Linotype"/>
          <w:i/>
          <w:color w:val="000000"/>
          <w:sz w:val="24"/>
          <w:szCs w:val="24"/>
        </w:rPr>
        <w:t xml:space="preserve"> lo estoy solicitando vía </w:t>
      </w:r>
      <w:proofErr w:type="spellStart"/>
      <w:r>
        <w:rPr>
          <w:rFonts w:ascii="Palatino Linotype" w:eastAsia="Palatino Linotype" w:hAnsi="Palatino Linotype" w:cs="Palatino Linotype"/>
          <w:i/>
          <w:color w:val="000000"/>
          <w:sz w:val="24"/>
          <w:szCs w:val="24"/>
        </w:rPr>
        <w:t>saimex</w:t>
      </w:r>
      <w:proofErr w:type="spellEnd"/>
      <w:r>
        <w:rPr>
          <w:rFonts w:ascii="Palatino Linotype" w:eastAsia="Palatino Linotype" w:hAnsi="Palatino Linotype" w:cs="Palatino Linotype"/>
          <w:i/>
          <w:color w:val="000000"/>
          <w:sz w:val="24"/>
          <w:szCs w:val="24"/>
        </w:rPr>
        <w:t xml:space="preserve"> “ (Sic)</w:t>
      </w:r>
    </w:p>
    <w:p w:rsidR="00835B47" w:rsidRDefault="00835B47" w:rsidP="00835B47">
      <w:pPr>
        <w:pBdr>
          <w:top w:val="nil"/>
          <w:left w:val="nil"/>
          <w:bottom w:val="nil"/>
          <w:right w:val="nil"/>
          <w:between w:val="nil"/>
        </w:pBdr>
        <w:spacing w:after="0" w:line="360" w:lineRule="auto"/>
        <w:ind w:left="785" w:right="567"/>
        <w:jc w:val="both"/>
        <w:rPr>
          <w:rFonts w:ascii="Palatino Linotype" w:eastAsia="Palatino Linotype" w:hAnsi="Palatino Linotype" w:cs="Palatino Linotype"/>
          <w:i/>
          <w:color w:val="000000"/>
          <w:sz w:val="24"/>
          <w:szCs w:val="24"/>
        </w:rPr>
      </w:pPr>
    </w:p>
    <w:p w:rsidR="00817565" w:rsidRDefault="00786FAB">
      <w:pPr>
        <w:keepNext/>
        <w:keepLines/>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CUARTO. Del turno y admisión del recurso de revisión.</w:t>
      </w: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Medio de impugnación que le fue turnado al </w:t>
      </w:r>
      <w:r>
        <w:rPr>
          <w:rFonts w:ascii="Palatino Linotype" w:eastAsia="Palatino Linotype" w:hAnsi="Palatino Linotype" w:cs="Palatino Linotype"/>
          <w:b/>
          <w:color w:val="000000"/>
          <w:sz w:val="24"/>
          <w:szCs w:val="24"/>
        </w:rPr>
        <w:t>Comisionado Presidente José Martínez Vilchis</w:t>
      </w:r>
      <w:r>
        <w:rPr>
          <w:rFonts w:ascii="Palatino Linotype" w:eastAsia="Palatino Linotype" w:hAnsi="Palatino Linotype" w:cs="Palatino Linotype"/>
          <w:color w:val="000000"/>
          <w:sz w:val="24"/>
          <w:szCs w:val="24"/>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Palatino Linotype" w:hAnsi="Palatino Linotype" w:cs="Palatino Linotype"/>
          <w:b/>
          <w:color w:val="000000"/>
          <w:sz w:val="24"/>
          <w:szCs w:val="24"/>
        </w:rPr>
        <w:t xml:space="preserve"> tres de octubre de dos mil veinticuatro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otorgándose</w:t>
      </w:r>
      <w:r>
        <w:rPr>
          <w:rFonts w:ascii="Palatino Linotype" w:eastAsia="Palatino Linotype" w:hAnsi="Palatino Linotype" w:cs="Palatino Linotype"/>
          <w:color w:val="000000"/>
          <w:sz w:val="24"/>
          <w:szCs w:val="24"/>
        </w:rPr>
        <w:t xml:space="preserve"> en él un plazo de siete días para que las partes manifestaran lo que a su derecho corresponda en términos del numeral ya citado.</w:t>
      </w:r>
    </w:p>
    <w:p w:rsidR="00817565" w:rsidRDefault="00817565">
      <w:pPr>
        <w:spacing w:after="0" w:line="360" w:lineRule="auto"/>
        <w:jc w:val="both"/>
        <w:rPr>
          <w:rFonts w:ascii="Palatino Linotype" w:eastAsia="Palatino Linotype" w:hAnsi="Palatino Linotype" w:cs="Palatino Linotype"/>
          <w:color w:val="000000"/>
          <w:sz w:val="28"/>
          <w:szCs w:val="28"/>
        </w:rPr>
      </w:pPr>
    </w:p>
    <w:p w:rsidR="00817565" w:rsidRDefault="00786FAB">
      <w:pPr>
        <w:keepNext/>
        <w:keepLines/>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QUINTO. De la etapa de instrucción.</w:t>
      </w: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Una vez abierta la etapa de instrucción, el Sujeto Obligado rindió su informe justificado en fecha </w:t>
      </w:r>
      <w:r>
        <w:rPr>
          <w:rFonts w:ascii="Palatino Linotype" w:eastAsia="Palatino Linotype" w:hAnsi="Palatino Linotype" w:cs="Palatino Linotype"/>
          <w:b/>
          <w:color w:val="000000"/>
          <w:sz w:val="24"/>
          <w:szCs w:val="24"/>
        </w:rPr>
        <w:t>once de septiembre de dos mil veinticuatro</w:t>
      </w:r>
      <w:r>
        <w:rPr>
          <w:rFonts w:ascii="Palatino Linotype" w:eastAsia="Palatino Linotype" w:hAnsi="Palatino Linotype" w:cs="Palatino Linotype"/>
          <w:color w:val="000000"/>
          <w:sz w:val="24"/>
          <w:szCs w:val="24"/>
        </w:rPr>
        <w:t xml:space="preserve">, por lo que en fecha </w:t>
      </w:r>
      <w:r>
        <w:rPr>
          <w:rFonts w:ascii="Palatino Linotype" w:eastAsia="Palatino Linotype" w:hAnsi="Palatino Linotype" w:cs="Palatino Linotype"/>
          <w:b/>
          <w:color w:val="000000"/>
          <w:sz w:val="24"/>
          <w:szCs w:val="24"/>
        </w:rPr>
        <w:t>quince de octubre de dos mil veinticuatro</w:t>
      </w:r>
      <w:r>
        <w:rPr>
          <w:rFonts w:ascii="Palatino Linotype" w:eastAsia="Palatino Linotype" w:hAnsi="Palatino Linotype" w:cs="Palatino Linotype"/>
          <w:color w:val="000000"/>
          <w:sz w:val="24"/>
          <w:szCs w:val="24"/>
        </w:rPr>
        <w:t xml:space="preserve"> fue puesto a la vista del Recurrente para que rindiera sus manifestaciones, los cuales no se reproducen por ser del conocimiento de las partes pero serán motivo de análisis en el considerando respectivo. Por su parte, el Recurrente no realizó manifestaciones, vertió alegatos ni presentó pruebas que a su derecho convinieran. </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35B47" w:rsidRDefault="00835B47">
      <w:pPr>
        <w:spacing w:after="0" w:line="360" w:lineRule="auto"/>
        <w:jc w:val="both"/>
        <w:rPr>
          <w:rFonts w:ascii="Palatino Linotype" w:eastAsia="Palatino Linotype" w:hAnsi="Palatino Linotype" w:cs="Palatino Linotype"/>
          <w:color w:val="000000"/>
          <w:sz w:val="24"/>
          <w:szCs w:val="24"/>
        </w:rPr>
      </w:pPr>
    </w:p>
    <w:p w:rsidR="00835B47" w:rsidRDefault="00835B47">
      <w:pPr>
        <w:spacing w:after="0" w:line="360" w:lineRule="auto"/>
        <w:jc w:val="both"/>
        <w:rPr>
          <w:rFonts w:ascii="Palatino Linotype" w:eastAsia="Palatino Linotype" w:hAnsi="Palatino Linotype" w:cs="Palatino Linotype"/>
          <w:color w:val="000000"/>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8"/>
          <w:szCs w:val="28"/>
        </w:rPr>
        <w:lastRenderedPageBreak/>
        <w:t>SEXTO. Del cierre de instrucción.</w:t>
      </w: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una vez transcurrido el término legal, se decretó el cierre de instrucción en fecha</w:t>
      </w:r>
      <w:r>
        <w:rPr>
          <w:rFonts w:ascii="Palatino Linotype" w:eastAsia="Palatino Linotype" w:hAnsi="Palatino Linotype" w:cs="Palatino Linotype"/>
          <w:b/>
          <w:color w:val="000000"/>
          <w:sz w:val="24"/>
          <w:szCs w:val="24"/>
        </w:rPr>
        <w:t xml:space="preserve"> veintiuno de octubre de dos mil veinticuatro</w:t>
      </w:r>
      <w:r>
        <w:rPr>
          <w:rFonts w:ascii="Palatino Linotype" w:eastAsia="Palatino Linotype" w:hAnsi="Palatino Linotype" w:cs="Palatino Linotype"/>
          <w:color w:val="000000"/>
          <w:sz w:val="24"/>
          <w:szCs w:val="24"/>
        </w:rPr>
        <w:t>, en términos del artículo 185 fracción VI de la Ley de Transparencia y Acceso a la Información Pública del Estado de México y Municipios, iniciando el término legal para dictar resolución definitiva del asunto.</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keepNext/>
        <w:keepLines/>
        <w:spacing w:after="0" w:line="360" w:lineRule="auto"/>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C  O   N   S   I   D  E   R  A   N   D   O</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keepNext/>
        <w:keepLines/>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PRIMERO. De la competencia.</w:t>
      </w: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keepNext/>
        <w:keepLines/>
        <w:spacing w:after="0"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 xml:space="preserve">SEGUNDO. Sobre los alcances del recurso de revisión. </w:t>
      </w:r>
    </w:p>
    <w:p w:rsidR="00817565" w:rsidRDefault="00786FA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817565" w:rsidRDefault="00786FAB">
      <w:pPr>
        <w:spacing w:before="240" w:line="360" w:lineRule="auto"/>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 xml:space="preserve">TERCERO. De las causas de improcedencia. </w:t>
      </w: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el procedimiento de acceso a la información y de los medios de impugnación de la materia, se advierten diversos supuestos de </w:t>
      </w:r>
      <w:proofErr w:type="spellStart"/>
      <w:r>
        <w:rPr>
          <w:rFonts w:ascii="Palatino Linotype" w:eastAsia="Palatino Linotype" w:hAnsi="Palatino Linotype" w:cs="Palatino Linotype"/>
          <w:color w:val="000000"/>
          <w:sz w:val="24"/>
          <w:szCs w:val="24"/>
        </w:rPr>
        <w:t>procedibilidad</w:t>
      </w:r>
      <w:proofErr w:type="spellEnd"/>
      <w:r>
        <w:rPr>
          <w:rFonts w:ascii="Palatino Linotype" w:eastAsia="Palatino Linotype" w:hAnsi="Palatino Linotype" w:cs="Palatino Linotype"/>
          <w:color w:val="000000"/>
          <w:sz w:val="24"/>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anterior, es una facultad legal entrar al estudio de las causas de improcedencia que hagan valer las partes o que se adviertan de oficio por este </w:t>
      </w:r>
      <w:proofErr w:type="spellStart"/>
      <w:r>
        <w:rPr>
          <w:rFonts w:ascii="Palatino Linotype" w:eastAsia="Palatino Linotype" w:hAnsi="Palatino Linotype" w:cs="Palatino Linotype"/>
          <w:color w:val="000000"/>
          <w:sz w:val="24"/>
          <w:szCs w:val="24"/>
        </w:rPr>
        <w:t>Resolutor</w:t>
      </w:r>
      <w:proofErr w:type="spellEnd"/>
      <w:r>
        <w:rPr>
          <w:rFonts w:ascii="Palatino Linotype" w:eastAsia="Palatino Linotype" w:hAnsi="Palatino Linotype" w:cs="Palatino Linotype"/>
          <w:color w:val="000000"/>
          <w:sz w:val="24"/>
          <w:szCs w:val="24"/>
        </w:rPr>
        <w:t xml:space="preserve"> y por ende objeto de análisis previo al estudio de fondo del asunto; presupuestos procesales de inicio o trámite de un proceso que dotan de seguridad jurídica las resoluciones, máxime que es </w:t>
      </w:r>
      <w:r>
        <w:rPr>
          <w:rFonts w:ascii="Palatino Linotype" w:eastAsia="Palatino Linotype" w:hAnsi="Palatino Linotype" w:cs="Palatino Linotype"/>
          <w:color w:val="000000"/>
          <w:sz w:val="24"/>
          <w:szCs w:val="24"/>
        </w:rPr>
        <w:lastRenderedPageBreak/>
        <w:t>una figura procesal adoptada en la ley de la materia</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 la cual permite dilucidar alguna causal que impida el estudio y resolución, cuando una vez admitido el recurso de revisión se advierta una causa de improcedencia que permita sobreseerlo, sin estudiar el fondo del asunto.</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rsidP="00835B47">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817565" w:rsidRDefault="00786FAB">
      <w:pPr>
        <w:spacing w:before="80"/>
        <w:rPr>
          <w:rFonts w:ascii="Palatino Linotype" w:eastAsia="Palatino Linotype" w:hAnsi="Palatino Linotype" w:cs="Palatino Linotype"/>
          <w:b/>
        </w:rPr>
      </w:pPr>
      <w:r>
        <w:rPr>
          <w:rFonts w:ascii="Palatino Linotype" w:eastAsia="Palatino Linotype" w:hAnsi="Palatino Linotype" w:cs="Palatino Linotype"/>
          <w:b/>
          <w:sz w:val="28"/>
          <w:szCs w:val="28"/>
        </w:rPr>
        <w:lastRenderedPageBreak/>
        <w:t>TERCERO. Cuestiones de previo y especial pronunciamiento</w:t>
      </w:r>
    </w:p>
    <w:p w:rsidR="00817565" w:rsidRDefault="00786FAB">
      <w:pPr>
        <w:spacing w:before="240" w:line="360" w:lineRule="auto"/>
        <w:jc w:val="both"/>
        <w:rPr>
          <w:rFonts w:ascii="Palatino Linotype" w:eastAsia="Palatino Linotype" w:hAnsi="Palatino Linotype" w:cs="Palatino Linotype"/>
        </w:rPr>
      </w:pPr>
      <w:r>
        <w:rPr>
          <w:rFonts w:ascii="Palatino Linotype" w:eastAsia="Palatino Linotype" w:hAnsi="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rsidR="00817565" w:rsidRDefault="00786FAB">
      <w:pPr>
        <w:spacing w:before="240" w:line="360" w:lineRule="auto"/>
        <w:ind w:left="360" w:firstLine="348"/>
        <w:jc w:val="both"/>
        <w:rPr>
          <w:rFonts w:ascii="Palatino Linotype" w:eastAsia="Palatino Linotype" w:hAnsi="Palatino Linotype" w:cs="Palatino Linotype"/>
          <w:i/>
        </w:rPr>
      </w:pPr>
      <w:r>
        <w:rPr>
          <w:rFonts w:ascii="Palatino Linotype" w:eastAsia="Palatino Linotype" w:hAnsi="Palatino Linotype" w:cs="Palatino Linotype"/>
          <w:i/>
        </w:rPr>
        <w:t>“Artículo 180. El recurso de revisión contendrá:</w:t>
      </w:r>
    </w:p>
    <w:p w:rsidR="00817565" w:rsidRDefault="00786FAB">
      <w:pPr>
        <w:numPr>
          <w:ilvl w:val="0"/>
          <w:numId w:val="8"/>
        </w:numPr>
        <w:spacing w:before="240"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EL sujeto obligado ante la cual se presentó la solicitud;</w:t>
      </w:r>
    </w:p>
    <w:p w:rsidR="00817565" w:rsidRDefault="00786FAB">
      <w:pPr>
        <w:numPr>
          <w:ilvl w:val="0"/>
          <w:numId w:val="8"/>
        </w:numPr>
        <w:spacing w:before="240"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El nombre del solicitante que recurre o de su representante y, en su caso, del tercero interesado, así como la dirección o medio que señale para recibir notificaciones;</w:t>
      </w:r>
    </w:p>
    <w:p w:rsidR="00817565" w:rsidRDefault="00786FAB">
      <w:pPr>
        <w:numPr>
          <w:ilvl w:val="0"/>
          <w:numId w:val="8"/>
        </w:numPr>
        <w:spacing w:before="240"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El número de folio de respuesta de la solicitud de acceso;</w:t>
      </w:r>
    </w:p>
    <w:p w:rsidR="00817565" w:rsidRDefault="00786FAB">
      <w:pPr>
        <w:spacing w:before="240" w:line="360" w:lineRule="auto"/>
        <w:ind w:left="1080"/>
        <w:jc w:val="both"/>
        <w:rPr>
          <w:rFonts w:ascii="Palatino Linotype" w:eastAsia="Palatino Linotype" w:hAnsi="Palatino Linotype" w:cs="Palatino Linotype"/>
          <w:i/>
        </w:rPr>
      </w:pPr>
      <w:r>
        <w:rPr>
          <w:rFonts w:ascii="Palatino Linotype" w:eastAsia="Palatino Linotype" w:hAnsi="Palatino Linotype" w:cs="Palatino Linotype"/>
          <w:i/>
        </w:rPr>
        <w:t>IV. La fecha en que fue notificada la respuesta al solicitante o tuvo conocimiento del acto reclamado, o de presentación de la solicitud, en caso de falta de respuesta;</w:t>
      </w:r>
    </w:p>
    <w:p w:rsidR="00817565" w:rsidRDefault="00786FAB">
      <w:pPr>
        <w:spacing w:before="240" w:line="360" w:lineRule="auto"/>
        <w:ind w:left="732" w:firstLine="348"/>
        <w:jc w:val="both"/>
        <w:rPr>
          <w:rFonts w:ascii="Palatino Linotype" w:eastAsia="Palatino Linotype" w:hAnsi="Palatino Linotype" w:cs="Palatino Linotype"/>
          <w:i/>
        </w:rPr>
      </w:pPr>
      <w:r>
        <w:rPr>
          <w:rFonts w:ascii="Palatino Linotype" w:eastAsia="Palatino Linotype" w:hAnsi="Palatino Linotype" w:cs="Palatino Linotype"/>
          <w:i/>
        </w:rPr>
        <w:t>V. El acto que se recurre;</w:t>
      </w:r>
    </w:p>
    <w:p w:rsidR="00817565" w:rsidRDefault="00786FAB">
      <w:pPr>
        <w:spacing w:before="240" w:line="360" w:lineRule="auto"/>
        <w:ind w:left="732" w:firstLine="348"/>
        <w:jc w:val="both"/>
        <w:rPr>
          <w:rFonts w:ascii="Palatino Linotype" w:eastAsia="Palatino Linotype" w:hAnsi="Palatino Linotype" w:cs="Palatino Linotype"/>
          <w:i/>
        </w:rPr>
      </w:pPr>
      <w:r>
        <w:rPr>
          <w:rFonts w:ascii="Palatino Linotype" w:eastAsia="Palatino Linotype" w:hAnsi="Palatino Linotype" w:cs="Palatino Linotype"/>
          <w:i/>
        </w:rPr>
        <w:t>VI. Las razones o motivos de inconformidad;</w:t>
      </w:r>
    </w:p>
    <w:p w:rsidR="00817565" w:rsidRDefault="00786FAB">
      <w:pPr>
        <w:spacing w:before="240" w:line="360" w:lineRule="auto"/>
        <w:ind w:left="1080"/>
        <w:jc w:val="both"/>
        <w:rPr>
          <w:rFonts w:ascii="Palatino Linotype" w:eastAsia="Palatino Linotype" w:hAnsi="Palatino Linotype" w:cs="Palatino Linotype"/>
          <w:i/>
        </w:rPr>
      </w:pPr>
      <w:r>
        <w:rPr>
          <w:rFonts w:ascii="Palatino Linotype" w:eastAsia="Palatino Linotype" w:hAnsi="Palatino Linotype" w:cs="Palatino Linotype"/>
          <w:i/>
        </w:rPr>
        <w:t>VII. La copia de la respuesta que se impugna y, en su caso, de la notificación correspondiente, en el caso de respuesta de la solicitud; y</w:t>
      </w:r>
    </w:p>
    <w:p w:rsidR="00817565" w:rsidRDefault="00786FAB">
      <w:pPr>
        <w:spacing w:before="240" w:line="360" w:lineRule="auto"/>
        <w:ind w:left="732" w:firstLine="348"/>
        <w:jc w:val="both"/>
        <w:rPr>
          <w:rFonts w:ascii="Palatino Linotype" w:eastAsia="Palatino Linotype" w:hAnsi="Palatino Linotype" w:cs="Palatino Linotype"/>
          <w:i/>
        </w:rPr>
      </w:pPr>
      <w:r>
        <w:rPr>
          <w:rFonts w:ascii="Palatino Linotype" w:eastAsia="Palatino Linotype" w:hAnsi="Palatino Linotype" w:cs="Palatino Linotype"/>
          <w:i/>
        </w:rPr>
        <w:t>VIII. Firma del recurrente, en su caso, cuando se presente por escrito, requisito sin el cual se dará trámite al recurso.</w:t>
      </w:r>
    </w:p>
    <w:p w:rsidR="00817565" w:rsidRDefault="00786FAB">
      <w:pPr>
        <w:spacing w:before="240" w:line="360" w:lineRule="auto"/>
        <w:ind w:left="1080"/>
        <w:jc w:val="both"/>
        <w:rPr>
          <w:rFonts w:ascii="Palatino Linotype" w:eastAsia="Palatino Linotype" w:hAnsi="Palatino Linotype" w:cs="Palatino Linotype"/>
          <w:i/>
        </w:rPr>
      </w:pPr>
      <w:r>
        <w:rPr>
          <w:rFonts w:ascii="Palatino Linotype" w:eastAsia="Palatino Linotype" w:hAnsi="Palatino Linotype" w:cs="Palatino Linotype"/>
          <w:i/>
        </w:rPr>
        <w:t>Adicionalmente, se podrán anexar las pruebas y demás elementos que considere procedentes someter a juicio del Instituto.</w:t>
      </w:r>
    </w:p>
    <w:p w:rsidR="00817565" w:rsidRDefault="00786FAB">
      <w:pPr>
        <w:spacing w:before="240" w:line="360" w:lineRule="auto"/>
        <w:ind w:left="732" w:firstLine="34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En ningún caso será necesario que el particular ratifique el recurso de revisión interpuesto.</w:t>
      </w:r>
    </w:p>
    <w:p w:rsidR="00817565" w:rsidRDefault="00786FAB">
      <w:pPr>
        <w:spacing w:before="240" w:line="360" w:lineRule="auto"/>
        <w:ind w:left="108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En caso de que el recurso se interponga de manera electrónica no será indispensable que contengan los requisitos establecidos en las fracciones II, IV, VII y VIII.” [Sic]</w:t>
      </w:r>
    </w:p>
    <w:p w:rsidR="00817565" w:rsidRDefault="00786FA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Cabe señalar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rsidR="00817565" w:rsidRDefault="00786FAB">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Pr>
          <w:rFonts w:ascii="Palatino Linotype" w:eastAsia="Palatino Linotype" w:hAnsi="Palatino Linotype" w:cs="Palatino Linotype"/>
          <w:b/>
          <w:i/>
        </w:rPr>
        <w:t>[Sic]</w:t>
      </w:r>
    </w:p>
    <w:p w:rsidR="00817565" w:rsidRDefault="00817565">
      <w:pPr>
        <w:spacing w:before="240" w:line="360" w:lineRule="auto"/>
        <w:ind w:left="851" w:right="851"/>
        <w:jc w:val="both"/>
        <w:rPr>
          <w:rFonts w:ascii="Palatino Linotype" w:eastAsia="Palatino Linotype" w:hAnsi="Palatino Linotype" w:cs="Palatino Linotype"/>
          <w:b/>
          <w:i/>
        </w:rPr>
      </w:pPr>
    </w:p>
    <w:p w:rsidR="00817565" w:rsidRDefault="00786FA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Robustece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rsidR="00817565" w:rsidRDefault="00786FAB">
      <w:pPr>
        <w:spacing w:before="240" w:line="360" w:lineRule="auto"/>
        <w:ind w:left="851" w:right="851"/>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Constitución Política de los Estados Unidos Mexicanos</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“Artículo 6</w:t>
      </w:r>
      <w:r>
        <w:rPr>
          <w:rFonts w:ascii="Palatino Linotype" w:eastAsia="Palatino Linotype" w:hAnsi="Palatino Linotype" w:cs="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Para efectos de lo dispuesto en el presente artículo se observará lo siguiente: </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p>
    <w:p w:rsidR="00817565" w:rsidRDefault="00786FAB">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i/>
        </w:rPr>
        <w:t xml:space="preserve">IV. Se establecerán mecanismos de acceso a la información y procedimientos de revisión expeditos que se sustanciarán ante los organismos autónomos especializados e imparciales que establece esta Constitución.” </w:t>
      </w:r>
      <w:r>
        <w:rPr>
          <w:rFonts w:ascii="Palatino Linotype" w:eastAsia="Palatino Linotype" w:hAnsi="Palatino Linotype" w:cs="Palatino Linotype"/>
          <w:b/>
          <w:i/>
        </w:rPr>
        <w:t>[Sic]</w:t>
      </w:r>
    </w:p>
    <w:p w:rsidR="00817565" w:rsidRDefault="00786FAB">
      <w:pPr>
        <w:spacing w:before="240" w:line="360" w:lineRule="auto"/>
        <w:ind w:left="851" w:right="851"/>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Constitución Política del Estado Libre y Soberano de México</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5</w:t>
      </w:r>
      <w:r>
        <w:rPr>
          <w:rFonts w:ascii="Palatino Linotype" w:eastAsia="Palatino Linotype" w:hAnsi="Palatino Linotype" w:cs="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spacing w:before="240" w:line="360" w:lineRule="auto"/>
        <w:ind w:left="851" w:right="851"/>
        <w:jc w:val="both"/>
        <w:rPr>
          <w:rFonts w:ascii="Palatino Linotype" w:eastAsia="Palatino Linotype" w:hAnsi="Palatino Linotype" w:cs="Palatino Linotype"/>
          <w:b/>
          <w:i/>
        </w:rPr>
      </w:pPr>
      <w:proofErr w:type="gramStart"/>
      <w:r>
        <w:rPr>
          <w:rFonts w:ascii="Palatino Linotype" w:eastAsia="Palatino Linotype" w:hAnsi="Palatino Linotype" w:cs="Palatino Linotype"/>
          <w:i/>
        </w:rPr>
        <w:t>transparencia</w:t>
      </w:r>
      <w:proofErr w:type="gramEnd"/>
      <w:r>
        <w:rPr>
          <w:rFonts w:ascii="Palatino Linotype" w:eastAsia="Palatino Linotype" w:hAnsi="Palatino Linotype" w:cs="Palatino Linotype"/>
          <w:i/>
        </w:rPr>
        <w:t xml:space="preserve">, acceso a la información pública y a la protección de datos personales en posesión de los sujetos obligados en los términos que establezca la ley. (…)” </w:t>
      </w:r>
      <w:r>
        <w:rPr>
          <w:rFonts w:ascii="Palatino Linotype" w:eastAsia="Palatino Linotype" w:hAnsi="Palatino Linotype" w:cs="Palatino Linotype"/>
          <w:b/>
          <w:i/>
        </w:rPr>
        <w:t>[Sic]</w:t>
      </w:r>
    </w:p>
    <w:p w:rsidR="00817565" w:rsidRDefault="00786FAB">
      <w:pPr>
        <w:spacing w:before="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eastAsia="Palatino Linotype" w:hAnsi="Palatino Linotype" w:cs="Palatino Linotype"/>
          <w:b/>
          <w:u w:val="single"/>
        </w:rPr>
        <w:t>incluso, la solicitud de acceso a la información pueda ser anónima</w:t>
      </w:r>
      <w:r>
        <w:rPr>
          <w:rFonts w:ascii="Palatino Linotype" w:eastAsia="Palatino Linotype" w:hAnsi="Palatino Linotype" w:cs="Palatino Linotype"/>
        </w:rPr>
        <w:t xml:space="preserve"> o no contener un nombre que identifique al solicitante o que permita tener certeza sobre su identidad. En conclusión, se cubrieron los requisitos de procedencia y </w:t>
      </w:r>
      <w:proofErr w:type="spellStart"/>
      <w:r>
        <w:rPr>
          <w:rFonts w:ascii="Palatino Linotype" w:eastAsia="Palatino Linotype" w:hAnsi="Palatino Linotype" w:cs="Palatino Linotype"/>
        </w:rPr>
        <w:t>procedibilidad</w:t>
      </w:r>
      <w:proofErr w:type="spellEnd"/>
      <w:r>
        <w:rPr>
          <w:rFonts w:ascii="Palatino Linotype" w:eastAsia="Palatino Linotype" w:hAnsi="Palatino Linotype" w:cs="Palatino Linotype"/>
        </w:rPr>
        <w:t xml:space="preserve"> y conforme a las constancias que obran en el expediente.</w:t>
      </w:r>
    </w:p>
    <w:p w:rsidR="00817565" w:rsidRDefault="00817565">
      <w:pPr>
        <w:spacing w:before="240" w:line="360" w:lineRule="auto"/>
        <w:jc w:val="both"/>
        <w:rPr>
          <w:b/>
        </w:rPr>
      </w:pPr>
    </w:p>
    <w:p w:rsidR="00817565" w:rsidRDefault="00786FAB">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CUARTO. De las causas de improcedencia.</w:t>
      </w:r>
    </w:p>
    <w:p w:rsidR="00817565" w:rsidRDefault="00786FAB">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procedimiento de acceso a la información y de los medios de impugnación de la materia, se advierten diversos supuestos de </w:t>
      </w:r>
      <w:proofErr w:type="spellStart"/>
      <w:r>
        <w:rPr>
          <w:rFonts w:ascii="Palatino Linotype" w:eastAsia="Palatino Linotype" w:hAnsi="Palatino Linotype" w:cs="Palatino Linotype"/>
          <w:color w:val="000000"/>
        </w:rPr>
        <w:t>procedibilidad</w:t>
      </w:r>
      <w:proofErr w:type="spellEnd"/>
      <w:r>
        <w:rPr>
          <w:rFonts w:ascii="Palatino Linotype" w:eastAsia="Palatino Linotype" w:hAnsi="Palatino Linotype" w:cs="Palatino Linotype"/>
          <w:color w:val="000000"/>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817565" w:rsidRDefault="00817565">
      <w:pPr>
        <w:spacing w:after="0" w:line="360" w:lineRule="auto"/>
        <w:jc w:val="both"/>
        <w:rPr>
          <w:rFonts w:ascii="Palatino Linotype" w:eastAsia="Palatino Linotype" w:hAnsi="Palatino Linotype" w:cs="Palatino Linotype"/>
          <w:color w:val="000000"/>
        </w:rPr>
      </w:pPr>
    </w:p>
    <w:p w:rsidR="00817565" w:rsidRDefault="00786FAB">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es una facultad legal entrar al estudio de las causas de improcedencia que hagan valer las partes o que se adviertan de oficio por este </w:t>
      </w:r>
      <w:proofErr w:type="spellStart"/>
      <w:r>
        <w:rPr>
          <w:rFonts w:ascii="Palatino Linotype" w:eastAsia="Palatino Linotype" w:hAnsi="Palatino Linotype" w:cs="Palatino Linotype"/>
          <w:color w:val="000000"/>
        </w:rPr>
        <w:t>Resolutor</w:t>
      </w:r>
      <w:proofErr w:type="spellEnd"/>
      <w:r>
        <w:rPr>
          <w:rFonts w:ascii="Palatino Linotype" w:eastAsia="Palatino Linotype" w:hAnsi="Palatino Linotype" w:cs="Palatino Linotype"/>
          <w:color w:val="000000"/>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color w:val="000000"/>
        </w:rPr>
        <w:t xml:space="preserve">, la cual permite dilucidar alguna causal que impida el estudio y resolución, </w:t>
      </w:r>
      <w:r>
        <w:rPr>
          <w:rFonts w:ascii="Palatino Linotype" w:eastAsia="Palatino Linotype" w:hAnsi="Palatino Linotype" w:cs="Palatino Linotype"/>
          <w:color w:val="000000"/>
        </w:rPr>
        <w:lastRenderedPageBreak/>
        <w:t>cuando una vez admitido el recurso de revisión se advierta una causa de improcedencia que permita sobreseerlo, sin estudiar el fondo del asunto.</w:t>
      </w:r>
    </w:p>
    <w:p w:rsidR="00817565" w:rsidRDefault="00817565">
      <w:pPr>
        <w:spacing w:after="0" w:line="360" w:lineRule="auto"/>
        <w:jc w:val="both"/>
        <w:rPr>
          <w:rFonts w:ascii="Palatino Linotype" w:eastAsia="Palatino Linotype" w:hAnsi="Palatino Linotype" w:cs="Palatino Linotype"/>
          <w:color w:val="000000"/>
        </w:rPr>
      </w:pPr>
    </w:p>
    <w:p w:rsidR="00817565" w:rsidRDefault="00786FAB">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keepNext/>
        <w:keepLines/>
        <w:spacing w:after="0"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 xml:space="preserve">QUINTO. </w:t>
      </w:r>
      <w:r>
        <w:rPr>
          <w:rFonts w:ascii="Palatino Linotype" w:eastAsia="Palatino Linotype" w:hAnsi="Palatino Linotype" w:cs="Palatino Linotype"/>
          <w:b/>
          <w:color w:val="000000"/>
          <w:sz w:val="28"/>
          <w:szCs w:val="28"/>
        </w:rPr>
        <w:t>Estudio y resolución del asunto</w:t>
      </w:r>
      <w:r>
        <w:rPr>
          <w:rFonts w:ascii="Palatino Linotype" w:eastAsia="Palatino Linotype" w:hAnsi="Palatino Linotype" w:cs="Palatino Linotype"/>
          <w:b/>
          <w:color w:val="000000"/>
          <w:sz w:val="26"/>
          <w:szCs w:val="26"/>
        </w:rPr>
        <w:t>.</w:t>
      </w: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así estar en posibilidad este </w:t>
      </w:r>
      <w:r>
        <w:rPr>
          <w:rFonts w:ascii="Palatino Linotype" w:eastAsia="Palatino Linotype" w:hAnsi="Palatino Linotype" w:cs="Palatino Linotype"/>
          <w:color w:val="000000"/>
          <w:sz w:val="24"/>
          <w:szCs w:val="24"/>
        </w:rPr>
        <w:lastRenderedPageBreak/>
        <w:t>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tanto, es conveniente recordar que el hoy Recurrente requirió del Sujeto Obligado, lo siguiente:</w:t>
      </w:r>
    </w:p>
    <w:p w:rsidR="00817565" w:rsidRDefault="00786FAB">
      <w:pPr>
        <w:numPr>
          <w:ilvl w:val="0"/>
          <w:numId w:val="1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Contratos de las propiedades con las que cuenta el Ayuntamiento con el nombre y dirección. </w:t>
      </w:r>
    </w:p>
    <w:p w:rsidR="00817565" w:rsidRDefault="00817565">
      <w:pPr>
        <w:pBdr>
          <w:top w:val="nil"/>
          <w:left w:val="nil"/>
          <w:bottom w:val="nil"/>
          <w:right w:val="nil"/>
          <w:between w:val="nil"/>
        </w:pBdr>
        <w:spacing w:after="0" w:line="360" w:lineRule="auto"/>
        <w:ind w:left="1080"/>
        <w:jc w:val="both"/>
        <w:rPr>
          <w:rFonts w:ascii="Palatino Linotype" w:eastAsia="Palatino Linotype" w:hAnsi="Palatino Linotype" w:cs="Palatino Linotype"/>
          <w:color w:val="000000"/>
          <w:sz w:val="24"/>
          <w:szCs w:val="24"/>
        </w:rPr>
      </w:pP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lo que atento a la solicitud de información el Sujeto Obligado hizo entrega del siguiente archivo electrónico:</w:t>
      </w:r>
    </w:p>
    <w:p w:rsidR="00817565" w:rsidRDefault="00786FAB">
      <w:pPr>
        <w:numPr>
          <w:ilvl w:val="0"/>
          <w:numId w:val="12"/>
        </w:numPr>
        <w:pBdr>
          <w:top w:val="nil"/>
          <w:left w:val="nil"/>
          <w:bottom w:val="nil"/>
          <w:right w:val="nil"/>
          <w:between w:val="nil"/>
        </w:pBdr>
        <w:spacing w:after="0" w:line="360" w:lineRule="auto"/>
        <w:jc w:val="both"/>
        <w:rPr>
          <w:i/>
          <w:color w:val="000000"/>
          <w:sz w:val="24"/>
          <w:szCs w:val="24"/>
        </w:rPr>
      </w:pPr>
      <w:r>
        <w:rPr>
          <w:rFonts w:ascii="Palatino Linotype" w:eastAsia="Palatino Linotype" w:hAnsi="Palatino Linotype" w:cs="Palatino Linotype"/>
          <w:b/>
          <w:i/>
          <w:color w:val="000000"/>
          <w:sz w:val="24"/>
          <w:szCs w:val="24"/>
        </w:rPr>
        <w:t>IMG_20240921_0008.pdf</w:t>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color w:val="000000"/>
          <w:sz w:val="24"/>
          <w:szCs w:val="24"/>
        </w:rPr>
        <w:t xml:space="preserve">Documento que consta de tres fojas en formato PDF con número de oficio TEZ/C.P./041/2024 de fecha diecinueve de septiembre de dos mil veinticuatro por medio del cual la Coordinadora de Patrimonio del Ayuntamiento manifiesta que hace entrega de un documento en el que se advierte la relación de 17 inmuebles manifestando que omite la documentación de cada uno de ellos por seguridad. </w:t>
      </w:r>
    </w:p>
    <w:p w:rsidR="00817565" w:rsidRDefault="00817565">
      <w:pPr>
        <w:spacing w:after="0" w:line="360" w:lineRule="auto"/>
        <w:jc w:val="both"/>
        <w:rPr>
          <w:rFonts w:ascii="Palatino Linotype" w:eastAsia="Palatino Linotype" w:hAnsi="Palatino Linotype" w:cs="Palatino Linotype"/>
          <w:i/>
          <w:sz w:val="24"/>
          <w:szCs w:val="24"/>
        </w:rPr>
      </w:pPr>
    </w:p>
    <w:p w:rsidR="00817565" w:rsidRDefault="00786FAB">
      <w:pPr>
        <w:pBdr>
          <w:top w:val="nil"/>
          <w:left w:val="nil"/>
          <w:bottom w:val="nil"/>
          <w:right w:val="nil"/>
          <w:between w:val="nil"/>
        </w:pBdr>
        <w:spacing w:after="0" w:line="360" w:lineRule="auto"/>
        <w:ind w:left="108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En este sentido agrega una tabla que contiene diecisiete inmuebles, las medidas, el propietario, la superficie en M2, la superficie construida, el valor catastral, así como el domicilio. </w:t>
      </w:r>
    </w:p>
    <w:p w:rsidR="00817565" w:rsidRDefault="00817565">
      <w:pPr>
        <w:pBdr>
          <w:top w:val="nil"/>
          <w:left w:val="nil"/>
          <w:bottom w:val="nil"/>
          <w:right w:val="nil"/>
          <w:between w:val="nil"/>
        </w:pBdr>
        <w:spacing w:after="0" w:line="360" w:lineRule="auto"/>
        <w:ind w:left="1080"/>
        <w:jc w:val="both"/>
        <w:rPr>
          <w:rFonts w:ascii="Palatino Linotype" w:eastAsia="Palatino Linotype" w:hAnsi="Palatino Linotype" w:cs="Palatino Linotype"/>
          <w:i/>
          <w:color w:val="000000"/>
          <w:sz w:val="24"/>
          <w:szCs w:val="24"/>
        </w:rPr>
      </w:pPr>
    </w:p>
    <w:p w:rsidR="00817565" w:rsidRDefault="00786FAB">
      <w:pPr>
        <w:spacing w:after="0" w:line="36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Ante la respuesta emitida por el Sujeto Obligado, el Recurrente consideró que su derecho a la información pública había sido conculcado, por lo que interpuso el recurso de revisión al rubro citado, señalando como acto impugnado y motivos de inconformidad </w:t>
      </w:r>
      <w:r>
        <w:rPr>
          <w:rFonts w:ascii="Palatino Linotype" w:eastAsia="Palatino Linotype" w:hAnsi="Palatino Linotype" w:cs="Palatino Linotype"/>
          <w:i/>
          <w:color w:val="000000"/>
          <w:sz w:val="24"/>
          <w:szCs w:val="24"/>
        </w:rPr>
        <w:t xml:space="preserve">“Por lo visto la titular no sabe leer así mismo le solicito la entrega de la información tal y </w:t>
      </w:r>
      <w:proofErr w:type="spellStart"/>
      <w:r>
        <w:rPr>
          <w:rFonts w:ascii="Palatino Linotype" w:eastAsia="Palatino Linotype" w:hAnsi="Palatino Linotype" w:cs="Palatino Linotype"/>
          <w:i/>
          <w:color w:val="000000"/>
          <w:sz w:val="24"/>
          <w:szCs w:val="24"/>
        </w:rPr>
        <w:t>cuál</w:t>
      </w:r>
      <w:proofErr w:type="spellEnd"/>
      <w:r>
        <w:rPr>
          <w:rFonts w:ascii="Palatino Linotype" w:eastAsia="Palatino Linotype" w:hAnsi="Palatino Linotype" w:cs="Palatino Linotype"/>
          <w:i/>
          <w:color w:val="000000"/>
          <w:sz w:val="24"/>
          <w:szCs w:val="24"/>
        </w:rPr>
        <w:t xml:space="preserve"> lo estoy solicitando vía </w:t>
      </w:r>
      <w:proofErr w:type="spellStart"/>
      <w:r>
        <w:rPr>
          <w:rFonts w:ascii="Palatino Linotype" w:eastAsia="Palatino Linotype" w:hAnsi="Palatino Linotype" w:cs="Palatino Linotype"/>
          <w:i/>
          <w:color w:val="000000"/>
          <w:sz w:val="24"/>
          <w:szCs w:val="24"/>
        </w:rPr>
        <w:t>saimex</w:t>
      </w:r>
      <w:proofErr w:type="spellEnd"/>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color w:val="000000"/>
          <w:sz w:val="24"/>
          <w:szCs w:val="24"/>
        </w:rPr>
        <w:t xml:space="preserve">, en este sentido el Recurrente consideró que el Sujeto Obligado no le dio cuenta de los contratos de las propiedades con las que cuenta el Ayuntamiento de </w:t>
      </w:r>
      <w:proofErr w:type="spellStart"/>
      <w:r>
        <w:rPr>
          <w:rFonts w:ascii="Palatino Linotype" w:eastAsia="Palatino Linotype" w:hAnsi="Palatino Linotype" w:cs="Palatino Linotype"/>
          <w:color w:val="000000"/>
          <w:sz w:val="24"/>
          <w:szCs w:val="24"/>
        </w:rPr>
        <w:t>Tezoyuca</w:t>
      </w:r>
      <w:proofErr w:type="spellEnd"/>
      <w:r>
        <w:rPr>
          <w:rFonts w:ascii="Palatino Linotype" w:eastAsia="Palatino Linotype" w:hAnsi="Palatino Linotype" w:cs="Palatino Linotype"/>
          <w:color w:val="000000"/>
          <w:sz w:val="24"/>
          <w:szCs w:val="24"/>
        </w:rPr>
        <w:t xml:space="preserve">. </w:t>
      </w:r>
    </w:p>
    <w:p w:rsidR="00817565" w:rsidRDefault="00817565">
      <w:pPr>
        <w:spacing w:after="0" w:line="360" w:lineRule="auto"/>
        <w:jc w:val="both"/>
        <w:rPr>
          <w:rFonts w:ascii="Palatino Linotype" w:eastAsia="Palatino Linotype" w:hAnsi="Palatino Linotype" w:cs="Palatino Linotype"/>
          <w:color w:val="000000"/>
          <w:sz w:val="24"/>
          <w:szCs w:val="24"/>
        </w:rPr>
      </w:pPr>
    </w:p>
    <w:p w:rsidR="00817565" w:rsidRDefault="00786FAB">
      <w:pP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lo anterior y a efecto de no vulnerar el derecho al acceso a la información del recurrente el Sujeto Obligado mediante Informe Justificado hizo entrega del siguiente archivo electrónico; </w:t>
      </w:r>
    </w:p>
    <w:p w:rsidR="00817565" w:rsidRDefault="00786FAB">
      <w:pPr>
        <w:numPr>
          <w:ilvl w:val="0"/>
          <w:numId w:val="12"/>
        </w:numPr>
        <w:pBdr>
          <w:top w:val="nil"/>
          <w:left w:val="nil"/>
          <w:bottom w:val="nil"/>
          <w:right w:val="nil"/>
          <w:between w:val="nil"/>
        </w:pBdr>
        <w:spacing w:line="360" w:lineRule="auto"/>
        <w:jc w:val="both"/>
        <w:rPr>
          <w:color w:val="000000"/>
          <w:sz w:val="24"/>
          <w:szCs w:val="24"/>
        </w:rPr>
      </w:pPr>
      <w:r>
        <w:rPr>
          <w:rFonts w:ascii="Palatino Linotype" w:eastAsia="Palatino Linotype" w:hAnsi="Palatino Linotype" w:cs="Palatino Linotype"/>
          <w:b/>
          <w:color w:val="000000"/>
          <w:sz w:val="24"/>
          <w:szCs w:val="24"/>
        </w:rPr>
        <w:t xml:space="preserve">IMG_20241011_0005.pdf; </w:t>
      </w:r>
      <w:r>
        <w:rPr>
          <w:rFonts w:ascii="Palatino Linotype" w:eastAsia="Palatino Linotype" w:hAnsi="Palatino Linotype" w:cs="Palatino Linotype"/>
          <w:color w:val="000000"/>
          <w:sz w:val="24"/>
          <w:szCs w:val="24"/>
        </w:rPr>
        <w:t xml:space="preserve">Documento que consta de cinco fojas en formato PDF por medio del cual la Titular de la Unidad de transparencia rinde informe justificado ratificando respuesta. </w:t>
      </w:r>
    </w:p>
    <w:p w:rsidR="00817565" w:rsidRDefault="00786FAB">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debe señalar que el artículo 4, párrafo segundo de la Ley de Transparencia y Acceso a la Información Pública del Estado de México y Municipios, dispone:</w:t>
      </w:r>
    </w:p>
    <w:p w:rsidR="00817565" w:rsidRDefault="00786FAB">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4. </w:t>
      </w:r>
      <w:r>
        <w:rPr>
          <w:rFonts w:ascii="Palatino Linotype" w:eastAsia="Palatino Linotype" w:hAnsi="Palatino Linotype" w:cs="Palatino Linotype"/>
          <w:i/>
        </w:rPr>
        <w:t xml:space="preserve">… </w:t>
      </w:r>
    </w:p>
    <w:p w:rsidR="00817565" w:rsidRDefault="00786FAB">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817565" w:rsidRDefault="00817565">
      <w:pPr>
        <w:spacing w:after="0" w:line="360" w:lineRule="auto"/>
        <w:ind w:left="567" w:right="616"/>
        <w:jc w:val="both"/>
        <w:rPr>
          <w:rFonts w:ascii="Palatino Linotype" w:eastAsia="Palatino Linotype" w:hAnsi="Palatino Linotype" w:cs="Palatino Linotype"/>
          <w:i/>
        </w:rPr>
      </w:pPr>
    </w:p>
    <w:p w:rsidR="00817565" w:rsidRDefault="00786FAB">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rsidR="00817565" w:rsidRDefault="00817565">
      <w:pPr>
        <w:tabs>
          <w:tab w:val="left" w:pos="709"/>
        </w:tabs>
        <w:spacing w:after="0" w:line="360" w:lineRule="auto"/>
        <w:jc w:val="both"/>
        <w:rPr>
          <w:rFonts w:ascii="Palatino Linotype" w:eastAsia="Palatino Linotype" w:hAnsi="Palatino Linotype" w:cs="Palatino Linotype"/>
          <w:sz w:val="24"/>
          <w:szCs w:val="24"/>
        </w:rPr>
      </w:pPr>
    </w:p>
    <w:p w:rsidR="00817565" w:rsidRDefault="00786FAB">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esta misma tesitura, el derecho de acceso a la información pública, consiste en que la información solicitada conste en un soporte documental en cualquiera de sus formas, a saber: </w:t>
      </w:r>
      <w:r>
        <w:rPr>
          <w:rFonts w:ascii="Palatino Linotype" w:eastAsia="Palatino Linotype" w:hAnsi="Palatino Linotype" w:cs="Palatino Linotype"/>
          <w:b/>
          <w:sz w:val="24"/>
          <w:szCs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Pr>
          <w:rFonts w:ascii="Palatino Linotype" w:eastAsia="Palatino Linotype" w:hAnsi="Palatino Linotype" w:cs="Palatino Linotype"/>
          <w:sz w:val="24"/>
          <w:szCs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817565" w:rsidRDefault="00786FAB">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rsidR="00817565" w:rsidRDefault="00786FAB">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XI. Documento:</w:t>
      </w:r>
      <w:r>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w:t>
      </w:r>
      <w:r>
        <w:rPr>
          <w:rFonts w:ascii="Palatino Linotype" w:eastAsia="Palatino Linotype" w:hAnsi="Palatino Linotype" w:cs="Palatino Linotype"/>
          <w:b/>
          <w:i/>
          <w:u w:val="single"/>
        </w:rPr>
        <w:t>registro que documente el ejercicio de las facultades, funciones y competencias de los sujetos obligados</w:t>
      </w:r>
      <w:r>
        <w:rPr>
          <w:rFonts w:ascii="Palatino Linotype" w:eastAsia="Palatino Linotype" w:hAnsi="Palatino Linotype" w:cs="Palatino Linotype"/>
          <w:i/>
          <w:u w:val="single"/>
        </w:rPr>
        <w:t>,</w:t>
      </w:r>
      <w:r>
        <w:rPr>
          <w:rFonts w:ascii="Palatino Linotype" w:eastAsia="Palatino Linotype" w:hAnsi="Palatino Linotype" w:cs="Palatino Linotype"/>
          <w:i/>
        </w:rPr>
        <w:t xml:space="preserve"> sus servidores públicos e integrantes, </w:t>
      </w:r>
      <w:r>
        <w:rPr>
          <w:rFonts w:ascii="Palatino Linotype" w:eastAsia="Palatino Linotype" w:hAnsi="Palatino Linotype" w:cs="Palatino Linotype"/>
          <w:b/>
          <w:i/>
          <w:u w:val="single"/>
        </w:rPr>
        <w:t>sin importar su fuente o fecha de elaboración.</w:t>
      </w:r>
      <w:r>
        <w:rPr>
          <w:rFonts w:ascii="Palatino Linotype" w:eastAsia="Palatino Linotype" w:hAnsi="Palatino Linotype" w:cs="Palatino Linotype"/>
          <w:i/>
        </w:rPr>
        <w:t xml:space="preserve"> Los documentos podrán estar en cualquier medio, sea escrito, impreso, sonoro, visual, electrónico, informático u holográfico;</w:t>
      </w:r>
    </w:p>
    <w:p w:rsidR="00817565" w:rsidRDefault="00786FAB">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817565">
      <w:pPr>
        <w:spacing w:after="0" w:line="360" w:lineRule="auto"/>
        <w:ind w:right="49"/>
        <w:jc w:val="both"/>
        <w:rPr>
          <w:rFonts w:ascii="Palatino Linotype" w:eastAsia="Palatino Linotype" w:hAnsi="Palatino Linotype" w:cs="Palatino Linotype"/>
          <w:sz w:val="24"/>
          <w:szCs w:val="24"/>
        </w:rPr>
      </w:pPr>
    </w:p>
    <w:p w:rsidR="00817565" w:rsidRDefault="00786FA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817565" w:rsidRDefault="00817565">
      <w:pPr>
        <w:spacing w:after="0" w:line="360" w:lineRule="auto"/>
        <w:ind w:right="49"/>
        <w:jc w:val="both"/>
        <w:rPr>
          <w:rFonts w:ascii="Palatino Linotype" w:eastAsia="Palatino Linotype" w:hAnsi="Palatino Linotype" w:cs="Palatino Linotype"/>
          <w:sz w:val="24"/>
          <w:szCs w:val="24"/>
        </w:rPr>
      </w:pPr>
    </w:p>
    <w:p w:rsidR="00817565" w:rsidRDefault="00786FA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la misma forma, de acuerdo al contenido del artículo 160, de la Ley General de Transparencia y Acceso a la Información Pública que a la letra dispone;</w:t>
      </w:r>
    </w:p>
    <w:p w:rsidR="00817565" w:rsidRDefault="00786FAB">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160</w:t>
      </w:r>
      <w:r>
        <w:rPr>
          <w:rFonts w:ascii="Palatino Linotype" w:eastAsia="Palatino Linotype" w:hAnsi="Palatino Linotype" w:cs="Palatino Linotype"/>
          <w:i/>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817565" w:rsidRDefault="00817565">
      <w:pPr>
        <w:spacing w:after="0" w:line="360" w:lineRule="auto"/>
        <w:jc w:val="both"/>
        <w:rPr>
          <w:rFonts w:ascii="Palatino Linotype" w:eastAsia="Palatino Linotype" w:hAnsi="Palatino Linotype" w:cs="Palatino Linotype"/>
          <w:sz w:val="24"/>
          <w:szCs w:val="24"/>
        </w:rPr>
      </w:pPr>
    </w:p>
    <w:p w:rsidR="00817565" w:rsidRDefault="00786FA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Expuesto lo anterior, se procede al análisis de la totalidad de las constancias que integran el expediente electrónico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a efecto de determinar si con la información remitida por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a través de su respuesta se colma lo requerido en dicha solicitud.</w:t>
      </w:r>
    </w:p>
    <w:p w:rsidR="00817565" w:rsidRDefault="00817565">
      <w:pPr>
        <w:spacing w:line="360" w:lineRule="auto"/>
        <w:jc w:val="both"/>
      </w:pPr>
    </w:p>
    <w:p w:rsidR="00817565" w:rsidRDefault="00786FA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24"/>
          <w:szCs w:val="24"/>
        </w:rPr>
        <w:t>Por lo que, conforme con los artículos 10 y 19 del bando Municipal del Sujeto Obligado así como los artículos 96 Bis y 97 de la Ley Orgánica Municipal del Estado de México la Dirección de Obras Públicas es la unidad administrativa encargada de proyectar las obras públicas y servicios relacionados, que realice el Municipio, dictar las normas generales y ejecutar las obras de reparación, adaptación y demolición de inmuebles propiedad del municipio que le sean asignadas así como ejecutar y mantener las obras públicas que acuerde el Ayuntamiento.</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a través de la Secretaria del Ayuntamiento, la Sindicatura Municipal y la Contraloría Municipal se inscribe en un libro especial los movimientos relativos par el control, inventario, ubicación y adjudicación de los bienes muebles e inmuebles propiedad del Ayuntamiento, conforme lo siguiente; </w:t>
      </w:r>
    </w:p>
    <w:p w:rsidR="00817565" w:rsidRDefault="00786FAB">
      <w:pPr>
        <w:spacing w:line="360" w:lineRule="auto"/>
        <w:ind w:left="708"/>
        <w:jc w:val="both"/>
        <w:rPr>
          <w:rFonts w:ascii="Palatino Linotype" w:eastAsia="Palatino Linotype" w:hAnsi="Palatino Linotype" w:cs="Palatino Linotype"/>
          <w:i/>
          <w:u w:val="single"/>
        </w:rPr>
      </w:pPr>
      <w:r>
        <w:rPr>
          <w:rFonts w:ascii="Palatino Linotype" w:eastAsia="Palatino Linotype" w:hAnsi="Palatino Linotype" w:cs="Palatino Linotype"/>
          <w:i/>
        </w:rPr>
        <w:lastRenderedPageBreak/>
        <w:t xml:space="preserve">Artículo 10. </w:t>
      </w:r>
      <w:r>
        <w:rPr>
          <w:rFonts w:ascii="Palatino Linotype" w:eastAsia="Palatino Linotype" w:hAnsi="Palatino Linotype" w:cs="Palatino Linotype"/>
          <w:b/>
          <w:i/>
        </w:rPr>
        <w:t>Para el control, inventario, ubicación y adjudicación de los bienes muebles e inmuebles propiedad del Ayuntamiento,</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 xml:space="preserve">éste deberá aprobar e inscribir en un libro especial los movimientos que se registren. </w:t>
      </w:r>
    </w:p>
    <w:p w:rsidR="00817565" w:rsidRDefault="00786FAB">
      <w:pPr>
        <w:spacing w:line="360" w:lineRule="auto"/>
        <w:ind w:left="708"/>
        <w:jc w:val="both"/>
        <w:rPr>
          <w:rFonts w:ascii="Palatino Linotype" w:eastAsia="Palatino Linotype" w:hAnsi="Palatino Linotype" w:cs="Palatino Linotype"/>
          <w:i/>
        </w:rPr>
      </w:pPr>
      <w:r>
        <w:rPr>
          <w:rFonts w:ascii="Palatino Linotype" w:eastAsia="Palatino Linotype" w:hAnsi="Palatino Linotype" w:cs="Palatino Linotype"/>
          <w:i/>
          <w:u w:val="single"/>
        </w:rPr>
        <w:t>La secretaría del Ayuntamiento, con la intervención de la Sindicatura Municipal y de la Contraloría Municipal, será responsable del libro que se cita en el párrafo anterior</w:t>
      </w:r>
      <w:r>
        <w:rPr>
          <w:rFonts w:ascii="Palatino Linotype" w:eastAsia="Palatino Linotype" w:hAnsi="Palatino Linotype" w:cs="Palatino Linotype"/>
          <w:i/>
        </w:rPr>
        <w:t xml:space="preserve">. </w:t>
      </w:r>
    </w:p>
    <w:p w:rsidR="00817565" w:rsidRDefault="00786FAB">
      <w:pPr>
        <w:spacing w:line="360" w:lineRule="auto"/>
        <w:ind w:left="708"/>
        <w:jc w:val="both"/>
        <w:rPr>
          <w:rFonts w:ascii="Palatino Linotype" w:eastAsia="Palatino Linotype" w:hAnsi="Palatino Linotype" w:cs="Palatino Linotype"/>
          <w:i/>
        </w:rPr>
      </w:pPr>
      <w:r>
        <w:rPr>
          <w:rFonts w:ascii="Palatino Linotype" w:eastAsia="Palatino Linotype" w:hAnsi="Palatino Linotype" w:cs="Palatino Linotype"/>
          <w:i/>
        </w:rPr>
        <w:t>La Sindicatura Municipal, la Secretaría del Ayuntamiento con ayuda de la Contraloría Municipal, llevarán en forma actualizada el registro de los bienes muebles e inmuebles que compongan el patrimonio municipal y remitirán al Órgano Superior de Fiscalización del Estado de México (OSFEM) las modificaciones que se realicen al mismo por altas y bajas e informarán con oportunidad las enajenaciones y donaciones que se efectúen de sus bienes inmuebles.</w:t>
      </w:r>
    </w:p>
    <w:p w:rsidR="00817565" w:rsidRDefault="00817565">
      <w:pPr>
        <w:spacing w:line="360" w:lineRule="auto"/>
        <w:jc w:val="both"/>
        <w:rPr>
          <w:rFonts w:ascii="Palatino Linotype" w:eastAsia="Palatino Linotype" w:hAnsi="Palatino Linotype" w:cs="Palatino Linotype"/>
          <w:b/>
          <w:i/>
        </w:rPr>
      </w:pPr>
    </w:p>
    <w:p w:rsidR="00817565" w:rsidRDefault="00786FAB">
      <w:pPr>
        <w:spacing w:line="360" w:lineRule="auto"/>
        <w:ind w:left="708"/>
        <w:jc w:val="center"/>
        <w:rPr>
          <w:rFonts w:ascii="Palatino Linotype" w:eastAsia="Palatino Linotype" w:hAnsi="Palatino Linotype" w:cs="Palatino Linotype"/>
          <w:b/>
          <w:i/>
        </w:rPr>
      </w:pPr>
      <w:r>
        <w:rPr>
          <w:rFonts w:ascii="Palatino Linotype" w:eastAsia="Palatino Linotype" w:hAnsi="Palatino Linotype" w:cs="Palatino Linotype"/>
          <w:b/>
          <w:i/>
        </w:rPr>
        <w:t>DE LA ORGANIZACIÓN ADMINISTRATIVA</w:t>
      </w:r>
    </w:p>
    <w:p w:rsidR="00817565" w:rsidRDefault="00786FAB">
      <w:pPr>
        <w:spacing w:line="360" w:lineRule="auto"/>
        <w:ind w:left="708"/>
        <w:jc w:val="both"/>
        <w:rPr>
          <w:rFonts w:ascii="Palatino Linotype" w:eastAsia="Palatino Linotype" w:hAnsi="Palatino Linotype" w:cs="Palatino Linotype"/>
          <w:i/>
        </w:rPr>
      </w:pPr>
      <w:r>
        <w:rPr>
          <w:rFonts w:ascii="Palatino Linotype" w:eastAsia="Palatino Linotype" w:hAnsi="Palatino Linotype" w:cs="Palatino Linotype"/>
          <w:i/>
        </w:rPr>
        <w:t>Artículo 19. La Administración Pública Municipal estará conformada por Dependencias y Unidades Administrativas que estarán subordinadas al Presidente Municipal, así como por los Organismos Descentralizados que se integrarán y funcionarán de conformidad con las normas que les sean aplicables. Para el despacho, estudio y planeación de los diversos asuntos de la Administración Pública Municipal, el Ayuntamiento contará con las siguientes Dependencias:</w:t>
      </w:r>
    </w:p>
    <w:p w:rsidR="00817565" w:rsidRDefault="00786FAB">
      <w:pPr>
        <w:spacing w:line="360" w:lineRule="auto"/>
        <w:ind w:left="708"/>
        <w:jc w:val="both"/>
        <w:rPr>
          <w:rFonts w:ascii="Palatino Linotype" w:eastAsia="Palatino Linotype" w:hAnsi="Palatino Linotype" w:cs="Palatino Linotype"/>
          <w:b/>
          <w:i/>
        </w:rPr>
      </w:pPr>
      <w:r>
        <w:rPr>
          <w:rFonts w:ascii="Palatino Linotype" w:eastAsia="Palatino Linotype" w:hAnsi="Palatino Linotype" w:cs="Palatino Linotype"/>
          <w:b/>
          <w:i/>
        </w:rPr>
        <w:t>V. Dirección de Obras Públicas;</w:t>
      </w:r>
    </w:p>
    <w:p w:rsidR="00817565" w:rsidRDefault="00817565">
      <w:pPr>
        <w:spacing w:line="360" w:lineRule="auto"/>
        <w:ind w:left="708"/>
        <w:jc w:val="both"/>
        <w:rPr>
          <w:rFonts w:ascii="Palatino Linotype" w:eastAsia="Palatino Linotype" w:hAnsi="Palatino Linotype" w:cs="Palatino Linotype"/>
          <w:i/>
          <w:sz w:val="24"/>
          <w:szCs w:val="24"/>
        </w:rPr>
      </w:pPr>
    </w:p>
    <w:p w:rsidR="00817565" w:rsidRDefault="00786FAB">
      <w:pPr>
        <w:spacing w:line="360" w:lineRule="auto"/>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96. Bis.- El Director de Obras Públicas o el Titular de la Unidad Administrativa equivalente, tiene las siguientes atribuciones: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Realizar la programación y ejecución de las obras públicas y servicios relacionados, que por orden expresa del Ayuntamiento requieran prioridad;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Planear y coordinar los proyectos de obras públicas y servicios relacionados con las mismas que autorice el Ayuntamiento, una vez que se cumplan los requisitos de licitación y otros que determine la ley de la materia;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u w:val="single"/>
        </w:rPr>
        <w:t>Proyectar las obras públicas y servicios relacionados, que realice el Municipio</w:t>
      </w:r>
      <w:r>
        <w:rPr>
          <w:rFonts w:ascii="Palatino Linotype" w:eastAsia="Palatino Linotype" w:hAnsi="Palatino Linotype" w:cs="Palatino Linotype"/>
          <w:i/>
          <w:color w:val="000000"/>
        </w:rPr>
        <w:t>, incluyendo la conservación y mantenimiento de edificios, monumentos, calles, parques y jardines;</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Construir y ejecutar todas aquellas obras públicas y servicios relacionados, que aumenten y mantengan la infraestructura municipal y que estén consideradas en el programa respectivo;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Determinar y cuantificar los materiales y trabajos necesarios para programas de construcción y mantenimiento de obras públicas y servicios relacionados;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Vigilar que se cumplan y lleven a cabo los programas de construcción y mantenimiento de obras públicas y servicios relacionados;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Cuidar que las obras públicas y servicios relacionados cumplan con los requisitos de seguridad y observen las normas de construcción y términos establecidos;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Vigilar la construcción en las obras por contrato y por administración que hayan sido adjudicadas a los contratistas;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Administrar y ejercer, en el ámbito de su competencia, de manera coordinada con el Tesorero municipal, los recursos públicos destinados a la planeación, programación, </w:t>
      </w:r>
      <w:proofErr w:type="spellStart"/>
      <w:r>
        <w:rPr>
          <w:rFonts w:ascii="Palatino Linotype" w:eastAsia="Palatino Linotype" w:hAnsi="Palatino Linotype" w:cs="Palatino Linotype"/>
          <w:i/>
          <w:color w:val="000000"/>
        </w:rPr>
        <w:t>presupuestación</w:t>
      </w:r>
      <w:proofErr w:type="spellEnd"/>
      <w:r>
        <w:rPr>
          <w:rFonts w:ascii="Palatino Linotype" w:eastAsia="Palatino Linotype" w:hAnsi="Palatino Linotype" w:cs="Palatino Linotype"/>
          <w:i/>
          <w:color w:val="000000"/>
        </w:rPr>
        <w:t>, adjudicación, contratación, ejecución y control de la obra pública, conforme a las disposiciones legales aplicables y en congruencia con los planes, programas, especificaciones técnicas, controles y procedimientos administrativos aprobados;</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Verificar que las obras públicas y los servicios relacionados con la misma, hayan sido programadas, presupuestadas, ejecutadas, adquiridas y contratadas en estricto apego a las disposiciones legales aplicables;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Integrar y verificar que se elaboren de manera correcta y completa las bitácoras y/o expedientes abiertos con motivo de la obra pública y servicios relacionados con la misma, conforme a lo establecido en las disposiciones legales aplicables;</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Promover la construcción de urbanización, infraestructura y equipamiento urbano;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Formular y conducir la política municipal en materia de obras públicas e infraestructura para el desarrollo;</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Cumplir y hacer cumplir la legislación y normatividad en materia de obra pública;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Proyectar, formular y proponer al Presidente Municipal, el Programa General de Obras Públicas, para la construcción y mejoramiento de las mismas, de acuerdo a la normatividad aplicable y en congruencia con el Plan de Desarrollo Municipal y con la política, objetivos y prioridades del Municipio y vigilar su ejecución;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u w:val="single"/>
        </w:rPr>
        <w:t>Dictar las normas generales y ejecutar las obras de reparación, adaptación y demolición de inmuebles propiedad del municipio que le sean asignadas</w:t>
      </w:r>
      <w:r>
        <w:rPr>
          <w:rFonts w:ascii="Palatino Linotype" w:eastAsia="Palatino Linotype" w:hAnsi="Palatino Linotype" w:cs="Palatino Linotype"/>
          <w:i/>
          <w:color w:val="000000"/>
        </w:rPr>
        <w:t xml:space="preserve">;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u w:val="single"/>
        </w:rPr>
        <w:t>Ejecutar y mantener las obras públicas que acuerde el Ayuntamiento</w:t>
      </w:r>
      <w:r>
        <w:rPr>
          <w:rFonts w:ascii="Palatino Linotype" w:eastAsia="Palatino Linotype" w:hAnsi="Palatino Linotype" w:cs="Palatino Linotype"/>
          <w:i/>
          <w:color w:val="000000"/>
        </w:rPr>
        <w:t xml:space="preserve">, de acuerdo a la legislación y normatividad aplicable, a los planes, presupuestos y programas previamente establecidos, coordinándose, en su caso, previo acuerdo con el Presidente Municipal, con las autoridades Federales, Estatales y municipales concurrentes;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Vigilar que la ejecución de la obra pública adjudicada y los servicios relacionados con ésta, se sujeten a las condiciones contratadas;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Establecer los lineamientos para la realización de estudios y proyectos de construcción de obras públicas;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Autorizar para su pago, previa validación del avance y calidad de las obras, los presupuestos y estimaciones que presenten los contratistas de obras públicas municipales;</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Formular el inventario de la maquinaria y equipo de construcción a su cuidado o de su propiedad, manteniéndolo en óptimas condiciones de uso; XXII. Coordinar y supervisar que todo el proceso de las obras públicas que se realicen en el municipio se realice conforme a la legislación y normatividad en materia de obra pública;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Controlar y vigilar el inventario de materiales para construcción;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Integrar y autorizar con su firma, la documentación que en materia de obra pública, deba presentarse al Órgano Superior de Fiscalización del Estado de México;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Formular las bases y expedir la convocatoria a los concursos para la realización de las obras públicas municipales, de acuerdo con los requisitos que para dichos actos señale la legislación y normatividad respectiva, vigilando su correcta ejecución; y </w:t>
      </w:r>
    </w:p>
    <w:p w:rsidR="00817565" w:rsidRDefault="00786FAB">
      <w:pPr>
        <w:numPr>
          <w:ilvl w:val="1"/>
          <w:numId w:val="14"/>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Las demás que les señalen las disposiciones aplicables</w:t>
      </w:r>
    </w:p>
    <w:p w:rsidR="00817565" w:rsidRDefault="00817565">
      <w:pPr>
        <w:spacing w:line="360" w:lineRule="auto"/>
        <w:ind w:firstLine="708"/>
        <w:jc w:val="both"/>
        <w:rPr>
          <w:rFonts w:ascii="Palatino Linotype" w:eastAsia="Palatino Linotype" w:hAnsi="Palatino Linotype" w:cs="Palatino Linotype"/>
          <w:i/>
          <w:sz w:val="24"/>
          <w:szCs w:val="24"/>
        </w:rPr>
      </w:pPr>
    </w:p>
    <w:p w:rsidR="00817565" w:rsidRDefault="00786FAB">
      <w:pPr>
        <w:spacing w:line="360" w:lineRule="auto"/>
        <w:ind w:left="708"/>
        <w:jc w:val="center"/>
        <w:rPr>
          <w:rFonts w:ascii="Palatino Linotype" w:eastAsia="Palatino Linotype" w:hAnsi="Palatino Linotype" w:cs="Palatino Linotype"/>
          <w:b/>
          <w:i/>
        </w:rPr>
      </w:pPr>
      <w:r>
        <w:rPr>
          <w:rFonts w:ascii="Palatino Linotype" w:eastAsia="Palatino Linotype" w:hAnsi="Palatino Linotype" w:cs="Palatino Linotype"/>
          <w:b/>
          <w:i/>
        </w:rPr>
        <w:t>De la Hacienda Pública Municipal</w:t>
      </w:r>
    </w:p>
    <w:p w:rsidR="00817565" w:rsidRDefault="00786FAB">
      <w:pPr>
        <w:spacing w:line="360" w:lineRule="auto"/>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97.- La hacienda pública municipal se integra por: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Los bienes muebles e inmuebles propiedad del municipio;</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rPr>
        <w:t xml:space="preserve"> Los capitales y créditos a favor del municipio, así como los intereses y productos que generen los mismos;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rPr>
        <w:t xml:space="preserve">Las rentas y productos de todos los bienes municipales;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rPr>
        <w:t xml:space="preserve">Las participaciones que perciban de acuerdo con las leyes federales y del Estado;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rPr>
        <w:lastRenderedPageBreak/>
        <w:t xml:space="preserve">Las contribuciones y demás ingresos determinados en la Ley de Ingresos de los Municipios, los que decrete la Legislatura y otros que por cualquier título legal reciba; </w:t>
      </w:r>
    </w:p>
    <w:p w:rsidR="00817565" w:rsidRDefault="00786FAB">
      <w:pPr>
        <w:numPr>
          <w:ilvl w:val="1"/>
          <w:numId w:val="1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rPr>
        <w:t>Las donaciones, herencias y legados que reciban.</w:t>
      </w:r>
    </w:p>
    <w:p w:rsidR="00817565" w:rsidRDefault="00817565">
      <w:pPr>
        <w:pBdr>
          <w:top w:val="nil"/>
          <w:left w:val="nil"/>
          <w:bottom w:val="nil"/>
          <w:right w:val="nil"/>
          <w:between w:val="nil"/>
        </w:pBdr>
        <w:spacing w:line="360" w:lineRule="auto"/>
        <w:ind w:left="2160"/>
        <w:jc w:val="both"/>
        <w:rPr>
          <w:rFonts w:ascii="Palatino Linotype" w:eastAsia="Palatino Linotype" w:hAnsi="Palatino Linotype" w:cs="Palatino Linotype"/>
          <w:i/>
          <w:color w:val="000000"/>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debe observarse lo establecido en los artículos 1, fracción III, 20, 21, 22, 23, 24, 26, 27 y 39 de la Ley de Contratación Pública del Estado de México y Municipios, los cuales se transcriben a continuación:</w:t>
      </w: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w:t>
      </w:r>
      <w:r>
        <w:rPr>
          <w:rFonts w:ascii="Palatino Linotype" w:eastAsia="Palatino Linotype" w:hAnsi="Palatino Linotype" w:cs="Palatino Linotype"/>
          <w:i/>
        </w:rPr>
        <w:t xml:space="preserve">.- Esta Ley tiene por objeto regular los actos relativos a la planeación, programación, </w:t>
      </w:r>
      <w:proofErr w:type="spellStart"/>
      <w:r>
        <w:rPr>
          <w:rFonts w:ascii="Palatino Linotype" w:eastAsia="Palatino Linotype" w:hAnsi="Palatino Linotype" w:cs="Palatino Linotype"/>
          <w:i/>
        </w:rPr>
        <w:t>presupuestación</w:t>
      </w:r>
      <w:proofErr w:type="spellEnd"/>
      <w:r>
        <w:rPr>
          <w:rFonts w:ascii="Palatino Linotype" w:eastAsia="Palatino Linotype" w:hAnsi="Palatino Linotype" w:cs="Palatino Linotype"/>
          <w:i/>
        </w:rPr>
        <w:t xml:space="preserve">, ejecución y control </w:t>
      </w:r>
      <w:r>
        <w:rPr>
          <w:rFonts w:ascii="Palatino Linotype" w:eastAsia="Palatino Linotype" w:hAnsi="Palatino Linotype" w:cs="Palatino Linotype"/>
          <w:b/>
          <w:i/>
          <w:u w:val="single"/>
        </w:rPr>
        <w:t>de la adquisición, enajenación y arrendamiento de bienes, y la contratación de servicios de cualquier naturaleza, que realicen</w:t>
      </w:r>
      <w:r>
        <w:rPr>
          <w:rFonts w:ascii="Palatino Linotype" w:eastAsia="Palatino Linotype" w:hAnsi="Palatino Linotype" w:cs="Palatino Linotype"/>
          <w:i/>
        </w:rPr>
        <w:t xml:space="preserve">: </w:t>
      </w:r>
    </w:p>
    <w:p w:rsidR="00817565" w:rsidRDefault="00786FAB">
      <w:pPr>
        <w:ind w:left="416" w:firstLine="291"/>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817565" w:rsidRDefault="00786FAB">
      <w:pPr>
        <w:ind w:left="416" w:firstLine="291"/>
        <w:jc w:val="both"/>
        <w:rPr>
          <w:rFonts w:ascii="Palatino Linotype" w:eastAsia="Palatino Linotype" w:hAnsi="Palatino Linotype" w:cs="Palatino Linotype"/>
        </w:rPr>
      </w:pPr>
      <w:r>
        <w:rPr>
          <w:rFonts w:ascii="Palatino Linotype" w:eastAsia="Palatino Linotype" w:hAnsi="Palatino Linotype" w:cs="Palatino Linotype"/>
          <w:i/>
        </w:rPr>
        <w:t>III. Los ayuntamientos de los municipios del Estado</w:t>
      </w:r>
      <w:r>
        <w:rPr>
          <w:rFonts w:ascii="Palatino Linotype" w:eastAsia="Palatino Linotype" w:hAnsi="Palatino Linotype" w:cs="Palatino Linotype"/>
        </w:rPr>
        <w:t xml:space="preserve">. </w:t>
      </w:r>
    </w:p>
    <w:p w:rsidR="00817565" w:rsidRDefault="00817565">
      <w:pPr>
        <w:ind w:left="416" w:firstLine="291"/>
        <w:jc w:val="both"/>
        <w:rPr>
          <w:rFonts w:ascii="Palatino Linotype" w:eastAsia="Palatino Linotype" w:hAnsi="Palatino Linotype" w:cs="Palatino Linotype"/>
        </w:rPr>
      </w:pP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20</w:t>
      </w:r>
      <w:r>
        <w:rPr>
          <w:rFonts w:ascii="Palatino Linotype" w:eastAsia="Palatino Linotype" w:hAnsi="Palatino Linotype" w:cs="Palatino Linotype"/>
          <w:i/>
        </w:rPr>
        <w:t xml:space="preserve">.- La Secretaría y los ayuntamientos establecerán y operarán el catálogo de bienes y servicios, de acuerdo con la reglamentación respectiva. </w:t>
      </w:r>
      <w:r>
        <w:rPr>
          <w:rFonts w:ascii="Palatino Linotype" w:eastAsia="Palatino Linotype" w:hAnsi="Palatino Linotype" w:cs="Palatino Linotype"/>
          <w:b/>
          <w:i/>
        </w:rPr>
        <w:t xml:space="preserve">Establecerán y operarán también el catálogo de bienes y servicios específicos que sean susceptibles de ser adquiridos o contratados </w:t>
      </w:r>
      <w:r>
        <w:rPr>
          <w:rFonts w:ascii="Palatino Linotype" w:eastAsia="Palatino Linotype" w:hAnsi="Palatino Linotype" w:cs="Palatino Linotype"/>
          <w:i/>
        </w:rPr>
        <w:t xml:space="preserve">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 </w:t>
      </w:r>
    </w:p>
    <w:p w:rsidR="00817565" w:rsidRDefault="00817565">
      <w:pPr>
        <w:ind w:left="416"/>
        <w:jc w:val="both"/>
        <w:rPr>
          <w:rFonts w:ascii="Palatino Linotype" w:eastAsia="Palatino Linotype" w:hAnsi="Palatino Linotype" w:cs="Palatino Linotype"/>
        </w:rPr>
      </w:pPr>
    </w:p>
    <w:p w:rsidR="00817565" w:rsidRDefault="00786FAB">
      <w:pPr>
        <w:ind w:left="416"/>
        <w:jc w:val="both"/>
        <w:rPr>
          <w:rFonts w:ascii="Palatino Linotype" w:eastAsia="Palatino Linotype" w:hAnsi="Palatino Linotype" w:cs="Palatino Linotype"/>
          <w:b/>
          <w:i/>
        </w:rPr>
      </w:pPr>
      <w:r>
        <w:rPr>
          <w:rFonts w:ascii="Palatino Linotype" w:eastAsia="Palatino Linotype" w:hAnsi="Palatino Linotype" w:cs="Palatino Linotype"/>
          <w:b/>
          <w:i/>
        </w:rPr>
        <w:t>Artículo 21.-</w:t>
      </w:r>
      <w:r>
        <w:rPr>
          <w:rFonts w:ascii="Palatino Linotype" w:eastAsia="Palatino Linotype" w:hAnsi="Palatino Linotype" w:cs="Palatino Linotype"/>
          <w:i/>
        </w:rPr>
        <w:t xml:space="preserve"> </w:t>
      </w:r>
      <w:r>
        <w:rPr>
          <w:rFonts w:ascii="Palatino Linotype" w:eastAsia="Palatino Linotype" w:hAnsi="Palatino Linotype" w:cs="Palatino Linotype"/>
          <w:b/>
          <w:i/>
        </w:rPr>
        <w:t>A fin de conocer la capacidad administrativa, financiera, legal y técnica de las fuentes de suministro</w:t>
      </w:r>
      <w:r>
        <w:rPr>
          <w:rFonts w:ascii="Palatino Linotype" w:eastAsia="Palatino Linotype" w:hAnsi="Palatino Linotype" w:cs="Palatino Linotype"/>
          <w:i/>
        </w:rPr>
        <w:t xml:space="preserve">, la Secretaría y </w:t>
      </w:r>
      <w:r>
        <w:rPr>
          <w:rFonts w:ascii="Palatino Linotype" w:eastAsia="Palatino Linotype" w:hAnsi="Palatino Linotype" w:cs="Palatino Linotype"/>
          <w:b/>
          <w:i/>
        </w:rPr>
        <w:t xml:space="preserve">los ayuntamientos integrarán un catálogo de proveedores y de prestadores de servicios. </w:t>
      </w:r>
    </w:p>
    <w:p w:rsidR="00817565" w:rsidRDefault="00817565">
      <w:pPr>
        <w:ind w:left="416"/>
        <w:jc w:val="both"/>
        <w:rPr>
          <w:rFonts w:ascii="Palatino Linotype" w:eastAsia="Palatino Linotype" w:hAnsi="Palatino Linotype" w:cs="Palatino Linotype"/>
          <w:i/>
        </w:rPr>
      </w:pP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 </w:t>
      </w: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22.-</w:t>
      </w:r>
      <w:r>
        <w:rPr>
          <w:rFonts w:ascii="Palatino Linotype" w:eastAsia="Palatino Linotype" w:hAnsi="Palatino Linotype" w:cs="Palatino Linotype"/>
          <w:i/>
        </w:rPr>
        <w:t xml:space="preserve"> Lo</w:t>
      </w:r>
      <w:r>
        <w:rPr>
          <w:rFonts w:ascii="Palatino Linotype" w:eastAsia="Palatino Linotype" w:hAnsi="Palatino Linotype" w:cs="Palatino Linotype"/>
          <w:b/>
          <w:i/>
        </w:rPr>
        <w:t>s comités son órganos colegiados con facultades de opinión, que tienen por objeto auxiliar a</w:t>
      </w:r>
      <w:r>
        <w:rPr>
          <w:rFonts w:ascii="Palatino Linotype" w:eastAsia="Palatino Linotype" w:hAnsi="Palatino Linotype" w:cs="Palatino Linotype"/>
          <w:i/>
        </w:rPr>
        <w:t xml:space="preserve"> la Secretaría, entidades, tribunales administrativos y </w:t>
      </w:r>
      <w:r>
        <w:rPr>
          <w:rFonts w:ascii="Palatino Linotype" w:eastAsia="Palatino Linotype" w:hAnsi="Palatino Linotype" w:cs="Palatino Linotype"/>
          <w:b/>
          <w:i/>
        </w:rPr>
        <w:t>ayuntamientos</w:t>
      </w:r>
      <w:r>
        <w:rPr>
          <w:rFonts w:ascii="Palatino Linotype" w:eastAsia="Palatino Linotype" w:hAnsi="Palatino Linotype" w:cs="Palatino Linotype"/>
          <w:i/>
        </w:rPr>
        <w:t xml:space="preserve">,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w:t>
      </w:r>
      <w:r>
        <w:rPr>
          <w:rFonts w:ascii="Palatino Linotype" w:eastAsia="Palatino Linotype" w:hAnsi="Palatino Linotype" w:cs="Palatino Linotype"/>
          <w:b/>
          <w:i/>
        </w:rPr>
        <w:t xml:space="preserve">los ayuntamientos se auxiliarán de un comité de arrendamientos, adquisiciones de inmuebles </w:t>
      </w:r>
      <w:r>
        <w:rPr>
          <w:rFonts w:ascii="Palatino Linotype" w:eastAsia="Palatino Linotype" w:hAnsi="Palatino Linotype" w:cs="Palatino Linotype"/>
          <w:i/>
        </w:rPr>
        <w:t>y enajenaciones</w:t>
      </w:r>
      <w:r>
        <w:rPr>
          <w:rFonts w:ascii="Palatino Linotype" w:eastAsia="Palatino Linotype" w:hAnsi="Palatino Linotype" w:cs="Palatino Linotype"/>
          <w:b/>
          <w:i/>
        </w:rPr>
        <w:t>.”</w:t>
      </w:r>
      <w:r>
        <w:rPr>
          <w:rFonts w:ascii="Palatino Linotype" w:eastAsia="Palatino Linotype" w:hAnsi="Palatino Linotype" w:cs="Palatino Linotype"/>
          <w:i/>
        </w:rPr>
        <w:t xml:space="preserve"> </w:t>
      </w:r>
    </w:p>
    <w:p w:rsidR="00817565" w:rsidRDefault="00817565">
      <w:pPr>
        <w:jc w:val="both"/>
        <w:rPr>
          <w:rFonts w:ascii="Palatino Linotype" w:eastAsia="Palatino Linotype" w:hAnsi="Palatino Linotype" w:cs="Palatino Linotype"/>
          <w:i/>
        </w:rPr>
      </w:pP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23.- Los comités de adquisiciones y de servicios tendrán las funciones siguientes</w:t>
      </w:r>
      <w:r>
        <w:rPr>
          <w:rFonts w:ascii="Palatino Linotype" w:eastAsia="Palatino Linotype" w:hAnsi="Palatino Linotype" w:cs="Palatino Linotype"/>
          <w:i/>
        </w:rPr>
        <w:t xml:space="preserve">: </w:t>
      </w:r>
    </w:p>
    <w:p w:rsidR="00817565" w:rsidRDefault="00786FAB">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Dictaminar sobre la procedencia de los casos de excepción al procedimiento de licitación pública. </w:t>
      </w:r>
    </w:p>
    <w:p w:rsidR="00817565" w:rsidRDefault="00786FAB">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Participar en los procedimientos de licitación, invitación restringida y adjudicación directa, hasta dejarlos en estado de dictar el fallo correspondiente, incluidos los que tengan que desahogarse bajo la modalidad de subasta inversa. </w:t>
      </w:r>
    </w:p>
    <w:p w:rsidR="00817565" w:rsidRDefault="00786FAB">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Emitir los dictámenes de adjudicación. </w:t>
      </w:r>
    </w:p>
    <w:p w:rsidR="00817565" w:rsidRDefault="00786FAB">
      <w:pPr>
        <w:numPr>
          <w:ilvl w:val="0"/>
          <w:numId w:val="1"/>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Las demás que establezca el reglamento de esta Ley.” </w:t>
      </w:r>
    </w:p>
    <w:p w:rsidR="00817565" w:rsidRDefault="00817565">
      <w:pPr>
        <w:jc w:val="both"/>
        <w:rPr>
          <w:rFonts w:ascii="Palatino Linotype" w:eastAsia="Palatino Linotype" w:hAnsi="Palatino Linotype" w:cs="Palatino Linotype"/>
          <w:b/>
          <w:i/>
        </w:rPr>
      </w:pP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24.-</w:t>
      </w:r>
      <w:r>
        <w:rPr>
          <w:rFonts w:ascii="Palatino Linotype" w:eastAsia="Palatino Linotype" w:hAnsi="Palatino Linotype" w:cs="Palatino Linotype"/>
          <w:i/>
        </w:rPr>
        <w:t xml:space="preserve"> El comité de arrendamientos, </w:t>
      </w:r>
      <w:r>
        <w:rPr>
          <w:rFonts w:ascii="Palatino Linotype" w:eastAsia="Palatino Linotype" w:hAnsi="Palatino Linotype" w:cs="Palatino Linotype"/>
          <w:i/>
          <w:u w:val="single"/>
        </w:rPr>
        <w:t>adquisiciones de inmuebles</w:t>
      </w:r>
      <w:r>
        <w:rPr>
          <w:rFonts w:ascii="Palatino Linotype" w:eastAsia="Palatino Linotype" w:hAnsi="Palatino Linotype" w:cs="Palatino Linotype"/>
          <w:i/>
        </w:rPr>
        <w:t xml:space="preserve"> y enajenaciones tendrá las funciones siguientes: </w:t>
      </w:r>
    </w:p>
    <w:p w:rsidR="00817565" w:rsidRDefault="00786FAB">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Dictaminar sobre la procedencia de los casos de excepción al procedimiento de licitación pública, tratándose de adquisición de inmuebles y arrendamientos.</w:t>
      </w:r>
    </w:p>
    <w:p w:rsidR="00817565" w:rsidRDefault="00786FAB">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 Participar en los procedimientos de licitación, invitación restringida y adjudicación directa, hasta dejarlos en estado de dictar el fallo correspondiente, tratándose de adquisición de inmuebles y arrendamientos. </w:t>
      </w:r>
    </w:p>
    <w:p w:rsidR="00817565" w:rsidRDefault="00786FAB">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Emitir los dictámenes de adjudicación, tratándose de adquisiciones de inmuebles y arrendamientos. </w:t>
      </w:r>
    </w:p>
    <w:p w:rsidR="00817565" w:rsidRDefault="00786FAB">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Participar en los procedimientos de subasta pública, hasta dejarlos en estado de dictar el fallo de adjudicación. </w:t>
      </w:r>
    </w:p>
    <w:p w:rsidR="00817565" w:rsidRDefault="00786FAB">
      <w:pPr>
        <w:numPr>
          <w:ilvl w:val="0"/>
          <w:numId w:val="2"/>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Las demás que establezca el reglamento de esta Ley.” </w:t>
      </w: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26</w:t>
      </w:r>
      <w:r>
        <w:rPr>
          <w:rFonts w:ascii="Palatino Linotype" w:eastAsia="Palatino Linotype" w:hAnsi="Palatino Linotype" w:cs="Palatino Linotype"/>
          <w:i/>
        </w:rPr>
        <w:t xml:space="preserve">.- </w:t>
      </w:r>
      <w:r>
        <w:rPr>
          <w:rFonts w:ascii="Palatino Linotype" w:eastAsia="Palatino Linotype" w:hAnsi="Palatino Linotype" w:cs="Palatino Linotype"/>
          <w:b/>
          <w:i/>
        </w:rPr>
        <w:t>Las adquisiciones, arrendamientos y servicios se adjudicarán a través de licitaciones públicas, mediante convocatoria pública</w:t>
      </w:r>
    </w:p>
    <w:p w:rsidR="00817565" w:rsidRDefault="00817565">
      <w:pPr>
        <w:ind w:left="416"/>
        <w:jc w:val="both"/>
        <w:rPr>
          <w:rFonts w:ascii="Palatino Linotype" w:eastAsia="Palatino Linotype" w:hAnsi="Palatino Linotype" w:cs="Palatino Linotype"/>
          <w:b/>
          <w:i/>
        </w:rPr>
      </w:pP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27</w:t>
      </w:r>
      <w:r>
        <w:rPr>
          <w:rFonts w:ascii="Palatino Linotype" w:eastAsia="Palatino Linotype" w:hAnsi="Palatino Linotype" w:cs="Palatino Linotype"/>
          <w:i/>
        </w:rPr>
        <w:t>.- La Secretaría, las entidades, los tribunales administrativos y los ayuntamientos podrán adjudicar adquisiciones, arrendamientos y servicios, mediante las excepciones al procedimiento de licitación que a continuación se señalan:</w:t>
      </w:r>
    </w:p>
    <w:p w:rsidR="00817565" w:rsidRDefault="00786FAB">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Invitación restringida.</w:t>
      </w:r>
    </w:p>
    <w:p w:rsidR="00817565" w:rsidRDefault="00786FAB">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Adjudicación directa. </w:t>
      </w:r>
    </w:p>
    <w:p w:rsidR="00817565" w:rsidRDefault="00817565">
      <w:pPr>
        <w:jc w:val="both"/>
        <w:rPr>
          <w:rFonts w:ascii="Palatino Linotype" w:eastAsia="Palatino Linotype" w:hAnsi="Palatino Linotype" w:cs="Palatino Linotype"/>
          <w:b/>
          <w:i/>
        </w:rPr>
      </w:pP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39.-</w:t>
      </w:r>
      <w:r>
        <w:rPr>
          <w:rFonts w:ascii="Palatino Linotype" w:eastAsia="Palatino Linotype" w:hAnsi="Palatino Linotype" w:cs="Palatino Linotype"/>
          <w:i/>
        </w:rPr>
        <w:t xml:space="preserve"> Para cada uno de los actos del procedimiento adquisitivo se levantará el acta respectiva, la cual será firmada por los participantes, sin que la falta de firma de alguno de ellos invalide su contenido y efectos.</w:t>
      </w:r>
    </w:p>
    <w:p w:rsidR="00817565" w:rsidRDefault="00817565">
      <w:pPr>
        <w:ind w:left="416"/>
        <w:jc w:val="both"/>
        <w:rPr>
          <w:rFonts w:ascii="Palatino Linotype" w:eastAsia="Palatino Linotype" w:hAnsi="Palatino Linotype" w:cs="Palatino Linotype"/>
          <w:i/>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se trae a colación la Ley de Fiscalización Superior del Estado de México, que señala que son sujetos de fiscalización los Municipios del Estado de México, además, en su artículo 2, fracciones VIII y XI, establece lo que es la Cuenta Pública y los Informes trimestrales, tal como se precisa a continuación:</w:t>
      </w:r>
    </w:p>
    <w:p w:rsidR="00817565" w:rsidRDefault="00786FAB">
      <w:pPr>
        <w:ind w:firstLine="708"/>
        <w:jc w:val="both"/>
        <w:rPr>
          <w:rFonts w:ascii="Palatino Linotype" w:eastAsia="Palatino Linotype" w:hAnsi="Palatino Linotype" w:cs="Palatino Linotype"/>
          <w:b/>
          <w:i/>
        </w:rPr>
      </w:pPr>
      <w:r>
        <w:rPr>
          <w:rFonts w:ascii="Palatino Linotype" w:eastAsia="Palatino Linotype" w:hAnsi="Palatino Linotype" w:cs="Palatino Linotype"/>
          <w:b/>
          <w:i/>
        </w:rPr>
        <w:t>Artículo 2. Para los efectos de la presente Ley, se entenderá por:</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VIII. Cuenta Pública: Los informes que rinden anualmente a la Legislatura, el Gobernador y los Presidentes Municipales, respecto de los resultados y la situación financiera del ejercicio fiscal inmediato anterior según corresponda;</w:t>
      </w:r>
    </w:p>
    <w:p w:rsidR="00817565" w:rsidRDefault="00786FAB">
      <w:pPr>
        <w:tabs>
          <w:tab w:val="left" w:pos="2595"/>
        </w:tabs>
        <w:ind w:left="708"/>
        <w:jc w:val="both"/>
        <w:rPr>
          <w:rFonts w:ascii="Palatino Linotype" w:eastAsia="Palatino Linotype" w:hAnsi="Palatino Linotype" w:cs="Palatino Linotype"/>
          <w:i/>
        </w:rPr>
      </w:pPr>
      <w:r>
        <w:rPr>
          <w:rFonts w:ascii="Palatino Linotype" w:eastAsia="Palatino Linotype" w:hAnsi="Palatino Linotype" w:cs="Palatino Linotype"/>
          <w:i/>
        </w:rPr>
        <w:tab/>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XI. Informe Trimestral: Al documento físico o electrónico que trimestralmente presentan las entidades fiscalizables, a través de las tesorerías municipales y de la Secretaría de Finanzas o equivalentes, sobre la situación económica, las finanzas públicas y, en su caso, respecto a la deuda pública, para su análisis por el Órgano Superior;</w:t>
      </w:r>
    </w:p>
    <w:p w:rsidR="00817565" w:rsidRDefault="00817565">
      <w:pPr>
        <w:ind w:left="708"/>
        <w:jc w:val="both"/>
        <w:rPr>
          <w:rFonts w:ascii="Palatino Linotype" w:eastAsia="Palatino Linotype" w:hAnsi="Palatino Linotype" w:cs="Palatino Linotype"/>
          <w:i/>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 anterior, se advierte que el Sujeto Obligado, cuenta con la competencia para regular los actos relativos a la planeación, programación, </w:t>
      </w:r>
      <w:proofErr w:type="spellStart"/>
      <w:r>
        <w:rPr>
          <w:rFonts w:ascii="Palatino Linotype" w:eastAsia="Palatino Linotype" w:hAnsi="Palatino Linotype" w:cs="Palatino Linotype"/>
          <w:sz w:val="24"/>
          <w:szCs w:val="24"/>
        </w:rPr>
        <w:t>presupuestación</w:t>
      </w:r>
      <w:proofErr w:type="spellEnd"/>
      <w:r>
        <w:rPr>
          <w:rFonts w:ascii="Palatino Linotype" w:eastAsia="Palatino Linotype" w:hAnsi="Palatino Linotype" w:cs="Palatino Linotype"/>
          <w:sz w:val="24"/>
          <w:szCs w:val="24"/>
        </w:rPr>
        <w:t xml:space="preserve">, ejecución y control de la adquisición y arrendamiento de bienes, así como la contratación de servicios de cualquier naturaleza; para tales efectos, se auxilia de los comités de arrendamientos y de </w:t>
      </w:r>
      <w:r>
        <w:rPr>
          <w:rFonts w:ascii="Palatino Linotype" w:eastAsia="Palatino Linotype" w:hAnsi="Palatino Linotype" w:cs="Palatino Linotype"/>
          <w:sz w:val="24"/>
          <w:szCs w:val="24"/>
          <w:u w:val="single"/>
        </w:rPr>
        <w:t>adquisiciones de inmuebles</w:t>
      </w:r>
      <w:r>
        <w:rPr>
          <w:rFonts w:ascii="Palatino Linotype" w:eastAsia="Palatino Linotype" w:hAnsi="Palatino Linotype" w:cs="Palatino Linotype"/>
          <w:sz w:val="24"/>
          <w:szCs w:val="24"/>
        </w:rPr>
        <w:t xml:space="preserve"> y enajenaciones, quienes, entre otras funciones, emiten los dictámenes correspondientes a la adjudicación, debiendo levantar para cada procedimiento adquisitivo el acta respectiva.</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su parte la Ley de Contratación Pública del Estado de México y Municipios, establece que los ayuntamientos deberán programar sus adquisiciones, arrendamientos y servicios, tal como refiere en sus artículos:</w:t>
      </w:r>
    </w:p>
    <w:p w:rsidR="00817565" w:rsidRDefault="00786FAB">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10.- Las dependencias, entidades, ayuntamientos y tribunales administrativos deberán programar sus adquisiciones, arrendamientos y servicios, tomando en consideración, según corresponda, lo siguiente: </w:t>
      </w:r>
    </w:p>
    <w:p w:rsidR="00817565" w:rsidRDefault="00786FAB">
      <w:pPr>
        <w:numPr>
          <w:ilvl w:val="0"/>
          <w:numId w:val="4"/>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lastRenderedPageBreak/>
        <w:t xml:space="preserve">Los objetivos, estrategias y líneas de acción establecidos en el Plan de Desarrollo del Estado de México, los criterios generales de política social fijados por el titular del Poder Ejecutivo, y las previsiones contenidas en los programas sectoriales. </w:t>
      </w:r>
    </w:p>
    <w:p w:rsidR="00817565" w:rsidRDefault="00786FAB">
      <w:pPr>
        <w:numPr>
          <w:ilvl w:val="0"/>
          <w:numId w:val="4"/>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objetivos, estrategias y líneas de acción establecidos en los planes de desarrollo municipal. </w:t>
      </w:r>
    </w:p>
    <w:p w:rsidR="00817565" w:rsidRDefault="00786FAB">
      <w:pPr>
        <w:numPr>
          <w:ilvl w:val="0"/>
          <w:numId w:val="4"/>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Las actividades sustantivas que desarrollen para cumplir con los programas prioritarios que tienen bajo su responsabilidad. </w:t>
      </w:r>
    </w:p>
    <w:p w:rsidR="00817565" w:rsidRDefault="00786FAB">
      <w:pPr>
        <w:numPr>
          <w:ilvl w:val="0"/>
          <w:numId w:val="4"/>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Las medidas que en materia de austeridad señale el Presupuesto de Egresos respectivo.</w:t>
      </w:r>
    </w:p>
    <w:p w:rsidR="00817565" w:rsidRDefault="00786FAB">
      <w:pPr>
        <w:pBdr>
          <w:top w:val="nil"/>
          <w:left w:val="nil"/>
          <w:bottom w:val="nil"/>
          <w:right w:val="nil"/>
          <w:between w:val="nil"/>
        </w:pBdr>
        <w:spacing w:before="240" w:line="276"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11.- Las dependencias, entidades, ayuntamientos y tribunales administrativos, al formular sus programas anuales de adquisiciones, arrendamientos y servicios, además de lo establecido en otras disposiciones legales, deberán observar lo siguiente:  </w:t>
      </w:r>
    </w:p>
    <w:p w:rsidR="00817565" w:rsidRDefault="00786FAB">
      <w:pPr>
        <w:numPr>
          <w:ilvl w:val="0"/>
          <w:numId w:val="5"/>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Los bienes, arrendamientos y servicios que solucionen de manera adecuada sus necesidades de operación.</w:t>
      </w:r>
    </w:p>
    <w:p w:rsidR="00817565" w:rsidRDefault="00786FAB">
      <w:pPr>
        <w:numPr>
          <w:ilvl w:val="0"/>
          <w:numId w:val="5"/>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recursos financieros y materiales, y los servicios con los que se cuente. </w:t>
      </w:r>
    </w:p>
    <w:p w:rsidR="00817565" w:rsidRDefault="00786FAB">
      <w:pPr>
        <w:numPr>
          <w:ilvl w:val="0"/>
          <w:numId w:val="5"/>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plazos estimados en los que se requerirán los bienes, arrendamientos y servicios. </w:t>
      </w:r>
    </w:p>
    <w:p w:rsidR="00817565" w:rsidRDefault="00786FAB">
      <w:pPr>
        <w:numPr>
          <w:ilvl w:val="0"/>
          <w:numId w:val="5"/>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Las políticas y normas administrativas que establezcan la Oficialía Mayor y los ayuntamientos, en su caso, para optimizar las adquisiciones, arrendamientos y servicios. </w:t>
      </w:r>
    </w:p>
    <w:p w:rsidR="00817565" w:rsidRDefault="00786FAB">
      <w:pPr>
        <w:numPr>
          <w:ilvl w:val="0"/>
          <w:numId w:val="5"/>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Las demás previsiones que sean necesarias para la adecuada planeación, operación y ejecución de los programas y acciones correspondientes. </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Las dependencias, entidades estatales, ayuntamientos y tribunales administrativos, formularán sus programas de adquisiciones, arrendamientos y servicios, simultáneamente con sus programas anuales y proyectos de presupuestos de egresos</w:t>
      </w:r>
      <w:r>
        <w:t>.</w:t>
      </w:r>
    </w:p>
    <w:p w:rsidR="00817565" w:rsidRDefault="00817565">
      <w:pPr>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 anterior la Ley de Transparencia en su numeral 92 en su fracción XXIX establece como obligación de transparencia común la información sobre los procesos y resultados de procedimientos de adjudicación directa, invitación restringida y licitación de cualquier naturaleza, en los términos siguientes; </w:t>
      </w:r>
    </w:p>
    <w:p w:rsidR="00817565" w:rsidRDefault="00786FAB">
      <w:pPr>
        <w:ind w:left="416"/>
        <w:jc w:val="center"/>
        <w:rPr>
          <w:rFonts w:ascii="Palatino Linotype" w:eastAsia="Palatino Linotype" w:hAnsi="Palatino Linotype" w:cs="Palatino Linotype"/>
          <w:b/>
          <w:i/>
        </w:rPr>
      </w:pPr>
      <w:r>
        <w:rPr>
          <w:rFonts w:ascii="Palatino Linotype" w:eastAsia="Palatino Linotype" w:hAnsi="Palatino Linotype" w:cs="Palatino Linotype"/>
          <w:b/>
          <w:i/>
        </w:rPr>
        <w:t>Capítulo II De las Obligaciones de Transparencia Comunes</w:t>
      </w: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92.</w:t>
      </w:r>
      <w:r>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817565" w:rsidRDefault="00817565">
      <w:pPr>
        <w:jc w:val="both"/>
        <w:rPr>
          <w:rFonts w:ascii="Palatino Linotype" w:eastAsia="Palatino Linotype" w:hAnsi="Palatino Linotype" w:cs="Palatino Linotype"/>
        </w:rPr>
      </w:pP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XXIX.</w:t>
      </w:r>
      <w:r>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incluyendo la versión pública del expediente respectivo y </w:t>
      </w:r>
      <w:r>
        <w:rPr>
          <w:rFonts w:ascii="Palatino Linotype" w:eastAsia="Palatino Linotype" w:hAnsi="Palatino Linotype" w:cs="Palatino Linotype"/>
          <w:b/>
          <w:i/>
          <w:u w:val="single"/>
        </w:rPr>
        <w:t>de los contratos celebrados</w:t>
      </w:r>
      <w:r>
        <w:rPr>
          <w:rFonts w:ascii="Palatino Linotype" w:eastAsia="Palatino Linotype" w:hAnsi="Palatino Linotype" w:cs="Palatino Linotype"/>
          <w:i/>
        </w:rPr>
        <w:t>, que deberán contener, por los menos, lo siguiente:</w:t>
      </w:r>
    </w:p>
    <w:p w:rsidR="00817565" w:rsidRDefault="00817565">
      <w:pPr>
        <w:jc w:val="both"/>
        <w:rPr>
          <w:rFonts w:ascii="Palatino Linotype" w:eastAsia="Palatino Linotype" w:hAnsi="Palatino Linotype" w:cs="Palatino Linotype"/>
          <w:i/>
        </w:rPr>
      </w:pPr>
    </w:p>
    <w:p w:rsidR="00817565" w:rsidRDefault="00786FAB">
      <w:pPr>
        <w:ind w:left="416"/>
        <w:jc w:val="both"/>
        <w:rPr>
          <w:rFonts w:ascii="Palatino Linotype" w:eastAsia="Palatino Linotype" w:hAnsi="Palatino Linotype" w:cs="Palatino Linotype"/>
          <w:i/>
        </w:rPr>
      </w:pPr>
      <w:r>
        <w:rPr>
          <w:rFonts w:ascii="Palatino Linotype" w:eastAsia="Palatino Linotype" w:hAnsi="Palatino Linotype" w:cs="Palatino Linotype"/>
          <w:i/>
        </w:rPr>
        <w:t xml:space="preserve">a) De licitaciones públicas o procedimientos de invitación restringida: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 La convocatoria o invitación emitida, así como los fundamentos legales aplicados para llevarla a cabo;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2) Los nombres de los participantes o invitados;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3) El nombre del ganador y las razones que lo justifican;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4) El área solicitante y la responsable de su ejecución;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5) Las convocatorias e invitaciones emitidas; </w:t>
      </w:r>
    </w:p>
    <w:p w:rsidR="00817565" w:rsidRDefault="00786FAB">
      <w:pPr>
        <w:ind w:left="708"/>
        <w:jc w:val="both"/>
      </w:pPr>
      <w:r>
        <w:rPr>
          <w:rFonts w:ascii="Palatino Linotype" w:eastAsia="Palatino Linotype" w:hAnsi="Palatino Linotype" w:cs="Palatino Linotype"/>
          <w:i/>
        </w:rPr>
        <w:lastRenderedPageBreak/>
        <w:t>6) Los dictámenes y fallo de adjudicación;</w:t>
      </w:r>
      <w:r>
        <w:t xml:space="preserve">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7) </w:t>
      </w:r>
      <w:r>
        <w:rPr>
          <w:rFonts w:ascii="Palatino Linotype" w:eastAsia="Palatino Linotype" w:hAnsi="Palatino Linotype" w:cs="Palatino Linotype"/>
          <w:b/>
          <w:i/>
          <w:u w:val="single"/>
        </w:rPr>
        <w:t>El contrato y, en su caso, sus anexos</w:t>
      </w:r>
      <w:r>
        <w:rPr>
          <w:rFonts w:ascii="Palatino Linotype" w:eastAsia="Palatino Linotype" w:hAnsi="Palatino Linotype" w:cs="Palatino Linotype"/>
          <w:i/>
        </w:rPr>
        <w:t>;</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 8) Los mecanismos de vigilancia y supervisión, incluyendo en su caso, los estudios de impacto urbano y ambiental, según corresponda;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9) La partida presupuestal, de conformidad con el clasificador por objeto del gasto, en el caso de ser aplicable;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10) Origen de los recursos especificando si son federales, estatales o municipales, así como el tipo de fondo de participación o aportación respectiva;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11) Los convenios modificatorios que, en su caso, sean firmados, precisando el objeto y la fecha de celebración;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12) Los informes de avance físico y financiero sobre las obras o servicios contratados;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13) El convenio de terminación; y </w:t>
      </w:r>
    </w:p>
    <w:p w:rsidR="00817565" w:rsidRDefault="00786FAB">
      <w:pPr>
        <w:ind w:left="708"/>
        <w:jc w:val="both"/>
        <w:rPr>
          <w:rFonts w:ascii="Palatino Linotype" w:eastAsia="Palatino Linotype" w:hAnsi="Palatino Linotype" w:cs="Palatino Linotype"/>
          <w:i/>
        </w:rPr>
      </w:pPr>
      <w:r>
        <w:rPr>
          <w:rFonts w:ascii="Palatino Linotype" w:eastAsia="Palatino Linotype" w:hAnsi="Palatino Linotype" w:cs="Palatino Linotype"/>
          <w:i/>
        </w:rPr>
        <w:t>14) El finiquito</w:t>
      </w:r>
      <w:r>
        <w:t>.</w:t>
      </w:r>
    </w:p>
    <w:p w:rsidR="00817565" w:rsidRDefault="00786FAB">
      <w:pPr>
        <w:ind w:firstLine="416"/>
        <w:jc w:val="both"/>
        <w:rPr>
          <w:rFonts w:ascii="Palatino Linotype" w:eastAsia="Palatino Linotype" w:hAnsi="Palatino Linotype" w:cs="Palatino Linotype"/>
          <w:i/>
        </w:rPr>
      </w:pPr>
      <w:r>
        <w:rPr>
          <w:rFonts w:ascii="Palatino Linotype" w:eastAsia="Palatino Linotype" w:hAnsi="Palatino Linotype" w:cs="Palatino Linotype"/>
          <w:i/>
        </w:rPr>
        <w:t>b) De las adjudicaciones directas:</w:t>
      </w:r>
    </w:p>
    <w:p w:rsidR="00817565" w:rsidRDefault="00786FAB">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1) La propuesta enviada por el participante;</w:t>
      </w:r>
    </w:p>
    <w:p w:rsidR="00817565" w:rsidRDefault="00786FAB">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 2) Los motivos y fundamentos legales aplicados para llevarla a cabo; </w:t>
      </w:r>
    </w:p>
    <w:p w:rsidR="00817565" w:rsidRDefault="00786FAB">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3) La autorización del ejercicio de la opción; </w:t>
      </w:r>
    </w:p>
    <w:p w:rsidR="00817565" w:rsidRDefault="00786FAB">
      <w:pPr>
        <w:ind w:left="701"/>
        <w:jc w:val="both"/>
        <w:rPr>
          <w:rFonts w:ascii="Palatino Linotype" w:eastAsia="Palatino Linotype" w:hAnsi="Palatino Linotype" w:cs="Palatino Linotype"/>
          <w:i/>
        </w:rPr>
      </w:pPr>
      <w:r>
        <w:rPr>
          <w:rFonts w:ascii="Palatino Linotype" w:eastAsia="Palatino Linotype" w:hAnsi="Palatino Linotype" w:cs="Palatino Linotype"/>
          <w:i/>
        </w:rPr>
        <w:t>4) En su caso, las cotizaciones consideradas, especificando los nombres de los proveedores y sus montos;</w:t>
      </w:r>
    </w:p>
    <w:p w:rsidR="00817565" w:rsidRDefault="00786FAB">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 5) El nombre de la persona física o jurídica colectiva adjudicada; </w:t>
      </w:r>
    </w:p>
    <w:p w:rsidR="00817565" w:rsidRDefault="00786FAB">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6) La unidad administrativa solicitante y la responsable de su ejecución; </w:t>
      </w:r>
    </w:p>
    <w:p w:rsidR="00817565" w:rsidRDefault="00786FAB">
      <w:pPr>
        <w:ind w:left="701"/>
        <w:jc w:val="both"/>
        <w:rPr>
          <w:rFonts w:ascii="Palatino Linotype" w:eastAsia="Palatino Linotype" w:hAnsi="Palatino Linotype" w:cs="Palatino Linotype"/>
          <w:b/>
          <w:i/>
        </w:rPr>
      </w:pPr>
      <w:r>
        <w:rPr>
          <w:rFonts w:ascii="Palatino Linotype" w:eastAsia="Palatino Linotype" w:hAnsi="Palatino Linotype" w:cs="Palatino Linotype"/>
          <w:i/>
        </w:rPr>
        <w:t xml:space="preserve">7) El número, fecha, el monto </w:t>
      </w:r>
      <w:r>
        <w:rPr>
          <w:rFonts w:ascii="Palatino Linotype" w:eastAsia="Palatino Linotype" w:hAnsi="Palatino Linotype" w:cs="Palatino Linotype"/>
          <w:b/>
          <w:i/>
        </w:rPr>
        <w:t xml:space="preserve">del contrato y el plazo de entrega o de ejecución de los servicios u obra; </w:t>
      </w:r>
    </w:p>
    <w:p w:rsidR="00817565" w:rsidRDefault="00786FAB">
      <w:pPr>
        <w:ind w:left="701"/>
        <w:jc w:val="both"/>
        <w:rPr>
          <w:rFonts w:ascii="Palatino Linotype" w:eastAsia="Palatino Linotype" w:hAnsi="Palatino Linotype" w:cs="Palatino Linotype"/>
          <w:i/>
        </w:rPr>
      </w:pPr>
      <w:r>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rsidR="00817565" w:rsidRDefault="00786FAB">
      <w:pPr>
        <w:ind w:left="701"/>
        <w:jc w:val="both"/>
        <w:rPr>
          <w:rFonts w:ascii="Palatino Linotype" w:eastAsia="Palatino Linotype" w:hAnsi="Palatino Linotype" w:cs="Palatino Linotype"/>
          <w:i/>
        </w:rPr>
      </w:pPr>
      <w:r>
        <w:rPr>
          <w:rFonts w:ascii="Palatino Linotype" w:eastAsia="Palatino Linotype" w:hAnsi="Palatino Linotype" w:cs="Palatino Linotype"/>
          <w:i/>
        </w:rPr>
        <w:t xml:space="preserve">9) Los informes de avance sobre las obras o servicios contratados; </w:t>
      </w:r>
    </w:p>
    <w:p w:rsidR="00817565" w:rsidRDefault="00786FAB">
      <w:pPr>
        <w:ind w:left="701"/>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10) El convenio de terminación; y </w:t>
      </w:r>
    </w:p>
    <w:p w:rsidR="00817565" w:rsidRDefault="00786FAB">
      <w:pPr>
        <w:ind w:left="701"/>
        <w:jc w:val="both"/>
        <w:rPr>
          <w:rFonts w:ascii="Palatino Linotype" w:eastAsia="Palatino Linotype" w:hAnsi="Palatino Linotype" w:cs="Palatino Linotype"/>
          <w:i/>
        </w:rPr>
      </w:pPr>
      <w:r>
        <w:rPr>
          <w:rFonts w:ascii="Palatino Linotype" w:eastAsia="Palatino Linotype" w:hAnsi="Palatino Linotype" w:cs="Palatino Linotype"/>
          <w:i/>
        </w:rPr>
        <w:t>11) El finiquito</w:t>
      </w:r>
    </w:p>
    <w:p w:rsidR="00817565" w:rsidRDefault="00817565">
      <w:pPr>
        <w:spacing w:line="360" w:lineRule="auto"/>
        <w:jc w:val="both"/>
        <w:rPr>
          <w:rFonts w:ascii="Palatino Linotype" w:eastAsia="Palatino Linotype" w:hAnsi="Palatino Linotype" w:cs="Palatino Linotype"/>
          <w:sz w:val="24"/>
          <w:szCs w:val="24"/>
          <w:highlight w:val="yellow"/>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Aunado a ello, los documentos a los que el Recurrente pretende acceder son contratos por naturaleza pública y que además constan en documentos definitivos que no se van a modificar. Es decir, soportes documentales cuyo contenido de forma y fondo no es susceptible de variar por razón alguna.</w:t>
      </w: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resulta prudente tomar en consideración lo plasmado en el criterio 09/2004 emitido por la Suprema Corte de Justicia de la Nación, cuya literalidad es la siguiente:</w:t>
      </w:r>
    </w:p>
    <w:p w:rsidR="00817565" w:rsidRDefault="00786FAB">
      <w:pPr>
        <w:tabs>
          <w:tab w:val="left" w:pos="496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INFORMACIÓN SUJETA A REVISIÓN. SI YA CONSTA EN UN DOCUMENTO DEFINITIVO, DEBE PERMITIRSE EL ACCESO A ÉSTE</w:t>
      </w:r>
      <w:r>
        <w:rPr>
          <w:rFonts w:ascii="Palatino Linotype" w:eastAsia="Palatino Linotype" w:hAnsi="Palatino Linotype" w:cs="Palatino Linotype"/>
          <w:i/>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rsidR="00817565" w:rsidRDefault="00786FAB">
      <w:pPr>
        <w:tabs>
          <w:tab w:val="left" w:pos="496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Clasificación de la información 10/2004-J, 19 de mayo de 2004.</w:t>
      </w:r>
    </w:p>
    <w:p w:rsidR="00817565" w:rsidRDefault="00786FAB">
      <w:pPr>
        <w:tabs>
          <w:tab w:val="left" w:pos="496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Unanimidad de votos"</w:t>
      </w:r>
    </w:p>
    <w:p w:rsidR="00817565" w:rsidRDefault="00817565">
      <w:pPr>
        <w:tabs>
          <w:tab w:val="left" w:pos="4962"/>
        </w:tabs>
        <w:spacing w:line="360" w:lineRule="auto"/>
        <w:ind w:right="539"/>
        <w:jc w:val="both"/>
        <w:rPr>
          <w:rFonts w:ascii="Palatino Linotype" w:eastAsia="Palatino Linotype" w:hAnsi="Palatino Linotype" w:cs="Palatino Linotype"/>
          <w:i/>
        </w:rPr>
      </w:pPr>
    </w:p>
    <w:p w:rsidR="00817565" w:rsidRPr="00835B47" w:rsidRDefault="00786FAB">
      <w:pPr>
        <w:tabs>
          <w:tab w:val="left" w:pos="4962"/>
        </w:tabs>
        <w:spacing w:line="360" w:lineRule="auto"/>
        <w:ind w:right="539"/>
        <w:jc w:val="both"/>
        <w:rPr>
          <w:rFonts w:ascii="Palatino Linotype" w:eastAsia="Palatino Linotype" w:hAnsi="Palatino Linotype" w:cs="Palatino Linotype"/>
          <w:sz w:val="24"/>
          <w:szCs w:val="24"/>
        </w:rPr>
      </w:pPr>
      <w:r w:rsidRPr="00835B47">
        <w:rPr>
          <w:rFonts w:ascii="Palatino Linotype" w:eastAsia="Palatino Linotype" w:hAnsi="Palatino Linotype" w:cs="Palatino Linotype"/>
          <w:sz w:val="24"/>
          <w:szCs w:val="24"/>
        </w:rPr>
        <w:lastRenderedPageBreak/>
        <w:t>De lo anterior no pasa por desapercibido por este Instituto que en respuesta el Sujeto Obligado manifestó contar con la propiedad de pozos de agua de los cuales el soporte documental que puede colmar el requerimiento del Recurrente es el  Título que la CONAGUA otorga a las personas físicas o morales cuando los concesionarios o asignatarios que cuenten con título de concesión, asignación o permisos para explotar, usar o aprovechar Aguas Nacionales o Zona Federal, vigente e inscrito en el Registro Público de Derechos de Agua, y que no hubieren incurrido en las causales de extinción previstas en la Ley y requieran seguir usando, explotando o aprovechando las aguas y/o los bienes nacionales que tengan concesionados o asignados.</w:t>
      </w:r>
    </w:p>
    <w:p w:rsidR="00817565" w:rsidRDefault="00786FA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Por su parte, el artículo 8 de la Ley de Fiscalización Superior del Estado de México, señala que dentro de las atribuciones con las que cuenta el Órgano Superior de Fiscalización, está la de fiscalizar, en todo momento, respecto del año inmediato anterior, los ingresos y egresos de las entidades fiscalizables a efecto de comprobar que su recaudación, administración, desempeño, niveles de deuda y aplicación se apegue a las disposiciones legales, administrativas, presupuestales, financieras y de planeación aplicables, revisar las cuentas públicas de las entidades fiscalizables y entregar a la Legislatura, a través de la Comisión, el informe de resultados y los informes de auditorías que correspondan, requerir a las entidades fiscalizables la información, documentos físicos y/o electrónicos necesarios para los actos de fiscalización, así como, solicitar a otras autoridades el auxilio o colaboración para el cumplimiento de sus atribuciones. </w:t>
      </w:r>
    </w:p>
    <w:p w:rsidR="00817565" w:rsidRDefault="00817565">
      <w:pPr>
        <w:spacing w:line="360" w:lineRule="auto"/>
        <w:ind w:right="51"/>
        <w:jc w:val="both"/>
        <w:rPr>
          <w:rFonts w:ascii="Palatino Linotype" w:eastAsia="Palatino Linotype" w:hAnsi="Palatino Linotype" w:cs="Palatino Linotype"/>
          <w:color w:val="000000"/>
          <w:sz w:val="24"/>
          <w:szCs w:val="24"/>
        </w:rPr>
      </w:pPr>
    </w:p>
    <w:p w:rsidR="00817565" w:rsidRDefault="00786FAB">
      <w:pPr>
        <w:spacing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Al respecto y de conformidad con la manifestación de la Servidora Pública Habilitada respecto a que “</w:t>
      </w:r>
      <w:r>
        <w:rPr>
          <w:rFonts w:ascii="Palatino Linotype" w:eastAsia="Palatino Linotype" w:hAnsi="Palatino Linotype" w:cs="Palatino Linotype"/>
          <w:i/>
          <w:sz w:val="24"/>
          <w:szCs w:val="24"/>
        </w:rPr>
        <w:t>se omite la documentación de cada uno de ellos por seguridad</w:t>
      </w:r>
      <w:r>
        <w:rPr>
          <w:rFonts w:ascii="Palatino Linotype" w:eastAsia="Palatino Linotype" w:hAnsi="Palatino Linotype" w:cs="Palatino Linotype"/>
          <w:sz w:val="24"/>
          <w:szCs w:val="24"/>
        </w:rPr>
        <w:t>”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b/>
          <w:i/>
          <w:u w:val="single"/>
        </w:rPr>
      </w:pPr>
      <w:r>
        <w:rPr>
          <w:rFonts w:ascii="Palatino Linotype" w:eastAsia="Palatino Linotype" w:hAnsi="Palatino Linotype" w:cs="Palatino Linotype"/>
          <w:b/>
          <w:i/>
        </w:rPr>
        <w:t xml:space="preserve">Artículo 91. </w:t>
      </w:r>
      <w:r>
        <w:rPr>
          <w:rFonts w:ascii="Palatino Linotype" w:eastAsia="Palatino Linotype" w:hAnsi="Palatino Linotype" w:cs="Palatino Linotype"/>
          <w:i/>
        </w:rPr>
        <w:t xml:space="preserve">El acceso a la información pública será restringido excepcionalmente, cuando ésta sea clasificada como </w:t>
      </w:r>
      <w:r>
        <w:rPr>
          <w:rFonts w:ascii="Palatino Linotype" w:eastAsia="Palatino Linotype" w:hAnsi="Palatino Linotype" w:cs="Palatino Linotype"/>
          <w:b/>
          <w:i/>
          <w:u w:val="single"/>
        </w:rPr>
        <w:t xml:space="preserve">reservada </w:t>
      </w:r>
      <w:r>
        <w:rPr>
          <w:rFonts w:ascii="Palatino Linotype" w:eastAsia="Palatino Linotype" w:hAnsi="Palatino Linotype" w:cs="Palatino Linotype"/>
          <w:i/>
        </w:rPr>
        <w:t>o confidencial.</w:t>
      </w:r>
    </w:p>
    <w:p w:rsidR="00817565" w:rsidRDefault="00817565">
      <w:pPr>
        <w:pBdr>
          <w:top w:val="nil"/>
          <w:left w:val="nil"/>
          <w:bottom w:val="nil"/>
          <w:right w:val="nil"/>
          <w:between w:val="nil"/>
        </w:pBdr>
        <w:ind w:left="864" w:right="864"/>
        <w:jc w:val="both"/>
        <w:rPr>
          <w:rFonts w:ascii="Palatino Linotype" w:eastAsia="Palatino Linotype" w:hAnsi="Palatino Linotype" w:cs="Palatino Linotype"/>
          <w:i/>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Entendiéndose como </w:t>
      </w:r>
      <w:r>
        <w:rPr>
          <w:rFonts w:ascii="Palatino Linotype" w:eastAsia="Palatino Linotype" w:hAnsi="Palatino Linotype" w:cs="Palatino Linotype"/>
          <w:b/>
          <w:sz w:val="24"/>
          <w:szCs w:val="24"/>
          <w:u w:val="single"/>
        </w:rPr>
        <w:t xml:space="preserve">información reservada </w:t>
      </w:r>
      <w:r>
        <w:rPr>
          <w:rFonts w:ascii="Palatino Linotype" w:eastAsia="Palatino Linotype" w:hAnsi="Palatino Linotype" w:cs="Palatino Linotype"/>
          <w:sz w:val="24"/>
          <w:szCs w:val="24"/>
        </w:rPr>
        <w:t>aquella que se clasifica de manera temporal cuya divulgación pueda causar algún daño; y como información confidencial,</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spacing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es de precisar que la clasificación de la información no se da por el simple mandato de la ley, sino que es necesario que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xml:space="preserve"> cuando clasifique algún documento o información, </w:t>
      </w:r>
      <w:r>
        <w:rPr>
          <w:rFonts w:ascii="Palatino Linotype" w:eastAsia="Palatino Linotype" w:hAnsi="Palatino Linotype" w:cs="Palatino Linotype"/>
          <w:b/>
          <w:sz w:val="24"/>
          <w:szCs w:val="24"/>
        </w:rPr>
        <w:t>ya sea todo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o en parte</w:t>
      </w:r>
      <w:r>
        <w:rPr>
          <w:rFonts w:ascii="Palatino Linotype" w:eastAsia="Palatino Linotype" w:hAnsi="Palatino Linotype" w:cs="Palatino Linotype"/>
          <w:sz w:val="24"/>
          <w:szCs w:val="24"/>
        </w:rPr>
        <w:t xml:space="preserve">, atienda lo dispuesto por la ley de la materia, siendo que dicha clasificación es un trabajo en conjunto tanto de los Servidores Públicos Habilitados, de las Unidades de Transparencia y del Comité de Transparencia </w:t>
      </w:r>
      <w:r>
        <w:rPr>
          <w:rFonts w:ascii="Palatino Linotype" w:eastAsia="Palatino Linotype" w:hAnsi="Palatino Linotype" w:cs="Palatino Linotype"/>
          <w:sz w:val="24"/>
          <w:szCs w:val="24"/>
        </w:rPr>
        <w:lastRenderedPageBreak/>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59.</w:t>
      </w:r>
      <w:r>
        <w:rPr>
          <w:rFonts w:ascii="Palatino Linotype" w:eastAsia="Palatino Linotype" w:hAnsi="Palatino Linotype" w:cs="Palatino Linotype"/>
          <w:i/>
        </w:rPr>
        <w:t xml:space="preserve"> Los servidores públicos habilitados tendrán las funciones siguientes:</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53.</w:t>
      </w:r>
      <w:r>
        <w:rPr>
          <w:rFonts w:ascii="Palatino Linotype" w:eastAsia="Palatino Linotype" w:hAnsi="Palatino Linotype" w:cs="Palatino Linotype"/>
          <w:i/>
        </w:rPr>
        <w:t xml:space="preserve"> Las Unidades de Transparencia tendrán las siguientes funciones:</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X. Presentar ante el Comité, el proyecto de clasificación de información;</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49.</w:t>
      </w:r>
      <w:r>
        <w:rPr>
          <w:rFonts w:ascii="Palatino Linotype" w:eastAsia="Palatino Linotype" w:hAnsi="Palatino Linotype" w:cs="Palatino Linotype"/>
          <w:i/>
        </w:rPr>
        <w:t xml:space="preserve"> Los Comités de Transparencia tendrán las siguientes atribuciones:</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Confirmar, modificar o revocar las determinaciones que en materia de ampliación del plazo de respuesta, clasificación de la información y declaración de inexistencia o de incompetencia realicen los titulares de las áreas de los sujetos obligados;</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VIII.</w:t>
      </w:r>
      <w:r>
        <w:rPr>
          <w:rFonts w:ascii="Palatino Linotype" w:eastAsia="Palatino Linotype" w:hAnsi="Palatino Linotype" w:cs="Palatino Linotype"/>
          <w:i/>
        </w:rPr>
        <w:t xml:space="preserve"> Aprobar, modificar o revocar la clasificación de la información;</w:t>
      </w:r>
    </w:p>
    <w:p w:rsidR="00817565" w:rsidRDefault="00786FAB">
      <w:pPr>
        <w:pBdr>
          <w:top w:val="nil"/>
          <w:left w:val="nil"/>
          <w:bottom w:val="nil"/>
          <w:right w:val="nil"/>
          <w:between w:val="nil"/>
        </w:pBd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spacing w:line="360" w:lineRule="auto"/>
        <w:ind w:right="51"/>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lastRenderedPageBreak/>
        <w:t xml:space="preserve">Asimismo, no obsta mencionar que el Acuerdo del Comité de Transparencia mediante el cual se clasifique la información </w:t>
      </w:r>
      <w:r>
        <w:rPr>
          <w:rFonts w:ascii="Palatino Linotype" w:eastAsia="Palatino Linotype" w:hAnsi="Palatino Linotype" w:cs="Palatino Linotype"/>
          <w:b/>
          <w:sz w:val="24"/>
          <w:szCs w:val="24"/>
          <w:u w:val="single"/>
        </w:rPr>
        <w:t>como reservada</w:t>
      </w:r>
      <w:r>
        <w:rPr>
          <w:rFonts w:ascii="Palatino Linotype" w:eastAsia="Palatino Linotype" w:hAnsi="Palatino Linotype" w:cs="Palatino Linotype"/>
          <w:sz w:val="24"/>
          <w:szCs w:val="24"/>
        </w:rPr>
        <w:t xml:space="preserve"> o confidencial, de manera </w:t>
      </w:r>
      <w:r>
        <w:rPr>
          <w:rFonts w:ascii="Palatino Linotype" w:eastAsia="Palatino Linotype" w:hAnsi="Palatino Linotype" w:cs="Palatino Linotype"/>
          <w:b/>
          <w:sz w:val="24"/>
          <w:szCs w:val="24"/>
          <w:u w:val="single"/>
        </w:rPr>
        <w:t>total</w:t>
      </w:r>
      <w:r>
        <w:rPr>
          <w:rFonts w:ascii="Palatino Linotype" w:eastAsia="Palatino Linotype" w:hAnsi="Palatino Linotype" w:cs="Palatino Linotype"/>
          <w:sz w:val="24"/>
          <w:szCs w:val="24"/>
        </w:rPr>
        <w:t xml:space="preserve"> o parcial</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Pr>
          <w:rFonts w:ascii="Palatino Linotype" w:eastAsia="Palatino Linotype" w:hAnsi="Palatino Linotype" w:cs="Palatino Linotype"/>
          <w:b/>
          <w:sz w:val="24"/>
          <w:szCs w:val="24"/>
          <w:u w:val="single"/>
        </w:rPr>
        <w:t>,</w:t>
      </w:r>
      <w:r>
        <w:rPr>
          <w:rFonts w:ascii="Palatino Linotype" w:eastAsia="Palatino Linotype" w:hAnsi="Palatino Linotype" w:cs="Palatino Linotype"/>
          <w:sz w:val="24"/>
          <w:szCs w:val="24"/>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rsidR="00817565" w:rsidRDefault="00817565">
      <w:pPr>
        <w:spacing w:line="360" w:lineRule="auto"/>
        <w:ind w:right="51"/>
        <w:jc w:val="both"/>
        <w:rPr>
          <w:rFonts w:ascii="Palatino Linotype" w:eastAsia="Palatino Linotype" w:hAnsi="Palatino Linotype" w:cs="Palatino Linotype"/>
          <w:sz w:val="24"/>
          <w:szCs w:val="24"/>
        </w:rPr>
      </w:pPr>
    </w:p>
    <w:p w:rsidR="00817565" w:rsidRDefault="00786FAB">
      <w:pPr>
        <w:spacing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Luego entonces, para realizar la reserva de la información, no basta con invocar alguna de las causales previstas en la Ley de transparencia local. En sentido contrario, dicha valoración debe realizarse a través de lo que se conoce como “</w:t>
      </w:r>
      <w:r>
        <w:rPr>
          <w:rFonts w:ascii="Palatino Linotype" w:eastAsia="Palatino Linotype" w:hAnsi="Palatino Linotype" w:cs="Palatino Linotype"/>
          <w:b/>
          <w:sz w:val="24"/>
          <w:szCs w:val="24"/>
        </w:rPr>
        <w:t>prueba de daño</w:t>
      </w:r>
      <w:r>
        <w:rPr>
          <w:rFonts w:ascii="Palatino Linotype" w:eastAsia="Palatino Linotype" w:hAnsi="Palatino Linotype" w:cs="Palatino Linotype"/>
          <w:sz w:val="24"/>
          <w:szCs w:val="24"/>
        </w:rPr>
        <w:t>”, que consiste en exponer los argumentos y razones, basados en elementos objetivos o verificables, a partir de los cuales se derive que la divulgación de información, en particular, puede afectar, poner en riesgo o dañar el interés protegido . Asimismo, ésta no debe basarse en meras especulaciones o suposiciones, sino en elementos objetivos que deban evaluar que existe un riego actual e inminente.</w:t>
      </w: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w:t>
      </w:r>
      <w:r>
        <w:rPr>
          <w:rFonts w:ascii="Palatino Linotype" w:eastAsia="Palatino Linotype" w:hAnsi="Palatino Linotype" w:cs="Palatino Linotype"/>
          <w:sz w:val="24"/>
          <w:szCs w:val="24"/>
        </w:rPr>
        <w:lastRenderedPageBreak/>
        <w:t>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aplicar la prueba de daño, se deberán de precisar las razones objetivas por las que la apertura genera una afectación, acreditando que: </w:t>
      </w:r>
    </w:p>
    <w:p w:rsidR="00817565" w:rsidRDefault="00786FAB">
      <w:pPr>
        <w:numPr>
          <w:ilvl w:val="0"/>
          <w:numId w:val="13"/>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 divulgación de la información representa un riesgo real, demostrable e identificable del perjuicio significativo al interés público o a la seguridad pública </w:t>
      </w:r>
    </w:p>
    <w:p w:rsidR="00817565" w:rsidRDefault="00786FAB">
      <w:pPr>
        <w:numPr>
          <w:ilvl w:val="0"/>
          <w:numId w:val="13"/>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riesgo de perjuicio que supondría la divulgación supera el interés público general de que se difunda; y </w:t>
      </w:r>
    </w:p>
    <w:p w:rsidR="00817565" w:rsidRDefault="00786FAB">
      <w:pPr>
        <w:numPr>
          <w:ilvl w:val="0"/>
          <w:numId w:val="13"/>
        </w:numPr>
        <w:pBdr>
          <w:top w:val="nil"/>
          <w:left w:val="nil"/>
          <w:bottom w:val="nil"/>
          <w:right w:val="nil"/>
          <w:between w:val="nil"/>
        </w:pBdr>
        <w:spacing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 limitación se adecua al principio de proporcionalidad y representa el medio menos restrictivo disponible para evitar el perjuicio.</w:t>
      </w: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entonces, el primer supuesto de la prueba de daño consiste en acreditar que la entrega de la información provoca tres aspectos concurrentes: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 Identificado ese riesgo, se debe demostrar que el mismo supera el interés público general porque se difunda dicha información.</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En razón de lo anterior,  es de considerarse que el Sujeto Obligado acepto contar con el soporte documental requerido por el Recurrente como lo son los contratos  de diecisiete propiedades que conforman el patrimonio municipal sin embargo fue omiso en anexarlos a su respuesta por razones de seguridad sin embargo este Instituto no advierte que se haya generado la prueba de daño correspondiente así como el acuerdo emitido por el comité de transparencia en el que realizarán las consideraciones necesarias para reservar dicha información.</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sentido este Instituto precisa que la entrega de los contratos puede ser entregado en versión pública para el caso que los soportes documentales no encuadren en algún supuesto de clasificación como reservada pues de ser el caso como se precisó en líneas anteriores el Sujeto Obligado deberá acompañar de su acuerdo del comité la respectiva prueba de daño en la que se funde y motivo la causal de la reserva. </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sentido y conforme el estudio previo realizado este Instituto advierte que si bien no cuenta con facultades y atribuciones para dudar de la veracidad del pronunciamiento del Servidor Público Habilitado también lo es que el soporte documental que colma el derecho al acceso a la información del Recurrente corresponde a una obligación de transparencia común por lo que este Instituto no puede colmar dicho rubro ni colmar el documento ad hoc entregado en respuesta primigenia. </w:t>
      </w:r>
    </w:p>
    <w:p w:rsidR="00817565" w:rsidRDefault="00817565">
      <w:pPr>
        <w:spacing w:line="360" w:lineRule="auto"/>
        <w:jc w:val="both"/>
        <w:rPr>
          <w:rFonts w:ascii="Palatino Linotype" w:eastAsia="Palatino Linotype" w:hAnsi="Palatino Linotype" w:cs="Palatino Linotype"/>
          <w:b/>
          <w:i/>
        </w:rPr>
      </w:pPr>
    </w:p>
    <w:p w:rsidR="00817565" w:rsidRDefault="00786FA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Bajo este contexto, la fundamentación y motivación, cobra particular relevancia la corriente que emana del Tercer Tribunal Colegiado en Materia Civil del Primer Circuito, a través de la jurisprudencia con número de registro digital 170307 de la Novena Época, visible en el Semanario Judicial de la Federación y su Gaceta, Tomo XXVII, de febrero de 2008, tesis I.3o.C. J/47 en materia común, en la que establece lo siguiente;</w:t>
      </w:r>
    </w:p>
    <w:p w:rsidR="00817565" w:rsidRDefault="00786FAB">
      <w:pPr>
        <w:spacing w:after="0" w:line="360" w:lineRule="auto"/>
        <w:ind w:left="708"/>
        <w:jc w:val="both"/>
        <w:rPr>
          <w:rFonts w:ascii="Palatino Linotype" w:eastAsia="Palatino Linotype" w:hAnsi="Palatino Linotype" w:cs="Palatino Linotype"/>
          <w:i/>
        </w:rPr>
      </w:pPr>
      <w:r>
        <w:rPr>
          <w:rFonts w:ascii="Palatino Linotype" w:eastAsia="Palatino Linotype" w:hAnsi="Palatino Linotype" w:cs="Palatino Linotype"/>
        </w:rPr>
        <w:t>“</w:t>
      </w:r>
      <w:r>
        <w:rPr>
          <w:rFonts w:ascii="Palatino Linotype" w:eastAsia="Palatino Linotype" w:hAnsi="Palatino Linotype" w:cs="Palatino Linotype"/>
          <w:b/>
          <w:i/>
        </w:rPr>
        <w:t>FUNDAMENTACIÓN Y MOTIVACIÓN. LA DIFERENCIA ENTRE LA FALTA Y LA INDEBIDA SATISFACCIÓN DE AMBOS REQUISITOS CONSTITUCIONALES TRASCIENDE AL ORDEN EN QUE DEBEN ESTUDIARSE LOS CONCEPTOS DE VIOLACIÓN Y A LOS EFECTOS DEL FALLO PROTECTOR.</w:t>
      </w:r>
      <w:r>
        <w:rPr>
          <w:rFonts w:ascii="Palatino Linotype" w:eastAsia="Palatino Linotype" w:hAnsi="Palatino Linotype" w:cs="Palatino Linotype"/>
          <w:i/>
        </w:rPr>
        <w:t xml:space="preserve"> </w:t>
      </w:r>
    </w:p>
    <w:p w:rsidR="00817565" w:rsidRDefault="00817565">
      <w:pPr>
        <w:spacing w:after="0" w:line="360" w:lineRule="auto"/>
        <w:ind w:left="708"/>
        <w:jc w:val="both"/>
        <w:rPr>
          <w:rFonts w:ascii="Palatino Linotype" w:eastAsia="Palatino Linotype" w:hAnsi="Palatino Linotype" w:cs="Palatino Linotype"/>
          <w:i/>
        </w:rPr>
      </w:pPr>
    </w:p>
    <w:p w:rsidR="00817565" w:rsidRDefault="00786FAB">
      <w:pPr>
        <w:spacing w:after="0" w:line="360" w:lineRule="auto"/>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w:t>
      </w:r>
      <w:r>
        <w:rPr>
          <w:rFonts w:ascii="Palatino Linotype" w:eastAsia="Palatino Linotype" w:hAnsi="Palatino Linotype" w:cs="Palatino Linotype"/>
          <w:i/>
        </w:rPr>
        <w:lastRenderedPageBreak/>
        <w:t xml:space="preserve">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 </w:t>
      </w:r>
    </w:p>
    <w:p w:rsidR="00817565" w:rsidRDefault="00817565">
      <w:pPr>
        <w:spacing w:after="0" w:line="360" w:lineRule="auto"/>
        <w:ind w:left="708"/>
        <w:jc w:val="both"/>
        <w:rPr>
          <w:rFonts w:ascii="Palatino Linotype" w:eastAsia="Palatino Linotype" w:hAnsi="Palatino Linotype" w:cs="Palatino Linotype"/>
          <w:i/>
        </w:rPr>
      </w:pPr>
    </w:p>
    <w:p w:rsidR="00835B47" w:rsidRDefault="00835B47">
      <w:pPr>
        <w:spacing w:after="0" w:line="360" w:lineRule="auto"/>
        <w:ind w:left="708"/>
        <w:jc w:val="both"/>
        <w:rPr>
          <w:rFonts w:ascii="Palatino Linotype" w:eastAsia="Palatino Linotype" w:hAnsi="Palatino Linotype" w:cs="Palatino Linotype"/>
          <w:i/>
        </w:rPr>
      </w:pPr>
    </w:p>
    <w:p w:rsidR="00835B47" w:rsidRDefault="00835B47">
      <w:pPr>
        <w:spacing w:after="0" w:line="360" w:lineRule="auto"/>
        <w:ind w:left="708"/>
        <w:jc w:val="both"/>
        <w:rPr>
          <w:rFonts w:ascii="Palatino Linotype" w:eastAsia="Palatino Linotype" w:hAnsi="Palatino Linotype" w:cs="Palatino Linotype"/>
          <w:i/>
        </w:rPr>
      </w:pPr>
    </w:p>
    <w:p w:rsidR="00817565" w:rsidRDefault="00786FAB">
      <w:pPr>
        <w:spacing w:after="0" w:line="360" w:lineRule="auto"/>
        <w:ind w:left="70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TERCER TRIBUNAL COLEGIADO EN MATERIA CIVIL DEL PRIMER CIRCUITO. </w:t>
      </w:r>
    </w:p>
    <w:p w:rsidR="00817565" w:rsidRDefault="00786FAB">
      <w:pPr>
        <w:spacing w:after="0" w:line="360" w:lineRule="auto"/>
        <w:ind w:left="70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Amparo directo 551/2005. Jorge Luis </w:t>
      </w:r>
      <w:proofErr w:type="spellStart"/>
      <w:r>
        <w:rPr>
          <w:rFonts w:ascii="Palatino Linotype" w:eastAsia="Palatino Linotype" w:hAnsi="Palatino Linotype" w:cs="Palatino Linotype"/>
          <w:i/>
          <w:sz w:val="20"/>
          <w:szCs w:val="20"/>
        </w:rPr>
        <w:t>Almaral</w:t>
      </w:r>
      <w:proofErr w:type="spellEnd"/>
      <w:r>
        <w:rPr>
          <w:rFonts w:ascii="Palatino Linotype" w:eastAsia="Palatino Linotype" w:hAnsi="Palatino Linotype" w:cs="Palatino Linotype"/>
          <w:i/>
          <w:sz w:val="20"/>
          <w:szCs w:val="20"/>
        </w:rPr>
        <w:t xml:space="preserve"> </w:t>
      </w:r>
      <w:proofErr w:type="spellStart"/>
      <w:r>
        <w:rPr>
          <w:rFonts w:ascii="Palatino Linotype" w:eastAsia="Palatino Linotype" w:hAnsi="Palatino Linotype" w:cs="Palatino Linotype"/>
          <w:i/>
          <w:sz w:val="20"/>
          <w:szCs w:val="20"/>
        </w:rPr>
        <w:t>Mendívil</w:t>
      </w:r>
      <w:proofErr w:type="spellEnd"/>
      <w:r>
        <w:rPr>
          <w:rFonts w:ascii="Palatino Linotype" w:eastAsia="Palatino Linotype" w:hAnsi="Palatino Linotype" w:cs="Palatino Linotype"/>
          <w:i/>
          <w:sz w:val="20"/>
          <w:szCs w:val="20"/>
        </w:rPr>
        <w:t xml:space="preserve">. 20 de octubre de 2005. Unanimidad de votos. Ponente: Neófito López Ramos. Secretario: Raúl Alfaro </w:t>
      </w:r>
      <w:proofErr w:type="spellStart"/>
      <w:r>
        <w:rPr>
          <w:rFonts w:ascii="Palatino Linotype" w:eastAsia="Palatino Linotype" w:hAnsi="Palatino Linotype" w:cs="Palatino Linotype"/>
          <w:i/>
          <w:sz w:val="20"/>
          <w:szCs w:val="20"/>
        </w:rPr>
        <w:t>Telpalo</w:t>
      </w:r>
      <w:proofErr w:type="spellEnd"/>
      <w:r>
        <w:rPr>
          <w:rFonts w:ascii="Palatino Linotype" w:eastAsia="Palatino Linotype" w:hAnsi="Palatino Linotype" w:cs="Palatino Linotype"/>
          <w:i/>
          <w:sz w:val="20"/>
          <w:szCs w:val="20"/>
        </w:rPr>
        <w:t xml:space="preserve">. </w:t>
      </w:r>
    </w:p>
    <w:p w:rsidR="00817565" w:rsidRDefault="00786FAB">
      <w:pPr>
        <w:spacing w:after="0" w:line="360" w:lineRule="auto"/>
        <w:ind w:left="70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Amparo directo 66/2007. Juan Ramón Jaime Alcántara. 15 de febrero de 2007. Unanimidad de votos. Ponente: Neófito López Ramos. Secretario: Raúl Alfaro </w:t>
      </w:r>
      <w:proofErr w:type="spellStart"/>
      <w:r>
        <w:rPr>
          <w:rFonts w:ascii="Palatino Linotype" w:eastAsia="Palatino Linotype" w:hAnsi="Palatino Linotype" w:cs="Palatino Linotype"/>
          <w:i/>
          <w:sz w:val="20"/>
          <w:szCs w:val="20"/>
        </w:rPr>
        <w:t>Telpalo</w:t>
      </w:r>
      <w:proofErr w:type="spellEnd"/>
      <w:r>
        <w:rPr>
          <w:rFonts w:ascii="Palatino Linotype" w:eastAsia="Palatino Linotype" w:hAnsi="Palatino Linotype" w:cs="Palatino Linotype"/>
          <w:i/>
          <w:sz w:val="20"/>
          <w:szCs w:val="20"/>
        </w:rPr>
        <w:t xml:space="preserve">. </w:t>
      </w:r>
    </w:p>
    <w:p w:rsidR="00817565" w:rsidRDefault="00786FAB">
      <w:pPr>
        <w:spacing w:after="0" w:line="360" w:lineRule="auto"/>
        <w:ind w:left="70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Amparo directo 364/2007. Guadalupe Rodríguez Daniel. 6 de julio de 2007. Unanimidad de votos. Ponente: Neófito López Ramos. Secretaria: Greta Lozada Amezcua. Amparo directo 513/2007. Autofinanciamiento México, S.A. de C.V. 4 de octubre de 2007. Unanimidad de votos. Ponente: Neófito López Ramos. Secretario: Raúl Alfaro </w:t>
      </w:r>
      <w:proofErr w:type="spellStart"/>
      <w:r>
        <w:rPr>
          <w:rFonts w:ascii="Palatino Linotype" w:eastAsia="Palatino Linotype" w:hAnsi="Palatino Linotype" w:cs="Palatino Linotype"/>
          <w:i/>
          <w:sz w:val="20"/>
          <w:szCs w:val="20"/>
        </w:rPr>
        <w:t>Telpalo</w:t>
      </w:r>
      <w:proofErr w:type="spellEnd"/>
      <w:r>
        <w:rPr>
          <w:rFonts w:ascii="Palatino Linotype" w:eastAsia="Palatino Linotype" w:hAnsi="Palatino Linotype" w:cs="Palatino Linotype"/>
          <w:i/>
          <w:sz w:val="20"/>
          <w:szCs w:val="20"/>
        </w:rPr>
        <w:t xml:space="preserve">. </w:t>
      </w:r>
    </w:p>
    <w:p w:rsidR="00817565" w:rsidRDefault="00786FAB">
      <w:pPr>
        <w:spacing w:after="0" w:line="360" w:lineRule="auto"/>
        <w:ind w:left="708"/>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0"/>
          <w:szCs w:val="20"/>
        </w:rPr>
        <w:t xml:space="preserve">Amparo directo 562/2007. Arenas y Gravas </w:t>
      </w:r>
      <w:proofErr w:type="spellStart"/>
      <w:r>
        <w:rPr>
          <w:rFonts w:ascii="Palatino Linotype" w:eastAsia="Palatino Linotype" w:hAnsi="Palatino Linotype" w:cs="Palatino Linotype"/>
          <w:i/>
          <w:sz w:val="20"/>
          <w:szCs w:val="20"/>
        </w:rPr>
        <w:t>Xaltepec</w:t>
      </w:r>
      <w:proofErr w:type="spellEnd"/>
      <w:r>
        <w:rPr>
          <w:rFonts w:ascii="Palatino Linotype" w:eastAsia="Palatino Linotype" w:hAnsi="Palatino Linotype" w:cs="Palatino Linotype"/>
          <w:i/>
          <w:sz w:val="20"/>
          <w:szCs w:val="20"/>
        </w:rPr>
        <w:t xml:space="preserve">, S.A. 11 de octubre de 2007. Unanimidad de votos. Ponente: Neófito López Ramos. Secretario: Raúl Alfaro </w:t>
      </w:r>
      <w:proofErr w:type="spellStart"/>
      <w:r>
        <w:rPr>
          <w:rFonts w:ascii="Palatino Linotype" w:eastAsia="Palatino Linotype" w:hAnsi="Palatino Linotype" w:cs="Palatino Linotype"/>
          <w:i/>
          <w:sz w:val="20"/>
          <w:szCs w:val="20"/>
        </w:rPr>
        <w:t>Telpalo</w:t>
      </w:r>
      <w:proofErr w:type="spellEnd"/>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i/>
        </w:rPr>
        <w:t>(Sic)</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sentido, de acuerdo con la naturaleza de la información solicitada se concluye que esta es de interés general y de alcance público, puesto que la ciudadanía tiene derecho a saber los gastos realizados por los sujetos obligados, esto es, su acceso permite transparentar las erogaciones del servicio público. </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base en lo anteriormente expuesto, esta Ponencia </w:t>
      </w:r>
      <w:proofErr w:type="spellStart"/>
      <w:r>
        <w:rPr>
          <w:rFonts w:ascii="Palatino Linotype" w:eastAsia="Palatino Linotype" w:hAnsi="Palatino Linotype" w:cs="Palatino Linotype"/>
          <w:sz w:val="24"/>
          <w:szCs w:val="24"/>
        </w:rPr>
        <w:t>Resolutora</w:t>
      </w:r>
      <w:proofErr w:type="spellEnd"/>
      <w:r>
        <w:rPr>
          <w:rFonts w:ascii="Palatino Linotype" w:eastAsia="Palatino Linotype" w:hAnsi="Palatino Linotype" w:cs="Palatino Linotype"/>
          <w:sz w:val="24"/>
          <w:szCs w:val="24"/>
        </w:rPr>
        <w:t xml:space="preserve"> arriba a la conclusión que, se acredita de manera fehaciente que el Sujeto Obligado no colmó el derecho de acceso a la información pública. Consecuentemente resulta procedente ordenar la entrega, en versión pública de ser procedente, los contratos referidos en respuesta por el 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Finalmente, la información requerida, podría contener datos personales confidenciales; por lo que, en su caso, deberá entregar versión pública en la que se eliminen estos, junto con el acuerdo del Comité de Transparencia, en el que se funde y </w:t>
      </w:r>
      <w:r>
        <w:rPr>
          <w:rFonts w:ascii="Palatino Linotype" w:eastAsia="Palatino Linotype" w:hAnsi="Palatino Linotype" w:cs="Palatino Linotype"/>
          <w:sz w:val="24"/>
          <w:szCs w:val="24"/>
        </w:rPr>
        <w:lastRenderedPageBreak/>
        <w:t>motive la eliminación de la información, de conformidad con lo establecido en los artículos 49, fracciones II y VIII, 128, 132, fracción I, 138, 143, fracción I y 149, de la Ley de Transparencia y Acceso a la Información Pública de Estado de México y Municipios.</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Sin  pasar por desapercibido por este Instituto que las manifestaciones subjetivas realizadas por el Recurrente no forman parte del derecho al acceso a la información por lo que se le dirige a ejercer su derecho de manera respetuosa en futuras solicitudes de acceso a la información. </w:t>
      </w:r>
    </w:p>
    <w:p w:rsidR="00817565" w:rsidRDefault="00817565">
      <w:pPr>
        <w:spacing w:after="0" w:line="360" w:lineRule="auto"/>
        <w:jc w:val="both"/>
        <w:rPr>
          <w:rFonts w:ascii="Palatino Linotype" w:eastAsia="Palatino Linotype" w:hAnsi="Palatino Linotype" w:cs="Palatino Linotype"/>
          <w:b/>
          <w:i/>
          <w:sz w:val="28"/>
          <w:szCs w:val="28"/>
        </w:rPr>
      </w:pPr>
    </w:p>
    <w:p w:rsidR="00817565" w:rsidRDefault="00786FAB">
      <w:pPr>
        <w:spacing w:after="80" w:line="360" w:lineRule="auto"/>
        <w:jc w:val="both"/>
        <w:rPr>
          <w:rFonts w:ascii="Palatino Linotype" w:eastAsia="Palatino Linotype" w:hAnsi="Palatino Linotype" w:cs="Palatino Linotype"/>
          <w:b/>
          <w:i/>
          <w:sz w:val="28"/>
          <w:szCs w:val="28"/>
        </w:rPr>
      </w:pPr>
      <w:r>
        <w:rPr>
          <w:rFonts w:ascii="Palatino Linotype" w:eastAsia="Palatino Linotype" w:hAnsi="Palatino Linotype" w:cs="Palatino Linotype"/>
          <w:b/>
          <w:i/>
          <w:sz w:val="28"/>
          <w:szCs w:val="28"/>
        </w:rPr>
        <w:t>De la versión pública</w:t>
      </w:r>
    </w:p>
    <w:p w:rsidR="00817565" w:rsidRDefault="00786FAB">
      <w:pPr>
        <w:tabs>
          <w:tab w:val="left" w:pos="7938"/>
        </w:tabs>
        <w:spacing w:before="8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“Artículo 3. Para los efectos de la presente Ley se entenderá por:</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b/>
          <w:i/>
          <w:u w:val="single"/>
        </w:rPr>
        <w:lastRenderedPageBreak/>
        <w:t>IX. Datos personales:</w:t>
      </w:r>
      <w:r>
        <w:rPr>
          <w:rFonts w:ascii="Palatino Linotype" w:eastAsia="Palatino Linotype" w:hAnsi="Palatino Linotype" w:cs="Palatino Linotype"/>
          <w:b/>
          <w:i/>
        </w:rPr>
        <w:t xml:space="preserve"> </w:t>
      </w:r>
      <w:r>
        <w:rPr>
          <w:rFonts w:ascii="Palatino Linotype" w:eastAsia="Palatino Linotype" w:hAnsi="Palatino Linotype" w:cs="Palatino Linotype"/>
          <w:i/>
        </w:rPr>
        <w:t>La información concerniente a una persona, identificada o identificable según lo dispuesto por la Ley de Protección de Datos Personales del Estado de México;</w:t>
      </w:r>
    </w:p>
    <w:p w:rsidR="00817565" w:rsidRDefault="00786FAB">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b/>
          <w:i/>
        </w:rPr>
        <w:t>(…)</w:t>
      </w:r>
    </w:p>
    <w:p w:rsidR="00817565" w:rsidRDefault="00786FAB">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b/>
          <w:i/>
          <w:u w:val="single"/>
        </w:rPr>
        <w:t>XLV. Versión pública:</w:t>
      </w:r>
      <w:r>
        <w:rPr>
          <w:rFonts w:ascii="Palatino Linotype" w:eastAsia="Palatino Linotype" w:hAnsi="Palatino Linotype" w:cs="Palatino Linotype"/>
          <w:b/>
          <w:i/>
        </w:rPr>
        <w:t xml:space="preserve"> </w:t>
      </w:r>
      <w:r>
        <w:rPr>
          <w:rFonts w:ascii="Palatino Linotype" w:eastAsia="Palatino Linotype" w:hAnsi="Palatino Linotype" w:cs="Palatino Linotype"/>
          <w:i/>
        </w:rPr>
        <w:t>Documento en el que se elimine, suprime o borra la información clasificada como reservada o confidencial para permitir su acceso.</w:t>
      </w:r>
    </w:p>
    <w:p w:rsidR="00817565" w:rsidRDefault="00786FAB">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i/>
        </w:rPr>
        <w:t xml:space="preserve">Artículo 122. </w:t>
      </w:r>
      <w:r>
        <w:rPr>
          <w:rFonts w:ascii="Palatino Linotype" w:eastAsia="Palatino Linotype" w:hAnsi="Palatino Linotype" w:cs="Palatino Linotype"/>
          <w:b/>
          <w:i/>
          <w:u w:val="single"/>
        </w:rPr>
        <w:t xml:space="preserve">La clasificación es el proceso mediante el cual el sujeto obligado determina que la información en su poder </w:t>
      </w:r>
      <w:proofErr w:type="spellStart"/>
      <w:r>
        <w:rPr>
          <w:rFonts w:ascii="Palatino Linotype" w:eastAsia="Palatino Linotype" w:hAnsi="Palatino Linotype" w:cs="Palatino Linotype"/>
          <w:b/>
          <w:i/>
          <w:u w:val="single"/>
        </w:rPr>
        <w:t>actualiza</w:t>
      </w:r>
      <w:proofErr w:type="spellEnd"/>
      <w:r>
        <w:rPr>
          <w:rFonts w:ascii="Palatino Linotype" w:eastAsia="Palatino Linotype" w:hAnsi="Palatino Linotype" w:cs="Palatino Linotype"/>
          <w:b/>
          <w:i/>
          <w:u w:val="single"/>
        </w:rPr>
        <w:t xml:space="preserve"> alguno de los supuestos de reserva o confidencialidad, de conformidad con lo dispuesto en el presente título.</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Artículo 132. La clasificación de la información se llevará a cabo en el momento en que:</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rsidR="00817565" w:rsidRDefault="00786FAB">
      <w:pPr>
        <w:spacing w:before="240" w:line="360" w:lineRule="auto"/>
        <w:ind w:left="851" w:right="851"/>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II. Se determine mediante resolución de autoridad competente; o</w:t>
      </w:r>
    </w:p>
    <w:p w:rsidR="00817565" w:rsidRDefault="00786FAB">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w:t>
      </w:r>
    </w:p>
    <w:p w:rsidR="00817565" w:rsidRPr="00835B47" w:rsidRDefault="00786FAB" w:rsidP="00835B47">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 xml:space="preserve">de manera genérica y fundando y motivando su clasificación.” </w:t>
      </w:r>
      <w:r>
        <w:rPr>
          <w:rFonts w:ascii="Palatino Linotype" w:eastAsia="Palatino Linotype" w:hAnsi="Palatino Linotype" w:cs="Palatino Linotype"/>
          <w:b/>
          <w:i/>
        </w:rPr>
        <w:t>[Sic]</w:t>
      </w: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número de OCR, CURP, el número de cuenta bancaria, correo electrónico que sean exclusivamente de particulares, entre otros.</w:t>
      </w:r>
    </w:p>
    <w:p w:rsidR="00817565" w:rsidRDefault="00786FAB">
      <w:pPr>
        <w:numPr>
          <w:ilvl w:val="0"/>
          <w:numId w:val="6"/>
        </w:numPr>
        <w:pBdr>
          <w:top w:val="nil"/>
          <w:left w:val="nil"/>
          <w:bottom w:val="nil"/>
          <w:right w:val="nil"/>
          <w:between w:val="nil"/>
        </w:pBdr>
        <w:spacing w:after="0" w:line="360" w:lineRule="auto"/>
        <w:jc w:val="both"/>
        <w:rPr>
          <w:color w:val="000000"/>
          <w:sz w:val="24"/>
          <w:szCs w:val="24"/>
        </w:rPr>
      </w:pPr>
      <w:r>
        <w:rPr>
          <w:rFonts w:ascii="Palatino Linotype" w:eastAsia="Palatino Linotype" w:hAnsi="Palatino Linotype" w:cs="Palatino Linotype"/>
          <w:color w:val="000000"/>
          <w:sz w:val="24"/>
          <w:szCs w:val="24"/>
        </w:rPr>
        <w:t xml:space="preserve">La </w:t>
      </w:r>
      <w:r>
        <w:rPr>
          <w:rFonts w:ascii="Palatino Linotype" w:eastAsia="Palatino Linotype" w:hAnsi="Palatino Linotype" w:cs="Palatino Linotype"/>
          <w:b/>
          <w:color w:val="000000"/>
          <w:sz w:val="24"/>
          <w:szCs w:val="24"/>
        </w:rPr>
        <w:t>clave de elector</w:t>
      </w:r>
      <w:r>
        <w:rPr>
          <w:rFonts w:ascii="Palatino Linotype" w:eastAsia="Palatino Linotype" w:hAnsi="Palatino Linotype" w:cs="Palatino Linotype"/>
          <w:color w:val="000000"/>
          <w:sz w:val="24"/>
          <w:szCs w:val="24"/>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Pr>
          <w:rFonts w:ascii="Palatino Linotype" w:eastAsia="Palatino Linotype" w:hAnsi="Palatino Linotype" w:cs="Palatino Linotype"/>
          <w:color w:val="000000"/>
          <w:sz w:val="24"/>
          <w:szCs w:val="24"/>
        </w:rPr>
        <w:t>homoclave</w:t>
      </w:r>
      <w:proofErr w:type="spellEnd"/>
      <w:r>
        <w:rPr>
          <w:rFonts w:ascii="Palatino Linotype" w:eastAsia="Palatino Linotype" w:hAnsi="Palatino Linotype" w:cs="Palatino Linotype"/>
          <w:color w:val="000000"/>
          <w:sz w:val="24"/>
          <w:szCs w:val="24"/>
        </w:rPr>
        <w:t xml:space="preserve"> que distingue a su titular de cualquier otro homónimo, por lo tanto, se trata de un dato personal que debe ser protegido.</w:t>
      </w:r>
    </w:p>
    <w:p w:rsidR="00817565" w:rsidRDefault="00817565">
      <w:pPr>
        <w:spacing w:line="360" w:lineRule="auto"/>
        <w:jc w:val="both"/>
        <w:rPr>
          <w:rFonts w:ascii="Palatino Linotype" w:eastAsia="Palatino Linotype" w:hAnsi="Palatino Linotype" w:cs="Palatino Linotype"/>
          <w:sz w:val="24"/>
          <w:szCs w:val="24"/>
        </w:rPr>
      </w:pPr>
    </w:p>
    <w:p w:rsidR="00817565" w:rsidRDefault="00786FAB">
      <w:pPr>
        <w:numPr>
          <w:ilvl w:val="0"/>
          <w:numId w:val="6"/>
        </w:numPr>
        <w:pBdr>
          <w:top w:val="nil"/>
          <w:left w:val="nil"/>
          <w:bottom w:val="nil"/>
          <w:right w:val="nil"/>
          <w:between w:val="nil"/>
        </w:pBdr>
        <w:spacing w:after="0" w:line="360" w:lineRule="auto"/>
        <w:jc w:val="both"/>
        <w:rPr>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número de OCR,</w:t>
      </w:r>
      <w:r>
        <w:rPr>
          <w:rFonts w:ascii="Palatino Linotype" w:eastAsia="Palatino Linotype" w:hAnsi="Palatino Linotype" w:cs="Palatino Linotype"/>
          <w:color w:val="000000"/>
          <w:sz w:val="24"/>
          <w:szCs w:val="24"/>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Pr>
          <w:rFonts w:ascii="Palatino Linotype" w:eastAsia="Palatino Linotype" w:hAnsi="Palatino Linotype" w:cs="Palatino Linotype"/>
          <w:color w:val="000000"/>
          <w:sz w:val="24"/>
          <w:szCs w:val="24"/>
        </w:rPr>
        <w:t>geoelectoral</w:t>
      </w:r>
      <w:proofErr w:type="spellEnd"/>
      <w:r>
        <w:rPr>
          <w:rFonts w:ascii="Palatino Linotype" w:eastAsia="Palatino Linotype" w:hAnsi="Palatino Linotype" w:cs="Palatino Linotype"/>
          <w:color w:val="000000"/>
          <w:sz w:val="24"/>
          <w:szCs w:val="24"/>
        </w:rPr>
        <w:t xml:space="preserve"> ahí contenida, por lo que es susceptible de resguardarse.</w:t>
      </w:r>
    </w:p>
    <w:p w:rsidR="00817565" w:rsidRDefault="00817565">
      <w:pPr>
        <w:pBdr>
          <w:top w:val="nil"/>
          <w:left w:val="nil"/>
          <w:bottom w:val="nil"/>
          <w:right w:val="nil"/>
          <w:between w:val="nil"/>
        </w:pBdr>
        <w:spacing w:after="0"/>
        <w:ind w:left="720"/>
        <w:rPr>
          <w:rFonts w:ascii="Palatino Linotype" w:eastAsia="Palatino Linotype" w:hAnsi="Palatino Linotype" w:cs="Palatino Linotype"/>
          <w:color w:val="000000"/>
          <w:sz w:val="24"/>
          <w:szCs w:val="24"/>
        </w:rPr>
      </w:pPr>
    </w:p>
    <w:p w:rsidR="00817565" w:rsidRDefault="00786FAB">
      <w:pPr>
        <w:numPr>
          <w:ilvl w:val="0"/>
          <w:numId w:val="6"/>
        </w:numPr>
        <w:pBdr>
          <w:top w:val="nil"/>
          <w:left w:val="nil"/>
          <w:bottom w:val="nil"/>
          <w:right w:val="nil"/>
          <w:between w:val="nil"/>
        </w:pBdr>
        <w:spacing w:after="0" w:line="360" w:lineRule="auto"/>
        <w:ind w:right="51"/>
        <w:jc w:val="both"/>
        <w:rPr>
          <w:color w:val="000000"/>
          <w:sz w:val="24"/>
          <w:szCs w:val="24"/>
        </w:rPr>
      </w:pPr>
      <w:r>
        <w:rPr>
          <w:rFonts w:ascii="Palatino Linotype" w:eastAsia="Palatino Linotype" w:hAnsi="Palatino Linotype" w:cs="Palatino Linotype"/>
          <w:b/>
          <w:color w:val="000000"/>
          <w:sz w:val="24"/>
          <w:szCs w:val="24"/>
        </w:rPr>
        <w:lastRenderedPageBreak/>
        <w:t xml:space="preserve">Correo electrónico personal: </w:t>
      </w:r>
      <w:r>
        <w:rPr>
          <w:rFonts w:ascii="Palatino Linotype" w:eastAsia="Palatino Linotype" w:hAnsi="Palatino Linotype" w:cs="Palatino Linotype"/>
          <w:color w:val="000000"/>
          <w:sz w:val="24"/>
          <w:szCs w:val="24"/>
        </w:rPr>
        <w:t xml:space="preserve">Es el sistema de transmisión de mensajes por computadora a través de redes informáticas; está formado con un usuario seguido del servicio de internet que lo gestiona, lo cual hace individualizado su uso en virtud de una persona que funge como su titular, sin embargo, su divulgación atentaría contra la privacidad de la persona que es su titular, al quedar evidenciado su contacto e identificación a través de este medio, además de datos como nombre, apellidos y fechas de nacimiento. Solo será público cuando se trata de un correo empresarial o institucional. </w:t>
      </w:r>
    </w:p>
    <w:p w:rsidR="00817565" w:rsidRDefault="00817565">
      <w:pPr>
        <w:pBdr>
          <w:top w:val="nil"/>
          <w:left w:val="nil"/>
          <w:bottom w:val="nil"/>
          <w:right w:val="nil"/>
          <w:between w:val="nil"/>
        </w:pBdr>
        <w:spacing w:after="0"/>
        <w:ind w:left="720"/>
        <w:rPr>
          <w:rFonts w:ascii="Palatino Linotype" w:eastAsia="Palatino Linotype" w:hAnsi="Palatino Linotype" w:cs="Palatino Linotype"/>
          <w:color w:val="000000"/>
          <w:sz w:val="24"/>
          <w:szCs w:val="24"/>
        </w:rPr>
      </w:pPr>
    </w:p>
    <w:p w:rsidR="00817565" w:rsidRDefault="00786FAB">
      <w:pPr>
        <w:numPr>
          <w:ilvl w:val="0"/>
          <w:numId w:val="6"/>
        </w:numPr>
        <w:pBdr>
          <w:top w:val="nil"/>
          <w:left w:val="nil"/>
          <w:bottom w:val="nil"/>
          <w:right w:val="nil"/>
          <w:between w:val="nil"/>
        </w:pBdr>
        <w:spacing w:after="0" w:line="360" w:lineRule="auto"/>
        <w:ind w:right="51"/>
        <w:jc w:val="both"/>
        <w:rPr>
          <w:color w:val="000000"/>
          <w:sz w:val="24"/>
          <w:szCs w:val="24"/>
        </w:rPr>
      </w:pPr>
      <w:r>
        <w:rPr>
          <w:rFonts w:ascii="Palatino Linotype" w:eastAsia="Palatino Linotype" w:hAnsi="Palatino Linotype" w:cs="Palatino Linotype"/>
          <w:color w:val="000000"/>
          <w:sz w:val="24"/>
          <w:szCs w:val="24"/>
        </w:rPr>
        <w:t xml:space="preserve">Igualmente, resulta importante destacar que el </w:t>
      </w:r>
      <w:r>
        <w:rPr>
          <w:rFonts w:ascii="Palatino Linotype" w:eastAsia="Palatino Linotype" w:hAnsi="Palatino Linotype" w:cs="Palatino Linotype"/>
          <w:b/>
          <w:i/>
          <w:color w:val="000000"/>
          <w:sz w:val="24"/>
          <w:szCs w:val="24"/>
        </w:rPr>
        <w:t>número de cuenta bancaria</w:t>
      </w:r>
      <w:r>
        <w:rPr>
          <w:rFonts w:ascii="Palatino Linotype" w:eastAsia="Palatino Linotype" w:hAnsi="Palatino Linotype" w:cs="Palatino Linotype"/>
          <w:b/>
          <w:color w:val="000000"/>
          <w:sz w:val="24"/>
          <w:szCs w:val="24"/>
        </w:rPr>
        <w:t xml:space="preserve"> de las personas físicas </w:t>
      </w:r>
      <w:r>
        <w:rPr>
          <w:rFonts w:ascii="Palatino Linotype" w:eastAsia="Palatino Linotype" w:hAnsi="Palatino Linotype" w:cs="Palatino Linotype"/>
          <w:color w:val="000000"/>
          <w:sz w:val="24"/>
          <w:szCs w:val="24"/>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817565" w:rsidRDefault="00817565">
      <w:pPr>
        <w:spacing w:line="360" w:lineRule="auto"/>
        <w:ind w:right="50"/>
        <w:jc w:val="both"/>
        <w:rPr>
          <w:rFonts w:ascii="Palatino Linotype" w:eastAsia="Palatino Linotype" w:hAnsi="Palatino Linotype" w:cs="Palatino Linotype"/>
          <w:sz w:val="24"/>
          <w:szCs w:val="24"/>
        </w:rPr>
      </w:pPr>
    </w:p>
    <w:p w:rsidR="00817565" w:rsidRDefault="00786FAB">
      <w:pPr>
        <w:spacing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817565" w:rsidRDefault="00786FAB">
      <w:pPr>
        <w:spacing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w:t>
      </w:r>
      <w:r>
        <w:rPr>
          <w:rFonts w:ascii="Palatino Linotype" w:eastAsia="Palatino Linotype" w:hAnsi="Palatino Linotype" w:cs="Palatino Linotype"/>
          <w:sz w:val="24"/>
          <w:szCs w:val="24"/>
        </w:rPr>
        <w:lastRenderedPageBreak/>
        <w:t xml:space="preserve">virtud, este Instituto determina que dicha información no puede ser del dominio público, toda vez que se podría dar un uso inadecuado a la misma o cometer algún ilícito o fraude en contra del patrimonio de los particulares. </w:t>
      </w:r>
    </w:p>
    <w:p w:rsidR="00817565" w:rsidRDefault="00817565">
      <w:pPr>
        <w:spacing w:line="360" w:lineRule="auto"/>
        <w:ind w:right="50"/>
        <w:jc w:val="both"/>
        <w:rPr>
          <w:rFonts w:ascii="Palatino Linotype" w:eastAsia="Palatino Linotype" w:hAnsi="Palatino Linotype" w:cs="Palatino Linotype"/>
          <w:sz w:val="24"/>
          <w:szCs w:val="24"/>
        </w:rPr>
      </w:pPr>
    </w:p>
    <w:p w:rsidR="00817565" w:rsidRDefault="00786FAB">
      <w:pPr>
        <w:spacing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esa virtud, este Pleno determina que dicha información no puede ser del dominio público, toda vez que se podría dar un uso inadecuado a la misma o cometer algún ilícito o fraude como ya ha sido expuesto.  Es por esta razón que se debe omitir el o los números de cuentas bancarias de particulares en las versiones públicas que del contrato y la o las facturas se hagan, para ser entregadas.</w:t>
      </w:r>
    </w:p>
    <w:p w:rsidR="00817565" w:rsidRDefault="00786FAB">
      <w:pPr>
        <w:spacing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rsidR="00817565" w:rsidRDefault="00786FAB">
      <w:pPr>
        <w:spacing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argumentado encuentra sustento en los criterios 10/17 y 11/17 emitidos por el Instituto Nacional de Transparencia, Acceso a la Información y Protección de Datos Personales, INAI, que llevan por rubro y texto los siguientes:</w:t>
      </w:r>
    </w:p>
    <w:p w:rsidR="00817565" w:rsidRDefault="00786FAB">
      <w:pPr>
        <w:spacing w:after="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personas físicas y morales privadas.</w:t>
      </w:r>
      <w:r>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817565" w:rsidRDefault="00786FAB">
      <w:pPr>
        <w:spacing w:before="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Cuentas bancarias y/o CLABE interbancaria de sujetos obligados que reciben y/o transfieren recursos públicos, son información pública</w:t>
      </w:r>
      <w:r>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817565" w:rsidRDefault="00817565">
      <w:pPr>
        <w:spacing w:line="360" w:lineRule="auto"/>
        <w:ind w:right="51"/>
        <w:jc w:val="both"/>
        <w:rPr>
          <w:rFonts w:ascii="Palatino Linotype" w:eastAsia="Palatino Linotype" w:hAnsi="Palatino Linotype" w:cs="Palatino Linotype"/>
        </w:rPr>
      </w:pPr>
    </w:p>
    <w:p w:rsidR="00817565" w:rsidRDefault="00786FAB">
      <w:pPr>
        <w:spacing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Verbigracia, previo a poner a disposición la información correspondiente debe considerarse que tiene carácter de confidencial el </w:t>
      </w:r>
      <w:r>
        <w:rPr>
          <w:rFonts w:ascii="Palatino Linotype" w:eastAsia="Palatino Linotype" w:hAnsi="Palatino Linotype" w:cs="Palatino Linotype"/>
          <w:b/>
          <w:sz w:val="24"/>
          <w:szCs w:val="24"/>
        </w:rPr>
        <w:t>Registro Federal de Contribuyentes (RFC) que no sean de proveedores</w:t>
      </w:r>
      <w:r>
        <w:rPr>
          <w:rFonts w:ascii="Palatino Linotype" w:eastAsia="Palatino Linotype" w:hAnsi="Palatino Linotype" w:cs="Palatino Linotype"/>
          <w:sz w:val="24"/>
          <w:szCs w:val="24"/>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rsidR="00817565" w:rsidRDefault="00786FAB">
      <w:pPr>
        <w:spacing w:before="240" w:after="240" w:line="360" w:lineRule="auto"/>
        <w:ind w:right="-9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 anterior es compartido por el ahora </w:t>
      </w:r>
      <w:r>
        <w:rPr>
          <w:rFonts w:ascii="Palatino Linotype" w:eastAsia="Palatino Linotype" w:hAnsi="Palatino Linotype" w:cs="Palatino Linotype"/>
          <w:b/>
          <w:sz w:val="24"/>
          <w:szCs w:val="24"/>
        </w:rPr>
        <w:t>Instituto Nacional de Transparencia, Acceso a la Información y Protección de Datos Personales</w:t>
      </w:r>
      <w:r>
        <w:rPr>
          <w:rFonts w:ascii="Palatino Linotype" w:eastAsia="Palatino Linotype" w:hAnsi="Palatino Linotype" w:cs="Palatino Linotype"/>
          <w:sz w:val="24"/>
          <w:szCs w:val="24"/>
        </w:rPr>
        <w:t xml:space="preserve"> (INAI), conforme al criterio </w:t>
      </w:r>
      <w:r>
        <w:rPr>
          <w:rFonts w:ascii="Palatino Linotype" w:eastAsia="Palatino Linotype" w:hAnsi="Palatino Linotype" w:cs="Palatino Linotype"/>
          <w:b/>
          <w:sz w:val="24"/>
          <w:szCs w:val="24"/>
        </w:rPr>
        <w:t>004/2021,</w:t>
      </w:r>
      <w:r>
        <w:rPr>
          <w:rFonts w:ascii="Palatino Linotype" w:eastAsia="Palatino Linotype" w:hAnsi="Palatino Linotype" w:cs="Palatino Linotype"/>
          <w:sz w:val="24"/>
          <w:szCs w:val="24"/>
        </w:rPr>
        <w:t xml:space="preserve"> el cual es del tenor literal siguiente:</w:t>
      </w:r>
    </w:p>
    <w:p w:rsidR="00817565" w:rsidRDefault="00786FAB">
      <w:pPr>
        <w:spacing w:before="240" w:line="360" w:lineRule="auto"/>
        <w:ind w:left="851" w:right="851"/>
        <w:jc w:val="center"/>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Registro Federal de Contribuyentes (RFC) de personas físicas proveedores o contratistas.</w:t>
      </w:r>
    </w:p>
    <w:p w:rsidR="00817565" w:rsidRDefault="00786FAB">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rsidR="00817565" w:rsidRDefault="00786FAB">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b/>
          <w:i/>
        </w:rPr>
        <w:t>Precedentes:</w:t>
      </w:r>
    </w:p>
    <w:p w:rsidR="00817565" w:rsidRDefault="00786FAB">
      <w:pPr>
        <w:numPr>
          <w:ilvl w:val="0"/>
          <w:numId w:val="10"/>
        </w:numPr>
        <w:spacing w:before="240" w:line="240" w:lineRule="auto"/>
        <w:ind w:left="720" w:right="851"/>
        <w:jc w:val="both"/>
        <w:rPr>
          <w:i/>
          <w:sz w:val="20"/>
          <w:szCs w:val="20"/>
        </w:rPr>
      </w:pPr>
      <w:r>
        <w:rPr>
          <w:rFonts w:ascii="Palatino Linotype" w:eastAsia="Palatino Linotype" w:hAnsi="Palatino Linotype" w:cs="Palatino Linotype"/>
          <w:i/>
          <w:sz w:val="20"/>
          <w:szCs w:val="20"/>
        </w:rPr>
        <w:lastRenderedPageBreak/>
        <w:t xml:space="preserve">Acceso a la información Pública. RRA 3639/19. Sesión del 10 de julio de 2019. Votación por mayoría. Con voto disidente del Comisionado Joel Salas Suárez. Instituto para la Protección del Ahorro Bancario. Comisionada Ponente María Patricia </w:t>
      </w:r>
      <w:proofErr w:type="spellStart"/>
      <w:r>
        <w:rPr>
          <w:rFonts w:ascii="Palatino Linotype" w:eastAsia="Palatino Linotype" w:hAnsi="Palatino Linotype" w:cs="Palatino Linotype"/>
          <w:i/>
          <w:sz w:val="20"/>
          <w:szCs w:val="20"/>
        </w:rPr>
        <w:t>Kurczyn</w:t>
      </w:r>
      <w:proofErr w:type="spellEnd"/>
      <w:r>
        <w:rPr>
          <w:rFonts w:ascii="Palatino Linotype" w:eastAsia="Palatino Linotype" w:hAnsi="Palatino Linotype" w:cs="Palatino Linotype"/>
          <w:i/>
          <w:sz w:val="20"/>
          <w:szCs w:val="20"/>
        </w:rPr>
        <w:t xml:space="preserve"> Villalobos.</w:t>
      </w:r>
    </w:p>
    <w:p w:rsidR="00817565" w:rsidRDefault="00786FAB">
      <w:pPr>
        <w:numPr>
          <w:ilvl w:val="0"/>
          <w:numId w:val="10"/>
        </w:numPr>
        <w:spacing w:before="240" w:line="240" w:lineRule="auto"/>
        <w:ind w:left="720" w:right="851"/>
        <w:jc w:val="both"/>
        <w:rPr>
          <w:i/>
          <w:sz w:val="20"/>
          <w:szCs w:val="20"/>
        </w:rPr>
      </w:pPr>
      <w:r>
        <w:rPr>
          <w:rFonts w:ascii="Palatino Linotype" w:eastAsia="Palatino Linotype" w:hAnsi="Palatino Linotype" w:cs="Palatino Linotype"/>
          <w:i/>
          <w:sz w:val="20"/>
          <w:szCs w:val="20"/>
        </w:rPr>
        <w:t>Acceso a la información Pública. RRA 7709/19. Sesión del 13 de agosto de 2019. Votación por unanimidad. Con voto particular de la Comisionada Josefina Román Vergara. Suprema Corte de Justicia de la Nación. Comisionada Ponente Josefina Román Vergara.</w:t>
      </w:r>
    </w:p>
    <w:p w:rsidR="00817565" w:rsidRDefault="00786FAB">
      <w:pPr>
        <w:numPr>
          <w:ilvl w:val="0"/>
          <w:numId w:val="10"/>
        </w:numPr>
        <w:spacing w:before="240" w:line="240" w:lineRule="auto"/>
        <w:ind w:left="851" w:right="851"/>
        <w:jc w:val="both"/>
        <w:rPr>
          <w:b/>
          <w:i/>
          <w:sz w:val="20"/>
          <w:szCs w:val="20"/>
        </w:rPr>
      </w:pPr>
      <w:r>
        <w:rPr>
          <w:rFonts w:ascii="Palatino Linotype" w:eastAsia="Palatino Linotype" w:hAnsi="Palatino Linotype" w:cs="Palatino Linotype"/>
          <w:i/>
          <w:sz w:val="20"/>
          <w:szCs w:val="20"/>
        </w:rPr>
        <w:t>Acceso a la información Pública. RRA 5774/19. Sesión del 21 de agosto de 2019. Votación por mayoría. Con voto disidente del Comisionado Joel Salas Suárez. Secretaría de Marina. Comisionada Ponente Blanca Lilia Ibarra Cadena.” [Sic]</w:t>
      </w:r>
    </w:p>
    <w:p w:rsidR="00817565" w:rsidRDefault="00817565">
      <w:pPr>
        <w:spacing w:before="120" w:after="120"/>
        <w:ind w:left="567" w:right="850"/>
        <w:jc w:val="both"/>
        <w:rPr>
          <w:rFonts w:ascii="Palatino Linotype" w:eastAsia="Palatino Linotype" w:hAnsi="Palatino Linotype" w:cs="Palatino Linotype"/>
          <w:i/>
        </w:rPr>
      </w:pPr>
    </w:p>
    <w:p w:rsidR="00817565" w:rsidRDefault="00786FAB">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el RFC se vincula al nombre de su titular, permite identificar la edad de la persona, su fecha de nacimiento, así como su </w:t>
      </w:r>
      <w:proofErr w:type="spellStart"/>
      <w:r>
        <w:rPr>
          <w:rFonts w:ascii="Palatino Linotype" w:eastAsia="Palatino Linotype" w:hAnsi="Palatino Linotype" w:cs="Palatino Linotype"/>
          <w:sz w:val="24"/>
          <w:szCs w:val="24"/>
        </w:rPr>
        <w:t>homoclave</w:t>
      </w:r>
      <w:proofErr w:type="spellEnd"/>
      <w:r>
        <w:rPr>
          <w:rFonts w:ascii="Palatino Linotype" w:eastAsia="Palatino Linotype" w:hAnsi="Palatino Linotype" w:cs="Palatino Linotype"/>
          <w:sz w:val="24"/>
          <w:szCs w:val="24"/>
        </w:rPr>
        <w:t>, la cual es única e irrepetible y determina justamente la identificación de dicha persona para efectos fiscales, por lo éste constituye un dato personal que concierne a una persona física identificada e identificable.</w:t>
      </w:r>
    </w:p>
    <w:p w:rsidR="00817565" w:rsidRDefault="00786FAB">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817565" w:rsidRDefault="00786FAB">
      <w:pPr>
        <w:spacing w:before="240" w:after="240" w:line="360" w:lineRule="auto"/>
        <w:ind w:right="-91"/>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Argumento que es compartido por el </w:t>
      </w:r>
      <w:r>
        <w:rPr>
          <w:rFonts w:ascii="Palatino Linotype" w:eastAsia="Palatino Linotype" w:hAnsi="Palatino Linotype" w:cs="Palatino Linotype"/>
          <w:b/>
          <w:sz w:val="24"/>
          <w:szCs w:val="24"/>
        </w:rPr>
        <w:t xml:space="preserve">Instituto Nacional de Transparencia, Acceso a la Información y Protección de Datos Personales, conforme al </w:t>
      </w:r>
      <w:r>
        <w:rPr>
          <w:rFonts w:ascii="Palatino Linotype" w:eastAsia="Palatino Linotype" w:hAnsi="Palatino Linotype" w:cs="Palatino Linotype"/>
          <w:sz w:val="24"/>
          <w:szCs w:val="24"/>
        </w:rPr>
        <w:t>criterio número 18/17 el cual refiere</w:t>
      </w:r>
      <w:r>
        <w:rPr>
          <w:rFonts w:ascii="Palatino Linotype" w:eastAsia="Palatino Linotype" w:hAnsi="Palatino Linotype" w:cs="Palatino Linotype"/>
        </w:rPr>
        <w:t xml:space="preserve">: </w:t>
      </w:r>
    </w:p>
    <w:p w:rsidR="00835B47" w:rsidRDefault="00835B47">
      <w:pPr>
        <w:spacing w:before="240" w:after="240" w:line="360" w:lineRule="auto"/>
        <w:ind w:right="-91"/>
        <w:jc w:val="both"/>
        <w:rPr>
          <w:rFonts w:ascii="Palatino Linotype" w:eastAsia="Palatino Linotype" w:hAnsi="Palatino Linotype" w:cs="Palatino Linotype"/>
        </w:rPr>
      </w:pPr>
    </w:p>
    <w:p w:rsidR="00835B47" w:rsidRDefault="00835B47">
      <w:pPr>
        <w:spacing w:before="240" w:after="240" w:line="360" w:lineRule="auto"/>
        <w:ind w:right="-91"/>
        <w:jc w:val="both"/>
        <w:rPr>
          <w:rFonts w:ascii="Palatino Linotype" w:eastAsia="Palatino Linotype" w:hAnsi="Palatino Linotype" w:cs="Palatino Linotype"/>
        </w:rPr>
      </w:pPr>
    </w:p>
    <w:p w:rsidR="00817565" w:rsidRDefault="00786FAB">
      <w:pPr>
        <w:spacing w:before="240" w:line="360" w:lineRule="auto"/>
        <w:ind w:left="851" w:right="851"/>
        <w:jc w:val="center"/>
        <w:rPr>
          <w:rFonts w:ascii="Palatino Linotype" w:eastAsia="Palatino Linotype" w:hAnsi="Palatino Linotype" w:cs="Palatino Linotype"/>
          <w:b/>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CLAVE ÚNICA DE REGISTRO DE POBLACIÓN (CURP).</w:t>
      </w:r>
    </w:p>
    <w:p w:rsidR="00817565" w:rsidRDefault="00786FAB">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817565" w:rsidRDefault="00786FAB">
      <w:pPr>
        <w:spacing w:before="240" w:line="360" w:lineRule="auto"/>
        <w:ind w:left="851" w:right="851"/>
        <w:jc w:val="both"/>
        <w:rPr>
          <w:rFonts w:ascii="Palatino Linotype" w:eastAsia="Palatino Linotype" w:hAnsi="Palatino Linotype" w:cs="Palatino Linotype"/>
          <w:b/>
          <w:i/>
          <w:sz w:val="20"/>
          <w:szCs w:val="20"/>
        </w:rPr>
      </w:pPr>
      <w:r>
        <w:rPr>
          <w:rFonts w:ascii="Palatino Linotype" w:eastAsia="Palatino Linotype" w:hAnsi="Palatino Linotype" w:cs="Palatino Linotype"/>
          <w:i/>
        </w:rPr>
        <w:t xml:space="preserve"> </w:t>
      </w:r>
      <w:r>
        <w:rPr>
          <w:rFonts w:ascii="Palatino Linotype" w:eastAsia="Palatino Linotype" w:hAnsi="Palatino Linotype" w:cs="Palatino Linotype"/>
          <w:b/>
          <w:i/>
          <w:sz w:val="20"/>
          <w:szCs w:val="20"/>
        </w:rPr>
        <w:t>Resoluciones:</w:t>
      </w:r>
    </w:p>
    <w:p w:rsidR="00817565" w:rsidRDefault="00786FAB">
      <w:pPr>
        <w:spacing w:before="240" w:line="240" w:lineRule="auto"/>
        <w:ind w:left="851" w:right="851"/>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RRA 3995/16. </w:t>
      </w:r>
      <w:r>
        <w:rPr>
          <w:rFonts w:ascii="Palatino Linotype" w:eastAsia="Palatino Linotype" w:hAnsi="Palatino Linotype" w:cs="Palatino Linotype"/>
          <w:i/>
          <w:sz w:val="20"/>
          <w:szCs w:val="20"/>
        </w:rPr>
        <w:t xml:space="preserve">Secretaría de la Defensa Nacional. 1 de febrero de 2017. Por unanimidad. Comisionado Ponente </w:t>
      </w:r>
      <w:proofErr w:type="spellStart"/>
      <w:r>
        <w:rPr>
          <w:rFonts w:ascii="Palatino Linotype" w:eastAsia="Palatino Linotype" w:hAnsi="Palatino Linotype" w:cs="Palatino Linotype"/>
          <w:i/>
          <w:sz w:val="20"/>
          <w:szCs w:val="20"/>
        </w:rPr>
        <w:t>Rosendoevgueni</w:t>
      </w:r>
      <w:proofErr w:type="spellEnd"/>
      <w:r>
        <w:rPr>
          <w:rFonts w:ascii="Palatino Linotype" w:eastAsia="Palatino Linotype" w:hAnsi="Palatino Linotype" w:cs="Palatino Linotype"/>
          <w:i/>
          <w:sz w:val="20"/>
          <w:szCs w:val="20"/>
        </w:rPr>
        <w:t xml:space="preserve"> Monterrey </w:t>
      </w:r>
      <w:proofErr w:type="spellStart"/>
      <w:r>
        <w:rPr>
          <w:rFonts w:ascii="Palatino Linotype" w:eastAsia="Palatino Linotype" w:hAnsi="Palatino Linotype" w:cs="Palatino Linotype"/>
          <w:i/>
          <w:sz w:val="20"/>
          <w:szCs w:val="20"/>
        </w:rPr>
        <w:t>Chepov</w:t>
      </w:r>
      <w:proofErr w:type="spellEnd"/>
      <w:r>
        <w:rPr>
          <w:rFonts w:ascii="Palatino Linotype" w:eastAsia="Palatino Linotype" w:hAnsi="Palatino Linotype" w:cs="Palatino Linotype"/>
          <w:i/>
          <w:sz w:val="20"/>
          <w:szCs w:val="20"/>
        </w:rPr>
        <w:t>.</w:t>
      </w:r>
    </w:p>
    <w:p w:rsidR="00817565" w:rsidRDefault="00786FAB">
      <w:pPr>
        <w:spacing w:before="240" w:line="240" w:lineRule="auto"/>
        <w:ind w:left="851" w:right="851"/>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RRA 0937/17. </w:t>
      </w:r>
      <w:r>
        <w:rPr>
          <w:rFonts w:ascii="Palatino Linotype" w:eastAsia="Palatino Linotype" w:hAnsi="Palatino Linotype" w:cs="Palatino Linotype"/>
          <w:i/>
          <w:sz w:val="20"/>
          <w:szCs w:val="20"/>
        </w:rPr>
        <w:t xml:space="preserve">Senado de la República. 15 de marzo de 2017. Por unanimidad. Comisionada Ponente Ximena Puente de la Mora. </w:t>
      </w:r>
    </w:p>
    <w:p w:rsidR="00817565" w:rsidRDefault="00786FAB">
      <w:pPr>
        <w:spacing w:before="240" w:line="240" w:lineRule="auto"/>
        <w:ind w:left="851" w:right="851"/>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RRA 0478/17. </w:t>
      </w:r>
      <w:r>
        <w:rPr>
          <w:rFonts w:ascii="Palatino Linotype" w:eastAsia="Palatino Linotype" w:hAnsi="Palatino Linotype" w:cs="Palatino Linotype"/>
          <w:i/>
          <w:sz w:val="20"/>
          <w:szCs w:val="20"/>
        </w:rPr>
        <w:t xml:space="preserve">Secretaría de Relaciones Exteriores. 26 de abril de 2017. Por unanimidad. Comisionada Ponente Areli Cano Guadiana.” </w:t>
      </w:r>
      <w:r>
        <w:rPr>
          <w:rFonts w:ascii="Palatino Linotype" w:eastAsia="Palatino Linotype" w:hAnsi="Palatino Linotype" w:cs="Palatino Linotype"/>
          <w:b/>
          <w:i/>
          <w:sz w:val="20"/>
          <w:szCs w:val="20"/>
        </w:rPr>
        <w:t>[Sic]</w:t>
      </w:r>
    </w:p>
    <w:p w:rsidR="00817565" w:rsidRDefault="00817565">
      <w:pPr>
        <w:spacing w:line="360" w:lineRule="auto"/>
        <w:ind w:right="51"/>
        <w:jc w:val="both"/>
        <w:rPr>
          <w:rFonts w:ascii="Palatino Linotype" w:eastAsia="Palatino Linotype" w:hAnsi="Palatino Linotype" w:cs="Palatino Linotype"/>
          <w:sz w:val="24"/>
          <w:szCs w:val="24"/>
        </w:rPr>
      </w:pPr>
    </w:p>
    <w:p w:rsidR="00817565" w:rsidRDefault="00786FAB">
      <w:pPr>
        <w:spacing w:line="360" w:lineRule="auto"/>
        <w:ind w:right="51"/>
        <w:jc w:val="both"/>
        <w:rPr>
          <w:b/>
          <w:sz w:val="24"/>
          <w:szCs w:val="24"/>
        </w:rPr>
      </w:pPr>
      <w:r>
        <w:rPr>
          <w:rFonts w:ascii="Palatino Linotype" w:eastAsia="Palatino Linotype" w:hAnsi="Palatino Linotype" w:cs="Palatino Linotype"/>
          <w:sz w:val="24"/>
          <w:szCs w:val="24"/>
        </w:rPr>
        <w:t>El nombre, firma y rubrica del apoderado legal, se consideran públicos de conformidad con el criterio 01/19 reiterado vigente del INAI:</w:t>
      </w:r>
    </w:p>
    <w:p w:rsidR="00817565" w:rsidRDefault="00786FAB">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Datos de identificación del representante o apoderado legal.</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 xml:space="preserve">Naturaleza jurídica. </w:t>
      </w:r>
      <w:r>
        <w:rPr>
          <w:rFonts w:ascii="Palatino Linotype" w:eastAsia="Palatino Linotype" w:hAnsi="Palatino Linotype" w:cs="Palatino Linotype"/>
          <w:i/>
          <w:color w:val="000000"/>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817565" w:rsidRDefault="00786FAB">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Precedentes:</w:t>
      </w:r>
    </w:p>
    <w:p w:rsidR="00817565" w:rsidRDefault="00786FAB">
      <w:pPr>
        <w:numPr>
          <w:ilvl w:val="0"/>
          <w:numId w:val="7"/>
        </w:numPr>
        <w:pBdr>
          <w:top w:val="nil"/>
          <w:left w:val="nil"/>
          <w:bottom w:val="nil"/>
          <w:right w:val="nil"/>
          <w:between w:val="nil"/>
        </w:pBdr>
        <w:spacing w:before="240" w:line="240" w:lineRule="auto"/>
        <w:ind w:right="851"/>
        <w:jc w:val="both"/>
        <w:rPr>
          <w:i/>
          <w:color w:val="000000"/>
          <w:sz w:val="20"/>
          <w:szCs w:val="20"/>
        </w:rPr>
      </w:pPr>
      <w:r>
        <w:rPr>
          <w:rFonts w:ascii="Palatino Linotype" w:eastAsia="Palatino Linotype" w:hAnsi="Palatino Linotype" w:cs="Palatino Linotype"/>
          <w:i/>
          <w:color w:val="000000"/>
          <w:sz w:val="20"/>
          <w:szCs w:val="20"/>
        </w:rPr>
        <w:lastRenderedPageBreak/>
        <w:t>Acceso a la información pública. RRA 3104/16. Sesión del 01 de noviembre del 2016. Votación por unanimidad. Sin votos disidentes o particulares. Secretaría de la Defensa Nacional. Comisionado Ponente Oscar Mauricio Guerra Ford.</w:t>
      </w:r>
    </w:p>
    <w:p w:rsidR="00817565" w:rsidRDefault="00786FAB">
      <w:pPr>
        <w:numPr>
          <w:ilvl w:val="0"/>
          <w:numId w:val="7"/>
        </w:numPr>
        <w:pBdr>
          <w:top w:val="nil"/>
          <w:left w:val="nil"/>
          <w:bottom w:val="nil"/>
          <w:right w:val="nil"/>
          <w:between w:val="nil"/>
        </w:pBdr>
        <w:spacing w:before="240" w:line="240" w:lineRule="auto"/>
        <w:ind w:right="851"/>
        <w:jc w:val="both"/>
        <w:rPr>
          <w:b/>
          <w:i/>
          <w:color w:val="000000"/>
          <w:sz w:val="20"/>
          <w:szCs w:val="20"/>
        </w:rPr>
      </w:pPr>
      <w:r>
        <w:rPr>
          <w:rFonts w:ascii="Palatino Linotype" w:eastAsia="Palatino Linotype" w:hAnsi="Palatino Linotype" w:cs="Palatino Linotype"/>
          <w:i/>
          <w:color w:val="000000"/>
          <w:sz w:val="20"/>
          <w:szCs w:val="20"/>
        </w:rPr>
        <w:t xml:space="preserve">Acceso a la información pública. RRA 2923/16. Sesión del 13 de diciembre de 2016. Votación por unanimidad. Sin votos disidentes o particulares. Administración Portuaria Integral de Lázaro Cárdenas, S.A. de C.V. Comisionada Ponente María Patricia </w:t>
      </w:r>
      <w:proofErr w:type="spellStart"/>
      <w:r>
        <w:rPr>
          <w:rFonts w:ascii="Palatino Linotype" w:eastAsia="Palatino Linotype" w:hAnsi="Palatino Linotype" w:cs="Palatino Linotype"/>
          <w:i/>
          <w:color w:val="000000"/>
          <w:sz w:val="20"/>
          <w:szCs w:val="20"/>
        </w:rPr>
        <w:t>Kurczyn</w:t>
      </w:r>
      <w:proofErr w:type="spellEnd"/>
      <w:r>
        <w:rPr>
          <w:rFonts w:ascii="Palatino Linotype" w:eastAsia="Palatino Linotype" w:hAnsi="Palatino Linotype" w:cs="Palatino Linotype"/>
          <w:i/>
          <w:color w:val="000000"/>
          <w:sz w:val="20"/>
          <w:szCs w:val="20"/>
        </w:rPr>
        <w:t xml:space="preserve"> Villalobos.</w:t>
      </w:r>
    </w:p>
    <w:p w:rsidR="00817565" w:rsidRDefault="00786FAB">
      <w:pPr>
        <w:numPr>
          <w:ilvl w:val="0"/>
          <w:numId w:val="7"/>
        </w:numPr>
        <w:pBdr>
          <w:top w:val="nil"/>
          <w:left w:val="nil"/>
          <w:bottom w:val="nil"/>
          <w:right w:val="nil"/>
          <w:between w:val="nil"/>
        </w:pBdr>
        <w:spacing w:before="240" w:line="240" w:lineRule="auto"/>
        <w:ind w:right="851"/>
        <w:jc w:val="both"/>
        <w:rPr>
          <w:i/>
          <w:color w:val="000000"/>
          <w:sz w:val="20"/>
          <w:szCs w:val="20"/>
        </w:rPr>
      </w:pPr>
      <w:r>
        <w:rPr>
          <w:rFonts w:ascii="Palatino Linotype" w:eastAsia="Palatino Linotype" w:hAnsi="Palatino Linotype" w:cs="Palatino Linotype"/>
          <w:i/>
          <w:color w:val="000000"/>
          <w:sz w:val="20"/>
          <w:szCs w:val="20"/>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817565" w:rsidRDefault="00786FAB">
      <w:pPr>
        <w:spacing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Pr>
          <w:rFonts w:ascii="Palatino Linotype" w:eastAsia="Palatino Linotype" w:hAnsi="Palatino Linotype" w:cs="Palatino Linotype"/>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rsidR="00817565" w:rsidRDefault="00786FAB">
      <w:pPr>
        <w:spacing w:line="360" w:lineRule="auto"/>
        <w:ind w:right="51"/>
        <w:jc w:val="both"/>
        <w:rPr>
          <w:rFonts w:ascii="Palatino Linotype" w:eastAsia="Palatino Linotype" w:hAnsi="Palatino Linotype" w:cs="Palatino Linotype"/>
          <w:sz w:val="24"/>
          <w:szCs w:val="24"/>
        </w:rPr>
      </w:pPr>
      <w:bookmarkStart w:id="2" w:name="_30j0zll" w:colFirst="0" w:colLast="0"/>
      <w:bookmarkEnd w:id="2"/>
      <w:r w:rsidRPr="00835B47">
        <w:rPr>
          <w:rFonts w:ascii="Palatino Linotype" w:eastAsia="Palatino Linotype" w:hAnsi="Palatino Linotype" w:cs="Palatino Linotype"/>
          <w:color w:val="000000"/>
          <w:sz w:val="24"/>
          <w:szCs w:val="24"/>
        </w:rPr>
        <w:t>De lo anterior no pasa por desapercibido por este Instituto que el Sujeto Obligado hizo entrega de datos correspondientes a los nombres de particulares colindantes a las propiedades  por lo que se girara oficio al Titular de la Dirección General de Protección de Datos Personales, en atención al artículo 82, fracción XXVII de la Ley de Protección de Datos Personales del Estado de México y Municipios.</w:t>
      </w: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Finalmente, y en mérito de lo expuesto en líneas anteriores, resultan fundados los motivos de inconformidad vertidos por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por ello con fundamento en la </w:t>
      </w:r>
      <w:r>
        <w:rPr>
          <w:rFonts w:ascii="Palatino Linotype" w:eastAsia="Palatino Linotype" w:hAnsi="Palatino Linotype" w:cs="Palatino Linotype"/>
          <w:i/>
          <w:sz w:val="24"/>
          <w:szCs w:val="24"/>
        </w:rPr>
        <w:t>segunda hipótesis</w:t>
      </w:r>
      <w:r>
        <w:rPr>
          <w:rFonts w:ascii="Palatino Linotype" w:eastAsia="Palatino Linotype" w:hAnsi="Palatino Linotype" w:cs="Palatino Linotype"/>
          <w:sz w:val="24"/>
          <w:szCs w:val="24"/>
        </w:rPr>
        <w:t xml:space="preserve"> del artículo 186, fracción III, de la Ley de Transparencia y Acceso a la Información Pública del Estado de México y Municipios, se </w:t>
      </w:r>
      <w:r>
        <w:rPr>
          <w:rFonts w:ascii="Palatino Linotype" w:eastAsia="Palatino Linotype" w:hAnsi="Palatino Linotype" w:cs="Palatino Linotype"/>
          <w:b/>
          <w:sz w:val="24"/>
          <w:szCs w:val="24"/>
        </w:rPr>
        <w:t xml:space="preserve">MODIFICA </w:t>
      </w:r>
      <w:r>
        <w:rPr>
          <w:rFonts w:ascii="Palatino Linotype" w:eastAsia="Palatino Linotype" w:hAnsi="Palatino Linotype" w:cs="Palatino Linotype"/>
          <w:sz w:val="24"/>
          <w:szCs w:val="24"/>
        </w:rPr>
        <w:t xml:space="preserve">la respuesta a la solicitud de información </w:t>
      </w:r>
      <w:r>
        <w:rPr>
          <w:rFonts w:ascii="Palatino Linotype" w:eastAsia="Palatino Linotype" w:hAnsi="Palatino Linotype" w:cs="Palatino Linotype"/>
          <w:b/>
          <w:sz w:val="24"/>
          <w:szCs w:val="24"/>
        </w:rPr>
        <w:t>00091/TEZOYUCA/IP/2024</w:t>
      </w:r>
      <w:r>
        <w:rPr>
          <w:rFonts w:ascii="Palatino Linotype" w:eastAsia="Palatino Linotype" w:hAnsi="Palatino Linotype" w:cs="Palatino Linotype"/>
          <w:sz w:val="24"/>
          <w:szCs w:val="24"/>
        </w:rPr>
        <w:t>, que ha sido materia del presente fallo.</w:t>
      </w: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antes expuesto y fundado. </w:t>
      </w:r>
    </w:p>
    <w:p w:rsidR="00817565" w:rsidRDefault="00786FAB">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    RESUELVE</w:t>
      </w:r>
    </w:p>
    <w:p w:rsidR="00817565" w:rsidRDefault="00817565">
      <w:pPr>
        <w:rPr>
          <w:rFonts w:ascii="Palatino Linotype" w:eastAsia="Palatino Linotype" w:hAnsi="Palatino Linotype" w:cs="Palatino Linotype"/>
          <w:sz w:val="24"/>
          <w:szCs w:val="24"/>
        </w:rPr>
      </w:pPr>
    </w:p>
    <w:p w:rsidR="00817565" w:rsidRDefault="00786FAB">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xml:space="preserve"> Se</w:t>
      </w:r>
      <w:r>
        <w:rPr>
          <w:rFonts w:ascii="Palatino Linotype" w:eastAsia="Palatino Linotype" w:hAnsi="Palatino Linotype" w:cs="Palatino Linotype"/>
          <w:b/>
          <w:sz w:val="24"/>
          <w:szCs w:val="24"/>
        </w:rPr>
        <w:t xml:space="preserve"> MODIFICA </w:t>
      </w:r>
      <w:r>
        <w:rPr>
          <w:rFonts w:ascii="Palatino Linotype" w:eastAsia="Palatino Linotype" w:hAnsi="Palatino Linotype" w:cs="Palatino Linotype"/>
          <w:sz w:val="24"/>
          <w:szCs w:val="24"/>
        </w:rPr>
        <w:t xml:space="preserve">la respuesta entregada por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a la solicitud de información número </w:t>
      </w:r>
      <w:r>
        <w:rPr>
          <w:rFonts w:ascii="Palatino Linotype" w:eastAsia="Palatino Linotype" w:hAnsi="Palatino Linotype" w:cs="Palatino Linotype"/>
          <w:b/>
          <w:sz w:val="24"/>
          <w:szCs w:val="24"/>
        </w:rPr>
        <w:t>00091/TEZOYUCA/IP/2024</w:t>
      </w:r>
      <w:r>
        <w:rPr>
          <w:rFonts w:ascii="Palatino Linotype" w:eastAsia="Palatino Linotype" w:hAnsi="Palatino Linotype" w:cs="Palatino Linotype"/>
          <w:sz w:val="24"/>
          <w:szCs w:val="24"/>
        </w:rPr>
        <w:t>, por resultar parcialmente fundados los motivos de inconformidad vertidos por el</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de esta resolución.</w:t>
      </w:r>
    </w:p>
    <w:p w:rsidR="00681610" w:rsidRDefault="00681610">
      <w:pPr>
        <w:spacing w:line="360" w:lineRule="auto"/>
        <w:ind w:right="49"/>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haga entrega al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en términos del Considerando </w:t>
      </w: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de esta resolución, a través del</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de ser procedente en versión pública, de lo siguiente:</w:t>
      </w:r>
    </w:p>
    <w:p w:rsidR="00817565" w:rsidRDefault="00786FA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Los diecisiete contratos referidos en respuesta.</w:t>
      </w:r>
    </w:p>
    <w:p w:rsidR="00817565" w:rsidRDefault="0081756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817565" w:rsidRDefault="00786FAB">
      <w:pPr>
        <w:ind w:left="708"/>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Como sustento de la versión pública que se ordena su entrega, se deberá entregar el Acuerdo del Comité de Transparencia correspondiente, en términos del artículo 49, fracción VIII y </w:t>
      </w:r>
      <w:r>
        <w:rPr>
          <w:rFonts w:ascii="Palatino Linotype" w:eastAsia="Palatino Linotype" w:hAnsi="Palatino Linotype" w:cs="Palatino Linotype"/>
          <w:i/>
          <w:sz w:val="24"/>
          <w:szCs w:val="24"/>
        </w:rPr>
        <w:lastRenderedPageBreak/>
        <w:t xml:space="preserve">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Pr>
          <w:rFonts w:ascii="Palatino Linotype" w:eastAsia="Palatino Linotype" w:hAnsi="Palatino Linotype" w:cs="Palatino Linotype"/>
          <w:b/>
          <w:i/>
          <w:sz w:val="24"/>
          <w:szCs w:val="24"/>
        </w:rPr>
        <w:t>Recurrente</w:t>
      </w:r>
      <w:r>
        <w:rPr>
          <w:rFonts w:ascii="Palatino Linotype" w:eastAsia="Palatino Linotype" w:hAnsi="Palatino Linotype" w:cs="Palatino Linotype"/>
          <w:i/>
          <w:sz w:val="24"/>
          <w:szCs w:val="24"/>
        </w:rPr>
        <w:t>.</w:t>
      </w:r>
    </w:p>
    <w:p w:rsidR="00817565" w:rsidRDefault="00817565">
      <w:pPr>
        <w:jc w:val="both"/>
        <w:rPr>
          <w:rFonts w:ascii="Palatino Linotype" w:eastAsia="Palatino Linotype" w:hAnsi="Palatino Linotype" w:cs="Palatino Linotype"/>
          <w:i/>
          <w:sz w:val="24"/>
          <w:szCs w:val="24"/>
        </w:rPr>
      </w:pPr>
    </w:p>
    <w:p w:rsidR="00817565" w:rsidRDefault="00786FAB">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NOTIFÍQUESE </w:t>
      </w:r>
      <w:r>
        <w:rPr>
          <w:rFonts w:ascii="Palatino Linotype" w:eastAsia="Palatino Linotype" w:hAnsi="Palatino Linotype" w:cs="Palatino Linotype"/>
          <w:sz w:val="24"/>
          <w:szCs w:val="24"/>
        </w:rPr>
        <w:t xml:space="preserve">la presente resolución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al Titular de la Unidad de Transparencia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17565" w:rsidRDefault="00817565">
      <w:pPr>
        <w:spacing w:line="360" w:lineRule="auto"/>
        <w:ind w:right="49"/>
        <w:jc w:val="both"/>
        <w:rPr>
          <w:rFonts w:ascii="Palatino Linotype" w:eastAsia="Palatino Linotype" w:hAnsi="Palatino Linotype" w:cs="Palatino Linotype"/>
          <w:sz w:val="24"/>
          <w:szCs w:val="24"/>
        </w:rPr>
      </w:pPr>
    </w:p>
    <w:p w:rsidR="00817565" w:rsidRDefault="00786FA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rsidR="00835B47" w:rsidRDefault="00835B47">
      <w:pPr>
        <w:spacing w:line="360" w:lineRule="auto"/>
        <w:jc w:val="both"/>
        <w:rPr>
          <w:rFonts w:ascii="Palatino Linotype" w:eastAsia="Palatino Linotype" w:hAnsi="Palatino Linotype" w:cs="Palatino Linotype"/>
          <w:sz w:val="24"/>
          <w:szCs w:val="24"/>
        </w:rPr>
      </w:pPr>
    </w:p>
    <w:p w:rsidR="00817565" w:rsidRDefault="00786FAB">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 NOTIFÍQUESE</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y hágase de su conocimiento que en </w:t>
      </w:r>
      <w:r>
        <w:rPr>
          <w:rFonts w:ascii="Palatino Linotype" w:eastAsia="Palatino Linotype" w:hAnsi="Palatino Linotype" w:cs="Palatino Linotype"/>
          <w:sz w:val="24"/>
          <w:szCs w:val="24"/>
        </w:rPr>
        <w:lastRenderedPageBreak/>
        <w:t>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817565" w:rsidRPr="00835B47" w:rsidRDefault="00786FAB" w:rsidP="00786FAB">
      <w:pPr>
        <w:pBdr>
          <w:top w:val="nil"/>
          <w:left w:val="nil"/>
          <w:bottom w:val="nil"/>
          <w:right w:val="nil"/>
          <w:between w:val="nil"/>
        </w:pBdr>
        <w:spacing w:line="360" w:lineRule="auto"/>
        <w:jc w:val="both"/>
        <w:rPr>
          <w:color w:val="000000"/>
        </w:rPr>
      </w:pPr>
      <w:r w:rsidRPr="00835B47">
        <w:rPr>
          <w:rFonts w:ascii="Palatino Linotype" w:eastAsia="Palatino Linotype" w:hAnsi="Palatino Linotype" w:cs="Palatino Linotype"/>
          <w:b/>
          <w:color w:val="000000"/>
          <w:sz w:val="24"/>
          <w:szCs w:val="24"/>
        </w:rPr>
        <w:t>SEXTO. Gírese</w:t>
      </w:r>
      <w:r w:rsidRPr="00835B47">
        <w:rPr>
          <w:rFonts w:ascii="Palatino Linotype" w:eastAsia="Palatino Linotype" w:hAnsi="Palatino Linotype" w:cs="Palatino Linotype"/>
          <w:color w:val="000000"/>
          <w:sz w:val="24"/>
          <w:szCs w:val="24"/>
        </w:rPr>
        <w:t xml:space="preserve"> oficio al Titular de la Dirección General de Protección de Datos Personales, en atención al artículo 82, fracción XXVII de la Ley de Protección de Datos Personales del Estado de México y Municipios en términos de lo señalado en el </w:t>
      </w:r>
      <w:r w:rsidRPr="00835B47">
        <w:rPr>
          <w:rFonts w:ascii="Palatino Linotype" w:eastAsia="Palatino Linotype" w:hAnsi="Palatino Linotype" w:cs="Palatino Linotype"/>
          <w:b/>
          <w:color w:val="000000"/>
          <w:sz w:val="24"/>
          <w:szCs w:val="24"/>
        </w:rPr>
        <w:t>Considerando</w:t>
      </w:r>
      <w:r w:rsidRPr="00835B47">
        <w:rPr>
          <w:rFonts w:ascii="Palatino Linotype" w:eastAsia="Palatino Linotype" w:hAnsi="Palatino Linotype" w:cs="Palatino Linotype"/>
          <w:color w:val="000000"/>
          <w:sz w:val="24"/>
          <w:szCs w:val="24"/>
        </w:rPr>
        <w:t xml:space="preserve"> </w:t>
      </w:r>
      <w:r w:rsidRPr="00835B47">
        <w:rPr>
          <w:rFonts w:ascii="Palatino Linotype" w:eastAsia="Palatino Linotype" w:hAnsi="Palatino Linotype" w:cs="Palatino Linotype"/>
          <w:b/>
          <w:color w:val="000000"/>
          <w:sz w:val="24"/>
          <w:szCs w:val="24"/>
        </w:rPr>
        <w:t>QUINTO</w:t>
      </w:r>
      <w:r w:rsidRPr="00835B47">
        <w:rPr>
          <w:rFonts w:ascii="Palatino Linotype" w:eastAsia="Palatino Linotype" w:hAnsi="Palatino Linotype" w:cs="Palatino Linotype"/>
          <w:color w:val="000000"/>
          <w:sz w:val="24"/>
          <w:szCs w:val="24"/>
        </w:rPr>
        <w:t xml:space="preserve"> de la presente resolución</w:t>
      </w:r>
      <w:r w:rsidRPr="00835B47">
        <w:rPr>
          <w:color w:val="000000"/>
        </w:rPr>
        <w:t>.</w:t>
      </w:r>
    </w:p>
    <w:p w:rsidR="00817565" w:rsidRDefault="00817565">
      <w:pPr>
        <w:spacing w:after="0" w:line="360" w:lineRule="auto"/>
        <w:jc w:val="both"/>
        <w:rPr>
          <w:rFonts w:ascii="Palatino Linotype" w:eastAsia="Palatino Linotype" w:hAnsi="Palatino Linotype" w:cs="Palatino Linotype"/>
          <w:sz w:val="24"/>
          <w:szCs w:val="24"/>
        </w:rPr>
      </w:pPr>
    </w:p>
    <w:p w:rsidR="00817565" w:rsidRDefault="00786FA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w:t>
      </w:r>
      <w:r>
        <w:rPr>
          <w:rFonts w:ascii="Palatino Linotype" w:eastAsia="Palatino Linotype" w:hAnsi="Palatino Linotype" w:cs="Palatino Linotype"/>
          <w:b/>
          <w:sz w:val="24"/>
          <w:szCs w:val="24"/>
        </w:rPr>
        <w:t>UNANIMIDAD</w:t>
      </w:r>
      <w:r>
        <w:rPr>
          <w:rFonts w:ascii="Palatino Linotype" w:eastAsia="Palatino Linotype" w:hAnsi="Palatino Linotype" w:cs="Palatino Linotype"/>
          <w:sz w:val="24"/>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eastAsia="Palatino Linotype" w:hAnsi="Palatino Linotype" w:cs="Palatino Linotype"/>
          <w:b/>
          <w:sz w:val="24"/>
          <w:szCs w:val="24"/>
        </w:rPr>
        <w:t>TRIGÉSIMA OCTAVA SESIÓN ORDINARIA CELEBRADA EL SEIS DE NOVIEMBRE DE DOS MIL VEINTICUATRO</w:t>
      </w:r>
      <w:r>
        <w:rPr>
          <w:rFonts w:ascii="Palatino Linotype" w:eastAsia="Palatino Linotype" w:hAnsi="Palatino Linotype" w:cs="Palatino Linotype"/>
          <w:sz w:val="24"/>
          <w:szCs w:val="24"/>
        </w:rPr>
        <w:t>, ANTE EL SECRETARIO TÉCNICO DEL PLENO, ALEXIS TAPIA RAMÍREZ. -----------------------------------------------------------------------------------------------------------------------------------------------------------------------------------------------------------------------------------------------------------------------------------------------------------------------------------------------</w:t>
      </w:r>
      <w:r>
        <w:rPr>
          <w:rFonts w:ascii="Palatino Linotype" w:hAnsi="Palatino Linotype" w:cs="Arial"/>
        </w:rPr>
        <w:t>------------------------------------------------------------------------------------------------------------------------------------------------------------------------------------------------</w:t>
      </w:r>
      <w:r w:rsidR="00681610">
        <w:rPr>
          <w:rFonts w:ascii="Palatino Linotype" w:hAnsi="Palatino Linotype" w:cs="Arial"/>
        </w:rPr>
        <w:t>-------------------------------------------</w:t>
      </w:r>
      <w:r>
        <w:rPr>
          <w:rFonts w:ascii="Palatino Linotype" w:hAnsi="Palatino Linotype" w:cs="Arial"/>
        </w:rPr>
        <w:t>-------------------</w:t>
      </w:r>
    </w:p>
    <w:p w:rsidR="00817565" w:rsidRDefault="00786FAB">
      <w:pPr>
        <w:spacing w:after="0"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JMV/CCR/NJMB</w:t>
      </w:r>
    </w:p>
    <w:p w:rsidR="00817565" w:rsidRDefault="00817565">
      <w:pPr>
        <w:spacing w:after="0" w:line="360" w:lineRule="auto"/>
        <w:jc w:val="both"/>
        <w:rPr>
          <w:rFonts w:ascii="Palatino Linotype" w:eastAsia="Palatino Linotype" w:hAnsi="Palatino Linotype" w:cs="Palatino Linotype"/>
          <w:sz w:val="20"/>
          <w:szCs w:val="20"/>
        </w:rPr>
      </w:pPr>
    </w:p>
    <w:p w:rsidR="00817565" w:rsidRDefault="00817565">
      <w:pPr>
        <w:spacing w:after="0" w:line="360" w:lineRule="auto"/>
        <w:jc w:val="both"/>
        <w:rPr>
          <w:rFonts w:ascii="Palatino Linotype" w:eastAsia="Palatino Linotype" w:hAnsi="Palatino Linotype" w:cs="Palatino Linotype"/>
          <w:sz w:val="20"/>
          <w:szCs w:val="20"/>
        </w:rPr>
      </w:pPr>
    </w:p>
    <w:p w:rsidR="00817565" w:rsidRDefault="00817565">
      <w:pPr>
        <w:spacing w:after="0" w:line="360" w:lineRule="auto"/>
        <w:jc w:val="both"/>
        <w:rPr>
          <w:rFonts w:ascii="Palatino Linotype" w:eastAsia="Palatino Linotype" w:hAnsi="Palatino Linotype" w:cs="Palatino Linotype"/>
          <w:color w:val="000000"/>
          <w:sz w:val="20"/>
          <w:szCs w:val="20"/>
        </w:rPr>
      </w:pPr>
    </w:p>
    <w:p w:rsidR="00817565" w:rsidRDefault="00817565">
      <w:pPr>
        <w:spacing w:after="0" w:line="360" w:lineRule="auto"/>
        <w:jc w:val="both"/>
        <w:rPr>
          <w:rFonts w:ascii="Palatino Linotype" w:eastAsia="Palatino Linotype" w:hAnsi="Palatino Linotype" w:cs="Palatino Linotype"/>
          <w:color w:val="000000"/>
          <w:sz w:val="20"/>
          <w:szCs w:val="20"/>
        </w:rPr>
      </w:pPr>
    </w:p>
    <w:p w:rsidR="00817565" w:rsidRDefault="00817565">
      <w:pPr>
        <w:spacing w:after="0" w:line="360" w:lineRule="auto"/>
        <w:jc w:val="both"/>
        <w:rPr>
          <w:rFonts w:ascii="Palatino Linotype" w:eastAsia="Palatino Linotype" w:hAnsi="Palatino Linotype" w:cs="Palatino Linotype"/>
          <w:color w:val="000000"/>
          <w:sz w:val="20"/>
          <w:szCs w:val="20"/>
        </w:rPr>
      </w:pPr>
    </w:p>
    <w:p w:rsidR="00817565" w:rsidRDefault="00817565">
      <w:pPr>
        <w:spacing w:after="0" w:line="360" w:lineRule="auto"/>
        <w:jc w:val="both"/>
        <w:rPr>
          <w:rFonts w:ascii="Palatino Linotype" w:eastAsia="Palatino Linotype" w:hAnsi="Palatino Linotype" w:cs="Palatino Linotype"/>
          <w:color w:val="000000"/>
          <w:sz w:val="20"/>
          <w:szCs w:val="20"/>
        </w:rPr>
      </w:pPr>
    </w:p>
    <w:p w:rsidR="00817565" w:rsidRDefault="00817565">
      <w:pPr>
        <w:spacing w:after="0" w:line="360" w:lineRule="auto"/>
        <w:jc w:val="both"/>
        <w:rPr>
          <w:rFonts w:ascii="Palatino Linotype" w:eastAsia="Palatino Linotype" w:hAnsi="Palatino Linotype" w:cs="Palatino Linotype"/>
          <w:color w:val="000000"/>
          <w:sz w:val="20"/>
          <w:szCs w:val="20"/>
        </w:rPr>
      </w:pPr>
    </w:p>
    <w:p w:rsidR="00817565" w:rsidRDefault="00817565">
      <w:pPr>
        <w:spacing w:after="0" w:line="360" w:lineRule="auto"/>
        <w:jc w:val="both"/>
        <w:rPr>
          <w:rFonts w:ascii="Palatino Linotype" w:eastAsia="Palatino Linotype" w:hAnsi="Palatino Linotype" w:cs="Palatino Linotype"/>
          <w:color w:val="000000"/>
          <w:sz w:val="20"/>
          <w:szCs w:val="20"/>
        </w:rPr>
      </w:pPr>
    </w:p>
    <w:p w:rsidR="00817565" w:rsidRDefault="00817565">
      <w:pPr>
        <w:spacing w:after="0" w:line="360" w:lineRule="auto"/>
        <w:jc w:val="both"/>
        <w:rPr>
          <w:rFonts w:ascii="Palatino Linotype" w:eastAsia="Palatino Linotype" w:hAnsi="Palatino Linotype" w:cs="Palatino Linotype"/>
          <w:color w:val="000000"/>
          <w:sz w:val="20"/>
          <w:szCs w:val="20"/>
        </w:rPr>
      </w:pPr>
    </w:p>
    <w:p w:rsidR="00817565" w:rsidRDefault="00817565">
      <w:pPr>
        <w:spacing w:after="0" w:line="360" w:lineRule="auto"/>
        <w:jc w:val="both"/>
        <w:rPr>
          <w:rFonts w:ascii="Palatino Linotype" w:eastAsia="Palatino Linotype" w:hAnsi="Palatino Linotype" w:cs="Palatino Linotype"/>
          <w:color w:val="000000"/>
          <w:sz w:val="20"/>
          <w:szCs w:val="20"/>
        </w:rPr>
      </w:pPr>
    </w:p>
    <w:p w:rsidR="00817565" w:rsidRDefault="00817565">
      <w:pPr>
        <w:spacing w:after="0" w:line="360" w:lineRule="auto"/>
        <w:jc w:val="both"/>
        <w:rPr>
          <w:rFonts w:ascii="Palatino Linotype" w:eastAsia="Palatino Linotype" w:hAnsi="Palatino Linotype" w:cs="Palatino Linotype"/>
          <w:color w:val="000000"/>
          <w:sz w:val="20"/>
          <w:szCs w:val="20"/>
        </w:rPr>
      </w:pPr>
    </w:p>
    <w:p w:rsidR="00817565" w:rsidRDefault="00817565">
      <w:pPr>
        <w:spacing w:after="0" w:line="360" w:lineRule="auto"/>
        <w:jc w:val="both"/>
        <w:rPr>
          <w:rFonts w:ascii="Palatino Linotype" w:eastAsia="Palatino Linotype" w:hAnsi="Palatino Linotype" w:cs="Palatino Linotype"/>
          <w:sz w:val="24"/>
          <w:szCs w:val="24"/>
        </w:rPr>
      </w:pPr>
    </w:p>
    <w:p w:rsidR="00817565" w:rsidRDefault="00817565">
      <w:pPr>
        <w:spacing w:after="0" w:line="360" w:lineRule="auto"/>
        <w:jc w:val="both"/>
        <w:rPr>
          <w:rFonts w:ascii="Palatino Linotype" w:eastAsia="Palatino Linotype" w:hAnsi="Palatino Linotype" w:cs="Palatino Linotype"/>
          <w:sz w:val="24"/>
          <w:szCs w:val="24"/>
        </w:rPr>
      </w:pPr>
    </w:p>
    <w:p w:rsidR="00817565" w:rsidRDefault="00817565">
      <w:pPr>
        <w:spacing w:after="0" w:line="360" w:lineRule="auto"/>
        <w:jc w:val="both"/>
        <w:rPr>
          <w:rFonts w:ascii="Palatino Linotype" w:eastAsia="Palatino Linotype" w:hAnsi="Palatino Linotype" w:cs="Palatino Linotype"/>
          <w:sz w:val="24"/>
          <w:szCs w:val="24"/>
        </w:rPr>
      </w:pPr>
    </w:p>
    <w:p w:rsidR="00817565" w:rsidRDefault="00817565">
      <w:pPr>
        <w:spacing w:after="0" w:line="360" w:lineRule="auto"/>
        <w:jc w:val="both"/>
        <w:rPr>
          <w:rFonts w:ascii="Palatino Linotype" w:eastAsia="Palatino Linotype" w:hAnsi="Palatino Linotype" w:cs="Palatino Linotype"/>
          <w:sz w:val="24"/>
          <w:szCs w:val="24"/>
        </w:rPr>
      </w:pPr>
    </w:p>
    <w:p w:rsidR="00817565" w:rsidRDefault="00817565">
      <w:pPr>
        <w:spacing w:line="360" w:lineRule="auto"/>
      </w:pPr>
    </w:p>
    <w:p w:rsidR="00817565" w:rsidRDefault="00817565">
      <w:pPr>
        <w:spacing w:line="360" w:lineRule="auto"/>
      </w:pPr>
    </w:p>
    <w:p w:rsidR="00817565" w:rsidRDefault="00817565">
      <w:pPr>
        <w:spacing w:line="360" w:lineRule="auto"/>
      </w:pPr>
    </w:p>
    <w:p w:rsidR="00817565" w:rsidRDefault="00817565">
      <w:pPr>
        <w:spacing w:line="360" w:lineRule="auto"/>
      </w:pPr>
    </w:p>
    <w:p w:rsidR="00817565" w:rsidRDefault="00817565">
      <w:pPr>
        <w:spacing w:line="360" w:lineRule="auto"/>
      </w:pPr>
    </w:p>
    <w:p w:rsidR="00817565" w:rsidRDefault="00817565"/>
    <w:p w:rsidR="00817565" w:rsidRDefault="00817565"/>
    <w:sectPr w:rsidR="00817565">
      <w:headerReference w:type="even" r:id="rId7"/>
      <w:headerReference w:type="default" r:id="rId8"/>
      <w:footerReference w:type="default" r:id="rId9"/>
      <w:headerReference w:type="first" r:id="rId10"/>
      <w:footerReference w:type="first" r:id="rId11"/>
      <w:pgSz w:w="12240" w:h="15840"/>
      <w:pgMar w:top="2977" w:right="1134" w:bottom="1191" w:left="1752" w:header="107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7CE" w:rsidRDefault="006067CE">
      <w:pPr>
        <w:spacing w:after="0" w:line="240" w:lineRule="auto"/>
      </w:pPr>
      <w:r>
        <w:separator/>
      </w:r>
    </w:p>
  </w:endnote>
  <w:endnote w:type="continuationSeparator" w:id="0">
    <w:p w:rsidR="006067CE" w:rsidRDefault="0060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65" w:rsidRDefault="00786FA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35FF4">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35FF4">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65" w:rsidRDefault="00786FA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35FF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35FF4">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7CE" w:rsidRDefault="006067CE">
      <w:pPr>
        <w:spacing w:after="0" w:line="240" w:lineRule="auto"/>
      </w:pPr>
      <w:r>
        <w:separator/>
      </w:r>
    </w:p>
  </w:footnote>
  <w:footnote w:type="continuationSeparator" w:id="0">
    <w:p w:rsidR="006067CE" w:rsidRDefault="006067CE">
      <w:pPr>
        <w:spacing w:after="0" w:line="240" w:lineRule="auto"/>
      </w:pPr>
      <w:r>
        <w:continuationSeparator/>
      </w:r>
    </w:p>
  </w:footnote>
  <w:footnote w:id="1">
    <w:p w:rsidR="00817565" w:rsidRDefault="00786FAB">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817565" w:rsidRDefault="00817565">
      <w:pPr>
        <w:rPr>
          <w:color w:val="000000"/>
          <w:sz w:val="20"/>
          <w:szCs w:val="20"/>
        </w:rPr>
      </w:pPr>
    </w:p>
    <w:p w:rsidR="00817565" w:rsidRDefault="00786FAB">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817565" w:rsidRDefault="00786FAB">
      <w:pPr>
        <w:jc w:val="both"/>
        <w:rPr>
          <w:i/>
          <w:sz w:val="20"/>
          <w:szCs w:val="20"/>
        </w:rPr>
      </w:pPr>
      <w:r>
        <w:rPr>
          <w:i/>
          <w:sz w:val="20"/>
          <w:szCs w:val="20"/>
        </w:rPr>
        <w:t xml:space="preserve">Del examen de compatibilidad de los artículos </w:t>
      </w:r>
      <w:hyperlink r:id="rId1">
        <w:r>
          <w:rPr>
            <w:i/>
            <w:color w:val="000000"/>
            <w:sz w:val="20"/>
            <w:szCs w:val="20"/>
            <w:u w:val="single"/>
          </w:rPr>
          <w:t>73 y 74 de la Ley de Amparo</w:t>
        </w:r>
      </w:hyperlink>
      <w:r>
        <w:rPr>
          <w:i/>
          <w:sz w:val="20"/>
          <w:szCs w:val="20"/>
        </w:rPr>
        <w:t xml:space="preserve"> con el artículo </w:t>
      </w:r>
      <w:hyperlink r:id="rId2">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i/>
          <w:sz w:val="20"/>
          <w:szCs w:val="20"/>
        </w:rPr>
        <w:t>concesoria</w:t>
      </w:r>
      <w:proofErr w:type="spellEnd"/>
      <w:r>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817565" w:rsidRDefault="00786FAB">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817565" w:rsidRDefault="00817565">
      <w:pPr>
        <w:rPr>
          <w:color w:val="000000"/>
          <w:sz w:val="20"/>
          <w:szCs w:val="20"/>
        </w:rPr>
      </w:pPr>
    </w:p>
    <w:p w:rsidR="00817565" w:rsidRDefault="00786FAB">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817565" w:rsidRDefault="00786FAB">
      <w:pPr>
        <w:jc w:val="both"/>
        <w:rPr>
          <w:i/>
          <w:sz w:val="20"/>
          <w:szCs w:val="20"/>
        </w:rPr>
      </w:pPr>
      <w:r>
        <w:rPr>
          <w:i/>
          <w:sz w:val="20"/>
          <w:szCs w:val="20"/>
        </w:rPr>
        <w:t xml:space="preserve">Del examen de compatibilidad de los artículos </w:t>
      </w:r>
      <w:hyperlink r:id="rId3">
        <w:r>
          <w:rPr>
            <w:i/>
            <w:color w:val="000000"/>
            <w:sz w:val="20"/>
            <w:szCs w:val="20"/>
            <w:u w:val="single"/>
          </w:rPr>
          <w:t>73 y 74 de la Ley de Amparo</w:t>
        </w:r>
      </w:hyperlink>
      <w:r>
        <w:rPr>
          <w:i/>
          <w:sz w:val="20"/>
          <w:szCs w:val="20"/>
        </w:rPr>
        <w:t xml:space="preserve"> con el artículo </w:t>
      </w:r>
      <w:hyperlink r:id="rId4">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i/>
          <w:sz w:val="20"/>
          <w:szCs w:val="20"/>
        </w:rPr>
        <w:t>concesoria</w:t>
      </w:r>
      <w:proofErr w:type="spellEnd"/>
      <w:r>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65" w:rsidRDefault="00A35FF4">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65" w:rsidRDefault="0081756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0"/>
      <w:tblW w:w="9641" w:type="dxa"/>
      <w:tblInd w:w="0" w:type="dxa"/>
      <w:tblLayout w:type="fixed"/>
      <w:tblLook w:val="0400" w:firstRow="0" w:lastRow="0" w:firstColumn="0" w:lastColumn="0" w:noHBand="0" w:noVBand="1"/>
    </w:tblPr>
    <w:tblGrid>
      <w:gridCol w:w="5180"/>
      <w:gridCol w:w="4461"/>
    </w:tblGrid>
    <w:tr w:rsidR="00817565">
      <w:trPr>
        <w:trHeight w:val="237"/>
      </w:trPr>
      <w:tc>
        <w:tcPr>
          <w:tcW w:w="5180" w:type="dxa"/>
        </w:tcPr>
        <w:p w:rsidR="00817565" w:rsidRDefault="00786FAB">
          <w:pPr>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461" w:type="dxa"/>
        </w:tcPr>
        <w:p w:rsidR="00817565" w:rsidRDefault="00786FAB">
          <w:pPr>
            <w:spacing w:after="120" w:line="240" w:lineRule="auto"/>
            <w:ind w:right="71"/>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05880/INFOEM/IP/RR/2024</w:t>
          </w:r>
        </w:p>
      </w:tc>
    </w:tr>
    <w:tr w:rsidR="00817565">
      <w:trPr>
        <w:trHeight w:val="252"/>
      </w:trPr>
      <w:tc>
        <w:tcPr>
          <w:tcW w:w="5180" w:type="dxa"/>
        </w:tcPr>
        <w:p w:rsidR="00817565" w:rsidRDefault="00786FAB">
          <w:pPr>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61" w:type="dxa"/>
        </w:tcPr>
        <w:p w:rsidR="00817565" w:rsidRDefault="00786FAB">
          <w:pPr>
            <w:spacing w:after="120" w:line="240" w:lineRule="auto"/>
            <w:ind w:left="-81" w:right="71"/>
            <w:jc w:val="right"/>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t xml:space="preserve">Ayuntamiento de </w:t>
          </w:r>
          <w:proofErr w:type="spellStart"/>
          <w:r>
            <w:rPr>
              <w:rFonts w:ascii="Palatino Linotype" w:eastAsia="Palatino Linotype" w:hAnsi="Palatino Linotype" w:cs="Palatino Linotype"/>
              <w:b/>
              <w:color w:val="000000"/>
              <w:sz w:val="24"/>
              <w:szCs w:val="24"/>
            </w:rPr>
            <w:t>Tezoyuca</w:t>
          </w:r>
          <w:proofErr w:type="spellEnd"/>
          <w:r>
            <w:rPr>
              <w:rFonts w:ascii="Palatino Linotype" w:eastAsia="Palatino Linotype" w:hAnsi="Palatino Linotype" w:cs="Palatino Linotype"/>
              <w:b/>
              <w:color w:val="000000"/>
              <w:sz w:val="24"/>
              <w:szCs w:val="24"/>
            </w:rPr>
            <w:t>.</w:t>
          </w:r>
        </w:p>
      </w:tc>
    </w:tr>
    <w:tr w:rsidR="00817565">
      <w:trPr>
        <w:trHeight w:val="357"/>
      </w:trPr>
      <w:tc>
        <w:tcPr>
          <w:tcW w:w="5180" w:type="dxa"/>
        </w:tcPr>
        <w:p w:rsidR="00817565" w:rsidRDefault="00786FAB">
          <w:pPr>
            <w:tabs>
              <w:tab w:val="left" w:pos="4892"/>
            </w:tabs>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Comisionado Ponente:</w:t>
          </w:r>
        </w:p>
      </w:tc>
      <w:tc>
        <w:tcPr>
          <w:tcW w:w="4461" w:type="dxa"/>
        </w:tcPr>
        <w:p w:rsidR="00817565" w:rsidRDefault="00786FAB">
          <w:pPr>
            <w:spacing w:after="120" w:line="240" w:lineRule="auto"/>
            <w:ind w:left="-486" w:right="71"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José Martínez Vilchis</w:t>
          </w:r>
        </w:p>
        <w:p w:rsidR="00817565" w:rsidRDefault="00817565">
          <w:pPr>
            <w:spacing w:after="120" w:line="240" w:lineRule="auto"/>
            <w:ind w:left="-486" w:right="71" w:firstLine="567"/>
            <w:jc w:val="right"/>
            <w:rPr>
              <w:rFonts w:ascii="Palatino Linotype" w:eastAsia="Palatino Linotype" w:hAnsi="Palatino Linotype" w:cs="Palatino Linotype"/>
              <w:sz w:val="24"/>
              <w:szCs w:val="24"/>
            </w:rPr>
          </w:pPr>
        </w:p>
      </w:tc>
    </w:tr>
  </w:tbl>
  <w:p w:rsidR="00817565" w:rsidRDefault="00A35FF4">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81.55pt;margin-top:-142.95pt;width:609.4pt;height:793.75pt;z-index:-251658752;mso-position-horizontal:absolute;mso-position-horizontal-relative:margin;mso-position-vertical:absolute;mso-position-vertical-relative:margin">
          <v:imagedata r:id="rId1" o:title="image2"/>
          <w10:wrap anchorx="margin" anchory="margin"/>
        </v:shape>
      </w:pict>
    </w:r>
    <w:r w:rsidR="00786FAB">
      <w:rPr>
        <w:rFonts w:ascii="Times New Roman" w:eastAsia="Times New Roman" w:hAnsi="Times New Roman" w:cs="Times New Roman"/>
        <w:color w:val="000000"/>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65" w:rsidRDefault="0081756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
        <w:szCs w:val="2"/>
      </w:rPr>
    </w:pPr>
  </w:p>
  <w:tbl>
    <w:tblPr>
      <w:tblStyle w:val="a1"/>
      <w:tblW w:w="9498" w:type="dxa"/>
      <w:tblInd w:w="0" w:type="dxa"/>
      <w:tblLayout w:type="fixed"/>
      <w:tblLook w:val="0400" w:firstRow="0" w:lastRow="0" w:firstColumn="0" w:lastColumn="0" w:noHBand="0" w:noVBand="1"/>
    </w:tblPr>
    <w:tblGrid>
      <w:gridCol w:w="5103"/>
      <w:gridCol w:w="4395"/>
    </w:tblGrid>
    <w:tr w:rsidR="00817565">
      <w:trPr>
        <w:trHeight w:val="227"/>
      </w:trPr>
      <w:tc>
        <w:tcPr>
          <w:tcW w:w="5103" w:type="dxa"/>
        </w:tcPr>
        <w:p w:rsidR="00817565" w:rsidRDefault="00786FAB">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395" w:type="dxa"/>
        </w:tcPr>
        <w:p w:rsidR="00817565" w:rsidRDefault="00786FAB">
          <w:pPr>
            <w:spacing w:after="120" w:line="240" w:lineRule="auto"/>
            <w:ind w:left="-486" w:right="68" w:firstLine="55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05880/INFOEM/IP/RR/2024</w:t>
          </w:r>
        </w:p>
      </w:tc>
    </w:tr>
    <w:tr w:rsidR="00817565">
      <w:trPr>
        <w:trHeight w:val="227"/>
      </w:trPr>
      <w:tc>
        <w:tcPr>
          <w:tcW w:w="5103" w:type="dxa"/>
        </w:tcPr>
        <w:p w:rsidR="00817565" w:rsidRDefault="00786FAB">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Recurrente:     </w:t>
          </w:r>
        </w:p>
      </w:tc>
      <w:tc>
        <w:tcPr>
          <w:tcW w:w="4395" w:type="dxa"/>
        </w:tcPr>
        <w:p w:rsidR="00817565" w:rsidRDefault="00A35FF4">
          <w:pPr>
            <w:spacing w:after="120" w:line="240" w:lineRule="auto"/>
            <w:ind w:left="-486" w:right="68" w:firstLine="55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XXXX</w:t>
          </w:r>
        </w:p>
      </w:tc>
    </w:tr>
    <w:tr w:rsidR="00817565">
      <w:trPr>
        <w:trHeight w:val="242"/>
      </w:trPr>
      <w:tc>
        <w:tcPr>
          <w:tcW w:w="5103" w:type="dxa"/>
        </w:tcPr>
        <w:p w:rsidR="00817565" w:rsidRDefault="00786FAB">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395" w:type="dxa"/>
        </w:tcPr>
        <w:p w:rsidR="00817565" w:rsidRDefault="00786FAB">
          <w:pPr>
            <w:spacing w:after="120" w:line="240" w:lineRule="auto"/>
            <w:ind w:left="-70" w:right="68"/>
            <w:jc w:val="right"/>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t xml:space="preserve">Ayuntamiento de </w:t>
          </w:r>
          <w:proofErr w:type="spellStart"/>
          <w:r>
            <w:rPr>
              <w:rFonts w:ascii="Palatino Linotype" w:eastAsia="Palatino Linotype" w:hAnsi="Palatino Linotype" w:cs="Palatino Linotype"/>
              <w:b/>
              <w:color w:val="000000"/>
              <w:sz w:val="24"/>
              <w:szCs w:val="24"/>
            </w:rPr>
            <w:t>Tezoyuca</w:t>
          </w:r>
          <w:proofErr w:type="spellEnd"/>
        </w:p>
      </w:tc>
    </w:tr>
    <w:tr w:rsidR="00817565">
      <w:trPr>
        <w:trHeight w:val="342"/>
      </w:trPr>
      <w:tc>
        <w:tcPr>
          <w:tcW w:w="5103" w:type="dxa"/>
        </w:tcPr>
        <w:p w:rsidR="00817565" w:rsidRDefault="00786FAB">
          <w:pPr>
            <w:tabs>
              <w:tab w:val="left" w:pos="4892"/>
            </w:tabs>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Comisionado Ponente:</w:t>
          </w:r>
        </w:p>
      </w:tc>
      <w:tc>
        <w:tcPr>
          <w:tcW w:w="4395" w:type="dxa"/>
        </w:tcPr>
        <w:p w:rsidR="00817565" w:rsidRDefault="00786FAB">
          <w:pPr>
            <w:spacing w:after="120" w:line="240" w:lineRule="auto"/>
            <w:ind w:left="-486" w:right="68"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José Martínez Vilchis</w:t>
          </w:r>
        </w:p>
      </w:tc>
    </w:tr>
  </w:tbl>
  <w:p w:rsidR="00817565" w:rsidRDefault="00786FAB">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4"/>
        <w:szCs w:val="24"/>
      </w:rPr>
      <w:drawing>
        <wp:anchor distT="0" distB="0" distL="0" distR="0" simplePos="0" relativeHeight="251656704" behindDoc="1" locked="0" layoutInCell="1" hidden="0" allowOverlap="1">
          <wp:simplePos x="0" y="0"/>
          <wp:positionH relativeFrom="margin">
            <wp:posOffset>-1029968</wp:posOffset>
          </wp:positionH>
          <wp:positionV relativeFrom="margin">
            <wp:posOffset>-1807844</wp:posOffset>
          </wp:positionV>
          <wp:extent cx="7739380" cy="10080625"/>
          <wp:effectExtent l="0" t="0" r="0" b="0"/>
          <wp:wrapNone/>
          <wp:docPr id="1" name="image1.png" descr="infoem"/>
          <wp:cNvGraphicFramePr/>
          <a:graphic xmlns:a="http://schemas.openxmlformats.org/drawingml/2006/main">
            <a:graphicData uri="http://schemas.openxmlformats.org/drawingml/2006/picture">
              <pic:pic xmlns:pic="http://schemas.openxmlformats.org/drawingml/2006/picture">
                <pic:nvPicPr>
                  <pic:cNvPr id="0" name="image1.png" descr="infoem"/>
                  <pic:cNvPicPr preferRelativeResize="0"/>
                </pic:nvPicPr>
                <pic:blipFill>
                  <a:blip r:embed="rId1"/>
                  <a:srcRect/>
                  <a:stretch>
                    <a:fillRect/>
                  </a:stretch>
                </pic:blipFill>
                <pic:spPr>
                  <a:xfrm>
                    <a:off x="0" y="0"/>
                    <a:ext cx="7739380" cy="10080625"/>
                  </a:xfrm>
                  <a:prstGeom prst="rect">
                    <a:avLst/>
                  </a:prstGeom>
                  <a:ln/>
                </pic:spPr>
              </pic:pic>
            </a:graphicData>
          </a:graphic>
        </wp:anchor>
      </w:drawing>
    </w:r>
    <w:r>
      <w:rPr>
        <w:rFonts w:ascii="Times New Roman" w:eastAsia="Times New Roman" w:hAnsi="Times New Roman" w:cs="Times New Roman"/>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09F"/>
    <w:multiLevelType w:val="multilevel"/>
    <w:tmpl w:val="38B4A3D4"/>
    <w:lvl w:ilvl="0">
      <w:start w:val="1"/>
      <w:numFmt w:val="decimal"/>
      <w:lvlText w:val="%1."/>
      <w:lvlJc w:val="left"/>
      <w:pPr>
        <w:ind w:left="1080" w:hanging="360"/>
      </w:pPr>
    </w:lvl>
    <w:lvl w:ilvl="1">
      <w:start w:val="1"/>
      <w:numFmt w:val="upperRoman"/>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0F5488"/>
    <w:multiLevelType w:val="multilevel"/>
    <w:tmpl w:val="4C9EA29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0C280A3A"/>
    <w:multiLevelType w:val="multilevel"/>
    <w:tmpl w:val="158CE06A"/>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3" w15:restartNumberingAfterBreak="0">
    <w:nsid w:val="1A0437CD"/>
    <w:multiLevelType w:val="multilevel"/>
    <w:tmpl w:val="E90AB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54305B"/>
    <w:multiLevelType w:val="multilevel"/>
    <w:tmpl w:val="85048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7935A6"/>
    <w:multiLevelType w:val="multilevel"/>
    <w:tmpl w:val="C99263C6"/>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 w15:restartNumberingAfterBreak="0">
    <w:nsid w:val="2AF11A5D"/>
    <w:multiLevelType w:val="multilevel"/>
    <w:tmpl w:val="48C4EE72"/>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75159C4"/>
    <w:multiLevelType w:val="multilevel"/>
    <w:tmpl w:val="20D4ACAC"/>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96C280E"/>
    <w:multiLevelType w:val="multilevel"/>
    <w:tmpl w:val="D2BE3B7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44330D1C"/>
    <w:multiLevelType w:val="multilevel"/>
    <w:tmpl w:val="3C8ADA76"/>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47D50046"/>
    <w:multiLevelType w:val="multilevel"/>
    <w:tmpl w:val="4274E55A"/>
    <w:lvl w:ilvl="0">
      <w:start w:val="1"/>
      <w:numFmt w:val="upperRoman"/>
      <w:lvlText w:val="%1."/>
      <w:lvlJc w:val="left"/>
      <w:pPr>
        <w:ind w:left="1196" w:hanging="72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1" w15:restartNumberingAfterBreak="0">
    <w:nsid w:val="4C245882"/>
    <w:multiLevelType w:val="multilevel"/>
    <w:tmpl w:val="7A4E9BB8"/>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75575D7B"/>
    <w:multiLevelType w:val="multilevel"/>
    <w:tmpl w:val="EFD0BA44"/>
    <w:lvl w:ilvl="0">
      <w:start w:val="1"/>
      <w:numFmt w:val="decimal"/>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B320F09"/>
    <w:multiLevelType w:val="multilevel"/>
    <w:tmpl w:val="DFD20278"/>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9"/>
  </w:num>
  <w:num w:numId="2">
    <w:abstractNumId w:val="11"/>
  </w:num>
  <w:num w:numId="3">
    <w:abstractNumId w:val="10"/>
  </w:num>
  <w:num w:numId="4">
    <w:abstractNumId w:val="8"/>
  </w:num>
  <w:num w:numId="5">
    <w:abstractNumId w:val="1"/>
  </w:num>
  <w:num w:numId="6">
    <w:abstractNumId w:val="4"/>
  </w:num>
  <w:num w:numId="7">
    <w:abstractNumId w:val="3"/>
  </w:num>
  <w:num w:numId="8">
    <w:abstractNumId w:val="6"/>
  </w:num>
  <w:num w:numId="9">
    <w:abstractNumId w:val="5"/>
  </w:num>
  <w:num w:numId="10">
    <w:abstractNumId w:val="2"/>
  </w:num>
  <w:num w:numId="11">
    <w:abstractNumId w:val="1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65"/>
    <w:rsid w:val="001043DC"/>
    <w:rsid w:val="004F261B"/>
    <w:rsid w:val="006067CE"/>
    <w:rsid w:val="00681610"/>
    <w:rsid w:val="00786FAB"/>
    <w:rsid w:val="00817565"/>
    <w:rsid w:val="00835B47"/>
    <w:rsid w:val="00A35FF4"/>
    <w:rsid w:val="00CE05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4D7ABE6-9342-41C7-86B7-B4B69FD6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Piedepgina">
    <w:name w:val="footer"/>
    <w:basedOn w:val="Normal"/>
    <w:link w:val="PiedepginaCar"/>
    <w:uiPriority w:val="99"/>
    <w:unhideWhenUsed/>
    <w:rsid w:val="00A35F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50</Pages>
  <Words>11477</Words>
  <Characters>63125</Characters>
  <Application>Microsoft Office Word</Application>
  <DocSecurity>0</DocSecurity>
  <Lines>526</Lines>
  <Paragraphs>148</Paragraphs>
  <ScaleCrop>false</ScaleCrop>
  <Company>HP Inc.</Company>
  <LinksUpToDate>false</LinksUpToDate>
  <CharactersWithSpaces>74454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INFOEM557</cp:lastModifiedBy>
  <cp:revision>6</cp:revision>
  <dcterms:created xsi:type="dcterms:W3CDTF">2024-11-04T15:34:00Z</dcterms:created>
  <dcterms:modified xsi:type="dcterms:W3CDTF">2024-11-26T16:36:00Z</dcterms:modified>
</cp:coreProperties>
</file>