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D5713" w14:textId="147E648B" w:rsidR="00CC385A" w:rsidRPr="004860F7" w:rsidRDefault="00CC385A" w:rsidP="003F661B">
      <w:pPr>
        <w:shd w:val="clear" w:color="auto" w:fill="FFFFFF"/>
        <w:spacing w:after="0" w:line="360" w:lineRule="auto"/>
        <w:jc w:val="both"/>
        <w:rPr>
          <w:rFonts w:ascii="Palatino Linotype" w:eastAsia="Times New Roman" w:hAnsi="Palatino Linotype" w:cs="Arial"/>
          <w:color w:val="000000"/>
          <w:sz w:val="24"/>
          <w:szCs w:val="24"/>
          <w:lang w:eastAsia="es-MX"/>
        </w:rPr>
      </w:pPr>
      <w:r w:rsidRPr="004860F7">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32D8E">
        <w:rPr>
          <w:rFonts w:ascii="Palatino Linotype" w:eastAsia="Times New Roman" w:hAnsi="Palatino Linotype" w:cs="Arial"/>
          <w:color w:val="000000"/>
          <w:sz w:val="24"/>
          <w:szCs w:val="24"/>
          <w:lang w:eastAsia="es-MX"/>
        </w:rPr>
        <w:t xml:space="preserve">veintiuno </w:t>
      </w:r>
      <w:r w:rsidRPr="004860F7">
        <w:rPr>
          <w:rFonts w:ascii="Palatino Linotype" w:eastAsia="Times New Roman" w:hAnsi="Palatino Linotype" w:cs="Arial"/>
          <w:color w:val="000000"/>
          <w:sz w:val="24"/>
          <w:szCs w:val="24"/>
          <w:lang w:eastAsia="es-MX"/>
        </w:rPr>
        <w:t xml:space="preserve">de </w:t>
      </w:r>
      <w:r w:rsidR="005323CE">
        <w:rPr>
          <w:rFonts w:ascii="Palatino Linotype" w:eastAsia="Times New Roman" w:hAnsi="Palatino Linotype" w:cs="Arial"/>
          <w:color w:val="000000"/>
          <w:sz w:val="24"/>
          <w:szCs w:val="24"/>
          <w:lang w:eastAsia="es-MX"/>
        </w:rPr>
        <w:t>agosto</w:t>
      </w:r>
      <w:r w:rsidRPr="004860F7">
        <w:rPr>
          <w:rFonts w:ascii="Palatino Linotype" w:eastAsia="Times New Roman" w:hAnsi="Palatino Linotype" w:cs="Arial"/>
          <w:color w:val="000000"/>
          <w:sz w:val="24"/>
          <w:szCs w:val="24"/>
          <w:lang w:eastAsia="es-MX"/>
        </w:rPr>
        <w:t xml:space="preserve"> de dos mil veinti</w:t>
      </w:r>
      <w:r w:rsidR="0021122F">
        <w:rPr>
          <w:rFonts w:ascii="Palatino Linotype" w:eastAsia="Times New Roman" w:hAnsi="Palatino Linotype" w:cs="Arial"/>
          <w:color w:val="000000"/>
          <w:sz w:val="24"/>
          <w:szCs w:val="24"/>
          <w:lang w:eastAsia="es-MX"/>
        </w:rPr>
        <w:t>cuatro</w:t>
      </w:r>
      <w:r w:rsidRPr="004860F7">
        <w:rPr>
          <w:rFonts w:ascii="Palatino Linotype" w:eastAsia="Times New Roman" w:hAnsi="Palatino Linotype" w:cs="Arial"/>
          <w:color w:val="000000"/>
          <w:sz w:val="24"/>
          <w:szCs w:val="24"/>
          <w:lang w:eastAsia="es-MX"/>
        </w:rPr>
        <w:t>.</w:t>
      </w:r>
    </w:p>
    <w:p w14:paraId="62A25010" w14:textId="77777777" w:rsidR="00CC385A" w:rsidRPr="004860F7" w:rsidRDefault="00CC385A" w:rsidP="003F661B">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7E65FB1" w14:textId="18394559" w:rsidR="00CC385A" w:rsidRPr="004860F7" w:rsidRDefault="00CC385A" w:rsidP="003F661B">
      <w:pPr>
        <w:tabs>
          <w:tab w:val="left" w:pos="1701"/>
        </w:tabs>
        <w:spacing w:after="0" w:line="360" w:lineRule="auto"/>
        <w:jc w:val="both"/>
        <w:rPr>
          <w:rFonts w:ascii="Palatino Linotype" w:hAnsi="Palatino Linotype" w:cs="Arial"/>
          <w:b/>
          <w:sz w:val="24"/>
          <w:szCs w:val="24"/>
        </w:rPr>
      </w:pPr>
      <w:r w:rsidRPr="004860F7">
        <w:rPr>
          <w:rFonts w:ascii="Palatino Linotype" w:hAnsi="Palatino Linotype" w:cs="Arial"/>
          <w:b/>
          <w:sz w:val="24"/>
          <w:szCs w:val="24"/>
        </w:rPr>
        <w:t>VISTO</w:t>
      </w:r>
      <w:r w:rsidRPr="004860F7">
        <w:rPr>
          <w:rFonts w:ascii="Palatino Linotype" w:hAnsi="Palatino Linotype" w:cs="Arial"/>
          <w:sz w:val="24"/>
          <w:szCs w:val="24"/>
        </w:rPr>
        <w:t xml:space="preserve"> el expediente electrónico formado con motivo del recurso de revisión con número </w:t>
      </w:r>
      <w:bookmarkStart w:id="0" w:name="_GoBack"/>
      <w:r w:rsidR="005323CE">
        <w:rPr>
          <w:rFonts w:ascii="Palatino Linotype" w:hAnsi="Palatino Linotype" w:cs="Arial"/>
          <w:b/>
          <w:bCs/>
          <w:sz w:val="24"/>
          <w:szCs w:val="24"/>
          <w:lang w:eastAsia="es-MX"/>
        </w:rPr>
        <w:t>02720/INFOEM/IP/RR/2024</w:t>
      </w:r>
      <w:bookmarkEnd w:id="0"/>
      <w:r w:rsidRPr="004860F7">
        <w:rPr>
          <w:rFonts w:ascii="Palatino Linotype" w:hAnsi="Palatino Linotype" w:cs="Arial"/>
          <w:sz w:val="24"/>
          <w:szCs w:val="24"/>
        </w:rPr>
        <w:t xml:space="preserve">, </w:t>
      </w:r>
      <w:r w:rsidRPr="004860F7">
        <w:rPr>
          <w:rFonts w:ascii="Palatino Linotype" w:eastAsia="Palatino Linotype" w:hAnsi="Palatino Linotype" w:cs="Palatino Linotype"/>
          <w:color w:val="000000"/>
          <w:sz w:val="24"/>
          <w:szCs w:val="24"/>
        </w:rPr>
        <w:t xml:space="preserve">interpuesto por </w:t>
      </w:r>
      <w:r w:rsidR="005323CE">
        <w:rPr>
          <w:rFonts w:ascii="Palatino Linotype" w:eastAsia="Palatino Linotype" w:hAnsi="Palatino Linotype" w:cs="Palatino Linotype"/>
          <w:bCs/>
          <w:color w:val="000000"/>
          <w:sz w:val="24"/>
          <w:szCs w:val="24"/>
        </w:rPr>
        <w:t xml:space="preserve">un particular </w:t>
      </w:r>
      <w:r w:rsidR="00945CE3">
        <w:rPr>
          <w:rFonts w:ascii="Palatino Linotype" w:eastAsia="Palatino Linotype" w:hAnsi="Palatino Linotype" w:cs="Palatino Linotype"/>
          <w:bCs/>
          <w:color w:val="000000"/>
          <w:sz w:val="24"/>
          <w:szCs w:val="24"/>
        </w:rPr>
        <w:t>que,</w:t>
      </w:r>
      <w:r w:rsidR="005323CE">
        <w:rPr>
          <w:rFonts w:ascii="Palatino Linotype" w:eastAsia="Palatino Linotype" w:hAnsi="Palatino Linotype" w:cs="Palatino Linotype"/>
          <w:bCs/>
          <w:color w:val="000000"/>
          <w:sz w:val="24"/>
          <w:szCs w:val="24"/>
        </w:rPr>
        <w:t xml:space="preserve"> tanto al momento de ingresar la solicitud de información como de interponer el recurso de revisión, no señaló nombre o seudónimo con el cual desee ser identificado</w:t>
      </w:r>
      <w:r w:rsidRPr="004860F7">
        <w:rPr>
          <w:rFonts w:ascii="Palatino Linotype" w:eastAsia="Palatino Linotype" w:hAnsi="Palatino Linotype" w:cs="Palatino Linotype"/>
          <w:color w:val="000000"/>
          <w:sz w:val="24"/>
          <w:szCs w:val="24"/>
        </w:rPr>
        <w:t xml:space="preserve">, en lo sucesivo </w:t>
      </w:r>
      <w:r w:rsidR="00725FF2">
        <w:rPr>
          <w:rFonts w:ascii="Palatino Linotype" w:eastAsia="Palatino Linotype" w:hAnsi="Palatino Linotype" w:cs="Palatino Linotype"/>
          <w:color w:val="000000"/>
          <w:sz w:val="24"/>
          <w:szCs w:val="24"/>
        </w:rPr>
        <w:t>la parte</w:t>
      </w:r>
      <w:r w:rsidRPr="004860F7">
        <w:rPr>
          <w:rFonts w:ascii="Palatino Linotype" w:eastAsia="Palatino Linotype" w:hAnsi="Palatino Linotype" w:cs="Palatino Linotype"/>
          <w:color w:val="000000"/>
          <w:sz w:val="24"/>
          <w:szCs w:val="24"/>
        </w:rPr>
        <w:t xml:space="preserve"> </w:t>
      </w:r>
      <w:r w:rsidRPr="004860F7">
        <w:rPr>
          <w:rFonts w:ascii="Palatino Linotype" w:eastAsia="Palatino Linotype" w:hAnsi="Palatino Linotype" w:cs="Palatino Linotype"/>
          <w:b/>
          <w:color w:val="000000"/>
          <w:sz w:val="24"/>
          <w:szCs w:val="24"/>
        </w:rPr>
        <w:t>Recurrente</w:t>
      </w:r>
      <w:r w:rsidRPr="004860F7">
        <w:rPr>
          <w:rFonts w:ascii="Palatino Linotype" w:eastAsia="Palatino Linotype" w:hAnsi="Palatino Linotype" w:cs="Palatino Linotype"/>
          <w:color w:val="000000"/>
          <w:sz w:val="24"/>
          <w:szCs w:val="24"/>
        </w:rPr>
        <w:t xml:space="preserve">, </w:t>
      </w:r>
      <w:r w:rsidRPr="004860F7">
        <w:rPr>
          <w:rFonts w:ascii="Palatino Linotype" w:hAnsi="Palatino Linotype" w:cs="Arial"/>
          <w:sz w:val="24"/>
          <w:szCs w:val="24"/>
        </w:rPr>
        <w:t xml:space="preserve">en contra de la respuesta del </w:t>
      </w:r>
      <w:r w:rsidR="000578A3">
        <w:rPr>
          <w:rFonts w:ascii="Palatino Linotype" w:hAnsi="Palatino Linotype" w:cs="Arial"/>
          <w:b/>
          <w:sz w:val="24"/>
          <w:szCs w:val="24"/>
        </w:rPr>
        <w:t>Secretaría de Seguridad</w:t>
      </w:r>
      <w:r w:rsidRPr="004860F7">
        <w:rPr>
          <w:rFonts w:ascii="Palatino Linotype" w:hAnsi="Palatino Linotype" w:cs="Arial"/>
          <w:b/>
          <w:sz w:val="24"/>
          <w:szCs w:val="24"/>
        </w:rPr>
        <w:t xml:space="preserve">, </w:t>
      </w:r>
      <w:r w:rsidRPr="004860F7">
        <w:rPr>
          <w:rFonts w:ascii="Palatino Linotype" w:hAnsi="Palatino Linotype" w:cs="Arial"/>
          <w:sz w:val="24"/>
          <w:szCs w:val="24"/>
        </w:rPr>
        <w:t>en lo subsecuente</w:t>
      </w:r>
      <w:r w:rsidRPr="004860F7">
        <w:rPr>
          <w:rFonts w:ascii="Palatino Linotype" w:hAnsi="Palatino Linotype" w:cs="Arial"/>
          <w:b/>
          <w:sz w:val="24"/>
          <w:szCs w:val="24"/>
        </w:rPr>
        <w:t xml:space="preserve"> el Sujeto Obligado, </w:t>
      </w:r>
      <w:r w:rsidRPr="004860F7">
        <w:rPr>
          <w:rFonts w:ascii="Palatino Linotype" w:hAnsi="Palatino Linotype" w:cs="Arial"/>
          <w:sz w:val="24"/>
          <w:szCs w:val="24"/>
        </w:rPr>
        <w:t>se procede a dictar la presente resolución.</w:t>
      </w:r>
    </w:p>
    <w:p w14:paraId="2BF1AFAA" w14:textId="77777777" w:rsidR="00CC385A" w:rsidRPr="004860F7" w:rsidRDefault="00CC385A" w:rsidP="003F661B">
      <w:pPr>
        <w:tabs>
          <w:tab w:val="left" w:pos="6960"/>
        </w:tabs>
        <w:spacing w:after="0" w:line="360" w:lineRule="auto"/>
        <w:jc w:val="both"/>
        <w:rPr>
          <w:rFonts w:ascii="Palatino Linotype" w:hAnsi="Palatino Linotype" w:cs="Arial"/>
          <w:sz w:val="24"/>
          <w:szCs w:val="24"/>
        </w:rPr>
      </w:pPr>
    </w:p>
    <w:p w14:paraId="71ECE698" w14:textId="77777777" w:rsidR="00CC385A" w:rsidRPr="004860F7" w:rsidRDefault="00CC385A" w:rsidP="003F661B">
      <w:pPr>
        <w:spacing w:after="0" w:line="360" w:lineRule="auto"/>
        <w:jc w:val="center"/>
        <w:rPr>
          <w:rFonts w:ascii="Palatino Linotype" w:hAnsi="Palatino Linotype" w:cs="Arial"/>
          <w:b/>
          <w:sz w:val="28"/>
          <w:szCs w:val="24"/>
        </w:rPr>
      </w:pPr>
      <w:r w:rsidRPr="004860F7">
        <w:rPr>
          <w:rFonts w:ascii="Palatino Linotype" w:hAnsi="Palatino Linotype" w:cs="Arial"/>
          <w:b/>
          <w:sz w:val="28"/>
          <w:szCs w:val="24"/>
        </w:rPr>
        <w:t>A N T E C E D E N T E S</w:t>
      </w:r>
    </w:p>
    <w:p w14:paraId="28574D41" w14:textId="77777777" w:rsidR="00CC385A" w:rsidRPr="004860F7" w:rsidRDefault="00CC385A" w:rsidP="003F661B">
      <w:pPr>
        <w:spacing w:after="0" w:line="360" w:lineRule="auto"/>
        <w:rPr>
          <w:rFonts w:ascii="Palatino Linotype" w:hAnsi="Palatino Linotype" w:cs="Arial"/>
          <w:b/>
          <w:sz w:val="24"/>
          <w:szCs w:val="24"/>
        </w:rPr>
      </w:pPr>
    </w:p>
    <w:p w14:paraId="383B9027" w14:textId="316013A8" w:rsidR="00CC385A" w:rsidRPr="004860F7" w:rsidRDefault="00CC385A" w:rsidP="003F661B">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sidR="005323CE">
        <w:rPr>
          <w:rFonts w:ascii="Palatino Linotype" w:hAnsi="Palatino Linotype" w:cs="Arial"/>
          <w:sz w:val="24"/>
          <w:szCs w:val="24"/>
        </w:rPr>
        <w:t xml:space="preserve">dieciséis de abril </w:t>
      </w:r>
      <w:r w:rsidR="00725FF2">
        <w:rPr>
          <w:rFonts w:ascii="Palatino Linotype" w:hAnsi="Palatino Linotype" w:cs="Arial"/>
          <w:sz w:val="24"/>
          <w:szCs w:val="24"/>
        </w:rPr>
        <w:t>de dos mil veinticuatro</w:t>
      </w:r>
      <w:r w:rsidRPr="004860F7">
        <w:rPr>
          <w:rFonts w:ascii="Palatino Linotype" w:hAnsi="Palatino Linotype" w:cs="Arial"/>
          <w:sz w:val="24"/>
          <w:szCs w:val="24"/>
        </w:rPr>
        <w:t xml:space="preserve">, </w:t>
      </w:r>
      <w:r w:rsidR="0021122F">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w:t>
      </w:r>
      <w:r w:rsidR="005323CE">
        <w:rPr>
          <w:rFonts w:ascii="Palatino Linotype" w:hAnsi="Palatino Linotype" w:cs="Arial"/>
          <w:sz w:val="24"/>
          <w:szCs w:val="24"/>
        </w:rPr>
        <w:t xml:space="preserve"> </w:t>
      </w:r>
      <w:r w:rsidRPr="004860F7">
        <w:rPr>
          <w:rFonts w:ascii="Palatino Linotype" w:hAnsi="Palatino Linotype" w:cs="Arial"/>
          <w:sz w:val="24"/>
          <w:szCs w:val="24"/>
        </w:rPr>
        <w:t>l</w:t>
      </w:r>
      <w:r w:rsidR="005323CE">
        <w:rPr>
          <w:rFonts w:ascii="Palatino Linotype" w:hAnsi="Palatino Linotype" w:cs="Arial"/>
          <w:sz w:val="24"/>
          <w:szCs w:val="24"/>
        </w:rPr>
        <w:t xml:space="preserve">a Plataforma Nacional de Transparencia PNT, la cual se </w:t>
      </w:r>
      <w:proofErr w:type="gramStart"/>
      <w:r w:rsidR="005323CE">
        <w:rPr>
          <w:rFonts w:ascii="Palatino Linotype" w:hAnsi="Palatino Linotype" w:cs="Arial"/>
          <w:sz w:val="24"/>
          <w:szCs w:val="24"/>
        </w:rPr>
        <w:t>encuentra</w:t>
      </w:r>
      <w:proofErr w:type="gramEnd"/>
      <w:r w:rsidR="005323CE">
        <w:rPr>
          <w:rFonts w:ascii="Palatino Linotype" w:hAnsi="Palatino Linotype" w:cs="Arial"/>
          <w:sz w:val="24"/>
          <w:szCs w:val="24"/>
        </w:rPr>
        <w:t xml:space="preserve"> estrechamente vinculada con el </w:t>
      </w:r>
      <w:r w:rsidRPr="004860F7">
        <w:rPr>
          <w:rFonts w:ascii="Palatino Linotype" w:hAnsi="Palatino Linotype" w:cs="Arial"/>
          <w:sz w:val="24"/>
          <w:szCs w:val="24"/>
        </w:rPr>
        <w:t xml:space="preserve">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sidR="005323CE">
        <w:rPr>
          <w:rFonts w:ascii="Palatino Linotype" w:hAnsi="Palatino Linotype" w:cs="Arial"/>
          <w:b/>
          <w:sz w:val="24"/>
          <w:szCs w:val="24"/>
        </w:rPr>
        <w:t>00236/SSEM/IP/2024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60160454" w14:textId="77777777" w:rsidR="00CC385A" w:rsidRPr="004860F7" w:rsidRDefault="00CC385A" w:rsidP="003F661B">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4B1281A6" w14:textId="77777777" w:rsidR="005323CE" w:rsidRPr="005323CE" w:rsidRDefault="00CC385A" w:rsidP="005323CE">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4860F7">
        <w:rPr>
          <w:rFonts w:ascii="Palatino Linotype" w:eastAsia="Times New Roman" w:hAnsi="Palatino Linotype" w:cs="Times New Roman"/>
          <w:i/>
          <w:szCs w:val="24"/>
          <w:lang w:val="es-ES_tradnl" w:eastAsia="es-ES"/>
        </w:rPr>
        <w:t>“</w:t>
      </w:r>
      <w:r w:rsidR="005323CE" w:rsidRPr="005323CE">
        <w:rPr>
          <w:rFonts w:ascii="Palatino Linotype" w:eastAsia="Times New Roman" w:hAnsi="Palatino Linotype" w:cs="Times New Roman"/>
          <w:i/>
          <w:szCs w:val="24"/>
          <w:lang w:val="es-ES_tradnl" w:eastAsia="es-ES"/>
        </w:rPr>
        <w:t>Información respecto de adolescentes que su institución supervisó en la anualidad 2023 por los diversos criterios de medidas cautelares.</w:t>
      </w:r>
    </w:p>
    <w:p w14:paraId="47B0F464" w14:textId="0823D271" w:rsidR="00CC385A" w:rsidRPr="004860F7" w:rsidRDefault="005323CE" w:rsidP="005323CE">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bookmarkStart w:id="1" w:name="_Hlk172023227"/>
      <w:r w:rsidRPr="005323CE">
        <w:rPr>
          <w:rFonts w:ascii="Palatino Linotype" w:eastAsia="Times New Roman" w:hAnsi="Palatino Linotype" w:cs="Times New Roman"/>
          <w:i/>
          <w:szCs w:val="24"/>
          <w:lang w:val="es-ES_tradnl" w:eastAsia="es-ES"/>
        </w:rPr>
        <w:t>Se adjuntan dos archivos por separado, no es duplicado, en relación a diversa solicitud anterior, se adjunta el segundo archivo faltante, para su pronta</w:t>
      </w:r>
      <w:r>
        <w:rPr>
          <w:rFonts w:ascii="Palatino Linotype" w:eastAsia="Times New Roman" w:hAnsi="Palatino Linotype" w:cs="Times New Roman"/>
          <w:i/>
          <w:szCs w:val="24"/>
          <w:lang w:val="es-ES_tradnl" w:eastAsia="es-ES"/>
        </w:rPr>
        <w:t xml:space="preserve"> </w:t>
      </w:r>
      <w:r w:rsidRPr="005323CE">
        <w:rPr>
          <w:rFonts w:ascii="Palatino Linotype" w:eastAsia="Times New Roman" w:hAnsi="Palatino Linotype" w:cs="Times New Roman"/>
          <w:i/>
          <w:szCs w:val="24"/>
          <w:lang w:val="es-ES_tradnl" w:eastAsia="es-ES"/>
        </w:rPr>
        <w:t>respuesta.</w:t>
      </w:r>
      <w:bookmarkEnd w:id="1"/>
      <w:r w:rsidR="007649EB" w:rsidRPr="007649EB">
        <w:rPr>
          <w:rFonts w:ascii="Palatino Linotype" w:eastAsia="Times New Roman" w:hAnsi="Palatino Linotype" w:cs="Times New Roman"/>
          <w:i/>
          <w:szCs w:val="24"/>
          <w:lang w:val="es-ES_tradnl" w:eastAsia="es-ES"/>
        </w:rPr>
        <w:t>”.</w:t>
      </w:r>
    </w:p>
    <w:p w14:paraId="6A9C6D0D" w14:textId="614CEFF9" w:rsidR="00725FF2" w:rsidRDefault="00725FF2" w:rsidP="003F661B">
      <w:pPr>
        <w:spacing w:after="0" w:line="360" w:lineRule="auto"/>
        <w:jc w:val="both"/>
        <w:rPr>
          <w:rFonts w:ascii="Palatino Linotype" w:eastAsia="Times New Roman" w:hAnsi="Palatino Linotype" w:cs="Times New Roman"/>
          <w:sz w:val="24"/>
          <w:szCs w:val="24"/>
          <w:lang w:val="es-ES_tradnl" w:eastAsia="es-ES"/>
        </w:rPr>
      </w:pPr>
    </w:p>
    <w:p w14:paraId="0E108BEE" w14:textId="4F6BE926" w:rsidR="00CC385A" w:rsidRPr="004860F7" w:rsidRDefault="00CC385A" w:rsidP="003F661B">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lastRenderedPageBreak/>
        <w:t xml:space="preserve">Modalidad de entrega: </w:t>
      </w:r>
      <w:r w:rsidR="00620B62">
        <w:rPr>
          <w:rFonts w:ascii="Palatino Linotype" w:eastAsia="Times New Roman" w:hAnsi="Palatino Linotype" w:cs="Times New Roman"/>
          <w:b/>
          <w:i/>
          <w:sz w:val="24"/>
          <w:szCs w:val="24"/>
          <w:lang w:val="es-ES_tradnl" w:eastAsia="es-ES"/>
        </w:rPr>
        <w:t>co</w:t>
      </w:r>
      <w:r w:rsidR="005323CE">
        <w:rPr>
          <w:rFonts w:ascii="Palatino Linotype" w:eastAsia="Times New Roman" w:hAnsi="Palatino Linotype" w:cs="Times New Roman"/>
          <w:b/>
          <w:i/>
          <w:sz w:val="24"/>
          <w:szCs w:val="24"/>
          <w:lang w:val="es-ES_tradnl" w:eastAsia="es-ES"/>
        </w:rPr>
        <w:t xml:space="preserve">rreo electrónico y </w:t>
      </w:r>
      <w:r w:rsidR="005323CE" w:rsidRPr="005323CE">
        <w:rPr>
          <w:rFonts w:ascii="Palatino Linotype" w:eastAsia="Times New Roman" w:hAnsi="Palatino Linotype" w:cs="Times New Roman"/>
          <w:b/>
          <w:i/>
          <w:sz w:val="24"/>
          <w:szCs w:val="24"/>
          <w:lang w:val="es-ES_tradnl" w:eastAsia="es-ES"/>
        </w:rPr>
        <w:t>Electrónico a través del sistema de solicitudes de acceso la</w:t>
      </w:r>
      <w:r w:rsidR="005323CE">
        <w:rPr>
          <w:rFonts w:ascii="Palatino Linotype" w:eastAsia="Times New Roman" w:hAnsi="Palatino Linotype" w:cs="Times New Roman"/>
          <w:b/>
          <w:i/>
          <w:sz w:val="24"/>
          <w:szCs w:val="24"/>
          <w:lang w:val="es-ES_tradnl" w:eastAsia="es-ES"/>
        </w:rPr>
        <w:t xml:space="preserve"> información </w:t>
      </w:r>
    </w:p>
    <w:p w14:paraId="2BD4D4C5" w14:textId="1E86C5BD" w:rsidR="00CC385A" w:rsidRDefault="00CC385A" w:rsidP="003F661B">
      <w:pPr>
        <w:tabs>
          <w:tab w:val="left" w:pos="5647"/>
        </w:tabs>
        <w:spacing w:after="0" w:line="360" w:lineRule="auto"/>
        <w:ind w:right="850"/>
        <w:jc w:val="both"/>
        <w:rPr>
          <w:rFonts w:ascii="Palatino Linotype" w:hAnsi="Palatino Linotype"/>
          <w:color w:val="000000"/>
          <w:sz w:val="24"/>
          <w:szCs w:val="24"/>
          <w:lang w:val="es-ES_tradnl"/>
        </w:rPr>
      </w:pPr>
    </w:p>
    <w:p w14:paraId="7A8AFC92" w14:textId="3F69E531" w:rsidR="005323CE" w:rsidRDefault="005323CE" w:rsidP="000547A4">
      <w:pPr>
        <w:spacing w:after="0" w:line="360" w:lineRule="auto"/>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 xml:space="preserve">Asimismo, se observa que la entonces parte Solicitante adjunto el documento electrónico </w:t>
      </w:r>
      <w:r>
        <w:rPr>
          <w:rFonts w:ascii="Palatino Linotype" w:eastAsia="Times New Roman" w:hAnsi="Palatino Linotype" w:cs="Times New Roman"/>
          <w:i/>
          <w:iCs/>
          <w:sz w:val="24"/>
          <w:szCs w:val="24"/>
          <w:lang w:val="es-ES_tradnl" w:eastAsia="es-ES"/>
        </w:rPr>
        <w:t>“</w:t>
      </w:r>
      <w:r w:rsidRPr="005323CE">
        <w:rPr>
          <w:rFonts w:ascii="Palatino Linotype" w:eastAsia="Times New Roman" w:hAnsi="Palatino Linotype" w:cs="Times New Roman"/>
          <w:b/>
          <w:bCs/>
          <w:i/>
          <w:iCs/>
          <w:sz w:val="24"/>
          <w:szCs w:val="24"/>
          <w:lang w:val="es-ES_tradnl" w:eastAsia="es-ES"/>
        </w:rPr>
        <w:t>Archivo1713324328144.xlsx</w:t>
      </w:r>
      <w:r>
        <w:rPr>
          <w:rFonts w:ascii="Palatino Linotype" w:eastAsia="Times New Roman" w:hAnsi="Palatino Linotype" w:cs="Times New Roman"/>
          <w:i/>
          <w:iCs/>
          <w:sz w:val="24"/>
          <w:szCs w:val="24"/>
          <w:lang w:val="es-ES_tradnl" w:eastAsia="es-ES"/>
        </w:rPr>
        <w:t>”</w:t>
      </w:r>
      <w:r>
        <w:rPr>
          <w:rFonts w:ascii="Palatino Linotype" w:eastAsia="Times New Roman" w:hAnsi="Palatino Linotype" w:cs="Times New Roman"/>
          <w:sz w:val="24"/>
          <w:szCs w:val="24"/>
          <w:lang w:val="es-ES_tradnl" w:eastAsia="es-ES"/>
        </w:rPr>
        <w:t xml:space="preserve">, consistente en un archivo de tipo Excel, que contiene </w:t>
      </w:r>
      <w:r w:rsidR="000547A4">
        <w:rPr>
          <w:rFonts w:ascii="Palatino Linotype" w:eastAsia="Times New Roman" w:hAnsi="Palatino Linotype" w:cs="Times New Roman"/>
          <w:sz w:val="24"/>
          <w:szCs w:val="24"/>
          <w:lang w:val="es-ES_tradnl" w:eastAsia="es-ES"/>
        </w:rPr>
        <w:t>una base de datos, se insertan las imágenes siguientes para pronta referencia:</w:t>
      </w:r>
    </w:p>
    <w:p w14:paraId="05072603" w14:textId="7E49E26E" w:rsidR="000547A4" w:rsidRDefault="000547A4" w:rsidP="005323CE">
      <w:pPr>
        <w:spacing w:after="0" w:line="360" w:lineRule="auto"/>
        <w:jc w:val="both"/>
        <w:rPr>
          <w:rFonts w:ascii="Palatino Linotype" w:eastAsia="Times New Roman" w:hAnsi="Palatino Linotype" w:cs="Times New Roman"/>
          <w:sz w:val="24"/>
          <w:szCs w:val="24"/>
          <w:lang w:val="es-ES_tradnl" w:eastAsia="es-ES"/>
        </w:rPr>
      </w:pPr>
    </w:p>
    <w:p w14:paraId="73808FA4" w14:textId="1B81DEFB" w:rsidR="000547A4" w:rsidRDefault="000547A4" w:rsidP="000547A4">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drawing>
          <wp:inline distT="0" distB="0" distL="0" distR="0" wp14:anchorId="623B5498" wp14:editId="5D081E5E">
            <wp:extent cx="5760720" cy="12217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21740"/>
                    </a:xfrm>
                    <a:prstGeom prst="rect">
                      <a:avLst/>
                    </a:prstGeom>
                  </pic:spPr>
                </pic:pic>
              </a:graphicData>
            </a:graphic>
          </wp:inline>
        </w:drawing>
      </w:r>
    </w:p>
    <w:p w14:paraId="60540D10" w14:textId="5D794E30" w:rsidR="000547A4" w:rsidRDefault="000547A4" w:rsidP="000547A4">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drawing>
          <wp:inline distT="0" distB="0" distL="0" distR="0" wp14:anchorId="11B97C07" wp14:editId="617CA164">
            <wp:extent cx="5760720" cy="10458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045845"/>
                    </a:xfrm>
                    <a:prstGeom prst="rect">
                      <a:avLst/>
                    </a:prstGeom>
                  </pic:spPr>
                </pic:pic>
              </a:graphicData>
            </a:graphic>
          </wp:inline>
        </w:drawing>
      </w:r>
    </w:p>
    <w:p w14:paraId="5389907D" w14:textId="46F549DE" w:rsidR="000547A4" w:rsidRDefault="000547A4" w:rsidP="000547A4">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drawing>
          <wp:inline distT="0" distB="0" distL="0" distR="0" wp14:anchorId="4B1FAE47" wp14:editId="508937E2">
            <wp:extent cx="5760720" cy="958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958850"/>
                    </a:xfrm>
                    <a:prstGeom prst="rect">
                      <a:avLst/>
                    </a:prstGeom>
                  </pic:spPr>
                </pic:pic>
              </a:graphicData>
            </a:graphic>
          </wp:inline>
        </w:drawing>
      </w:r>
    </w:p>
    <w:p w14:paraId="560F7970" w14:textId="77777777" w:rsidR="000547A4" w:rsidRPr="005323CE" w:rsidRDefault="000547A4" w:rsidP="005323CE">
      <w:pPr>
        <w:spacing w:after="0" w:line="360" w:lineRule="auto"/>
        <w:jc w:val="both"/>
        <w:rPr>
          <w:rFonts w:ascii="Palatino Linotype" w:eastAsia="Times New Roman" w:hAnsi="Palatino Linotype" w:cs="Times New Roman"/>
          <w:sz w:val="24"/>
          <w:szCs w:val="24"/>
          <w:lang w:val="es-ES_tradnl" w:eastAsia="es-ES"/>
        </w:rPr>
      </w:pPr>
    </w:p>
    <w:p w14:paraId="006D61C2" w14:textId="268FE49D" w:rsidR="000547A4" w:rsidRDefault="00725FF2" w:rsidP="000547A4">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SEGUNDO</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En fecha </w:t>
      </w:r>
      <w:r w:rsidR="000547A4">
        <w:rPr>
          <w:rFonts w:ascii="Palatino Linotype" w:hAnsi="Palatino Linotype" w:cs="Arial"/>
          <w:sz w:val="24"/>
          <w:szCs w:val="24"/>
        </w:rPr>
        <w:t xml:space="preserve">nueve de mayo </w:t>
      </w:r>
      <w:r>
        <w:rPr>
          <w:rFonts w:ascii="Palatino Linotype" w:hAnsi="Palatino Linotype" w:cs="Arial"/>
          <w:sz w:val="24"/>
          <w:szCs w:val="24"/>
        </w:rPr>
        <w:t>de dos mil veinticuatro</w:t>
      </w:r>
      <w:r w:rsidRPr="002B3167">
        <w:rPr>
          <w:rFonts w:ascii="Palatino Linotype" w:hAnsi="Palatino Linotype" w:cs="Arial"/>
          <w:sz w:val="24"/>
          <w:szCs w:val="24"/>
        </w:rPr>
        <w:t xml:space="preserve">, </w:t>
      </w:r>
      <w:r w:rsidR="00596C7E">
        <w:rPr>
          <w:rFonts w:ascii="Palatino Linotype" w:hAnsi="Palatino Linotype" w:cs="Arial"/>
          <w:sz w:val="24"/>
          <w:szCs w:val="24"/>
        </w:rPr>
        <w:t>d</w:t>
      </w:r>
      <w:r w:rsidR="00596C7E" w:rsidRPr="00596C7E">
        <w:rPr>
          <w:rFonts w:ascii="Palatino Linotype" w:hAnsi="Palatino Linotype" w:cs="Arial"/>
          <w:sz w:val="24"/>
          <w:szCs w:val="24"/>
        </w:rPr>
        <w:t>e conformidad con las constancias electrónicas del expediente aperturado con motivo del ingreso de la solicitud</w:t>
      </w:r>
      <w:r w:rsidR="00596C7E">
        <w:rPr>
          <w:rFonts w:ascii="Palatino Linotype" w:hAnsi="Palatino Linotype" w:cs="Arial"/>
          <w:sz w:val="24"/>
          <w:szCs w:val="24"/>
        </w:rPr>
        <w:t xml:space="preserve"> de información, se observa que</w:t>
      </w:r>
      <w:r w:rsidR="000547A4">
        <w:rPr>
          <w:rFonts w:ascii="Palatino Linotype" w:hAnsi="Palatino Linotype" w:cs="Arial"/>
          <w:sz w:val="24"/>
          <w:szCs w:val="24"/>
        </w:rPr>
        <w:t>,</w:t>
      </w:r>
      <w:r w:rsidR="00596C7E" w:rsidRPr="00596C7E">
        <w:rPr>
          <w:rFonts w:ascii="Palatino Linotype" w:hAnsi="Palatino Linotype" w:cs="Arial"/>
          <w:sz w:val="24"/>
          <w:szCs w:val="24"/>
        </w:rPr>
        <w:t xml:space="preserve"> el </w:t>
      </w:r>
      <w:r w:rsidR="00596C7E" w:rsidRPr="00596C7E">
        <w:rPr>
          <w:rFonts w:ascii="Palatino Linotype" w:hAnsi="Palatino Linotype" w:cs="Arial"/>
          <w:b/>
          <w:sz w:val="24"/>
          <w:szCs w:val="24"/>
        </w:rPr>
        <w:t>Sujeto Obligado</w:t>
      </w:r>
      <w:r w:rsidR="00596C7E" w:rsidRPr="00596C7E">
        <w:rPr>
          <w:rFonts w:ascii="Palatino Linotype" w:hAnsi="Palatino Linotype" w:cs="Arial"/>
          <w:sz w:val="24"/>
          <w:szCs w:val="24"/>
        </w:rPr>
        <w:t xml:space="preserve"> </w:t>
      </w:r>
      <w:r w:rsidR="000547A4">
        <w:rPr>
          <w:rFonts w:ascii="Palatino Linotype" w:hAnsi="Palatino Linotype" w:cs="Arial"/>
          <w:sz w:val="24"/>
          <w:szCs w:val="24"/>
        </w:rPr>
        <w:t>notificó a través del sistema SAIMEX la respuesta, informando lo siguiente:</w:t>
      </w:r>
    </w:p>
    <w:p w14:paraId="79422476" w14:textId="77777777" w:rsidR="00D74764" w:rsidRDefault="00D74764" w:rsidP="000547A4">
      <w:pPr>
        <w:spacing w:after="0" w:line="360" w:lineRule="auto"/>
        <w:jc w:val="both"/>
        <w:rPr>
          <w:rFonts w:ascii="Palatino Linotype" w:hAnsi="Palatino Linotype" w:cs="Arial"/>
          <w:sz w:val="24"/>
          <w:szCs w:val="24"/>
        </w:rPr>
      </w:pPr>
    </w:p>
    <w:p w14:paraId="31A8506C" w14:textId="76460BE4" w:rsidR="000547A4" w:rsidRPr="00D3642F" w:rsidRDefault="000547A4" w:rsidP="000547A4">
      <w:pPr>
        <w:spacing w:after="0" w:line="240" w:lineRule="auto"/>
        <w:ind w:left="567" w:right="567"/>
        <w:jc w:val="both"/>
        <w:rPr>
          <w:rFonts w:ascii="Palatino Linotype" w:hAnsi="Palatino Linotype" w:cs="Arial"/>
          <w:i/>
          <w:iCs/>
          <w:sz w:val="24"/>
          <w:szCs w:val="24"/>
        </w:rPr>
      </w:pPr>
      <w:r>
        <w:rPr>
          <w:rFonts w:ascii="Palatino Linotype" w:hAnsi="Palatino Linotype" w:cs="Arial"/>
          <w:i/>
          <w:iCs/>
          <w:sz w:val="24"/>
          <w:szCs w:val="24"/>
        </w:rPr>
        <w:lastRenderedPageBreak/>
        <w:t>“</w:t>
      </w:r>
      <w:r w:rsidRPr="000547A4">
        <w:rPr>
          <w:rFonts w:ascii="Palatino Linotype" w:hAnsi="Palatino Linotype" w:cs="Arial"/>
          <w:i/>
          <w:iCs/>
          <w:sz w:val="24"/>
          <w:szCs w:val="24"/>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r>
        <w:rPr>
          <w:rFonts w:ascii="Palatino Linotype" w:hAnsi="Palatino Linotype" w:cs="Arial"/>
          <w:i/>
          <w:iCs/>
          <w:sz w:val="24"/>
          <w:szCs w:val="24"/>
        </w:rPr>
        <w:t>”</w:t>
      </w:r>
    </w:p>
    <w:p w14:paraId="21220F69" w14:textId="77777777" w:rsidR="000547A4" w:rsidRDefault="000547A4" w:rsidP="000547A4">
      <w:pPr>
        <w:spacing w:after="0" w:line="360" w:lineRule="auto"/>
        <w:jc w:val="both"/>
        <w:rPr>
          <w:rFonts w:ascii="Palatino Linotype" w:hAnsi="Palatino Linotype" w:cs="Arial"/>
          <w:sz w:val="24"/>
          <w:szCs w:val="24"/>
        </w:rPr>
      </w:pPr>
    </w:p>
    <w:p w14:paraId="32B5F042" w14:textId="05CCF7DF" w:rsidR="000547A4" w:rsidRPr="00D3642F" w:rsidRDefault="000547A4" w:rsidP="000547A4">
      <w:pPr>
        <w:spacing w:after="0" w:line="360" w:lineRule="auto"/>
        <w:ind w:right="334"/>
        <w:jc w:val="both"/>
        <w:rPr>
          <w:rFonts w:ascii="Palatino Linotype" w:hAnsi="Palatino Linotype" w:cs="Arial"/>
          <w:sz w:val="24"/>
          <w:szCs w:val="24"/>
        </w:rPr>
      </w:pPr>
      <w:r>
        <w:rPr>
          <w:rFonts w:ascii="Palatino Linotype" w:hAnsi="Palatino Linotype" w:cs="Arial"/>
          <w:sz w:val="24"/>
          <w:szCs w:val="24"/>
        </w:rPr>
        <w:t xml:space="preserve">Así mismo, se hace contar que adjuntó los documentos electrónicos </w:t>
      </w:r>
      <w:r>
        <w:rPr>
          <w:rFonts w:ascii="Palatino Linotype" w:hAnsi="Palatino Linotype" w:cs="Arial"/>
          <w:i/>
          <w:iCs/>
          <w:sz w:val="24"/>
          <w:szCs w:val="24"/>
        </w:rPr>
        <w:t>“</w:t>
      </w:r>
      <w:r w:rsidRPr="000547A4">
        <w:rPr>
          <w:rFonts w:ascii="Palatino Linotype" w:hAnsi="Palatino Linotype" w:cs="Arial"/>
          <w:b/>
          <w:bCs/>
          <w:i/>
          <w:iCs/>
          <w:sz w:val="24"/>
          <w:szCs w:val="24"/>
        </w:rPr>
        <w:t>Excel 236.xlsx</w:t>
      </w:r>
      <w:r>
        <w:rPr>
          <w:rFonts w:ascii="Palatino Linotype" w:hAnsi="Palatino Linotype" w:cs="Arial"/>
          <w:b/>
          <w:bCs/>
          <w:i/>
          <w:iCs/>
          <w:sz w:val="24"/>
          <w:szCs w:val="24"/>
        </w:rPr>
        <w:t xml:space="preserve">, </w:t>
      </w:r>
      <w:r w:rsidRPr="000547A4">
        <w:rPr>
          <w:rFonts w:ascii="Palatino Linotype" w:hAnsi="Palatino Linotype" w:cs="Arial"/>
          <w:b/>
          <w:bCs/>
          <w:i/>
          <w:iCs/>
          <w:sz w:val="24"/>
          <w:szCs w:val="24"/>
        </w:rPr>
        <w:t>Respuesta 236.pdf</w:t>
      </w:r>
      <w:r>
        <w:rPr>
          <w:rFonts w:ascii="Palatino Linotype" w:hAnsi="Palatino Linotype" w:cs="Arial"/>
          <w:b/>
          <w:bCs/>
          <w:i/>
          <w:iCs/>
          <w:sz w:val="24"/>
          <w:szCs w:val="24"/>
        </w:rPr>
        <w:t xml:space="preserve">, </w:t>
      </w:r>
      <w:r w:rsidRPr="000547A4">
        <w:rPr>
          <w:rFonts w:ascii="Palatino Linotype" w:hAnsi="Palatino Linotype" w:cs="Arial"/>
          <w:b/>
          <w:bCs/>
          <w:i/>
          <w:iCs/>
          <w:sz w:val="24"/>
          <w:szCs w:val="24"/>
        </w:rPr>
        <w:t>Anexo 1-236.pdf</w:t>
      </w:r>
      <w:r w:rsidRPr="000547A4">
        <w:rPr>
          <w:rFonts w:ascii="Palatino Linotype" w:hAnsi="Palatino Linotype" w:cs="Arial"/>
          <w:sz w:val="24"/>
          <w:szCs w:val="24"/>
        </w:rPr>
        <w:t xml:space="preserve"> y </w:t>
      </w:r>
      <w:r w:rsidRPr="000547A4">
        <w:rPr>
          <w:rFonts w:ascii="Palatino Linotype" w:hAnsi="Palatino Linotype" w:cs="Arial"/>
          <w:b/>
          <w:bCs/>
          <w:i/>
          <w:iCs/>
          <w:sz w:val="24"/>
          <w:szCs w:val="24"/>
        </w:rPr>
        <w:t>Anexo 2-236.pdf</w:t>
      </w:r>
      <w:r>
        <w:rPr>
          <w:rFonts w:ascii="Palatino Linotype" w:hAnsi="Palatino Linotype" w:cs="Arial"/>
          <w:i/>
          <w:iCs/>
          <w:sz w:val="24"/>
          <w:szCs w:val="24"/>
        </w:rPr>
        <w:t>”</w:t>
      </w:r>
      <w:r>
        <w:rPr>
          <w:rFonts w:ascii="Palatino Linotype" w:hAnsi="Palatino Linotype" w:cs="Arial"/>
          <w:sz w:val="24"/>
          <w:szCs w:val="24"/>
        </w:rPr>
        <w:t>, de los cuales se omite la descripción de su contenido en este apartado, toda vez que serán analizados en el apartado correspondiente.</w:t>
      </w:r>
    </w:p>
    <w:p w14:paraId="240E408F" w14:textId="04A326D1" w:rsidR="00725FF2" w:rsidRPr="00596C7E" w:rsidRDefault="00725FF2" w:rsidP="000547A4">
      <w:pPr>
        <w:spacing w:after="0" w:line="360" w:lineRule="auto"/>
        <w:ind w:right="334"/>
        <w:jc w:val="both"/>
        <w:rPr>
          <w:rFonts w:ascii="Palatino Linotype" w:hAnsi="Palatino Linotype"/>
          <w:color w:val="000000"/>
          <w:sz w:val="24"/>
          <w:szCs w:val="24"/>
        </w:rPr>
      </w:pPr>
    </w:p>
    <w:p w14:paraId="357A899C" w14:textId="03DE02BC" w:rsidR="00CC385A" w:rsidRPr="004860F7" w:rsidRDefault="000547A4" w:rsidP="003F661B">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578A3">
        <w:rPr>
          <w:rFonts w:ascii="Palatino Linotype" w:hAnsi="Palatino Linotype" w:cs="Arial"/>
          <w:b/>
          <w:sz w:val="28"/>
          <w:szCs w:val="24"/>
        </w:rPr>
        <w:t>.</w:t>
      </w:r>
      <w:r w:rsidR="000578A3" w:rsidRPr="000578A3">
        <w:rPr>
          <w:rFonts w:ascii="Palatino Linotype" w:hAnsi="Palatino Linotype" w:cs="Arial"/>
          <w:sz w:val="24"/>
          <w:szCs w:val="24"/>
        </w:rPr>
        <w:t xml:space="preserve"> </w:t>
      </w:r>
      <w:r w:rsidR="00CC385A" w:rsidRPr="004860F7">
        <w:rPr>
          <w:rFonts w:ascii="Palatino Linotype" w:hAnsi="Palatino Linotype" w:cs="Arial"/>
          <w:sz w:val="24"/>
          <w:szCs w:val="24"/>
        </w:rPr>
        <w:t xml:space="preserve">Inconforme </w:t>
      </w:r>
      <w:r>
        <w:rPr>
          <w:rFonts w:ascii="Palatino Linotype" w:hAnsi="Palatino Linotype" w:cs="Arial"/>
          <w:sz w:val="24"/>
          <w:szCs w:val="24"/>
        </w:rPr>
        <w:t>con la respuesta</w:t>
      </w:r>
      <w:r w:rsidR="000578A3">
        <w:rPr>
          <w:rFonts w:ascii="Palatino Linotype" w:hAnsi="Palatino Linotype" w:cs="Arial"/>
          <w:sz w:val="24"/>
          <w:szCs w:val="24"/>
        </w:rPr>
        <w:t xml:space="preserve"> </w:t>
      </w:r>
      <w:r w:rsidR="00CC385A" w:rsidRPr="004860F7">
        <w:rPr>
          <w:rFonts w:ascii="Palatino Linotype" w:hAnsi="Palatino Linotype" w:cs="Arial"/>
          <w:sz w:val="24"/>
          <w:szCs w:val="24"/>
        </w:rPr>
        <w:t xml:space="preserve">del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w:t>
      </w:r>
      <w:r w:rsidR="00524120">
        <w:rPr>
          <w:rFonts w:ascii="Palatino Linotype" w:hAnsi="Palatino Linotype" w:cs="Arial"/>
          <w:sz w:val="24"/>
          <w:szCs w:val="24"/>
        </w:rPr>
        <w:t>la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xml:space="preserve"> en fecha </w:t>
      </w:r>
      <w:r>
        <w:rPr>
          <w:rFonts w:ascii="Palatino Linotype" w:hAnsi="Palatino Linotype" w:cs="Arial"/>
          <w:sz w:val="24"/>
          <w:szCs w:val="24"/>
        </w:rPr>
        <w:t xml:space="preserve">doce de mayo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interpuso recurso de revisión, que fue registrado</w:t>
      </w:r>
      <w:r w:rsidR="00CC385A" w:rsidRPr="004860F7">
        <w:rPr>
          <w:rFonts w:ascii="Palatino Linotype" w:hAnsi="Palatino Linotype" w:cs="Arial"/>
          <w:b/>
          <w:sz w:val="24"/>
          <w:szCs w:val="24"/>
        </w:rPr>
        <w:t xml:space="preserve"> </w:t>
      </w:r>
      <w:r w:rsidR="00CC385A" w:rsidRPr="004860F7">
        <w:rPr>
          <w:rFonts w:ascii="Palatino Linotype" w:hAnsi="Palatino Linotype" w:cs="Arial"/>
          <w:sz w:val="24"/>
          <w:szCs w:val="24"/>
        </w:rPr>
        <w:t xml:space="preserve">en el sistema electrónico con número de expediente </w:t>
      </w:r>
      <w:r w:rsidR="005323CE">
        <w:rPr>
          <w:rFonts w:ascii="Palatino Linotype" w:hAnsi="Palatino Linotype" w:cs="Arial"/>
          <w:b/>
          <w:bCs/>
          <w:sz w:val="24"/>
          <w:szCs w:val="24"/>
          <w:lang w:eastAsia="es-MX"/>
        </w:rPr>
        <w:t>02720/INFOEM/IP/RR/2024</w:t>
      </w:r>
      <w:r w:rsidR="00CC385A" w:rsidRPr="004860F7">
        <w:rPr>
          <w:rFonts w:ascii="Palatino Linotype" w:hAnsi="Palatino Linotype" w:cs="Arial"/>
          <w:sz w:val="24"/>
          <w:szCs w:val="24"/>
        </w:rPr>
        <w:t>, aduciendo como acto impugnado, lo siguiente</w:t>
      </w:r>
      <w:r>
        <w:rPr>
          <w:rFonts w:ascii="Palatino Linotype" w:hAnsi="Palatino Linotype" w:cs="Arial"/>
          <w:sz w:val="24"/>
          <w:szCs w:val="24"/>
        </w:rPr>
        <w:t>:</w:t>
      </w:r>
    </w:p>
    <w:p w14:paraId="38FDEAE8" w14:textId="77777777" w:rsidR="00CC385A" w:rsidRPr="004860F7" w:rsidRDefault="00CC385A" w:rsidP="003F661B">
      <w:pPr>
        <w:spacing w:after="0" w:line="360" w:lineRule="auto"/>
        <w:jc w:val="both"/>
        <w:rPr>
          <w:rFonts w:ascii="Palatino Linotype" w:hAnsi="Palatino Linotype" w:cs="Arial"/>
          <w:b/>
          <w:sz w:val="24"/>
          <w:szCs w:val="24"/>
        </w:rPr>
      </w:pPr>
    </w:p>
    <w:p w14:paraId="002999D5" w14:textId="77777777" w:rsidR="00CC385A" w:rsidRPr="004860F7" w:rsidRDefault="00CC385A" w:rsidP="003F661B">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14:paraId="56FF21CC" w14:textId="77777777" w:rsidR="00CC385A" w:rsidRPr="004860F7" w:rsidRDefault="00CC385A" w:rsidP="003F661B">
      <w:pPr>
        <w:pStyle w:val="Prrafodelista"/>
        <w:spacing w:line="360" w:lineRule="auto"/>
        <w:ind w:left="0"/>
        <w:jc w:val="both"/>
        <w:rPr>
          <w:rFonts w:ascii="Palatino Linotype" w:hAnsi="Palatino Linotype" w:cs="Arial"/>
          <w:b/>
        </w:rPr>
      </w:pPr>
    </w:p>
    <w:p w14:paraId="14C06967" w14:textId="771B871D" w:rsidR="00CC385A" w:rsidRDefault="00CC385A" w:rsidP="003F661B">
      <w:pPr>
        <w:spacing w:after="0"/>
        <w:ind w:left="567" w:right="567"/>
        <w:jc w:val="both"/>
        <w:rPr>
          <w:rFonts w:ascii="Palatino Linotype" w:hAnsi="Palatino Linotype"/>
          <w:iCs/>
          <w:color w:val="000000"/>
        </w:rPr>
      </w:pPr>
      <w:r w:rsidRPr="004860F7">
        <w:rPr>
          <w:rFonts w:ascii="Palatino Linotype" w:hAnsi="Palatino Linotype" w:cs="Arial"/>
          <w:i/>
        </w:rPr>
        <w:t>“</w:t>
      </w:r>
      <w:r w:rsidR="000547A4" w:rsidRPr="000547A4">
        <w:rPr>
          <w:rFonts w:ascii="Palatino Linotype" w:hAnsi="Palatino Linotype"/>
          <w:i/>
          <w:color w:val="000000"/>
        </w:rPr>
        <w:t xml:space="preserve">Buenas Tardes: Esperando se encuentren muy bien, les comentamos que </w:t>
      </w:r>
      <w:r w:rsidR="000547A4" w:rsidRPr="000547A4">
        <w:rPr>
          <w:rFonts w:ascii="Palatino Linotype" w:hAnsi="Palatino Linotype"/>
          <w:i/>
          <w:color w:val="000000"/>
          <w:u w:val="single"/>
        </w:rPr>
        <w:t xml:space="preserve">para poder procesar a información, requerimos de su apoyo para que la información sea compartida en base a la solicitud del documento en </w:t>
      </w:r>
      <w:proofErr w:type="spellStart"/>
      <w:r w:rsidR="000547A4" w:rsidRPr="000547A4">
        <w:rPr>
          <w:rFonts w:ascii="Palatino Linotype" w:hAnsi="Palatino Linotype"/>
          <w:i/>
          <w:color w:val="000000"/>
          <w:u w:val="single"/>
        </w:rPr>
        <w:t>excel</w:t>
      </w:r>
      <w:proofErr w:type="spellEnd"/>
      <w:r w:rsidR="000547A4" w:rsidRPr="000547A4">
        <w:rPr>
          <w:rFonts w:ascii="Palatino Linotype" w:hAnsi="Palatino Linotype"/>
          <w:i/>
          <w:color w:val="000000"/>
        </w:rPr>
        <w:t xml:space="preserve"> con el siguiente título: 0 Solicutud-IJPP_Adolescentes_AutAdmin_2023.xlsx De antemano, Gracias, ¡Saludos Cordiales!</w:t>
      </w:r>
      <w:r w:rsidR="00596C7E" w:rsidRPr="00596C7E">
        <w:rPr>
          <w:rFonts w:ascii="Palatino Linotype" w:hAnsi="Palatino Linotype"/>
          <w:i/>
          <w:color w:val="000000"/>
        </w:rPr>
        <w:t>"</w:t>
      </w:r>
      <w:r w:rsidRPr="004860F7">
        <w:rPr>
          <w:rFonts w:ascii="Palatino Linotype" w:hAnsi="Palatino Linotype"/>
          <w:i/>
          <w:color w:val="000000"/>
        </w:rPr>
        <w:t xml:space="preserve"> </w:t>
      </w:r>
      <w:r w:rsidRPr="000547A4">
        <w:rPr>
          <w:rFonts w:ascii="Palatino Linotype" w:hAnsi="Palatino Linotype"/>
          <w:iCs/>
          <w:color w:val="000000"/>
        </w:rPr>
        <w:t>(</w:t>
      </w:r>
      <w:proofErr w:type="gramStart"/>
      <w:r w:rsidRPr="000547A4">
        <w:rPr>
          <w:rFonts w:ascii="Palatino Linotype" w:hAnsi="Palatino Linotype"/>
          <w:iCs/>
          <w:color w:val="000000"/>
        </w:rPr>
        <w:t>sic</w:t>
      </w:r>
      <w:proofErr w:type="gramEnd"/>
      <w:r w:rsidRPr="000547A4">
        <w:rPr>
          <w:rFonts w:ascii="Palatino Linotype" w:hAnsi="Palatino Linotype"/>
          <w:iCs/>
          <w:color w:val="000000"/>
        </w:rPr>
        <w:t>)</w:t>
      </w:r>
    </w:p>
    <w:p w14:paraId="761B69CB" w14:textId="2B8014B4" w:rsidR="000547A4" w:rsidRPr="000547A4" w:rsidRDefault="000547A4" w:rsidP="000547A4">
      <w:pPr>
        <w:spacing w:after="0"/>
        <w:ind w:left="567" w:right="567"/>
        <w:jc w:val="right"/>
        <w:rPr>
          <w:rFonts w:ascii="Palatino Linotype" w:hAnsi="Palatino Linotype"/>
          <w:iCs/>
          <w:color w:val="000000"/>
        </w:rPr>
      </w:pPr>
      <w:r w:rsidRPr="000547A4">
        <w:rPr>
          <w:rFonts w:ascii="Palatino Linotype" w:hAnsi="Palatino Linotype" w:cs="Arial"/>
          <w:iCs/>
        </w:rPr>
        <w:t>(Énfasis añadido)</w:t>
      </w:r>
    </w:p>
    <w:p w14:paraId="3498518F" w14:textId="77777777" w:rsidR="00CC385A" w:rsidRPr="004860F7" w:rsidRDefault="00CC385A" w:rsidP="003F661B">
      <w:pPr>
        <w:spacing w:after="0" w:line="360" w:lineRule="auto"/>
        <w:jc w:val="both"/>
        <w:rPr>
          <w:rFonts w:ascii="Palatino Linotype" w:hAnsi="Palatino Linotype" w:cs="Arial"/>
          <w:sz w:val="24"/>
          <w:szCs w:val="24"/>
        </w:rPr>
      </w:pPr>
    </w:p>
    <w:p w14:paraId="1B03E146" w14:textId="1181BCB4" w:rsidR="00CC385A" w:rsidRPr="004860F7" w:rsidRDefault="000547A4" w:rsidP="003F661B">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b/>
          <w:sz w:val="28"/>
          <w:szCs w:val="28"/>
          <w:lang w:val="es-ES_tradnl" w:eastAsia="es-ES"/>
        </w:rPr>
        <w:t>CUARTO</w:t>
      </w:r>
      <w:r w:rsidR="00E934FB">
        <w:rPr>
          <w:rFonts w:ascii="Palatino Linotype" w:eastAsia="Times New Roman" w:hAnsi="Palatino Linotype" w:cs="Arial"/>
          <w:b/>
          <w:sz w:val="28"/>
          <w:szCs w:val="28"/>
          <w:lang w:val="es-ES_tradnl" w:eastAsia="es-ES"/>
        </w:rPr>
        <w:t>.</w:t>
      </w:r>
      <w:r w:rsidR="00E934FB" w:rsidRPr="004860F7">
        <w:rPr>
          <w:rFonts w:ascii="Palatino Linotype" w:eastAsia="Times New Roman" w:hAnsi="Palatino Linotype" w:cs="Arial"/>
          <w:sz w:val="24"/>
          <w:szCs w:val="24"/>
          <w:lang w:val="es-ES_tradnl" w:eastAsia="es-ES"/>
        </w:rPr>
        <w:t xml:space="preserve"> </w:t>
      </w:r>
      <w:r w:rsidR="00CC385A" w:rsidRPr="004860F7">
        <w:rPr>
          <w:rFonts w:ascii="Palatino Linotype" w:eastAsia="Times New Roman" w:hAnsi="Palatino Linotype" w:cs="Arial"/>
          <w:sz w:val="24"/>
          <w:szCs w:val="24"/>
          <w:lang w:val="es-ES_tradnl" w:eastAsia="es-ES"/>
        </w:rPr>
        <w:t>Recurso de revisión que</w:t>
      </w:r>
      <w:r w:rsidR="00CC385A" w:rsidRPr="004860F7">
        <w:rPr>
          <w:rFonts w:ascii="Palatino Linotype" w:eastAsia="Times New Roman" w:hAnsi="Palatino Linotype" w:cs="Arial"/>
          <w:sz w:val="24"/>
          <w:szCs w:val="24"/>
          <w:lang w:val="es-ES" w:eastAsia="es-ES"/>
        </w:rPr>
        <w:t xml:space="preserve"> se</w:t>
      </w:r>
      <w:r w:rsidR="00CC385A" w:rsidRPr="004860F7">
        <w:rPr>
          <w:rFonts w:ascii="Palatino Linotype" w:eastAsia="Times New Roman" w:hAnsi="Palatino Linotype" w:cs="Arial"/>
          <w:sz w:val="24"/>
          <w:szCs w:val="24"/>
          <w:lang w:val="es-ES_tradnl" w:eastAsia="es-ES"/>
        </w:rPr>
        <w:t xml:space="preserve"> envió electrónicamente al Instituto de </w:t>
      </w:r>
      <w:r w:rsidR="00CC385A" w:rsidRPr="004860F7">
        <w:rPr>
          <w:rFonts w:ascii="Palatino Linotype" w:eastAsia="Arial Unicode MS" w:hAnsi="Palatino Linotype" w:cs="Arial"/>
          <w:sz w:val="24"/>
          <w:szCs w:val="24"/>
          <w:lang w:val="es-ES" w:eastAsia="es-ES"/>
        </w:rPr>
        <w:t>Transparencia</w:t>
      </w:r>
      <w:r w:rsidR="00CC385A" w:rsidRPr="004860F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CC385A" w:rsidRPr="004860F7">
        <w:rPr>
          <w:rFonts w:ascii="Palatino Linotype" w:eastAsia="Times New Roman" w:hAnsi="Palatino Linotype" w:cs="Times New Roman"/>
          <w:sz w:val="24"/>
          <w:szCs w:val="24"/>
          <w:lang w:val="es-ES" w:eastAsia="es-ES"/>
        </w:rPr>
        <w:lastRenderedPageBreak/>
        <w:t>Ley de Transparencia y Acceso a la Información Pública del Estado de México y Municipios</w:t>
      </w:r>
      <w:r w:rsidR="00CC385A" w:rsidRPr="004860F7">
        <w:rPr>
          <w:rFonts w:ascii="Palatino Linotype" w:eastAsia="Times New Roman" w:hAnsi="Palatino Linotype" w:cs="Arial"/>
          <w:sz w:val="24"/>
          <w:szCs w:val="24"/>
          <w:lang w:val="es-ES_tradnl" w:eastAsia="es-ES"/>
        </w:rPr>
        <w:t>, se turnó a través del</w:t>
      </w:r>
      <w:r w:rsidR="00CC385A" w:rsidRPr="004860F7">
        <w:rPr>
          <w:rFonts w:ascii="Palatino Linotype" w:eastAsia="Arial Unicode MS" w:hAnsi="Palatino Linotype" w:cs="Arial"/>
          <w:sz w:val="24"/>
          <w:szCs w:val="24"/>
          <w:lang w:val="es-ES_tradnl" w:eastAsia="es-ES"/>
        </w:rPr>
        <w:t xml:space="preserve"> </w:t>
      </w:r>
      <w:r w:rsidR="00CC385A" w:rsidRPr="004860F7">
        <w:rPr>
          <w:rFonts w:ascii="Palatino Linotype" w:eastAsia="Arial Unicode MS" w:hAnsi="Palatino Linotype" w:cs="Arial"/>
          <w:b/>
          <w:sz w:val="24"/>
          <w:szCs w:val="24"/>
          <w:lang w:val="es-ES_tradnl" w:eastAsia="es-ES"/>
        </w:rPr>
        <w:t>SAIMEX</w:t>
      </w:r>
      <w:r w:rsidR="00CC385A" w:rsidRPr="004860F7">
        <w:rPr>
          <w:rFonts w:ascii="Palatino Linotype" w:eastAsia="Times New Roman" w:hAnsi="Palatino Linotype" w:cs="Times New Roman"/>
          <w:sz w:val="24"/>
          <w:szCs w:val="24"/>
          <w:lang w:val="es-ES" w:eastAsia="es-ES"/>
        </w:rPr>
        <w:t xml:space="preserve"> al </w:t>
      </w:r>
      <w:r w:rsidR="00CC385A" w:rsidRPr="004860F7">
        <w:rPr>
          <w:rFonts w:ascii="Palatino Linotype" w:eastAsia="Times New Roman" w:hAnsi="Palatino Linotype" w:cs="Arial"/>
          <w:sz w:val="24"/>
          <w:szCs w:val="24"/>
          <w:lang w:val="es-ES_tradnl" w:eastAsia="es-ES"/>
        </w:rPr>
        <w:t xml:space="preserve">Comisionado Presidente </w:t>
      </w:r>
      <w:r w:rsidR="00CC385A" w:rsidRPr="004860F7">
        <w:rPr>
          <w:rFonts w:ascii="Palatino Linotype" w:eastAsia="Times New Roman" w:hAnsi="Palatino Linotype" w:cs="Arial"/>
          <w:b/>
          <w:sz w:val="24"/>
          <w:szCs w:val="24"/>
          <w:lang w:val="es-ES_tradnl" w:eastAsia="es-ES"/>
        </w:rPr>
        <w:t xml:space="preserve">JOSÉ MARTÍNEZ VILCHIS, </w:t>
      </w:r>
      <w:r w:rsidR="00CC385A" w:rsidRPr="004860F7">
        <w:rPr>
          <w:rFonts w:ascii="Palatino Linotype" w:eastAsia="Times New Roman" w:hAnsi="Palatino Linotype" w:cs="Arial"/>
          <w:sz w:val="24"/>
          <w:szCs w:val="24"/>
          <w:lang w:val="es-ES_tradnl" w:eastAsia="es-ES"/>
        </w:rPr>
        <w:t>a efecto de que decretara su admisión o desechamiento.</w:t>
      </w:r>
    </w:p>
    <w:p w14:paraId="7EE5FF5C" w14:textId="77777777" w:rsidR="00CC385A" w:rsidRPr="004860F7" w:rsidRDefault="00CC385A" w:rsidP="003F661B">
      <w:pPr>
        <w:spacing w:after="0" w:line="360" w:lineRule="auto"/>
        <w:ind w:right="49"/>
        <w:jc w:val="both"/>
        <w:rPr>
          <w:rFonts w:ascii="Palatino Linotype" w:eastAsia="Times New Roman" w:hAnsi="Palatino Linotype" w:cs="Arial"/>
          <w:sz w:val="24"/>
          <w:szCs w:val="24"/>
          <w:lang w:val="es-ES_tradnl" w:eastAsia="es-ES"/>
        </w:rPr>
      </w:pPr>
    </w:p>
    <w:p w14:paraId="588270D2" w14:textId="146D6DCE" w:rsidR="00CC385A" w:rsidRPr="004860F7" w:rsidRDefault="00E934FB" w:rsidP="003F661B">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_tradnl" w:eastAsia="es-ES"/>
        </w:rPr>
        <w:t>Por lo que e</w:t>
      </w:r>
      <w:r w:rsidR="00CC385A" w:rsidRPr="004860F7">
        <w:rPr>
          <w:rFonts w:ascii="Palatino Linotype" w:eastAsia="Times New Roman" w:hAnsi="Palatino Linotype" w:cs="Arial"/>
          <w:sz w:val="24"/>
          <w:szCs w:val="24"/>
          <w:lang w:val="es-ES" w:eastAsia="es-ES"/>
        </w:rPr>
        <w:t xml:space="preserve">n fecha </w:t>
      </w:r>
      <w:r>
        <w:rPr>
          <w:rFonts w:ascii="Palatino Linotype" w:eastAsia="Times New Roman" w:hAnsi="Palatino Linotype" w:cs="Arial"/>
          <w:sz w:val="24"/>
          <w:szCs w:val="24"/>
          <w:lang w:val="es-ES" w:eastAsia="es-ES"/>
        </w:rPr>
        <w:t>d</w:t>
      </w:r>
      <w:r w:rsidR="00735A56">
        <w:rPr>
          <w:rFonts w:ascii="Palatino Linotype" w:eastAsia="Times New Roman" w:hAnsi="Palatino Linotype" w:cs="Arial"/>
          <w:sz w:val="24"/>
          <w:szCs w:val="24"/>
          <w:lang w:val="es-ES" w:eastAsia="es-ES"/>
        </w:rPr>
        <w:t xml:space="preserve">ieciséis de mayo </w:t>
      </w:r>
      <w:r w:rsidR="00855B56">
        <w:rPr>
          <w:rFonts w:ascii="Palatino Linotype" w:eastAsia="Times New Roman" w:hAnsi="Palatino Linotype" w:cs="Arial"/>
          <w:sz w:val="24"/>
          <w:szCs w:val="24"/>
          <w:lang w:val="es-ES" w:eastAsia="es-ES"/>
        </w:rPr>
        <w:t>de dos mil veinticuatro</w:t>
      </w:r>
      <w:r w:rsidR="00CC385A" w:rsidRPr="004860F7">
        <w:rPr>
          <w:rFonts w:ascii="Palatino Linotype" w:eastAsia="Times New Roman" w:hAnsi="Palatino Linotype" w:cs="Arial"/>
          <w:sz w:val="24"/>
          <w:szCs w:val="24"/>
          <w:lang w:val="es-ES" w:eastAsia="es-ES"/>
        </w:rPr>
        <w:t xml:space="preserve">, atento a lo dispuesto en el </w:t>
      </w:r>
      <w:r w:rsidR="00CC385A" w:rsidRPr="004860F7">
        <w:rPr>
          <w:rFonts w:ascii="Palatino Linotype" w:eastAsia="Times New Roman" w:hAnsi="Palatino Linotype" w:cs="Arial"/>
          <w:sz w:val="24"/>
          <w:szCs w:val="24"/>
          <w:lang w:val="es-ES_tradnl" w:eastAsia="es-ES"/>
        </w:rPr>
        <w:t>artículo</w:t>
      </w:r>
      <w:r w:rsidR="00CC385A" w:rsidRPr="004860F7">
        <w:rPr>
          <w:rFonts w:ascii="Palatino Linotype" w:eastAsia="Times New Roman" w:hAnsi="Palatino Linotype" w:cs="Arial"/>
          <w:sz w:val="24"/>
          <w:szCs w:val="24"/>
          <w:lang w:val="es-ES" w:eastAsia="es-ES"/>
        </w:rPr>
        <w:t xml:space="preserve"> 185 fracciones I, II y IV </w:t>
      </w:r>
      <w:r w:rsidR="00CC385A" w:rsidRPr="004860F7">
        <w:rPr>
          <w:rFonts w:ascii="Palatino Linotype" w:eastAsia="Times New Roman" w:hAnsi="Palatino Linotype" w:cs="Arial"/>
          <w:sz w:val="24"/>
          <w:szCs w:val="24"/>
          <w:lang w:val="es-ES_tradnl" w:eastAsia="es-ES"/>
        </w:rPr>
        <w:t xml:space="preserve">de la </w:t>
      </w:r>
      <w:r w:rsidR="00CC385A" w:rsidRPr="004860F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CC385A" w:rsidRPr="004860F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1F2F00A2" w14:textId="77777777" w:rsidR="00CC385A" w:rsidRPr="004860F7" w:rsidRDefault="00CC385A" w:rsidP="003F661B">
      <w:pPr>
        <w:spacing w:after="0" w:line="360" w:lineRule="auto"/>
        <w:jc w:val="both"/>
        <w:rPr>
          <w:rFonts w:ascii="Palatino Linotype" w:hAnsi="Palatino Linotype" w:cs="Arial"/>
          <w:sz w:val="24"/>
          <w:szCs w:val="28"/>
          <w:lang w:val="es-ES"/>
        </w:rPr>
      </w:pPr>
    </w:p>
    <w:p w14:paraId="6938003F" w14:textId="4CDC25A4" w:rsidR="00CC385A" w:rsidRPr="00FC599C" w:rsidRDefault="009964AA" w:rsidP="003F661B">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CC385A" w:rsidRPr="004860F7">
        <w:rPr>
          <w:rFonts w:ascii="Palatino Linotype" w:hAnsi="Palatino Linotype" w:cs="Arial"/>
          <w:b/>
          <w:sz w:val="28"/>
          <w:szCs w:val="28"/>
        </w:rPr>
        <w:t xml:space="preserve">. </w:t>
      </w:r>
      <w:r w:rsidR="00CC385A" w:rsidRPr="004860F7">
        <w:rPr>
          <w:rFonts w:ascii="Palatino Linotype" w:hAnsi="Palatino Linotype" w:cs="Arial"/>
          <w:sz w:val="24"/>
          <w:szCs w:val="24"/>
        </w:rPr>
        <w:t xml:space="preserve">Una vez abierta la etapa de instrucción, se advierte que el </w:t>
      </w:r>
      <w:r w:rsidR="00CC385A" w:rsidRPr="004860F7">
        <w:rPr>
          <w:rFonts w:ascii="Palatino Linotype" w:hAnsi="Palatino Linotype" w:cs="Arial"/>
          <w:b/>
          <w:sz w:val="24"/>
          <w:szCs w:val="24"/>
        </w:rPr>
        <w:t>Sujeto Obligado</w:t>
      </w:r>
      <w:r w:rsidR="00CC385A" w:rsidRPr="004860F7">
        <w:rPr>
          <w:rFonts w:ascii="Palatino Linotype" w:hAnsi="Palatino Linotype" w:cs="Arial"/>
          <w:sz w:val="24"/>
          <w:szCs w:val="24"/>
        </w:rPr>
        <w:t xml:space="preserve"> rindió su informe justificado por medio de</w:t>
      </w:r>
      <w:r w:rsidR="002F21D5">
        <w:rPr>
          <w:rFonts w:ascii="Palatino Linotype" w:hAnsi="Palatino Linotype" w:cs="Arial"/>
          <w:sz w:val="24"/>
          <w:szCs w:val="24"/>
        </w:rPr>
        <w:t xml:space="preserve"> </w:t>
      </w:r>
      <w:r w:rsidR="00524120">
        <w:rPr>
          <w:rFonts w:ascii="Palatino Linotype" w:hAnsi="Palatino Linotype" w:cs="Arial"/>
          <w:sz w:val="24"/>
          <w:szCs w:val="24"/>
        </w:rPr>
        <w:t>l</w:t>
      </w:r>
      <w:r w:rsidR="002F21D5">
        <w:rPr>
          <w:rFonts w:ascii="Palatino Linotype" w:hAnsi="Palatino Linotype" w:cs="Arial"/>
          <w:sz w:val="24"/>
          <w:szCs w:val="24"/>
        </w:rPr>
        <w:t xml:space="preserve">os </w:t>
      </w:r>
      <w:r w:rsidR="00CC385A" w:rsidRPr="004860F7">
        <w:rPr>
          <w:rFonts w:ascii="Palatino Linotype" w:hAnsi="Palatino Linotype" w:cs="Arial"/>
          <w:sz w:val="24"/>
          <w:szCs w:val="24"/>
        </w:rPr>
        <w:t>documento</w:t>
      </w:r>
      <w:r w:rsidR="002F21D5">
        <w:rPr>
          <w:rFonts w:ascii="Palatino Linotype" w:hAnsi="Palatino Linotype" w:cs="Arial"/>
          <w:sz w:val="24"/>
          <w:szCs w:val="24"/>
        </w:rPr>
        <w:t>s</w:t>
      </w:r>
      <w:r w:rsidR="00CC385A" w:rsidRPr="004860F7">
        <w:rPr>
          <w:rFonts w:ascii="Palatino Linotype" w:hAnsi="Palatino Linotype" w:cs="Arial"/>
          <w:sz w:val="24"/>
          <w:szCs w:val="24"/>
        </w:rPr>
        <w:t xml:space="preserve"> electrónico</w:t>
      </w:r>
      <w:r w:rsidR="002F21D5">
        <w:rPr>
          <w:rFonts w:ascii="Palatino Linotype" w:hAnsi="Palatino Linotype" w:cs="Arial"/>
          <w:sz w:val="24"/>
          <w:szCs w:val="24"/>
        </w:rPr>
        <w:t>s</w:t>
      </w:r>
      <w:r w:rsidR="00CC385A" w:rsidRPr="004860F7">
        <w:rPr>
          <w:rFonts w:ascii="Palatino Linotype" w:hAnsi="Palatino Linotype" w:cs="Arial"/>
          <w:sz w:val="24"/>
          <w:szCs w:val="24"/>
        </w:rPr>
        <w:t xml:space="preserve"> “</w:t>
      </w:r>
      <w:r w:rsidR="002F21D5" w:rsidRPr="002F21D5">
        <w:rPr>
          <w:rFonts w:ascii="Palatino Linotype" w:hAnsi="Palatino Linotype" w:cs="Arial"/>
          <w:b/>
          <w:i/>
          <w:sz w:val="24"/>
          <w:szCs w:val="24"/>
        </w:rPr>
        <w:t>Informe Just. RR-2720.pdf</w:t>
      </w:r>
      <w:r w:rsidR="002F21D5">
        <w:rPr>
          <w:rFonts w:ascii="Palatino Linotype" w:hAnsi="Palatino Linotype" w:cs="Arial"/>
          <w:b/>
          <w:i/>
          <w:sz w:val="24"/>
          <w:szCs w:val="24"/>
        </w:rPr>
        <w:t xml:space="preserve"> y </w:t>
      </w:r>
      <w:r w:rsidR="002F21D5" w:rsidRPr="002F21D5">
        <w:rPr>
          <w:rFonts w:ascii="Palatino Linotype" w:hAnsi="Palatino Linotype" w:cs="Arial"/>
          <w:b/>
          <w:i/>
          <w:sz w:val="24"/>
          <w:szCs w:val="24"/>
        </w:rPr>
        <w:t>ANEXO RR-2720.pdf</w:t>
      </w:r>
      <w:r w:rsidR="00CC385A" w:rsidRPr="004860F7">
        <w:rPr>
          <w:rFonts w:ascii="Palatino Linotype" w:hAnsi="Palatino Linotype" w:cs="Arial"/>
          <w:sz w:val="24"/>
          <w:szCs w:val="24"/>
        </w:rPr>
        <w:t xml:space="preserve">”, </w:t>
      </w:r>
      <w:r w:rsidR="00E934FB">
        <w:rPr>
          <w:rFonts w:ascii="Palatino Linotype" w:hAnsi="Palatino Linotype" w:cs="Arial"/>
          <w:sz w:val="24"/>
          <w:szCs w:val="24"/>
        </w:rPr>
        <w:t>que fue</w:t>
      </w:r>
      <w:r w:rsidR="002F21D5">
        <w:rPr>
          <w:rFonts w:ascii="Palatino Linotype" w:hAnsi="Palatino Linotype" w:cs="Arial"/>
          <w:sz w:val="24"/>
          <w:szCs w:val="24"/>
        </w:rPr>
        <w:t xml:space="preserve">ron </w:t>
      </w:r>
      <w:r w:rsidR="00CC385A" w:rsidRPr="004860F7">
        <w:rPr>
          <w:rFonts w:ascii="Palatino Linotype" w:hAnsi="Palatino Linotype" w:cs="Arial"/>
          <w:sz w:val="24"/>
          <w:szCs w:val="24"/>
        </w:rPr>
        <w:t>puesto</w:t>
      </w:r>
      <w:r w:rsidR="002F21D5">
        <w:rPr>
          <w:rFonts w:ascii="Palatino Linotype" w:hAnsi="Palatino Linotype" w:cs="Arial"/>
          <w:sz w:val="24"/>
          <w:szCs w:val="24"/>
        </w:rPr>
        <w:t>s</w:t>
      </w:r>
      <w:r w:rsidR="00CC385A" w:rsidRPr="004860F7">
        <w:rPr>
          <w:rFonts w:ascii="Palatino Linotype" w:hAnsi="Palatino Linotype" w:cs="Arial"/>
          <w:sz w:val="24"/>
          <w:szCs w:val="24"/>
        </w:rPr>
        <w:t xml:space="preserve"> a la vista de</w:t>
      </w:r>
      <w:r w:rsidR="00FC599C">
        <w:rPr>
          <w:rFonts w:ascii="Palatino Linotype" w:hAnsi="Palatino Linotype" w:cs="Arial"/>
          <w:sz w:val="24"/>
          <w:szCs w:val="24"/>
        </w:rPr>
        <w:t xml:space="preserve"> </w:t>
      </w:r>
      <w:r w:rsidR="00CC385A" w:rsidRPr="004860F7">
        <w:rPr>
          <w:rFonts w:ascii="Palatino Linotype" w:hAnsi="Palatino Linotype" w:cs="Arial"/>
          <w:sz w:val="24"/>
          <w:szCs w:val="24"/>
        </w:rPr>
        <w:t>l</w:t>
      </w:r>
      <w:r w:rsidR="00FC599C">
        <w:rPr>
          <w:rFonts w:ascii="Palatino Linotype" w:hAnsi="Palatino Linotype" w:cs="Arial"/>
          <w:sz w:val="24"/>
          <w:szCs w:val="24"/>
        </w:rPr>
        <w:t>a parte</w:t>
      </w:r>
      <w:r w:rsidR="00CC385A" w:rsidRPr="004860F7">
        <w:rPr>
          <w:rFonts w:ascii="Palatino Linotype" w:hAnsi="Palatino Linotype" w:cs="Arial"/>
          <w:sz w:val="24"/>
          <w:szCs w:val="24"/>
        </w:rPr>
        <w:t xml:space="preserve"> </w:t>
      </w:r>
      <w:r w:rsidR="00CC385A" w:rsidRPr="004860F7">
        <w:rPr>
          <w:rFonts w:ascii="Palatino Linotype" w:hAnsi="Palatino Linotype" w:cs="Arial"/>
          <w:b/>
          <w:sz w:val="24"/>
          <w:szCs w:val="24"/>
        </w:rPr>
        <w:t>Recurrente</w:t>
      </w:r>
      <w:r w:rsidR="00CC385A" w:rsidRPr="004860F7">
        <w:rPr>
          <w:rFonts w:ascii="Palatino Linotype" w:hAnsi="Palatino Linotype" w:cs="Arial"/>
          <w:sz w:val="24"/>
          <w:szCs w:val="24"/>
        </w:rPr>
        <w:t>, a efecto de que presentara las manifestaciones</w:t>
      </w:r>
      <w:r w:rsidR="00FC599C">
        <w:rPr>
          <w:rFonts w:ascii="Palatino Linotype" w:hAnsi="Palatino Linotype" w:cs="Arial"/>
          <w:sz w:val="24"/>
          <w:szCs w:val="24"/>
        </w:rPr>
        <w:t xml:space="preserve"> que a sus intereses conviniera. </w:t>
      </w:r>
    </w:p>
    <w:p w14:paraId="246E4FF9" w14:textId="77777777" w:rsidR="00CC385A" w:rsidRPr="004860F7" w:rsidRDefault="00CC385A" w:rsidP="003F661B">
      <w:pPr>
        <w:spacing w:after="0" w:line="360" w:lineRule="auto"/>
        <w:jc w:val="both"/>
        <w:rPr>
          <w:rFonts w:ascii="Palatino Linotype" w:hAnsi="Palatino Linotype" w:cs="Arial"/>
          <w:sz w:val="24"/>
          <w:szCs w:val="24"/>
        </w:rPr>
      </w:pPr>
    </w:p>
    <w:p w14:paraId="36FECA31" w14:textId="77777777" w:rsidR="00CC385A" w:rsidRDefault="00CC385A" w:rsidP="003F661B">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mismo se aprecia que</w:t>
      </w:r>
      <w:r w:rsidR="00FC599C">
        <w:rPr>
          <w:rFonts w:ascii="Palatino Linotype" w:hAnsi="Palatino Linotype" w:cs="Arial"/>
          <w:sz w:val="24"/>
          <w:szCs w:val="24"/>
        </w:rPr>
        <w:t xml:space="preserve">, </w:t>
      </w:r>
      <w:r w:rsidRPr="004860F7">
        <w:rPr>
          <w:rFonts w:ascii="Palatino Linotype" w:hAnsi="Palatino Linotype" w:cs="Arial"/>
          <w:sz w:val="24"/>
          <w:szCs w:val="24"/>
        </w:rPr>
        <w:t xml:space="preserve">no se llevaron a cabo audiencias durante la sustanciación del recurso de revisión, ni se ofrecieron pruebas por parte del hoy </w:t>
      </w:r>
      <w:r w:rsidRPr="004860F7">
        <w:rPr>
          <w:rFonts w:ascii="Palatino Linotype" w:hAnsi="Palatino Linotype" w:cs="Arial"/>
          <w:b/>
          <w:sz w:val="24"/>
          <w:szCs w:val="24"/>
        </w:rPr>
        <w:t>Recurrente</w:t>
      </w:r>
      <w:r w:rsidRPr="004860F7">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679F7F42" w14:textId="7AB0F725" w:rsidR="00596C7E" w:rsidRDefault="00596C7E" w:rsidP="003F661B">
      <w:pPr>
        <w:spacing w:after="0" w:line="360" w:lineRule="auto"/>
        <w:jc w:val="both"/>
        <w:rPr>
          <w:rFonts w:ascii="Palatino Linotype" w:hAnsi="Palatino Linotype" w:cs="Arial"/>
          <w:sz w:val="24"/>
          <w:szCs w:val="24"/>
        </w:rPr>
      </w:pPr>
    </w:p>
    <w:p w14:paraId="53ECBE70" w14:textId="15575E25" w:rsidR="002F21D5" w:rsidRDefault="002F21D5" w:rsidP="002F21D5">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Pr="004860F7">
        <w:rPr>
          <w:rFonts w:ascii="Palatino Linotype" w:hAnsi="Palatino Linotype" w:cs="Arial"/>
          <w:b/>
          <w:sz w:val="28"/>
          <w:szCs w:val="28"/>
        </w:rPr>
        <w:t xml:space="preserve">. </w:t>
      </w:r>
      <w:r w:rsidRPr="004860F7">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w:t>
      </w:r>
      <w:r w:rsidRPr="004860F7">
        <w:rPr>
          <w:rFonts w:ascii="Palatino Linotype" w:hAnsi="Palatino Linotype" w:cs="Arial"/>
          <w:sz w:val="24"/>
          <w:szCs w:val="24"/>
        </w:rPr>
        <w:lastRenderedPageBreak/>
        <w:t xml:space="preserve">prueba pendiente por desahogar, ni que documentos que integrar al expediente electrónico, se decretó el cierre de instrucción en fecha </w:t>
      </w:r>
      <w:r>
        <w:rPr>
          <w:rFonts w:ascii="Palatino Linotype" w:hAnsi="Palatino Linotype" w:cs="Arial"/>
          <w:sz w:val="24"/>
          <w:szCs w:val="24"/>
        </w:rPr>
        <w:t>tres de junio de dos mil veinticuatro</w:t>
      </w:r>
      <w:r w:rsidRPr="004860F7">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720640A6" w14:textId="74EB0408" w:rsidR="002F21D5" w:rsidRDefault="002F21D5" w:rsidP="003F661B">
      <w:pPr>
        <w:spacing w:after="0" w:line="360" w:lineRule="auto"/>
        <w:jc w:val="both"/>
        <w:rPr>
          <w:rFonts w:ascii="Palatino Linotype" w:hAnsi="Palatino Linotype" w:cs="Arial"/>
          <w:sz w:val="24"/>
          <w:szCs w:val="24"/>
        </w:rPr>
      </w:pPr>
    </w:p>
    <w:p w14:paraId="6CE1EF6D" w14:textId="69659BD2" w:rsidR="00CC385A" w:rsidRDefault="002F21D5" w:rsidP="003F661B">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sidR="00E934FB">
        <w:rPr>
          <w:rFonts w:ascii="Palatino Linotype" w:hAnsi="Palatino Linotype" w:cs="Arial"/>
          <w:b/>
          <w:sz w:val="28"/>
          <w:szCs w:val="28"/>
        </w:rPr>
        <w:t>.</w:t>
      </w:r>
      <w:r w:rsidR="00CC385A" w:rsidRPr="004860F7">
        <w:rPr>
          <w:rFonts w:ascii="Palatino Linotype" w:hAnsi="Palatino Linotype" w:cs="Arial"/>
          <w:sz w:val="24"/>
          <w:szCs w:val="24"/>
        </w:rPr>
        <w:t xml:space="preserve"> De las constancias que integran el expediente electrónico, se advierte que ha transcurrido el término de Ley, para la emisión de la resolución en el presente recurso de revisión, por lo que en fecha </w:t>
      </w:r>
      <w:r>
        <w:rPr>
          <w:rFonts w:ascii="Palatino Linotype" w:hAnsi="Palatino Linotype" w:cs="Arial"/>
          <w:sz w:val="24"/>
          <w:szCs w:val="24"/>
        </w:rPr>
        <w:t xml:space="preserve">uno de julio </w:t>
      </w:r>
      <w:r w:rsidR="00855B56">
        <w:rPr>
          <w:rFonts w:ascii="Palatino Linotype" w:hAnsi="Palatino Linotype" w:cs="Arial"/>
          <w:sz w:val="24"/>
          <w:szCs w:val="24"/>
        </w:rPr>
        <w:t>de dos mil veinticuatro</w:t>
      </w:r>
      <w:r w:rsidR="00CC385A" w:rsidRPr="004860F7">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2AB0A61" w14:textId="77777777" w:rsidR="001724A5" w:rsidRDefault="001724A5" w:rsidP="003F661B">
      <w:pPr>
        <w:spacing w:after="0" w:line="360" w:lineRule="auto"/>
        <w:jc w:val="both"/>
        <w:rPr>
          <w:rFonts w:ascii="Palatino Linotype" w:hAnsi="Palatino Linotype" w:cs="Arial"/>
          <w:sz w:val="24"/>
          <w:szCs w:val="24"/>
        </w:rPr>
      </w:pPr>
    </w:p>
    <w:p w14:paraId="66BA06B9" w14:textId="77777777" w:rsidR="00855B56" w:rsidRDefault="00855B56" w:rsidP="003F661B">
      <w:pPr>
        <w:spacing w:after="0" w:line="360" w:lineRule="auto"/>
        <w:ind w:right="49"/>
        <w:jc w:val="both"/>
        <w:rPr>
          <w:rFonts w:ascii="Palatino Linotype" w:eastAsia="Times New Roman" w:hAnsi="Palatino Linotype" w:cs="Arial"/>
          <w:sz w:val="24"/>
          <w:szCs w:val="24"/>
          <w:lang w:val="es-ES" w:eastAsia="es-ES"/>
        </w:rPr>
      </w:pPr>
      <w:r w:rsidRPr="00855B56">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9A0DF19"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7B9B672B" w14:textId="1B0CE303" w:rsid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 xml:space="preserve">Por ello, es menester precisar </w:t>
      </w:r>
      <w:r w:rsidR="00945CE3" w:rsidRPr="001724A5">
        <w:rPr>
          <w:rFonts w:ascii="Palatino Linotype" w:eastAsia="Times New Roman" w:hAnsi="Palatino Linotype" w:cs="Arial"/>
          <w:sz w:val="24"/>
          <w:szCs w:val="24"/>
          <w:lang w:val="es-ES" w:eastAsia="es-ES"/>
        </w:rPr>
        <w:t>que,</w:t>
      </w:r>
      <w:r w:rsidRPr="001724A5">
        <w:rPr>
          <w:rFonts w:ascii="Palatino Linotype" w:eastAsia="Times New Roman" w:hAnsi="Palatino Linotype" w:cs="Arial"/>
          <w:sz w:val="24"/>
          <w:szCs w:val="24"/>
          <w:lang w:val="es-ES" w:eastAsia="es-E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1724A5">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14:paraId="13D1D974" w14:textId="77777777" w:rsidR="00D74F73" w:rsidRPr="001724A5" w:rsidRDefault="00D74F73" w:rsidP="003F661B">
      <w:pPr>
        <w:spacing w:after="0" w:line="360" w:lineRule="auto"/>
        <w:ind w:right="49"/>
        <w:jc w:val="both"/>
        <w:rPr>
          <w:rFonts w:ascii="Palatino Linotype" w:eastAsia="Times New Roman" w:hAnsi="Palatino Linotype" w:cs="Arial"/>
          <w:sz w:val="24"/>
          <w:szCs w:val="24"/>
          <w:lang w:val="es-ES" w:eastAsia="es-ES"/>
        </w:rPr>
      </w:pPr>
    </w:p>
    <w:p w14:paraId="7490024A" w14:textId="77777777" w:rsid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B4D834" w14:textId="77777777" w:rsidR="00855B56" w:rsidRPr="001724A5" w:rsidRDefault="00855B56" w:rsidP="003F661B">
      <w:pPr>
        <w:spacing w:after="0" w:line="360" w:lineRule="auto"/>
        <w:ind w:right="49"/>
        <w:jc w:val="both"/>
        <w:rPr>
          <w:rFonts w:ascii="Palatino Linotype" w:eastAsia="Times New Roman" w:hAnsi="Palatino Linotype" w:cs="Arial"/>
          <w:sz w:val="24"/>
          <w:szCs w:val="24"/>
          <w:lang w:val="es-ES" w:eastAsia="es-ES"/>
        </w:rPr>
      </w:pPr>
    </w:p>
    <w:p w14:paraId="5BD71E87"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6BB0080"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2F0F1813"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atentos a los siguientes criterios:</w:t>
      </w:r>
    </w:p>
    <w:p w14:paraId="711B681E"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43763139" w14:textId="77777777" w:rsidR="001724A5" w:rsidRPr="001724A5" w:rsidRDefault="001724A5" w:rsidP="003F661B">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a) </w:t>
      </w:r>
      <w:r w:rsidRPr="001724A5">
        <w:rPr>
          <w:rFonts w:ascii="Palatino Linotype" w:eastAsia="Times New Roman" w:hAnsi="Palatino Linotype" w:cs="Arial"/>
          <w:b/>
          <w:sz w:val="24"/>
          <w:szCs w:val="24"/>
          <w:lang w:val="es-ES" w:eastAsia="es-ES"/>
        </w:rPr>
        <w:tab/>
        <w:t>Complejidad del asunto:</w:t>
      </w:r>
      <w:r w:rsidRPr="001724A5">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284B27F5" w14:textId="77777777" w:rsidR="001724A5" w:rsidRPr="001724A5" w:rsidRDefault="001724A5" w:rsidP="003F661B">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b) </w:t>
      </w:r>
      <w:r w:rsidRPr="001724A5">
        <w:rPr>
          <w:rFonts w:ascii="Palatino Linotype" w:eastAsia="Times New Roman" w:hAnsi="Palatino Linotype" w:cs="Arial"/>
          <w:b/>
          <w:sz w:val="24"/>
          <w:szCs w:val="24"/>
          <w:lang w:val="es-ES" w:eastAsia="es-ES"/>
        </w:rPr>
        <w:tab/>
        <w:t>Actividad Procesal del interesado:</w:t>
      </w:r>
      <w:r w:rsidRPr="001724A5">
        <w:rPr>
          <w:rFonts w:ascii="Palatino Linotype" w:eastAsia="Times New Roman" w:hAnsi="Palatino Linotype" w:cs="Arial"/>
          <w:sz w:val="24"/>
          <w:szCs w:val="24"/>
          <w:lang w:val="es-ES" w:eastAsia="es-ES"/>
        </w:rPr>
        <w:t xml:space="preserve"> Acciones u omisiones del interesado.</w:t>
      </w:r>
    </w:p>
    <w:p w14:paraId="6648AA15" w14:textId="77777777" w:rsidR="001724A5" w:rsidRPr="001724A5" w:rsidRDefault="001724A5" w:rsidP="003F661B">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c) </w:t>
      </w:r>
      <w:r w:rsidRPr="001724A5">
        <w:rPr>
          <w:rFonts w:ascii="Palatino Linotype" w:eastAsia="Times New Roman" w:hAnsi="Palatino Linotype" w:cs="Arial"/>
          <w:b/>
          <w:sz w:val="24"/>
          <w:szCs w:val="24"/>
          <w:lang w:val="es-ES" w:eastAsia="es-ES"/>
        </w:rPr>
        <w:tab/>
        <w:t>Conducta de la Autoridad:</w:t>
      </w:r>
      <w:r w:rsidRPr="001724A5">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CB1DDCB" w14:textId="77777777" w:rsidR="001724A5" w:rsidRPr="001724A5" w:rsidRDefault="001724A5" w:rsidP="003F661B">
      <w:pPr>
        <w:spacing w:after="0" w:line="360" w:lineRule="auto"/>
        <w:ind w:left="993" w:right="49" w:hanging="426"/>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b/>
          <w:sz w:val="24"/>
          <w:szCs w:val="24"/>
          <w:lang w:val="es-ES" w:eastAsia="es-ES"/>
        </w:rPr>
        <w:t xml:space="preserve">d) </w:t>
      </w:r>
      <w:r w:rsidRPr="001724A5">
        <w:rPr>
          <w:rFonts w:ascii="Palatino Linotype" w:eastAsia="Times New Roman" w:hAnsi="Palatino Linotype" w:cs="Arial"/>
          <w:b/>
          <w:sz w:val="24"/>
          <w:szCs w:val="24"/>
          <w:lang w:val="es-ES" w:eastAsia="es-ES"/>
        </w:rPr>
        <w:tab/>
        <w:t>La afectación generada en la situación jurídica de la persona involucrada en el proceso:</w:t>
      </w:r>
      <w:r w:rsidRPr="001724A5">
        <w:rPr>
          <w:rFonts w:ascii="Palatino Linotype" w:eastAsia="Times New Roman" w:hAnsi="Palatino Linotype" w:cs="Arial"/>
          <w:sz w:val="24"/>
          <w:szCs w:val="24"/>
          <w:lang w:val="es-ES" w:eastAsia="es-ES"/>
        </w:rPr>
        <w:t xml:space="preserve"> Violación a sus derechos humanos.</w:t>
      </w:r>
    </w:p>
    <w:p w14:paraId="0DBB66C4"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622F96"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76C88B25"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Argumento que encuentra sustento en la jurisprudencia P</w:t>
      </w:r>
      <w:proofErr w:type="gramStart"/>
      <w:r w:rsidRPr="001724A5">
        <w:rPr>
          <w:rFonts w:ascii="Palatino Linotype" w:eastAsia="Times New Roman" w:hAnsi="Palatino Linotype" w:cs="Arial"/>
          <w:sz w:val="24"/>
          <w:szCs w:val="24"/>
          <w:lang w:val="es-ES" w:eastAsia="es-ES"/>
        </w:rPr>
        <w:t>./</w:t>
      </w:r>
      <w:proofErr w:type="gramEnd"/>
      <w:r w:rsidRPr="001724A5">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68EFBBD"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365C275A"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F60079"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007CF7FB"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5541F960"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5F08C39F"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6E4597B4"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ED9D8A3" w14:textId="77777777" w:rsidR="001724A5" w:rsidRPr="001724A5" w:rsidRDefault="001724A5" w:rsidP="003F661B">
      <w:pPr>
        <w:spacing w:after="0" w:line="360" w:lineRule="auto"/>
        <w:ind w:right="49"/>
        <w:jc w:val="both"/>
        <w:rPr>
          <w:rFonts w:ascii="Palatino Linotype" w:eastAsia="Times New Roman" w:hAnsi="Palatino Linotype" w:cs="Arial"/>
          <w:sz w:val="24"/>
          <w:szCs w:val="24"/>
          <w:lang w:val="es-ES" w:eastAsia="es-ES"/>
        </w:rPr>
      </w:pPr>
    </w:p>
    <w:p w14:paraId="0658D5FC" w14:textId="77777777" w:rsidR="001724A5" w:rsidRDefault="001724A5" w:rsidP="003F661B">
      <w:pPr>
        <w:spacing w:after="0" w:line="360" w:lineRule="auto"/>
        <w:ind w:right="49"/>
        <w:jc w:val="both"/>
        <w:rPr>
          <w:rFonts w:ascii="Palatino Linotype" w:eastAsia="Times New Roman" w:hAnsi="Palatino Linotype" w:cs="Arial"/>
          <w:sz w:val="24"/>
          <w:szCs w:val="24"/>
          <w:lang w:val="es-ES" w:eastAsia="es-ES"/>
        </w:rPr>
      </w:pPr>
      <w:r w:rsidRPr="001724A5">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1915E643" w14:textId="77777777" w:rsidR="00F36454" w:rsidRDefault="00F36454" w:rsidP="003F661B">
      <w:pPr>
        <w:spacing w:after="0" w:line="360" w:lineRule="auto"/>
        <w:ind w:right="49"/>
        <w:jc w:val="both"/>
        <w:rPr>
          <w:rFonts w:ascii="Palatino Linotype" w:eastAsia="Times New Roman" w:hAnsi="Palatino Linotype" w:cs="Arial"/>
          <w:sz w:val="24"/>
          <w:szCs w:val="24"/>
          <w:lang w:val="es-ES" w:eastAsia="es-ES"/>
        </w:rPr>
      </w:pPr>
    </w:p>
    <w:p w14:paraId="2BF4AA52" w14:textId="77777777" w:rsidR="00CC385A" w:rsidRPr="004860F7" w:rsidRDefault="00CC385A" w:rsidP="003F661B">
      <w:pPr>
        <w:spacing w:after="0" w:line="360" w:lineRule="auto"/>
        <w:jc w:val="center"/>
        <w:rPr>
          <w:rFonts w:ascii="Palatino Linotype" w:hAnsi="Palatino Linotype" w:cs="Arial"/>
          <w:sz w:val="24"/>
          <w:szCs w:val="24"/>
        </w:rPr>
      </w:pPr>
      <w:r w:rsidRPr="004860F7">
        <w:rPr>
          <w:rFonts w:ascii="Palatino Linotype" w:hAnsi="Palatino Linotype" w:cs="Arial"/>
          <w:b/>
          <w:sz w:val="28"/>
          <w:szCs w:val="24"/>
        </w:rPr>
        <w:t xml:space="preserve">C O N S I D E R A N D O </w:t>
      </w:r>
    </w:p>
    <w:p w14:paraId="6436CD93" w14:textId="77777777" w:rsidR="00CC385A" w:rsidRPr="004860F7" w:rsidRDefault="00CC385A" w:rsidP="003F661B">
      <w:pPr>
        <w:spacing w:after="0" w:line="360" w:lineRule="auto"/>
        <w:jc w:val="center"/>
        <w:rPr>
          <w:rFonts w:ascii="Palatino Linotype" w:hAnsi="Palatino Linotype" w:cs="Arial"/>
          <w:sz w:val="24"/>
          <w:szCs w:val="24"/>
        </w:rPr>
      </w:pPr>
    </w:p>
    <w:p w14:paraId="25796CAD" w14:textId="77777777" w:rsidR="00CC385A" w:rsidRPr="004860F7" w:rsidRDefault="00CC385A" w:rsidP="003F661B">
      <w:pPr>
        <w:spacing w:after="0" w:line="360" w:lineRule="auto"/>
        <w:jc w:val="both"/>
        <w:rPr>
          <w:rFonts w:ascii="Palatino Linotype" w:hAnsi="Palatino Linotype" w:cs="Arial"/>
          <w:sz w:val="28"/>
          <w:szCs w:val="28"/>
        </w:rPr>
      </w:pPr>
      <w:r w:rsidRPr="004860F7">
        <w:rPr>
          <w:rFonts w:ascii="Palatino Linotype" w:hAnsi="Palatino Linotype" w:cs="Arial"/>
          <w:b/>
          <w:sz w:val="28"/>
          <w:szCs w:val="28"/>
        </w:rPr>
        <w:t xml:space="preserve">PRIMERO. </w:t>
      </w:r>
      <w:r w:rsidRPr="004860F7">
        <w:rPr>
          <w:rFonts w:ascii="Palatino Linotype" w:hAnsi="Palatino Linotype" w:cs="Arial"/>
          <w:b/>
          <w:sz w:val="26"/>
          <w:szCs w:val="26"/>
        </w:rPr>
        <w:t>De la competencia</w:t>
      </w:r>
      <w:r w:rsidRPr="004860F7">
        <w:rPr>
          <w:rFonts w:ascii="Palatino Linotype" w:hAnsi="Palatino Linotype" w:cs="Arial"/>
          <w:sz w:val="26"/>
          <w:szCs w:val="26"/>
        </w:rPr>
        <w:t>.</w:t>
      </w:r>
    </w:p>
    <w:p w14:paraId="3E4AEE62" w14:textId="77777777" w:rsidR="00D058A9" w:rsidRPr="00D058A9" w:rsidRDefault="00D058A9" w:rsidP="003F661B">
      <w:pPr>
        <w:spacing w:after="0" w:line="360" w:lineRule="auto"/>
        <w:jc w:val="both"/>
        <w:rPr>
          <w:rFonts w:ascii="Palatino Linotype" w:hAnsi="Palatino Linotype" w:cs="Arial"/>
          <w:sz w:val="24"/>
          <w:szCs w:val="24"/>
        </w:rPr>
      </w:pPr>
      <w:r w:rsidRPr="00D058A9">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855B56">
        <w:rPr>
          <w:rFonts w:ascii="Palatino Linotype" w:hAnsi="Palatino Linotype" w:cs="Arial"/>
          <w:sz w:val="24"/>
          <w:szCs w:val="24"/>
        </w:rPr>
        <w:t xml:space="preserve"> segundo</w:t>
      </w:r>
      <w:r w:rsidRPr="00D058A9">
        <w:rPr>
          <w:rFonts w:ascii="Palatino Linotype" w:hAnsi="Palatino Linotype" w:cs="Arial"/>
          <w:sz w:val="24"/>
          <w:szCs w:val="24"/>
        </w:rPr>
        <w:t xml:space="preserve">, trigésimo </w:t>
      </w:r>
      <w:r w:rsidR="00855B56">
        <w:rPr>
          <w:rFonts w:ascii="Palatino Linotype" w:hAnsi="Palatino Linotype" w:cs="Arial"/>
          <w:sz w:val="24"/>
          <w:szCs w:val="24"/>
        </w:rPr>
        <w:t>tercero</w:t>
      </w:r>
      <w:r w:rsidRPr="00D058A9">
        <w:rPr>
          <w:rFonts w:ascii="Palatino Linotype" w:hAnsi="Palatino Linotype" w:cs="Arial"/>
          <w:sz w:val="24"/>
          <w:szCs w:val="24"/>
        </w:rPr>
        <w:t xml:space="preserve"> y trigésimo </w:t>
      </w:r>
      <w:r w:rsidR="00855B56">
        <w:rPr>
          <w:rFonts w:ascii="Palatino Linotype" w:hAnsi="Palatino Linotype" w:cs="Arial"/>
          <w:sz w:val="24"/>
          <w:szCs w:val="24"/>
        </w:rPr>
        <w:t>cuarto</w:t>
      </w:r>
      <w:r w:rsidRPr="00D058A9">
        <w:rPr>
          <w:rFonts w:ascii="Palatino Linotype" w:hAnsi="Palatino Linotype" w:cs="Arial"/>
          <w:sz w:val="24"/>
          <w:szCs w:val="24"/>
        </w:rPr>
        <w:t xml:space="preserve">, </w:t>
      </w:r>
      <w:r w:rsidRPr="00D058A9">
        <w:rPr>
          <w:rFonts w:ascii="Palatino Linotype" w:hAnsi="Palatino Linotype" w:cs="Arial"/>
          <w:sz w:val="24"/>
          <w:szCs w:val="24"/>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BA7EEA8" w14:textId="77777777" w:rsidR="00596C7E" w:rsidRPr="004860F7" w:rsidRDefault="00596C7E" w:rsidP="003F661B">
      <w:pPr>
        <w:spacing w:after="0" w:line="360" w:lineRule="auto"/>
        <w:jc w:val="both"/>
        <w:rPr>
          <w:rFonts w:ascii="Palatino Linotype" w:hAnsi="Palatino Linotype" w:cs="Arial"/>
          <w:sz w:val="24"/>
          <w:szCs w:val="24"/>
        </w:rPr>
      </w:pPr>
    </w:p>
    <w:p w14:paraId="547B80B1" w14:textId="77777777" w:rsidR="00CC385A" w:rsidRPr="004860F7" w:rsidRDefault="00CC385A" w:rsidP="003F661B">
      <w:pPr>
        <w:autoSpaceDE w:val="0"/>
        <w:autoSpaceDN w:val="0"/>
        <w:adjustRightInd w:val="0"/>
        <w:spacing w:after="0" w:line="360" w:lineRule="auto"/>
        <w:jc w:val="both"/>
        <w:rPr>
          <w:rFonts w:ascii="Palatino Linotype" w:hAnsi="Palatino Linotype" w:cs="Arial"/>
          <w:b/>
          <w:sz w:val="28"/>
          <w:szCs w:val="28"/>
        </w:rPr>
      </w:pPr>
      <w:r w:rsidRPr="004860F7">
        <w:rPr>
          <w:rFonts w:ascii="Palatino Linotype" w:hAnsi="Palatino Linotype" w:cs="Arial"/>
          <w:b/>
          <w:sz w:val="28"/>
          <w:szCs w:val="28"/>
        </w:rPr>
        <w:t xml:space="preserve">SEGUNDO. </w:t>
      </w:r>
      <w:r w:rsidRPr="004860F7">
        <w:rPr>
          <w:rFonts w:ascii="Palatino Linotype" w:hAnsi="Palatino Linotype" w:cs="Arial"/>
          <w:b/>
          <w:sz w:val="26"/>
          <w:szCs w:val="26"/>
        </w:rPr>
        <w:t>Alcance del recurso de revisión.</w:t>
      </w:r>
      <w:r w:rsidRPr="004860F7">
        <w:rPr>
          <w:rFonts w:ascii="Palatino Linotype" w:hAnsi="Palatino Linotype" w:cs="Arial"/>
          <w:b/>
          <w:sz w:val="28"/>
          <w:szCs w:val="28"/>
        </w:rPr>
        <w:t xml:space="preserve"> </w:t>
      </w:r>
    </w:p>
    <w:p w14:paraId="2104E217" w14:textId="77777777" w:rsidR="00596C7E" w:rsidRDefault="00596C7E" w:rsidP="003F661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596C7E">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3625363" w14:textId="196A981C" w:rsidR="00F36454" w:rsidRDefault="00F36454" w:rsidP="003F661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5165355"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44879DCC"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21BD849C"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7E9524EB"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3AB639D1"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7BD4D6DF"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III</w:t>
      </w:r>
      <w:r w:rsidRPr="000227FF">
        <w:rPr>
          <w:rFonts w:ascii="Palatino Linotype" w:hAnsi="Palatino Linotype" w:cs="Arial"/>
          <w:i/>
          <w:szCs w:val="24"/>
        </w:rPr>
        <w:t xml:space="preserve">. El número de folio de respuesta de la solicitud de acceso; </w:t>
      </w:r>
    </w:p>
    <w:p w14:paraId="2F4421F3"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63D72158"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4F272467"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2BAC71C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11961B37"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469ED5BC"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Adicionalmente, se podrán anexar las pruebas y demás elementos que considere procedentes someter a juicio del Instituto. </w:t>
      </w:r>
    </w:p>
    <w:p w14:paraId="567A7572"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32F882B0"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2BA5F7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szCs w:val="24"/>
        </w:rPr>
      </w:pPr>
    </w:p>
    <w:p w14:paraId="42ED6E03" w14:textId="77777777" w:rsidR="002F21D5" w:rsidRPr="000227FF" w:rsidRDefault="002F21D5" w:rsidP="002F21D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29A246C1"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5181268A"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62B06076"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23717106"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w:t>
      </w:r>
      <w:r w:rsidRPr="000227FF">
        <w:rPr>
          <w:rFonts w:ascii="Palatino Linotype" w:hAnsi="Palatino Linotype" w:cs="Arial"/>
          <w:sz w:val="24"/>
          <w:szCs w:val="24"/>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5209CB12"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5CC04DD9"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587775A4"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79E8FF6C" w14:textId="77777777" w:rsidR="002F21D5" w:rsidRPr="000227FF" w:rsidRDefault="002F21D5" w:rsidP="002F21D5">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7A9BD32F" w14:textId="77777777" w:rsidR="002F21D5" w:rsidRPr="000227FF" w:rsidRDefault="002F21D5" w:rsidP="002F21D5">
      <w:pPr>
        <w:autoSpaceDE w:val="0"/>
        <w:autoSpaceDN w:val="0"/>
        <w:adjustRightInd w:val="0"/>
        <w:spacing w:after="0" w:line="240" w:lineRule="auto"/>
        <w:jc w:val="both"/>
        <w:rPr>
          <w:rFonts w:ascii="Palatino Linotype" w:hAnsi="Palatino Linotype" w:cs="Arial"/>
        </w:rPr>
      </w:pPr>
    </w:p>
    <w:p w14:paraId="4701A324"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4DC79A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9344394"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25114FEC"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2433CB55"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w:t>
      </w:r>
      <w:r w:rsidRPr="000227FF">
        <w:rPr>
          <w:rFonts w:ascii="Palatino Linotype" w:hAnsi="Palatino Linotype" w:cs="Arial"/>
          <w:i/>
          <w:szCs w:val="24"/>
        </w:rPr>
        <w:lastRenderedPageBreak/>
        <w:t>deberán documentar todo acto que derive del ejercicio de sus facultades, competencias o funciones, la ley determinará los supuestos específicos bajo los cuales procederá la declaración de inexistencia de la información.</w:t>
      </w:r>
    </w:p>
    <w:p w14:paraId="720C3100"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58C0C4E2"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764E03E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9F924D7"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6071742"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9141FEE"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4419EF50"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31FEA196"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p>
    <w:p w14:paraId="1089C2F3" w14:textId="77777777" w:rsidR="002F21D5" w:rsidRPr="000227FF" w:rsidRDefault="002F21D5" w:rsidP="002F21D5">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10089462"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p>
    <w:p w14:paraId="34313E9B"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603B9354"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688FE13E"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72C0FEA8"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0F66BE3"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3895E338"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3AA9A4"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0A8AF1A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lastRenderedPageBreak/>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F65CE9E" w14:textId="77777777" w:rsidR="002F21D5" w:rsidRPr="000227FF" w:rsidRDefault="002F21D5" w:rsidP="002F21D5">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4FB43E4B"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50C6943E" w14:textId="77777777" w:rsidR="002F21D5"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6D31F5EC"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30B4520D"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BC852E"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2B4E01FD"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AF1D4D"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5B03FD5F" w14:textId="77777777" w:rsidR="002F21D5"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31BFCA7"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23B87606"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76949879"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3DAA410F"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478EB3E4"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48980AB1"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0BDF127A"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2937/13. Interpuesto en contra de LICONSA, S.A. de C.V. Comisionado. Ponente Gerardo Laveaga Rendón.</w:t>
      </w:r>
    </w:p>
    <w:p w14:paraId="07D49490"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3609/12. Interpuesto en contra de la Secretaría de Educación Pública. Comisionada Ponente Sigrid </w:t>
      </w:r>
      <w:proofErr w:type="spellStart"/>
      <w:r w:rsidRPr="000227FF">
        <w:rPr>
          <w:rFonts w:ascii="Palatino Linotype" w:hAnsi="Palatino Linotype" w:cs="Arial"/>
          <w:i/>
          <w:sz w:val="20"/>
          <w:szCs w:val="24"/>
        </w:rPr>
        <w:t>Arzt</w:t>
      </w:r>
      <w:proofErr w:type="spellEnd"/>
      <w:r w:rsidRPr="000227FF">
        <w:rPr>
          <w:rFonts w:ascii="Palatino Linotype" w:hAnsi="Palatino Linotype" w:cs="Arial"/>
          <w:i/>
          <w:sz w:val="20"/>
          <w:szCs w:val="24"/>
        </w:rPr>
        <w:t xml:space="preserve"> Colunga.</w:t>
      </w:r>
    </w:p>
    <w:p w14:paraId="0153FB4F"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0DDCB282" w14:textId="77777777" w:rsidR="002F21D5" w:rsidRPr="000227FF" w:rsidRDefault="002F21D5" w:rsidP="002F21D5">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xml:space="preserve">• RDA 0563/12. Interpuesto en contra de la Secretaría de la Función Pública. Comisionada Ponente Jacqueline </w:t>
      </w:r>
      <w:proofErr w:type="spellStart"/>
      <w:r w:rsidRPr="000227FF">
        <w:rPr>
          <w:rFonts w:ascii="Palatino Linotype" w:hAnsi="Palatino Linotype" w:cs="Arial"/>
          <w:i/>
          <w:sz w:val="20"/>
          <w:szCs w:val="24"/>
        </w:rPr>
        <w:t>Peschard</w:t>
      </w:r>
      <w:proofErr w:type="spellEnd"/>
      <w:r w:rsidRPr="000227FF">
        <w:rPr>
          <w:rFonts w:ascii="Palatino Linotype" w:hAnsi="Palatino Linotype" w:cs="Arial"/>
          <w:i/>
          <w:sz w:val="20"/>
          <w:szCs w:val="24"/>
        </w:rPr>
        <w:t xml:space="preserve"> Mariscal.”</w:t>
      </w:r>
    </w:p>
    <w:p w14:paraId="66B8F087"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5FF06570"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24705B8C"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lastRenderedPageBreak/>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0574C5E1" w14:textId="77777777"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p>
    <w:p w14:paraId="6BD80F2B" w14:textId="77777777" w:rsidR="002F21D5"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5ACADAEE" w14:textId="77777777" w:rsidR="002F21D5" w:rsidRDefault="002F21D5" w:rsidP="002F21D5">
      <w:pPr>
        <w:autoSpaceDE w:val="0"/>
        <w:autoSpaceDN w:val="0"/>
        <w:adjustRightInd w:val="0"/>
        <w:spacing w:after="0" w:line="360" w:lineRule="auto"/>
        <w:jc w:val="both"/>
        <w:rPr>
          <w:rFonts w:ascii="Palatino Linotype" w:hAnsi="Palatino Linotype" w:cs="Arial"/>
          <w:sz w:val="24"/>
          <w:szCs w:val="24"/>
        </w:rPr>
      </w:pPr>
    </w:p>
    <w:p w14:paraId="333DD579" w14:textId="64B1A604" w:rsidR="002F21D5" w:rsidRPr="000227FF" w:rsidRDefault="002F21D5" w:rsidP="002F21D5">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0227FF">
        <w:rPr>
          <w:rFonts w:ascii="Palatino Linotype" w:hAnsi="Palatino Linotype" w:cs="Arial"/>
          <w:sz w:val="24"/>
          <w:szCs w:val="24"/>
        </w:rPr>
        <w:lastRenderedPageBreak/>
        <w:t>Recurrente, por lo que, en el presente caso al haber sido presentado el recurso de revisión vía SAIMEX, dicho requisito resulta innecesario.</w:t>
      </w:r>
    </w:p>
    <w:p w14:paraId="1475C514" w14:textId="77777777" w:rsidR="002F21D5" w:rsidRDefault="002F21D5" w:rsidP="003F661B">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E25DE4B" w14:textId="77777777" w:rsidR="001E3B90" w:rsidRPr="008739FE" w:rsidRDefault="001E3B90" w:rsidP="003F661B">
      <w:pPr>
        <w:spacing w:after="0" w:line="360" w:lineRule="auto"/>
        <w:jc w:val="both"/>
        <w:rPr>
          <w:rFonts w:ascii="Palatino Linotype" w:eastAsiaTheme="minorEastAsia" w:hAnsi="Palatino Linotype" w:cs="Arial"/>
          <w:b/>
          <w:sz w:val="28"/>
          <w:szCs w:val="28"/>
          <w:lang w:val="es-ES_tradnl" w:eastAsia="es-ES"/>
        </w:rPr>
      </w:pPr>
      <w:r w:rsidRPr="008739FE">
        <w:rPr>
          <w:rFonts w:ascii="Palatino Linotype" w:eastAsiaTheme="minorEastAsia" w:hAnsi="Palatino Linotype" w:cs="Arial"/>
          <w:b/>
          <w:sz w:val="28"/>
          <w:szCs w:val="28"/>
          <w:lang w:val="es-ES_tradnl" w:eastAsia="es-ES"/>
        </w:rPr>
        <w:t>TERCERO. Del estudio de las causas de improcedencia y sobreseimiento.</w:t>
      </w:r>
    </w:p>
    <w:p w14:paraId="0DCDE194" w14:textId="77777777" w:rsidR="001E3B90" w:rsidRPr="008739FE" w:rsidRDefault="001E3B90" w:rsidP="003F661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E53A7D5" w14:textId="77777777" w:rsidR="001E3B90" w:rsidRPr="008739FE" w:rsidRDefault="001E3B90" w:rsidP="003F661B">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5A5A71A4" w14:textId="77777777" w:rsidR="001E3B90" w:rsidRPr="008739FE" w:rsidRDefault="001E3B90" w:rsidP="003F661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5AC6838F" w14:textId="77777777" w:rsidR="001E3B90" w:rsidRPr="008739FE" w:rsidRDefault="001E3B90" w:rsidP="003F661B">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8739FE">
        <w:rPr>
          <w:rFonts w:ascii="Palatino Linotype" w:eastAsiaTheme="minorEastAsia" w:hAnsi="Palatino Linotype" w:cs="Arial"/>
          <w:i/>
          <w:szCs w:val="24"/>
          <w:lang w:val="es-ES_tradnl" w:eastAsia="es-ES"/>
        </w:rPr>
        <w:t>“</w:t>
      </w:r>
      <w:r w:rsidRPr="008739FE">
        <w:rPr>
          <w:rFonts w:ascii="Palatino Linotype" w:eastAsiaTheme="minorEastAsia" w:hAnsi="Palatino Linotype" w:cs="Arial"/>
          <w:b/>
          <w:i/>
          <w:szCs w:val="24"/>
          <w:lang w:val="es-ES_tradnl" w:eastAsia="es-ES"/>
        </w:rPr>
        <w:t>IMPROCEDENCIA, CAUSALES DE. EN EL JUICIO DE AMPARO.</w:t>
      </w:r>
      <w:r w:rsidRPr="008739FE">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0CB1DCC5" w14:textId="77777777" w:rsidR="001E3B90" w:rsidRPr="008739FE" w:rsidRDefault="001E3B90" w:rsidP="003F661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1E6F208C" w14:textId="77777777" w:rsidR="001E3B90" w:rsidRPr="008739FE" w:rsidRDefault="001E3B90" w:rsidP="003F661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adoptada en la ley de la materia, la cual permite dilucidar alguna causal que impida el </w:t>
      </w:r>
      <w:r w:rsidRPr="008739FE">
        <w:rPr>
          <w:rFonts w:ascii="Palatino Linotype" w:eastAsiaTheme="minorEastAsia" w:hAnsi="Palatino Linotype" w:cs="Arial"/>
          <w:sz w:val="24"/>
          <w:szCs w:val="24"/>
          <w:lang w:val="es-ES_tradnl" w:eastAsia="es-ES"/>
        </w:rPr>
        <w:lastRenderedPageBreak/>
        <w:t>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739FE">
        <w:rPr>
          <w:rFonts w:ascii="Palatino Linotype" w:eastAsiaTheme="minorEastAsia" w:hAnsi="Palatino Linotype" w:cs="Arial"/>
          <w:sz w:val="24"/>
          <w:szCs w:val="24"/>
          <w:vertAlign w:val="superscript"/>
          <w:lang w:val="es-ES_tradnl" w:eastAsia="es-ES"/>
        </w:rPr>
        <w:footnoteReference w:id="1"/>
      </w:r>
      <w:r w:rsidRPr="008739FE">
        <w:rPr>
          <w:rFonts w:ascii="Palatino Linotype" w:eastAsiaTheme="minorEastAsia" w:hAnsi="Palatino Linotype" w:cs="Arial"/>
          <w:sz w:val="24"/>
          <w:szCs w:val="24"/>
          <w:lang w:val="es-ES_tradnl" w:eastAsia="es-ES"/>
        </w:rPr>
        <w:t>.</w:t>
      </w:r>
    </w:p>
    <w:p w14:paraId="2840706E" w14:textId="77777777" w:rsidR="001E3B90" w:rsidRPr="008739FE" w:rsidRDefault="001E3B90" w:rsidP="003F661B">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B25F012" w14:textId="312A8832" w:rsidR="001E3B90" w:rsidRDefault="001E3B90" w:rsidP="003F661B">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47B7AC39" w14:textId="77777777" w:rsidR="00A41CDF" w:rsidRPr="008739FE" w:rsidRDefault="00A41CDF" w:rsidP="003F661B">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977C0A7" w14:textId="77777777" w:rsidR="001E3B90" w:rsidRPr="008739FE" w:rsidRDefault="001E3B90" w:rsidP="003F661B">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lastRenderedPageBreak/>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52267F8A" w14:textId="77777777" w:rsidR="001E3B90" w:rsidRPr="008739FE" w:rsidRDefault="001E3B90" w:rsidP="003F661B">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29F7A5CE" w14:textId="77777777" w:rsidR="001E3B90" w:rsidRPr="008739FE" w:rsidRDefault="001E3B90" w:rsidP="003F661B">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8739FE">
        <w:rPr>
          <w:rFonts w:ascii="Palatino Linotype" w:eastAsiaTheme="minorEastAsia" w:hAnsi="Palatino Linotype" w:cs="Arial"/>
          <w:b/>
          <w:sz w:val="24"/>
          <w:szCs w:val="24"/>
          <w:lang w:val="es-ES_tradnl" w:eastAsia="es-ES"/>
        </w:rPr>
        <w:t>Recurrente</w:t>
      </w:r>
      <w:r w:rsidRPr="008739FE">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1CA08D0E" w14:textId="77777777" w:rsidR="001E3B90" w:rsidRDefault="001E3B90" w:rsidP="003F661B">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565014EC" w14:textId="77777777" w:rsidR="007F1D25" w:rsidRPr="007F1D25" w:rsidRDefault="007F1D25" w:rsidP="003F66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1D25">
        <w:rPr>
          <w:rFonts w:ascii="Palatino Linotype" w:eastAsia="Times New Roman" w:hAnsi="Palatino Linotype" w:cs="Arial"/>
          <w:sz w:val="24"/>
          <w:szCs w:val="24"/>
          <w:lang w:val="es-ES" w:eastAsia="es-ES"/>
        </w:rPr>
        <w:t xml:space="preserve">Atentos a la redacción de la solicitud de información, se puede apreciar que la parte </w:t>
      </w:r>
      <w:r w:rsidRPr="007F1D25">
        <w:rPr>
          <w:rFonts w:ascii="Palatino Linotype" w:eastAsia="Times New Roman" w:hAnsi="Palatino Linotype" w:cs="Arial"/>
          <w:b/>
          <w:sz w:val="24"/>
          <w:szCs w:val="24"/>
          <w:lang w:val="es-ES" w:eastAsia="es-ES"/>
        </w:rPr>
        <w:t>Recurrente</w:t>
      </w:r>
      <w:r w:rsidRPr="007F1D25">
        <w:rPr>
          <w:rFonts w:ascii="Palatino Linotype" w:eastAsia="Times New Roman" w:hAnsi="Palatino Linotype" w:cs="Arial"/>
          <w:sz w:val="24"/>
          <w:szCs w:val="24"/>
          <w:lang w:val="es-ES" w:eastAsia="es-ES"/>
        </w:rPr>
        <w:t xml:space="preserve"> petici</w:t>
      </w:r>
      <w:r w:rsidR="00A800F8">
        <w:rPr>
          <w:rFonts w:ascii="Palatino Linotype" w:eastAsia="Times New Roman" w:hAnsi="Palatino Linotype" w:cs="Arial"/>
          <w:sz w:val="24"/>
          <w:szCs w:val="24"/>
          <w:lang w:val="es-ES" w:eastAsia="es-ES"/>
        </w:rPr>
        <w:t>ona</w:t>
      </w:r>
      <w:r w:rsidRPr="007F1D25">
        <w:rPr>
          <w:rFonts w:ascii="Palatino Linotype" w:eastAsia="Times New Roman" w:hAnsi="Palatino Linotype" w:cs="Arial"/>
          <w:sz w:val="24"/>
          <w:szCs w:val="24"/>
          <w:lang w:val="es-ES" w:eastAsia="es-ES"/>
        </w:rPr>
        <w:t xml:space="preserve"> lo siguiente:</w:t>
      </w:r>
    </w:p>
    <w:p w14:paraId="593F7C79" w14:textId="77777777" w:rsidR="00CC385A" w:rsidRPr="004860F7" w:rsidRDefault="00CC385A" w:rsidP="003F661B">
      <w:pPr>
        <w:spacing w:after="0" w:line="360" w:lineRule="auto"/>
        <w:jc w:val="both"/>
        <w:rPr>
          <w:rFonts w:ascii="Palatino Linotype" w:eastAsia="Times New Roman" w:hAnsi="Palatino Linotype" w:cs="Arial"/>
          <w:sz w:val="24"/>
          <w:szCs w:val="24"/>
          <w:lang w:val="es-ES" w:eastAsia="es-ES"/>
        </w:rPr>
      </w:pPr>
    </w:p>
    <w:p w14:paraId="3B851F9E" w14:textId="77777777" w:rsidR="00A41CDF" w:rsidRPr="00A41CDF" w:rsidRDefault="00A41CDF" w:rsidP="00A41CDF">
      <w:pPr>
        <w:pStyle w:val="Prrafodelista"/>
        <w:numPr>
          <w:ilvl w:val="0"/>
          <w:numId w:val="30"/>
        </w:numPr>
        <w:spacing w:line="360" w:lineRule="auto"/>
        <w:ind w:left="567"/>
        <w:jc w:val="both"/>
        <w:rPr>
          <w:rFonts w:ascii="Palatino Linotype" w:hAnsi="Palatino Linotype"/>
          <w:i/>
          <w:iCs/>
        </w:rPr>
      </w:pPr>
      <w:r w:rsidRPr="00A41CDF">
        <w:rPr>
          <w:rFonts w:ascii="Palatino Linotype" w:hAnsi="Palatino Linotype"/>
          <w:i/>
          <w:iCs/>
        </w:rPr>
        <w:t xml:space="preserve">Información respecto de adolescentes que su institución supervisó en la anualidad 2023 por los diversos criterios de medidas cautelares. </w:t>
      </w:r>
    </w:p>
    <w:p w14:paraId="73970685" w14:textId="22809FF4" w:rsidR="001E3B90" w:rsidRPr="00A41CDF" w:rsidRDefault="00A41CDF" w:rsidP="00A41CDF">
      <w:pPr>
        <w:pStyle w:val="Prrafodelista"/>
        <w:numPr>
          <w:ilvl w:val="0"/>
          <w:numId w:val="30"/>
        </w:numPr>
        <w:spacing w:line="360" w:lineRule="auto"/>
        <w:ind w:left="567"/>
        <w:jc w:val="both"/>
        <w:rPr>
          <w:rFonts w:ascii="Palatino Linotype" w:hAnsi="Palatino Linotype"/>
          <w:i/>
          <w:iCs/>
        </w:rPr>
      </w:pPr>
      <w:r w:rsidRPr="00A41CDF">
        <w:rPr>
          <w:rFonts w:ascii="Palatino Linotype" w:hAnsi="Palatino Linotype"/>
          <w:i/>
          <w:iCs/>
        </w:rPr>
        <w:t>Se adjuntan dos archivos por separado, no es duplicado, en relación a diversa solicitud anterior, se adjunta el segundo archivo faltante, para su pronta respuesta.</w:t>
      </w:r>
    </w:p>
    <w:p w14:paraId="03E210FC" w14:textId="497627F6" w:rsidR="00EC3AA1" w:rsidRDefault="00EC3AA1" w:rsidP="003F661B">
      <w:pPr>
        <w:spacing w:after="0" w:line="360" w:lineRule="auto"/>
        <w:jc w:val="both"/>
        <w:rPr>
          <w:rFonts w:ascii="Palatino Linotype" w:hAnsi="Palatino Linotype"/>
          <w:sz w:val="24"/>
          <w:szCs w:val="24"/>
        </w:rPr>
      </w:pPr>
    </w:p>
    <w:p w14:paraId="46E613A9" w14:textId="2810A6B5" w:rsidR="00A41CDF" w:rsidRDefault="00A41CDF" w:rsidP="00A41CDF">
      <w:pPr>
        <w:spacing w:after="0" w:line="360" w:lineRule="auto"/>
        <w:jc w:val="both"/>
        <w:rPr>
          <w:rFonts w:ascii="Palatino Linotype" w:eastAsia="Times New Roman" w:hAnsi="Palatino Linotype" w:cs="Times New Roman"/>
          <w:sz w:val="24"/>
          <w:szCs w:val="24"/>
          <w:lang w:val="es-ES_tradnl" w:eastAsia="es-ES"/>
        </w:rPr>
      </w:pPr>
      <w:r>
        <w:rPr>
          <w:rFonts w:ascii="Palatino Linotype" w:hAnsi="Palatino Linotype"/>
          <w:sz w:val="24"/>
          <w:szCs w:val="24"/>
        </w:rPr>
        <w:t xml:space="preserve">Ahora bien, como quedó señalado en el antecedente primero, </w:t>
      </w:r>
      <w:r w:rsidR="00D74764">
        <w:rPr>
          <w:rFonts w:ascii="Palatino Linotype" w:hAnsi="Palatino Linotype"/>
          <w:sz w:val="24"/>
          <w:szCs w:val="24"/>
        </w:rPr>
        <w:t xml:space="preserve">adjuntó el </w:t>
      </w:r>
      <w:r w:rsidR="00D74764">
        <w:rPr>
          <w:rFonts w:ascii="Palatino Linotype" w:eastAsia="Times New Roman" w:hAnsi="Palatino Linotype" w:cs="Times New Roman"/>
          <w:sz w:val="24"/>
          <w:szCs w:val="24"/>
          <w:lang w:val="es-ES_tradnl" w:eastAsia="es-ES"/>
        </w:rPr>
        <w:t xml:space="preserve">documento electrónico </w:t>
      </w:r>
      <w:r w:rsidR="00D74764">
        <w:rPr>
          <w:rFonts w:ascii="Palatino Linotype" w:eastAsia="Times New Roman" w:hAnsi="Palatino Linotype" w:cs="Times New Roman"/>
          <w:i/>
          <w:iCs/>
          <w:sz w:val="24"/>
          <w:szCs w:val="24"/>
          <w:lang w:val="es-ES_tradnl" w:eastAsia="es-ES"/>
        </w:rPr>
        <w:t>“</w:t>
      </w:r>
      <w:r w:rsidR="00D74764" w:rsidRPr="005323CE">
        <w:rPr>
          <w:rFonts w:ascii="Palatino Linotype" w:eastAsia="Times New Roman" w:hAnsi="Palatino Linotype" w:cs="Times New Roman"/>
          <w:b/>
          <w:bCs/>
          <w:i/>
          <w:iCs/>
          <w:sz w:val="24"/>
          <w:szCs w:val="24"/>
          <w:lang w:val="es-ES_tradnl" w:eastAsia="es-ES"/>
        </w:rPr>
        <w:t>Archivo1713324328144.xlsx</w:t>
      </w:r>
      <w:r w:rsidR="00D74764">
        <w:rPr>
          <w:rFonts w:ascii="Palatino Linotype" w:eastAsia="Times New Roman" w:hAnsi="Palatino Linotype" w:cs="Times New Roman"/>
          <w:i/>
          <w:iCs/>
          <w:sz w:val="24"/>
          <w:szCs w:val="24"/>
          <w:lang w:val="es-ES_tradnl" w:eastAsia="es-ES"/>
        </w:rPr>
        <w:t>”</w:t>
      </w:r>
      <w:r w:rsidR="00D74764">
        <w:rPr>
          <w:rFonts w:ascii="Palatino Linotype" w:eastAsia="Times New Roman" w:hAnsi="Palatino Linotype" w:cs="Times New Roman"/>
          <w:sz w:val="24"/>
          <w:szCs w:val="24"/>
          <w:lang w:val="es-ES_tradnl" w:eastAsia="es-ES"/>
        </w:rPr>
        <w:t xml:space="preserve">, consistente en un archivo de tipo Excel, que contiene una base de datos, en la cual el </w:t>
      </w:r>
      <w:r w:rsidR="00D74764" w:rsidRPr="000547A4">
        <w:rPr>
          <w:rFonts w:ascii="Palatino Linotype" w:eastAsia="Times New Roman" w:hAnsi="Palatino Linotype" w:cs="Times New Roman"/>
          <w:b/>
          <w:bCs/>
          <w:sz w:val="24"/>
          <w:szCs w:val="24"/>
          <w:lang w:val="es-ES_tradnl" w:eastAsia="es-ES"/>
        </w:rPr>
        <w:t>Sujeto Obligado</w:t>
      </w:r>
      <w:r w:rsidR="00D74764">
        <w:rPr>
          <w:rFonts w:ascii="Palatino Linotype" w:eastAsia="Times New Roman" w:hAnsi="Palatino Linotype" w:cs="Times New Roman"/>
          <w:sz w:val="24"/>
          <w:szCs w:val="24"/>
          <w:lang w:val="es-ES_tradnl" w:eastAsia="es-ES"/>
        </w:rPr>
        <w:t xml:space="preserve"> </w:t>
      </w:r>
      <w:r w:rsidR="00D74764" w:rsidRPr="000547A4">
        <w:rPr>
          <w:rFonts w:ascii="Palatino Linotype" w:eastAsia="Times New Roman" w:hAnsi="Palatino Linotype" w:cs="Times New Roman"/>
          <w:b/>
          <w:bCs/>
          <w:sz w:val="24"/>
          <w:szCs w:val="24"/>
          <w:lang w:val="es-ES_tradnl" w:eastAsia="es-ES"/>
        </w:rPr>
        <w:t>debe ingresar la información peticionada</w:t>
      </w:r>
      <w:r w:rsidR="00D74764">
        <w:rPr>
          <w:rFonts w:ascii="Palatino Linotype" w:eastAsia="Times New Roman" w:hAnsi="Palatino Linotype" w:cs="Times New Roman"/>
          <w:sz w:val="24"/>
          <w:szCs w:val="24"/>
          <w:lang w:val="es-ES_tradnl" w:eastAsia="es-ES"/>
        </w:rPr>
        <w:t>, se insertan las imágenes siguientes para pronta referencia:</w:t>
      </w:r>
    </w:p>
    <w:p w14:paraId="038D1FA0" w14:textId="77777777" w:rsidR="00A41CDF" w:rsidRDefault="00A41CDF" w:rsidP="00A41CDF">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lastRenderedPageBreak/>
        <w:drawing>
          <wp:inline distT="0" distB="0" distL="0" distR="0" wp14:anchorId="3B537A55" wp14:editId="0C88D9BC">
            <wp:extent cx="5760720" cy="1221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21740"/>
                    </a:xfrm>
                    <a:prstGeom prst="rect">
                      <a:avLst/>
                    </a:prstGeom>
                  </pic:spPr>
                </pic:pic>
              </a:graphicData>
            </a:graphic>
          </wp:inline>
        </w:drawing>
      </w:r>
    </w:p>
    <w:p w14:paraId="5802FFCF" w14:textId="77777777" w:rsidR="00A41CDF" w:rsidRDefault="00A41CDF" w:rsidP="00A41CDF">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drawing>
          <wp:inline distT="0" distB="0" distL="0" distR="0" wp14:anchorId="7915C661" wp14:editId="53686336">
            <wp:extent cx="5760720" cy="1045845"/>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045845"/>
                    </a:xfrm>
                    <a:prstGeom prst="rect">
                      <a:avLst/>
                    </a:prstGeom>
                  </pic:spPr>
                </pic:pic>
              </a:graphicData>
            </a:graphic>
          </wp:inline>
        </w:drawing>
      </w:r>
    </w:p>
    <w:p w14:paraId="061C9B5E" w14:textId="77777777" w:rsidR="00A41CDF" w:rsidRDefault="00A41CDF" w:rsidP="00A41CDF">
      <w:pPr>
        <w:spacing w:after="0" w:line="360" w:lineRule="auto"/>
        <w:jc w:val="center"/>
        <w:rPr>
          <w:rFonts w:ascii="Palatino Linotype" w:eastAsia="Times New Roman" w:hAnsi="Palatino Linotype" w:cs="Times New Roman"/>
          <w:sz w:val="24"/>
          <w:szCs w:val="24"/>
          <w:lang w:val="es-ES_tradnl" w:eastAsia="es-ES"/>
        </w:rPr>
      </w:pPr>
      <w:r w:rsidRPr="000547A4">
        <w:rPr>
          <w:rFonts w:ascii="Palatino Linotype" w:eastAsia="Times New Roman" w:hAnsi="Palatino Linotype" w:cs="Times New Roman"/>
          <w:noProof/>
          <w:sz w:val="24"/>
          <w:szCs w:val="24"/>
          <w:lang w:eastAsia="es-MX"/>
        </w:rPr>
        <w:drawing>
          <wp:inline distT="0" distB="0" distL="0" distR="0" wp14:anchorId="66B2DEB7" wp14:editId="7716F2FC">
            <wp:extent cx="5760720" cy="958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958850"/>
                    </a:xfrm>
                    <a:prstGeom prst="rect">
                      <a:avLst/>
                    </a:prstGeom>
                  </pic:spPr>
                </pic:pic>
              </a:graphicData>
            </a:graphic>
          </wp:inline>
        </w:drawing>
      </w:r>
    </w:p>
    <w:p w14:paraId="12811F98" w14:textId="77777777" w:rsidR="00A41CDF" w:rsidRPr="005323CE" w:rsidRDefault="00A41CDF" w:rsidP="00A41CDF">
      <w:pPr>
        <w:spacing w:after="0" w:line="360" w:lineRule="auto"/>
        <w:jc w:val="both"/>
        <w:rPr>
          <w:rFonts w:ascii="Palatino Linotype" w:eastAsia="Times New Roman" w:hAnsi="Palatino Linotype" w:cs="Times New Roman"/>
          <w:sz w:val="24"/>
          <w:szCs w:val="24"/>
          <w:lang w:val="es-ES_tradnl" w:eastAsia="es-ES"/>
        </w:rPr>
      </w:pPr>
    </w:p>
    <w:p w14:paraId="54E7D983" w14:textId="4F114D02" w:rsidR="00A41CDF" w:rsidRDefault="00D74764" w:rsidP="00D74764">
      <w:pPr>
        <w:spacing w:after="0" w:line="360" w:lineRule="auto"/>
        <w:ind w:right="334"/>
        <w:jc w:val="both"/>
        <w:rPr>
          <w:rFonts w:ascii="Palatino Linotype" w:hAnsi="Palatino Linotype"/>
          <w:sz w:val="24"/>
          <w:szCs w:val="24"/>
        </w:rPr>
      </w:pPr>
      <w:r>
        <w:rPr>
          <w:rFonts w:ascii="Palatino Linotype" w:hAnsi="Palatino Linotype"/>
          <w:sz w:val="24"/>
          <w:szCs w:val="24"/>
        </w:rPr>
        <w:t xml:space="preserve">El </w:t>
      </w:r>
      <w:r w:rsidRPr="00945CE3">
        <w:rPr>
          <w:rFonts w:ascii="Palatino Linotype" w:hAnsi="Palatino Linotype"/>
          <w:b/>
          <w:bCs/>
          <w:sz w:val="24"/>
          <w:szCs w:val="24"/>
        </w:rPr>
        <w:t>Sujeto Obligado</w:t>
      </w:r>
      <w:r>
        <w:rPr>
          <w:rFonts w:ascii="Palatino Linotype" w:hAnsi="Palatino Linotype"/>
          <w:sz w:val="24"/>
          <w:szCs w:val="24"/>
        </w:rPr>
        <w:t xml:space="preserve"> emitió respuesta por medio de los </w:t>
      </w:r>
      <w:r>
        <w:rPr>
          <w:rFonts w:ascii="Palatino Linotype" w:hAnsi="Palatino Linotype" w:cs="Arial"/>
          <w:sz w:val="24"/>
          <w:szCs w:val="24"/>
        </w:rPr>
        <w:t xml:space="preserve">documentos electrónicos </w:t>
      </w:r>
      <w:r>
        <w:rPr>
          <w:rFonts w:ascii="Palatino Linotype" w:hAnsi="Palatino Linotype" w:cs="Arial"/>
          <w:i/>
          <w:iCs/>
          <w:sz w:val="24"/>
          <w:szCs w:val="24"/>
        </w:rPr>
        <w:t>“</w:t>
      </w:r>
      <w:r w:rsidRPr="000547A4">
        <w:rPr>
          <w:rFonts w:ascii="Palatino Linotype" w:hAnsi="Palatino Linotype" w:cs="Arial"/>
          <w:b/>
          <w:bCs/>
          <w:i/>
          <w:iCs/>
          <w:sz w:val="24"/>
          <w:szCs w:val="24"/>
        </w:rPr>
        <w:t>Excel 236.xlsx</w:t>
      </w:r>
      <w:r>
        <w:rPr>
          <w:rFonts w:ascii="Palatino Linotype" w:hAnsi="Palatino Linotype" w:cs="Arial"/>
          <w:b/>
          <w:bCs/>
          <w:i/>
          <w:iCs/>
          <w:sz w:val="24"/>
          <w:szCs w:val="24"/>
        </w:rPr>
        <w:t xml:space="preserve">, </w:t>
      </w:r>
      <w:r w:rsidRPr="000547A4">
        <w:rPr>
          <w:rFonts w:ascii="Palatino Linotype" w:hAnsi="Palatino Linotype" w:cs="Arial"/>
          <w:b/>
          <w:bCs/>
          <w:i/>
          <w:iCs/>
          <w:sz w:val="24"/>
          <w:szCs w:val="24"/>
        </w:rPr>
        <w:t>Respuesta 236.pdf</w:t>
      </w:r>
      <w:r>
        <w:rPr>
          <w:rFonts w:ascii="Palatino Linotype" w:hAnsi="Palatino Linotype" w:cs="Arial"/>
          <w:b/>
          <w:bCs/>
          <w:i/>
          <w:iCs/>
          <w:sz w:val="24"/>
          <w:szCs w:val="24"/>
        </w:rPr>
        <w:t xml:space="preserve">, </w:t>
      </w:r>
      <w:r w:rsidRPr="000547A4">
        <w:rPr>
          <w:rFonts w:ascii="Palatino Linotype" w:hAnsi="Palatino Linotype" w:cs="Arial"/>
          <w:b/>
          <w:bCs/>
          <w:i/>
          <w:iCs/>
          <w:sz w:val="24"/>
          <w:szCs w:val="24"/>
        </w:rPr>
        <w:t>Anexo 1-236.pdf</w:t>
      </w:r>
      <w:r w:rsidRPr="000547A4">
        <w:rPr>
          <w:rFonts w:ascii="Palatino Linotype" w:hAnsi="Palatino Linotype" w:cs="Arial"/>
          <w:sz w:val="24"/>
          <w:szCs w:val="24"/>
        </w:rPr>
        <w:t xml:space="preserve"> y </w:t>
      </w:r>
      <w:r w:rsidRPr="000547A4">
        <w:rPr>
          <w:rFonts w:ascii="Palatino Linotype" w:hAnsi="Palatino Linotype" w:cs="Arial"/>
          <w:b/>
          <w:bCs/>
          <w:i/>
          <w:iCs/>
          <w:sz w:val="24"/>
          <w:szCs w:val="24"/>
        </w:rPr>
        <w:t>Anexo 2-236.pdf</w:t>
      </w:r>
      <w:r>
        <w:rPr>
          <w:rFonts w:ascii="Palatino Linotype" w:hAnsi="Palatino Linotype" w:cs="Arial"/>
          <w:i/>
          <w:iCs/>
          <w:sz w:val="24"/>
          <w:szCs w:val="24"/>
        </w:rPr>
        <w:t>”</w:t>
      </w:r>
      <w:r>
        <w:rPr>
          <w:rFonts w:ascii="Palatino Linotype" w:hAnsi="Palatino Linotype" w:cs="Arial"/>
          <w:sz w:val="24"/>
          <w:szCs w:val="24"/>
        </w:rPr>
        <w:t>, de los que se desprende el contenido siguiente:</w:t>
      </w:r>
    </w:p>
    <w:p w14:paraId="08894E2D" w14:textId="65C43358" w:rsidR="00A41CDF" w:rsidRDefault="00A41CDF" w:rsidP="003F661B">
      <w:pPr>
        <w:spacing w:after="0" w:line="360" w:lineRule="auto"/>
        <w:jc w:val="both"/>
        <w:rPr>
          <w:rFonts w:ascii="Palatino Linotype" w:hAnsi="Palatino Linotype"/>
          <w:sz w:val="24"/>
          <w:szCs w:val="24"/>
        </w:rPr>
      </w:pPr>
    </w:p>
    <w:p w14:paraId="32F2AD35" w14:textId="4D98A214" w:rsidR="00D74764" w:rsidRPr="00D74764" w:rsidRDefault="00D74764" w:rsidP="00D74764">
      <w:pPr>
        <w:pStyle w:val="Prrafodelista"/>
        <w:numPr>
          <w:ilvl w:val="0"/>
          <w:numId w:val="31"/>
        </w:numPr>
        <w:spacing w:line="360" w:lineRule="auto"/>
        <w:jc w:val="both"/>
        <w:rPr>
          <w:rFonts w:ascii="Palatino Linotype" w:hAnsi="Palatino Linotype"/>
        </w:rPr>
      </w:pPr>
      <w:r w:rsidRPr="00F96F93">
        <w:rPr>
          <w:rFonts w:ascii="Palatino Linotype" w:hAnsi="Palatino Linotype"/>
          <w:b/>
          <w:bCs/>
        </w:rPr>
        <w:t>Respuesta 236.pdf:</w:t>
      </w:r>
      <w:r>
        <w:rPr>
          <w:rFonts w:ascii="Palatino Linotype" w:hAnsi="Palatino Linotype"/>
        </w:rPr>
        <w:t xml:space="preserve"> oficio </w:t>
      </w:r>
      <w:r w:rsidR="009B7C12">
        <w:rPr>
          <w:rFonts w:ascii="Palatino Linotype" w:hAnsi="Palatino Linotype"/>
        </w:rPr>
        <w:t>sin número, del ocho de mayo de dos mil veinticuatro, remitido por la Jefa de la Unidad de Planeación, Programación y evaluación y Titular de la Unidad de Transparencia del Sujeto Obligado, al entonces Solicitante</w:t>
      </w:r>
      <w:r w:rsidR="00F96F93">
        <w:rPr>
          <w:rFonts w:ascii="Palatino Linotype" w:hAnsi="Palatino Linotype"/>
        </w:rPr>
        <w:t>, mediante el cual informó haber turnado los requerimientos de información a la Dirección General del Centro Estatal de Medidas Cautelares y a la Subsecretaría de Control Penitenciario, quienes emitieron respuestas, las cuales se adjuntan.</w:t>
      </w:r>
    </w:p>
    <w:p w14:paraId="0A1EA98C" w14:textId="1C86288B" w:rsidR="00D74764" w:rsidRDefault="00D74764" w:rsidP="003F661B">
      <w:pPr>
        <w:spacing w:after="0" w:line="360" w:lineRule="auto"/>
        <w:jc w:val="both"/>
        <w:rPr>
          <w:rFonts w:ascii="Palatino Linotype" w:hAnsi="Palatino Linotype"/>
          <w:sz w:val="24"/>
          <w:szCs w:val="24"/>
        </w:rPr>
      </w:pPr>
    </w:p>
    <w:p w14:paraId="1234C3DD" w14:textId="27DD6407" w:rsidR="000D1498" w:rsidRDefault="00D74764" w:rsidP="00D74764">
      <w:pPr>
        <w:pStyle w:val="Prrafodelista"/>
        <w:numPr>
          <w:ilvl w:val="0"/>
          <w:numId w:val="31"/>
        </w:numPr>
        <w:spacing w:line="360" w:lineRule="auto"/>
        <w:jc w:val="both"/>
        <w:rPr>
          <w:rFonts w:ascii="Palatino Linotype" w:hAnsi="Palatino Linotype"/>
        </w:rPr>
      </w:pPr>
      <w:r w:rsidRPr="00F96F93">
        <w:rPr>
          <w:rFonts w:ascii="Palatino Linotype" w:hAnsi="Palatino Linotype"/>
          <w:b/>
          <w:bCs/>
        </w:rPr>
        <w:lastRenderedPageBreak/>
        <w:t>Anexo 1-236.pdf:</w:t>
      </w:r>
      <w:r>
        <w:rPr>
          <w:rFonts w:ascii="Palatino Linotype" w:hAnsi="Palatino Linotype"/>
        </w:rPr>
        <w:t xml:space="preserve"> </w:t>
      </w:r>
      <w:r w:rsidR="00F96F93">
        <w:rPr>
          <w:rFonts w:ascii="Palatino Linotype" w:hAnsi="Palatino Linotype"/>
        </w:rPr>
        <w:t>oficio 20602</w:t>
      </w:r>
      <w:r w:rsidR="00F96F93" w:rsidRPr="00F96F93">
        <w:rPr>
          <w:rFonts w:ascii="Palatino Linotype" w:hAnsi="Palatino Linotype"/>
        </w:rPr>
        <w:t>000000000L</w:t>
      </w:r>
      <w:r w:rsidR="00F96F93">
        <w:rPr>
          <w:rFonts w:ascii="Palatino Linotype" w:hAnsi="Palatino Linotype"/>
        </w:rPr>
        <w:t xml:space="preserve">/SCP/001645/2024 del siete de mayo de dos mil veinticuatro, </w:t>
      </w:r>
      <w:r w:rsidR="0026554F">
        <w:rPr>
          <w:rFonts w:ascii="Palatino Linotype" w:hAnsi="Palatino Linotype"/>
        </w:rPr>
        <w:t>suscrito</w:t>
      </w:r>
      <w:r w:rsidR="00F96F93">
        <w:rPr>
          <w:rFonts w:ascii="Palatino Linotype" w:hAnsi="Palatino Linotype"/>
        </w:rPr>
        <w:t xml:space="preserve"> por el Subsecretario de Control Penitenciario</w:t>
      </w:r>
      <w:r w:rsidR="000D1498">
        <w:rPr>
          <w:rFonts w:ascii="Palatino Linotype" w:hAnsi="Palatino Linotype"/>
        </w:rPr>
        <w:t>, mediante el cual dio contestación a un cuestionario de 30 preguntas.</w:t>
      </w:r>
    </w:p>
    <w:p w14:paraId="4EA4A1E4" w14:textId="1CE3880A" w:rsidR="00D74764" w:rsidRDefault="00D74764" w:rsidP="003F661B">
      <w:pPr>
        <w:spacing w:after="0" w:line="360" w:lineRule="auto"/>
        <w:jc w:val="both"/>
        <w:rPr>
          <w:rFonts w:ascii="Palatino Linotype" w:hAnsi="Palatino Linotype"/>
          <w:sz w:val="24"/>
          <w:szCs w:val="24"/>
        </w:rPr>
      </w:pPr>
    </w:p>
    <w:p w14:paraId="5FE6A3CC" w14:textId="6F116699" w:rsidR="00D74764" w:rsidRPr="00D74764" w:rsidRDefault="00D74764" w:rsidP="00D74764">
      <w:pPr>
        <w:pStyle w:val="Prrafodelista"/>
        <w:numPr>
          <w:ilvl w:val="0"/>
          <w:numId w:val="31"/>
        </w:numPr>
        <w:spacing w:line="360" w:lineRule="auto"/>
        <w:jc w:val="both"/>
        <w:rPr>
          <w:rFonts w:ascii="Palatino Linotype" w:hAnsi="Palatino Linotype"/>
        </w:rPr>
      </w:pPr>
      <w:r w:rsidRPr="0026554F">
        <w:rPr>
          <w:rFonts w:ascii="Palatino Linotype" w:hAnsi="Palatino Linotype"/>
          <w:b/>
          <w:bCs/>
        </w:rPr>
        <w:t>Anexo 2-236.pdf:</w:t>
      </w:r>
      <w:r>
        <w:rPr>
          <w:rFonts w:ascii="Palatino Linotype" w:hAnsi="Palatino Linotype"/>
        </w:rPr>
        <w:t xml:space="preserve"> </w:t>
      </w:r>
      <w:r w:rsidR="0026554F">
        <w:rPr>
          <w:rFonts w:ascii="Palatino Linotype" w:hAnsi="Palatino Linotype"/>
        </w:rPr>
        <w:t xml:space="preserve">oficio </w:t>
      </w:r>
      <w:r w:rsidR="0026554F" w:rsidRPr="0026554F">
        <w:rPr>
          <w:rFonts w:ascii="Palatino Linotype" w:hAnsi="Palatino Linotype"/>
        </w:rPr>
        <w:t>20601005000000L/3588/2024</w:t>
      </w:r>
      <w:r w:rsidR="0026554F">
        <w:rPr>
          <w:rFonts w:ascii="Palatino Linotype" w:hAnsi="Palatino Linotype"/>
        </w:rPr>
        <w:t xml:space="preserve"> del veintitrés de abril de dos mil veinticuatro, suscrito por el Director General del Centro Estatal de Medidas Cautelares, mediante el cual dio contestación a un cuestionario.</w:t>
      </w:r>
    </w:p>
    <w:p w14:paraId="2033FD2D" w14:textId="77777777" w:rsidR="00D74764" w:rsidRDefault="00D74764" w:rsidP="003F661B">
      <w:pPr>
        <w:spacing w:after="0" w:line="360" w:lineRule="auto"/>
        <w:jc w:val="both"/>
        <w:rPr>
          <w:rFonts w:ascii="Palatino Linotype" w:hAnsi="Palatino Linotype"/>
          <w:sz w:val="24"/>
          <w:szCs w:val="24"/>
        </w:rPr>
      </w:pPr>
    </w:p>
    <w:p w14:paraId="226ED700" w14:textId="3D5087D7" w:rsidR="00D74764" w:rsidRPr="0026554F" w:rsidRDefault="00D74764" w:rsidP="00D74764">
      <w:pPr>
        <w:pStyle w:val="Prrafodelista"/>
        <w:numPr>
          <w:ilvl w:val="0"/>
          <w:numId w:val="31"/>
        </w:numPr>
        <w:spacing w:line="360" w:lineRule="auto"/>
        <w:jc w:val="both"/>
        <w:rPr>
          <w:rFonts w:ascii="Palatino Linotype" w:hAnsi="Palatino Linotype"/>
          <w:b/>
          <w:bCs/>
        </w:rPr>
      </w:pPr>
      <w:r w:rsidRPr="0026554F">
        <w:rPr>
          <w:rFonts w:ascii="Palatino Linotype" w:hAnsi="Palatino Linotype"/>
          <w:b/>
          <w:bCs/>
        </w:rPr>
        <w:t>Excel 236.xlsx:</w:t>
      </w:r>
      <w:r w:rsidRPr="0026554F">
        <w:rPr>
          <w:rFonts w:ascii="Palatino Linotype" w:hAnsi="Palatino Linotype"/>
        </w:rPr>
        <w:t xml:space="preserve"> </w:t>
      </w:r>
      <w:r w:rsidR="0026554F">
        <w:rPr>
          <w:rFonts w:ascii="Palatino Linotype" w:hAnsi="Palatino Linotype"/>
        </w:rPr>
        <w:t xml:space="preserve">Archivo de tipo Excel que contiene </w:t>
      </w:r>
      <w:r w:rsidR="003D39F5">
        <w:rPr>
          <w:rFonts w:ascii="Palatino Linotype" w:hAnsi="Palatino Linotype"/>
        </w:rPr>
        <w:t>diversas hojas de información, cada una correspondiente a los rubros requeridos en el documento Excel proporcionado por la parte Recurrente en la solicitud, se insertan las imágenes siguientes para referencia:</w:t>
      </w:r>
    </w:p>
    <w:p w14:paraId="5B4D4F02" w14:textId="557817B3" w:rsidR="00C74D58" w:rsidRDefault="00C74D58" w:rsidP="003F661B">
      <w:pPr>
        <w:spacing w:after="0" w:line="360" w:lineRule="auto"/>
        <w:jc w:val="both"/>
        <w:rPr>
          <w:rFonts w:ascii="Palatino Linotype" w:hAnsi="Palatino Linotype"/>
          <w:sz w:val="24"/>
          <w:szCs w:val="24"/>
        </w:rPr>
      </w:pPr>
    </w:p>
    <w:p w14:paraId="7B321619" w14:textId="1CC7EEF2" w:rsidR="003D39F5" w:rsidRDefault="003D39F5" w:rsidP="003D39F5">
      <w:pPr>
        <w:spacing w:after="0" w:line="360" w:lineRule="auto"/>
        <w:jc w:val="center"/>
        <w:rPr>
          <w:rFonts w:ascii="Palatino Linotype" w:hAnsi="Palatino Linotype"/>
          <w:sz w:val="24"/>
          <w:szCs w:val="24"/>
        </w:rPr>
      </w:pPr>
      <w:r w:rsidRPr="003D39F5">
        <w:rPr>
          <w:rFonts w:ascii="Palatino Linotype" w:hAnsi="Palatino Linotype"/>
          <w:noProof/>
          <w:sz w:val="24"/>
          <w:szCs w:val="24"/>
          <w:lang w:eastAsia="es-MX"/>
        </w:rPr>
        <w:drawing>
          <wp:inline distT="0" distB="0" distL="0" distR="0" wp14:anchorId="0EED9E9B" wp14:editId="41560B6E">
            <wp:extent cx="5268069" cy="2179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7909" cy="2196416"/>
                    </a:xfrm>
                    <a:prstGeom prst="rect">
                      <a:avLst/>
                    </a:prstGeom>
                  </pic:spPr>
                </pic:pic>
              </a:graphicData>
            </a:graphic>
          </wp:inline>
        </w:drawing>
      </w:r>
    </w:p>
    <w:p w14:paraId="3D2676C2" w14:textId="4E3AB90B" w:rsidR="003D39F5" w:rsidRDefault="003D39F5" w:rsidP="003D39F5">
      <w:pPr>
        <w:spacing w:after="0" w:line="360" w:lineRule="auto"/>
        <w:jc w:val="center"/>
        <w:rPr>
          <w:rFonts w:ascii="Palatino Linotype" w:hAnsi="Palatino Linotype"/>
          <w:sz w:val="24"/>
          <w:szCs w:val="24"/>
        </w:rPr>
      </w:pPr>
      <w:r w:rsidRPr="003D39F5">
        <w:rPr>
          <w:rFonts w:ascii="Palatino Linotype" w:hAnsi="Palatino Linotype"/>
          <w:noProof/>
          <w:sz w:val="24"/>
          <w:szCs w:val="24"/>
          <w:lang w:eastAsia="es-MX"/>
        </w:rPr>
        <w:lastRenderedPageBreak/>
        <w:drawing>
          <wp:inline distT="0" distB="0" distL="0" distR="0" wp14:anchorId="4A21DCFC" wp14:editId="06999D78">
            <wp:extent cx="3678072" cy="3176148"/>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6464" cy="3192031"/>
                    </a:xfrm>
                    <a:prstGeom prst="rect">
                      <a:avLst/>
                    </a:prstGeom>
                  </pic:spPr>
                </pic:pic>
              </a:graphicData>
            </a:graphic>
          </wp:inline>
        </w:drawing>
      </w:r>
    </w:p>
    <w:p w14:paraId="3DD9BA88" w14:textId="0FA39C65" w:rsidR="003D39F5" w:rsidRDefault="003D39F5" w:rsidP="003D39F5">
      <w:pPr>
        <w:spacing w:after="0" w:line="360" w:lineRule="auto"/>
        <w:jc w:val="center"/>
        <w:rPr>
          <w:rFonts w:ascii="Palatino Linotype" w:hAnsi="Palatino Linotype"/>
          <w:sz w:val="24"/>
          <w:szCs w:val="24"/>
        </w:rPr>
      </w:pPr>
      <w:r w:rsidRPr="003D39F5">
        <w:rPr>
          <w:rFonts w:ascii="Palatino Linotype" w:hAnsi="Palatino Linotype"/>
          <w:noProof/>
          <w:sz w:val="24"/>
          <w:szCs w:val="24"/>
          <w:lang w:eastAsia="es-MX"/>
        </w:rPr>
        <w:drawing>
          <wp:inline distT="0" distB="0" distL="0" distR="0" wp14:anchorId="12B39726" wp14:editId="6165F67D">
            <wp:extent cx="3944203" cy="236513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8407" cy="2373648"/>
                    </a:xfrm>
                    <a:prstGeom prst="rect">
                      <a:avLst/>
                    </a:prstGeom>
                  </pic:spPr>
                </pic:pic>
              </a:graphicData>
            </a:graphic>
          </wp:inline>
        </w:drawing>
      </w:r>
    </w:p>
    <w:p w14:paraId="0CD03768" w14:textId="2AEA5977" w:rsidR="003D39F5" w:rsidRDefault="003D39F5" w:rsidP="003F661B">
      <w:pPr>
        <w:spacing w:after="0" w:line="360" w:lineRule="auto"/>
        <w:jc w:val="both"/>
        <w:rPr>
          <w:rFonts w:ascii="Palatino Linotype" w:hAnsi="Palatino Linotype"/>
          <w:sz w:val="24"/>
          <w:szCs w:val="24"/>
        </w:rPr>
      </w:pPr>
    </w:p>
    <w:p w14:paraId="2FF47398" w14:textId="45ABA93D" w:rsidR="003D39F5"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Inconforme con la respuesta, la parte </w:t>
      </w:r>
      <w:r w:rsidRPr="003D39F5">
        <w:rPr>
          <w:rFonts w:ascii="Palatino Linotype" w:eastAsia="Times New Roman" w:hAnsi="Palatino Linotype" w:cs="Arial"/>
          <w:b/>
          <w:bCs/>
          <w:sz w:val="24"/>
          <w:szCs w:val="24"/>
          <w:lang w:val="es-ES" w:eastAsia="es-ES"/>
        </w:rPr>
        <w:t>Recurrente</w:t>
      </w:r>
      <w:r>
        <w:rPr>
          <w:rFonts w:ascii="Palatino Linotype" w:eastAsia="Times New Roman" w:hAnsi="Palatino Linotype" w:cs="Arial"/>
          <w:sz w:val="24"/>
          <w:szCs w:val="24"/>
          <w:lang w:val="es-ES" w:eastAsia="es-ES"/>
        </w:rPr>
        <w:t xml:space="preserve"> interpuso el recurso de revisión, el cual, </w:t>
      </w:r>
      <w:r w:rsidRPr="004860F7">
        <w:rPr>
          <w:rFonts w:ascii="Palatino Linotype" w:eastAsia="Times New Roman" w:hAnsi="Palatino Linotype" w:cs="Arial"/>
          <w:sz w:val="24"/>
          <w:szCs w:val="24"/>
          <w:lang w:val="es-ES" w:eastAsia="es-ES"/>
        </w:rPr>
        <w:t xml:space="preserve">al referirnos a los actos impugnados por </w:t>
      </w:r>
      <w:r>
        <w:rPr>
          <w:rFonts w:ascii="Palatino Linotype" w:eastAsia="Times New Roman" w:hAnsi="Palatino Linotype" w:cs="Arial"/>
          <w:sz w:val="24"/>
          <w:szCs w:val="24"/>
          <w:lang w:val="es-ES" w:eastAsia="es-ES"/>
        </w:rPr>
        <w:t>la parte</w:t>
      </w:r>
      <w:r w:rsidRPr="004860F7">
        <w:rPr>
          <w:rFonts w:ascii="Palatino Linotype" w:eastAsia="Times New Roman" w:hAnsi="Palatino Linotype" w:cs="Arial"/>
          <w:sz w:val="24"/>
          <w:szCs w:val="24"/>
          <w:lang w:val="es-ES" w:eastAsia="es-ES"/>
        </w:rPr>
        <w:t xml:space="preserve"> </w:t>
      </w:r>
      <w:r w:rsidRPr="004860F7">
        <w:rPr>
          <w:rFonts w:ascii="Palatino Linotype" w:eastAsia="Times New Roman" w:hAnsi="Palatino Linotype" w:cs="Arial"/>
          <w:b/>
          <w:sz w:val="24"/>
          <w:szCs w:val="24"/>
          <w:lang w:val="es-ES" w:eastAsia="es-ES"/>
        </w:rPr>
        <w:t>Recurrente</w:t>
      </w:r>
      <w:r w:rsidRPr="004860F7">
        <w:rPr>
          <w:rFonts w:ascii="Palatino Linotype" w:eastAsia="Times New Roman" w:hAnsi="Palatino Linotype" w:cs="Arial"/>
          <w:sz w:val="24"/>
          <w:szCs w:val="24"/>
          <w:lang w:val="es-ES" w:eastAsia="es-ES"/>
        </w:rPr>
        <w:t xml:space="preserve">, concatenados con los motivos o razones de inconformidad emitidos, se distingue que se adolece, </w:t>
      </w:r>
      <w:r>
        <w:rPr>
          <w:rFonts w:ascii="Palatino Linotype" w:eastAsia="Times New Roman" w:hAnsi="Palatino Linotype" w:cs="Arial"/>
          <w:sz w:val="24"/>
          <w:szCs w:val="24"/>
          <w:lang w:val="es-ES" w:eastAsia="es-ES"/>
        </w:rPr>
        <w:t>objetivamente de lo siguiente:</w:t>
      </w:r>
    </w:p>
    <w:p w14:paraId="500356D3" w14:textId="77777777" w:rsidR="003D39F5"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26B6DE" w14:textId="65224701" w:rsidR="003D39F5" w:rsidRPr="009E5E4A" w:rsidRDefault="003D39F5" w:rsidP="003D39F5">
      <w:pPr>
        <w:pStyle w:val="Prrafodelista"/>
        <w:numPr>
          <w:ilvl w:val="0"/>
          <w:numId w:val="32"/>
        </w:numPr>
        <w:autoSpaceDE w:val="0"/>
        <w:autoSpaceDN w:val="0"/>
        <w:adjustRightInd w:val="0"/>
        <w:spacing w:line="360" w:lineRule="auto"/>
        <w:jc w:val="both"/>
        <w:rPr>
          <w:rFonts w:ascii="Palatino Linotype" w:hAnsi="Palatino Linotype" w:cs="Arial"/>
        </w:rPr>
      </w:pPr>
      <w:r>
        <w:rPr>
          <w:rFonts w:ascii="Palatino Linotype" w:hAnsi="Palatino Linotype" w:cs="Arial"/>
          <w:i/>
          <w:iCs/>
        </w:rPr>
        <w:lastRenderedPageBreak/>
        <w:t>“…</w:t>
      </w:r>
      <w:r w:rsidRPr="003D39F5">
        <w:rPr>
          <w:rFonts w:ascii="Palatino Linotype" w:hAnsi="Palatino Linotype" w:cs="Arial"/>
          <w:i/>
          <w:iCs/>
        </w:rPr>
        <w:t xml:space="preserve">que para poder procesar a información, requerimos de su apoyo para que la información sea compartida en base a la solicitud del documento en </w:t>
      </w:r>
      <w:proofErr w:type="spellStart"/>
      <w:r w:rsidRPr="003D39F5">
        <w:rPr>
          <w:rFonts w:ascii="Palatino Linotype" w:hAnsi="Palatino Linotype" w:cs="Arial"/>
          <w:i/>
          <w:iCs/>
        </w:rPr>
        <w:t>excel</w:t>
      </w:r>
      <w:proofErr w:type="spellEnd"/>
      <w:r w:rsidRPr="003D39F5">
        <w:rPr>
          <w:rFonts w:ascii="Palatino Linotype" w:hAnsi="Palatino Linotype" w:cs="Arial"/>
          <w:i/>
          <w:iCs/>
        </w:rPr>
        <w:t xml:space="preserve"> </w:t>
      </w:r>
      <w:r>
        <w:rPr>
          <w:rFonts w:ascii="Palatino Linotype" w:hAnsi="Palatino Linotype" w:cs="Arial"/>
          <w:i/>
          <w:iCs/>
        </w:rPr>
        <w:t>…”</w:t>
      </w:r>
    </w:p>
    <w:p w14:paraId="1156ED43" w14:textId="77777777" w:rsidR="003D39F5"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D8CD13" w14:textId="6F0AD83D" w:rsidR="003D39F5" w:rsidRPr="009E5E4A"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11684">
        <w:rPr>
          <w:rFonts w:ascii="Palatino Linotype" w:eastAsia="Times New Roman" w:hAnsi="Palatino Linotype" w:cs="Arial"/>
          <w:b/>
          <w:bCs/>
          <w:sz w:val="24"/>
          <w:szCs w:val="24"/>
          <w:lang w:val="es-ES" w:eastAsia="es-ES"/>
        </w:rPr>
        <w:t>Manifestaciones que</w:t>
      </w:r>
      <w:r>
        <w:rPr>
          <w:rFonts w:ascii="Palatino Linotype" w:eastAsia="Times New Roman" w:hAnsi="Palatino Linotype" w:cs="Arial"/>
          <w:sz w:val="24"/>
          <w:szCs w:val="24"/>
          <w:lang w:val="es-ES" w:eastAsia="es-ES"/>
        </w:rPr>
        <w:t xml:space="preserve">, este Órgano Garante advierte </w:t>
      </w:r>
      <w:r w:rsidRPr="00B11684">
        <w:rPr>
          <w:rFonts w:ascii="Palatino Linotype" w:eastAsia="Times New Roman" w:hAnsi="Palatino Linotype" w:cs="Arial"/>
          <w:b/>
          <w:bCs/>
          <w:sz w:val="24"/>
          <w:szCs w:val="24"/>
          <w:lang w:val="es-ES" w:eastAsia="es-ES"/>
        </w:rPr>
        <w:t>no actualizan una causal de procedencia para la interposición del recurso de revisión</w:t>
      </w:r>
      <w:r>
        <w:rPr>
          <w:rFonts w:ascii="Palatino Linotype" w:eastAsia="Times New Roman" w:hAnsi="Palatino Linotype" w:cs="Arial"/>
          <w:sz w:val="24"/>
          <w:szCs w:val="24"/>
          <w:lang w:val="es-ES" w:eastAsia="es-ES"/>
        </w:rPr>
        <w:t xml:space="preserve">, por el contrario, </w:t>
      </w:r>
      <w:r w:rsidRPr="00B11684">
        <w:rPr>
          <w:rFonts w:ascii="Palatino Linotype" w:eastAsia="Times New Roman" w:hAnsi="Palatino Linotype" w:cs="Arial"/>
          <w:b/>
          <w:bCs/>
          <w:sz w:val="24"/>
          <w:szCs w:val="24"/>
          <w:lang w:val="es-ES" w:eastAsia="es-ES"/>
        </w:rPr>
        <w:t>actualizan la causal de improcedencia</w:t>
      </w:r>
      <w:r w:rsidRPr="009E5E4A">
        <w:rPr>
          <w:rFonts w:ascii="Palatino Linotype" w:eastAsia="Times New Roman" w:hAnsi="Palatino Linotype" w:cs="Arial"/>
          <w:sz w:val="24"/>
          <w:szCs w:val="24"/>
          <w:lang w:val="es-ES" w:eastAsia="es-ES"/>
        </w:rPr>
        <w:t xml:space="preserve"> establecida en el artículo 191, fracci</w:t>
      </w:r>
      <w:r>
        <w:rPr>
          <w:rFonts w:ascii="Palatino Linotype" w:eastAsia="Times New Roman" w:hAnsi="Palatino Linotype" w:cs="Arial"/>
          <w:sz w:val="24"/>
          <w:szCs w:val="24"/>
          <w:lang w:val="es-ES" w:eastAsia="es-ES"/>
        </w:rPr>
        <w:t xml:space="preserve">ón </w:t>
      </w:r>
      <w:r w:rsidRPr="009E5E4A">
        <w:rPr>
          <w:rFonts w:ascii="Palatino Linotype" w:eastAsia="Times New Roman" w:hAnsi="Palatino Linotype" w:cs="Arial"/>
          <w:sz w:val="24"/>
          <w:szCs w:val="24"/>
          <w:lang w:val="es-ES" w:eastAsia="es-ES"/>
        </w:rPr>
        <w:t>V</w:t>
      </w:r>
      <w:r>
        <w:rPr>
          <w:rFonts w:ascii="Palatino Linotype" w:eastAsia="Times New Roman" w:hAnsi="Palatino Linotype" w:cs="Arial"/>
          <w:sz w:val="24"/>
          <w:szCs w:val="24"/>
          <w:lang w:val="es-ES" w:eastAsia="es-ES"/>
        </w:rPr>
        <w:t>I</w:t>
      </w:r>
      <w:r w:rsidRPr="009E5E4A">
        <w:rPr>
          <w:rFonts w:ascii="Palatino Linotype" w:eastAsia="Times New Roman" w:hAnsi="Palatino Linotype" w:cs="Arial"/>
          <w:sz w:val="24"/>
          <w:szCs w:val="24"/>
          <w:lang w:val="es-ES" w:eastAsia="es-ES"/>
        </w:rPr>
        <w:t>, de la Ley de Transparencia y Acceso a la Información Pública del Estado de México y Municipios; que a la letra dice:</w:t>
      </w:r>
    </w:p>
    <w:p w14:paraId="6E403268" w14:textId="77777777" w:rsidR="003D39F5" w:rsidRPr="009E5E4A"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FDABE30" w14:textId="77777777" w:rsidR="003D39F5" w:rsidRPr="009E5E4A" w:rsidRDefault="003D39F5" w:rsidP="003D39F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r w:rsidRPr="009E5E4A">
        <w:rPr>
          <w:rFonts w:ascii="Palatino Linotype" w:eastAsia="Times New Roman" w:hAnsi="Palatino Linotype" w:cs="Arial"/>
          <w:b/>
          <w:bCs/>
          <w:i/>
          <w:iCs/>
          <w:lang w:val="es-ES" w:eastAsia="es-ES"/>
        </w:rPr>
        <w:t>Artículo 191.</w:t>
      </w:r>
      <w:r w:rsidRPr="009E5E4A">
        <w:rPr>
          <w:rFonts w:ascii="Palatino Linotype" w:eastAsia="Times New Roman" w:hAnsi="Palatino Linotype" w:cs="Arial"/>
          <w:i/>
          <w:iCs/>
          <w:lang w:val="es-ES" w:eastAsia="es-ES"/>
        </w:rPr>
        <w:t xml:space="preserve"> El recurso será desechado por improcedente cuando:</w:t>
      </w:r>
    </w:p>
    <w:p w14:paraId="75BEFB65" w14:textId="77777777" w:rsidR="003D39F5" w:rsidRPr="009E5E4A" w:rsidRDefault="003D39F5" w:rsidP="003D39F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p>
    <w:p w14:paraId="3ABF483B" w14:textId="1B560DC6" w:rsidR="003D39F5" w:rsidRPr="009E5E4A" w:rsidRDefault="003D39F5" w:rsidP="003D39F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B6428">
        <w:rPr>
          <w:rFonts w:ascii="Palatino Linotype" w:eastAsia="Times New Roman" w:hAnsi="Palatino Linotype" w:cs="Arial"/>
          <w:b/>
          <w:bCs/>
          <w:i/>
          <w:iCs/>
          <w:lang w:val="es-ES" w:eastAsia="es-ES"/>
        </w:rPr>
        <w:t>V</w:t>
      </w:r>
      <w:r>
        <w:rPr>
          <w:rFonts w:ascii="Palatino Linotype" w:eastAsia="Times New Roman" w:hAnsi="Palatino Linotype" w:cs="Arial"/>
          <w:b/>
          <w:bCs/>
          <w:i/>
          <w:iCs/>
          <w:lang w:val="es-ES" w:eastAsia="es-ES"/>
        </w:rPr>
        <w:t>I</w:t>
      </w:r>
      <w:r w:rsidRPr="003B6428">
        <w:rPr>
          <w:rFonts w:ascii="Palatino Linotype" w:eastAsia="Times New Roman" w:hAnsi="Palatino Linotype" w:cs="Arial"/>
          <w:b/>
          <w:bCs/>
          <w:i/>
          <w:iCs/>
          <w:lang w:val="es-ES" w:eastAsia="es-ES"/>
        </w:rPr>
        <w:t>.</w:t>
      </w:r>
      <w:r w:rsidRPr="009E5E4A">
        <w:rPr>
          <w:rFonts w:ascii="Palatino Linotype" w:eastAsia="Times New Roman" w:hAnsi="Palatino Linotype" w:cs="Arial"/>
          <w:i/>
          <w:iCs/>
          <w:lang w:val="es-ES" w:eastAsia="es-ES"/>
        </w:rPr>
        <w:t xml:space="preserve"> </w:t>
      </w:r>
      <w:r w:rsidRPr="003D39F5">
        <w:rPr>
          <w:rFonts w:ascii="Palatino Linotype" w:eastAsia="Times New Roman" w:hAnsi="Palatino Linotype" w:cs="Arial"/>
          <w:i/>
          <w:iCs/>
          <w:lang w:val="es-ES" w:eastAsia="es-ES"/>
        </w:rPr>
        <w:t>Se trate de una consulta, o trámite en específico; y</w:t>
      </w:r>
    </w:p>
    <w:p w14:paraId="5742C0B2" w14:textId="77777777" w:rsidR="003D39F5" w:rsidRPr="009E5E4A" w:rsidRDefault="003D39F5" w:rsidP="003D39F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E5E4A">
        <w:rPr>
          <w:rFonts w:ascii="Palatino Linotype" w:eastAsia="Times New Roman" w:hAnsi="Palatino Linotype" w:cs="Arial"/>
          <w:i/>
          <w:iCs/>
          <w:lang w:val="es-ES" w:eastAsia="es-ES"/>
        </w:rPr>
        <w:t>…</w:t>
      </w:r>
    </w:p>
    <w:p w14:paraId="36E74E85" w14:textId="77777777" w:rsidR="003D39F5" w:rsidRDefault="003D39F5" w:rsidP="003D39F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2BC26B2" w14:textId="77777777" w:rsidR="003D39F5" w:rsidRPr="00F06286" w:rsidRDefault="003D39F5" w:rsidP="003D39F5">
      <w:pPr>
        <w:spacing w:after="0" w:line="360" w:lineRule="auto"/>
        <w:jc w:val="both"/>
        <w:rPr>
          <w:rFonts w:ascii="Palatino Linotype" w:eastAsiaTheme="minorEastAsia" w:hAnsi="Palatino Linotype" w:cs="Arial"/>
          <w:sz w:val="24"/>
          <w:szCs w:val="24"/>
          <w:lang w:val="es-ES_tradnl" w:eastAsia="es-ES"/>
        </w:rPr>
      </w:pPr>
      <w:r w:rsidRPr="00F06286">
        <w:rPr>
          <w:rFonts w:ascii="Palatino Linotype" w:eastAsia="Calibri" w:hAnsi="Palatino Linotype" w:cs="Times New Roman"/>
          <w:sz w:val="24"/>
          <w:szCs w:val="24"/>
          <w:lang w:val="es-ES_tradnl" w:eastAsia="es-ES"/>
        </w:rPr>
        <w:t xml:space="preserve">En ese orden de ideas, </w:t>
      </w:r>
      <w:r w:rsidRPr="00F06286">
        <w:rPr>
          <w:rFonts w:ascii="Palatino Linotype" w:hAnsi="Palatino Linotype" w:cs="Arial"/>
          <w:sz w:val="24"/>
          <w:szCs w:val="24"/>
        </w:rPr>
        <w:t xml:space="preserve">podemos concluir que resulta de </w:t>
      </w:r>
      <w:r w:rsidRPr="00F06286">
        <w:rPr>
          <w:rFonts w:ascii="Palatino Linotype" w:eastAsiaTheme="minorEastAsia" w:hAnsi="Palatino Linotype" w:cs="Arial"/>
          <w:sz w:val="24"/>
          <w:szCs w:val="24"/>
          <w:lang w:val="es-ES_tradnl" w:eastAsia="es-ES"/>
        </w:rPr>
        <w:t xml:space="preserve">observancia lo consagrado en la fracción </w:t>
      </w:r>
      <w:r>
        <w:rPr>
          <w:rFonts w:ascii="Palatino Linotype" w:eastAsiaTheme="minorEastAsia" w:hAnsi="Palatino Linotype" w:cs="Arial"/>
          <w:sz w:val="24"/>
          <w:szCs w:val="24"/>
          <w:lang w:val="es-ES_tradnl" w:eastAsia="es-ES"/>
        </w:rPr>
        <w:t>IV</w:t>
      </w:r>
      <w:r w:rsidRPr="00F06286">
        <w:rPr>
          <w:rFonts w:ascii="Palatino Linotype" w:eastAsiaTheme="minorEastAsia" w:hAnsi="Palatino Linotype" w:cs="Arial"/>
          <w:sz w:val="24"/>
          <w:szCs w:val="24"/>
          <w:lang w:val="es-ES_tradnl" w:eastAsia="es-ES"/>
        </w:rPr>
        <w:t xml:space="preserve"> del artículo 192, de la Ley de Transparencia y Acceso a la Información Pública del Estado de México y Municipios</w:t>
      </w:r>
      <w:r w:rsidRPr="00F06286">
        <w:rPr>
          <w:rFonts w:ascii="Palatino Linotype" w:eastAsiaTheme="minorEastAsia" w:hAnsi="Palatino Linotype" w:cs="Arial"/>
          <w:b/>
          <w:sz w:val="24"/>
          <w:szCs w:val="24"/>
          <w:lang w:val="es-ES_tradnl" w:eastAsia="es-ES"/>
        </w:rPr>
        <w:t xml:space="preserve"> </w:t>
      </w:r>
      <w:r w:rsidRPr="00F06286">
        <w:rPr>
          <w:rFonts w:ascii="Palatino Linotype" w:eastAsiaTheme="minorEastAsia" w:hAnsi="Palatino Linotype" w:cs="Arial"/>
          <w:sz w:val="24"/>
          <w:szCs w:val="24"/>
          <w:lang w:val="es-ES_tradnl" w:eastAsia="es-ES"/>
        </w:rPr>
        <w:t>vigente, que a la letra señala:</w:t>
      </w:r>
    </w:p>
    <w:p w14:paraId="67256775" w14:textId="77777777" w:rsidR="003D39F5" w:rsidRPr="00F06286" w:rsidRDefault="003D39F5" w:rsidP="003D39F5">
      <w:pPr>
        <w:spacing w:after="0" w:line="360" w:lineRule="auto"/>
        <w:jc w:val="both"/>
        <w:rPr>
          <w:rFonts w:ascii="Palatino Linotype" w:eastAsia="Calibri" w:hAnsi="Palatino Linotype" w:cs="Times New Roman"/>
          <w:sz w:val="24"/>
          <w:szCs w:val="24"/>
          <w:lang w:val="es-ES_tradnl" w:eastAsia="es-ES"/>
        </w:rPr>
      </w:pPr>
    </w:p>
    <w:p w14:paraId="20FEE9D1" w14:textId="77777777" w:rsidR="003D39F5" w:rsidRPr="00F06286" w:rsidRDefault="003D39F5" w:rsidP="003D39F5">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06286">
        <w:rPr>
          <w:rFonts w:ascii="Palatino Linotype" w:eastAsiaTheme="minorEastAsia" w:hAnsi="Palatino Linotype" w:cs="Arial"/>
          <w:b/>
          <w:bCs/>
          <w:i/>
          <w:szCs w:val="24"/>
          <w:lang w:val="es-ES_tradnl" w:eastAsia="es-ES"/>
        </w:rPr>
        <w:t xml:space="preserve">“Artículo 192. </w:t>
      </w:r>
      <w:r w:rsidRPr="00F06286">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6E5CC97F" w14:textId="77777777" w:rsidR="003D39F5" w:rsidRPr="00F06286" w:rsidRDefault="003D39F5" w:rsidP="003D39F5">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bCs/>
          <w:i/>
          <w:szCs w:val="24"/>
          <w:lang w:val="es-ES" w:eastAsia="es-ES"/>
        </w:rPr>
        <w:t>(…)</w:t>
      </w:r>
    </w:p>
    <w:p w14:paraId="78AAED6B" w14:textId="77777777" w:rsidR="003D39F5" w:rsidRPr="00B11684" w:rsidRDefault="003D39F5" w:rsidP="003D39F5">
      <w:pPr>
        <w:autoSpaceDE w:val="0"/>
        <w:autoSpaceDN w:val="0"/>
        <w:adjustRightInd w:val="0"/>
        <w:spacing w:after="0" w:line="240" w:lineRule="auto"/>
        <w:ind w:left="567" w:right="567"/>
        <w:jc w:val="both"/>
        <w:rPr>
          <w:rFonts w:ascii="Palatino Linotype" w:eastAsiaTheme="minorEastAsia" w:hAnsi="Palatino Linotype" w:cs="Arial"/>
          <w:bCs/>
          <w:i/>
          <w:szCs w:val="24"/>
          <w:lang w:val="es-ES" w:eastAsia="es-ES"/>
        </w:rPr>
      </w:pPr>
      <w:r w:rsidRPr="00B11684">
        <w:rPr>
          <w:rFonts w:ascii="Palatino Linotype" w:eastAsiaTheme="minorEastAsia" w:hAnsi="Palatino Linotype" w:cs="Arial"/>
          <w:b/>
          <w:i/>
          <w:szCs w:val="24"/>
          <w:lang w:eastAsia="es-ES"/>
        </w:rPr>
        <w:t>IV.</w:t>
      </w:r>
      <w:r w:rsidRPr="00B11684">
        <w:rPr>
          <w:rFonts w:ascii="Palatino Linotype" w:eastAsiaTheme="minorEastAsia" w:hAnsi="Palatino Linotype" w:cs="Arial"/>
          <w:bCs/>
          <w:i/>
          <w:szCs w:val="24"/>
          <w:lang w:eastAsia="es-ES"/>
        </w:rPr>
        <w:t xml:space="preserve"> Admitido el recurso de revisión, aparezca alguna causal de improcedencia en los términos de la</w:t>
      </w:r>
      <w:r>
        <w:rPr>
          <w:rFonts w:ascii="Palatino Linotype" w:eastAsiaTheme="minorEastAsia" w:hAnsi="Palatino Linotype" w:cs="Arial"/>
          <w:bCs/>
          <w:i/>
          <w:szCs w:val="24"/>
          <w:lang w:eastAsia="es-ES"/>
        </w:rPr>
        <w:t xml:space="preserve"> </w:t>
      </w:r>
      <w:r w:rsidRPr="00B11684">
        <w:rPr>
          <w:rFonts w:ascii="Palatino Linotype" w:eastAsiaTheme="minorEastAsia" w:hAnsi="Palatino Linotype" w:cs="Arial"/>
          <w:bCs/>
          <w:i/>
          <w:szCs w:val="24"/>
          <w:lang w:eastAsia="es-ES"/>
        </w:rPr>
        <w:t>presente Ley; y</w:t>
      </w:r>
    </w:p>
    <w:p w14:paraId="50630B72" w14:textId="77777777" w:rsidR="003D39F5" w:rsidRPr="00F06286" w:rsidRDefault="003D39F5" w:rsidP="003D39F5">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F06286">
        <w:rPr>
          <w:rFonts w:ascii="Palatino Linotype" w:eastAsiaTheme="minorEastAsia" w:hAnsi="Palatino Linotype" w:cs="Arial"/>
          <w:i/>
          <w:szCs w:val="24"/>
          <w:lang w:val="es-ES" w:eastAsia="es-ES"/>
        </w:rPr>
        <w:t>(…)</w:t>
      </w:r>
    </w:p>
    <w:p w14:paraId="02BAEBB6" w14:textId="77777777" w:rsidR="003D39F5" w:rsidRPr="00F06286" w:rsidRDefault="003D39F5" w:rsidP="003D39F5">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F06286">
        <w:rPr>
          <w:rFonts w:ascii="Palatino Linotype" w:eastAsiaTheme="minorEastAsia" w:hAnsi="Palatino Linotype" w:cs="Arial"/>
          <w:szCs w:val="24"/>
          <w:lang w:val="es-ES" w:eastAsia="es-ES"/>
        </w:rPr>
        <w:t>(Énfasis añadido)</w:t>
      </w:r>
    </w:p>
    <w:p w14:paraId="57F149AE" w14:textId="77777777" w:rsidR="003D39F5" w:rsidRPr="00F06286" w:rsidRDefault="003D39F5" w:rsidP="003D39F5">
      <w:pPr>
        <w:spacing w:after="0" w:line="360" w:lineRule="auto"/>
        <w:jc w:val="both"/>
        <w:rPr>
          <w:rFonts w:ascii="Palatino Linotype" w:eastAsiaTheme="minorEastAsia" w:hAnsi="Palatino Linotype" w:cs="Times New Roman"/>
          <w:sz w:val="24"/>
          <w:szCs w:val="24"/>
          <w:lang w:val="es-ES" w:eastAsia="es-ES"/>
        </w:rPr>
      </w:pPr>
    </w:p>
    <w:p w14:paraId="741D66F3" w14:textId="4946DBC6" w:rsidR="003D39F5" w:rsidRDefault="003D39F5" w:rsidP="003D39F5">
      <w:pPr>
        <w:spacing w:after="0" w:line="360" w:lineRule="auto"/>
        <w:jc w:val="both"/>
        <w:rPr>
          <w:rFonts w:ascii="Palatino Linotype" w:eastAsia="Batang" w:hAnsi="Palatino Linotype" w:cs="Arial"/>
          <w:sz w:val="24"/>
          <w:szCs w:val="24"/>
          <w:lang w:val="es-ES_tradnl" w:eastAsia="es-ES"/>
        </w:rPr>
      </w:pPr>
      <w:r w:rsidRPr="00F06286">
        <w:rPr>
          <w:rFonts w:ascii="Palatino Linotype" w:eastAsiaTheme="minorEastAsia" w:hAnsi="Palatino Linotype" w:cs="Times New Roman"/>
          <w:sz w:val="24"/>
          <w:szCs w:val="24"/>
          <w:lang w:val="es-ES" w:eastAsia="es-ES"/>
        </w:rPr>
        <w:t xml:space="preserve">El citado precepto legal </w:t>
      </w:r>
      <w:r w:rsidRPr="00F06286">
        <w:rPr>
          <w:rFonts w:ascii="Palatino Linotype" w:eastAsia="Batang" w:hAnsi="Palatino Linotype" w:cs="Arial"/>
          <w:sz w:val="24"/>
          <w:szCs w:val="24"/>
          <w:lang w:val="es-ES_tradnl" w:eastAsia="es-ES"/>
        </w:rPr>
        <w:t xml:space="preserve">consagra la procedencia para sobreseer el recurso de revisión cuando una vez admitido, </w:t>
      </w:r>
      <w:r>
        <w:rPr>
          <w:rFonts w:ascii="Palatino Linotype" w:eastAsia="Batang" w:hAnsi="Palatino Linotype" w:cs="Arial"/>
          <w:sz w:val="24"/>
          <w:szCs w:val="24"/>
          <w:lang w:val="es-ES_tradnl" w:eastAsia="es-ES"/>
        </w:rPr>
        <w:t xml:space="preserve">aparezca una causal de improcedencia, </w:t>
      </w:r>
      <w:r w:rsidRPr="00F06286">
        <w:rPr>
          <w:rFonts w:ascii="Palatino Linotype" w:eastAsia="Batang" w:hAnsi="Palatino Linotype" w:cs="Arial"/>
          <w:sz w:val="24"/>
          <w:szCs w:val="24"/>
          <w:lang w:val="es-ES_tradnl" w:eastAsia="es-ES"/>
        </w:rPr>
        <w:t xml:space="preserve">circunstancias que </w:t>
      </w:r>
      <w:r>
        <w:rPr>
          <w:rFonts w:ascii="Palatino Linotype" w:eastAsia="Batang" w:hAnsi="Palatino Linotype" w:cs="Arial"/>
          <w:sz w:val="24"/>
          <w:szCs w:val="24"/>
          <w:lang w:val="es-ES_tradnl" w:eastAsia="es-ES"/>
        </w:rPr>
        <w:t>se actualizan conforme a lo siguiente:</w:t>
      </w:r>
    </w:p>
    <w:p w14:paraId="3E6A18D1" w14:textId="5F54855A" w:rsidR="003D39F5" w:rsidRPr="00A2099F" w:rsidRDefault="003D39F5" w:rsidP="003D39F5">
      <w:pPr>
        <w:spacing w:after="0" w:line="360" w:lineRule="auto"/>
        <w:jc w:val="both"/>
        <w:rPr>
          <w:rFonts w:ascii="Palatino Linotype" w:eastAsia="Batang" w:hAnsi="Palatino Linotype" w:cs="Arial"/>
          <w:sz w:val="24"/>
          <w:szCs w:val="24"/>
          <w:lang w:val="es-ES_tradnl" w:eastAsia="es-ES"/>
        </w:rPr>
      </w:pPr>
      <w:r>
        <w:rPr>
          <w:rFonts w:ascii="Palatino Linotype" w:eastAsia="Batang" w:hAnsi="Palatino Linotype" w:cs="Arial"/>
          <w:sz w:val="24"/>
          <w:szCs w:val="24"/>
          <w:lang w:val="es-ES_tradnl" w:eastAsia="es-ES"/>
        </w:rPr>
        <w:lastRenderedPageBreak/>
        <w:t xml:space="preserve">La solicitud de información de manera clara y precisa, </w:t>
      </w:r>
      <w:r w:rsidRPr="00945CE3">
        <w:rPr>
          <w:rFonts w:ascii="Palatino Linotype" w:eastAsia="Batang" w:hAnsi="Palatino Linotype" w:cs="Arial"/>
          <w:b/>
          <w:bCs/>
          <w:sz w:val="24"/>
          <w:szCs w:val="24"/>
          <w:lang w:val="es-ES_tradnl" w:eastAsia="es-ES"/>
        </w:rPr>
        <w:t>peticiona</w:t>
      </w:r>
      <w:r>
        <w:rPr>
          <w:rFonts w:ascii="Palatino Linotype" w:eastAsia="Batang" w:hAnsi="Palatino Linotype" w:cs="Arial"/>
          <w:sz w:val="24"/>
          <w:szCs w:val="24"/>
          <w:lang w:val="es-ES_tradnl" w:eastAsia="es-ES"/>
        </w:rPr>
        <w:t xml:space="preserve"> que el </w:t>
      </w:r>
      <w:r w:rsidRPr="00945CE3">
        <w:rPr>
          <w:rFonts w:ascii="Palatino Linotype" w:eastAsia="Batang" w:hAnsi="Palatino Linotype" w:cs="Arial"/>
          <w:sz w:val="24"/>
          <w:szCs w:val="24"/>
          <w:lang w:val="es-ES_tradnl" w:eastAsia="es-ES"/>
        </w:rPr>
        <w:t>Sujeto Obligado</w:t>
      </w:r>
      <w:r w:rsidR="00734E7E">
        <w:rPr>
          <w:rFonts w:ascii="Palatino Linotype" w:eastAsia="Batang" w:hAnsi="Palatino Linotype" w:cs="Arial"/>
          <w:sz w:val="24"/>
          <w:szCs w:val="24"/>
          <w:lang w:val="es-ES_tradnl" w:eastAsia="es-ES"/>
        </w:rPr>
        <w:t xml:space="preserve"> </w:t>
      </w:r>
      <w:r w:rsidR="00734E7E" w:rsidRPr="00945CE3">
        <w:rPr>
          <w:rFonts w:ascii="Palatino Linotype" w:eastAsia="Batang" w:hAnsi="Palatino Linotype" w:cs="Arial"/>
          <w:b/>
          <w:bCs/>
          <w:sz w:val="24"/>
          <w:szCs w:val="24"/>
          <w:lang w:val="es-ES_tradnl" w:eastAsia="es-ES"/>
        </w:rPr>
        <w:t>procese información y una vez que lo haya realizado dé contestación al cuestionario y llenado del documento Excel en cada uno de los rubros</w:t>
      </w:r>
      <w:r w:rsidR="00A2099F" w:rsidRPr="00945CE3">
        <w:rPr>
          <w:rFonts w:ascii="Palatino Linotype" w:eastAsia="Batang" w:hAnsi="Palatino Linotype" w:cs="Arial"/>
          <w:b/>
          <w:bCs/>
          <w:sz w:val="24"/>
          <w:szCs w:val="24"/>
          <w:lang w:val="es-ES_tradnl" w:eastAsia="es-ES"/>
        </w:rPr>
        <w:t xml:space="preserve"> correspondientes</w:t>
      </w:r>
      <w:r w:rsidR="00A2099F">
        <w:rPr>
          <w:rFonts w:ascii="Palatino Linotype" w:eastAsia="Batang" w:hAnsi="Palatino Linotype" w:cs="Arial"/>
          <w:sz w:val="24"/>
          <w:szCs w:val="24"/>
          <w:lang w:val="es-ES_tradnl" w:eastAsia="es-ES"/>
        </w:rPr>
        <w:t xml:space="preserve">, lo cual se corrobora con los motivos de inconformidad, al versar en el sentido de </w:t>
      </w:r>
      <w:r w:rsidR="00A2099F">
        <w:rPr>
          <w:rFonts w:ascii="Palatino Linotype" w:eastAsia="Batang" w:hAnsi="Palatino Linotype" w:cs="Arial"/>
          <w:b/>
          <w:bCs/>
          <w:sz w:val="24"/>
          <w:szCs w:val="24"/>
          <w:lang w:val="es-ES_tradnl" w:eastAsia="es-ES"/>
        </w:rPr>
        <w:t>peticionar que la información sea compartida en el ya referido documento Excel.</w:t>
      </w:r>
    </w:p>
    <w:p w14:paraId="4349A2A5" w14:textId="7AF17665" w:rsidR="003D39F5" w:rsidRDefault="003D39F5" w:rsidP="003D39F5">
      <w:pPr>
        <w:spacing w:after="0" w:line="360" w:lineRule="auto"/>
        <w:jc w:val="both"/>
        <w:rPr>
          <w:rFonts w:ascii="Palatino Linotype" w:eastAsia="Batang" w:hAnsi="Palatino Linotype" w:cs="Arial"/>
          <w:sz w:val="24"/>
          <w:szCs w:val="24"/>
          <w:lang w:val="es-ES_tradnl" w:eastAsia="es-ES"/>
        </w:rPr>
      </w:pPr>
    </w:p>
    <w:p w14:paraId="4FEA1D59" w14:textId="2CCB8D7A"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En ese tenor, cabe aclarar que cuando los planteamientos que formulen los particulares se pueda</w:t>
      </w:r>
      <w:r w:rsidR="003F132E">
        <w:rPr>
          <w:rFonts w:ascii="Palatino Linotype" w:eastAsia="Batang" w:hAnsi="Palatino Linotype" w:cs="Arial"/>
          <w:sz w:val="24"/>
          <w:szCs w:val="24"/>
          <w:lang w:val="es-ES_tradnl" w:eastAsia="es-ES"/>
        </w:rPr>
        <w:t>n</w:t>
      </w:r>
      <w:r w:rsidRPr="00A2099F">
        <w:rPr>
          <w:rFonts w:ascii="Palatino Linotype" w:eastAsia="Batang" w:hAnsi="Palatino Linotype" w:cs="Arial"/>
          <w:sz w:val="24"/>
          <w:szCs w:val="24"/>
          <w:lang w:val="es-ES_tradnl" w:eastAsia="es-ES"/>
        </w:rPr>
        <w:t xml:space="preserve">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6A49D05E" w14:textId="77777777" w:rsidR="003F132E" w:rsidRPr="00A2099F" w:rsidRDefault="003F132E" w:rsidP="00A2099F">
      <w:pPr>
        <w:spacing w:after="0" w:line="360" w:lineRule="auto"/>
        <w:jc w:val="both"/>
        <w:rPr>
          <w:rFonts w:ascii="Palatino Linotype" w:eastAsia="Batang" w:hAnsi="Palatino Linotype" w:cs="Arial"/>
          <w:sz w:val="24"/>
          <w:szCs w:val="24"/>
          <w:lang w:val="es-ES_tradnl" w:eastAsia="es-ES"/>
        </w:rPr>
      </w:pPr>
    </w:p>
    <w:p w14:paraId="6374B3A0"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3CA8D083" w14:textId="64539ED0"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lastRenderedPageBreak/>
        <w:t>“</w:t>
      </w:r>
      <w:r w:rsidRPr="003F132E">
        <w:rPr>
          <w:rFonts w:ascii="Palatino Linotype" w:eastAsia="Batang" w:hAnsi="Palatino Linotype" w:cs="Arial"/>
          <w:b/>
          <w:bCs/>
          <w:i/>
          <w:iCs/>
          <w:lang w:val="es-ES_tradnl" w:eastAsia="es-ES"/>
        </w:rPr>
        <w:t>CUANDO EN UNA SOLICITUD DE INFORMACIÓN NO SE IDENTIFIQUE UN DOCUMENTO EN ESPECÍFICO, SI ÉSTA TIENE UNA EXPRESIÓN DOCUMENTAL, EL SUJETO OBLIGADO DEBERÁ ENTREGAR AL PARTICULAR EL DOCUMENTO EN ESPECÍFICO</w:t>
      </w:r>
      <w:r w:rsidRPr="003F132E">
        <w:rPr>
          <w:rFonts w:ascii="Palatino Linotype" w:eastAsia="Batang" w:hAnsi="Palatino Linotype" w:cs="Arial"/>
          <w:i/>
          <w:iCs/>
          <w:lang w:val="es-ES_tradnl" w:eastAsia="es-ES"/>
        </w:rPr>
        <w:t>.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 (Sic)</w:t>
      </w:r>
    </w:p>
    <w:p w14:paraId="33540A75"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3A21EE51"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Así, con apego a lo dispuesto en el artículo 9 fracciones IV y VI de la Ley de Transparencia estatal, este Instituto debe actuar apegado a los principios de imparcialidad y legalidad; el primero de ellos consistente en una cualidad para que las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42C05BAA"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6889521C"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De lo anterior, 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771FF5B4"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2021EC0F" w14:textId="1517E2E9"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lastRenderedPageBreak/>
        <w:t xml:space="preserve">Por tanto, se debe precisar que </w:t>
      </w:r>
      <w:r w:rsidRPr="003F132E">
        <w:rPr>
          <w:rFonts w:ascii="Palatino Linotype" w:eastAsia="Batang" w:hAnsi="Palatino Linotype" w:cs="Arial"/>
          <w:b/>
          <w:bCs/>
          <w:sz w:val="24"/>
          <w:szCs w:val="24"/>
          <w:lang w:val="es-ES_tradnl" w:eastAsia="es-ES"/>
        </w:rPr>
        <w:t>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A2099F">
        <w:rPr>
          <w:rFonts w:ascii="Palatino Linotype" w:eastAsia="Batang" w:hAnsi="Palatino Linotype" w:cs="Arial"/>
          <w:sz w:val="24"/>
          <w:szCs w:val="24"/>
          <w:lang w:val="es-ES_tradnl" w:eastAsia="es-ES"/>
        </w:rPr>
        <w:t xml:space="preserve">. </w:t>
      </w:r>
    </w:p>
    <w:p w14:paraId="5069C40E"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0493274E" w14:textId="2DF34423"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Lo anterior con fundamento en lo establecido por el artículo 6 apartado A fracciones I, II y III de la Constitución Política de los Estados Unidos Mexicanos que a la letra señala lo siguiente:</w:t>
      </w:r>
    </w:p>
    <w:p w14:paraId="6889BEEA" w14:textId="77777777" w:rsidR="003F132E" w:rsidRPr="00A2099F" w:rsidRDefault="003F132E" w:rsidP="00A2099F">
      <w:pPr>
        <w:spacing w:after="0" w:line="360" w:lineRule="auto"/>
        <w:jc w:val="both"/>
        <w:rPr>
          <w:rFonts w:ascii="Palatino Linotype" w:eastAsia="Batang" w:hAnsi="Palatino Linotype" w:cs="Arial"/>
          <w:sz w:val="24"/>
          <w:szCs w:val="24"/>
          <w:lang w:val="es-ES_tradnl" w:eastAsia="es-ES"/>
        </w:rPr>
      </w:pPr>
    </w:p>
    <w:p w14:paraId="1C578320"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w:t>
      </w:r>
      <w:r w:rsidRPr="003F132E">
        <w:rPr>
          <w:rFonts w:ascii="Palatino Linotype" w:eastAsia="Batang" w:hAnsi="Palatino Linotype" w:cs="Arial"/>
          <w:b/>
          <w:bCs/>
          <w:i/>
          <w:iCs/>
          <w:lang w:val="es-ES_tradnl" w:eastAsia="es-ES"/>
        </w:rPr>
        <w:t>Artículo 6o.</w:t>
      </w:r>
      <w:r w:rsidRPr="003F132E">
        <w:rPr>
          <w:rFonts w:ascii="Palatino Linotype" w:eastAsia="Batang" w:hAnsi="Palatino Linotype" w:cs="Arial"/>
          <w:i/>
          <w:iCs/>
          <w:lang w:val="es-ES_tradnl" w:eastAsia="es-ES"/>
        </w:rPr>
        <w:t xml:space="preserve"> […] </w:t>
      </w:r>
    </w:p>
    <w:p w14:paraId="644E2768"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b/>
          <w:bCs/>
          <w:i/>
          <w:iCs/>
          <w:lang w:val="es-ES_tradnl" w:eastAsia="es-ES"/>
        </w:rPr>
        <w:t>A.</w:t>
      </w:r>
      <w:r w:rsidRPr="003F132E">
        <w:rPr>
          <w:rFonts w:ascii="Palatino Linotype" w:eastAsia="Batang" w:hAnsi="Palatino Linotype" w:cs="Arial"/>
          <w:i/>
          <w:iCs/>
          <w:lang w:val="es-ES_tradnl" w:eastAsia="es-ES"/>
        </w:rPr>
        <w:t xml:space="preserve"> Para el ejercicio del derecho de acceso a la información, la Federación, los Estados y el Distrito Federal, en el ámbito de sus respectivas competencias, se regirán por los siguientes principios y bases:</w:t>
      </w:r>
    </w:p>
    <w:p w14:paraId="254AB73F"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64A608"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II. La información que se refiere a la vida privada y los datos personales será protegida en los términos y con las excepciones que fijen las leyes.</w:t>
      </w:r>
    </w:p>
    <w:p w14:paraId="364258F3"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III. Toda persona, sin necesidad de acreditar interés alguno o justificar su utilización, tendrá acceso gratuito a la información pública, a sus datos personales o a la rectificación de éstos.” (Sic)</w:t>
      </w:r>
    </w:p>
    <w:p w14:paraId="2A5B262A"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05D3E277" w14:textId="2DC7C74F"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Del precepto constitucional en cita se desprende que toda información en posesión de cualquier autoridad es pública y sólo podrá ser reservada por interés público y seguridad, es decir, entendiéndose como aquella que posea al momento de la solicitud, </w:t>
      </w:r>
      <w:r w:rsidRPr="00A2099F">
        <w:rPr>
          <w:rFonts w:ascii="Palatino Linotype" w:eastAsia="Batang" w:hAnsi="Palatino Linotype" w:cs="Arial"/>
          <w:sz w:val="24"/>
          <w:szCs w:val="24"/>
          <w:lang w:val="es-ES_tradnl" w:eastAsia="es-ES"/>
        </w:rPr>
        <w:lastRenderedPageBreak/>
        <w:t xml:space="preserve">sin que se conmine a su generación derivado de una solicitud de información en específico que conlleve a realizar un procesamiento o investigaciones de la información. </w:t>
      </w:r>
    </w:p>
    <w:p w14:paraId="6435EFFF" w14:textId="77777777" w:rsidR="003F132E" w:rsidRPr="00A2099F" w:rsidRDefault="003F132E" w:rsidP="00A2099F">
      <w:pPr>
        <w:spacing w:after="0" w:line="360" w:lineRule="auto"/>
        <w:jc w:val="both"/>
        <w:rPr>
          <w:rFonts w:ascii="Palatino Linotype" w:eastAsia="Batang" w:hAnsi="Palatino Linotype" w:cs="Arial"/>
          <w:sz w:val="24"/>
          <w:szCs w:val="24"/>
          <w:lang w:val="es-ES_tradnl" w:eastAsia="es-ES"/>
        </w:rPr>
      </w:pPr>
    </w:p>
    <w:p w14:paraId="2CA3B477" w14:textId="5068C887"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Asimismo, resulta aplicable lo dispuesto en los artículos 4 y 12 de la Ley de Transparencia local, que a la letra estipulan lo siguiente: </w:t>
      </w:r>
    </w:p>
    <w:p w14:paraId="5EE1D29C" w14:textId="77777777" w:rsidR="00165C10" w:rsidRPr="00A2099F" w:rsidRDefault="00165C10" w:rsidP="00A2099F">
      <w:pPr>
        <w:spacing w:after="0" w:line="360" w:lineRule="auto"/>
        <w:jc w:val="both"/>
        <w:rPr>
          <w:rFonts w:ascii="Palatino Linotype" w:eastAsia="Batang" w:hAnsi="Palatino Linotype" w:cs="Arial"/>
          <w:sz w:val="24"/>
          <w:szCs w:val="24"/>
          <w:lang w:val="es-ES_tradnl" w:eastAsia="es-ES"/>
        </w:rPr>
      </w:pPr>
    </w:p>
    <w:p w14:paraId="1F4F0CC7"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w:t>
      </w:r>
      <w:r w:rsidRPr="003F132E">
        <w:rPr>
          <w:rFonts w:ascii="Palatino Linotype" w:eastAsia="Batang" w:hAnsi="Palatino Linotype" w:cs="Arial"/>
          <w:b/>
          <w:bCs/>
          <w:i/>
          <w:iCs/>
          <w:lang w:val="es-ES_tradnl" w:eastAsia="es-ES"/>
        </w:rPr>
        <w:t>Artículo 4.</w:t>
      </w:r>
      <w:r w:rsidRPr="003F132E">
        <w:rPr>
          <w:rFonts w:ascii="Palatino Linotype" w:eastAsia="Batang" w:hAnsi="Palatino Linotype" w:cs="Arial"/>
          <w:i/>
          <w:iCs/>
          <w:lang w:val="es-ES_tradnl"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6A9F613"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521131" w14:textId="77777777"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i/>
          <w:iCs/>
          <w:lang w:val="es-ES_tradnl" w:eastAsia="es-ES"/>
        </w:rPr>
        <w:t>Los sujetos obligados deben poner en práctica, políticas y programas de acceso a la información que se apeguen a criterios de publicidad, veracidad, oportunidad, precisión y suficiencia en beneficio de los solicitantes.</w:t>
      </w:r>
    </w:p>
    <w:p w14:paraId="1141840B" w14:textId="77777777" w:rsidR="003F132E" w:rsidRPr="003F132E" w:rsidRDefault="003F132E" w:rsidP="003F132E">
      <w:pPr>
        <w:spacing w:after="0" w:line="240" w:lineRule="auto"/>
        <w:ind w:left="567" w:right="567"/>
        <w:jc w:val="both"/>
        <w:rPr>
          <w:rFonts w:ascii="Palatino Linotype" w:eastAsia="Batang" w:hAnsi="Palatino Linotype" w:cs="Arial"/>
          <w:i/>
          <w:iCs/>
          <w:lang w:val="es-ES_tradnl" w:eastAsia="es-ES"/>
        </w:rPr>
      </w:pPr>
    </w:p>
    <w:p w14:paraId="346A59EC" w14:textId="73A16235" w:rsidR="00A2099F" w:rsidRPr="003F132E" w:rsidRDefault="00A2099F" w:rsidP="003F132E">
      <w:pPr>
        <w:spacing w:after="0" w:line="240" w:lineRule="auto"/>
        <w:ind w:left="567" w:right="567"/>
        <w:jc w:val="both"/>
        <w:rPr>
          <w:rFonts w:ascii="Palatino Linotype" w:eastAsia="Batang" w:hAnsi="Palatino Linotype" w:cs="Arial"/>
          <w:i/>
          <w:iCs/>
          <w:lang w:val="es-ES_tradnl" w:eastAsia="es-ES"/>
        </w:rPr>
      </w:pPr>
      <w:r w:rsidRPr="003F132E">
        <w:rPr>
          <w:rFonts w:ascii="Palatino Linotype" w:eastAsia="Batang" w:hAnsi="Palatino Linotype" w:cs="Arial"/>
          <w:b/>
          <w:bCs/>
          <w:i/>
          <w:iCs/>
          <w:lang w:val="es-ES_tradnl" w:eastAsia="es-ES"/>
        </w:rPr>
        <w:t>Artículo 12.</w:t>
      </w:r>
      <w:r w:rsidRPr="003F132E">
        <w:rPr>
          <w:rFonts w:ascii="Palatino Linotype" w:eastAsia="Batang" w:hAnsi="Palatino Linotype" w:cs="Arial"/>
          <w:i/>
          <w:iCs/>
          <w:lang w:val="es-ES_tradnl" w:eastAsia="es-ES"/>
        </w:rPr>
        <w:t xml:space="preserve"> Quienes generen, recopilen, administren, manejen, procesen, archiven o conserven información pública serán responsables de la misma en los términos de las disposiciones jurídicas aplicables.</w:t>
      </w:r>
    </w:p>
    <w:p w14:paraId="6F087365" w14:textId="3FE6A89D" w:rsidR="00A2099F" w:rsidRDefault="00A2099F" w:rsidP="003F132E">
      <w:pPr>
        <w:spacing w:after="0" w:line="240" w:lineRule="auto"/>
        <w:ind w:left="567" w:right="567"/>
        <w:jc w:val="both"/>
        <w:rPr>
          <w:rFonts w:ascii="Palatino Linotype" w:eastAsia="Batang" w:hAnsi="Palatino Linotype" w:cs="Arial"/>
          <w:lang w:val="es-ES_tradnl" w:eastAsia="es-ES"/>
        </w:rPr>
      </w:pPr>
      <w:r w:rsidRPr="003F132E">
        <w:rPr>
          <w:rFonts w:ascii="Palatino Linotype" w:eastAsia="Batang" w:hAnsi="Palatino Linotype" w:cs="Arial"/>
          <w:i/>
          <w:iCs/>
          <w:lang w:val="es-ES_tradnl" w:eastAsia="es-ES"/>
        </w:rPr>
        <w:t xml:space="preserve">Los sujetos obligados </w:t>
      </w:r>
      <w:r w:rsidRPr="00165C10">
        <w:rPr>
          <w:rFonts w:ascii="Palatino Linotype" w:eastAsia="Batang" w:hAnsi="Palatino Linotype" w:cs="Arial"/>
          <w:i/>
          <w:iCs/>
          <w:u w:val="single"/>
          <w:lang w:val="es-ES_tradnl" w:eastAsia="es-ES"/>
        </w:rPr>
        <w:t xml:space="preserve">sólo proporcionarán la información pública que se les requiera y que obre en sus archivos y </w:t>
      </w:r>
      <w:r w:rsidRPr="00165C10">
        <w:rPr>
          <w:rFonts w:ascii="Palatino Linotype" w:eastAsia="Batang" w:hAnsi="Palatino Linotype" w:cs="Arial"/>
          <w:b/>
          <w:bCs/>
          <w:i/>
          <w:iCs/>
          <w:u w:val="single"/>
          <w:lang w:val="es-ES_tradnl" w:eastAsia="es-ES"/>
        </w:rPr>
        <w:t>en el estado en que ésta se encuentre</w:t>
      </w:r>
      <w:r w:rsidRPr="003F132E">
        <w:rPr>
          <w:rFonts w:ascii="Palatino Linotype" w:eastAsia="Batang" w:hAnsi="Palatino Linotype" w:cs="Arial"/>
          <w:i/>
          <w:iCs/>
          <w:lang w:val="es-ES_tradnl" w:eastAsia="es-ES"/>
        </w:rPr>
        <w:t>. La obligación de proporcionar información no comprende el procesamiento de la misma, ni el presentarla conforme al interés del solicitante; no estarán obligados a generarla, resumirla, efectuar cálculos o practicar investigaciones.”</w:t>
      </w:r>
    </w:p>
    <w:p w14:paraId="0EDF56D2" w14:textId="539936BD" w:rsidR="00165C10" w:rsidRPr="00165C10" w:rsidRDefault="00165C10" w:rsidP="00165C10">
      <w:pPr>
        <w:spacing w:after="0" w:line="240" w:lineRule="auto"/>
        <w:ind w:left="567" w:right="567"/>
        <w:jc w:val="right"/>
        <w:rPr>
          <w:rFonts w:ascii="Palatino Linotype" w:eastAsia="Batang" w:hAnsi="Palatino Linotype" w:cs="Arial"/>
          <w:lang w:val="es-ES_tradnl" w:eastAsia="es-ES"/>
        </w:rPr>
      </w:pPr>
      <w:r>
        <w:rPr>
          <w:rFonts w:ascii="Palatino Linotype" w:eastAsia="Batang" w:hAnsi="Palatino Linotype" w:cs="Arial"/>
          <w:lang w:val="es-ES_tradnl" w:eastAsia="es-ES"/>
        </w:rPr>
        <w:t>(Énfasis añadido)</w:t>
      </w:r>
    </w:p>
    <w:p w14:paraId="323FE087"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5795782D"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De los artículos referidos se desprende que toda la información generada, obtenida, adquirida, transformada, administrada o en posesión de los sujetos obligados es </w:t>
      </w:r>
      <w:r w:rsidRPr="00A2099F">
        <w:rPr>
          <w:rFonts w:ascii="Palatino Linotype" w:eastAsia="Batang" w:hAnsi="Palatino Linotype" w:cs="Arial"/>
          <w:sz w:val="24"/>
          <w:szCs w:val="24"/>
          <w:lang w:val="es-ES_tradnl" w:eastAsia="es-ES"/>
        </w:rPr>
        <w:lastRenderedPageBreak/>
        <w:t>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 los solicitantes, ni generarla, resumirla, efectuar cálculos o practicar investigaciones.</w:t>
      </w:r>
    </w:p>
    <w:p w14:paraId="1C304E16"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04305F83" w14:textId="05A1BDB7"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Además, de conformidad con lo establecido en el artículo 12 de la Ley de la materia referido anteriormente, los sujetos obligados sólo proporcionarán la información que obra en sus archivos, lo que a </w:t>
      </w:r>
      <w:r w:rsidRPr="00165C10">
        <w:rPr>
          <w:rFonts w:ascii="Palatino Linotype" w:eastAsia="Batang" w:hAnsi="Palatino Linotype" w:cs="Arial"/>
          <w:i/>
          <w:iCs/>
          <w:sz w:val="24"/>
          <w:szCs w:val="24"/>
          <w:lang w:val="es-ES_tradnl" w:eastAsia="es-ES"/>
        </w:rPr>
        <w:t>contrario sensu</w:t>
      </w:r>
      <w:r w:rsidRPr="00A2099F">
        <w:rPr>
          <w:rFonts w:ascii="Palatino Linotype" w:eastAsia="Batang" w:hAnsi="Palatino Linotype" w:cs="Arial"/>
          <w:sz w:val="24"/>
          <w:szCs w:val="24"/>
          <w:lang w:val="es-ES_tradnl" w:eastAsia="es-ES"/>
        </w:rPr>
        <w:t xml:space="preserve"> significa que no se está obligado a proporcionar lo que no obre en sus archivos.</w:t>
      </w:r>
    </w:p>
    <w:p w14:paraId="28F7C9A2" w14:textId="77777777" w:rsidR="003F132E" w:rsidRPr="00A2099F" w:rsidRDefault="003F132E" w:rsidP="00A2099F">
      <w:pPr>
        <w:spacing w:after="0" w:line="360" w:lineRule="auto"/>
        <w:jc w:val="both"/>
        <w:rPr>
          <w:rFonts w:ascii="Palatino Linotype" w:eastAsia="Batang" w:hAnsi="Palatino Linotype" w:cs="Arial"/>
          <w:sz w:val="24"/>
          <w:szCs w:val="24"/>
          <w:lang w:val="es-ES_tradnl" w:eastAsia="es-ES"/>
        </w:rPr>
      </w:pPr>
    </w:p>
    <w:p w14:paraId="4ECCDCEF" w14:textId="3083FCE5"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Por lo anterior, al no constituirse dicho cuestionamiento como materia del derecho de acceso a la información, se considera que el </w:t>
      </w:r>
      <w:r w:rsidRPr="00165C10">
        <w:rPr>
          <w:rFonts w:ascii="Palatino Linotype" w:eastAsia="Batang" w:hAnsi="Palatino Linotype" w:cs="Arial"/>
          <w:b/>
          <w:bCs/>
          <w:sz w:val="24"/>
          <w:szCs w:val="24"/>
          <w:lang w:val="es-ES_tradnl" w:eastAsia="es-ES"/>
        </w:rPr>
        <w:t>Sujeto Obligado</w:t>
      </w:r>
      <w:r w:rsidRPr="00A2099F">
        <w:rPr>
          <w:rFonts w:ascii="Palatino Linotype" w:eastAsia="Batang" w:hAnsi="Palatino Linotype" w:cs="Arial"/>
          <w:sz w:val="24"/>
          <w:szCs w:val="24"/>
          <w:lang w:val="es-ES_tradnl" w:eastAsia="es-ES"/>
        </w:rPr>
        <w:t xml:space="preserve"> no está constreñido a emitir una respuesta al mismo, por lo que se estiman infundados los motivos de inconformidad del </w:t>
      </w:r>
      <w:r w:rsidRPr="00165C10">
        <w:rPr>
          <w:rFonts w:ascii="Palatino Linotype" w:eastAsia="Batang" w:hAnsi="Palatino Linotype" w:cs="Arial"/>
          <w:b/>
          <w:bCs/>
          <w:sz w:val="24"/>
          <w:szCs w:val="24"/>
          <w:lang w:val="es-ES_tradnl" w:eastAsia="es-ES"/>
        </w:rPr>
        <w:t>Recurrente</w:t>
      </w:r>
      <w:r w:rsidRPr="00A2099F">
        <w:rPr>
          <w:rFonts w:ascii="Palatino Linotype" w:eastAsia="Batang" w:hAnsi="Palatino Linotype" w:cs="Arial"/>
          <w:sz w:val="24"/>
          <w:szCs w:val="24"/>
          <w:lang w:val="es-ES_tradnl" w:eastAsia="es-ES"/>
        </w:rPr>
        <w:t>.</w:t>
      </w:r>
    </w:p>
    <w:p w14:paraId="5289A592" w14:textId="77777777" w:rsidR="003F132E" w:rsidRPr="00A2099F" w:rsidRDefault="003F132E" w:rsidP="00A2099F">
      <w:pPr>
        <w:spacing w:after="0" w:line="360" w:lineRule="auto"/>
        <w:jc w:val="both"/>
        <w:rPr>
          <w:rFonts w:ascii="Palatino Linotype" w:eastAsia="Batang" w:hAnsi="Palatino Linotype" w:cs="Arial"/>
          <w:sz w:val="24"/>
          <w:szCs w:val="24"/>
          <w:lang w:val="es-ES_tradnl" w:eastAsia="es-ES"/>
        </w:rPr>
      </w:pPr>
    </w:p>
    <w:p w14:paraId="2AC1D35B" w14:textId="37D5D969"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En ese sentido, es necesario referir que las causales de improcedencia deben ser examinadas de oficio y si de dicho examen se actualiza una causal de improcedencia, por técnica jurídica, es de estudio preferente. Sirve como criterio orientador, lo establecido en la jurisprudencia por reiteración con número de registro digital 194697, emitida por la Primera Sala de la Suprema Corte de Justicia de la Nación, en la que se dispone lo siguiente: </w:t>
      </w:r>
    </w:p>
    <w:p w14:paraId="7CAEF9E4"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76F02578" w14:textId="5FB58EA5" w:rsidR="00A2099F" w:rsidRPr="00A2099F" w:rsidRDefault="00A2099F" w:rsidP="00A2099F">
      <w:pPr>
        <w:spacing w:after="0" w:line="240" w:lineRule="auto"/>
        <w:ind w:left="567" w:right="567"/>
        <w:jc w:val="both"/>
        <w:rPr>
          <w:rFonts w:ascii="Palatino Linotype" w:eastAsia="Batang" w:hAnsi="Palatino Linotype" w:cs="Arial"/>
          <w:i/>
          <w:iCs/>
          <w:lang w:val="es-ES_tradnl" w:eastAsia="es-ES"/>
        </w:rPr>
      </w:pPr>
      <w:r w:rsidRPr="00A2099F">
        <w:rPr>
          <w:rFonts w:ascii="Palatino Linotype" w:eastAsia="Batang" w:hAnsi="Palatino Linotype" w:cs="Arial"/>
          <w:i/>
          <w:iCs/>
          <w:lang w:val="es-ES_tradnl" w:eastAsia="es-ES"/>
        </w:rPr>
        <w:lastRenderedPageBreak/>
        <w:t>“</w:t>
      </w:r>
      <w:r w:rsidRPr="00A2099F">
        <w:rPr>
          <w:rFonts w:ascii="Palatino Linotype" w:eastAsia="Batang" w:hAnsi="Palatino Linotype" w:cs="Arial"/>
          <w:b/>
          <w:bCs/>
          <w:i/>
          <w:iCs/>
          <w:lang w:val="es-ES_tradnl" w:eastAsia="es-ES"/>
        </w:rPr>
        <w:t>IMPROCEDENCIA. ESTUDIO PREFERENCIAL DE LAS CAUSALES PREVISTAS EN EL ARTÍCULO 73 DE LA LEY DE AMPARO.</w:t>
      </w:r>
      <w:r w:rsidRPr="00A2099F">
        <w:rPr>
          <w:rFonts w:ascii="Palatino Linotype" w:eastAsia="Batang" w:hAnsi="Palatino Linotype" w:cs="Arial"/>
          <w:i/>
          <w:iCs/>
          <w:lang w:val="es-ES_tradnl" w:eastAsia="es-ES"/>
        </w:rPr>
        <w:t xml:space="preserve"> De conformidad con lo dispuesto en el último párrafo del artículo 73 de la Ley de Amparo </w:t>
      </w:r>
      <w:r w:rsidRPr="00A2099F">
        <w:rPr>
          <w:rFonts w:ascii="Palatino Linotype" w:eastAsia="Batang" w:hAnsi="Palatino Linotype" w:cs="Arial"/>
          <w:i/>
          <w:iCs/>
          <w:u w:val="single"/>
          <w:lang w:val="es-ES_tradnl" w:eastAsia="es-ES"/>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la Recurrente.</w:t>
      </w:r>
      <w:r w:rsidRPr="00A2099F">
        <w:rPr>
          <w:rFonts w:ascii="Palatino Linotype" w:eastAsia="Batang" w:hAnsi="Palatino Linotype" w:cs="Arial"/>
          <w:i/>
          <w:iCs/>
          <w:lang w:val="es-ES_tradnl"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 (Sic)</w:t>
      </w:r>
    </w:p>
    <w:p w14:paraId="75DA69F2"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571F64C5"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t xml:space="preserve">Es importante resaltar a manera de analogía que la Suprema Corte de Justicia de la Nación mediante el número 2 de la Serie Estudios Introductorios sobre el Juicio de Amparo relativo a </w:t>
      </w:r>
      <w:r w:rsidRPr="00A2099F">
        <w:rPr>
          <w:rFonts w:ascii="Palatino Linotype" w:eastAsia="Batang" w:hAnsi="Palatino Linotype" w:cs="Arial"/>
          <w:i/>
          <w:iCs/>
          <w:sz w:val="24"/>
          <w:szCs w:val="24"/>
          <w:lang w:val="es-ES_tradnl" w:eastAsia="es-ES"/>
        </w:rPr>
        <w:t>LA IMPROCEDENCIA DE LA ACCIÓN DE AMPARO</w:t>
      </w:r>
      <w:r w:rsidRPr="00A2099F">
        <w:rPr>
          <w:rFonts w:ascii="Palatino Linotype" w:eastAsia="Batang" w:hAnsi="Palatino Linotype" w:cs="Arial"/>
          <w:sz w:val="24"/>
          <w:szCs w:val="24"/>
          <w:lang w:val="es-ES_tradnl" w:eastAsia="es-ES"/>
        </w:rPr>
        <w:t xml:space="preserve"> 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lo que generará que la demanda sea desechada; o bien, después de admitida la demanda, lo que tendrá como consecuencia que se sobresea en el juicio.</w:t>
      </w:r>
    </w:p>
    <w:p w14:paraId="50FF20B6" w14:textId="77777777" w:rsidR="00A2099F" w:rsidRDefault="00A2099F" w:rsidP="00A2099F">
      <w:pPr>
        <w:spacing w:after="0" w:line="360" w:lineRule="auto"/>
        <w:jc w:val="both"/>
        <w:rPr>
          <w:rFonts w:ascii="Palatino Linotype" w:eastAsia="Batang" w:hAnsi="Palatino Linotype" w:cs="Arial"/>
          <w:sz w:val="24"/>
          <w:szCs w:val="24"/>
          <w:lang w:val="es-ES_tradnl" w:eastAsia="es-ES"/>
        </w:rPr>
      </w:pPr>
    </w:p>
    <w:p w14:paraId="6A69BD25" w14:textId="715F8BA0" w:rsidR="00A2099F" w:rsidRDefault="00A2099F" w:rsidP="00A2099F">
      <w:pPr>
        <w:spacing w:after="0" w:line="360" w:lineRule="auto"/>
        <w:jc w:val="both"/>
        <w:rPr>
          <w:rFonts w:ascii="Palatino Linotype" w:eastAsia="Batang" w:hAnsi="Palatino Linotype" w:cs="Arial"/>
          <w:sz w:val="24"/>
          <w:szCs w:val="24"/>
          <w:lang w:val="es-ES_tradnl" w:eastAsia="es-ES"/>
        </w:rPr>
      </w:pPr>
      <w:r w:rsidRPr="00A2099F">
        <w:rPr>
          <w:rFonts w:ascii="Palatino Linotype" w:eastAsia="Batang" w:hAnsi="Palatino Linotype" w:cs="Arial"/>
          <w:sz w:val="24"/>
          <w:szCs w:val="24"/>
          <w:lang w:val="es-ES_tradnl" w:eastAsia="es-ES"/>
        </w:rPr>
        <w:lastRenderedPageBreak/>
        <w:t xml:space="preserve">Por lo anterior,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w:t>
      </w:r>
      <w:r w:rsidR="00165C10" w:rsidRPr="00A2099F">
        <w:rPr>
          <w:rFonts w:ascii="Palatino Linotype" w:eastAsia="Batang" w:hAnsi="Palatino Linotype" w:cs="Arial"/>
          <w:sz w:val="24"/>
          <w:szCs w:val="24"/>
          <w:lang w:val="es-ES_tradnl" w:eastAsia="es-ES"/>
        </w:rPr>
        <w:t>220705,</w:t>
      </w:r>
      <w:r w:rsidRPr="00A2099F">
        <w:rPr>
          <w:rFonts w:ascii="Palatino Linotype" w:eastAsia="Batang" w:hAnsi="Palatino Linotype" w:cs="Arial"/>
          <w:sz w:val="24"/>
          <w:szCs w:val="24"/>
          <w:lang w:val="es-ES_tradnl" w:eastAsia="es-ES"/>
        </w:rPr>
        <w:t xml:space="preserve"> en la que se estipula lo siguiente:</w:t>
      </w:r>
    </w:p>
    <w:p w14:paraId="516D5B9D" w14:textId="77777777" w:rsidR="00165C10" w:rsidRPr="00A2099F" w:rsidRDefault="00165C10" w:rsidP="00A2099F">
      <w:pPr>
        <w:spacing w:after="0" w:line="360" w:lineRule="auto"/>
        <w:jc w:val="both"/>
        <w:rPr>
          <w:rFonts w:ascii="Palatino Linotype" w:eastAsia="Batang" w:hAnsi="Palatino Linotype" w:cs="Arial"/>
          <w:sz w:val="24"/>
          <w:szCs w:val="24"/>
          <w:lang w:val="es-ES_tradnl" w:eastAsia="es-ES"/>
        </w:rPr>
      </w:pPr>
    </w:p>
    <w:p w14:paraId="758A1DA3" w14:textId="77777777" w:rsidR="00A2099F" w:rsidRPr="00A2099F" w:rsidRDefault="00A2099F" w:rsidP="00A2099F">
      <w:pPr>
        <w:spacing w:after="0" w:line="240" w:lineRule="auto"/>
        <w:ind w:left="567" w:right="567"/>
        <w:jc w:val="both"/>
        <w:rPr>
          <w:rFonts w:ascii="Palatino Linotype" w:eastAsia="Batang" w:hAnsi="Palatino Linotype" w:cs="Arial"/>
          <w:i/>
          <w:iCs/>
          <w:lang w:val="es-ES_tradnl" w:eastAsia="es-ES"/>
        </w:rPr>
      </w:pPr>
      <w:r w:rsidRPr="00A2099F">
        <w:rPr>
          <w:rFonts w:ascii="Palatino Linotype" w:eastAsia="Batang" w:hAnsi="Palatino Linotype" w:cs="Arial"/>
          <w:i/>
          <w:iCs/>
          <w:lang w:val="es-ES_tradnl" w:eastAsia="es-ES"/>
        </w:rPr>
        <w:t>“</w:t>
      </w:r>
      <w:r w:rsidRPr="00A2099F">
        <w:rPr>
          <w:rFonts w:ascii="Palatino Linotype" w:eastAsia="Batang" w:hAnsi="Palatino Linotype" w:cs="Arial"/>
          <w:b/>
          <w:bCs/>
          <w:i/>
          <w:iCs/>
          <w:lang w:val="es-ES_tradnl" w:eastAsia="es-ES"/>
        </w:rPr>
        <w:t>SOBRESEIMIENTO. IMPIDE EL ESTUDIO DE LAS CUESTIONES DE FONDO</w:t>
      </w:r>
      <w:r w:rsidRPr="00A2099F">
        <w:rPr>
          <w:rFonts w:ascii="Palatino Linotype" w:eastAsia="Batang" w:hAnsi="Palatino Linotype" w:cs="Arial"/>
          <w:i/>
          <w:iCs/>
          <w:lang w:val="es-ES_tradnl" w:eastAsia="es-ES"/>
        </w:rPr>
        <w:t>.</w:t>
      </w:r>
    </w:p>
    <w:p w14:paraId="4E9FF751" w14:textId="77777777" w:rsidR="00A2099F" w:rsidRPr="00A2099F" w:rsidRDefault="00A2099F" w:rsidP="00A2099F">
      <w:pPr>
        <w:spacing w:after="0" w:line="240" w:lineRule="auto"/>
        <w:ind w:left="567" w:right="567"/>
        <w:jc w:val="both"/>
        <w:rPr>
          <w:rFonts w:ascii="Palatino Linotype" w:eastAsia="Batang" w:hAnsi="Palatino Linotype" w:cs="Arial"/>
          <w:i/>
          <w:iCs/>
          <w:lang w:val="es-ES_tradnl" w:eastAsia="es-ES"/>
        </w:rPr>
      </w:pPr>
      <w:r w:rsidRPr="00A2099F">
        <w:rPr>
          <w:rFonts w:ascii="Palatino Linotype" w:eastAsia="Batang" w:hAnsi="Palatino Linotype" w:cs="Arial"/>
          <w:i/>
          <w:iCs/>
          <w:lang w:val="es-ES_tradnl"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 (Sic)</w:t>
      </w:r>
    </w:p>
    <w:p w14:paraId="69DFB710" w14:textId="77777777" w:rsidR="00A2099F" w:rsidRPr="00A2099F" w:rsidRDefault="00A2099F" w:rsidP="00A2099F">
      <w:pPr>
        <w:spacing w:after="0" w:line="360" w:lineRule="auto"/>
        <w:jc w:val="both"/>
        <w:rPr>
          <w:rFonts w:ascii="Palatino Linotype" w:eastAsia="Batang" w:hAnsi="Palatino Linotype" w:cs="Arial"/>
          <w:sz w:val="24"/>
          <w:szCs w:val="24"/>
          <w:lang w:val="es-ES_tradnl" w:eastAsia="es-ES"/>
        </w:rPr>
      </w:pPr>
    </w:p>
    <w:p w14:paraId="7C0C9827" w14:textId="022EB6F3" w:rsidR="003D39F5" w:rsidRPr="00F06286" w:rsidRDefault="003D39F5" w:rsidP="003D39F5">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Pr>
          <w:rFonts w:ascii="Palatino Linotype" w:eastAsiaTheme="minorEastAsia" w:hAnsi="Palatino Linotype" w:cs="Times New Roman"/>
          <w:sz w:val="24"/>
          <w:szCs w:val="24"/>
          <w:lang w:val="es-ES_tradnl" w:eastAsia="es-ES"/>
        </w:rPr>
        <w:t xml:space="preserve">Es con base en las consideraciones de hecho y de derecho precisadas en párrafos anteriores que, </w:t>
      </w:r>
      <w:r w:rsidRPr="00F06286">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F06286">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F06286">
        <w:rPr>
          <w:rFonts w:ascii="Palatino Linotype" w:eastAsiaTheme="minorEastAsia" w:hAnsi="Palatino Linotype" w:cs="Arial"/>
          <w:b/>
          <w:sz w:val="24"/>
          <w:szCs w:val="24"/>
          <w:lang w:val="es-ES_tradnl" w:eastAsia="es-ES"/>
        </w:rPr>
        <w:t xml:space="preserve">SOBRESEE </w:t>
      </w:r>
      <w:r w:rsidRPr="00F06286">
        <w:rPr>
          <w:rFonts w:ascii="Palatino Linotype" w:eastAsiaTheme="minorEastAsia" w:hAnsi="Palatino Linotype" w:cs="Arial"/>
          <w:sz w:val="24"/>
          <w:szCs w:val="24"/>
          <w:lang w:val="es-ES_tradnl" w:eastAsia="es-ES"/>
        </w:rPr>
        <w:t xml:space="preserve">el recurso de revisión </w:t>
      </w:r>
      <w:r>
        <w:rPr>
          <w:rFonts w:ascii="Palatino Linotype" w:hAnsi="Palatino Linotype" w:cs="Arial"/>
          <w:b/>
          <w:bCs/>
          <w:sz w:val="24"/>
          <w:lang w:eastAsia="es-MX"/>
        </w:rPr>
        <w:t>02</w:t>
      </w:r>
      <w:r w:rsidR="00165C10">
        <w:rPr>
          <w:rFonts w:ascii="Palatino Linotype" w:hAnsi="Palatino Linotype" w:cs="Arial"/>
          <w:b/>
          <w:bCs/>
          <w:sz w:val="24"/>
          <w:lang w:eastAsia="es-MX"/>
        </w:rPr>
        <w:t>720</w:t>
      </w:r>
      <w:r>
        <w:rPr>
          <w:rFonts w:ascii="Palatino Linotype" w:hAnsi="Palatino Linotype" w:cs="Arial"/>
          <w:b/>
          <w:bCs/>
          <w:sz w:val="24"/>
          <w:lang w:eastAsia="es-MX"/>
        </w:rPr>
        <w:t>/INFOEM/IP/RR/2024</w:t>
      </w:r>
      <w:r w:rsidRPr="00F06286">
        <w:rPr>
          <w:rFonts w:ascii="Palatino Linotype" w:eastAsiaTheme="minorEastAsia" w:hAnsi="Palatino Linotype" w:cs="Arial"/>
          <w:sz w:val="24"/>
          <w:szCs w:val="24"/>
          <w:lang w:val="es-ES_tradnl" w:eastAsia="es-ES"/>
        </w:rPr>
        <w:t>,</w:t>
      </w:r>
      <w:r w:rsidRPr="00F06286">
        <w:rPr>
          <w:rFonts w:ascii="Palatino Linotype" w:eastAsiaTheme="minorEastAsia" w:hAnsi="Palatino Linotype" w:cs="Times New Roman"/>
          <w:sz w:val="24"/>
          <w:szCs w:val="24"/>
          <w:lang w:val="es-ES_tradnl" w:eastAsia="es-ES"/>
        </w:rPr>
        <w:t xml:space="preserve"> que ha sido materia del presente fallo.</w:t>
      </w:r>
    </w:p>
    <w:p w14:paraId="0A361AB7" w14:textId="77777777" w:rsidR="003D39F5" w:rsidRPr="00F06286" w:rsidRDefault="003D39F5" w:rsidP="003D39F5">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8AB8C69" w14:textId="77777777" w:rsidR="003D39F5" w:rsidRPr="00F06286" w:rsidRDefault="003D39F5" w:rsidP="003D39F5">
      <w:pPr>
        <w:spacing w:after="0" w:line="360" w:lineRule="auto"/>
        <w:jc w:val="both"/>
        <w:rPr>
          <w:rFonts w:ascii="Palatino Linotype" w:eastAsia="Times New Roman" w:hAnsi="Palatino Linotype" w:cs="Times New Roman"/>
          <w:sz w:val="24"/>
          <w:szCs w:val="24"/>
          <w:lang w:val="es-ES" w:eastAsia="es-ES"/>
        </w:rPr>
      </w:pPr>
      <w:r w:rsidRPr="00F06286">
        <w:rPr>
          <w:rFonts w:ascii="Palatino Linotype" w:eastAsia="Times New Roman" w:hAnsi="Palatino Linotype" w:cs="Times New Roman"/>
          <w:sz w:val="24"/>
          <w:szCs w:val="24"/>
          <w:lang w:val="es-ES" w:eastAsia="es-ES"/>
        </w:rPr>
        <w:t>Por lo antes expuesto y fundado es de resolverse y,</w:t>
      </w:r>
    </w:p>
    <w:p w14:paraId="48367F3F" w14:textId="77777777" w:rsidR="003D39F5" w:rsidRPr="00F06286" w:rsidRDefault="003D39F5" w:rsidP="003D39F5">
      <w:pPr>
        <w:spacing w:after="0" w:line="360" w:lineRule="auto"/>
        <w:jc w:val="both"/>
        <w:rPr>
          <w:rFonts w:ascii="Palatino Linotype" w:eastAsia="Times New Roman" w:hAnsi="Palatino Linotype" w:cs="Times New Roman"/>
          <w:sz w:val="24"/>
          <w:szCs w:val="24"/>
          <w:lang w:val="es-ES" w:eastAsia="es-ES"/>
        </w:rPr>
      </w:pPr>
    </w:p>
    <w:p w14:paraId="6DBC6B53" w14:textId="77777777" w:rsidR="003D39F5" w:rsidRPr="00F06286" w:rsidRDefault="003D39F5" w:rsidP="003D39F5">
      <w:pPr>
        <w:spacing w:after="0" w:line="360" w:lineRule="auto"/>
        <w:jc w:val="center"/>
        <w:rPr>
          <w:rFonts w:ascii="Palatino Linotype" w:eastAsia="Times New Roman" w:hAnsi="Palatino Linotype" w:cs="Times New Roman"/>
          <w:b/>
          <w:bCs/>
          <w:spacing w:val="60"/>
          <w:sz w:val="28"/>
          <w:szCs w:val="24"/>
          <w:lang w:val="es-ES_tradnl" w:eastAsia="es-ES"/>
        </w:rPr>
      </w:pPr>
      <w:r w:rsidRPr="00F06286">
        <w:rPr>
          <w:rFonts w:ascii="Palatino Linotype" w:eastAsia="Times New Roman" w:hAnsi="Palatino Linotype" w:cs="Times New Roman"/>
          <w:b/>
          <w:bCs/>
          <w:spacing w:val="60"/>
          <w:sz w:val="28"/>
          <w:szCs w:val="24"/>
          <w:lang w:val="es-ES_tradnl" w:eastAsia="es-ES"/>
        </w:rPr>
        <w:t>SE    RESUELVE</w:t>
      </w:r>
    </w:p>
    <w:p w14:paraId="706E4E61" w14:textId="77777777" w:rsidR="003D39F5" w:rsidRPr="00F06286" w:rsidRDefault="003D39F5" w:rsidP="003D39F5">
      <w:pPr>
        <w:spacing w:after="0" w:line="360" w:lineRule="auto"/>
        <w:jc w:val="center"/>
        <w:rPr>
          <w:rFonts w:ascii="Palatino Linotype" w:eastAsia="Times New Roman" w:hAnsi="Palatino Linotype" w:cs="Times New Roman"/>
          <w:bCs/>
          <w:spacing w:val="60"/>
          <w:sz w:val="24"/>
          <w:szCs w:val="24"/>
          <w:lang w:val="es-ES_tradnl" w:eastAsia="es-ES"/>
        </w:rPr>
      </w:pPr>
    </w:p>
    <w:p w14:paraId="52C1C990" w14:textId="1DA19BCC" w:rsidR="003D39F5" w:rsidRPr="00F06286" w:rsidRDefault="003D39F5" w:rsidP="003D39F5">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t>PRIMERO.</w:t>
      </w:r>
      <w:r w:rsidRPr="00F06286">
        <w:rPr>
          <w:rFonts w:ascii="Palatino Linotype" w:eastAsiaTheme="minorEastAsia" w:hAnsi="Palatino Linotype" w:cs="Arial"/>
          <w:sz w:val="24"/>
          <w:szCs w:val="24"/>
          <w:lang w:val="es-ES_tradnl" w:eastAsia="es-ES"/>
        </w:rPr>
        <w:t xml:space="preserve"> Se </w:t>
      </w:r>
      <w:r w:rsidRPr="00F06286">
        <w:rPr>
          <w:rFonts w:ascii="Palatino Linotype" w:eastAsiaTheme="minorEastAsia" w:hAnsi="Palatino Linotype" w:cs="Arial"/>
          <w:b/>
          <w:sz w:val="24"/>
          <w:szCs w:val="24"/>
          <w:lang w:val="es-ES_tradnl" w:eastAsia="es-ES"/>
        </w:rPr>
        <w:t>SOBRESEE</w:t>
      </w:r>
      <w:r w:rsidRPr="00F06286">
        <w:rPr>
          <w:rFonts w:ascii="Palatino Linotype" w:eastAsiaTheme="minorEastAsia" w:hAnsi="Palatino Linotype" w:cs="Arial"/>
          <w:sz w:val="24"/>
          <w:szCs w:val="24"/>
          <w:lang w:val="es-ES_tradnl" w:eastAsia="es-ES"/>
        </w:rPr>
        <w:t xml:space="preserve"> el recurso de revisión número </w:t>
      </w:r>
      <w:r>
        <w:rPr>
          <w:rFonts w:ascii="Palatino Linotype" w:hAnsi="Palatino Linotype" w:cs="Arial"/>
          <w:b/>
          <w:bCs/>
          <w:sz w:val="24"/>
          <w:lang w:eastAsia="es-MX"/>
        </w:rPr>
        <w:t>02</w:t>
      </w:r>
      <w:r w:rsidR="00165C10">
        <w:rPr>
          <w:rFonts w:ascii="Palatino Linotype" w:hAnsi="Palatino Linotype" w:cs="Arial"/>
          <w:b/>
          <w:bCs/>
          <w:sz w:val="24"/>
          <w:lang w:eastAsia="es-MX"/>
        </w:rPr>
        <w:t>720</w:t>
      </w:r>
      <w:r>
        <w:rPr>
          <w:rFonts w:ascii="Palatino Linotype" w:hAnsi="Palatino Linotype" w:cs="Arial"/>
          <w:b/>
          <w:bCs/>
          <w:sz w:val="24"/>
          <w:lang w:eastAsia="es-MX"/>
        </w:rPr>
        <w:t>/INFOEM/IP/RR/2024</w:t>
      </w:r>
      <w:r w:rsidRPr="00F06286">
        <w:rPr>
          <w:rFonts w:ascii="Palatino Linotype" w:eastAsiaTheme="minorEastAsia" w:hAnsi="Palatino Linotype" w:cs="Arial"/>
          <w:sz w:val="24"/>
          <w:szCs w:val="24"/>
          <w:lang w:val="es-ES_tradnl" w:eastAsia="es-ES"/>
        </w:rPr>
        <w:t>, por</w:t>
      </w:r>
      <w:r w:rsidR="00632D8E">
        <w:rPr>
          <w:rFonts w:ascii="Palatino Linotype" w:eastAsiaTheme="minorEastAsia" w:hAnsi="Palatino Linotype" w:cs="Arial"/>
          <w:sz w:val="24"/>
          <w:szCs w:val="24"/>
          <w:lang w:val="es-ES_tradnl" w:eastAsia="es-ES"/>
        </w:rPr>
        <w:t xml:space="preserve"> improcedente </w:t>
      </w:r>
      <w:r w:rsidRPr="00F06286">
        <w:rPr>
          <w:rFonts w:ascii="Palatino Linotype" w:eastAsiaTheme="minorEastAsia" w:hAnsi="Palatino Linotype" w:cs="Arial"/>
          <w:sz w:val="24"/>
          <w:szCs w:val="24"/>
          <w:lang w:val="es-ES_tradnl" w:eastAsia="es-ES"/>
        </w:rPr>
        <w:t>en términos de</w:t>
      </w:r>
      <w:r>
        <w:rPr>
          <w:rFonts w:ascii="Palatino Linotype" w:eastAsiaTheme="minorEastAsia" w:hAnsi="Palatino Linotype" w:cs="Arial"/>
          <w:sz w:val="24"/>
          <w:szCs w:val="24"/>
          <w:lang w:val="es-ES_tradnl" w:eastAsia="es-ES"/>
        </w:rPr>
        <w:t xml:space="preserve"> </w:t>
      </w:r>
      <w:r w:rsidRPr="00F06286">
        <w:rPr>
          <w:rFonts w:ascii="Palatino Linotype" w:eastAsiaTheme="minorEastAsia" w:hAnsi="Palatino Linotype" w:cs="Arial"/>
          <w:sz w:val="24"/>
          <w:szCs w:val="24"/>
          <w:lang w:val="es-ES_tradnl" w:eastAsia="es-ES"/>
        </w:rPr>
        <w:t>l</w:t>
      </w:r>
      <w:r>
        <w:rPr>
          <w:rFonts w:ascii="Palatino Linotype" w:eastAsiaTheme="minorEastAsia" w:hAnsi="Palatino Linotype" w:cs="Arial"/>
          <w:sz w:val="24"/>
          <w:szCs w:val="24"/>
          <w:lang w:val="es-ES_tradnl" w:eastAsia="es-ES"/>
        </w:rPr>
        <w:t xml:space="preserve">os </w:t>
      </w:r>
      <w:r w:rsidRPr="00F06286">
        <w:rPr>
          <w:rFonts w:ascii="Palatino Linotype" w:eastAsiaTheme="minorEastAsia" w:hAnsi="Palatino Linotype" w:cs="Arial"/>
          <w:sz w:val="24"/>
          <w:szCs w:val="24"/>
          <w:lang w:val="es-ES_tradnl" w:eastAsia="es-ES"/>
        </w:rPr>
        <w:t>artículo</w:t>
      </w:r>
      <w:r>
        <w:rPr>
          <w:rFonts w:ascii="Palatino Linotype" w:eastAsiaTheme="minorEastAsia" w:hAnsi="Palatino Linotype" w:cs="Arial"/>
          <w:sz w:val="24"/>
          <w:szCs w:val="24"/>
          <w:lang w:val="es-ES_tradnl" w:eastAsia="es-ES"/>
        </w:rPr>
        <w:t>s 191 fracción V</w:t>
      </w:r>
      <w:r w:rsidR="00165C10">
        <w:rPr>
          <w:rFonts w:ascii="Palatino Linotype" w:eastAsiaTheme="minorEastAsia" w:hAnsi="Palatino Linotype" w:cs="Arial"/>
          <w:sz w:val="24"/>
          <w:szCs w:val="24"/>
          <w:lang w:val="es-ES_tradnl" w:eastAsia="es-ES"/>
        </w:rPr>
        <w:t>I</w:t>
      </w:r>
      <w:r>
        <w:rPr>
          <w:rFonts w:ascii="Palatino Linotype" w:eastAsiaTheme="minorEastAsia" w:hAnsi="Palatino Linotype" w:cs="Arial"/>
          <w:sz w:val="24"/>
          <w:szCs w:val="24"/>
          <w:lang w:val="es-ES_tradnl" w:eastAsia="es-ES"/>
        </w:rPr>
        <w:t xml:space="preserve"> y</w:t>
      </w:r>
      <w:r w:rsidRPr="00F06286">
        <w:rPr>
          <w:rFonts w:ascii="Palatino Linotype" w:eastAsiaTheme="minorEastAsia" w:hAnsi="Palatino Linotype" w:cs="Arial"/>
          <w:sz w:val="24"/>
          <w:szCs w:val="24"/>
          <w:lang w:val="es-ES_tradnl" w:eastAsia="es-ES"/>
        </w:rPr>
        <w:t xml:space="preserve"> 192 fracción </w:t>
      </w:r>
      <w:r>
        <w:rPr>
          <w:rFonts w:ascii="Palatino Linotype" w:eastAsiaTheme="minorEastAsia" w:hAnsi="Palatino Linotype" w:cs="Arial"/>
          <w:sz w:val="24"/>
          <w:szCs w:val="24"/>
          <w:lang w:val="es-ES_tradnl" w:eastAsia="es-ES"/>
        </w:rPr>
        <w:t>IV</w:t>
      </w:r>
      <w:r w:rsidRPr="00F06286">
        <w:rPr>
          <w:rFonts w:ascii="Palatino Linotype" w:eastAsiaTheme="minorEastAsia" w:hAnsi="Palatino Linotype" w:cs="Arial"/>
          <w:sz w:val="24"/>
          <w:szCs w:val="24"/>
          <w:lang w:val="es-ES_tradnl" w:eastAsia="es-ES"/>
        </w:rPr>
        <w:t xml:space="preserve"> de la Ley de Transparencia y Acceso a la Información </w:t>
      </w:r>
      <w:r w:rsidRPr="00F06286">
        <w:rPr>
          <w:rFonts w:ascii="Palatino Linotype" w:eastAsiaTheme="minorEastAsia" w:hAnsi="Palatino Linotype" w:cs="Arial"/>
          <w:sz w:val="24"/>
          <w:szCs w:val="24"/>
          <w:lang w:val="es-ES_tradnl" w:eastAsia="es-ES"/>
        </w:rPr>
        <w:lastRenderedPageBreak/>
        <w:t xml:space="preserve">Pública del Estado de México y Municipios, en términos del Considerando </w:t>
      </w:r>
      <w:r w:rsidRPr="00F06286">
        <w:rPr>
          <w:rFonts w:ascii="Palatino Linotype" w:eastAsiaTheme="minorEastAsia" w:hAnsi="Palatino Linotype" w:cs="Arial"/>
          <w:b/>
          <w:sz w:val="24"/>
          <w:szCs w:val="24"/>
          <w:lang w:val="es-ES_tradnl" w:eastAsia="es-ES"/>
        </w:rPr>
        <w:t>TERCERO</w:t>
      </w:r>
      <w:r w:rsidRPr="00F06286">
        <w:rPr>
          <w:rFonts w:ascii="Palatino Linotype" w:eastAsiaTheme="minorEastAsia" w:hAnsi="Palatino Linotype" w:cs="Arial"/>
          <w:sz w:val="24"/>
          <w:szCs w:val="24"/>
          <w:lang w:val="es-ES_tradnl" w:eastAsia="es-ES"/>
        </w:rPr>
        <w:t xml:space="preserve"> de la presente resolución.</w:t>
      </w:r>
    </w:p>
    <w:p w14:paraId="6F5E698F" w14:textId="77777777" w:rsidR="003D39F5" w:rsidRPr="00F06286" w:rsidRDefault="003D39F5" w:rsidP="003D39F5">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14048166" w14:textId="77777777" w:rsidR="003D39F5" w:rsidRPr="00F06286" w:rsidRDefault="003D39F5" w:rsidP="003D39F5">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F06286">
        <w:rPr>
          <w:rFonts w:ascii="Palatino Linotype" w:eastAsiaTheme="minorEastAsia" w:hAnsi="Palatino Linotype" w:cs="Arial"/>
          <w:b/>
          <w:sz w:val="28"/>
          <w:szCs w:val="24"/>
          <w:lang w:val="es-ES_tradnl" w:eastAsia="es-ES"/>
        </w:rPr>
        <w:t>SEGUNDO</w:t>
      </w:r>
      <w:r w:rsidRPr="00F06286">
        <w:rPr>
          <w:rFonts w:ascii="Palatino Linotype" w:eastAsiaTheme="minorEastAsia" w:hAnsi="Palatino Linotype" w:cs="Arial"/>
          <w:b/>
          <w:sz w:val="24"/>
          <w:szCs w:val="24"/>
          <w:lang w:val="es-ES_tradnl" w:eastAsia="es-ES"/>
        </w:rPr>
        <w:t>.</w:t>
      </w:r>
      <w:r w:rsidRPr="00F06286">
        <w:rPr>
          <w:rFonts w:ascii="Palatino Linotype" w:eastAsiaTheme="minorEastAsia" w:hAnsi="Palatino Linotype" w:cs="Arial"/>
          <w:sz w:val="24"/>
          <w:szCs w:val="24"/>
          <w:lang w:val="es-ES_tradnl" w:eastAsia="es-ES"/>
        </w:rPr>
        <w:t xml:space="preserve"> </w:t>
      </w:r>
      <w:r w:rsidRPr="00F06286">
        <w:rPr>
          <w:rFonts w:ascii="Palatino Linotype" w:eastAsiaTheme="minorEastAsia" w:hAnsi="Palatino Linotype" w:cs="Arial"/>
          <w:b/>
          <w:sz w:val="24"/>
          <w:szCs w:val="24"/>
          <w:lang w:val="es-ES_tradnl" w:eastAsia="es-ES"/>
        </w:rPr>
        <w:t>NOTIFÍQUESE</w:t>
      </w:r>
      <w:r w:rsidRPr="00F06286">
        <w:rPr>
          <w:rFonts w:ascii="Palatino Linotype" w:eastAsiaTheme="minorEastAsia" w:hAnsi="Palatino Linotype" w:cs="Arial"/>
          <w:sz w:val="24"/>
          <w:szCs w:val="24"/>
          <w:lang w:val="es-ES_tradnl" w:eastAsia="es-ES"/>
        </w:rPr>
        <w:t xml:space="preserve"> </w:t>
      </w:r>
      <w:r w:rsidRPr="004860F7">
        <w:rPr>
          <w:rFonts w:ascii="Palatino Linotype" w:hAnsi="Palatino Linotype" w:cs="Arial"/>
          <w:sz w:val="24"/>
          <w:szCs w:val="24"/>
        </w:rPr>
        <w:t>a través del Sistema de Acceso a la Información Mexiquense</w:t>
      </w:r>
      <w:r>
        <w:rPr>
          <w:rFonts w:ascii="Palatino Linotype" w:hAnsi="Palatino Linotype" w:cs="Arial"/>
          <w:sz w:val="24"/>
          <w:szCs w:val="24"/>
        </w:rPr>
        <w:t xml:space="preserve"> “</w:t>
      </w:r>
      <w:r w:rsidRPr="004860F7">
        <w:rPr>
          <w:rFonts w:ascii="Palatino Linotype" w:hAnsi="Palatino Linotype" w:cs="Arial"/>
          <w:b/>
          <w:sz w:val="24"/>
          <w:szCs w:val="24"/>
        </w:rPr>
        <w:t>SAIMEX</w:t>
      </w:r>
      <w:r>
        <w:rPr>
          <w:rFonts w:ascii="Palatino Linotype" w:hAnsi="Palatino Linotype" w:cs="Arial"/>
          <w:b/>
          <w:sz w:val="24"/>
          <w:szCs w:val="24"/>
        </w:rPr>
        <w:t>”</w:t>
      </w:r>
      <w:r w:rsidRPr="00F06286">
        <w:rPr>
          <w:rFonts w:ascii="Palatino Linotype" w:eastAsiaTheme="minorEastAsia" w:hAnsi="Palatino Linotype" w:cs="Arial"/>
          <w:sz w:val="24"/>
          <w:szCs w:val="24"/>
          <w:lang w:val="es-ES_tradnl" w:eastAsia="es-ES"/>
        </w:rPr>
        <w:t xml:space="preserve">, la presente resolución al Titular de la Unidad de Transparencia del </w:t>
      </w:r>
      <w:r w:rsidRPr="00F06286">
        <w:rPr>
          <w:rFonts w:ascii="Palatino Linotype" w:eastAsiaTheme="minorEastAsia" w:hAnsi="Palatino Linotype" w:cs="Arial"/>
          <w:b/>
          <w:sz w:val="24"/>
          <w:szCs w:val="24"/>
          <w:lang w:val="es-ES_tradnl" w:eastAsia="es-ES"/>
        </w:rPr>
        <w:t>Sujeto Obligado</w:t>
      </w:r>
      <w:r w:rsidRPr="00F06286">
        <w:rPr>
          <w:rFonts w:ascii="Palatino Linotype" w:eastAsiaTheme="minorEastAsia" w:hAnsi="Palatino Linotype" w:cs="Arial"/>
          <w:sz w:val="24"/>
          <w:szCs w:val="24"/>
          <w:lang w:val="es-ES_tradnl" w:eastAsia="es-ES"/>
        </w:rPr>
        <w:t>.</w:t>
      </w:r>
    </w:p>
    <w:p w14:paraId="0BE4CFA5" w14:textId="77777777" w:rsidR="003D39F5" w:rsidRPr="00F06286" w:rsidRDefault="003D39F5" w:rsidP="003D39F5">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63FE9926" w14:textId="5DF9EA31" w:rsidR="003D39F5" w:rsidRPr="00F06286" w:rsidRDefault="003D39F5" w:rsidP="003D39F5">
      <w:pPr>
        <w:spacing w:after="0" w:line="360" w:lineRule="auto"/>
        <w:jc w:val="both"/>
        <w:rPr>
          <w:rFonts w:ascii="Palatino Linotype" w:eastAsia="Times New Roman" w:hAnsi="Palatino Linotype" w:cs="Arial"/>
          <w:sz w:val="24"/>
          <w:szCs w:val="24"/>
          <w:lang w:val="es-ES" w:eastAsia="es-ES"/>
        </w:rPr>
      </w:pPr>
      <w:r w:rsidRPr="00F06286">
        <w:rPr>
          <w:rFonts w:ascii="Palatino Linotype" w:eastAsia="Times New Roman" w:hAnsi="Palatino Linotype" w:cs="Arial"/>
          <w:b/>
          <w:sz w:val="28"/>
          <w:szCs w:val="24"/>
          <w:lang w:val="es-ES" w:eastAsia="es-ES"/>
        </w:rPr>
        <w:t>TERCERO</w:t>
      </w:r>
      <w:r w:rsidRPr="00F06286">
        <w:rPr>
          <w:rFonts w:ascii="Palatino Linotype" w:eastAsia="Times New Roman" w:hAnsi="Palatino Linotype" w:cs="Arial"/>
          <w:b/>
          <w:sz w:val="24"/>
          <w:szCs w:val="24"/>
          <w:lang w:val="es-ES" w:eastAsia="es-ES"/>
        </w:rPr>
        <w:t>.</w:t>
      </w:r>
      <w:r w:rsidRPr="00F06286">
        <w:rPr>
          <w:rFonts w:ascii="Palatino Linotype" w:eastAsia="Times New Roman" w:hAnsi="Palatino Linotype" w:cs="Arial"/>
          <w:sz w:val="24"/>
          <w:szCs w:val="24"/>
          <w:lang w:val="es-ES" w:eastAsia="es-ES"/>
        </w:rPr>
        <w:t xml:space="preserve"> </w:t>
      </w:r>
      <w:r w:rsidRPr="00F06286">
        <w:rPr>
          <w:rFonts w:ascii="Palatino Linotype" w:hAnsi="Palatino Linotype" w:cs="Arial"/>
          <w:b/>
          <w:sz w:val="24"/>
          <w:szCs w:val="24"/>
        </w:rPr>
        <w:t xml:space="preserve">NOTIFÍQUESE </w:t>
      </w:r>
      <w:r w:rsidRPr="00F06286">
        <w:rPr>
          <w:rFonts w:ascii="Palatino Linotype" w:hAnsi="Palatino Linotype" w:cs="Arial"/>
          <w:sz w:val="24"/>
          <w:szCs w:val="24"/>
        </w:rPr>
        <w:t xml:space="preserve">a la parte </w:t>
      </w:r>
      <w:r w:rsidRPr="00F06286">
        <w:rPr>
          <w:rFonts w:ascii="Palatino Linotype" w:hAnsi="Palatino Linotype" w:cs="Arial"/>
          <w:b/>
          <w:sz w:val="24"/>
          <w:szCs w:val="24"/>
        </w:rPr>
        <w:t>Recurrente</w:t>
      </w:r>
      <w:r>
        <w:rPr>
          <w:rFonts w:ascii="Palatino Linotype" w:hAnsi="Palatino Linotype" w:cs="Arial"/>
          <w:b/>
          <w:sz w:val="24"/>
          <w:szCs w:val="24"/>
        </w:rPr>
        <w:t xml:space="preserve"> </w:t>
      </w:r>
      <w:r w:rsidRPr="004860F7">
        <w:rPr>
          <w:rFonts w:ascii="Palatino Linotype" w:hAnsi="Palatino Linotype" w:cs="Arial"/>
          <w:sz w:val="24"/>
          <w:szCs w:val="24"/>
        </w:rPr>
        <w:t>a través del Sistema de Acceso a la Información Mexiquense</w:t>
      </w:r>
      <w:r>
        <w:rPr>
          <w:rFonts w:ascii="Palatino Linotype" w:hAnsi="Palatino Linotype" w:cs="Arial"/>
          <w:sz w:val="24"/>
          <w:szCs w:val="24"/>
        </w:rPr>
        <w:t xml:space="preserve"> “</w:t>
      </w:r>
      <w:r w:rsidRPr="004860F7">
        <w:rPr>
          <w:rFonts w:ascii="Palatino Linotype" w:hAnsi="Palatino Linotype" w:cs="Arial"/>
          <w:b/>
          <w:sz w:val="24"/>
          <w:szCs w:val="24"/>
        </w:rPr>
        <w:t>SAIMEX</w:t>
      </w:r>
      <w:r>
        <w:rPr>
          <w:rFonts w:ascii="Palatino Linotype" w:hAnsi="Palatino Linotype" w:cs="Arial"/>
          <w:b/>
          <w:sz w:val="24"/>
          <w:szCs w:val="24"/>
        </w:rPr>
        <w:t>”</w:t>
      </w:r>
      <w:r w:rsidR="00632D8E">
        <w:rPr>
          <w:rFonts w:ascii="Palatino Linotype" w:eastAsiaTheme="minorEastAsia" w:hAnsi="Palatino Linotype" w:cs="Arial"/>
          <w:sz w:val="24"/>
          <w:szCs w:val="24"/>
          <w:lang w:val="es-ES_tradnl" w:eastAsia="es-ES"/>
        </w:rPr>
        <w:t xml:space="preserve"> y correo electrónico,</w:t>
      </w:r>
      <w:r w:rsidRPr="00F06286">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EC20A4F" w14:textId="77777777" w:rsidR="002F51FD" w:rsidRPr="003D39F5" w:rsidRDefault="002F51FD" w:rsidP="003F661B">
      <w:pPr>
        <w:spacing w:after="0" w:line="360" w:lineRule="auto"/>
        <w:jc w:val="both"/>
        <w:rPr>
          <w:rFonts w:ascii="Palatino Linotype" w:hAnsi="Palatino Linotype"/>
          <w:sz w:val="24"/>
          <w:szCs w:val="24"/>
          <w:lang w:val="es-ES" w:eastAsia="es-ES_tradnl"/>
        </w:rPr>
      </w:pPr>
    </w:p>
    <w:p w14:paraId="6512475F" w14:textId="2C579C17" w:rsidR="00CC385A" w:rsidRPr="004860F7" w:rsidRDefault="00CC385A" w:rsidP="003F661B">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ASÍ LO RESUELVE, POR UNANIMIDAD DE VOTOS EL PLENO DEL</w:t>
      </w:r>
      <w:r w:rsidRPr="004860F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860F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2F51FD">
        <w:rPr>
          <w:rFonts w:ascii="Palatino Linotype" w:hAnsi="Palatino Linotype" w:cs="Arial"/>
          <w:sz w:val="24"/>
          <w:szCs w:val="24"/>
        </w:rPr>
        <w:t xml:space="preserve">VIGÉSIMA </w:t>
      </w:r>
      <w:r w:rsidR="00632D8E">
        <w:rPr>
          <w:rFonts w:ascii="Palatino Linotype" w:hAnsi="Palatino Linotype" w:cs="Arial"/>
          <w:sz w:val="24"/>
          <w:szCs w:val="24"/>
        </w:rPr>
        <w:t>NOVENA</w:t>
      </w:r>
      <w:r w:rsidRPr="004860F7">
        <w:rPr>
          <w:rFonts w:ascii="Palatino Linotype" w:hAnsi="Palatino Linotype" w:cs="Arial"/>
          <w:sz w:val="24"/>
          <w:szCs w:val="24"/>
        </w:rPr>
        <w:t xml:space="preserve"> SESIÓN ORDINARIA CELEBRADA EL </w:t>
      </w:r>
      <w:r w:rsidR="00632D8E">
        <w:rPr>
          <w:rFonts w:ascii="Palatino Linotype" w:hAnsi="Palatino Linotype" w:cs="Arial"/>
          <w:sz w:val="24"/>
          <w:szCs w:val="24"/>
        </w:rPr>
        <w:t xml:space="preserve">VEINTIUNO </w:t>
      </w:r>
      <w:r w:rsidRPr="004860F7">
        <w:rPr>
          <w:rFonts w:ascii="Palatino Linotype" w:hAnsi="Palatino Linotype" w:cs="Arial"/>
          <w:sz w:val="24"/>
          <w:szCs w:val="24"/>
        </w:rPr>
        <w:t xml:space="preserve">DE </w:t>
      </w:r>
      <w:r w:rsidR="00165C10">
        <w:rPr>
          <w:rFonts w:ascii="Palatino Linotype" w:hAnsi="Palatino Linotype" w:cs="Arial"/>
          <w:sz w:val="24"/>
          <w:szCs w:val="24"/>
        </w:rPr>
        <w:t>AGOSTO</w:t>
      </w:r>
      <w:r w:rsidRPr="004860F7">
        <w:rPr>
          <w:rFonts w:ascii="Palatino Linotype" w:hAnsi="Palatino Linotype" w:cs="Arial"/>
          <w:sz w:val="24"/>
          <w:szCs w:val="24"/>
        </w:rPr>
        <w:t xml:space="preserve"> DE DOS MIL VEINTI</w:t>
      </w:r>
      <w:r w:rsidR="0030626F">
        <w:rPr>
          <w:rFonts w:ascii="Palatino Linotype" w:hAnsi="Palatino Linotype" w:cs="Arial"/>
          <w:sz w:val="24"/>
          <w:szCs w:val="24"/>
        </w:rPr>
        <w:t>CUATRO</w:t>
      </w:r>
      <w:r w:rsidRPr="004860F7">
        <w:rPr>
          <w:rFonts w:ascii="Palatino Linotype" w:hAnsi="Palatino Linotype" w:cs="Arial"/>
          <w:sz w:val="24"/>
          <w:szCs w:val="24"/>
        </w:rPr>
        <w:t>, ANTE EL SECRETARIO TÉCNICO DEL PLENO, ALEXIS TAPIA RAMÍREZ. -----------------------------------------------------------------</w:t>
      </w:r>
      <w:r w:rsidR="004E38CB">
        <w:rPr>
          <w:rFonts w:ascii="Palatino Linotype" w:hAnsi="Palatino Linotype" w:cs="Arial"/>
          <w:sz w:val="24"/>
          <w:szCs w:val="24"/>
        </w:rPr>
        <w:t>-----------</w:t>
      </w:r>
    </w:p>
    <w:p w14:paraId="0948FD14" w14:textId="77777777" w:rsidR="00CC385A" w:rsidRPr="004860F7" w:rsidRDefault="00CC385A" w:rsidP="003F661B">
      <w:pPr>
        <w:spacing w:after="0" w:line="360" w:lineRule="auto"/>
        <w:jc w:val="both"/>
        <w:rPr>
          <w:rFonts w:ascii="Palatino Linotype" w:hAnsi="Palatino Linotype" w:cs="Arial"/>
          <w:sz w:val="24"/>
          <w:szCs w:val="24"/>
        </w:rPr>
      </w:pPr>
      <w:r w:rsidRPr="004860F7">
        <w:rPr>
          <w:rFonts w:ascii="Palatino Linotype" w:hAnsi="Palatino Linotype" w:cs="Arial"/>
          <w:sz w:val="24"/>
          <w:szCs w:val="24"/>
        </w:rPr>
        <w:t>-----------------------------------------------------------------------------------------------------------------</w:t>
      </w:r>
    </w:p>
    <w:p w14:paraId="6DEE8A99" w14:textId="77777777" w:rsidR="00CC385A" w:rsidRPr="0016590E" w:rsidRDefault="00CC385A" w:rsidP="003F661B">
      <w:pPr>
        <w:spacing w:after="0" w:line="360" w:lineRule="auto"/>
        <w:jc w:val="both"/>
        <w:rPr>
          <w:rFonts w:ascii="Palatino Linotype" w:hAnsi="Palatino Linotype" w:cs="Arial"/>
          <w:sz w:val="20"/>
        </w:rPr>
      </w:pPr>
      <w:r w:rsidRPr="004860F7">
        <w:rPr>
          <w:rFonts w:ascii="Palatino Linotype" w:hAnsi="Palatino Linotype" w:cs="Arial"/>
          <w:sz w:val="20"/>
        </w:rPr>
        <w:t>CCR/*</w:t>
      </w:r>
    </w:p>
    <w:p w14:paraId="7347F675" w14:textId="77777777" w:rsidR="00CC385A" w:rsidRPr="0016590E" w:rsidRDefault="00CC385A" w:rsidP="003F661B">
      <w:pPr>
        <w:spacing w:after="0" w:line="360" w:lineRule="auto"/>
        <w:jc w:val="both"/>
        <w:rPr>
          <w:rFonts w:ascii="Palatino Linotype" w:hAnsi="Palatino Linotype" w:cs="Arial"/>
          <w:sz w:val="24"/>
          <w:szCs w:val="24"/>
        </w:rPr>
      </w:pPr>
    </w:p>
    <w:p w14:paraId="2AC6CF7B" w14:textId="77777777" w:rsidR="00CC385A" w:rsidRPr="0016590E" w:rsidRDefault="00CC385A" w:rsidP="003F661B">
      <w:pPr>
        <w:spacing w:after="0" w:line="360" w:lineRule="auto"/>
        <w:jc w:val="both"/>
        <w:rPr>
          <w:rFonts w:ascii="Palatino Linotype" w:hAnsi="Palatino Linotype" w:cs="Arial"/>
          <w:sz w:val="24"/>
          <w:szCs w:val="24"/>
        </w:rPr>
      </w:pPr>
    </w:p>
    <w:p w14:paraId="28126798" w14:textId="77777777" w:rsidR="00CC385A" w:rsidRPr="0016590E" w:rsidRDefault="00CC385A" w:rsidP="003F661B">
      <w:pPr>
        <w:spacing w:after="0" w:line="360" w:lineRule="auto"/>
        <w:jc w:val="both"/>
        <w:rPr>
          <w:rFonts w:ascii="Palatino Linotype" w:hAnsi="Palatino Linotype" w:cs="Arial"/>
          <w:sz w:val="24"/>
          <w:szCs w:val="24"/>
        </w:rPr>
      </w:pPr>
    </w:p>
    <w:p w14:paraId="651CF7C0" w14:textId="77777777" w:rsidR="00CC385A" w:rsidRPr="0016590E" w:rsidRDefault="00CC385A" w:rsidP="003F661B">
      <w:pPr>
        <w:spacing w:after="0"/>
        <w:rPr>
          <w:rFonts w:ascii="Palatino Linotype" w:hAnsi="Palatino Linotype"/>
        </w:rPr>
      </w:pPr>
    </w:p>
    <w:p w14:paraId="2359702C" w14:textId="77777777" w:rsidR="00CC385A" w:rsidRPr="0016590E" w:rsidRDefault="00CC385A" w:rsidP="003F661B">
      <w:pPr>
        <w:spacing w:after="0"/>
        <w:rPr>
          <w:rFonts w:ascii="Palatino Linotype" w:hAnsi="Palatino Linotype"/>
        </w:rPr>
      </w:pPr>
    </w:p>
    <w:p w14:paraId="3930FF48" w14:textId="77777777" w:rsidR="00CC385A" w:rsidRPr="0016590E" w:rsidRDefault="00CC385A" w:rsidP="003F661B">
      <w:pPr>
        <w:spacing w:after="0"/>
        <w:rPr>
          <w:rFonts w:ascii="Palatino Linotype" w:hAnsi="Palatino Linotype"/>
        </w:rPr>
      </w:pPr>
    </w:p>
    <w:p w14:paraId="27BE48F2" w14:textId="77777777" w:rsidR="00CC385A" w:rsidRPr="0016590E" w:rsidRDefault="00CC385A" w:rsidP="003F661B">
      <w:pPr>
        <w:spacing w:after="0"/>
        <w:rPr>
          <w:rFonts w:ascii="Palatino Linotype" w:hAnsi="Palatino Linotype"/>
        </w:rPr>
      </w:pPr>
    </w:p>
    <w:p w14:paraId="4A0132F2" w14:textId="77777777" w:rsidR="00CC385A" w:rsidRPr="0016590E" w:rsidRDefault="00CC385A" w:rsidP="003F661B">
      <w:pPr>
        <w:spacing w:after="0"/>
        <w:rPr>
          <w:rFonts w:ascii="Palatino Linotype" w:hAnsi="Palatino Linotype"/>
        </w:rPr>
      </w:pPr>
    </w:p>
    <w:p w14:paraId="2B0C4F3F" w14:textId="77777777" w:rsidR="00CC385A" w:rsidRPr="0016590E" w:rsidRDefault="00CC385A" w:rsidP="003F661B">
      <w:pPr>
        <w:spacing w:after="0"/>
        <w:rPr>
          <w:rFonts w:ascii="Palatino Linotype" w:hAnsi="Palatino Linotype"/>
        </w:rPr>
      </w:pPr>
    </w:p>
    <w:p w14:paraId="1248FBDB" w14:textId="77777777" w:rsidR="00CC385A" w:rsidRPr="0016590E" w:rsidRDefault="00CC385A" w:rsidP="003F661B">
      <w:pPr>
        <w:spacing w:after="0"/>
        <w:rPr>
          <w:rFonts w:ascii="Palatino Linotype" w:hAnsi="Palatino Linotype"/>
        </w:rPr>
      </w:pPr>
    </w:p>
    <w:p w14:paraId="14F2BD7A" w14:textId="77777777" w:rsidR="00CC385A" w:rsidRPr="0016590E" w:rsidRDefault="00CC385A" w:rsidP="003F661B">
      <w:pPr>
        <w:spacing w:after="0"/>
        <w:rPr>
          <w:rFonts w:ascii="Palatino Linotype" w:hAnsi="Palatino Linotype"/>
        </w:rPr>
      </w:pPr>
    </w:p>
    <w:p w14:paraId="3F5BBEA6" w14:textId="77777777" w:rsidR="00CC385A" w:rsidRPr="0016590E" w:rsidRDefault="00CC385A" w:rsidP="003F661B">
      <w:pPr>
        <w:spacing w:after="0"/>
        <w:rPr>
          <w:rFonts w:ascii="Palatino Linotype" w:hAnsi="Palatino Linotype"/>
        </w:rPr>
      </w:pPr>
    </w:p>
    <w:p w14:paraId="3DADAB2A" w14:textId="77777777" w:rsidR="00CC385A" w:rsidRDefault="00CC385A" w:rsidP="003F661B">
      <w:pPr>
        <w:spacing w:after="0"/>
      </w:pPr>
    </w:p>
    <w:p w14:paraId="4A8C4153" w14:textId="77777777" w:rsidR="00CC385A" w:rsidRPr="00791D5A" w:rsidRDefault="00CC385A" w:rsidP="003F661B">
      <w:pPr>
        <w:spacing w:after="0"/>
      </w:pPr>
    </w:p>
    <w:p w14:paraId="01B2E98B" w14:textId="77777777" w:rsidR="00CC385A" w:rsidRDefault="00CC385A" w:rsidP="003F661B">
      <w:pPr>
        <w:spacing w:after="0"/>
      </w:pPr>
    </w:p>
    <w:p w14:paraId="47B62B8C" w14:textId="77777777" w:rsidR="00CC385A" w:rsidRDefault="00CC385A" w:rsidP="003F661B">
      <w:pPr>
        <w:spacing w:after="0"/>
      </w:pPr>
    </w:p>
    <w:p w14:paraId="32B18097" w14:textId="77777777" w:rsidR="00CC385A" w:rsidRDefault="00CC385A" w:rsidP="003F661B">
      <w:pPr>
        <w:spacing w:after="0"/>
      </w:pPr>
    </w:p>
    <w:p w14:paraId="5E9EEC75" w14:textId="77777777" w:rsidR="00CC385A" w:rsidRDefault="00CC385A" w:rsidP="003F661B">
      <w:pPr>
        <w:spacing w:after="0"/>
      </w:pPr>
    </w:p>
    <w:sectPr w:rsidR="00CC385A" w:rsidSect="00CC385A">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CEB34" w14:textId="77777777" w:rsidR="00B243B6" w:rsidRDefault="00B243B6" w:rsidP="00CC385A">
      <w:pPr>
        <w:spacing w:after="0" w:line="240" w:lineRule="auto"/>
      </w:pPr>
      <w:r>
        <w:separator/>
      </w:r>
    </w:p>
  </w:endnote>
  <w:endnote w:type="continuationSeparator" w:id="0">
    <w:p w14:paraId="5B786F1F" w14:textId="77777777" w:rsidR="00B243B6" w:rsidRDefault="00B243B6" w:rsidP="00C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19736D4" w14:textId="77777777" w:rsidR="00D759B7" w:rsidRPr="002D6DD8" w:rsidRDefault="00D759B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224B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224B8">
              <w:rPr>
                <w:rFonts w:ascii="Palatino Linotype" w:hAnsi="Palatino Linotype"/>
                <w:bCs/>
                <w:noProof/>
                <w:sz w:val="20"/>
              </w:rPr>
              <w:t>31</w:t>
            </w:r>
            <w:r>
              <w:rPr>
                <w:rFonts w:ascii="Palatino Linotype" w:hAnsi="Palatino Linotype"/>
                <w:bCs/>
                <w:noProof/>
                <w:sz w:val="20"/>
              </w:rPr>
              <w:fldChar w:fldCharType="end"/>
            </w:r>
          </w:p>
        </w:sdtContent>
      </w:sdt>
    </w:sdtContent>
  </w:sdt>
  <w:p w14:paraId="411F2D59" w14:textId="77777777" w:rsidR="00D759B7" w:rsidRDefault="00D759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CB7E" w14:textId="77777777" w:rsidR="00D759B7" w:rsidRPr="000B69FA" w:rsidRDefault="00D759B7" w:rsidP="00CC385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224B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224B8">
      <w:rPr>
        <w:rFonts w:ascii="Palatino Linotype" w:hAnsi="Palatino Linotype"/>
        <w:bCs/>
        <w:noProof/>
        <w:sz w:val="20"/>
      </w:rPr>
      <w:t>31</w:t>
    </w:r>
    <w:r>
      <w:rPr>
        <w:rFonts w:ascii="Palatino Linotype" w:hAnsi="Palatino Linotype"/>
        <w:bCs/>
        <w:noProof/>
        <w:sz w:val="20"/>
      </w:rPr>
      <w:fldChar w:fldCharType="end"/>
    </w:r>
  </w:p>
  <w:p w14:paraId="3FB15CA4" w14:textId="77777777" w:rsidR="00D759B7" w:rsidRDefault="00D759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71E4" w14:textId="77777777" w:rsidR="00B243B6" w:rsidRDefault="00B243B6" w:rsidP="00CC385A">
      <w:pPr>
        <w:spacing w:after="0" w:line="240" w:lineRule="auto"/>
      </w:pPr>
      <w:r>
        <w:separator/>
      </w:r>
    </w:p>
  </w:footnote>
  <w:footnote w:type="continuationSeparator" w:id="0">
    <w:p w14:paraId="29BA7672" w14:textId="77777777" w:rsidR="00B243B6" w:rsidRDefault="00B243B6" w:rsidP="00CC385A">
      <w:pPr>
        <w:spacing w:after="0" w:line="240" w:lineRule="auto"/>
      </w:pPr>
      <w:r>
        <w:continuationSeparator/>
      </w:r>
    </w:p>
  </w:footnote>
  <w:footnote w:id="1">
    <w:p w14:paraId="0510BA3C" w14:textId="77777777" w:rsidR="001E3B90" w:rsidRPr="009535FD" w:rsidRDefault="001E3B90" w:rsidP="001E3B90">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6DC5382E" w14:textId="77777777" w:rsidR="001E3B90" w:rsidRPr="009535FD" w:rsidRDefault="001E3B90" w:rsidP="001E3B90">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D759B7" w14:paraId="58B74ACC" w14:textId="77777777" w:rsidTr="0021122F">
      <w:trPr>
        <w:trHeight w:val="227"/>
      </w:trPr>
      <w:tc>
        <w:tcPr>
          <w:tcW w:w="4679" w:type="dxa"/>
          <w:hideMark/>
        </w:tcPr>
        <w:p w14:paraId="169CAB44" w14:textId="77777777" w:rsidR="00D759B7" w:rsidRPr="00641471" w:rsidRDefault="00D759B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136304AE" w14:textId="7883D1D5" w:rsidR="00D759B7" w:rsidRPr="00641471" w:rsidRDefault="005323CE" w:rsidP="007649E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02720/INFOEM/IP/RR/2024</w:t>
          </w:r>
        </w:p>
      </w:tc>
    </w:tr>
    <w:tr w:rsidR="00D759B7" w14:paraId="1BC23CA3" w14:textId="77777777" w:rsidTr="0021122F">
      <w:trPr>
        <w:trHeight w:val="242"/>
      </w:trPr>
      <w:tc>
        <w:tcPr>
          <w:tcW w:w="4679" w:type="dxa"/>
          <w:hideMark/>
        </w:tcPr>
        <w:p w14:paraId="0ABD47CF" w14:textId="77777777" w:rsidR="00D759B7" w:rsidRPr="00641471" w:rsidRDefault="00D759B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1A787F8E" w14:textId="77777777" w:rsidR="00D759B7" w:rsidRPr="00641471" w:rsidRDefault="000578A3"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Seguridad</w:t>
          </w:r>
        </w:p>
      </w:tc>
    </w:tr>
    <w:tr w:rsidR="00D759B7" w14:paraId="514424A4" w14:textId="77777777" w:rsidTr="0021122F">
      <w:trPr>
        <w:trHeight w:val="342"/>
      </w:trPr>
      <w:tc>
        <w:tcPr>
          <w:tcW w:w="4679" w:type="dxa"/>
          <w:hideMark/>
        </w:tcPr>
        <w:p w14:paraId="059CE8B9" w14:textId="77777777" w:rsidR="00D759B7" w:rsidRPr="00641471" w:rsidRDefault="00D759B7" w:rsidP="00CC385A">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244" w:type="dxa"/>
          <w:hideMark/>
        </w:tcPr>
        <w:p w14:paraId="6F98BAD3" w14:textId="77777777" w:rsidR="00D759B7" w:rsidRPr="00641471" w:rsidRDefault="00D759B7" w:rsidP="00CC385A">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3E3E8850" w14:textId="77777777" w:rsidR="00D759B7" w:rsidRPr="00AE046A" w:rsidRDefault="00D759B7" w:rsidP="00CC385A">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098F790" wp14:editId="075E1047">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D759B7" w14:paraId="6FFC9A6A" w14:textId="77777777" w:rsidTr="0021122F">
      <w:trPr>
        <w:trHeight w:val="227"/>
      </w:trPr>
      <w:tc>
        <w:tcPr>
          <w:tcW w:w="4820" w:type="dxa"/>
          <w:hideMark/>
        </w:tcPr>
        <w:p w14:paraId="0CCF4CAA" w14:textId="77777777" w:rsidR="00D759B7" w:rsidRPr="00641471" w:rsidRDefault="00D759B7" w:rsidP="00CC385A">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07BCC5CA" w14:textId="021A80CC" w:rsidR="00D759B7" w:rsidRPr="00641471" w:rsidRDefault="005323CE" w:rsidP="007649E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02720/INFOEM/IP/RR/2024</w:t>
          </w:r>
        </w:p>
      </w:tc>
    </w:tr>
    <w:tr w:rsidR="00D759B7" w14:paraId="1B07E995" w14:textId="77777777" w:rsidTr="0021122F">
      <w:trPr>
        <w:trHeight w:val="242"/>
      </w:trPr>
      <w:tc>
        <w:tcPr>
          <w:tcW w:w="4820" w:type="dxa"/>
          <w:hideMark/>
        </w:tcPr>
        <w:p w14:paraId="48BCD203" w14:textId="77777777" w:rsidR="00D759B7" w:rsidRPr="00641471" w:rsidRDefault="00D759B7" w:rsidP="00CC385A">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ED1A086" w14:textId="77777777" w:rsidR="00D759B7" w:rsidRPr="00641471" w:rsidRDefault="000578A3" w:rsidP="00CC385A">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Seguridad</w:t>
          </w:r>
        </w:p>
      </w:tc>
    </w:tr>
    <w:tr w:rsidR="00D759B7" w14:paraId="0255F83D" w14:textId="77777777" w:rsidTr="0021122F">
      <w:trPr>
        <w:trHeight w:val="342"/>
      </w:trPr>
      <w:tc>
        <w:tcPr>
          <w:tcW w:w="4820" w:type="dxa"/>
        </w:tcPr>
        <w:p w14:paraId="1998B5C0" w14:textId="77777777" w:rsidR="00D759B7" w:rsidRPr="00641471" w:rsidRDefault="00D759B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12813835" w14:textId="5292F980" w:rsidR="00D759B7" w:rsidRPr="00641471" w:rsidRDefault="00D759B7" w:rsidP="00CC385A">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EA339C7" wp14:editId="16EC5F4D">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F224B8">
            <w:rPr>
              <w:rFonts w:ascii="Palatino Linotype" w:hAnsi="Palatino Linotype" w:cs="Arial"/>
              <w:b/>
            </w:rPr>
            <w:t>XXXX</w:t>
          </w:r>
        </w:p>
      </w:tc>
    </w:tr>
    <w:tr w:rsidR="00D759B7" w14:paraId="5B8B8E17" w14:textId="77777777" w:rsidTr="0021122F">
      <w:trPr>
        <w:trHeight w:val="342"/>
      </w:trPr>
      <w:tc>
        <w:tcPr>
          <w:tcW w:w="4820" w:type="dxa"/>
        </w:tcPr>
        <w:p w14:paraId="3720EB5E" w14:textId="77777777" w:rsidR="00D759B7" w:rsidRPr="00641471" w:rsidRDefault="00D759B7" w:rsidP="00CC385A">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4F23944" w14:textId="77777777" w:rsidR="00D759B7" w:rsidRPr="00641471" w:rsidRDefault="00D759B7" w:rsidP="00CC385A">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3D6DE87" w14:textId="77777777" w:rsidR="00D759B7" w:rsidRPr="00C222C0" w:rsidRDefault="00D759B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6161C"/>
    <w:multiLevelType w:val="hybridMultilevel"/>
    <w:tmpl w:val="CDCED5CE"/>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07393A61"/>
    <w:multiLevelType w:val="hybridMultilevel"/>
    <w:tmpl w:val="B1021002"/>
    <w:lvl w:ilvl="0" w:tplc="080A0017">
      <w:start w:val="1"/>
      <w:numFmt w:val="lowerLetter"/>
      <w:lvlText w:val="%1)"/>
      <w:lvlJc w:val="left"/>
      <w:pPr>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3A1D45"/>
    <w:multiLevelType w:val="hybridMultilevel"/>
    <w:tmpl w:val="6BEE0BB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0060"/>
    <w:multiLevelType w:val="hybridMultilevel"/>
    <w:tmpl w:val="FFC6F196"/>
    <w:lvl w:ilvl="0" w:tplc="2BD8859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17C34FBD"/>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59333A"/>
    <w:multiLevelType w:val="hybridMultilevel"/>
    <w:tmpl w:val="F6907A32"/>
    <w:lvl w:ilvl="0" w:tplc="ADA4DA94">
      <w:numFmt w:val="bullet"/>
      <w:lvlText w:val="-"/>
      <w:lvlJc w:val="left"/>
      <w:pPr>
        <w:ind w:left="927" w:hanging="360"/>
      </w:pPr>
      <w:rPr>
        <w:rFonts w:ascii="Palatino Linotype" w:eastAsia="Calibri" w:hAnsi="Palatino Linotype"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1A590E47"/>
    <w:multiLevelType w:val="hybridMultilevel"/>
    <w:tmpl w:val="DDE67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2780B"/>
    <w:multiLevelType w:val="hybridMultilevel"/>
    <w:tmpl w:val="1F263516"/>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0AF07A9"/>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760B13"/>
    <w:multiLevelType w:val="hybridMultilevel"/>
    <w:tmpl w:val="8976F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8F0E02"/>
    <w:multiLevelType w:val="hybridMultilevel"/>
    <w:tmpl w:val="0720C13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7FF20D1"/>
    <w:multiLevelType w:val="hybridMultilevel"/>
    <w:tmpl w:val="5F800596"/>
    <w:lvl w:ilvl="0" w:tplc="ADA4DA94">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0E48B6"/>
    <w:multiLevelType w:val="hybridMultilevel"/>
    <w:tmpl w:val="56B037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327FB2"/>
    <w:multiLevelType w:val="hybridMultilevel"/>
    <w:tmpl w:val="53987FB4"/>
    <w:lvl w:ilvl="0" w:tplc="36585D6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633E8B"/>
    <w:multiLevelType w:val="hybridMultilevel"/>
    <w:tmpl w:val="446647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437E9C"/>
    <w:multiLevelType w:val="hybridMultilevel"/>
    <w:tmpl w:val="7D664F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3014916"/>
    <w:multiLevelType w:val="hybridMultilevel"/>
    <w:tmpl w:val="5BCC092E"/>
    <w:lvl w:ilvl="0" w:tplc="515A4F80">
      <w:start w:val="1"/>
      <w:numFmt w:val="lowerLetter"/>
      <w:lvlText w:val="%1)"/>
      <w:lvlJc w:val="left"/>
      <w:pPr>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2B2BE8"/>
    <w:multiLevelType w:val="hybridMultilevel"/>
    <w:tmpl w:val="5BCC092E"/>
    <w:lvl w:ilvl="0" w:tplc="515A4F80">
      <w:start w:val="1"/>
      <w:numFmt w:val="lowerLetter"/>
      <w:lvlText w:val="%1)"/>
      <w:lvlJc w:val="left"/>
      <w:pPr>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7F611077"/>
    <w:multiLevelType w:val="hybridMultilevel"/>
    <w:tmpl w:val="C7D25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24"/>
  </w:num>
  <w:num w:numId="5">
    <w:abstractNumId w:val="9"/>
  </w:num>
  <w:num w:numId="6">
    <w:abstractNumId w:val="18"/>
  </w:num>
  <w:num w:numId="7">
    <w:abstractNumId w:val="6"/>
  </w:num>
  <w:num w:numId="8">
    <w:abstractNumId w:val="0"/>
  </w:num>
  <w:num w:numId="9">
    <w:abstractNumId w:val="3"/>
  </w:num>
  <w:num w:numId="10">
    <w:abstractNumId w:val="5"/>
  </w:num>
  <w:num w:numId="11">
    <w:abstractNumId w:val="27"/>
  </w:num>
  <w:num w:numId="12">
    <w:abstractNumId w:val="7"/>
  </w:num>
  <w:num w:numId="13">
    <w:abstractNumId w:val="17"/>
  </w:num>
  <w:num w:numId="14">
    <w:abstractNumId w:val="30"/>
  </w:num>
  <w:num w:numId="15">
    <w:abstractNumId w:val="16"/>
  </w:num>
  <w:num w:numId="16">
    <w:abstractNumId w:val="10"/>
  </w:num>
  <w:num w:numId="17">
    <w:abstractNumId w:val="13"/>
  </w:num>
  <w:num w:numId="18">
    <w:abstractNumId w:val="26"/>
  </w:num>
  <w:num w:numId="19">
    <w:abstractNumId w:val="23"/>
  </w:num>
  <w:num w:numId="20">
    <w:abstractNumId w:val="28"/>
  </w:num>
  <w:num w:numId="21">
    <w:abstractNumId w:val="2"/>
  </w:num>
  <w:num w:numId="22">
    <w:abstractNumId w:val="29"/>
  </w:num>
  <w:num w:numId="23">
    <w:abstractNumId w:val="21"/>
  </w:num>
  <w:num w:numId="24">
    <w:abstractNumId w:val="11"/>
  </w:num>
  <w:num w:numId="25">
    <w:abstractNumId w:val="31"/>
  </w:num>
  <w:num w:numId="26">
    <w:abstractNumId w:val="20"/>
  </w:num>
  <w:num w:numId="27">
    <w:abstractNumId w:val="25"/>
  </w:num>
  <w:num w:numId="28">
    <w:abstractNumId w:val="8"/>
  </w:num>
  <w:num w:numId="29">
    <w:abstractNumId w:val="14"/>
  </w:num>
  <w:num w:numId="30">
    <w:abstractNumId w:val="1"/>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A"/>
    <w:rsid w:val="00002848"/>
    <w:rsid w:val="00005E17"/>
    <w:rsid w:val="000351E5"/>
    <w:rsid w:val="0004274C"/>
    <w:rsid w:val="000547A4"/>
    <w:rsid w:val="000578A3"/>
    <w:rsid w:val="0008130D"/>
    <w:rsid w:val="000A0DA7"/>
    <w:rsid w:val="000D1498"/>
    <w:rsid w:val="0012611E"/>
    <w:rsid w:val="001404EB"/>
    <w:rsid w:val="00153004"/>
    <w:rsid w:val="00165C10"/>
    <w:rsid w:val="001724A5"/>
    <w:rsid w:val="00180815"/>
    <w:rsid w:val="001957C7"/>
    <w:rsid w:val="001A2251"/>
    <w:rsid w:val="001D0E97"/>
    <w:rsid w:val="001D7E58"/>
    <w:rsid w:val="001E3B90"/>
    <w:rsid w:val="002038AF"/>
    <w:rsid w:val="00206118"/>
    <w:rsid w:val="0021122F"/>
    <w:rsid w:val="002152A9"/>
    <w:rsid w:val="0021705E"/>
    <w:rsid w:val="00234361"/>
    <w:rsid w:val="0026554F"/>
    <w:rsid w:val="00274F6E"/>
    <w:rsid w:val="0027697B"/>
    <w:rsid w:val="002C15B5"/>
    <w:rsid w:val="002F21D5"/>
    <w:rsid w:val="002F4A43"/>
    <w:rsid w:val="002F51FD"/>
    <w:rsid w:val="00301719"/>
    <w:rsid w:val="0030626F"/>
    <w:rsid w:val="0030721A"/>
    <w:rsid w:val="00316DB5"/>
    <w:rsid w:val="00334773"/>
    <w:rsid w:val="003571EF"/>
    <w:rsid w:val="0037064C"/>
    <w:rsid w:val="003A0B31"/>
    <w:rsid w:val="003A1BEC"/>
    <w:rsid w:val="003B489B"/>
    <w:rsid w:val="003C390D"/>
    <w:rsid w:val="003D39F5"/>
    <w:rsid w:val="003F0BB1"/>
    <w:rsid w:val="003F132E"/>
    <w:rsid w:val="003F661B"/>
    <w:rsid w:val="0042361F"/>
    <w:rsid w:val="004256EA"/>
    <w:rsid w:val="00442971"/>
    <w:rsid w:val="00482333"/>
    <w:rsid w:val="00497C45"/>
    <w:rsid w:val="004A4B40"/>
    <w:rsid w:val="004C343D"/>
    <w:rsid w:val="004C624E"/>
    <w:rsid w:val="004C7E04"/>
    <w:rsid w:val="004D1379"/>
    <w:rsid w:val="004D6B39"/>
    <w:rsid w:val="004E38CB"/>
    <w:rsid w:val="00513DC1"/>
    <w:rsid w:val="00524120"/>
    <w:rsid w:val="005323CE"/>
    <w:rsid w:val="00547BB4"/>
    <w:rsid w:val="00567ABC"/>
    <w:rsid w:val="00596C7E"/>
    <w:rsid w:val="005A0DC4"/>
    <w:rsid w:val="005A1D9A"/>
    <w:rsid w:val="005B347A"/>
    <w:rsid w:val="006010EA"/>
    <w:rsid w:val="006165C7"/>
    <w:rsid w:val="00620B62"/>
    <w:rsid w:val="00630E81"/>
    <w:rsid w:val="00632025"/>
    <w:rsid w:val="00632D8E"/>
    <w:rsid w:val="00642070"/>
    <w:rsid w:val="00655F52"/>
    <w:rsid w:val="00656344"/>
    <w:rsid w:val="00665DD5"/>
    <w:rsid w:val="00672536"/>
    <w:rsid w:val="006A68B2"/>
    <w:rsid w:val="006A690B"/>
    <w:rsid w:val="006D5FB3"/>
    <w:rsid w:val="006E136C"/>
    <w:rsid w:val="0070501E"/>
    <w:rsid w:val="00725FF2"/>
    <w:rsid w:val="00734E7E"/>
    <w:rsid w:val="00735A56"/>
    <w:rsid w:val="00746C7F"/>
    <w:rsid w:val="00761F3A"/>
    <w:rsid w:val="007649EB"/>
    <w:rsid w:val="00776990"/>
    <w:rsid w:val="00776FB5"/>
    <w:rsid w:val="007910A0"/>
    <w:rsid w:val="007A0C87"/>
    <w:rsid w:val="007A366D"/>
    <w:rsid w:val="007D4C70"/>
    <w:rsid w:val="007E2BAA"/>
    <w:rsid w:val="007E4347"/>
    <w:rsid w:val="007F1D25"/>
    <w:rsid w:val="00827AA8"/>
    <w:rsid w:val="00830B55"/>
    <w:rsid w:val="00830C7F"/>
    <w:rsid w:val="00843405"/>
    <w:rsid w:val="00855B56"/>
    <w:rsid w:val="00863305"/>
    <w:rsid w:val="008862E2"/>
    <w:rsid w:val="008A24B2"/>
    <w:rsid w:val="008F039B"/>
    <w:rsid w:val="008F139F"/>
    <w:rsid w:val="008F2E52"/>
    <w:rsid w:val="009004A3"/>
    <w:rsid w:val="00943EAD"/>
    <w:rsid w:val="0094411F"/>
    <w:rsid w:val="00945CE3"/>
    <w:rsid w:val="009578DD"/>
    <w:rsid w:val="009964AA"/>
    <w:rsid w:val="00997D49"/>
    <w:rsid w:val="009B7C12"/>
    <w:rsid w:val="009C5CF7"/>
    <w:rsid w:val="009D3512"/>
    <w:rsid w:val="009D4866"/>
    <w:rsid w:val="009E0870"/>
    <w:rsid w:val="009E7567"/>
    <w:rsid w:val="00A04C29"/>
    <w:rsid w:val="00A055B3"/>
    <w:rsid w:val="00A2099F"/>
    <w:rsid w:val="00A3713C"/>
    <w:rsid w:val="00A37FB5"/>
    <w:rsid w:val="00A4025D"/>
    <w:rsid w:val="00A41CDF"/>
    <w:rsid w:val="00A4533D"/>
    <w:rsid w:val="00A61B51"/>
    <w:rsid w:val="00A632D1"/>
    <w:rsid w:val="00A657E3"/>
    <w:rsid w:val="00A711E8"/>
    <w:rsid w:val="00A72397"/>
    <w:rsid w:val="00A800F8"/>
    <w:rsid w:val="00A90F10"/>
    <w:rsid w:val="00AA4332"/>
    <w:rsid w:val="00AC5F63"/>
    <w:rsid w:val="00AE0BC4"/>
    <w:rsid w:val="00AF4786"/>
    <w:rsid w:val="00AF6004"/>
    <w:rsid w:val="00B243B6"/>
    <w:rsid w:val="00B60595"/>
    <w:rsid w:val="00B65373"/>
    <w:rsid w:val="00B6708A"/>
    <w:rsid w:val="00B970F9"/>
    <w:rsid w:val="00BB1CA7"/>
    <w:rsid w:val="00BB798A"/>
    <w:rsid w:val="00BC45C1"/>
    <w:rsid w:val="00BF7714"/>
    <w:rsid w:val="00C15136"/>
    <w:rsid w:val="00C2487B"/>
    <w:rsid w:val="00C467F2"/>
    <w:rsid w:val="00C66E03"/>
    <w:rsid w:val="00C74D58"/>
    <w:rsid w:val="00C76844"/>
    <w:rsid w:val="00C85380"/>
    <w:rsid w:val="00C927D4"/>
    <w:rsid w:val="00C97DCA"/>
    <w:rsid w:val="00CC385A"/>
    <w:rsid w:val="00CC3A7B"/>
    <w:rsid w:val="00CC69E5"/>
    <w:rsid w:val="00D058A9"/>
    <w:rsid w:val="00D15FFD"/>
    <w:rsid w:val="00D74764"/>
    <w:rsid w:val="00D74F73"/>
    <w:rsid w:val="00D759B7"/>
    <w:rsid w:val="00D97507"/>
    <w:rsid w:val="00DE5FD0"/>
    <w:rsid w:val="00DF1AB2"/>
    <w:rsid w:val="00DF275A"/>
    <w:rsid w:val="00E034B9"/>
    <w:rsid w:val="00E23CC3"/>
    <w:rsid w:val="00E3668D"/>
    <w:rsid w:val="00E4361B"/>
    <w:rsid w:val="00E609FC"/>
    <w:rsid w:val="00E61655"/>
    <w:rsid w:val="00E87C3A"/>
    <w:rsid w:val="00E901C3"/>
    <w:rsid w:val="00E934FB"/>
    <w:rsid w:val="00EC3AA1"/>
    <w:rsid w:val="00EE2F29"/>
    <w:rsid w:val="00EE3A1D"/>
    <w:rsid w:val="00EE7DD4"/>
    <w:rsid w:val="00EF6EF7"/>
    <w:rsid w:val="00F10F94"/>
    <w:rsid w:val="00F12167"/>
    <w:rsid w:val="00F224B8"/>
    <w:rsid w:val="00F36454"/>
    <w:rsid w:val="00F500A6"/>
    <w:rsid w:val="00F672D7"/>
    <w:rsid w:val="00F75A11"/>
    <w:rsid w:val="00F90F3E"/>
    <w:rsid w:val="00F96F93"/>
    <w:rsid w:val="00FB7AD5"/>
    <w:rsid w:val="00FC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F9DB2"/>
  <w15:chartTrackingRefBased/>
  <w15:docId w15:val="{6C3E84DB-1617-41B9-A1D5-F774FF1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C385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C385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C385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C38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C385A"/>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CC385A"/>
    <w:rPr>
      <w:color w:val="0563C1" w:themeColor="hyperlink"/>
      <w:u w:val="single"/>
    </w:rPr>
  </w:style>
  <w:style w:type="paragraph" w:styleId="Textonotapie">
    <w:name w:val="footnote text"/>
    <w:basedOn w:val="Normal"/>
    <w:link w:val="TextonotapieCar"/>
    <w:uiPriority w:val="99"/>
    <w:semiHidden/>
    <w:unhideWhenUsed/>
    <w:rsid w:val="00AC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F6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5F63"/>
    <w:rPr>
      <w:vertAlign w:val="superscript"/>
    </w:rPr>
  </w:style>
  <w:style w:type="paragraph" w:customStyle="1" w:styleId="Citas">
    <w:name w:val="Citas"/>
    <w:basedOn w:val="Normal"/>
    <w:qFormat/>
    <w:rsid w:val="00725FF2"/>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E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0003">
      <w:bodyDiv w:val="1"/>
      <w:marLeft w:val="0"/>
      <w:marRight w:val="0"/>
      <w:marTop w:val="0"/>
      <w:marBottom w:val="0"/>
      <w:divBdr>
        <w:top w:val="none" w:sz="0" w:space="0" w:color="auto"/>
        <w:left w:val="none" w:sz="0" w:space="0" w:color="auto"/>
        <w:bottom w:val="none" w:sz="0" w:space="0" w:color="auto"/>
        <w:right w:val="none" w:sz="0" w:space="0" w:color="auto"/>
      </w:divBdr>
    </w:div>
    <w:div w:id="1578248041">
      <w:bodyDiv w:val="1"/>
      <w:marLeft w:val="0"/>
      <w:marRight w:val="0"/>
      <w:marTop w:val="0"/>
      <w:marBottom w:val="0"/>
      <w:divBdr>
        <w:top w:val="none" w:sz="0" w:space="0" w:color="auto"/>
        <w:left w:val="none" w:sz="0" w:space="0" w:color="auto"/>
        <w:bottom w:val="none" w:sz="0" w:space="0" w:color="auto"/>
        <w:right w:val="none" w:sz="0" w:space="0" w:color="auto"/>
      </w:divBdr>
    </w:div>
    <w:div w:id="1911453420">
      <w:bodyDiv w:val="1"/>
      <w:marLeft w:val="0"/>
      <w:marRight w:val="0"/>
      <w:marTop w:val="0"/>
      <w:marBottom w:val="0"/>
      <w:divBdr>
        <w:top w:val="none" w:sz="0" w:space="0" w:color="auto"/>
        <w:left w:val="none" w:sz="0" w:space="0" w:color="auto"/>
        <w:bottom w:val="none" w:sz="0" w:space="0" w:color="auto"/>
        <w:right w:val="none" w:sz="0" w:space="0" w:color="auto"/>
      </w:divBdr>
    </w:div>
    <w:div w:id="192672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31</Pages>
  <Words>7537</Words>
  <Characters>41457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7</cp:revision>
  <dcterms:created xsi:type="dcterms:W3CDTF">2024-07-16T17:22:00Z</dcterms:created>
  <dcterms:modified xsi:type="dcterms:W3CDTF">2024-09-03T17:50:00Z</dcterms:modified>
</cp:coreProperties>
</file>