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BBB06" w14:textId="77777777" w:rsidR="00F82637" w:rsidRPr="000C51A4" w:rsidRDefault="00F82637" w:rsidP="00220A9B">
      <w:pPr>
        <w:spacing w:after="0" w:line="360" w:lineRule="auto"/>
        <w:contextualSpacing/>
        <w:rPr>
          <w:rFonts w:cs="Tahoma"/>
          <w:bCs/>
          <w:color w:val="auto"/>
        </w:rPr>
      </w:pPr>
      <w:r w:rsidRPr="000C51A4">
        <w:rPr>
          <w:rFonts w:eastAsiaTheme="minorHAnsi" w:cs="Tahoma"/>
          <w:bCs/>
          <w:color w:val="auto"/>
        </w:rPr>
        <w:t xml:space="preserve">Resolución del Pleno del Instituto de Transparencia, Acceso a la Información Pública y </w:t>
      </w:r>
      <w:r w:rsidRPr="000C51A4">
        <w:rPr>
          <w:rFonts w:cs="Tahoma"/>
          <w:bCs/>
          <w:color w:val="auto"/>
        </w:rPr>
        <w:t xml:space="preserve">Protección de Datos Personales del Estado de México y Municipios, con domicilio en Metepec, Estado de México, de fecha </w:t>
      </w:r>
      <w:r w:rsidR="003B552A" w:rsidRPr="000C51A4">
        <w:rPr>
          <w:rFonts w:cs="Tahoma"/>
          <w:bCs/>
          <w:color w:val="auto"/>
        </w:rPr>
        <w:t>cuatro de diciembre</w:t>
      </w:r>
      <w:r w:rsidR="009D3908" w:rsidRPr="000C51A4">
        <w:rPr>
          <w:rFonts w:cs="Tahoma"/>
          <w:bCs/>
          <w:color w:val="auto"/>
        </w:rPr>
        <w:t xml:space="preserve"> de dos mil veinticuatro</w:t>
      </w:r>
      <w:r w:rsidRPr="000C51A4">
        <w:rPr>
          <w:rFonts w:cs="Tahoma"/>
          <w:bCs/>
          <w:color w:val="auto"/>
        </w:rPr>
        <w:t xml:space="preserve">. </w:t>
      </w:r>
    </w:p>
    <w:p w14:paraId="2AE28AFB" w14:textId="77777777" w:rsidR="00F82637" w:rsidRPr="000C51A4" w:rsidRDefault="00F82637" w:rsidP="00220A9B">
      <w:pPr>
        <w:spacing w:after="0" w:line="360" w:lineRule="auto"/>
        <w:contextualSpacing/>
        <w:rPr>
          <w:rFonts w:eastAsiaTheme="minorHAnsi" w:cstheme="minorBidi"/>
          <w:color w:val="auto"/>
        </w:rPr>
      </w:pPr>
    </w:p>
    <w:p w14:paraId="4FFA82B1" w14:textId="47F14735" w:rsidR="00F82637" w:rsidRPr="000C51A4" w:rsidRDefault="00F82637" w:rsidP="00220A9B">
      <w:pPr>
        <w:spacing w:after="0" w:line="360" w:lineRule="auto"/>
        <w:contextualSpacing/>
        <w:rPr>
          <w:rFonts w:eastAsiaTheme="minorHAnsi" w:cstheme="minorBidi"/>
          <w:color w:val="auto"/>
        </w:rPr>
      </w:pPr>
      <w:r w:rsidRPr="000C51A4">
        <w:rPr>
          <w:rFonts w:eastAsiaTheme="minorHAnsi" w:cstheme="minorBidi"/>
          <w:b/>
          <w:bCs/>
          <w:color w:val="auto"/>
        </w:rPr>
        <w:t xml:space="preserve">VISTO </w:t>
      </w:r>
      <w:r w:rsidRPr="000C51A4">
        <w:rPr>
          <w:rFonts w:eastAsiaTheme="minorHAnsi" w:cstheme="minorBidi"/>
          <w:bCs/>
          <w:color w:val="auto"/>
        </w:rPr>
        <w:t>el expediente conformado con motivo de</w:t>
      </w:r>
      <w:r w:rsidR="00750B21" w:rsidRPr="000C51A4">
        <w:rPr>
          <w:rFonts w:eastAsiaTheme="minorHAnsi" w:cstheme="minorBidi"/>
          <w:bCs/>
          <w:color w:val="auto"/>
        </w:rPr>
        <w:t xml:space="preserve"> </w:t>
      </w:r>
      <w:r w:rsidRPr="000C51A4">
        <w:rPr>
          <w:rFonts w:eastAsiaTheme="minorHAnsi" w:cstheme="minorBidi"/>
          <w:bCs/>
          <w:color w:val="auto"/>
        </w:rPr>
        <w:t>l</w:t>
      </w:r>
      <w:r w:rsidR="00750B21" w:rsidRPr="000C51A4">
        <w:rPr>
          <w:rFonts w:eastAsiaTheme="minorHAnsi" w:cstheme="minorBidi"/>
          <w:bCs/>
          <w:color w:val="auto"/>
        </w:rPr>
        <w:t>os</w:t>
      </w:r>
      <w:r w:rsidRPr="000C51A4">
        <w:rPr>
          <w:rFonts w:eastAsiaTheme="minorHAnsi" w:cstheme="minorBidi"/>
          <w:bCs/>
          <w:color w:val="auto"/>
        </w:rPr>
        <w:t xml:space="preserve"> Recurso</w:t>
      </w:r>
      <w:r w:rsidR="00750B21" w:rsidRPr="000C51A4">
        <w:rPr>
          <w:rFonts w:eastAsiaTheme="minorHAnsi" w:cstheme="minorBidi"/>
          <w:bCs/>
          <w:color w:val="auto"/>
        </w:rPr>
        <w:t>s</w:t>
      </w:r>
      <w:r w:rsidRPr="000C51A4">
        <w:rPr>
          <w:rFonts w:eastAsiaTheme="minorHAnsi" w:cstheme="minorBidi"/>
          <w:bCs/>
          <w:color w:val="auto"/>
        </w:rPr>
        <w:t xml:space="preserve"> de </w:t>
      </w:r>
      <w:r w:rsidR="00C76FCF" w:rsidRPr="000C51A4">
        <w:rPr>
          <w:rFonts w:eastAsiaTheme="minorHAnsi" w:cstheme="minorBidi"/>
          <w:bCs/>
          <w:color w:val="auto"/>
        </w:rPr>
        <w:t xml:space="preserve">Revisión </w:t>
      </w:r>
      <w:r w:rsidR="003B552A" w:rsidRPr="000C51A4">
        <w:rPr>
          <w:rFonts w:eastAsiaTheme="minorHAnsi" w:cstheme="minorBidi"/>
          <w:b/>
          <w:color w:val="auto"/>
        </w:rPr>
        <w:t>06986</w:t>
      </w:r>
      <w:r w:rsidR="00CA6131" w:rsidRPr="000C51A4">
        <w:rPr>
          <w:rFonts w:eastAsiaTheme="minorHAnsi" w:cstheme="minorBidi"/>
          <w:b/>
          <w:color w:val="auto"/>
        </w:rPr>
        <w:t>/INFOEM/IP/RR/2024</w:t>
      </w:r>
      <w:r w:rsidR="00202494" w:rsidRPr="000C51A4">
        <w:rPr>
          <w:rFonts w:eastAsiaTheme="minorHAnsi" w:cstheme="minorBidi"/>
          <w:b/>
          <w:color w:val="auto"/>
        </w:rPr>
        <w:t xml:space="preserve">, </w:t>
      </w:r>
      <w:r w:rsidR="003B552A" w:rsidRPr="000C51A4">
        <w:rPr>
          <w:rFonts w:cs="Tahoma"/>
          <w:b/>
          <w:color w:val="auto"/>
        </w:rPr>
        <w:t>06988</w:t>
      </w:r>
      <w:r w:rsidR="00A8529E" w:rsidRPr="000C51A4">
        <w:rPr>
          <w:rFonts w:cs="Tahoma"/>
          <w:b/>
          <w:color w:val="auto"/>
        </w:rPr>
        <w:t xml:space="preserve">/INFOEM/IP/RR/2024, </w:t>
      </w:r>
      <w:r w:rsidR="003B552A" w:rsidRPr="000C51A4">
        <w:rPr>
          <w:rFonts w:cs="Tahoma"/>
          <w:b/>
          <w:color w:val="auto"/>
        </w:rPr>
        <w:t>06990</w:t>
      </w:r>
      <w:r w:rsidR="00A8529E" w:rsidRPr="000C51A4">
        <w:rPr>
          <w:rFonts w:cs="Tahoma"/>
          <w:b/>
          <w:color w:val="auto"/>
        </w:rPr>
        <w:t>/INFOEM/IP/RR/2024</w:t>
      </w:r>
      <w:r w:rsidR="003B552A" w:rsidRPr="000C51A4">
        <w:rPr>
          <w:rFonts w:cs="Tahoma"/>
          <w:b/>
          <w:color w:val="auto"/>
        </w:rPr>
        <w:t>, 06991/INFOEM/IP/RR/2024</w:t>
      </w:r>
      <w:r w:rsidR="00A8529E" w:rsidRPr="000C51A4">
        <w:rPr>
          <w:rFonts w:cs="Tahoma"/>
          <w:b/>
          <w:color w:val="auto"/>
        </w:rPr>
        <w:t xml:space="preserve"> y 06</w:t>
      </w:r>
      <w:r w:rsidR="003B552A" w:rsidRPr="000C51A4">
        <w:rPr>
          <w:rFonts w:cs="Tahoma"/>
          <w:b/>
          <w:color w:val="auto"/>
        </w:rPr>
        <w:t>992</w:t>
      </w:r>
      <w:r w:rsidR="00A8529E" w:rsidRPr="000C51A4">
        <w:rPr>
          <w:rFonts w:cs="Tahoma"/>
          <w:b/>
          <w:color w:val="auto"/>
        </w:rPr>
        <w:t>/INFOEM/IP/RR/2024</w:t>
      </w:r>
      <w:r w:rsidR="00A8529E" w:rsidRPr="000C51A4">
        <w:rPr>
          <w:rFonts w:cs="Tahoma"/>
          <w:color w:val="auto"/>
        </w:rPr>
        <w:t xml:space="preserve"> </w:t>
      </w:r>
      <w:r w:rsidRPr="000C51A4">
        <w:rPr>
          <w:rFonts w:eastAsiaTheme="minorHAnsi" w:cstheme="minorBidi"/>
          <w:color w:val="auto"/>
        </w:rPr>
        <w:t>interpuesto</w:t>
      </w:r>
      <w:r w:rsidR="009D55C8" w:rsidRPr="000C51A4">
        <w:rPr>
          <w:rFonts w:eastAsiaTheme="minorHAnsi" w:cstheme="minorBidi"/>
          <w:color w:val="auto"/>
        </w:rPr>
        <w:t xml:space="preserve"> </w:t>
      </w:r>
      <w:r w:rsidR="00C76FCF" w:rsidRPr="000C51A4">
        <w:rPr>
          <w:rFonts w:eastAsiaTheme="minorHAnsi" w:cstheme="minorBidi"/>
          <w:color w:val="auto"/>
        </w:rPr>
        <w:t>por la persona</w:t>
      </w:r>
      <w:r w:rsidR="00750B21" w:rsidRPr="000C51A4">
        <w:rPr>
          <w:rFonts w:eastAsiaTheme="minorHAnsi" w:cstheme="minorBidi"/>
          <w:color w:val="auto"/>
        </w:rPr>
        <w:t xml:space="preserve"> </w:t>
      </w:r>
      <w:r w:rsidRPr="000C51A4">
        <w:rPr>
          <w:rFonts w:eastAsiaTheme="minorHAnsi" w:cs="Tahoma"/>
          <w:color w:val="auto"/>
        </w:rPr>
        <w:t>Recurrente o Particular</w:t>
      </w:r>
      <w:r w:rsidRPr="000C51A4">
        <w:rPr>
          <w:rFonts w:eastAsiaTheme="minorHAnsi" w:cstheme="minorBidi"/>
          <w:color w:val="auto"/>
        </w:rPr>
        <w:t>, en contra de la</w:t>
      </w:r>
      <w:r w:rsidR="00363853" w:rsidRPr="000C51A4">
        <w:rPr>
          <w:rFonts w:eastAsiaTheme="minorHAnsi" w:cstheme="minorBidi"/>
          <w:color w:val="auto"/>
        </w:rPr>
        <w:t xml:space="preserve"> </w:t>
      </w:r>
      <w:r w:rsidRPr="000C51A4">
        <w:rPr>
          <w:rFonts w:eastAsiaTheme="minorHAnsi" w:cstheme="minorBidi"/>
          <w:color w:val="auto"/>
        </w:rPr>
        <w:t xml:space="preserve">respuesta del Sujeto Obligado, </w:t>
      </w:r>
      <w:r w:rsidR="003B552A" w:rsidRPr="000464FC">
        <w:rPr>
          <w:rFonts w:cs="Tahoma"/>
          <w:b/>
          <w:color w:val="auto"/>
        </w:rPr>
        <w:t>Secretaría Ejecutiva del Sistema Estatal Anticorrupción</w:t>
      </w:r>
      <w:r w:rsidRPr="000464FC">
        <w:rPr>
          <w:rFonts w:eastAsiaTheme="minorHAnsi" w:cstheme="minorBidi"/>
          <w:b/>
          <w:color w:val="auto"/>
        </w:rPr>
        <w:t>,</w:t>
      </w:r>
      <w:r w:rsidRPr="000C51A4">
        <w:rPr>
          <w:rFonts w:eastAsiaTheme="minorHAnsi" w:cstheme="minorBidi"/>
          <w:color w:val="auto"/>
        </w:rPr>
        <w:t xml:space="preserve"> a la</w:t>
      </w:r>
      <w:r w:rsidR="00363853" w:rsidRPr="000C51A4">
        <w:rPr>
          <w:rFonts w:eastAsiaTheme="minorHAnsi" w:cstheme="minorBidi"/>
          <w:color w:val="auto"/>
        </w:rPr>
        <w:t>s</w:t>
      </w:r>
      <w:r w:rsidRPr="000C51A4">
        <w:rPr>
          <w:rFonts w:eastAsiaTheme="minorHAnsi" w:cstheme="minorBidi"/>
          <w:color w:val="auto"/>
        </w:rPr>
        <w:t xml:space="preserve"> solicitud</w:t>
      </w:r>
      <w:r w:rsidR="00363853" w:rsidRPr="000C51A4">
        <w:rPr>
          <w:rFonts w:eastAsiaTheme="minorHAnsi" w:cstheme="minorBidi"/>
          <w:color w:val="auto"/>
        </w:rPr>
        <w:t>es</w:t>
      </w:r>
      <w:r w:rsidRPr="000C51A4">
        <w:rPr>
          <w:rFonts w:eastAsiaTheme="minorHAnsi" w:cstheme="minorBidi"/>
          <w:color w:val="auto"/>
        </w:rPr>
        <w:t xml:space="preserve"> de acceso a la información pública </w:t>
      </w:r>
      <w:bookmarkStart w:id="0" w:name="_Hlk178199987"/>
      <w:bookmarkStart w:id="1" w:name="_Hlk176993023"/>
      <w:r w:rsidR="003B552A" w:rsidRPr="000C51A4">
        <w:rPr>
          <w:rFonts w:eastAsiaTheme="minorHAnsi" w:cstheme="minorBidi"/>
          <w:color w:val="auto"/>
        </w:rPr>
        <w:t>01002/SESEA/IP/2024</w:t>
      </w:r>
      <w:r w:rsidR="00202494" w:rsidRPr="000C51A4">
        <w:rPr>
          <w:rFonts w:eastAsiaTheme="minorHAnsi" w:cstheme="minorBidi"/>
          <w:color w:val="auto"/>
        </w:rPr>
        <w:t xml:space="preserve">, </w:t>
      </w:r>
      <w:r w:rsidR="003B552A" w:rsidRPr="000C51A4">
        <w:rPr>
          <w:rFonts w:eastAsiaTheme="minorHAnsi" w:cstheme="minorBidi"/>
          <w:color w:val="auto"/>
        </w:rPr>
        <w:t>01001/SESEA/IP/2024</w:t>
      </w:r>
      <w:r w:rsidR="00202494" w:rsidRPr="000C51A4">
        <w:rPr>
          <w:rFonts w:eastAsiaTheme="minorHAnsi" w:cstheme="minorBidi"/>
          <w:color w:val="auto"/>
        </w:rPr>
        <w:t xml:space="preserve">, </w:t>
      </w:r>
      <w:bookmarkEnd w:id="0"/>
      <w:r w:rsidR="003B552A" w:rsidRPr="000C51A4">
        <w:rPr>
          <w:rFonts w:eastAsiaTheme="minorHAnsi" w:cstheme="minorBidi"/>
          <w:color w:val="auto"/>
        </w:rPr>
        <w:t xml:space="preserve">1000/SESEA/IP/2024, 00999/SESEA/IP/2024 </w:t>
      </w:r>
      <w:r w:rsidR="00202494" w:rsidRPr="000C51A4">
        <w:rPr>
          <w:rFonts w:eastAsiaTheme="minorHAnsi" w:cstheme="minorBidi"/>
          <w:color w:val="auto"/>
        </w:rPr>
        <w:t xml:space="preserve">y </w:t>
      </w:r>
      <w:bookmarkEnd w:id="1"/>
      <w:r w:rsidR="003B552A" w:rsidRPr="000C51A4">
        <w:rPr>
          <w:rFonts w:eastAsiaTheme="minorHAnsi" w:cstheme="minorBidi"/>
          <w:color w:val="auto"/>
        </w:rPr>
        <w:t>00998/SESEA/IP/2024</w:t>
      </w:r>
      <w:r w:rsidR="000D6387" w:rsidRPr="000C51A4">
        <w:rPr>
          <w:rFonts w:eastAsiaTheme="minorHAnsi" w:cstheme="minorBidi"/>
          <w:color w:val="auto"/>
        </w:rPr>
        <w:t xml:space="preserve">, </w:t>
      </w:r>
      <w:r w:rsidRPr="000C51A4">
        <w:rPr>
          <w:rFonts w:eastAsiaTheme="minorHAnsi" w:cstheme="minorBidi"/>
          <w:color w:val="auto"/>
        </w:rPr>
        <w:t>se emite la presente Resolución, con base en los Antecedentes y Considerandos que a continuación</w:t>
      </w:r>
      <w:r w:rsidRPr="000C51A4">
        <w:rPr>
          <w:rFonts w:eastAsiaTheme="minorHAnsi" w:cstheme="minorBidi"/>
          <w:bCs/>
          <w:color w:val="auto"/>
        </w:rPr>
        <w:t xml:space="preserve"> se exponen:</w:t>
      </w:r>
    </w:p>
    <w:p w14:paraId="5874B364" w14:textId="77777777" w:rsidR="008F4B45" w:rsidRPr="000C51A4" w:rsidRDefault="008F4B45" w:rsidP="00220A9B">
      <w:pPr>
        <w:tabs>
          <w:tab w:val="left" w:pos="2835"/>
        </w:tabs>
        <w:spacing w:after="0" w:line="360" w:lineRule="auto"/>
        <w:ind w:right="-93"/>
        <w:contextualSpacing/>
        <w:rPr>
          <w:rFonts w:cs="Tahoma"/>
          <w:bCs/>
          <w:color w:val="auto"/>
        </w:rPr>
      </w:pPr>
    </w:p>
    <w:p w14:paraId="1012DD2C" w14:textId="351C422A" w:rsidR="008F4B45" w:rsidRPr="000C51A4" w:rsidRDefault="003F5E0D" w:rsidP="00220A9B">
      <w:pPr>
        <w:spacing w:after="0" w:line="360" w:lineRule="auto"/>
        <w:ind w:right="-93"/>
        <w:contextualSpacing/>
        <w:jc w:val="center"/>
        <w:rPr>
          <w:rFonts w:cs="Tahoma"/>
          <w:b/>
          <w:bCs/>
          <w:color w:val="auto"/>
        </w:rPr>
      </w:pPr>
      <w:r w:rsidRPr="000C51A4">
        <w:rPr>
          <w:rFonts w:cs="Tahoma"/>
          <w:b/>
          <w:bCs/>
          <w:color w:val="auto"/>
        </w:rPr>
        <w:t>A N T E C E D E N T E S</w:t>
      </w:r>
    </w:p>
    <w:p w14:paraId="3EBB8C4B" w14:textId="77777777" w:rsidR="008F4B45" w:rsidRPr="000C51A4" w:rsidRDefault="008F4B45" w:rsidP="00220A9B">
      <w:pPr>
        <w:spacing w:after="0" w:line="360" w:lineRule="auto"/>
        <w:ind w:right="-93"/>
        <w:contextualSpacing/>
        <w:rPr>
          <w:rFonts w:cs="Tahoma"/>
          <w:bCs/>
          <w:color w:val="auto"/>
        </w:rPr>
      </w:pPr>
    </w:p>
    <w:p w14:paraId="3C01F2A3" w14:textId="18231775" w:rsidR="00F469B3" w:rsidRPr="000C51A4" w:rsidRDefault="00F469B3" w:rsidP="00220A9B">
      <w:pPr>
        <w:tabs>
          <w:tab w:val="left" w:pos="567"/>
        </w:tabs>
        <w:spacing w:after="0" w:line="360" w:lineRule="auto"/>
        <w:contextualSpacing/>
        <w:rPr>
          <w:rFonts w:cs="Tahoma"/>
          <w:b/>
          <w:color w:val="auto"/>
        </w:rPr>
      </w:pPr>
      <w:r w:rsidRPr="000C51A4">
        <w:rPr>
          <w:rFonts w:cs="Tahoma"/>
          <w:b/>
          <w:color w:val="auto"/>
        </w:rPr>
        <w:t>I. Presentación de la solicitud de información</w:t>
      </w:r>
    </w:p>
    <w:p w14:paraId="31C62571" w14:textId="77777777" w:rsidR="00F469B3" w:rsidRPr="000C51A4" w:rsidRDefault="00F469B3" w:rsidP="00220A9B">
      <w:pPr>
        <w:tabs>
          <w:tab w:val="left" w:pos="567"/>
        </w:tabs>
        <w:spacing w:after="0" w:line="360" w:lineRule="auto"/>
        <w:contextualSpacing/>
        <w:rPr>
          <w:rFonts w:cs="Tahoma"/>
          <w:color w:val="auto"/>
        </w:rPr>
      </w:pPr>
    </w:p>
    <w:p w14:paraId="19972BCE" w14:textId="53757D57" w:rsidR="00363853" w:rsidRPr="000C51A4" w:rsidRDefault="00F469B3" w:rsidP="00220A9B">
      <w:pPr>
        <w:autoSpaceDE w:val="0"/>
        <w:autoSpaceDN w:val="0"/>
        <w:adjustRightInd w:val="0"/>
        <w:spacing w:after="0" w:line="360" w:lineRule="auto"/>
        <w:contextualSpacing/>
        <w:rPr>
          <w:rFonts w:eastAsia="Batang" w:cs="Tahoma"/>
          <w:color w:val="auto"/>
        </w:rPr>
      </w:pPr>
      <w:r w:rsidRPr="000C51A4">
        <w:rPr>
          <w:rFonts w:eastAsiaTheme="minorHAnsi" w:cs="Tahoma"/>
          <w:color w:val="auto"/>
        </w:rPr>
        <w:t>Con fecha</w:t>
      </w:r>
      <w:r w:rsidR="00A8529E" w:rsidRPr="000C51A4">
        <w:rPr>
          <w:rFonts w:eastAsiaTheme="minorHAnsi" w:cs="Tahoma"/>
          <w:color w:val="auto"/>
        </w:rPr>
        <w:t xml:space="preserve"> </w:t>
      </w:r>
      <w:r w:rsidR="00612E1F" w:rsidRPr="000C51A4">
        <w:rPr>
          <w:rFonts w:eastAsiaTheme="minorHAnsi" w:cs="Tahoma"/>
          <w:color w:val="auto"/>
        </w:rPr>
        <w:t>diecisiete de octubre</w:t>
      </w:r>
      <w:r w:rsidR="00AA11D8" w:rsidRPr="000C51A4">
        <w:rPr>
          <w:rFonts w:eastAsiaTheme="minorHAnsi" w:cs="Tahoma"/>
          <w:color w:val="auto"/>
        </w:rPr>
        <w:t xml:space="preserve"> </w:t>
      </w:r>
      <w:r w:rsidR="00FF2CDD" w:rsidRPr="000C51A4">
        <w:rPr>
          <w:rFonts w:eastAsiaTheme="minorHAnsi" w:cs="Tahoma"/>
          <w:color w:val="auto"/>
        </w:rPr>
        <w:t>de dos mil veinti</w:t>
      </w:r>
      <w:r w:rsidR="00AA11D8" w:rsidRPr="000C51A4">
        <w:rPr>
          <w:rFonts w:eastAsiaTheme="minorHAnsi" w:cs="Tahoma"/>
          <w:color w:val="auto"/>
        </w:rPr>
        <w:t>cuatro</w:t>
      </w:r>
      <w:r w:rsidRPr="000C51A4">
        <w:rPr>
          <w:rFonts w:eastAsiaTheme="minorHAnsi" w:cs="Tahoma"/>
          <w:color w:val="auto"/>
        </w:rPr>
        <w:t xml:space="preserve">, el Particular presentó </w:t>
      </w:r>
      <w:r w:rsidR="00612E1F" w:rsidRPr="000C51A4">
        <w:rPr>
          <w:rFonts w:eastAsiaTheme="minorHAnsi" w:cs="Tahoma"/>
          <w:color w:val="auto"/>
        </w:rPr>
        <w:t>cinco</w:t>
      </w:r>
      <w:r w:rsidR="00AA11D8" w:rsidRPr="000C51A4">
        <w:rPr>
          <w:rFonts w:eastAsiaTheme="minorHAnsi" w:cs="Tahoma"/>
          <w:color w:val="auto"/>
        </w:rPr>
        <w:t xml:space="preserve"> </w:t>
      </w:r>
      <w:r w:rsidRPr="000C51A4">
        <w:rPr>
          <w:rFonts w:eastAsiaTheme="minorHAnsi" w:cs="Tahoma"/>
          <w:color w:val="auto"/>
        </w:rPr>
        <w:t>solicitud</w:t>
      </w:r>
      <w:r w:rsidR="00B27A5E" w:rsidRPr="000C51A4">
        <w:rPr>
          <w:rFonts w:eastAsiaTheme="minorHAnsi" w:cs="Tahoma"/>
          <w:color w:val="auto"/>
        </w:rPr>
        <w:t>es</w:t>
      </w:r>
      <w:r w:rsidRPr="000C51A4">
        <w:rPr>
          <w:rFonts w:eastAsiaTheme="minorHAnsi" w:cs="Tahoma"/>
          <w:color w:val="auto"/>
        </w:rPr>
        <w:t xml:space="preserve"> de acceso a la información pública, a través del Sistema de Acceso a la Información Mexiquense</w:t>
      </w:r>
      <w:r w:rsidR="00244DE6">
        <w:rPr>
          <w:rFonts w:eastAsiaTheme="minorHAnsi" w:cs="Tahoma"/>
          <w:color w:val="auto"/>
        </w:rPr>
        <w:t>, en lo sucesivo</w:t>
      </w:r>
      <w:r w:rsidRPr="000C51A4">
        <w:rPr>
          <w:rFonts w:eastAsiaTheme="minorHAnsi" w:cs="Tahoma"/>
          <w:color w:val="auto"/>
        </w:rPr>
        <w:t xml:space="preserve"> </w:t>
      </w:r>
      <w:r w:rsidR="00244DE6">
        <w:rPr>
          <w:rFonts w:eastAsiaTheme="minorHAnsi" w:cs="Tahoma"/>
          <w:color w:val="auto"/>
        </w:rPr>
        <w:t xml:space="preserve">el </w:t>
      </w:r>
      <w:r w:rsidRPr="000C51A4">
        <w:rPr>
          <w:rFonts w:eastAsiaTheme="minorHAnsi" w:cs="Tahoma"/>
          <w:color w:val="auto"/>
        </w:rPr>
        <w:t xml:space="preserve">SAIMEX, ante </w:t>
      </w:r>
      <w:r w:rsidR="00AA11D8" w:rsidRPr="000C51A4">
        <w:rPr>
          <w:rFonts w:eastAsiaTheme="minorHAnsi" w:cs="Tahoma"/>
          <w:color w:val="auto"/>
        </w:rPr>
        <w:t xml:space="preserve">la </w:t>
      </w:r>
      <w:r w:rsidR="003B552A" w:rsidRPr="000C51A4">
        <w:rPr>
          <w:rFonts w:cs="Tahoma"/>
          <w:color w:val="auto"/>
        </w:rPr>
        <w:t>Secretaría Ejecutiva del Sistema Estatal Anticorrupción</w:t>
      </w:r>
      <w:r w:rsidRPr="000C51A4">
        <w:rPr>
          <w:rFonts w:eastAsiaTheme="minorHAnsi" w:cs="Tahoma"/>
          <w:bCs/>
          <w:color w:val="auto"/>
        </w:rPr>
        <w:t xml:space="preserve">, </w:t>
      </w:r>
      <w:r w:rsidRPr="000C51A4">
        <w:rPr>
          <w:rFonts w:eastAsia="Batang" w:cs="Tahoma"/>
          <w:color w:val="auto"/>
        </w:rPr>
        <w:t>mediante la cual requirió:</w:t>
      </w:r>
    </w:p>
    <w:p w14:paraId="577849D0" w14:textId="77777777" w:rsidR="00C6425F" w:rsidRPr="000C51A4" w:rsidRDefault="00C6425F" w:rsidP="00220A9B">
      <w:pPr>
        <w:tabs>
          <w:tab w:val="left" w:pos="567"/>
        </w:tabs>
        <w:spacing w:after="0" w:line="360" w:lineRule="auto"/>
        <w:ind w:right="-28"/>
        <w:contextualSpacing/>
        <w:rPr>
          <w:rFonts w:cs="Tahoma"/>
          <w:color w:val="auto"/>
          <w:sz w:val="16"/>
        </w:rPr>
      </w:pPr>
    </w:p>
    <w:tbl>
      <w:tblPr>
        <w:tblStyle w:val="Tablaconcuadrcula1"/>
        <w:tblW w:w="9067" w:type="dxa"/>
        <w:tblInd w:w="0" w:type="dxa"/>
        <w:tblLook w:val="04A0" w:firstRow="1" w:lastRow="0" w:firstColumn="1" w:lastColumn="0" w:noHBand="0" w:noVBand="1"/>
      </w:tblPr>
      <w:tblGrid>
        <w:gridCol w:w="2405"/>
        <w:gridCol w:w="6662"/>
      </w:tblGrid>
      <w:tr w:rsidR="000C51A4" w:rsidRPr="000C51A4" w14:paraId="0D772478" w14:textId="77777777" w:rsidTr="00A33154">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B49172" w14:textId="77777777" w:rsidR="00A33154" w:rsidRPr="000C51A4" w:rsidRDefault="00A33154" w:rsidP="00220A9B">
            <w:pPr>
              <w:tabs>
                <w:tab w:val="left" w:pos="567"/>
              </w:tabs>
              <w:spacing w:line="360" w:lineRule="auto"/>
              <w:ind w:right="-28"/>
              <w:contextualSpacing/>
              <w:rPr>
                <w:rFonts w:cs="Tahoma"/>
                <w:b/>
                <w:color w:val="auto"/>
                <w:sz w:val="19"/>
                <w:szCs w:val="19"/>
                <w:lang w:val="es-MX"/>
              </w:rPr>
            </w:pPr>
            <w:r w:rsidRPr="000C51A4">
              <w:rPr>
                <w:rFonts w:cs="Tahoma"/>
                <w:b/>
                <w:color w:val="auto"/>
                <w:sz w:val="19"/>
                <w:szCs w:val="19"/>
                <w:lang w:val="es-MX"/>
              </w:rPr>
              <w:t>FOLIO DE SOLICITUD</w:t>
            </w:r>
          </w:p>
        </w:tc>
        <w:tc>
          <w:tcPr>
            <w:tcW w:w="6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3C96EE" w14:textId="77777777" w:rsidR="00A33154" w:rsidRPr="000C51A4" w:rsidRDefault="00A33154" w:rsidP="00220A9B">
            <w:pPr>
              <w:tabs>
                <w:tab w:val="left" w:pos="567"/>
              </w:tabs>
              <w:spacing w:line="360" w:lineRule="auto"/>
              <w:ind w:right="-28"/>
              <w:contextualSpacing/>
              <w:rPr>
                <w:rFonts w:cs="Tahoma"/>
                <w:b/>
                <w:color w:val="auto"/>
                <w:sz w:val="19"/>
                <w:szCs w:val="19"/>
                <w:lang w:val="es-MX"/>
              </w:rPr>
            </w:pPr>
            <w:r w:rsidRPr="000C51A4">
              <w:rPr>
                <w:rFonts w:cs="Tahoma"/>
                <w:b/>
                <w:color w:val="auto"/>
                <w:sz w:val="19"/>
                <w:szCs w:val="19"/>
                <w:lang w:val="es-MX"/>
              </w:rPr>
              <w:t>DESCRIPCIÓN CLARA Y PRECISA DE LA INFORMACIÓN SOLICITADA</w:t>
            </w:r>
          </w:p>
        </w:tc>
      </w:tr>
      <w:tr w:rsidR="000C51A4" w:rsidRPr="000C51A4" w14:paraId="62F8B574" w14:textId="77777777" w:rsidTr="00A33154">
        <w:tc>
          <w:tcPr>
            <w:tcW w:w="2405" w:type="dxa"/>
            <w:tcBorders>
              <w:top w:val="single" w:sz="4" w:space="0" w:color="auto"/>
              <w:left w:val="single" w:sz="4" w:space="0" w:color="auto"/>
              <w:bottom w:val="single" w:sz="4" w:space="0" w:color="auto"/>
              <w:right w:val="single" w:sz="4" w:space="0" w:color="auto"/>
            </w:tcBorders>
            <w:hideMark/>
          </w:tcPr>
          <w:p w14:paraId="2EBEDAC0" w14:textId="77777777" w:rsidR="00A33154" w:rsidRPr="000C51A4" w:rsidRDefault="00CC65EB" w:rsidP="00220A9B">
            <w:pPr>
              <w:tabs>
                <w:tab w:val="left" w:pos="567"/>
              </w:tabs>
              <w:spacing w:line="360" w:lineRule="auto"/>
              <w:ind w:right="-28"/>
              <w:contextualSpacing/>
              <w:rPr>
                <w:i/>
                <w:color w:val="auto"/>
                <w:sz w:val="19"/>
                <w:szCs w:val="19"/>
                <w:lang w:val="es-MX"/>
              </w:rPr>
            </w:pPr>
            <w:r w:rsidRPr="000C51A4">
              <w:rPr>
                <w:rFonts w:cs="Tahoma"/>
                <w:b/>
                <w:bCs/>
                <w:color w:val="auto"/>
                <w:sz w:val="19"/>
                <w:szCs w:val="19"/>
                <w:lang w:val="es-MX"/>
              </w:rPr>
              <w:lastRenderedPageBreak/>
              <w:t>01002/SESEA/IP/2024</w:t>
            </w:r>
          </w:p>
        </w:tc>
        <w:tc>
          <w:tcPr>
            <w:tcW w:w="6662" w:type="dxa"/>
            <w:tcBorders>
              <w:top w:val="single" w:sz="4" w:space="0" w:color="auto"/>
              <w:left w:val="single" w:sz="4" w:space="0" w:color="auto"/>
              <w:bottom w:val="single" w:sz="4" w:space="0" w:color="auto"/>
              <w:right w:val="single" w:sz="4" w:space="0" w:color="auto"/>
            </w:tcBorders>
            <w:hideMark/>
          </w:tcPr>
          <w:p w14:paraId="6ADAB257" w14:textId="77777777" w:rsidR="00A33154" w:rsidRPr="000C51A4" w:rsidRDefault="00A33154" w:rsidP="00220A9B">
            <w:pPr>
              <w:tabs>
                <w:tab w:val="left" w:pos="567"/>
              </w:tabs>
              <w:spacing w:line="360" w:lineRule="auto"/>
              <w:ind w:right="-28"/>
              <w:contextualSpacing/>
              <w:rPr>
                <w:rFonts w:cs="Tahoma"/>
                <w:i/>
                <w:color w:val="auto"/>
                <w:sz w:val="19"/>
                <w:szCs w:val="19"/>
                <w:lang w:val="es-MX"/>
              </w:rPr>
            </w:pPr>
            <w:r w:rsidRPr="000C51A4">
              <w:rPr>
                <w:i/>
                <w:color w:val="auto"/>
                <w:sz w:val="19"/>
                <w:szCs w:val="19"/>
                <w:lang w:val="es-MX"/>
              </w:rPr>
              <w:t>“</w:t>
            </w:r>
            <w:r w:rsidR="00CC65EB" w:rsidRPr="000C51A4">
              <w:rPr>
                <w:i/>
                <w:color w:val="auto"/>
                <w:sz w:val="19"/>
                <w:szCs w:val="19"/>
                <w:lang w:val="es-MX"/>
              </w:rPr>
              <w:t>Solicito a la Dirección General de Vinculación Interinstitucional de esta Secretaria, toda la información relevante acompañamiento permanente y seguimiento a la instalación de los Sistemas Municipales Anticorrupción desde el año 2018 a 2024</w:t>
            </w:r>
            <w:r w:rsidRPr="000C51A4">
              <w:rPr>
                <w:i/>
                <w:color w:val="auto"/>
                <w:sz w:val="19"/>
                <w:szCs w:val="19"/>
                <w:lang w:val="es-MX"/>
              </w:rPr>
              <w:t xml:space="preserve">” </w:t>
            </w:r>
          </w:p>
        </w:tc>
      </w:tr>
      <w:tr w:rsidR="000C51A4" w:rsidRPr="000C51A4" w14:paraId="2FF4C4FF" w14:textId="77777777" w:rsidTr="00A33154">
        <w:tc>
          <w:tcPr>
            <w:tcW w:w="2405" w:type="dxa"/>
            <w:tcBorders>
              <w:top w:val="single" w:sz="4" w:space="0" w:color="auto"/>
              <w:left w:val="single" w:sz="4" w:space="0" w:color="auto"/>
              <w:bottom w:val="single" w:sz="4" w:space="0" w:color="auto"/>
              <w:right w:val="single" w:sz="4" w:space="0" w:color="auto"/>
            </w:tcBorders>
            <w:hideMark/>
          </w:tcPr>
          <w:p w14:paraId="7A561B19" w14:textId="77777777" w:rsidR="00A33154" w:rsidRPr="000C51A4" w:rsidRDefault="00CC65EB" w:rsidP="00220A9B">
            <w:pPr>
              <w:tabs>
                <w:tab w:val="left" w:pos="567"/>
              </w:tabs>
              <w:spacing w:line="360" w:lineRule="auto"/>
              <w:ind w:right="-28"/>
              <w:contextualSpacing/>
              <w:rPr>
                <w:i/>
                <w:color w:val="auto"/>
                <w:sz w:val="19"/>
                <w:szCs w:val="19"/>
                <w:lang w:val="es-MX"/>
              </w:rPr>
            </w:pPr>
            <w:r w:rsidRPr="000C51A4">
              <w:rPr>
                <w:rFonts w:cs="Tahoma"/>
                <w:b/>
                <w:bCs/>
                <w:color w:val="auto"/>
                <w:sz w:val="19"/>
                <w:szCs w:val="19"/>
                <w:lang w:val="es-MX"/>
              </w:rPr>
              <w:t>01001/SESEA/IP/2024</w:t>
            </w:r>
          </w:p>
        </w:tc>
        <w:tc>
          <w:tcPr>
            <w:tcW w:w="6662" w:type="dxa"/>
            <w:tcBorders>
              <w:top w:val="single" w:sz="4" w:space="0" w:color="auto"/>
              <w:left w:val="single" w:sz="4" w:space="0" w:color="auto"/>
              <w:bottom w:val="single" w:sz="4" w:space="0" w:color="auto"/>
              <w:right w:val="single" w:sz="4" w:space="0" w:color="auto"/>
            </w:tcBorders>
            <w:hideMark/>
          </w:tcPr>
          <w:p w14:paraId="545A86DE" w14:textId="77777777" w:rsidR="00A33154" w:rsidRPr="000C51A4" w:rsidRDefault="00A33154" w:rsidP="00220A9B">
            <w:pPr>
              <w:tabs>
                <w:tab w:val="left" w:pos="567"/>
              </w:tabs>
              <w:spacing w:line="360" w:lineRule="auto"/>
              <w:ind w:right="-28"/>
              <w:contextualSpacing/>
              <w:rPr>
                <w:i/>
                <w:color w:val="auto"/>
                <w:sz w:val="19"/>
                <w:szCs w:val="19"/>
                <w:lang w:val="es-MX"/>
              </w:rPr>
            </w:pPr>
            <w:r w:rsidRPr="000C51A4">
              <w:rPr>
                <w:i/>
                <w:color w:val="auto"/>
                <w:sz w:val="19"/>
                <w:szCs w:val="19"/>
                <w:lang w:val="es-MX"/>
              </w:rPr>
              <w:t>“</w:t>
            </w:r>
            <w:r w:rsidR="00CC65EB" w:rsidRPr="000C51A4">
              <w:rPr>
                <w:i/>
                <w:color w:val="auto"/>
                <w:sz w:val="19"/>
                <w:szCs w:val="19"/>
                <w:lang w:val="es-MX"/>
              </w:rPr>
              <w:t>Solicito a la Dirección General de Vinculación Interinstitucional de esta Secretaria, toda la información relevante acompañamiento permanente y seguimiento a la instalación de los Sistemas Municipales Anticorrupción desde el año 2018 a 2023</w:t>
            </w:r>
            <w:r w:rsidR="007D6BAB" w:rsidRPr="000C51A4">
              <w:rPr>
                <w:i/>
                <w:color w:val="auto"/>
                <w:sz w:val="19"/>
                <w:szCs w:val="19"/>
                <w:lang w:val="es-MX"/>
              </w:rPr>
              <w:t xml:space="preserve">” </w:t>
            </w:r>
          </w:p>
        </w:tc>
      </w:tr>
      <w:tr w:rsidR="000C51A4" w:rsidRPr="000C51A4" w14:paraId="22EE8DC4" w14:textId="77777777" w:rsidTr="00A33154">
        <w:tc>
          <w:tcPr>
            <w:tcW w:w="2405" w:type="dxa"/>
            <w:tcBorders>
              <w:top w:val="single" w:sz="4" w:space="0" w:color="auto"/>
              <w:left w:val="single" w:sz="4" w:space="0" w:color="auto"/>
              <w:bottom w:val="single" w:sz="4" w:space="0" w:color="auto"/>
              <w:right w:val="single" w:sz="4" w:space="0" w:color="auto"/>
            </w:tcBorders>
          </w:tcPr>
          <w:p w14:paraId="5C363603" w14:textId="77777777" w:rsidR="00A33154" w:rsidRPr="000C51A4" w:rsidRDefault="00CC65EB" w:rsidP="00220A9B">
            <w:pPr>
              <w:tabs>
                <w:tab w:val="left" w:pos="567"/>
              </w:tabs>
              <w:spacing w:line="360" w:lineRule="auto"/>
              <w:ind w:right="-28"/>
              <w:contextualSpacing/>
              <w:rPr>
                <w:rFonts w:cs="Tahoma"/>
                <w:b/>
                <w:bCs/>
                <w:color w:val="auto"/>
                <w:sz w:val="19"/>
                <w:szCs w:val="19"/>
                <w:lang w:val="es-MX"/>
              </w:rPr>
            </w:pPr>
            <w:r w:rsidRPr="000C51A4">
              <w:rPr>
                <w:rFonts w:cs="Tahoma"/>
                <w:b/>
                <w:bCs/>
                <w:color w:val="auto"/>
                <w:sz w:val="19"/>
                <w:szCs w:val="19"/>
                <w:lang w:val="es-MX"/>
              </w:rPr>
              <w:t>01000/SESEA/IP/2024</w:t>
            </w:r>
          </w:p>
        </w:tc>
        <w:tc>
          <w:tcPr>
            <w:tcW w:w="6662" w:type="dxa"/>
            <w:tcBorders>
              <w:top w:val="single" w:sz="4" w:space="0" w:color="auto"/>
              <w:left w:val="single" w:sz="4" w:space="0" w:color="auto"/>
              <w:bottom w:val="single" w:sz="4" w:space="0" w:color="auto"/>
              <w:right w:val="single" w:sz="4" w:space="0" w:color="auto"/>
            </w:tcBorders>
          </w:tcPr>
          <w:p w14:paraId="26C306F4" w14:textId="77777777" w:rsidR="00A33154" w:rsidRPr="000C51A4" w:rsidRDefault="00A33154" w:rsidP="00220A9B">
            <w:pPr>
              <w:tabs>
                <w:tab w:val="left" w:pos="567"/>
              </w:tabs>
              <w:spacing w:line="360" w:lineRule="auto"/>
              <w:ind w:right="-28"/>
              <w:contextualSpacing/>
              <w:rPr>
                <w:i/>
                <w:color w:val="auto"/>
                <w:sz w:val="19"/>
                <w:szCs w:val="19"/>
                <w:lang w:val="es-MX"/>
              </w:rPr>
            </w:pPr>
            <w:r w:rsidRPr="000C51A4">
              <w:rPr>
                <w:i/>
                <w:color w:val="auto"/>
                <w:sz w:val="19"/>
                <w:szCs w:val="19"/>
                <w:lang w:val="es-MX"/>
              </w:rPr>
              <w:t>“</w:t>
            </w:r>
            <w:r w:rsidR="007D6BAB" w:rsidRPr="000C51A4">
              <w:rPr>
                <w:i/>
                <w:color w:val="auto"/>
                <w:sz w:val="19"/>
                <w:szCs w:val="19"/>
                <w:lang w:val="es-MX"/>
              </w:rPr>
              <w:t>S</w:t>
            </w:r>
            <w:r w:rsidR="00CC65EB" w:rsidRPr="000C51A4">
              <w:rPr>
                <w:i/>
                <w:color w:val="auto"/>
                <w:sz w:val="19"/>
                <w:szCs w:val="19"/>
                <w:lang w:val="es-MX"/>
              </w:rPr>
              <w:t>olicito a la Dirección General de Vinculación Interinstitucional de esta Secretaria, toda la información relevante acompañamiento permanente y seguimiento a la instalación de los Sistemas Municipales Anticorrupción desde el año 2018 a 2022</w:t>
            </w:r>
            <w:r w:rsidR="007D6BAB" w:rsidRPr="000C51A4">
              <w:rPr>
                <w:i/>
                <w:color w:val="auto"/>
                <w:sz w:val="19"/>
                <w:szCs w:val="19"/>
                <w:lang w:val="es-MX"/>
              </w:rPr>
              <w:t>”</w:t>
            </w:r>
            <w:r w:rsidRPr="000C51A4">
              <w:rPr>
                <w:i/>
                <w:color w:val="auto"/>
                <w:sz w:val="19"/>
                <w:szCs w:val="19"/>
                <w:lang w:val="es-MX"/>
              </w:rPr>
              <w:t>)</w:t>
            </w:r>
          </w:p>
        </w:tc>
      </w:tr>
      <w:tr w:rsidR="000C51A4" w:rsidRPr="000C51A4" w14:paraId="05B68103" w14:textId="77777777" w:rsidTr="00A33154">
        <w:tc>
          <w:tcPr>
            <w:tcW w:w="2405" w:type="dxa"/>
            <w:tcBorders>
              <w:top w:val="single" w:sz="4" w:space="0" w:color="auto"/>
              <w:left w:val="single" w:sz="4" w:space="0" w:color="auto"/>
              <w:bottom w:val="single" w:sz="4" w:space="0" w:color="auto"/>
              <w:right w:val="single" w:sz="4" w:space="0" w:color="auto"/>
            </w:tcBorders>
          </w:tcPr>
          <w:p w14:paraId="34C16ADA" w14:textId="77777777" w:rsidR="00A33154" w:rsidRPr="000C51A4" w:rsidRDefault="00CC65EB" w:rsidP="00220A9B">
            <w:pPr>
              <w:tabs>
                <w:tab w:val="left" w:pos="567"/>
              </w:tabs>
              <w:spacing w:line="360" w:lineRule="auto"/>
              <w:ind w:right="-28"/>
              <w:contextualSpacing/>
              <w:rPr>
                <w:rFonts w:cs="Tahoma"/>
                <w:b/>
                <w:bCs/>
                <w:color w:val="auto"/>
                <w:sz w:val="19"/>
                <w:szCs w:val="19"/>
                <w:lang w:val="es-MX"/>
              </w:rPr>
            </w:pPr>
            <w:r w:rsidRPr="000C51A4">
              <w:rPr>
                <w:rFonts w:cs="Tahoma"/>
                <w:b/>
                <w:bCs/>
                <w:color w:val="auto"/>
                <w:sz w:val="19"/>
                <w:szCs w:val="19"/>
                <w:lang w:val="es-MX"/>
              </w:rPr>
              <w:t>00999/SESEA/IP/2024</w:t>
            </w:r>
          </w:p>
        </w:tc>
        <w:tc>
          <w:tcPr>
            <w:tcW w:w="6662" w:type="dxa"/>
            <w:tcBorders>
              <w:top w:val="single" w:sz="4" w:space="0" w:color="auto"/>
              <w:left w:val="single" w:sz="4" w:space="0" w:color="auto"/>
              <w:bottom w:val="single" w:sz="4" w:space="0" w:color="auto"/>
              <w:right w:val="single" w:sz="4" w:space="0" w:color="auto"/>
            </w:tcBorders>
          </w:tcPr>
          <w:p w14:paraId="7B2CEE14" w14:textId="77777777" w:rsidR="00A33154" w:rsidRPr="000C51A4" w:rsidRDefault="00A33154" w:rsidP="00220A9B">
            <w:pPr>
              <w:tabs>
                <w:tab w:val="left" w:pos="567"/>
              </w:tabs>
              <w:spacing w:line="360" w:lineRule="auto"/>
              <w:ind w:right="-28"/>
              <w:contextualSpacing/>
              <w:rPr>
                <w:i/>
                <w:color w:val="auto"/>
                <w:sz w:val="19"/>
                <w:szCs w:val="19"/>
                <w:lang w:val="es-MX"/>
              </w:rPr>
            </w:pPr>
            <w:r w:rsidRPr="000C51A4">
              <w:rPr>
                <w:i/>
                <w:color w:val="auto"/>
                <w:sz w:val="19"/>
                <w:szCs w:val="19"/>
                <w:lang w:val="es-MX"/>
              </w:rPr>
              <w:t>“</w:t>
            </w:r>
            <w:r w:rsidR="007D6BAB" w:rsidRPr="000C51A4">
              <w:rPr>
                <w:i/>
                <w:color w:val="auto"/>
                <w:sz w:val="19"/>
                <w:szCs w:val="19"/>
                <w:lang w:val="es-MX"/>
              </w:rPr>
              <w:t>Solicito a la Dirección General de Vinculación Interinstitucional de esta Secretaria, toda la información relevante acompañamiento permanente y seguimiento a la instalación de los Sistemas Municipales Anticorrupción desde el año 2018 a 2021”</w:t>
            </w:r>
            <w:r w:rsidRPr="000C51A4">
              <w:rPr>
                <w:i/>
                <w:color w:val="auto"/>
                <w:sz w:val="19"/>
                <w:szCs w:val="19"/>
                <w:lang w:val="es-MX"/>
              </w:rPr>
              <w:t>)</w:t>
            </w:r>
          </w:p>
        </w:tc>
      </w:tr>
      <w:tr w:rsidR="007D6BAB" w:rsidRPr="000C51A4" w14:paraId="5A99F00F" w14:textId="77777777" w:rsidTr="00A33154">
        <w:tc>
          <w:tcPr>
            <w:tcW w:w="2405" w:type="dxa"/>
            <w:tcBorders>
              <w:top w:val="single" w:sz="4" w:space="0" w:color="auto"/>
              <w:left w:val="single" w:sz="4" w:space="0" w:color="auto"/>
              <w:bottom w:val="single" w:sz="4" w:space="0" w:color="auto"/>
              <w:right w:val="single" w:sz="4" w:space="0" w:color="auto"/>
            </w:tcBorders>
          </w:tcPr>
          <w:p w14:paraId="457FFA6D" w14:textId="77777777" w:rsidR="007D6BAB" w:rsidRPr="000C51A4" w:rsidRDefault="007D6BAB" w:rsidP="00220A9B">
            <w:pPr>
              <w:tabs>
                <w:tab w:val="left" w:pos="567"/>
              </w:tabs>
              <w:spacing w:line="360" w:lineRule="auto"/>
              <w:ind w:right="-28"/>
              <w:contextualSpacing/>
              <w:rPr>
                <w:rFonts w:cs="Tahoma"/>
                <w:b/>
                <w:bCs/>
                <w:color w:val="auto"/>
                <w:sz w:val="19"/>
                <w:szCs w:val="19"/>
              </w:rPr>
            </w:pPr>
            <w:r w:rsidRPr="000C51A4">
              <w:rPr>
                <w:rFonts w:cs="Tahoma"/>
                <w:b/>
                <w:bCs/>
                <w:color w:val="auto"/>
                <w:sz w:val="19"/>
                <w:szCs w:val="19"/>
              </w:rPr>
              <w:t>00998/SESEA/IP/2024</w:t>
            </w:r>
          </w:p>
        </w:tc>
        <w:tc>
          <w:tcPr>
            <w:tcW w:w="6662" w:type="dxa"/>
            <w:tcBorders>
              <w:top w:val="single" w:sz="4" w:space="0" w:color="auto"/>
              <w:left w:val="single" w:sz="4" w:space="0" w:color="auto"/>
              <w:bottom w:val="single" w:sz="4" w:space="0" w:color="auto"/>
              <w:right w:val="single" w:sz="4" w:space="0" w:color="auto"/>
            </w:tcBorders>
          </w:tcPr>
          <w:p w14:paraId="59B6F320" w14:textId="77777777" w:rsidR="007D6BAB" w:rsidRPr="000C51A4" w:rsidRDefault="007D6BAB" w:rsidP="00220A9B">
            <w:pPr>
              <w:tabs>
                <w:tab w:val="left" w:pos="567"/>
              </w:tabs>
              <w:spacing w:line="360" w:lineRule="auto"/>
              <w:ind w:right="-28"/>
              <w:contextualSpacing/>
              <w:rPr>
                <w:i/>
                <w:color w:val="auto"/>
                <w:sz w:val="19"/>
                <w:szCs w:val="19"/>
              </w:rPr>
            </w:pPr>
            <w:r w:rsidRPr="000C51A4">
              <w:rPr>
                <w:i/>
                <w:color w:val="auto"/>
                <w:sz w:val="19"/>
                <w:szCs w:val="19"/>
              </w:rPr>
              <w:t>“Solicito a la Dirección General de Vinculación Interinstitucional de esta Secretaria, toda la información relevante acompañamiento permanente y seguimiento a la instalación de los Sistemas Municipales Anticorrupción desde el año 2018 a 2020”</w:t>
            </w:r>
          </w:p>
        </w:tc>
      </w:tr>
    </w:tbl>
    <w:p w14:paraId="5E9B5CB1" w14:textId="77777777" w:rsidR="00363853" w:rsidRPr="000C51A4" w:rsidRDefault="00363853" w:rsidP="00220A9B">
      <w:pPr>
        <w:spacing w:after="0" w:line="360" w:lineRule="auto"/>
        <w:ind w:right="567"/>
        <w:contextualSpacing/>
        <w:rPr>
          <w:rFonts w:cs="Tahoma"/>
          <w:b/>
          <w:bCs/>
          <w:color w:val="auto"/>
        </w:rPr>
      </w:pPr>
    </w:p>
    <w:p w14:paraId="093FEC10" w14:textId="13E81862" w:rsidR="00363853" w:rsidRPr="000C51A4" w:rsidRDefault="00363853" w:rsidP="00220A9B">
      <w:pPr>
        <w:tabs>
          <w:tab w:val="left" w:pos="4667"/>
        </w:tabs>
        <w:spacing w:after="0" w:line="360" w:lineRule="auto"/>
        <w:contextualSpacing/>
        <w:rPr>
          <w:rFonts w:cs="Tahoma"/>
          <w:bCs/>
          <w:i/>
          <w:color w:val="auto"/>
        </w:rPr>
      </w:pPr>
      <w:r w:rsidRPr="000C51A4">
        <w:rPr>
          <w:rFonts w:cs="Tahoma"/>
          <w:bCs/>
          <w:iCs/>
          <w:color w:val="auto"/>
        </w:rPr>
        <w:t xml:space="preserve">Es de señalar que en las </w:t>
      </w:r>
      <w:r w:rsidR="006A0D45" w:rsidRPr="000C51A4">
        <w:rPr>
          <w:rFonts w:cs="Tahoma"/>
          <w:bCs/>
          <w:iCs/>
          <w:color w:val="auto"/>
        </w:rPr>
        <w:t>cinco</w:t>
      </w:r>
      <w:r w:rsidR="00CF47FE" w:rsidRPr="000C51A4">
        <w:rPr>
          <w:rFonts w:cs="Tahoma"/>
          <w:bCs/>
          <w:iCs/>
          <w:color w:val="auto"/>
        </w:rPr>
        <w:t xml:space="preserve"> </w:t>
      </w:r>
      <w:r w:rsidRPr="000C51A4">
        <w:rPr>
          <w:rFonts w:cs="Tahoma"/>
          <w:bCs/>
          <w:iCs/>
          <w:color w:val="auto"/>
        </w:rPr>
        <w:t xml:space="preserve">solicitudes de acceso a la información la ahora Recurrente eligió como modalidad de entrega de la información </w:t>
      </w:r>
      <w:r w:rsidRPr="000C51A4">
        <w:rPr>
          <w:rFonts w:cs="Tahoma"/>
          <w:bCs/>
          <w:i/>
          <w:color w:val="auto"/>
        </w:rPr>
        <w:t>“A través del SAIMEX”.</w:t>
      </w:r>
    </w:p>
    <w:p w14:paraId="744FDBA7" w14:textId="77777777" w:rsidR="008D0855" w:rsidRPr="000C51A4" w:rsidRDefault="008D0855" w:rsidP="00220A9B">
      <w:pPr>
        <w:tabs>
          <w:tab w:val="left" w:pos="4667"/>
        </w:tabs>
        <w:spacing w:after="0" w:line="360" w:lineRule="auto"/>
        <w:contextualSpacing/>
        <w:rPr>
          <w:rFonts w:cs="Tahoma"/>
          <w:bCs/>
          <w:i/>
          <w:color w:val="auto"/>
        </w:rPr>
      </w:pPr>
    </w:p>
    <w:p w14:paraId="36AA9E90" w14:textId="77777777" w:rsidR="00F469B3" w:rsidRPr="000C51A4" w:rsidRDefault="0066348D" w:rsidP="00220A9B">
      <w:pPr>
        <w:tabs>
          <w:tab w:val="left" w:pos="4667"/>
        </w:tabs>
        <w:spacing w:after="0" w:line="360" w:lineRule="auto"/>
        <w:contextualSpacing/>
        <w:rPr>
          <w:rFonts w:eastAsiaTheme="minorHAnsi" w:cstheme="minorBidi"/>
          <w:b/>
          <w:color w:val="auto"/>
        </w:rPr>
      </w:pPr>
      <w:r w:rsidRPr="000C51A4">
        <w:rPr>
          <w:rFonts w:cs="Tahoma"/>
          <w:b/>
          <w:iCs/>
          <w:color w:val="auto"/>
        </w:rPr>
        <w:t>II</w:t>
      </w:r>
      <w:r w:rsidR="008D0855" w:rsidRPr="000C51A4">
        <w:rPr>
          <w:rFonts w:cs="Tahoma"/>
          <w:b/>
          <w:iCs/>
          <w:color w:val="auto"/>
        </w:rPr>
        <w:t>.</w:t>
      </w:r>
      <w:r w:rsidR="00F469B3" w:rsidRPr="000C51A4">
        <w:rPr>
          <w:rFonts w:eastAsiaTheme="minorHAnsi" w:cstheme="minorBidi"/>
          <w:b/>
          <w:color w:val="auto"/>
        </w:rPr>
        <w:t xml:space="preserve"> Respuesta del Sujeto Obligado.</w:t>
      </w:r>
    </w:p>
    <w:p w14:paraId="4A91CEC2" w14:textId="77777777" w:rsidR="00AA557E" w:rsidRPr="000C51A4" w:rsidRDefault="00AA557E" w:rsidP="00220A9B">
      <w:pPr>
        <w:spacing w:after="0" w:line="360" w:lineRule="auto"/>
        <w:contextualSpacing/>
        <w:rPr>
          <w:rFonts w:eastAsiaTheme="minorHAnsi" w:cstheme="minorBidi"/>
          <w:b/>
          <w:color w:val="auto"/>
        </w:rPr>
      </w:pPr>
    </w:p>
    <w:p w14:paraId="56B5B726" w14:textId="77777777" w:rsidR="001223E5" w:rsidRPr="000C51A4" w:rsidRDefault="001223E5" w:rsidP="00220A9B">
      <w:pPr>
        <w:tabs>
          <w:tab w:val="left" w:pos="567"/>
        </w:tabs>
        <w:spacing w:after="0" w:line="360" w:lineRule="auto"/>
        <w:contextualSpacing/>
        <w:rPr>
          <w:rFonts w:cs="Tahoma"/>
          <w:bCs/>
          <w:color w:val="auto"/>
        </w:rPr>
      </w:pPr>
      <w:r w:rsidRPr="000C51A4">
        <w:rPr>
          <w:rFonts w:cs="Tahoma"/>
          <w:bCs/>
          <w:color w:val="auto"/>
        </w:rPr>
        <w:t>Con fecha</w:t>
      </w:r>
      <w:r w:rsidR="00F426A8" w:rsidRPr="000C51A4">
        <w:rPr>
          <w:rFonts w:cs="Tahoma"/>
          <w:bCs/>
          <w:color w:val="auto"/>
        </w:rPr>
        <w:t xml:space="preserve"> </w:t>
      </w:r>
      <w:r w:rsidR="007D6BAB" w:rsidRPr="000C51A4">
        <w:rPr>
          <w:rFonts w:cs="Tahoma"/>
          <w:bCs/>
          <w:color w:val="auto"/>
        </w:rPr>
        <w:t>veinticuatro</w:t>
      </w:r>
      <w:r w:rsidR="00433077" w:rsidRPr="000C51A4">
        <w:rPr>
          <w:rFonts w:cs="Tahoma"/>
          <w:bCs/>
          <w:color w:val="auto"/>
        </w:rPr>
        <w:t xml:space="preserve"> </w:t>
      </w:r>
      <w:r w:rsidR="00D5260C" w:rsidRPr="000C51A4">
        <w:rPr>
          <w:rFonts w:cs="Tahoma"/>
          <w:bCs/>
          <w:color w:val="auto"/>
        </w:rPr>
        <w:t>de octubre</w:t>
      </w:r>
      <w:r w:rsidR="000C0493" w:rsidRPr="000C51A4">
        <w:rPr>
          <w:rFonts w:cs="Tahoma"/>
          <w:bCs/>
          <w:color w:val="auto"/>
        </w:rPr>
        <w:t xml:space="preserve"> de dos mil veinticuatro</w:t>
      </w:r>
      <w:r w:rsidRPr="000C51A4">
        <w:rPr>
          <w:rFonts w:cs="Tahoma"/>
          <w:bCs/>
          <w:color w:val="auto"/>
        </w:rPr>
        <w:t xml:space="preserve"> el Sujeto Obligado notificó la respuesta a las </w:t>
      </w:r>
      <w:r w:rsidR="007D6BAB" w:rsidRPr="000C51A4">
        <w:rPr>
          <w:rFonts w:cs="Tahoma"/>
          <w:bCs/>
          <w:color w:val="auto"/>
        </w:rPr>
        <w:t>cinco</w:t>
      </w:r>
      <w:r w:rsidR="00272742" w:rsidRPr="000C51A4">
        <w:rPr>
          <w:rFonts w:cs="Tahoma"/>
          <w:bCs/>
          <w:color w:val="auto"/>
        </w:rPr>
        <w:t xml:space="preserve"> </w:t>
      </w:r>
      <w:r w:rsidRPr="000C51A4">
        <w:rPr>
          <w:rFonts w:cs="Tahoma"/>
          <w:bCs/>
          <w:color w:val="auto"/>
        </w:rPr>
        <w:t xml:space="preserve">solicitudes de acceso a la información, a través del </w:t>
      </w:r>
      <w:r w:rsidRPr="000C51A4">
        <w:rPr>
          <w:rFonts w:cs="Tahoma"/>
          <w:color w:val="auto"/>
        </w:rPr>
        <w:t xml:space="preserve">SAIMEX, </w:t>
      </w:r>
      <w:r w:rsidR="0023069D" w:rsidRPr="000C51A4">
        <w:rPr>
          <w:rFonts w:cs="Tahoma"/>
          <w:color w:val="auto"/>
        </w:rPr>
        <w:t>en similares términos en los que adjuntó los siguientes archivos</w:t>
      </w:r>
      <w:r w:rsidRPr="000C51A4">
        <w:rPr>
          <w:rFonts w:cs="Tahoma"/>
          <w:color w:val="auto"/>
        </w:rPr>
        <w:t xml:space="preserve">: </w:t>
      </w:r>
    </w:p>
    <w:p w14:paraId="1440225F" w14:textId="77777777" w:rsidR="0052179E" w:rsidRPr="000C51A4" w:rsidRDefault="0052179E" w:rsidP="00220A9B">
      <w:pPr>
        <w:autoSpaceDE w:val="0"/>
        <w:autoSpaceDN w:val="0"/>
        <w:adjustRightInd w:val="0"/>
        <w:spacing w:after="0" w:line="360" w:lineRule="auto"/>
        <w:ind w:right="-28"/>
        <w:contextualSpacing/>
        <w:rPr>
          <w:rFonts w:cs="Tahoma"/>
          <w:bCs/>
          <w:color w:val="auto"/>
        </w:rPr>
      </w:pPr>
    </w:p>
    <w:p w14:paraId="7B7349C2" w14:textId="77777777" w:rsidR="00437903" w:rsidRPr="000C51A4" w:rsidRDefault="007D6BAB" w:rsidP="00220A9B">
      <w:pPr>
        <w:pStyle w:val="Prrafodelista"/>
        <w:numPr>
          <w:ilvl w:val="0"/>
          <w:numId w:val="45"/>
        </w:numPr>
        <w:autoSpaceDE w:val="0"/>
        <w:autoSpaceDN w:val="0"/>
        <w:adjustRightInd w:val="0"/>
        <w:spacing w:after="0" w:line="360" w:lineRule="auto"/>
        <w:ind w:right="-28"/>
        <w:rPr>
          <w:rFonts w:ascii="Palatino Linotype" w:hAnsi="Palatino Linotype" w:cs="Tahoma"/>
          <w:bCs/>
          <w:color w:val="auto"/>
        </w:rPr>
      </w:pPr>
      <w:proofErr w:type="spellStart"/>
      <w:r w:rsidRPr="000C51A4">
        <w:rPr>
          <w:rFonts w:ascii="Palatino Linotype" w:hAnsi="Palatino Linotype" w:cs="Tahoma"/>
          <w:b/>
          <w:bCs/>
          <w:i/>
          <w:color w:val="auto"/>
        </w:rPr>
        <w:t>resp</w:t>
      </w:r>
      <w:proofErr w:type="spellEnd"/>
      <w:r w:rsidRPr="000C51A4">
        <w:rPr>
          <w:rFonts w:ascii="Palatino Linotype" w:hAnsi="Palatino Linotype" w:cs="Tahoma"/>
          <w:b/>
          <w:bCs/>
          <w:i/>
          <w:color w:val="auto"/>
        </w:rPr>
        <w:t xml:space="preserve"> 1002.pdf</w:t>
      </w:r>
      <w:r w:rsidR="00437903" w:rsidRPr="000C51A4">
        <w:rPr>
          <w:rFonts w:ascii="Palatino Linotype" w:hAnsi="Palatino Linotype" w:cs="Tahoma"/>
          <w:b/>
          <w:bCs/>
          <w:i/>
          <w:color w:val="auto"/>
        </w:rPr>
        <w:t xml:space="preserve"> y RESP A SOL 1002</w:t>
      </w:r>
      <w:r w:rsidR="00437903" w:rsidRPr="000C51A4">
        <w:rPr>
          <w:rFonts w:ascii="Palatino Linotype" w:hAnsi="Palatino Linotype" w:cs="Tahoma"/>
          <w:b/>
          <w:bCs/>
          <w:color w:val="auto"/>
        </w:rPr>
        <w:t>.docx</w:t>
      </w:r>
      <w:r w:rsidR="0023069D" w:rsidRPr="000C51A4">
        <w:rPr>
          <w:rFonts w:ascii="Palatino Linotype" w:hAnsi="Palatino Linotype" w:cs="Tahoma"/>
          <w:b/>
          <w:bCs/>
          <w:color w:val="auto"/>
        </w:rPr>
        <w:t xml:space="preserve">. </w:t>
      </w:r>
      <w:r w:rsidR="00437903" w:rsidRPr="000C51A4">
        <w:rPr>
          <w:rFonts w:ascii="Palatino Linotype" w:hAnsi="Palatino Linotype" w:cs="Tahoma"/>
          <w:b/>
          <w:bCs/>
          <w:color w:val="auto"/>
        </w:rPr>
        <w:t>:</w:t>
      </w:r>
      <w:r w:rsidR="0023069D" w:rsidRPr="000C51A4">
        <w:rPr>
          <w:color w:val="auto"/>
        </w:rPr>
        <w:t xml:space="preserve"> </w:t>
      </w:r>
      <w:proofErr w:type="spellStart"/>
      <w:r w:rsidR="0023069D" w:rsidRPr="000C51A4">
        <w:rPr>
          <w:rFonts w:ascii="Palatino Linotype" w:hAnsi="Palatino Linotype" w:cs="Tahoma"/>
          <w:b/>
          <w:bCs/>
          <w:color w:val="auto"/>
        </w:rPr>
        <w:t>resp</w:t>
      </w:r>
      <w:proofErr w:type="spellEnd"/>
      <w:r w:rsidR="0023069D" w:rsidRPr="000C51A4">
        <w:rPr>
          <w:rFonts w:ascii="Palatino Linotype" w:hAnsi="Palatino Linotype" w:cs="Tahoma"/>
          <w:b/>
          <w:bCs/>
          <w:color w:val="auto"/>
        </w:rPr>
        <w:t xml:space="preserve"> 1001.pdf, RESP A SOL 1001.docx,</w:t>
      </w:r>
      <w:r w:rsidR="0023069D" w:rsidRPr="000C51A4">
        <w:rPr>
          <w:color w:val="auto"/>
        </w:rPr>
        <w:t xml:space="preserve"> </w:t>
      </w:r>
      <w:proofErr w:type="spellStart"/>
      <w:r w:rsidR="0023069D" w:rsidRPr="000C51A4">
        <w:rPr>
          <w:rFonts w:ascii="Palatino Linotype" w:hAnsi="Palatino Linotype" w:cs="Tahoma"/>
          <w:b/>
          <w:bCs/>
          <w:color w:val="auto"/>
        </w:rPr>
        <w:t>resp</w:t>
      </w:r>
      <w:proofErr w:type="spellEnd"/>
      <w:r w:rsidR="0023069D" w:rsidRPr="000C51A4">
        <w:rPr>
          <w:rFonts w:ascii="Palatino Linotype" w:hAnsi="Palatino Linotype" w:cs="Tahoma"/>
          <w:b/>
          <w:bCs/>
          <w:color w:val="auto"/>
        </w:rPr>
        <w:t xml:space="preserve"> 1000.pdf, RESP A SOL 1000.docx, </w:t>
      </w:r>
      <w:proofErr w:type="spellStart"/>
      <w:r w:rsidR="0023069D" w:rsidRPr="000C51A4">
        <w:rPr>
          <w:rFonts w:ascii="Palatino Linotype" w:hAnsi="Palatino Linotype" w:cs="Tahoma"/>
          <w:b/>
          <w:bCs/>
          <w:color w:val="auto"/>
        </w:rPr>
        <w:t>resp</w:t>
      </w:r>
      <w:proofErr w:type="spellEnd"/>
      <w:r w:rsidR="0023069D" w:rsidRPr="000C51A4">
        <w:rPr>
          <w:rFonts w:ascii="Palatino Linotype" w:hAnsi="Palatino Linotype" w:cs="Tahoma"/>
          <w:b/>
          <w:bCs/>
          <w:color w:val="auto"/>
        </w:rPr>
        <w:t xml:space="preserve"> 999.pdf, RESP A SOL 999.docx , RESP A SOL </w:t>
      </w:r>
      <w:r w:rsidR="0023069D" w:rsidRPr="000C51A4">
        <w:rPr>
          <w:rFonts w:ascii="Palatino Linotype" w:hAnsi="Palatino Linotype" w:cs="Tahoma"/>
          <w:b/>
          <w:bCs/>
          <w:color w:val="auto"/>
        </w:rPr>
        <w:lastRenderedPageBreak/>
        <w:t xml:space="preserve">998.docx y </w:t>
      </w:r>
      <w:proofErr w:type="spellStart"/>
      <w:r w:rsidR="0023069D" w:rsidRPr="000C51A4">
        <w:rPr>
          <w:rFonts w:ascii="Palatino Linotype" w:hAnsi="Palatino Linotype" w:cs="Tahoma"/>
          <w:b/>
          <w:bCs/>
          <w:color w:val="auto"/>
        </w:rPr>
        <w:t>resp</w:t>
      </w:r>
      <w:proofErr w:type="spellEnd"/>
      <w:r w:rsidR="0023069D" w:rsidRPr="000C51A4">
        <w:rPr>
          <w:rFonts w:ascii="Palatino Linotype" w:hAnsi="Palatino Linotype" w:cs="Tahoma"/>
          <w:b/>
          <w:bCs/>
          <w:color w:val="auto"/>
        </w:rPr>
        <w:t xml:space="preserve"> 998.pdf </w:t>
      </w:r>
      <w:r w:rsidR="00437903" w:rsidRPr="000C51A4">
        <w:rPr>
          <w:rFonts w:ascii="Palatino Linotype" w:hAnsi="Palatino Linotype" w:cs="Tahoma"/>
          <w:b/>
          <w:bCs/>
          <w:color w:val="auto"/>
        </w:rPr>
        <w:t xml:space="preserve"> </w:t>
      </w:r>
      <w:r w:rsidR="00437903" w:rsidRPr="000C51A4">
        <w:rPr>
          <w:rFonts w:ascii="Palatino Linotype" w:hAnsi="Palatino Linotype" w:cs="Tahoma"/>
          <w:bCs/>
          <w:color w:val="auto"/>
        </w:rPr>
        <w:t>Oficio suscrito por la Jefa de la Unidad de Planeación y Transparencia en el que manifestó lo siguiente:</w:t>
      </w:r>
    </w:p>
    <w:p w14:paraId="10E1A0F9"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p>
    <w:p w14:paraId="3AE92FEC"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w:t>
      </w:r>
    </w:p>
    <w:p w14:paraId="1EE044CE"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 xml:space="preserve">Hago de su conocimiento, la respuesta entregada por la Dirección General de Vinculación Interinstitucional con oficio número 41100101A00000L/0913/2024 en la cual se encuentra la información solicitada, por lo que se anexa en formato </w:t>
      </w:r>
      <w:proofErr w:type="spellStart"/>
      <w:r w:rsidRPr="000C51A4">
        <w:rPr>
          <w:rFonts w:cs="Tahoma"/>
          <w:bCs/>
          <w:i/>
          <w:color w:val="auto"/>
          <w:sz w:val="20"/>
          <w:szCs w:val="20"/>
        </w:rPr>
        <w:t>pdf</w:t>
      </w:r>
      <w:proofErr w:type="spellEnd"/>
      <w:r w:rsidRPr="000C51A4">
        <w:rPr>
          <w:rFonts w:cs="Tahoma"/>
          <w:bCs/>
          <w:i/>
          <w:color w:val="auto"/>
          <w:sz w:val="20"/>
          <w:szCs w:val="20"/>
        </w:rPr>
        <w:t>.</w:t>
      </w:r>
    </w:p>
    <w:p w14:paraId="1CBC6509"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p>
    <w:p w14:paraId="027CC7B7"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 xml:space="preserve">Con lo anteriormente expuesto esta Unidad de Planeación y Transparencia, da por atendida la solicitud de información; por otra parte, no omito manifestar que usted puede acceder a la información pública que corresponde a este sujeto obligado a través del sistema de Información Pública de Oficio Mexiquense </w:t>
      </w:r>
    </w:p>
    <w:p w14:paraId="080668DD"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p>
    <w:p w14:paraId="78F18E4C" w14:textId="77777777" w:rsidR="00437903" w:rsidRPr="000C51A4" w:rsidRDefault="00CC5355" w:rsidP="00220A9B">
      <w:pPr>
        <w:autoSpaceDE w:val="0"/>
        <w:autoSpaceDN w:val="0"/>
        <w:adjustRightInd w:val="0"/>
        <w:spacing w:after="0" w:line="360" w:lineRule="auto"/>
        <w:ind w:left="567" w:right="539"/>
        <w:contextualSpacing/>
        <w:jc w:val="center"/>
        <w:rPr>
          <w:rFonts w:cs="Tahoma"/>
          <w:bCs/>
          <w:i/>
          <w:color w:val="auto"/>
          <w:sz w:val="20"/>
          <w:szCs w:val="20"/>
        </w:rPr>
      </w:pPr>
      <w:hyperlink r:id="rId8" w:anchor="/obligaciones/35" w:history="1">
        <w:r w:rsidR="00437903" w:rsidRPr="000C51A4">
          <w:rPr>
            <w:rStyle w:val="Hipervnculo"/>
            <w:rFonts w:cs="Tahoma"/>
            <w:bCs/>
            <w:i/>
            <w:color w:val="auto"/>
            <w:sz w:val="20"/>
          </w:rPr>
          <w:t>https://infoem2.ipomex.org.mx/ipomex/#/obligaciones/35</w:t>
        </w:r>
      </w:hyperlink>
      <w:r w:rsidR="00437903" w:rsidRPr="000C51A4">
        <w:rPr>
          <w:rFonts w:cs="Tahoma"/>
          <w:bCs/>
          <w:i/>
          <w:color w:val="auto"/>
          <w:sz w:val="20"/>
        </w:rPr>
        <w:t xml:space="preserve"> </w:t>
      </w:r>
    </w:p>
    <w:p w14:paraId="65ECEA4A"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p>
    <w:p w14:paraId="4CE51124"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 xml:space="preserve">y en la Plataforma Nacional de Transparencia </w:t>
      </w:r>
      <w:hyperlink r:id="rId9" w:history="1">
        <w:r w:rsidRPr="000C51A4">
          <w:rPr>
            <w:rStyle w:val="Hipervnculo"/>
            <w:rFonts w:cs="Tahoma"/>
            <w:bCs/>
            <w:i/>
            <w:color w:val="auto"/>
            <w:sz w:val="20"/>
            <w:szCs w:val="20"/>
          </w:rPr>
          <w:t>https://www.plataformadetransparencia.org.mx/web/guest/inicio</w:t>
        </w:r>
      </w:hyperlink>
      <w:r w:rsidRPr="000C51A4">
        <w:rPr>
          <w:rFonts w:cs="Tahoma"/>
          <w:bCs/>
          <w:i/>
          <w:color w:val="auto"/>
          <w:sz w:val="20"/>
          <w:szCs w:val="20"/>
        </w:rPr>
        <w:t xml:space="preserve">,  seleccionando el icono del Poder Ejecutivo en donde podrá encontrar a la Secretaría Ejecutiva del Sistema Estatal Anticorrupción y consultar el listado de información disponible de obligaciones de transparencia en términos de los artículos 92, 93, 94 y 103 d la ley de Transparencia y Acceso a la Información Pública del Estado de México y Municipios; entre los cuales se encuentran las remuneraciones del personal. </w:t>
      </w:r>
    </w:p>
    <w:p w14:paraId="0ACF8060"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p>
    <w:p w14:paraId="557CA4BC" w14:textId="0773D72E"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 xml:space="preserve">Así mismo, se le invita a visitar la página </w:t>
      </w:r>
      <w:hyperlink r:id="rId10" w:history="1">
        <w:r w:rsidRPr="000C51A4">
          <w:rPr>
            <w:rStyle w:val="Hipervnculo"/>
            <w:rFonts w:cs="Tahoma"/>
            <w:bCs/>
            <w:i/>
            <w:color w:val="auto"/>
            <w:sz w:val="20"/>
            <w:szCs w:val="20"/>
          </w:rPr>
          <w:t>www.sesaemm.gob.mx</w:t>
        </w:r>
      </w:hyperlink>
      <w:r w:rsidRPr="000C51A4">
        <w:rPr>
          <w:rFonts w:cs="Tahoma"/>
          <w:bCs/>
          <w:i/>
          <w:color w:val="auto"/>
          <w:sz w:val="20"/>
          <w:szCs w:val="20"/>
        </w:rPr>
        <w:t xml:space="preserve">, en la cual podrá, conocer más información sobre las actividades que realiza la Secretaría Ejecutiva del Sistema Estatal Anticorrupción, así como consultar el Sistema de Gestión </w:t>
      </w:r>
      <w:r w:rsidR="00A827BE" w:rsidRPr="000C51A4">
        <w:rPr>
          <w:rFonts w:cs="Tahoma"/>
          <w:bCs/>
          <w:i/>
          <w:color w:val="auto"/>
          <w:sz w:val="20"/>
          <w:szCs w:val="20"/>
        </w:rPr>
        <w:t>Anti soborno</w:t>
      </w:r>
      <w:r w:rsidRPr="000C51A4">
        <w:rPr>
          <w:rFonts w:cs="Tahoma"/>
          <w:bCs/>
          <w:i/>
          <w:color w:val="auto"/>
          <w:sz w:val="20"/>
          <w:szCs w:val="20"/>
        </w:rPr>
        <w:t xml:space="preserve"> y descargar la Política </w:t>
      </w:r>
      <w:r w:rsidR="00A827BE" w:rsidRPr="000C51A4">
        <w:rPr>
          <w:rFonts w:cs="Tahoma"/>
          <w:bCs/>
          <w:i/>
          <w:color w:val="auto"/>
          <w:sz w:val="20"/>
          <w:szCs w:val="20"/>
        </w:rPr>
        <w:t>Anti soborno</w:t>
      </w:r>
      <w:r w:rsidRPr="000C51A4">
        <w:rPr>
          <w:rFonts w:cs="Tahoma"/>
          <w:bCs/>
          <w:i/>
          <w:color w:val="auto"/>
          <w:sz w:val="20"/>
          <w:szCs w:val="20"/>
        </w:rPr>
        <w:t xml:space="preserve"> en el siguiente enlace:  </w:t>
      </w:r>
      <w:hyperlink r:id="rId11" w:history="1">
        <w:r w:rsidRPr="000C51A4">
          <w:rPr>
            <w:rStyle w:val="Hipervnculo"/>
            <w:rFonts w:cs="Tahoma"/>
            <w:bCs/>
            <w:i/>
            <w:color w:val="auto"/>
            <w:sz w:val="20"/>
            <w:szCs w:val="20"/>
          </w:rPr>
          <w:t>https://sesaemm.gob.mx/politica_antisoborno/</w:t>
        </w:r>
      </w:hyperlink>
      <w:r w:rsidRPr="000C51A4">
        <w:rPr>
          <w:rFonts w:cs="Tahoma"/>
          <w:bCs/>
          <w:i/>
          <w:color w:val="auto"/>
          <w:sz w:val="20"/>
          <w:szCs w:val="20"/>
        </w:rPr>
        <w:t xml:space="preserve"> </w:t>
      </w:r>
    </w:p>
    <w:p w14:paraId="29C8B38A"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p>
    <w:p w14:paraId="139C768C" w14:textId="77777777" w:rsidR="00437903" w:rsidRPr="000C51A4" w:rsidRDefault="00437903"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lastRenderedPageBreak/>
        <w:t>En caso de requerir asesoría, orientación o cualquier auxilio relacionado con la elaboración de solicitudes de información, con la presente respuesta, o en general con las obligaciones en materias transparencia y acceso a la información pública a cargo de la Secretaría Ejecutiva del Sistema Estatal Anticorrupción, esta Unidad de Transparencia se encuentra a sus órdenes a través de los datos de identificación siguientes:</w:t>
      </w:r>
    </w:p>
    <w:p w14:paraId="747CA249" w14:textId="77777777" w:rsidR="00437903" w:rsidRDefault="00437903"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w:t>
      </w:r>
      <w:r w:rsidR="00A511D1" w:rsidRPr="000C51A4">
        <w:rPr>
          <w:rFonts w:cs="Tahoma"/>
          <w:bCs/>
          <w:i/>
          <w:color w:val="auto"/>
          <w:sz w:val="20"/>
          <w:szCs w:val="20"/>
        </w:rPr>
        <w:t>”</w:t>
      </w:r>
    </w:p>
    <w:p w14:paraId="2C0554E2" w14:textId="77777777" w:rsidR="00244DE6" w:rsidRPr="000C51A4" w:rsidRDefault="00244DE6" w:rsidP="00220A9B">
      <w:pPr>
        <w:autoSpaceDE w:val="0"/>
        <w:autoSpaceDN w:val="0"/>
        <w:adjustRightInd w:val="0"/>
        <w:spacing w:after="0" w:line="360" w:lineRule="auto"/>
        <w:ind w:left="567" w:right="539"/>
        <w:contextualSpacing/>
        <w:rPr>
          <w:rFonts w:cs="Tahoma"/>
          <w:bCs/>
          <w:i/>
          <w:color w:val="auto"/>
          <w:sz w:val="20"/>
          <w:szCs w:val="20"/>
        </w:rPr>
      </w:pPr>
    </w:p>
    <w:p w14:paraId="6C6ACB05" w14:textId="210C9A26" w:rsidR="00A511D1" w:rsidRPr="000C51A4" w:rsidRDefault="00A511D1" w:rsidP="00220A9B">
      <w:pPr>
        <w:pStyle w:val="Prrafodelista"/>
        <w:numPr>
          <w:ilvl w:val="0"/>
          <w:numId w:val="45"/>
        </w:numPr>
        <w:autoSpaceDE w:val="0"/>
        <w:autoSpaceDN w:val="0"/>
        <w:adjustRightInd w:val="0"/>
        <w:spacing w:after="0" w:line="360" w:lineRule="auto"/>
        <w:ind w:right="-28"/>
        <w:rPr>
          <w:rFonts w:ascii="Palatino Linotype" w:hAnsi="Palatino Linotype" w:cs="Tahoma"/>
          <w:bCs/>
          <w:color w:val="auto"/>
        </w:rPr>
      </w:pPr>
      <w:r w:rsidRPr="000C51A4">
        <w:rPr>
          <w:rFonts w:ascii="Palatino Linotype" w:hAnsi="Palatino Linotype" w:cs="Tahoma"/>
          <w:b/>
          <w:bCs/>
          <w:i/>
          <w:color w:val="auto"/>
        </w:rPr>
        <w:t>Of DGVI 913 Atención a sol 1002.pdf</w:t>
      </w:r>
      <w:r w:rsidR="0023069D" w:rsidRPr="000C51A4">
        <w:rPr>
          <w:rFonts w:ascii="Palatino Linotype" w:hAnsi="Palatino Linotype" w:cs="Tahoma"/>
          <w:b/>
          <w:bCs/>
          <w:i/>
          <w:color w:val="auto"/>
        </w:rPr>
        <w:t xml:space="preserve">, Of DGVI 912 Atención a sol 01001.pdf, Of DGVI 911 Atención a sol 01000.pdf, Of DGVI 910 Atención a sol 00999.pdf y Of DGVI 909 </w:t>
      </w:r>
      <w:r w:rsidR="00A827BE" w:rsidRPr="000C51A4">
        <w:rPr>
          <w:rFonts w:ascii="Palatino Linotype" w:hAnsi="Palatino Linotype" w:cs="Tahoma"/>
          <w:b/>
          <w:bCs/>
          <w:i/>
          <w:color w:val="auto"/>
        </w:rPr>
        <w:t>Atención</w:t>
      </w:r>
      <w:r w:rsidR="0023069D" w:rsidRPr="000C51A4">
        <w:rPr>
          <w:rFonts w:ascii="Palatino Linotype" w:hAnsi="Palatino Linotype" w:cs="Tahoma"/>
          <w:b/>
          <w:bCs/>
          <w:i/>
          <w:color w:val="auto"/>
        </w:rPr>
        <w:t xml:space="preserve"> a sol 00998.pdf</w:t>
      </w:r>
      <w:r w:rsidRPr="000C51A4">
        <w:rPr>
          <w:rFonts w:ascii="Palatino Linotype" w:hAnsi="Palatino Linotype" w:cs="Tahoma"/>
          <w:b/>
          <w:bCs/>
          <w:color w:val="auto"/>
        </w:rPr>
        <w:t xml:space="preserve">: </w:t>
      </w:r>
      <w:r w:rsidRPr="000C51A4">
        <w:rPr>
          <w:rFonts w:ascii="Palatino Linotype" w:hAnsi="Palatino Linotype" w:cs="Tahoma"/>
          <w:bCs/>
          <w:color w:val="auto"/>
        </w:rPr>
        <w:t>Oficio suscrito por el Director General en el que manifestó lo siguiente:</w:t>
      </w:r>
    </w:p>
    <w:p w14:paraId="57FB6C6F" w14:textId="77777777" w:rsidR="00A511D1" w:rsidRPr="000C51A4" w:rsidRDefault="00A511D1" w:rsidP="00220A9B">
      <w:pPr>
        <w:autoSpaceDE w:val="0"/>
        <w:autoSpaceDN w:val="0"/>
        <w:adjustRightInd w:val="0"/>
        <w:spacing w:after="0" w:line="360" w:lineRule="auto"/>
        <w:ind w:left="360" w:right="-28"/>
        <w:contextualSpacing/>
        <w:rPr>
          <w:rFonts w:cs="Tahoma"/>
          <w:b/>
          <w:bCs/>
          <w:color w:val="auto"/>
        </w:rPr>
      </w:pPr>
    </w:p>
    <w:p w14:paraId="637BD4A2"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w:t>
      </w:r>
    </w:p>
    <w:p w14:paraId="209943CA"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 xml:space="preserve">En relación a su solicitud, con fundamento en el artículo 25 de la Ley del sistema Anticorrupción del Estado de México y Municipios </w:t>
      </w:r>
      <w:bookmarkStart w:id="2" w:name="_Hlk183519526"/>
      <w:r w:rsidRPr="000C51A4">
        <w:rPr>
          <w:rFonts w:cs="Tahoma"/>
          <w:bCs/>
          <w:i/>
          <w:color w:val="auto"/>
          <w:sz w:val="20"/>
          <w:szCs w:val="20"/>
        </w:rPr>
        <w:t>se hace de su conocimiento que la información relevante al acompañamiento permanente y seguimiento a la instalación de los Sistemas Municipales Anticorrupción se encuentra en los informes anuales del Comité Coordinador</w:t>
      </w:r>
      <w:bookmarkEnd w:id="2"/>
      <w:r w:rsidRPr="000C51A4">
        <w:rPr>
          <w:rFonts w:cs="Tahoma"/>
          <w:bCs/>
          <w:i/>
          <w:color w:val="auto"/>
          <w:sz w:val="20"/>
          <w:szCs w:val="20"/>
        </w:rPr>
        <w:t>, siendo estos los siguientes:</w:t>
      </w:r>
    </w:p>
    <w:p w14:paraId="32CA564E"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 2017-2018. Página 34</w:t>
      </w:r>
    </w:p>
    <w:p w14:paraId="175DB179"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Coordinador2018-2019. Página 83</w:t>
      </w:r>
    </w:p>
    <w:p w14:paraId="006E3F36"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 2019-2020. Página 124</w:t>
      </w:r>
    </w:p>
    <w:p w14:paraId="207B9C56"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 2020-2021. Página 161</w:t>
      </w:r>
    </w:p>
    <w:p w14:paraId="41295F0B"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 2021-2022. Página 91</w:t>
      </w:r>
    </w:p>
    <w:p w14:paraId="6B2FF921"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 2022-2023. Página 87</w:t>
      </w:r>
    </w:p>
    <w:p w14:paraId="2A755E20" w14:textId="77777777" w:rsidR="00A511D1" w:rsidRPr="000C51A4" w:rsidRDefault="00A511D1" w:rsidP="00220A9B">
      <w:pPr>
        <w:pStyle w:val="Prrafodelista"/>
        <w:numPr>
          <w:ilvl w:val="0"/>
          <w:numId w:val="47"/>
        </w:numPr>
        <w:autoSpaceDE w:val="0"/>
        <w:autoSpaceDN w:val="0"/>
        <w:adjustRightInd w:val="0"/>
        <w:spacing w:after="0" w:line="360" w:lineRule="auto"/>
        <w:ind w:right="539"/>
        <w:rPr>
          <w:rFonts w:ascii="Palatino Linotype" w:hAnsi="Palatino Linotype" w:cs="Tahoma"/>
          <w:bCs/>
          <w:i/>
          <w:color w:val="auto"/>
          <w:sz w:val="20"/>
          <w:szCs w:val="20"/>
        </w:rPr>
      </w:pPr>
      <w:r w:rsidRPr="000C51A4">
        <w:rPr>
          <w:rFonts w:ascii="Palatino Linotype" w:hAnsi="Palatino Linotype" w:cs="Tahoma"/>
          <w:bCs/>
          <w:i/>
          <w:color w:val="auto"/>
          <w:sz w:val="20"/>
          <w:szCs w:val="20"/>
        </w:rPr>
        <w:t>Informe Anual del Comité Coordinador 2023-2024. Página 54</w:t>
      </w:r>
    </w:p>
    <w:p w14:paraId="73A8C445"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p>
    <w:p w14:paraId="2C7E7252"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lastRenderedPageBreak/>
        <w:t>Así mismo, cabe mencionar que la información solicitada se encuentra publicada en la página electrónica de la SESEA (…) a través de los siguientes enlaces:</w:t>
      </w:r>
    </w:p>
    <w:p w14:paraId="09F472F5" w14:textId="77777777" w:rsidR="00A511D1" w:rsidRPr="000C51A4" w:rsidRDefault="00A511D1" w:rsidP="00220A9B">
      <w:pPr>
        <w:autoSpaceDE w:val="0"/>
        <w:autoSpaceDN w:val="0"/>
        <w:adjustRightInd w:val="0"/>
        <w:spacing w:after="0" w:line="360" w:lineRule="auto"/>
        <w:ind w:left="567" w:right="539"/>
        <w:contextualSpacing/>
        <w:rPr>
          <w:rFonts w:cs="Tahoma"/>
          <w:bCs/>
          <w:i/>
          <w:color w:val="auto"/>
          <w:sz w:val="20"/>
          <w:szCs w:val="20"/>
        </w:rPr>
      </w:pPr>
      <w:r w:rsidRPr="000C51A4">
        <w:rPr>
          <w:rFonts w:cs="Tahoma"/>
          <w:bCs/>
          <w:i/>
          <w:color w:val="auto"/>
          <w:sz w:val="20"/>
          <w:szCs w:val="20"/>
        </w:rPr>
        <w:t>…”</w:t>
      </w:r>
    </w:p>
    <w:p w14:paraId="01EAD934" w14:textId="77777777" w:rsidR="00A511D1" w:rsidRPr="000C51A4" w:rsidRDefault="00A511D1" w:rsidP="00220A9B">
      <w:pPr>
        <w:pStyle w:val="Prrafodelista"/>
        <w:numPr>
          <w:ilvl w:val="0"/>
          <w:numId w:val="45"/>
        </w:numPr>
        <w:autoSpaceDE w:val="0"/>
        <w:autoSpaceDN w:val="0"/>
        <w:adjustRightInd w:val="0"/>
        <w:spacing w:after="0" w:line="360" w:lineRule="auto"/>
        <w:ind w:right="-28"/>
        <w:rPr>
          <w:rFonts w:cs="Tahoma"/>
          <w:bCs/>
          <w:i/>
          <w:color w:val="auto"/>
          <w:sz w:val="20"/>
          <w:szCs w:val="20"/>
        </w:rPr>
      </w:pPr>
      <w:r w:rsidRPr="000C51A4">
        <w:rPr>
          <w:rFonts w:ascii="Palatino Linotype" w:hAnsi="Palatino Linotype" w:cs="Tahoma"/>
          <w:b/>
          <w:bCs/>
          <w:i/>
          <w:color w:val="auto"/>
        </w:rPr>
        <w:t>Sol 1002-2024.zip</w:t>
      </w:r>
      <w:r w:rsidR="0023069D" w:rsidRPr="000C51A4">
        <w:rPr>
          <w:rFonts w:ascii="Palatino Linotype" w:hAnsi="Palatino Linotype" w:cs="Tahoma"/>
          <w:b/>
          <w:bCs/>
          <w:i/>
          <w:color w:val="auto"/>
        </w:rPr>
        <w:t>, Sol 1001-2024.zip, Sol 1000-2024.zip, Sol 0999-2024.zip y Sol 0998-2024.zip</w:t>
      </w:r>
      <w:r w:rsidRPr="000C51A4">
        <w:rPr>
          <w:rFonts w:ascii="Palatino Linotype" w:hAnsi="Palatino Linotype" w:cs="Tahoma"/>
          <w:b/>
          <w:bCs/>
          <w:i/>
          <w:color w:val="auto"/>
        </w:rPr>
        <w:t xml:space="preserve">: </w:t>
      </w:r>
      <w:r w:rsidR="0023069D" w:rsidRPr="000C51A4">
        <w:rPr>
          <w:rFonts w:ascii="Palatino Linotype" w:hAnsi="Palatino Linotype" w:cs="Tahoma"/>
          <w:bCs/>
          <w:color w:val="auto"/>
        </w:rPr>
        <w:t>Contiene los Informes anuales de los años dos mil dieciocho a dos mil veinticuatro</w:t>
      </w:r>
    </w:p>
    <w:p w14:paraId="299B5C36" w14:textId="77777777" w:rsidR="00A511D1" w:rsidRPr="000C51A4" w:rsidRDefault="00A511D1" w:rsidP="00220A9B">
      <w:pPr>
        <w:pStyle w:val="Prrafodelista"/>
        <w:numPr>
          <w:ilvl w:val="0"/>
          <w:numId w:val="45"/>
        </w:numPr>
        <w:autoSpaceDE w:val="0"/>
        <w:autoSpaceDN w:val="0"/>
        <w:adjustRightInd w:val="0"/>
        <w:spacing w:after="0" w:line="360" w:lineRule="auto"/>
        <w:ind w:right="-28"/>
        <w:rPr>
          <w:rFonts w:ascii="Palatino Linotype" w:hAnsi="Palatino Linotype" w:cs="Tahoma"/>
          <w:bCs/>
          <w:color w:val="auto"/>
        </w:rPr>
      </w:pPr>
      <w:r w:rsidRPr="000C51A4">
        <w:rPr>
          <w:rFonts w:ascii="Palatino Linotype" w:hAnsi="Palatino Linotype" w:cs="Tahoma"/>
          <w:b/>
          <w:bCs/>
          <w:i/>
          <w:color w:val="auto"/>
        </w:rPr>
        <w:t>LSAEMYM.pdf</w:t>
      </w:r>
      <w:r w:rsidRPr="000C51A4">
        <w:rPr>
          <w:rFonts w:ascii="Palatino Linotype" w:hAnsi="Palatino Linotype" w:cs="Tahoma"/>
          <w:b/>
          <w:bCs/>
          <w:color w:val="auto"/>
        </w:rPr>
        <w:t xml:space="preserve">: </w:t>
      </w:r>
      <w:r w:rsidRPr="000C51A4">
        <w:rPr>
          <w:rFonts w:ascii="Palatino Linotype" w:hAnsi="Palatino Linotype" w:cs="Tahoma"/>
          <w:bCs/>
          <w:color w:val="auto"/>
        </w:rPr>
        <w:t>Ley del Sistema Anticorrupción del Estado de México y Municipios</w:t>
      </w:r>
    </w:p>
    <w:p w14:paraId="482D3F90" w14:textId="77777777" w:rsidR="00A511D1" w:rsidRPr="000C51A4" w:rsidRDefault="00A511D1" w:rsidP="00220A9B">
      <w:pPr>
        <w:pStyle w:val="Prrafodelista"/>
        <w:numPr>
          <w:ilvl w:val="0"/>
          <w:numId w:val="45"/>
        </w:numPr>
        <w:autoSpaceDE w:val="0"/>
        <w:autoSpaceDN w:val="0"/>
        <w:adjustRightInd w:val="0"/>
        <w:spacing w:after="0" w:line="360" w:lineRule="auto"/>
        <w:ind w:right="-28"/>
        <w:rPr>
          <w:rFonts w:ascii="Palatino Linotype" w:hAnsi="Palatino Linotype" w:cs="Tahoma"/>
          <w:bCs/>
          <w:color w:val="auto"/>
        </w:rPr>
      </w:pPr>
      <w:r w:rsidRPr="000C51A4">
        <w:rPr>
          <w:rFonts w:ascii="Palatino Linotype" w:hAnsi="Palatino Linotype" w:cs="Tahoma"/>
          <w:b/>
          <w:bCs/>
          <w:i/>
          <w:color w:val="auto"/>
        </w:rPr>
        <w:t>LTAIPEMYM.pdf</w:t>
      </w:r>
      <w:r w:rsidRPr="000C51A4">
        <w:rPr>
          <w:rFonts w:ascii="Palatino Linotype" w:hAnsi="Palatino Linotype" w:cs="Tahoma"/>
          <w:b/>
          <w:bCs/>
          <w:color w:val="auto"/>
        </w:rPr>
        <w:t xml:space="preserve">: </w:t>
      </w:r>
      <w:r w:rsidRPr="000C51A4">
        <w:rPr>
          <w:rFonts w:ascii="Palatino Linotype" w:hAnsi="Palatino Linotype" w:cs="Tahoma"/>
          <w:bCs/>
          <w:color w:val="auto"/>
        </w:rPr>
        <w:t>Ley de Transparencia y Acceso a la Información Pública del Estado de México y Municipios</w:t>
      </w:r>
    </w:p>
    <w:p w14:paraId="0AEC4DC9" w14:textId="77777777" w:rsidR="00437903" w:rsidRPr="000C51A4" w:rsidRDefault="00437903" w:rsidP="00220A9B">
      <w:pPr>
        <w:autoSpaceDE w:val="0"/>
        <w:autoSpaceDN w:val="0"/>
        <w:adjustRightInd w:val="0"/>
        <w:spacing w:after="0" w:line="360" w:lineRule="auto"/>
        <w:ind w:right="-28"/>
        <w:contextualSpacing/>
        <w:rPr>
          <w:rFonts w:cs="Tahoma"/>
          <w:b/>
          <w:bCs/>
          <w:color w:val="auto"/>
        </w:rPr>
      </w:pPr>
    </w:p>
    <w:p w14:paraId="2670BCA9" w14:textId="13DFD13D" w:rsidR="00F469B3" w:rsidRPr="000C51A4" w:rsidRDefault="00F469B3" w:rsidP="00220A9B">
      <w:pPr>
        <w:spacing w:after="0" w:line="360" w:lineRule="auto"/>
        <w:contextualSpacing/>
        <w:rPr>
          <w:rFonts w:eastAsiaTheme="minorHAnsi" w:cstheme="minorBidi"/>
          <w:b/>
          <w:bCs/>
          <w:color w:val="auto"/>
        </w:rPr>
      </w:pPr>
      <w:r w:rsidRPr="000C51A4">
        <w:rPr>
          <w:rFonts w:eastAsiaTheme="minorHAnsi" w:cstheme="minorBidi"/>
          <w:b/>
          <w:bCs/>
          <w:color w:val="auto"/>
        </w:rPr>
        <w:t>III. Interposición del Recurso de Revisión</w:t>
      </w:r>
    </w:p>
    <w:p w14:paraId="4E02726A" w14:textId="77777777" w:rsidR="00F469B3" w:rsidRPr="000C51A4" w:rsidRDefault="00F469B3" w:rsidP="00220A9B">
      <w:pPr>
        <w:spacing w:after="0" w:line="360" w:lineRule="auto"/>
        <w:contextualSpacing/>
        <w:rPr>
          <w:rFonts w:eastAsiaTheme="minorHAnsi" w:cstheme="minorBidi"/>
          <w:b/>
          <w:bCs/>
          <w:color w:val="auto"/>
        </w:rPr>
      </w:pPr>
    </w:p>
    <w:p w14:paraId="4EEC303D" w14:textId="77777777" w:rsidR="00D95958" w:rsidRPr="000C51A4" w:rsidRDefault="00D95958" w:rsidP="00220A9B">
      <w:pPr>
        <w:autoSpaceDE w:val="0"/>
        <w:autoSpaceDN w:val="0"/>
        <w:adjustRightInd w:val="0"/>
        <w:spacing w:after="0" w:line="360" w:lineRule="auto"/>
        <w:contextualSpacing/>
        <w:rPr>
          <w:rFonts w:cs="Tahoma"/>
          <w:color w:val="auto"/>
        </w:rPr>
      </w:pPr>
      <w:r w:rsidRPr="000C51A4">
        <w:rPr>
          <w:rFonts w:cs="Tahoma"/>
          <w:color w:val="auto"/>
        </w:rPr>
        <w:t xml:space="preserve">Con fecha </w:t>
      </w:r>
      <w:r w:rsidR="0067010C" w:rsidRPr="000C51A4">
        <w:rPr>
          <w:rFonts w:cs="Tahoma"/>
          <w:color w:val="auto"/>
        </w:rPr>
        <w:t>dieciocho de octubre</w:t>
      </w:r>
      <w:r w:rsidR="00D87627" w:rsidRPr="000C51A4">
        <w:rPr>
          <w:rFonts w:cs="Tahoma"/>
          <w:color w:val="auto"/>
        </w:rPr>
        <w:t xml:space="preserve"> </w:t>
      </w:r>
      <w:r w:rsidR="00880118" w:rsidRPr="000C51A4">
        <w:rPr>
          <w:rFonts w:cs="Tahoma"/>
          <w:color w:val="auto"/>
        </w:rPr>
        <w:t>de dos mil veinticuatro</w:t>
      </w:r>
      <w:r w:rsidR="00A6280E" w:rsidRPr="000C51A4">
        <w:rPr>
          <w:rFonts w:cs="Tahoma"/>
          <w:color w:val="auto"/>
        </w:rPr>
        <w:t>,</w:t>
      </w:r>
      <w:r w:rsidRPr="000C51A4">
        <w:rPr>
          <w:rFonts w:cs="Tahoma"/>
          <w:color w:val="auto"/>
        </w:rPr>
        <w:t xml:space="preserve"> se recibieron en este Instituto, a través del SAIMEX, </w:t>
      </w:r>
      <w:r w:rsidR="00B41360" w:rsidRPr="000C51A4">
        <w:rPr>
          <w:rFonts w:cs="Tahoma"/>
          <w:color w:val="auto"/>
        </w:rPr>
        <w:t xml:space="preserve">cinco </w:t>
      </w:r>
      <w:r w:rsidRPr="000C51A4">
        <w:rPr>
          <w:rFonts w:cs="Tahoma"/>
          <w:color w:val="auto"/>
        </w:rPr>
        <w:t xml:space="preserve">Recursos de Revisión interpuestos por el Particular, </w:t>
      </w:r>
      <w:r w:rsidR="0067010C" w:rsidRPr="000C51A4">
        <w:rPr>
          <w:rFonts w:cs="Tahoma"/>
          <w:color w:val="auto"/>
        </w:rPr>
        <w:t xml:space="preserve">en los mismos términos en los que señaló </w:t>
      </w:r>
      <w:r w:rsidRPr="000C51A4">
        <w:rPr>
          <w:rFonts w:cs="Tahoma"/>
          <w:color w:val="auto"/>
        </w:rPr>
        <w:t>lo siguiente:</w:t>
      </w:r>
    </w:p>
    <w:p w14:paraId="560364EF" w14:textId="77777777" w:rsidR="00C76FCF" w:rsidRPr="000C51A4" w:rsidRDefault="00C76FCF" w:rsidP="00220A9B">
      <w:pPr>
        <w:autoSpaceDE w:val="0"/>
        <w:autoSpaceDN w:val="0"/>
        <w:adjustRightInd w:val="0"/>
        <w:spacing w:after="0" w:line="360" w:lineRule="auto"/>
        <w:contextualSpacing/>
        <w:rPr>
          <w:rFonts w:cs="Tahoma"/>
          <w:color w:val="auto"/>
        </w:rPr>
      </w:pPr>
    </w:p>
    <w:p w14:paraId="5B43F752" w14:textId="0C6ABC2C" w:rsidR="00D95958" w:rsidRPr="000C51A4" w:rsidRDefault="00D95958" w:rsidP="00220A9B">
      <w:pPr>
        <w:spacing w:after="0" w:line="360" w:lineRule="auto"/>
        <w:ind w:left="567" w:right="567"/>
        <w:contextualSpacing/>
        <w:rPr>
          <w:rFonts w:cs="Tahoma"/>
          <w:b/>
          <w:bCs/>
          <w:i/>
          <w:color w:val="auto"/>
          <w:sz w:val="20"/>
          <w:szCs w:val="20"/>
        </w:rPr>
      </w:pPr>
      <w:r w:rsidRPr="000C51A4">
        <w:rPr>
          <w:rFonts w:cs="Tahoma"/>
          <w:b/>
          <w:bCs/>
          <w:i/>
          <w:color w:val="auto"/>
          <w:sz w:val="20"/>
          <w:szCs w:val="20"/>
        </w:rPr>
        <w:t>ACTO IMPUGNADO</w:t>
      </w:r>
    </w:p>
    <w:p w14:paraId="5973DE1A" w14:textId="3F8C03DF" w:rsidR="00D95958" w:rsidRPr="000C51A4" w:rsidRDefault="00244DE6" w:rsidP="00220A9B">
      <w:pPr>
        <w:tabs>
          <w:tab w:val="left" w:pos="4667"/>
        </w:tabs>
        <w:spacing w:after="0" w:line="360" w:lineRule="auto"/>
        <w:ind w:left="567" w:right="567"/>
        <w:contextualSpacing/>
        <w:rPr>
          <w:rFonts w:cs="Tahoma"/>
          <w:bCs/>
          <w:i/>
          <w:color w:val="auto"/>
          <w:sz w:val="20"/>
          <w:szCs w:val="20"/>
        </w:rPr>
      </w:pPr>
      <w:r>
        <w:rPr>
          <w:rFonts w:cs="Tahoma"/>
          <w:bCs/>
          <w:i/>
          <w:color w:val="auto"/>
          <w:sz w:val="20"/>
          <w:szCs w:val="20"/>
        </w:rPr>
        <w:t>“</w:t>
      </w:r>
      <w:r w:rsidR="00B41360" w:rsidRPr="000C51A4">
        <w:rPr>
          <w:rFonts w:cs="Tahoma"/>
          <w:bCs/>
          <w:i/>
          <w:color w:val="auto"/>
          <w:sz w:val="20"/>
          <w:szCs w:val="20"/>
        </w:rPr>
        <w:t>No es la información que solicite</w:t>
      </w:r>
      <w:r w:rsidR="00D95958" w:rsidRPr="000C51A4">
        <w:rPr>
          <w:rFonts w:cs="Tahoma"/>
          <w:bCs/>
          <w:i/>
          <w:color w:val="auto"/>
          <w:sz w:val="20"/>
          <w:szCs w:val="20"/>
        </w:rPr>
        <w:t>”</w:t>
      </w:r>
    </w:p>
    <w:p w14:paraId="4D1C7911" w14:textId="77777777" w:rsidR="00C76FCF" w:rsidRPr="000C51A4" w:rsidRDefault="00C76FCF" w:rsidP="00220A9B">
      <w:pPr>
        <w:tabs>
          <w:tab w:val="left" w:pos="4667"/>
        </w:tabs>
        <w:spacing w:after="0" w:line="360" w:lineRule="auto"/>
        <w:ind w:left="567" w:right="567"/>
        <w:contextualSpacing/>
        <w:rPr>
          <w:rFonts w:cs="Tahoma"/>
          <w:bCs/>
          <w:i/>
          <w:color w:val="auto"/>
          <w:sz w:val="20"/>
          <w:szCs w:val="20"/>
        </w:rPr>
      </w:pPr>
    </w:p>
    <w:p w14:paraId="585D510C" w14:textId="797D5C13" w:rsidR="00D95958" w:rsidRPr="000C51A4" w:rsidRDefault="00D95958" w:rsidP="00220A9B">
      <w:pPr>
        <w:tabs>
          <w:tab w:val="left" w:pos="4667"/>
        </w:tabs>
        <w:spacing w:after="0" w:line="360" w:lineRule="auto"/>
        <w:ind w:left="567" w:right="567"/>
        <w:contextualSpacing/>
        <w:rPr>
          <w:rFonts w:cs="Tahoma"/>
          <w:b/>
          <w:bCs/>
          <w:i/>
          <w:color w:val="auto"/>
          <w:sz w:val="20"/>
          <w:szCs w:val="20"/>
        </w:rPr>
      </w:pPr>
      <w:r w:rsidRPr="000C51A4">
        <w:rPr>
          <w:rFonts w:cs="Tahoma"/>
          <w:b/>
          <w:bCs/>
          <w:i/>
          <w:color w:val="auto"/>
          <w:sz w:val="20"/>
          <w:szCs w:val="20"/>
        </w:rPr>
        <w:t>RAZONES O MOTIVOS DE LA INCONFORMIDAD</w:t>
      </w:r>
    </w:p>
    <w:p w14:paraId="0EFB2B54" w14:textId="1BF82757" w:rsidR="00E134D7" w:rsidRPr="000C51A4" w:rsidRDefault="00244DE6" w:rsidP="00220A9B">
      <w:pPr>
        <w:tabs>
          <w:tab w:val="left" w:pos="4667"/>
        </w:tabs>
        <w:spacing w:after="0" w:line="360" w:lineRule="auto"/>
        <w:ind w:left="567" w:right="567"/>
        <w:contextualSpacing/>
        <w:rPr>
          <w:rFonts w:cs="Tahoma"/>
          <w:i/>
          <w:color w:val="auto"/>
          <w:sz w:val="20"/>
          <w:szCs w:val="20"/>
        </w:rPr>
      </w:pPr>
      <w:r>
        <w:rPr>
          <w:rFonts w:cs="Tahoma"/>
          <w:i/>
          <w:color w:val="auto"/>
          <w:sz w:val="20"/>
          <w:szCs w:val="20"/>
        </w:rPr>
        <w:t>“</w:t>
      </w:r>
      <w:r w:rsidR="00B41360" w:rsidRPr="000C51A4">
        <w:rPr>
          <w:rFonts w:cs="Tahoma"/>
          <w:i/>
          <w:color w:val="auto"/>
          <w:sz w:val="20"/>
          <w:szCs w:val="20"/>
        </w:rPr>
        <w:t xml:space="preserve">No es la información que solicite” </w:t>
      </w:r>
    </w:p>
    <w:p w14:paraId="54B9F38E" w14:textId="77777777" w:rsidR="00131C88" w:rsidRPr="000C51A4" w:rsidRDefault="00131C88" w:rsidP="00220A9B">
      <w:pPr>
        <w:spacing w:after="0" w:line="360" w:lineRule="auto"/>
        <w:contextualSpacing/>
        <w:rPr>
          <w:rFonts w:eastAsiaTheme="minorHAnsi" w:cstheme="minorBidi"/>
          <w:b/>
          <w:bCs/>
          <w:color w:val="auto"/>
        </w:rPr>
      </w:pPr>
    </w:p>
    <w:p w14:paraId="7CC177B5" w14:textId="1A09F1AD" w:rsidR="00F469B3" w:rsidRPr="000C51A4" w:rsidRDefault="00F469B3" w:rsidP="00220A9B">
      <w:pPr>
        <w:spacing w:after="0" w:line="360" w:lineRule="auto"/>
        <w:contextualSpacing/>
        <w:rPr>
          <w:rFonts w:eastAsiaTheme="minorHAnsi" w:cstheme="minorBidi"/>
          <w:b/>
          <w:bCs/>
          <w:color w:val="auto"/>
        </w:rPr>
      </w:pPr>
      <w:r w:rsidRPr="000C51A4">
        <w:rPr>
          <w:rFonts w:eastAsiaTheme="minorHAnsi" w:cstheme="minorBidi"/>
          <w:b/>
          <w:bCs/>
          <w:color w:val="auto"/>
        </w:rPr>
        <w:t>IV. Trámite del Recurso de Revisión ante el Instituto</w:t>
      </w:r>
    </w:p>
    <w:p w14:paraId="251A54E4" w14:textId="77777777" w:rsidR="00F469B3" w:rsidRPr="000C51A4" w:rsidRDefault="00F469B3" w:rsidP="00220A9B">
      <w:pPr>
        <w:spacing w:after="0" w:line="360" w:lineRule="auto"/>
        <w:contextualSpacing/>
        <w:rPr>
          <w:rFonts w:eastAsiaTheme="minorHAnsi" w:cstheme="minorBidi"/>
          <w:color w:val="auto"/>
        </w:rPr>
      </w:pPr>
    </w:p>
    <w:p w14:paraId="7E37654C" w14:textId="63578F89" w:rsidR="00F469B3" w:rsidRPr="000C51A4" w:rsidRDefault="00F469B3" w:rsidP="00220A9B">
      <w:pPr>
        <w:spacing w:after="0" w:line="360" w:lineRule="auto"/>
        <w:contextualSpacing/>
        <w:rPr>
          <w:rFonts w:eastAsia="Batang" w:cs="Tahoma"/>
          <w:b/>
          <w:bCs/>
          <w:color w:val="auto"/>
        </w:rPr>
      </w:pPr>
      <w:r w:rsidRPr="000C51A4">
        <w:rPr>
          <w:rFonts w:eastAsiaTheme="minorHAnsi" w:cstheme="minorBidi"/>
          <w:b/>
          <w:bCs/>
          <w:color w:val="auto"/>
        </w:rPr>
        <w:t xml:space="preserve">a) Turno del </w:t>
      </w:r>
      <w:r w:rsidR="00CB35C5" w:rsidRPr="000C51A4">
        <w:rPr>
          <w:rFonts w:eastAsiaTheme="minorHAnsi" w:cstheme="minorBidi"/>
          <w:b/>
          <w:bCs/>
          <w:color w:val="auto"/>
        </w:rPr>
        <w:t>Medio de Impugnación</w:t>
      </w:r>
      <w:r w:rsidRPr="000C51A4">
        <w:rPr>
          <w:rFonts w:eastAsiaTheme="minorHAnsi" w:cstheme="minorBidi"/>
          <w:b/>
          <w:bCs/>
          <w:color w:val="auto"/>
        </w:rPr>
        <w:t xml:space="preserve">. </w:t>
      </w:r>
      <w:r w:rsidRPr="000C51A4">
        <w:rPr>
          <w:rFonts w:eastAsiaTheme="minorHAnsi" w:cstheme="minorBidi"/>
          <w:color w:val="auto"/>
        </w:rPr>
        <w:t xml:space="preserve">El </w:t>
      </w:r>
      <w:r w:rsidR="00B41360" w:rsidRPr="000C51A4">
        <w:rPr>
          <w:rFonts w:cs="Tahoma"/>
          <w:bCs/>
          <w:iCs/>
          <w:color w:val="auto"/>
        </w:rPr>
        <w:t>treinta y uno</w:t>
      </w:r>
      <w:r w:rsidR="00DA3779" w:rsidRPr="000C51A4">
        <w:rPr>
          <w:rFonts w:cs="Tahoma"/>
          <w:bCs/>
          <w:iCs/>
          <w:color w:val="auto"/>
        </w:rPr>
        <w:t xml:space="preserve"> de octubre </w:t>
      </w:r>
      <w:r w:rsidR="002B4561" w:rsidRPr="000C51A4">
        <w:rPr>
          <w:rFonts w:cs="Tahoma"/>
          <w:bCs/>
          <w:iCs/>
          <w:color w:val="auto"/>
        </w:rPr>
        <w:t>de dos mil veinticuatro</w:t>
      </w:r>
      <w:r w:rsidR="00AC7E85" w:rsidRPr="000C51A4">
        <w:rPr>
          <w:rFonts w:cs="Tahoma"/>
          <w:bCs/>
          <w:iCs/>
          <w:color w:val="auto"/>
        </w:rPr>
        <w:t xml:space="preserve"> </w:t>
      </w:r>
      <w:r w:rsidRPr="000C51A4">
        <w:rPr>
          <w:rFonts w:eastAsia="Batang" w:cs="Tahoma"/>
          <w:bCs/>
          <w:color w:val="auto"/>
        </w:rPr>
        <w:t xml:space="preserve">, el </w:t>
      </w:r>
      <w:r w:rsidR="00244DE6">
        <w:rPr>
          <w:rFonts w:cs="Tahoma"/>
          <w:color w:val="auto"/>
        </w:rPr>
        <w:t>SAIMEX</w:t>
      </w:r>
      <w:r w:rsidRPr="000C51A4">
        <w:rPr>
          <w:rFonts w:cs="Tahoma"/>
          <w:color w:val="auto"/>
        </w:rPr>
        <w:t>,</w:t>
      </w:r>
      <w:r w:rsidRPr="000C51A4">
        <w:rPr>
          <w:rFonts w:eastAsia="Batang" w:cs="Tahoma"/>
          <w:bCs/>
          <w:color w:val="auto"/>
        </w:rPr>
        <w:t xml:space="preserve"> asignó </w:t>
      </w:r>
      <w:r w:rsidR="00CB35C5" w:rsidRPr="000C51A4">
        <w:rPr>
          <w:rFonts w:eastAsia="Batang" w:cs="Tahoma"/>
          <w:bCs/>
          <w:color w:val="auto"/>
        </w:rPr>
        <w:t>los</w:t>
      </w:r>
      <w:r w:rsidRPr="000C51A4">
        <w:rPr>
          <w:rFonts w:eastAsia="Batang" w:cs="Tahoma"/>
          <w:bCs/>
          <w:color w:val="auto"/>
        </w:rPr>
        <w:t xml:space="preserve"> número de expediente</w:t>
      </w:r>
      <w:r w:rsidR="00CB35C5" w:rsidRPr="000C51A4">
        <w:rPr>
          <w:rFonts w:eastAsia="Batang" w:cs="Tahoma"/>
          <w:bCs/>
          <w:color w:val="auto"/>
        </w:rPr>
        <w:t>s</w:t>
      </w:r>
      <w:r w:rsidRPr="000C51A4">
        <w:rPr>
          <w:rFonts w:eastAsia="Batang" w:cs="Tahoma"/>
          <w:bCs/>
          <w:color w:val="auto"/>
        </w:rPr>
        <w:t xml:space="preserve"> </w:t>
      </w:r>
      <w:r w:rsidR="00B41360" w:rsidRPr="000C51A4">
        <w:rPr>
          <w:rFonts w:eastAsia="Batang" w:cs="Tahoma"/>
          <w:b/>
          <w:bCs/>
          <w:color w:val="auto"/>
        </w:rPr>
        <w:t>069</w:t>
      </w:r>
      <w:r w:rsidR="00DA3779" w:rsidRPr="000C51A4">
        <w:rPr>
          <w:rFonts w:eastAsia="Batang" w:cs="Tahoma"/>
          <w:b/>
          <w:bCs/>
          <w:color w:val="auto"/>
        </w:rPr>
        <w:t>86/INFOEM/IP/RR/2024</w:t>
      </w:r>
      <w:r w:rsidR="00492E43" w:rsidRPr="000C51A4">
        <w:rPr>
          <w:rFonts w:eastAsia="Batang" w:cs="Tahoma"/>
          <w:b/>
          <w:bCs/>
          <w:color w:val="auto"/>
        </w:rPr>
        <w:t xml:space="preserve">, </w:t>
      </w:r>
      <w:r w:rsidR="00B41360" w:rsidRPr="000C51A4">
        <w:rPr>
          <w:rFonts w:eastAsia="Batang" w:cs="Tahoma"/>
          <w:b/>
          <w:bCs/>
          <w:color w:val="auto"/>
        </w:rPr>
        <w:lastRenderedPageBreak/>
        <w:t>06988</w:t>
      </w:r>
      <w:r w:rsidR="00DA3779" w:rsidRPr="000C51A4">
        <w:rPr>
          <w:rFonts w:eastAsia="Batang" w:cs="Tahoma"/>
          <w:b/>
          <w:bCs/>
          <w:color w:val="auto"/>
        </w:rPr>
        <w:t>/INFOEM/IP/RR/2024</w:t>
      </w:r>
      <w:r w:rsidR="00492E43" w:rsidRPr="000C51A4">
        <w:rPr>
          <w:rFonts w:eastAsia="Batang" w:cs="Tahoma"/>
          <w:b/>
          <w:bCs/>
          <w:color w:val="auto"/>
        </w:rPr>
        <w:t xml:space="preserve">, </w:t>
      </w:r>
      <w:r w:rsidR="00B41360" w:rsidRPr="000C51A4">
        <w:rPr>
          <w:rFonts w:eastAsia="Batang" w:cs="Tahoma"/>
          <w:b/>
          <w:bCs/>
          <w:color w:val="auto"/>
        </w:rPr>
        <w:t>06990</w:t>
      </w:r>
      <w:r w:rsidR="00DA3779" w:rsidRPr="000C51A4">
        <w:rPr>
          <w:rFonts w:eastAsia="Batang" w:cs="Tahoma"/>
          <w:b/>
          <w:bCs/>
          <w:color w:val="auto"/>
        </w:rPr>
        <w:t>/INFOEM/IP/RR/2024</w:t>
      </w:r>
      <w:r w:rsidR="00B41360" w:rsidRPr="000C51A4">
        <w:rPr>
          <w:rFonts w:eastAsia="Batang" w:cs="Tahoma"/>
          <w:b/>
          <w:bCs/>
          <w:color w:val="auto"/>
        </w:rPr>
        <w:t>,</w:t>
      </w:r>
      <w:r w:rsidR="00DA3779" w:rsidRPr="000C51A4">
        <w:rPr>
          <w:rFonts w:eastAsia="Batang" w:cs="Tahoma"/>
          <w:b/>
          <w:bCs/>
          <w:color w:val="auto"/>
        </w:rPr>
        <w:t xml:space="preserve"> </w:t>
      </w:r>
      <w:r w:rsidR="00B41360" w:rsidRPr="000C51A4">
        <w:rPr>
          <w:rFonts w:cs="Tahoma"/>
          <w:b/>
          <w:color w:val="auto"/>
        </w:rPr>
        <w:t>06991/INFOEM/IP/RR/2024 y 06992/INFOEM/IP/RR/2024</w:t>
      </w:r>
      <w:r w:rsidR="00B41360" w:rsidRPr="000C51A4">
        <w:rPr>
          <w:rFonts w:cs="Tahoma"/>
          <w:color w:val="auto"/>
        </w:rPr>
        <w:t xml:space="preserve"> </w:t>
      </w:r>
      <w:r w:rsidRPr="000C51A4">
        <w:rPr>
          <w:rFonts w:eastAsia="Batang" w:cs="Tahoma"/>
          <w:bCs/>
          <w:color w:val="auto"/>
        </w:rPr>
        <w:t>a</w:t>
      </w:r>
      <w:r w:rsidR="00DD3E5D" w:rsidRPr="000C51A4">
        <w:rPr>
          <w:rFonts w:eastAsia="Batang" w:cs="Tahoma"/>
          <w:bCs/>
          <w:color w:val="auto"/>
        </w:rPr>
        <w:t xml:space="preserve"> </w:t>
      </w:r>
      <w:r w:rsidRPr="000C51A4">
        <w:rPr>
          <w:rFonts w:eastAsia="Batang" w:cs="Tahoma"/>
          <w:bCs/>
          <w:color w:val="auto"/>
        </w:rPr>
        <w:t>l</w:t>
      </w:r>
      <w:r w:rsidR="00DD3E5D" w:rsidRPr="000C51A4">
        <w:rPr>
          <w:rFonts w:eastAsia="Batang" w:cs="Tahoma"/>
          <w:bCs/>
          <w:color w:val="auto"/>
        </w:rPr>
        <w:t>os</w:t>
      </w:r>
      <w:r w:rsidRPr="000C51A4">
        <w:rPr>
          <w:rFonts w:eastAsia="Batang" w:cs="Tahoma"/>
          <w:bCs/>
          <w:color w:val="auto"/>
        </w:rPr>
        <w:t xml:space="preserve"> medio</w:t>
      </w:r>
      <w:r w:rsidR="00DD3E5D" w:rsidRPr="000C51A4">
        <w:rPr>
          <w:rFonts w:eastAsia="Batang" w:cs="Tahoma"/>
          <w:bCs/>
          <w:color w:val="auto"/>
        </w:rPr>
        <w:t>s</w:t>
      </w:r>
      <w:r w:rsidRPr="000C51A4">
        <w:rPr>
          <w:rFonts w:eastAsia="Batang" w:cs="Tahoma"/>
          <w:bCs/>
          <w:color w:val="auto"/>
        </w:rPr>
        <w:t xml:space="preserve"> de impugnación que nos ocupa</w:t>
      </w:r>
      <w:r w:rsidR="00DD3E5D" w:rsidRPr="000C51A4">
        <w:rPr>
          <w:rFonts w:eastAsia="Batang" w:cs="Tahoma"/>
          <w:bCs/>
          <w:color w:val="auto"/>
        </w:rPr>
        <w:t>n</w:t>
      </w:r>
      <w:r w:rsidRPr="000C51A4">
        <w:rPr>
          <w:rFonts w:eastAsia="Batang" w:cs="Tahoma"/>
          <w:bCs/>
          <w:color w:val="auto"/>
        </w:rPr>
        <w:t>, con base en el sistema aprobado por el Pleno de este Órgano Garante y lo</w:t>
      </w:r>
      <w:r w:rsidR="00CB35C5" w:rsidRPr="000C51A4">
        <w:rPr>
          <w:rFonts w:eastAsia="Batang" w:cs="Tahoma"/>
          <w:bCs/>
          <w:color w:val="auto"/>
        </w:rPr>
        <w:t>s</w:t>
      </w:r>
      <w:r w:rsidRPr="000C51A4">
        <w:rPr>
          <w:rFonts w:eastAsia="Batang" w:cs="Tahoma"/>
          <w:bCs/>
          <w:color w:val="auto"/>
        </w:rPr>
        <w:t xml:space="preserve"> turnó al Comisionado Ponente Luis Gustavo Parra Noriega, para los efectos del artículo 185, fracción I</w:t>
      </w:r>
      <w:r w:rsidR="00B236F7">
        <w:rPr>
          <w:rFonts w:eastAsia="Batang" w:cs="Tahoma"/>
          <w:bCs/>
          <w:color w:val="auto"/>
        </w:rPr>
        <w:t>,</w:t>
      </w:r>
      <w:r w:rsidRPr="000C51A4">
        <w:rPr>
          <w:rFonts w:eastAsia="Batang" w:cs="Tahoma"/>
          <w:bCs/>
          <w:color w:val="auto"/>
        </w:rPr>
        <w:t xml:space="preserve"> de la Ley de Transparencia y Acceso a la Información Pública del Estado de México y Municipios.</w:t>
      </w:r>
    </w:p>
    <w:p w14:paraId="2E3616D6" w14:textId="77777777" w:rsidR="007533D5" w:rsidRPr="000C51A4" w:rsidRDefault="007533D5" w:rsidP="00220A9B">
      <w:pPr>
        <w:tabs>
          <w:tab w:val="left" w:pos="4667"/>
        </w:tabs>
        <w:spacing w:after="0" w:line="360" w:lineRule="auto"/>
        <w:contextualSpacing/>
        <w:rPr>
          <w:rFonts w:eastAsia="Batang" w:cs="Tahoma"/>
          <w:bCs/>
          <w:color w:val="auto"/>
        </w:rPr>
      </w:pPr>
    </w:p>
    <w:p w14:paraId="6C16DDE4" w14:textId="01153B3B" w:rsidR="00F469B3" w:rsidRPr="000C51A4" w:rsidRDefault="00131C88" w:rsidP="00220A9B">
      <w:pPr>
        <w:spacing w:after="0" w:line="360" w:lineRule="auto"/>
        <w:contextualSpacing/>
        <w:rPr>
          <w:rFonts w:eastAsia="Batang" w:cs="Tahoma"/>
          <w:bCs/>
          <w:color w:val="auto"/>
        </w:rPr>
      </w:pPr>
      <w:r w:rsidRPr="000C51A4">
        <w:rPr>
          <w:rFonts w:eastAsia="Batang" w:cs="Tahoma"/>
          <w:b/>
          <w:bCs/>
          <w:color w:val="auto"/>
        </w:rPr>
        <w:t xml:space="preserve">b) </w:t>
      </w:r>
      <w:r w:rsidR="00F469B3" w:rsidRPr="000C51A4">
        <w:rPr>
          <w:rFonts w:eastAsia="Batang" w:cs="Tahoma"/>
          <w:b/>
          <w:bCs/>
          <w:color w:val="auto"/>
        </w:rPr>
        <w:t>Admisión de</w:t>
      </w:r>
      <w:r w:rsidR="00CB35C5" w:rsidRPr="000C51A4">
        <w:rPr>
          <w:rFonts w:eastAsia="Batang" w:cs="Tahoma"/>
          <w:b/>
          <w:bCs/>
          <w:color w:val="auto"/>
        </w:rPr>
        <w:t xml:space="preserve"> </w:t>
      </w:r>
      <w:r w:rsidR="00F469B3" w:rsidRPr="000C51A4">
        <w:rPr>
          <w:rFonts w:eastAsia="Batang" w:cs="Tahoma"/>
          <w:b/>
          <w:bCs/>
          <w:color w:val="auto"/>
        </w:rPr>
        <w:t>l</w:t>
      </w:r>
      <w:r w:rsidR="00CB35C5" w:rsidRPr="000C51A4">
        <w:rPr>
          <w:rFonts w:eastAsia="Batang" w:cs="Tahoma"/>
          <w:b/>
          <w:bCs/>
          <w:color w:val="auto"/>
        </w:rPr>
        <w:t>os</w:t>
      </w:r>
      <w:r w:rsidR="00F469B3" w:rsidRPr="000C51A4">
        <w:rPr>
          <w:rFonts w:eastAsia="Batang" w:cs="Tahoma"/>
          <w:b/>
          <w:bCs/>
          <w:color w:val="auto"/>
        </w:rPr>
        <w:t xml:space="preserve"> </w:t>
      </w:r>
      <w:r w:rsidR="00F469B3" w:rsidRPr="000C51A4">
        <w:rPr>
          <w:rFonts w:cs="Tahoma"/>
          <w:b/>
          <w:color w:val="auto"/>
        </w:rPr>
        <w:t>Recurso</w:t>
      </w:r>
      <w:r w:rsidR="00CB35C5" w:rsidRPr="000C51A4">
        <w:rPr>
          <w:rFonts w:cs="Tahoma"/>
          <w:b/>
          <w:color w:val="auto"/>
        </w:rPr>
        <w:t>s</w:t>
      </w:r>
      <w:r w:rsidR="00F469B3" w:rsidRPr="000C51A4">
        <w:rPr>
          <w:rFonts w:cs="Tahoma"/>
          <w:b/>
          <w:color w:val="auto"/>
        </w:rPr>
        <w:t xml:space="preserve"> de Revisión</w:t>
      </w:r>
      <w:r w:rsidR="00F469B3" w:rsidRPr="000C51A4">
        <w:rPr>
          <w:rFonts w:eastAsia="Batang" w:cs="Tahoma"/>
          <w:b/>
          <w:bCs/>
          <w:color w:val="auto"/>
        </w:rPr>
        <w:t xml:space="preserve">. </w:t>
      </w:r>
      <w:r w:rsidR="00F469B3" w:rsidRPr="000C51A4">
        <w:rPr>
          <w:rFonts w:eastAsia="Batang" w:cs="Tahoma"/>
          <w:bCs/>
          <w:color w:val="auto"/>
        </w:rPr>
        <w:t>El</w:t>
      </w:r>
      <w:r w:rsidR="00517189" w:rsidRPr="000C51A4">
        <w:rPr>
          <w:rFonts w:eastAsia="Batang" w:cs="Tahoma"/>
          <w:bCs/>
          <w:color w:val="auto"/>
        </w:rPr>
        <w:t xml:space="preserve"> </w:t>
      </w:r>
      <w:r w:rsidR="00B41360" w:rsidRPr="000C51A4">
        <w:rPr>
          <w:rFonts w:eastAsia="Batang" w:cs="Tahoma"/>
          <w:bCs/>
          <w:color w:val="auto"/>
        </w:rPr>
        <w:t xml:space="preserve">cuatro, seis y siete </w:t>
      </w:r>
      <w:r w:rsidR="00A8787B" w:rsidRPr="000C51A4">
        <w:rPr>
          <w:rFonts w:eastAsia="Batang" w:cs="Tahoma"/>
          <w:bCs/>
          <w:color w:val="auto"/>
        </w:rPr>
        <w:t xml:space="preserve">de </w:t>
      </w:r>
      <w:r w:rsidR="00B41360" w:rsidRPr="000C51A4">
        <w:rPr>
          <w:rFonts w:eastAsia="Batang" w:cs="Tahoma"/>
          <w:bCs/>
          <w:color w:val="auto"/>
        </w:rPr>
        <w:t xml:space="preserve">noviembre </w:t>
      </w:r>
      <w:r w:rsidR="00517189" w:rsidRPr="000C51A4">
        <w:rPr>
          <w:rFonts w:eastAsia="Batang" w:cs="Tahoma"/>
          <w:bCs/>
          <w:color w:val="auto"/>
        </w:rPr>
        <w:t>de dos mil veinticuatro</w:t>
      </w:r>
      <w:r w:rsidR="00F469B3" w:rsidRPr="000C51A4">
        <w:rPr>
          <w:rFonts w:eastAsia="Batang" w:cs="Tahoma"/>
          <w:bCs/>
          <w:color w:val="auto"/>
        </w:rPr>
        <w:t>,</w:t>
      </w:r>
      <w:r w:rsidR="00B41360" w:rsidRPr="000C51A4">
        <w:rPr>
          <w:rFonts w:eastAsia="Batang" w:cs="Tahoma"/>
          <w:bCs/>
          <w:color w:val="auto"/>
        </w:rPr>
        <w:t xml:space="preserve"> respectivamente,</w:t>
      </w:r>
      <w:r w:rsidR="00F469B3" w:rsidRPr="000C51A4">
        <w:rPr>
          <w:rFonts w:eastAsia="Batang" w:cs="Tahoma"/>
          <w:bCs/>
          <w:color w:val="auto"/>
        </w:rPr>
        <w:t xml:space="preserve"> se acordó la admisión de</w:t>
      </w:r>
      <w:r w:rsidR="00ED2844" w:rsidRPr="000C51A4">
        <w:rPr>
          <w:rFonts w:eastAsia="Batang" w:cs="Tahoma"/>
          <w:bCs/>
          <w:color w:val="auto"/>
        </w:rPr>
        <w:t xml:space="preserve"> </w:t>
      </w:r>
      <w:r w:rsidR="00F469B3" w:rsidRPr="000C51A4">
        <w:rPr>
          <w:rFonts w:eastAsia="Batang" w:cs="Tahoma"/>
          <w:bCs/>
          <w:color w:val="auto"/>
        </w:rPr>
        <w:t>l</w:t>
      </w:r>
      <w:r w:rsidR="00ED2844" w:rsidRPr="000C51A4">
        <w:rPr>
          <w:rFonts w:eastAsia="Batang" w:cs="Tahoma"/>
          <w:bCs/>
          <w:color w:val="auto"/>
        </w:rPr>
        <w:t>os</w:t>
      </w:r>
      <w:r w:rsidR="00F469B3" w:rsidRPr="000C51A4">
        <w:rPr>
          <w:rFonts w:eastAsia="Batang" w:cs="Tahoma"/>
          <w:bCs/>
          <w:color w:val="auto"/>
        </w:rPr>
        <w:t xml:space="preserve"> Recurso</w:t>
      </w:r>
      <w:r w:rsidR="00ED2844" w:rsidRPr="000C51A4">
        <w:rPr>
          <w:rFonts w:eastAsia="Batang" w:cs="Tahoma"/>
          <w:bCs/>
          <w:color w:val="auto"/>
        </w:rPr>
        <w:t>s</w:t>
      </w:r>
      <w:r w:rsidR="00F469B3" w:rsidRPr="000C51A4">
        <w:rPr>
          <w:rFonts w:eastAsia="Batang" w:cs="Tahoma"/>
          <w:bCs/>
          <w:color w:val="auto"/>
        </w:rPr>
        <w:t xml:space="preserve"> de Revisión interpuesto</w:t>
      </w:r>
      <w:r w:rsidR="00ED2844" w:rsidRPr="000C51A4">
        <w:rPr>
          <w:rFonts w:eastAsia="Batang" w:cs="Tahoma"/>
          <w:bCs/>
          <w:color w:val="auto"/>
        </w:rPr>
        <w:t>s</w:t>
      </w:r>
      <w:r w:rsidR="00F469B3" w:rsidRPr="000C51A4">
        <w:rPr>
          <w:rFonts w:eastAsia="Batang" w:cs="Tahoma"/>
          <w:bCs/>
          <w:color w:val="auto"/>
        </w:rPr>
        <w:t xml:space="preserve"> por el Recurrente en contra del Sujeto Obligado, en términos del artículo 185, fracciones I y II de la Ley de Transparencia y Acceso a la Información Pública del Estado de México y Municipios, el cual fue notificado a las partes</w:t>
      </w:r>
      <w:r w:rsidR="00FF0CC0" w:rsidRPr="000C51A4">
        <w:rPr>
          <w:rFonts w:eastAsia="Batang" w:cs="Tahoma"/>
          <w:bCs/>
          <w:color w:val="auto"/>
        </w:rPr>
        <w:t xml:space="preserve"> </w:t>
      </w:r>
      <w:r w:rsidR="00517189" w:rsidRPr="000C51A4">
        <w:rPr>
          <w:rFonts w:eastAsia="Batang" w:cs="Tahoma"/>
          <w:bCs/>
          <w:color w:val="auto"/>
        </w:rPr>
        <w:t xml:space="preserve">el </w:t>
      </w:r>
      <w:r w:rsidR="00343495" w:rsidRPr="000C51A4">
        <w:rPr>
          <w:rFonts w:eastAsia="Batang" w:cs="Tahoma"/>
          <w:bCs/>
          <w:color w:val="auto"/>
        </w:rPr>
        <w:t>mismo día</w:t>
      </w:r>
      <w:r w:rsidR="00F469B3" w:rsidRPr="000C51A4">
        <w:rPr>
          <w:rFonts w:eastAsia="Batang" w:cs="Tahoma"/>
          <w:bCs/>
          <w:color w:val="auto"/>
        </w:rPr>
        <w:t xml:space="preserve">, a través del </w:t>
      </w:r>
      <w:r w:rsidR="00244DE6">
        <w:rPr>
          <w:rFonts w:eastAsia="Batang" w:cs="Tahoma"/>
          <w:bCs/>
          <w:color w:val="auto"/>
        </w:rPr>
        <w:t>SAIMEX</w:t>
      </w:r>
      <w:r w:rsidR="00F469B3" w:rsidRPr="000C51A4">
        <w:rPr>
          <w:rFonts w:eastAsia="Batang" w:cs="Tahoma"/>
          <w:bCs/>
          <w:color w:val="auto"/>
        </w:rPr>
        <w:t>, en el que se les otorgó un plazo de siete días hábiles posteriores a la misma, para que manifestaran lo que a su derecho conviniera y formularan alegatos.</w:t>
      </w:r>
      <w:r w:rsidR="00343495" w:rsidRPr="000C51A4">
        <w:rPr>
          <w:rFonts w:eastAsia="Batang" w:cs="Tahoma"/>
          <w:bCs/>
          <w:color w:val="auto"/>
        </w:rPr>
        <w:t xml:space="preserve"> </w:t>
      </w:r>
    </w:p>
    <w:p w14:paraId="444B5EFA" w14:textId="77777777" w:rsidR="007D2E75" w:rsidRPr="000C51A4" w:rsidRDefault="007D2E75" w:rsidP="00220A9B">
      <w:pPr>
        <w:spacing w:after="0" w:line="360" w:lineRule="auto"/>
        <w:contextualSpacing/>
        <w:rPr>
          <w:rFonts w:eastAsia="Batang" w:cs="Tahoma"/>
          <w:bCs/>
          <w:color w:val="auto"/>
        </w:rPr>
      </w:pPr>
    </w:p>
    <w:p w14:paraId="1A876D12" w14:textId="77777777" w:rsidR="00B41360" w:rsidRPr="000C51A4" w:rsidRDefault="00B41360" w:rsidP="00220A9B">
      <w:pPr>
        <w:spacing w:line="360" w:lineRule="auto"/>
        <w:contextualSpacing/>
        <w:rPr>
          <w:rFonts w:cs="Tahoma"/>
          <w:color w:val="auto"/>
          <w:szCs w:val="24"/>
        </w:rPr>
      </w:pPr>
      <w:r w:rsidRPr="000C51A4">
        <w:rPr>
          <w:rFonts w:eastAsia="Times New Roman" w:cs="Tahoma"/>
          <w:b/>
          <w:color w:val="auto"/>
          <w:lang w:eastAsia="es-ES"/>
        </w:rPr>
        <w:t xml:space="preserve">c) </w:t>
      </w:r>
      <w:r w:rsidRPr="000C51A4">
        <w:rPr>
          <w:rFonts w:cs="Tahoma"/>
          <w:b/>
          <w:color w:val="auto"/>
        </w:rPr>
        <w:t>Acumulación de los asuntos.</w:t>
      </w:r>
      <w:r w:rsidRPr="000C51A4">
        <w:rPr>
          <w:rFonts w:cs="Tahoma"/>
          <w:color w:val="auto"/>
        </w:rPr>
        <w:t xml:space="preserve"> El trece de noviembre de dos mil veinticuatro, </w:t>
      </w:r>
      <w:r w:rsidRPr="000C51A4">
        <w:rPr>
          <w:rFonts w:cs="Tahoma"/>
          <w:color w:val="auto"/>
          <w:szCs w:val="24"/>
        </w:rPr>
        <w:t xml:space="preserve">el Pleno del Instituto de Transparencia, Acceso a la Información Pública y Protección de Datos Personales del Estado de México y Municipios, durante la Trigésima Novena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0C51A4">
        <w:rPr>
          <w:rFonts w:cs="Tahoma"/>
          <w:b/>
          <w:color w:val="auto"/>
          <w:szCs w:val="24"/>
        </w:rPr>
        <w:t>acordó</w:t>
      </w:r>
      <w:r w:rsidRPr="000C51A4">
        <w:rPr>
          <w:rFonts w:cs="Tahoma"/>
          <w:color w:val="auto"/>
          <w:szCs w:val="24"/>
        </w:rPr>
        <w:t xml:space="preserve"> la acumulación de los Recursos de Revisión</w:t>
      </w:r>
      <w:r w:rsidRPr="000C51A4">
        <w:rPr>
          <w:rFonts w:cs="Tahoma"/>
          <w:color w:val="auto"/>
        </w:rPr>
        <w:t xml:space="preserve"> </w:t>
      </w:r>
      <w:r w:rsidRPr="000C51A4">
        <w:rPr>
          <w:rFonts w:cs="Tahoma"/>
          <w:b/>
          <w:color w:val="auto"/>
        </w:rPr>
        <w:t>06988/INFOEM/IP/RR/2024, 06990/INFOEM/IP/RR/2024, 06991/INFOEM/IP/RR/2024 y 06992/INFOEM/IP/RR/2024</w:t>
      </w:r>
      <w:r w:rsidRPr="000C51A4">
        <w:rPr>
          <w:rFonts w:cs="Tahoma"/>
          <w:color w:val="auto"/>
        </w:rPr>
        <w:t xml:space="preserve"> </w:t>
      </w:r>
      <w:r w:rsidRPr="000C51A4">
        <w:rPr>
          <w:rFonts w:cs="Tahoma"/>
          <w:color w:val="auto"/>
          <w:sz w:val="23"/>
          <w:szCs w:val="23"/>
        </w:rPr>
        <w:t>al diverso</w:t>
      </w:r>
      <w:r w:rsidRPr="000C51A4">
        <w:rPr>
          <w:rFonts w:cs="Tahoma"/>
          <w:b/>
          <w:bCs/>
          <w:color w:val="auto"/>
          <w:sz w:val="23"/>
          <w:szCs w:val="23"/>
        </w:rPr>
        <w:t xml:space="preserve"> 06986/INFOEM/IP/RR/2024</w:t>
      </w:r>
      <w:r w:rsidRPr="000C51A4">
        <w:rPr>
          <w:rFonts w:cs="Tahoma"/>
          <w:b/>
          <w:bCs/>
          <w:color w:val="auto"/>
        </w:rPr>
        <w:t xml:space="preserve">, </w:t>
      </w:r>
      <w:r w:rsidRPr="000C51A4">
        <w:rPr>
          <w:rFonts w:cs="Tahoma"/>
          <w:color w:val="auto"/>
        </w:rPr>
        <w:t>por ser este</w:t>
      </w:r>
      <w:r w:rsidRPr="000C51A4">
        <w:rPr>
          <w:rFonts w:cs="Tahoma"/>
          <w:color w:val="auto"/>
          <w:szCs w:val="24"/>
        </w:rPr>
        <w:t xml:space="preserve"> último el más antiguo, sustanciado bajo el índice de esta Ponencia, al advertir conexidad entre estos, ya que fueron promovidos por la </w:t>
      </w:r>
      <w:r w:rsidRPr="000C51A4">
        <w:rPr>
          <w:rFonts w:cs="Tahoma"/>
          <w:color w:val="auto"/>
          <w:szCs w:val="24"/>
        </w:rPr>
        <w:lastRenderedPageBreak/>
        <w:t>misma persona, en los que se señaló como Sujeto Obligado recurrido Unidad de Asuntos Internos y en los cuales, además, se manifestaron idénticos actos recurridos.</w:t>
      </w:r>
    </w:p>
    <w:p w14:paraId="5870139E" w14:textId="77777777" w:rsidR="00343495" w:rsidRPr="000C51A4" w:rsidRDefault="00343495" w:rsidP="00220A9B">
      <w:pPr>
        <w:spacing w:after="0" w:line="360" w:lineRule="auto"/>
        <w:contextualSpacing/>
        <w:rPr>
          <w:rFonts w:eastAsia="Batang" w:cs="Tahoma"/>
          <w:bCs/>
          <w:color w:val="auto"/>
        </w:rPr>
      </w:pPr>
    </w:p>
    <w:p w14:paraId="5EAD8A8F" w14:textId="77777777" w:rsidR="00B41360" w:rsidRPr="000C51A4" w:rsidRDefault="00B41360" w:rsidP="00220A9B">
      <w:pPr>
        <w:spacing w:line="360" w:lineRule="auto"/>
        <w:contextualSpacing/>
        <w:rPr>
          <w:rFonts w:eastAsia="Batang" w:cs="Tahoma"/>
          <w:bCs/>
          <w:color w:val="auto"/>
          <w:lang w:val="es-ES_tradnl"/>
        </w:rPr>
      </w:pPr>
      <w:r w:rsidRPr="000C51A4">
        <w:rPr>
          <w:rFonts w:cs="Tahoma"/>
          <w:b/>
          <w:color w:val="auto"/>
        </w:rPr>
        <w:t xml:space="preserve">d) </w:t>
      </w:r>
      <w:r w:rsidRPr="000C51A4">
        <w:rPr>
          <w:rFonts w:cs="Tahoma"/>
          <w:b/>
          <w:bCs/>
          <w:iCs/>
          <w:color w:val="auto"/>
        </w:rPr>
        <w:t>Informe Justificado</w:t>
      </w:r>
      <w:r w:rsidRPr="000C51A4">
        <w:rPr>
          <w:rFonts w:eastAsia="Batang" w:cs="Tahoma"/>
          <w:b/>
          <w:bCs/>
          <w:color w:val="auto"/>
          <w:lang w:val="es-ES_tradnl"/>
        </w:rPr>
        <w:t xml:space="preserve">. </w:t>
      </w:r>
      <w:r w:rsidRPr="000C51A4">
        <w:rPr>
          <w:rFonts w:eastAsia="Batang" w:cs="Tahoma"/>
          <w:bCs/>
          <w:color w:val="auto"/>
          <w:lang w:val="es-ES_tradnl"/>
        </w:rPr>
        <w:t xml:space="preserve">El trece, catorce y diecinueve de noviembre </w:t>
      </w:r>
      <w:r w:rsidRPr="000C51A4">
        <w:rPr>
          <w:rFonts w:cs="Tahoma"/>
          <w:color w:val="auto"/>
        </w:rPr>
        <w:t>de dos mil veinticuatro</w:t>
      </w:r>
      <w:r w:rsidRPr="000C51A4">
        <w:rPr>
          <w:rFonts w:eastAsia="Batang" w:cs="Tahoma"/>
          <w:bCs/>
          <w:color w:val="auto"/>
          <w:lang w:val="es-ES_tradnl"/>
        </w:rPr>
        <w:t>, respectivamente, a través del SAIMEX, se recibió en este Instituto los informes justificados por parte del Sujeto Obligado en similares términos, en los que en su parte medular señaló lo siguiente:</w:t>
      </w:r>
    </w:p>
    <w:p w14:paraId="42A97AF2" w14:textId="77777777" w:rsidR="00B41360" w:rsidRPr="000C51A4" w:rsidRDefault="00B41360" w:rsidP="00220A9B">
      <w:pPr>
        <w:spacing w:line="360" w:lineRule="auto"/>
        <w:contextualSpacing/>
        <w:rPr>
          <w:rFonts w:eastAsia="Batang" w:cs="Tahoma"/>
          <w:bCs/>
          <w:color w:val="auto"/>
          <w:lang w:val="es-ES_tradnl"/>
        </w:rPr>
      </w:pPr>
    </w:p>
    <w:p w14:paraId="7ADE7E70" w14:textId="77777777" w:rsidR="00AF7AC4" w:rsidRPr="000C51A4" w:rsidRDefault="00AF7AC4" w:rsidP="00220A9B">
      <w:pPr>
        <w:spacing w:line="360" w:lineRule="auto"/>
        <w:ind w:left="567" w:right="539"/>
        <w:contextualSpacing/>
        <w:rPr>
          <w:i/>
          <w:color w:val="auto"/>
          <w:sz w:val="20"/>
          <w:szCs w:val="20"/>
          <w:lang w:val="es-ES"/>
        </w:rPr>
      </w:pPr>
      <w:r w:rsidRPr="000C51A4">
        <w:rPr>
          <w:i/>
          <w:color w:val="auto"/>
          <w:sz w:val="20"/>
          <w:szCs w:val="20"/>
          <w:lang w:val="es-ES"/>
        </w:rPr>
        <w:t>“…</w:t>
      </w:r>
    </w:p>
    <w:p w14:paraId="44A57770" w14:textId="77777777" w:rsidR="00AF7AC4" w:rsidRPr="000C51A4" w:rsidRDefault="00AF7AC4" w:rsidP="00220A9B">
      <w:pPr>
        <w:spacing w:line="360" w:lineRule="auto"/>
        <w:ind w:left="567" w:right="539"/>
        <w:contextualSpacing/>
        <w:rPr>
          <w:i/>
          <w:color w:val="auto"/>
          <w:sz w:val="20"/>
          <w:szCs w:val="20"/>
          <w:lang w:val="es-ES"/>
        </w:rPr>
      </w:pPr>
      <w:r w:rsidRPr="000C51A4">
        <w:rPr>
          <w:i/>
          <w:color w:val="auto"/>
          <w:sz w:val="20"/>
          <w:szCs w:val="20"/>
          <w:lang w:val="es-ES"/>
        </w:rPr>
        <w:t xml:space="preserve">Por lo anterior expuesto, y considerando los supuestos de las fracciones III y V del artículo 191 de la Ley de Transparencia y Acceso a la Información Pública del Estado de México y Municipios se considera que se actualizan en el recurso de revisión. Por lo cual, se solicita que se establezca en el informe justificado, la solicitud de </w:t>
      </w:r>
      <w:proofErr w:type="spellStart"/>
      <w:r w:rsidRPr="000C51A4">
        <w:rPr>
          <w:i/>
          <w:color w:val="auto"/>
          <w:sz w:val="20"/>
          <w:szCs w:val="20"/>
          <w:lang w:val="es-ES"/>
        </w:rPr>
        <w:t>desechamiento</w:t>
      </w:r>
      <w:proofErr w:type="spellEnd"/>
      <w:r w:rsidRPr="000C51A4">
        <w:rPr>
          <w:i/>
          <w:color w:val="auto"/>
          <w:sz w:val="20"/>
          <w:szCs w:val="20"/>
          <w:lang w:val="es-ES"/>
        </w:rPr>
        <w:t xml:space="preserve"> del recurso de revisión en términos de lo dispuesto por los artículos 186 fracción I y 191 fracciones III y V de la Ley de Transparencia y Acceso a la Información Pública del Estado de México y Municipios, por improcedente al haberse impugnado la veracidad de la información proporcionada y que no actualiza supuesto de procedencia.</w:t>
      </w:r>
    </w:p>
    <w:p w14:paraId="1AE3DB22" w14:textId="77777777" w:rsidR="00AF7AC4" w:rsidRPr="000C51A4" w:rsidRDefault="00AF7AC4" w:rsidP="00220A9B">
      <w:pPr>
        <w:spacing w:line="360" w:lineRule="auto"/>
        <w:ind w:left="567" w:right="539"/>
        <w:contextualSpacing/>
        <w:jc w:val="center"/>
        <w:rPr>
          <w:i/>
          <w:color w:val="auto"/>
          <w:sz w:val="20"/>
          <w:szCs w:val="20"/>
        </w:rPr>
      </w:pPr>
      <w:r w:rsidRPr="000C51A4">
        <w:rPr>
          <w:b/>
          <w:i/>
          <w:color w:val="auto"/>
          <w:sz w:val="20"/>
          <w:szCs w:val="20"/>
        </w:rPr>
        <w:t>CAUSALES DE IMPROCEDENCIA O SOBRESEIMIENTO</w:t>
      </w:r>
    </w:p>
    <w:p w14:paraId="325A59DB" w14:textId="77777777" w:rsidR="00AF7AC4" w:rsidRPr="000C51A4" w:rsidRDefault="00AF7AC4" w:rsidP="00220A9B">
      <w:pPr>
        <w:spacing w:line="360" w:lineRule="auto"/>
        <w:ind w:left="567" w:right="539"/>
        <w:contextualSpacing/>
        <w:rPr>
          <w:i/>
          <w:color w:val="auto"/>
          <w:sz w:val="20"/>
          <w:szCs w:val="20"/>
          <w:lang w:val="es-ES"/>
        </w:rPr>
      </w:pPr>
      <w:r w:rsidRPr="000C51A4">
        <w:rPr>
          <w:i/>
          <w:color w:val="auto"/>
          <w:sz w:val="20"/>
          <w:szCs w:val="20"/>
          <w:lang w:val="es-ES"/>
        </w:rPr>
        <w:t xml:space="preserve">A consideración de esta Unidad, </w:t>
      </w:r>
      <w:r w:rsidRPr="000C51A4">
        <w:rPr>
          <w:b/>
          <w:bCs/>
          <w:i/>
          <w:color w:val="auto"/>
          <w:sz w:val="20"/>
          <w:szCs w:val="20"/>
          <w:u w:val="single"/>
          <w:lang w:val="es-ES"/>
        </w:rPr>
        <w:t>se actualiza la causal de improcedencia</w:t>
      </w:r>
      <w:r w:rsidRPr="000C51A4">
        <w:rPr>
          <w:i/>
          <w:color w:val="auto"/>
          <w:sz w:val="20"/>
          <w:szCs w:val="20"/>
          <w:lang w:val="es-ES"/>
        </w:rPr>
        <w:t xml:space="preserve"> en términos del artículo 191 fracciones III y V de la Ley de Trasparencia Local:</w:t>
      </w:r>
    </w:p>
    <w:p w14:paraId="4F35EA5E" w14:textId="77777777" w:rsidR="00AF7AC4" w:rsidRPr="000C51A4" w:rsidRDefault="00AF7AC4" w:rsidP="00220A9B">
      <w:pPr>
        <w:spacing w:line="360" w:lineRule="auto"/>
        <w:ind w:left="1134" w:right="539"/>
        <w:contextualSpacing/>
        <w:rPr>
          <w:i/>
          <w:iCs/>
          <w:color w:val="auto"/>
          <w:sz w:val="20"/>
          <w:szCs w:val="20"/>
          <w:lang w:val="es-ES"/>
        </w:rPr>
      </w:pPr>
      <w:r w:rsidRPr="000C51A4">
        <w:rPr>
          <w:i/>
          <w:iCs/>
          <w:color w:val="auto"/>
          <w:sz w:val="20"/>
          <w:szCs w:val="20"/>
          <w:lang w:val="es-ES"/>
        </w:rPr>
        <w:t>Artículo 191. El recurso será desechado por improcedente cuando:</w:t>
      </w:r>
    </w:p>
    <w:p w14:paraId="626D00BF" w14:textId="77777777" w:rsidR="00AF7AC4" w:rsidRPr="000C51A4" w:rsidRDefault="00AF7AC4" w:rsidP="00220A9B">
      <w:pPr>
        <w:spacing w:line="360" w:lineRule="auto"/>
        <w:ind w:left="1134" w:right="539"/>
        <w:contextualSpacing/>
        <w:rPr>
          <w:i/>
          <w:iCs/>
          <w:color w:val="auto"/>
          <w:sz w:val="20"/>
          <w:szCs w:val="20"/>
          <w:lang w:val="es-ES"/>
        </w:rPr>
      </w:pPr>
      <w:r w:rsidRPr="000C51A4">
        <w:rPr>
          <w:i/>
          <w:iCs/>
          <w:color w:val="auto"/>
          <w:sz w:val="20"/>
          <w:szCs w:val="20"/>
          <w:lang w:val="es-ES"/>
        </w:rPr>
        <w:t>…</w:t>
      </w:r>
    </w:p>
    <w:p w14:paraId="0AC28F1C" w14:textId="77777777" w:rsidR="00AF7AC4" w:rsidRPr="000C51A4" w:rsidRDefault="00AF7AC4" w:rsidP="00220A9B">
      <w:pPr>
        <w:spacing w:line="360" w:lineRule="auto"/>
        <w:ind w:left="1134" w:right="539"/>
        <w:contextualSpacing/>
        <w:rPr>
          <w:b/>
          <w:bCs/>
          <w:i/>
          <w:iCs/>
          <w:color w:val="auto"/>
          <w:sz w:val="20"/>
          <w:szCs w:val="20"/>
          <w:lang w:val="es-ES"/>
        </w:rPr>
      </w:pPr>
      <w:r w:rsidRPr="000C51A4">
        <w:rPr>
          <w:b/>
          <w:bCs/>
          <w:i/>
          <w:iCs/>
          <w:color w:val="auto"/>
          <w:sz w:val="20"/>
          <w:szCs w:val="20"/>
          <w:lang w:val="es-ES"/>
        </w:rPr>
        <w:t>III. No actualice alguno de los supuestos previstos en la presente Ley;</w:t>
      </w:r>
    </w:p>
    <w:p w14:paraId="64F8D1FA" w14:textId="77777777" w:rsidR="00AF7AC4" w:rsidRPr="000C51A4" w:rsidRDefault="00AF7AC4" w:rsidP="00220A9B">
      <w:pPr>
        <w:spacing w:line="360" w:lineRule="auto"/>
        <w:ind w:left="1134" w:right="539"/>
        <w:contextualSpacing/>
        <w:rPr>
          <w:b/>
          <w:bCs/>
          <w:i/>
          <w:iCs/>
          <w:color w:val="auto"/>
          <w:sz w:val="20"/>
          <w:szCs w:val="20"/>
          <w:lang w:val="es-ES"/>
        </w:rPr>
      </w:pPr>
      <w:r w:rsidRPr="000C51A4">
        <w:rPr>
          <w:b/>
          <w:bCs/>
          <w:i/>
          <w:iCs/>
          <w:color w:val="auto"/>
          <w:sz w:val="20"/>
          <w:szCs w:val="20"/>
          <w:lang w:val="es-ES"/>
        </w:rPr>
        <w:t>…</w:t>
      </w:r>
    </w:p>
    <w:p w14:paraId="389C557D" w14:textId="77777777" w:rsidR="00AF7AC4" w:rsidRPr="000C51A4" w:rsidRDefault="00AF7AC4" w:rsidP="00220A9B">
      <w:pPr>
        <w:spacing w:line="360" w:lineRule="auto"/>
        <w:ind w:left="1134" w:right="539"/>
        <w:contextualSpacing/>
        <w:rPr>
          <w:i/>
          <w:iCs/>
          <w:color w:val="auto"/>
          <w:sz w:val="20"/>
          <w:szCs w:val="20"/>
          <w:u w:val="single"/>
          <w:lang w:val="es-ES"/>
        </w:rPr>
      </w:pPr>
      <w:r w:rsidRPr="000C51A4">
        <w:rPr>
          <w:b/>
          <w:bCs/>
          <w:i/>
          <w:iCs/>
          <w:color w:val="auto"/>
          <w:sz w:val="20"/>
          <w:szCs w:val="20"/>
          <w:u w:val="single"/>
          <w:lang w:val="es-ES"/>
        </w:rPr>
        <w:t>V.</w:t>
      </w:r>
      <w:r w:rsidRPr="000C51A4">
        <w:rPr>
          <w:i/>
          <w:iCs/>
          <w:color w:val="auto"/>
          <w:sz w:val="20"/>
          <w:szCs w:val="20"/>
          <w:u w:val="single"/>
          <w:lang w:val="es-ES"/>
        </w:rPr>
        <w:t xml:space="preserve"> </w:t>
      </w:r>
      <w:r w:rsidRPr="000C51A4">
        <w:rPr>
          <w:b/>
          <w:bCs/>
          <w:i/>
          <w:iCs/>
          <w:color w:val="auto"/>
          <w:sz w:val="20"/>
          <w:szCs w:val="20"/>
          <w:u w:val="single"/>
          <w:lang w:val="es-ES"/>
        </w:rPr>
        <w:t>Se impugne la veracidad de la información proporcionada</w:t>
      </w:r>
      <w:r w:rsidRPr="000C51A4">
        <w:rPr>
          <w:i/>
          <w:iCs/>
          <w:color w:val="auto"/>
          <w:sz w:val="20"/>
          <w:szCs w:val="20"/>
          <w:u w:val="single"/>
          <w:lang w:val="es-ES"/>
        </w:rPr>
        <w:t>;</w:t>
      </w:r>
    </w:p>
    <w:p w14:paraId="608864F0" w14:textId="77777777" w:rsidR="00AF7AC4" w:rsidRPr="000C51A4" w:rsidRDefault="00AF7AC4" w:rsidP="00220A9B">
      <w:pPr>
        <w:spacing w:line="360" w:lineRule="auto"/>
        <w:ind w:left="1134" w:right="539"/>
        <w:contextualSpacing/>
        <w:rPr>
          <w:i/>
          <w:iCs/>
          <w:color w:val="auto"/>
          <w:sz w:val="20"/>
          <w:szCs w:val="20"/>
          <w:lang w:val="es-ES"/>
        </w:rPr>
      </w:pPr>
      <w:r w:rsidRPr="000C51A4">
        <w:rPr>
          <w:i/>
          <w:iCs/>
          <w:color w:val="auto"/>
          <w:sz w:val="20"/>
          <w:szCs w:val="20"/>
          <w:lang w:val="es-ES"/>
        </w:rPr>
        <w:t>…</w:t>
      </w:r>
    </w:p>
    <w:p w14:paraId="6B9544CB" w14:textId="311DA148"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Lo anterior, en virtud de que refiere “</w:t>
      </w:r>
      <w:r w:rsidRPr="000C51A4">
        <w:rPr>
          <w:b/>
          <w:bCs/>
          <w:i/>
          <w:color w:val="auto"/>
          <w:sz w:val="20"/>
          <w:szCs w:val="20"/>
        </w:rPr>
        <w:t>No es la información que solicite</w:t>
      </w:r>
      <w:r w:rsidRPr="000C51A4">
        <w:rPr>
          <w:i/>
          <w:color w:val="auto"/>
          <w:sz w:val="20"/>
          <w:szCs w:val="20"/>
        </w:rPr>
        <w:t xml:space="preserve">”, sin embargo, dicha manifestación es incorrecta, ya que, en primer término, tal y como lo establece el procedimiento de </w:t>
      </w:r>
      <w:r w:rsidRPr="000C51A4">
        <w:rPr>
          <w:i/>
          <w:color w:val="auto"/>
          <w:sz w:val="20"/>
          <w:szCs w:val="20"/>
        </w:rPr>
        <w:lastRenderedPageBreak/>
        <w:t xml:space="preserve">acceso a la información pública, esta Unidad de Transparencia en ejercicio de las facultades y atribuciones que establece la Ley de Transparencia y Acceso a la Información Pública del Estado de México y Municipios, </w:t>
      </w:r>
      <w:r w:rsidRPr="000C51A4">
        <w:rPr>
          <w:b/>
          <w:bCs/>
          <w:i/>
          <w:color w:val="auto"/>
          <w:sz w:val="20"/>
          <w:szCs w:val="20"/>
        </w:rPr>
        <w:t>remitió a la Dirección General de Vinculación Interinstitucional</w:t>
      </w:r>
      <w:r w:rsidRPr="000C51A4">
        <w:rPr>
          <w:i/>
          <w:color w:val="auto"/>
          <w:sz w:val="20"/>
          <w:szCs w:val="20"/>
        </w:rPr>
        <w:t xml:space="preserve">, ello mediante el propio sistema implementado para tal efecto, esto es el </w:t>
      </w:r>
      <w:r w:rsidR="00244DE6">
        <w:rPr>
          <w:i/>
          <w:color w:val="auto"/>
          <w:sz w:val="20"/>
          <w:szCs w:val="20"/>
        </w:rPr>
        <w:t>SAIMEX</w:t>
      </w:r>
      <w:r w:rsidRPr="000C51A4">
        <w:rPr>
          <w:i/>
          <w:color w:val="auto"/>
          <w:sz w:val="20"/>
          <w:szCs w:val="20"/>
        </w:rPr>
        <w:t>, así mismo, dicha</w:t>
      </w:r>
      <w:r w:rsidRPr="000C51A4">
        <w:rPr>
          <w:b/>
          <w:bCs/>
          <w:i/>
          <w:color w:val="auto"/>
          <w:sz w:val="20"/>
          <w:szCs w:val="20"/>
        </w:rPr>
        <w:t xml:space="preserve"> </w:t>
      </w:r>
      <w:r w:rsidRPr="000C51A4">
        <w:rPr>
          <w:i/>
          <w:color w:val="auto"/>
          <w:sz w:val="20"/>
          <w:szCs w:val="20"/>
        </w:rPr>
        <w:t>unidad administrativa proporcionó respuesta, misma que fue entregada al particular; tan esa así, que se inconforma de ésta; ya que para poder inconformarse existe una acción que se lo permita. Por tanto, en ningún momento hubo una negativa por parte de este Sujeto Obligado o de los servidores públicos habilitados, ya que como puede ser visto en el expediente electrónico integrado al SAIMEX, se otorgó respuesta al particular, en virtud de ello, no hubo negativa de atender el derecho de acceso a la información pública, consagrado en el artículo 6 de la Constitución Política de los Estados Unidos Mexicanos y en el artículo 5 de la Constitución Política del Estado Libre y Soberano de México.</w:t>
      </w:r>
    </w:p>
    <w:p w14:paraId="587D1861" w14:textId="77777777" w:rsidR="00AF7AC4" w:rsidRPr="000C51A4" w:rsidRDefault="00AF7AC4" w:rsidP="00220A9B">
      <w:pPr>
        <w:spacing w:line="360" w:lineRule="auto"/>
        <w:ind w:left="567" w:right="539"/>
        <w:contextualSpacing/>
        <w:rPr>
          <w:b/>
          <w:bCs/>
          <w:i/>
          <w:color w:val="auto"/>
          <w:sz w:val="20"/>
          <w:szCs w:val="20"/>
          <w:u w:val="single"/>
        </w:rPr>
      </w:pPr>
      <w:r w:rsidRPr="000C51A4">
        <w:rPr>
          <w:b/>
          <w:bCs/>
          <w:i/>
          <w:color w:val="auto"/>
          <w:sz w:val="20"/>
          <w:szCs w:val="20"/>
          <w:u w:val="single"/>
        </w:rPr>
        <w:t>De ahí que es evidente que si existió respuesta a la solicitud de información y le fue otorgada al particular; por tanto, los motivos de inconformidad manifestados son tendientes a desvirtuar la veracidad de la información proporcionada y que no se le dio respuesta, ya que la queja no versa en lo proporcionado, sino manifestar que se le negó la información, razón que resulta improcedente, toda vez que se entregó respuesta por el servidor público habilitado en el ejercicio de sus funciones y atribuciones, y por otro lado pone en duda la veracidad de la información.</w:t>
      </w:r>
    </w:p>
    <w:p w14:paraId="521D2C29" w14:textId="77777777" w:rsidR="00AF7AC4" w:rsidRPr="000C51A4" w:rsidRDefault="00AF7AC4" w:rsidP="00220A9B">
      <w:pPr>
        <w:spacing w:line="360" w:lineRule="auto"/>
        <w:ind w:left="567" w:right="539"/>
        <w:contextualSpacing/>
        <w:rPr>
          <w:b/>
          <w:i/>
          <w:color w:val="auto"/>
          <w:sz w:val="20"/>
          <w:szCs w:val="20"/>
        </w:rPr>
      </w:pPr>
    </w:p>
    <w:p w14:paraId="44340274" w14:textId="77777777" w:rsidR="00AF7AC4" w:rsidRPr="000C51A4" w:rsidRDefault="00AF7AC4" w:rsidP="00220A9B">
      <w:pPr>
        <w:spacing w:line="360" w:lineRule="auto"/>
        <w:ind w:left="567" w:right="539"/>
        <w:contextualSpacing/>
        <w:jc w:val="center"/>
        <w:rPr>
          <w:b/>
          <w:i/>
          <w:color w:val="auto"/>
          <w:sz w:val="20"/>
          <w:szCs w:val="20"/>
        </w:rPr>
      </w:pPr>
      <w:r w:rsidRPr="000C51A4">
        <w:rPr>
          <w:b/>
          <w:i/>
          <w:color w:val="auto"/>
          <w:sz w:val="20"/>
          <w:szCs w:val="20"/>
        </w:rPr>
        <w:t>DEFENSA DE LA RESPUESTA</w:t>
      </w:r>
    </w:p>
    <w:p w14:paraId="1A4EE2A7"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La respuesta otorgada por la</w:t>
      </w:r>
      <w:r w:rsidRPr="000C51A4">
        <w:rPr>
          <w:b/>
          <w:bCs/>
          <w:i/>
          <w:color w:val="auto"/>
          <w:sz w:val="20"/>
          <w:szCs w:val="20"/>
        </w:rPr>
        <w:t xml:space="preserve"> Dirección de Vinculación Interinstitucional</w:t>
      </w:r>
      <w:r w:rsidRPr="000C51A4">
        <w:rPr>
          <w:i/>
          <w:color w:val="auto"/>
          <w:sz w:val="20"/>
          <w:szCs w:val="20"/>
        </w:rPr>
        <w:t>, es acorde a lo exigido por el artículo 6 apartado A de la Constitución Política de los Estados Unidos Mexicanos; y 5 de la Constitución Política del Estado Libre y Soberano de México, así como los principios, bases generales y procedimientos para tutelar y garantizar la transparencia y el derecho humano de acceso a la información pública en términos de la Ley de Transparencia y Acceso a la Información Pública del Estado de México y Municipios.</w:t>
      </w:r>
    </w:p>
    <w:p w14:paraId="5F59D138" w14:textId="77777777" w:rsidR="00AF7AC4" w:rsidRPr="000C51A4" w:rsidRDefault="00AF7AC4" w:rsidP="00220A9B">
      <w:pPr>
        <w:spacing w:line="360" w:lineRule="auto"/>
        <w:ind w:left="567" w:right="539"/>
        <w:contextualSpacing/>
        <w:rPr>
          <w:b/>
          <w:bCs/>
          <w:i/>
          <w:color w:val="auto"/>
          <w:sz w:val="20"/>
          <w:szCs w:val="20"/>
        </w:rPr>
      </w:pPr>
      <w:r w:rsidRPr="000C51A4">
        <w:rPr>
          <w:i/>
          <w:color w:val="auto"/>
          <w:sz w:val="20"/>
          <w:szCs w:val="20"/>
        </w:rPr>
        <w:lastRenderedPageBreak/>
        <w:t xml:space="preserve">En dicha respuesta, se le informó al solicitante que este Sujeto Obligado de acuerdo con sus funciones y atribuciones, </w:t>
      </w:r>
      <w:r w:rsidRPr="000C51A4">
        <w:rPr>
          <w:b/>
          <w:bCs/>
          <w:i/>
          <w:color w:val="auto"/>
          <w:sz w:val="20"/>
          <w:szCs w:val="20"/>
        </w:rPr>
        <w:t xml:space="preserve">posee todo lo referido a la información relevante al acompañamiento permanente y seguimiento a la instalación de los Sistemas Municipales Anticorrupción se encuentra contenida en los informes anuales del Comité Coordinador, mismos que fueron precisados para que el solicitante pueda acceder a dicha información pública. </w:t>
      </w:r>
    </w:p>
    <w:p w14:paraId="13BC4629" w14:textId="77777777" w:rsidR="00AF7AC4" w:rsidRPr="000C51A4" w:rsidRDefault="00AF7AC4" w:rsidP="00220A9B">
      <w:pPr>
        <w:spacing w:line="360" w:lineRule="auto"/>
        <w:ind w:left="567" w:right="539"/>
        <w:contextualSpacing/>
        <w:rPr>
          <w:i/>
          <w:iCs/>
          <w:color w:val="auto"/>
          <w:sz w:val="20"/>
          <w:szCs w:val="20"/>
        </w:rPr>
      </w:pPr>
      <w:r w:rsidRPr="000C51A4">
        <w:rPr>
          <w:i/>
          <w:color w:val="auto"/>
          <w:sz w:val="20"/>
          <w:szCs w:val="20"/>
        </w:rPr>
        <w:t xml:space="preserve">Al respecto, se debe precisar que el artículo 12 de la Ley de Transparencia y Acceso a la Información Pública del Estado de México y Municipios, establece </w:t>
      </w:r>
      <w:r w:rsidRPr="000C51A4">
        <w:rPr>
          <w:i/>
          <w:iCs/>
          <w:color w:val="auto"/>
          <w:sz w:val="20"/>
          <w:szCs w:val="20"/>
        </w:rPr>
        <w:t xml:space="preserve">“quienes generen, recopilen, administren, manejen, procesen, archiven o conserven información pública serán responsables de la misma en los términos de las disposiciones jurídicas aplicables. </w:t>
      </w:r>
    </w:p>
    <w:p w14:paraId="38DC4D31" w14:textId="77777777" w:rsidR="00AF7AC4" w:rsidRPr="000C51A4" w:rsidRDefault="00AF7AC4" w:rsidP="00220A9B">
      <w:pPr>
        <w:spacing w:line="360" w:lineRule="auto"/>
        <w:ind w:left="567" w:right="539"/>
        <w:contextualSpacing/>
        <w:rPr>
          <w:i/>
          <w:color w:val="auto"/>
          <w:sz w:val="20"/>
          <w:szCs w:val="20"/>
        </w:rPr>
      </w:pPr>
      <w:r w:rsidRPr="000C51A4">
        <w:rPr>
          <w:b/>
          <w:bCs/>
          <w:i/>
          <w:iCs/>
          <w:color w:val="auto"/>
          <w:sz w:val="20"/>
          <w:szCs w:val="2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C51A4">
        <w:rPr>
          <w:b/>
          <w:bCs/>
          <w:i/>
          <w:color w:val="auto"/>
          <w:sz w:val="20"/>
          <w:szCs w:val="20"/>
          <w:u w:val="single"/>
        </w:rPr>
        <w:t>.</w:t>
      </w:r>
    </w:p>
    <w:p w14:paraId="768A1069" w14:textId="03EC3A72"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 xml:space="preserve">En ese sentido, de manera atenta y respetuosa, informo a la ponencia a su digno cargo, que la respuesta otorgada a la persona solicitante , misma que obra en el expediente electrónico del </w:t>
      </w:r>
      <w:r w:rsidR="00244DE6">
        <w:rPr>
          <w:i/>
          <w:color w:val="auto"/>
          <w:sz w:val="20"/>
          <w:szCs w:val="20"/>
        </w:rPr>
        <w:t>SAIMEX</w:t>
      </w:r>
      <w:r w:rsidRPr="000C51A4">
        <w:rPr>
          <w:i/>
          <w:color w:val="auto"/>
          <w:sz w:val="20"/>
          <w:szCs w:val="20"/>
        </w:rPr>
        <w:t xml:space="preserve">, fue en el ejercicio de las atribuciones de la unidad administrativa competente y conforme a lo que obra en sus archivos; por lo tanto se reitera que el recurso de revisión y la inconformidad del particular no son procedentes, dado que no actualiza supuesto de procedencia, ya que le fue otorgada respuesta, </w:t>
      </w:r>
      <w:r w:rsidRPr="000C51A4">
        <w:rPr>
          <w:b/>
          <w:bCs/>
          <w:i/>
          <w:color w:val="auto"/>
          <w:sz w:val="20"/>
          <w:szCs w:val="20"/>
        </w:rPr>
        <w:t xml:space="preserve">en ningún momento le fue negada y </w:t>
      </w:r>
      <w:r w:rsidRPr="000C51A4">
        <w:rPr>
          <w:b/>
          <w:bCs/>
          <w:i/>
          <w:color w:val="auto"/>
          <w:sz w:val="20"/>
          <w:szCs w:val="20"/>
          <w:u w:val="single"/>
        </w:rPr>
        <w:t>por otro lado pone en duda la veracidad de la respuesta otorgada</w:t>
      </w:r>
      <w:r w:rsidRPr="000C51A4">
        <w:rPr>
          <w:i/>
          <w:color w:val="auto"/>
          <w:sz w:val="20"/>
          <w:szCs w:val="20"/>
        </w:rPr>
        <w:t xml:space="preserve"> ya que como ha sido referido al servidor público habilitado proporcionó respuesta en términos de sus atribuciones y facultades. Por tanto, el </w:t>
      </w:r>
      <w:r w:rsidRPr="000C51A4">
        <w:rPr>
          <w:b/>
          <w:bCs/>
          <w:i/>
          <w:color w:val="auto"/>
          <w:sz w:val="20"/>
          <w:szCs w:val="20"/>
        </w:rPr>
        <w:t>medio de impugnación se encuentra en el supuesto de improcedencia establecido en la fracción V del artículo 91 de la Ley de Transparencia y Acceso a la Información Pública del Estado de México y Municipios, por impugnar la veracidad de la información proporcionada</w:t>
      </w:r>
      <w:r w:rsidRPr="000C51A4">
        <w:rPr>
          <w:i/>
          <w:color w:val="auto"/>
          <w:sz w:val="20"/>
          <w:szCs w:val="20"/>
        </w:rPr>
        <w:t>.</w:t>
      </w:r>
    </w:p>
    <w:p w14:paraId="29A49484" w14:textId="77777777" w:rsidR="00AF7AC4" w:rsidRPr="000C51A4" w:rsidRDefault="00AF7AC4" w:rsidP="00220A9B">
      <w:pPr>
        <w:spacing w:line="360" w:lineRule="auto"/>
        <w:ind w:left="567" w:right="539"/>
        <w:contextualSpacing/>
        <w:rPr>
          <w:b/>
          <w:bCs/>
          <w:i/>
          <w:color w:val="auto"/>
          <w:sz w:val="20"/>
          <w:szCs w:val="20"/>
        </w:rPr>
      </w:pPr>
      <w:r w:rsidRPr="000C51A4">
        <w:rPr>
          <w:i/>
          <w:color w:val="auto"/>
          <w:sz w:val="20"/>
          <w:szCs w:val="20"/>
        </w:rPr>
        <w:t xml:space="preserve">Es así, que la respuesta emitida por la persona servidora pública habilitada competente debe considerarse y no poner en duda, ya que la realizó en el ejercicio de sus atribuciones legales, por lo </w:t>
      </w:r>
      <w:r w:rsidRPr="000C51A4">
        <w:rPr>
          <w:i/>
          <w:color w:val="auto"/>
          <w:sz w:val="20"/>
          <w:szCs w:val="20"/>
        </w:rPr>
        <w:lastRenderedPageBreak/>
        <w:t xml:space="preserve">que, en el caso de la impugnación y motivos o razones de inconformidad son tendientes a poner en duda la veracidad de la información ya que su queja versa en establecer que no se le entregó la información que solicitó, sin embargo, contrario a ello, </w:t>
      </w:r>
      <w:r w:rsidRPr="000C51A4">
        <w:rPr>
          <w:b/>
          <w:bCs/>
          <w:i/>
          <w:color w:val="auto"/>
          <w:sz w:val="20"/>
          <w:szCs w:val="20"/>
        </w:rPr>
        <w:t xml:space="preserve">si le fue entregada respuesta informando que el Sujeto Obligado pone a disposición del solicitante la información referente al acompañamiento permanente y seguimiento a la instalación de los Sistemas Municipales Anticorrupción desde el año 2018 al 2024 tal como se solicitó. </w:t>
      </w:r>
    </w:p>
    <w:p w14:paraId="29E255E9"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Más aún, considerando que la inconformidad consiste en “</w:t>
      </w:r>
      <w:r w:rsidRPr="000C51A4">
        <w:rPr>
          <w:b/>
          <w:bCs/>
          <w:i/>
          <w:color w:val="auto"/>
          <w:sz w:val="20"/>
          <w:szCs w:val="20"/>
        </w:rPr>
        <w:t>No es la información que solicite</w:t>
      </w:r>
      <w:r w:rsidRPr="000C51A4">
        <w:rPr>
          <w:i/>
          <w:color w:val="auto"/>
          <w:sz w:val="20"/>
          <w:szCs w:val="20"/>
        </w:rPr>
        <w:t>”, para lo cual nos remitiremos a lo que define como -</w:t>
      </w:r>
      <w:r w:rsidRPr="000C51A4">
        <w:rPr>
          <w:b/>
          <w:bCs/>
          <w:i/>
          <w:color w:val="auto"/>
          <w:sz w:val="20"/>
          <w:szCs w:val="20"/>
        </w:rPr>
        <w:t>Negativa de acceso a la información</w:t>
      </w:r>
      <w:r w:rsidRPr="000C51A4">
        <w:rPr>
          <w:i/>
          <w:color w:val="auto"/>
          <w:sz w:val="20"/>
          <w:szCs w:val="20"/>
        </w:rPr>
        <w:t>- el DICCIONARIO DE TRANSPARENCIA Y ACCESO A LA INFORMACIÓN PÚBLICA, publicado por el Instituto Nacional de Transparencia, Acceso a la Información y Protección de Datos Personales (INAI), cuyo Coordinador Editorial es Guillermo M. Cejudo:</w:t>
      </w:r>
    </w:p>
    <w:p w14:paraId="6B0689D5" w14:textId="77777777" w:rsidR="00AF7AC4" w:rsidRPr="000C51A4" w:rsidRDefault="00AF7AC4" w:rsidP="00220A9B">
      <w:pPr>
        <w:spacing w:line="360" w:lineRule="auto"/>
        <w:ind w:left="567" w:right="539"/>
        <w:contextualSpacing/>
        <w:rPr>
          <w:b/>
          <w:bCs/>
          <w:i/>
          <w:iCs/>
          <w:color w:val="auto"/>
          <w:sz w:val="20"/>
          <w:szCs w:val="20"/>
        </w:rPr>
      </w:pPr>
    </w:p>
    <w:p w14:paraId="74E2A770" w14:textId="77777777" w:rsidR="00AF7AC4" w:rsidRPr="000C51A4" w:rsidRDefault="00AF7AC4" w:rsidP="00220A9B">
      <w:pPr>
        <w:spacing w:line="360" w:lineRule="auto"/>
        <w:ind w:left="1134" w:right="539"/>
        <w:contextualSpacing/>
        <w:rPr>
          <w:b/>
          <w:bCs/>
          <w:i/>
          <w:iCs/>
          <w:color w:val="auto"/>
          <w:sz w:val="20"/>
          <w:szCs w:val="20"/>
        </w:rPr>
      </w:pPr>
      <w:r w:rsidRPr="000C51A4">
        <w:rPr>
          <w:b/>
          <w:bCs/>
          <w:i/>
          <w:iCs/>
          <w:color w:val="auto"/>
          <w:sz w:val="20"/>
          <w:szCs w:val="20"/>
        </w:rPr>
        <w:t>Negativa de acceso a la información</w:t>
      </w:r>
    </w:p>
    <w:p w14:paraId="363E65A8" w14:textId="77777777" w:rsidR="00AF7AC4" w:rsidRPr="000C51A4" w:rsidRDefault="00AF7AC4" w:rsidP="00220A9B">
      <w:pPr>
        <w:spacing w:line="360" w:lineRule="auto"/>
        <w:ind w:left="1134" w:right="539"/>
        <w:contextualSpacing/>
        <w:rPr>
          <w:b/>
          <w:bCs/>
          <w:i/>
          <w:iCs/>
          <w:color w:val="auto"/>
          <w:sz w:val="20"/>
          <w:szCs w:val="20"/>
        </w:rPr>
      </w:pPr>
      <w:r w:rsidRPr="000C51A4">
        <w:rPr>
          <w:i/>
          <w:iCs/>
          <w:color w:val="auto"/>
          <w:sz w:val="20"/>
          <w:szCs w:val="20"/>
        </w:rPr>
        <w:t xml:space="preserve">La negativa de acceso a la información ocurre cuando una autoridad no emite una resolución o niega o limita el acceso a información solicitada. Una negativa de información debe ser fundada y motivada por la autoridad y algunas de las razones pueden ser: la inexistencia de la información, la incompetencia del sujeto obligado o la clasificación de la información como confidencial o reservada. Si las razones de la negativa son consideradas como insuficientes por el solicitante es posible interponer un recurso de revisión ante el órgano garante. </w:t>
      </w:r>
      <w:r w:rsidRPr="000C51A4">
        <w:rPr>
          <w:b/>
          <w:bCs/>
          <w:i/>
          <w:iCs/>
          <w:color w:val="auto"/>
          <w:sz w:val="20"/>
          <w:szCs w:val="20"/>
        </w:rPr>
        <w:t>Humberto Trujillo</w:t>
      </w:r>
    </w:p>
    <w:p w14:paraId="12CE9C26" w14:textId="2DEB0CEC"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 xml:space="preserve">De lo cual es preciso abordar los tres supuestos que se establecen en la definición, los cuales son: </w:t>
      </w:r>
      <w:r w:rsidRPr="000C51A4">
        <w:rPr>
          <w:b/>
          <w:bCs/>
          <w:i/>
          <w:color w:val="auto"/>
          <w:sz w:val="20"/>
          <w:szCs w:val="20"/>
        </w:rPr>
        <w:t xml:space="preserve">1. la inexistencia de la información, 2. la incompetencia del sujeto obligado o 3. </w:t>
      </w:r>
      <w:r w:rsidR="00A827BE" w:rsidRPr="000C51A4">
        <w:rPr>
          <w:b/>
          <w:bCs/>
          <w:i/>
          <w:color w:val="auto"/>
          <w:sz w:val="20"/>
          <w:szCs w:val="20"/>
        </w:rPr>
        <w:t>La</w:t>
      </w:r>
      <w:r w:rsidRPr="000C51A4">
        <w:rPr>
          <w:b/>
          <w:bCs/>
          <w:i/>
          <w:color w:val="auto"/>
          <w:sz w:val="20"/>
          <w:szCs w:val="20"/>
        </w:rPr>
        <w:t xml:space="preserve"> clasificación de </w:t>
      </w:r>
      <w:r w:rsidR="00A827BE" w:rsidRPr="000C51A4">
        <w:rPr>
          <w:b/>
          <w:bCs/>
          <w:i/>
          <w:color w:val="auto"/>
          <w:sz w:val="20"/>
          <w:szCs w:val="20"/>
        </w:rPr>
        <w:t>la información como confidencial o reservada</w:t>
      </w:r>
      <w:r w:rsidR="00A827BE" w:rsidRPr="000C51A4">
        <w:rPr>
          <w:i/>
          <w:color w:val="auto"/>
          <w:sz w:val="20"/>
          <w:szCs w:val="20"/>
        </w:rPr>
        <w:t>; supuesta</w:t>
      </w:r>
      <w:r w:rsidRPr="000C51A4">
        <w:rPr>
          <w:i/>
          <w:color w:val="auto"/>
          <w:sz w:val="20"/>
          <w:szCs w:val="20"/>
        </w:rPr>
        <w:t xml:space="preserve"> que no encuadran con la inconformidad y la respuesta como a continuación se establece.</w:t>
      </w:r>
    </w:p>
    <w:p w14:paraId="1B492789"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 xml:space="preserve">En primer término, para efectos de la </w:t>
      </w:r>
      <w:r w:rsidRPr="000C51A4">
        <w:rPr>
          <w:b/>
          <w:bCs/>
          <w:i/>
          <w:color w:val="auto"/>
          <w:sz w:val="20"/>
          <w:szCs w:val="20"/>
        </w:rPr>
        <w:t>inexistencia</w:t>
      </w:r>
      <w:r w:rsidRPr="000C51A4">
        <w:rPr>
          <w:i/>
          <w:color w:val="auto"/>
          <w:sz w:val="20"/>
          <w:szCs w:val="20"/>
        </w:rPr>
        <w:t>, el párrafo tercero del artículo 19 de la Ley de Transparencia y Acceso a la Información Pública del Estado de México y Municipios, establece que “</w:t>
      </w:r>
      <w:r w:rsidRPr="000C51A4">
        <w:rPr>
          <w:b/>
          <w:bCs/>
          <w:i/>
          <w:iCs/>
          <w:color w:val="auto"/>
          <w:sz w:val="20"/>
          <w:szCs w:val="20"/>
        </w:rPr>
        <w:t xml:space="preserve">Si el sujeto obligado, en el ejercicio de sus atribuciones, debía generar, poseer o </w:t>
      </w:r>
      <w:r w:rsidRPr="000C51A4">
        <w:rPr>
          <w:b/>
          <w:bCs/>
          <w:i/>
          <w:iCs/>
          <w:color w:val="auto"/>
          <w:sz w:val="20"/>
          <w:szCs w:val="20"/>
        </w:rPr>
        <w:lastRenderedPageBreak/>
        <w:t>administrar la información, pero ésta no se encuentra, el Comité de transparencia deberá emitir un acuerdo de inexistencia, debidamente fundado y motivado, en el que detalle las razones del por qué no obra en sus archivos</w:t>
      </w:r>
      <w:r w:rsidRPr="000C51A4">
        <w:rPr>
          <w:i/>
          <w:color w:val="auto"/>
          <w:sz w:val="20"/>
          <w:szCs w:val="20"/>
        </w:rPr>
        <w:t>.”; de lo cual se desprende que en ningún momento se estableció que la información era inexistente o se encontraba en los supuestos del referido dispositivo normativo, por tanto, no es aplicable el supuesto</w:t>
      </w:r>
      <w:r w:rsidRPr="000C51A4">
        <w:rPr>
          <w:i/>
          <w:iCs/>
          <w:color w:val="auto"/>
          <w:sz w:val="20"/>
          <w:szCs w:val="20"/>
        </w:rPr>
        <w:t xml:space="preserve">; </w:t>
      </w:r>
      <w:r w:rsidRPr="000C51A4">
        <w:rPr>
          <w:i/>
          <w:color w:val="auto"/>
          <w:sz w:val="20"/>
          <w:szCs w:val="20"/>
        </w:rPr>
        <w:t>siendo que como ha sido manifestado, se le informó que no se encontró documental referente a alguna factura sufragada por esta Secretaría Ejecutiva bajo que ampare el concepto de Comida con Periodistas, de acuerdo a lo solicitado.</w:t>
      </w:r>
    </w:p>
    <w:p w14:paraId="607E826B"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Asimismo, el referido DICCIONARIO DE TRANSPARENCIA Y ACCESO A LA INFORMACIÓN PÚBLICA establece como concepto de Inexistencia el siguiente:</w:t>
      </w:r>
    </w:p>
    <w:p w14:paraId="705E1FEE" w14:textId="77777777" w:rsidR="00AF7AC4" w:rsidRPr="000C51A4" w:rsidRDefault="00AF7AC4" w:rsidP="00220A9B">
      <w:pPr>
        <w:spacing w:line="360" w:lineRule="auto"/>
        <w:ind w:left="1134" w:right="539"/>
        <w:contextualSpacing/>
        <w:rPr>
          <w:b/>
          <w:bCs/>
          <w:i/>
          <w:iCs/>
          <w:color w:val="auto"/>
          <w:sz w:val="20"/>
          <w:szCs w:val="20"/>
        </w:rPr>
      </w:pPr>
      <w:r w:rsidRPr="000C51A4">
        <w:rPr>
          <w:b/>
          <w:bCs/>
          <w:i/>
          <w:iCs/>
          <w:color w:val="auto"/>
          <w:sz w:val="20"/>
          <w:szCs w:val="20"/>
        </w:rPr>
        <w:t>Inexistencia de información</w:t>
      </w:r>
    </w:p>
    <w:p w14:paraId="65FBDE3A" w14:textId="77777777" w:rsidR="00AF7AC4" w:rsidRPr="000C51A4" w:rsidRDefault="00AF7AC4" w:rsidP="00220A9B">
      <w:pPr>
        <w:spacing w:line="360" w:lineRule="auto"/>
        <w:ind w:left="1134" w:right="539"/>
        <w:contextualSpacing/>
        <w:rPr>
          <w:i/>
          <w:iCs/>
          <w:color w:val="auto"/>
          <w:sz w:val="20"/>
          <w:szCs w:val="20"/>
        </w:rPr>
      </w:pPr>
      <w:r w:rsidRPr="000C51A4">
        <w:rPr>
          <w:i/>
          <w:iCs/>
          <w:color w:val="auto"/>
          <w:sz w:val="20"/>
          <w:szCs w:val="20"/>
        </w:rPr>
        <w:t xml:space="preserve">La inexistencia de información puede ser una respuesta de un sujeto obligado a una solicitud de información, si la información solicitada </w:t>
      </w:r>
      <w:r w:rsidRPr="000C51A4">
        <w:rPr>
          <w:b/>
          <w:bCs/>
          <w:i/>
          <w:iCs/>
          <w:color w:val="auto"/>
          <w:sz w:val="20"/>
          <w:szCs w:val="20"/>
        </w:rPr>
        <w:t>no se encuentra</w:t>
      </w:r>
      <w:r w:rsidRPr="000C51A4">
        <w:rPr>
          <w:i/>
          <w:iCs/>
          <w:color w:val="auto"/>
          <w:sz w:val="20"/>
          <w:szCs w:val="20"/>
        </w:rPr>
        <w:t xml:space="preserve"> en los archivos públicos o en los reservados o clasificados, </w:t>
      </w:r>
      <w:r w:rsidRPr="000C51A4">
        <w:rPr>
          <w:b/>
          <w:bCs/>
          <w:i/>
          <w:iCs/>
          <w:color w:val="auto"/>
          <w:sz w:val="20"/>
          <w:szCs w:val="20"/>
        </w:rPr>
        <w:t>ya sea por una omisión o pérdida de la documentación</w:t>
      </w:r>
      <w:r w:rsidRPr="000C51A4">
        <w:rPr>
          <w:i/>
          <w:iCs/>
          <w:color w:val="auto"/>
          <w:sz w:val="20"/>
          <w:szCs w:val="20"/>
        </w:rPr>
        <w:t xml:space="preserve"> en los registros de la institución en estos y otros casos similares el Comité de Transparencia deberá confirmar la inexistencia de información. Además, en los casos en los que la documentación deba existir, el sujeto obligado debe de encargarse de restituirla y entregarla en los tiempos que marca la ley, ya que la LGTAIP señala que los sujetos obligados deben documentar todos los actos que deriven de sus facultades, competencias o funciones. Humberto Trujillo</w:t>
      </w:r>
    </w:p>
    <w:p w14:paraId="0A893F26"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Situación que claramente no resulta aplicable, dado que la respuesta no verso en que la información encuadre en una omisión o pérdida de los registros.</w:t>
      </w:r>
    </w:p>
    <w:p w14:paraId="4E4853BE"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 xml:space="preserve">El segundo aspecto refiere la </w:t>
      </w:r>
      <w:r w:rsidRPr="000C51A4">
        <w:rPr>
          <w:b/>
          <w:bCs/>
          <w:i/>
          <w:color w:val="auto"/>
          <w:sz w:val="20"/>
          <w:szCs w:val="20"/>
        </w:rPr>
        <w:t>incompetencia</w:t>
      </w:r>
      <w:r w:rsidRPr="000C51A4">
        <w:rPr>
          <w:i/>
          <w:color w:val="auto"/>
          <w:sz w:val="20"/>
          <w:szCs w:val="20"/>
        </w:rPr>
        <w:t xml:space="preserve"> del sujeto obligado, de lo cual es preciso establecer que no resulta aplicable, dado que le fue entregada respuesta en el ejercicio de las funciones y atribuciones del servidor público habilitado conforme a lo que obra en sus archivos, así mismo, la respuesta no fue en términos de lo dispuesto por el artículo 167 de la Ley de Transparencia y Acceso a la Información Pública del Estado de México y Municipios</w:t>
      </w:r>
    </w:p>
    <w:p w14:paraId="47C1900B"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lastRenderedPageBreak/>
        <w:t xml:space="preserve">Por cuanto hace al tercer aspecto </w:t>
      </w:r>
      <w:r w:rsidRPr="000C51A4">
        <w:rPr>
          <w:b/>
          <w:bCs/>
          <w:i/>
          <w:color w:val="auto"/>
          <w:sz w:val="20"/>
          <w:szCs w:val="20"/>
        </w:rPr>
        <w:t>clasificación de la información como confidencial o reservada,</w:t>
      </w:r>
      <w:r w:rsidRPr="000C51A4">
        <w:rPr>
          <w:i/>
          <w:color w:val="auto"/>
          <w:sz w:val="20"/>
          <w:szCs w:val="20"/>
        </w:rPr>
        <w:t xml:space="preserve"> es evidente en la respuesta, que no se clasificó información que restringiera su acceso, por tanto, no es motivo de inconformidad al no encontrarse en ese supuesto.</w:t>
      </w:r>
    </w:p>
    <w:p w14:paraId="67BFBEAD"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Además, dicha respuesta, la cual fue emitida por el Servidor Público Habilitado competentes debe considerarse y no ponerse en duda, ya que la realizó en el ejercicio de sus atribuciones legales, por lo que, si las unidades administrativas competentes por un lado manifestaron que no se cuenta con registro alguno de la información solicitada en los términos requeridos, máxime que realizó una búsqueda exhaustiva y razonable; sirve de apoyo las siguientes tesis:</w:t>
      </w:r>
    </w:p>
    <w:p w14:paraId="4202D408" w14:textId="77777777" w:rsidR="00AF7AC4" w:rsidRPr="000C51A4" w:rsidRDefault="00AF7AC4" w:rsidP="00220A9B">
      <w:pPr>
        <w:spacing w:line="360" w:lineRule="auto"/>
        <w:ind w:left="567" w:right="539"/>
        <w:contextualSpacing/>
        <w:rPr>
          <w:i/>
          <w:color w:val="auto"/>
          <w:sz w:val="20"/>
          <w:szCs w:val="20"/>
        </w:rPr>
      </w:pPr>
      <w:r w:rsidRPr="000C51A4">
        <w:rPr>
          <w:b/>
          <w:bCs/>
          <w:i/>
          <w:color w:val="auto"/>
          <w:sz w:val="20"/>
          <w:szCs w:val="20"/>
        </w:rPr>
        <w:t>Tesis aislada 813264</w:t>
      </w:r>
      <w:r w:rsidRPr="000C51A4">
        <w:rPr>
          <w:i/>
          <w:color w:val="auto"/>
          <w:sz w:val="20"/>
          <w:szCs w:val="20"/>
        </w:rPr>
        <w:t>:</w:t>
      </w:r>
    </w:p>
    <w:p w14:paraId="018D00F1" w14:textId="77777777" w:rsidR="00AF7AC4" w:rsidRPr="000C51A4" w:rsidRDefault="00AF7AC4" w:rsidP="00220A9B">
      <w:pPr>
        <w:spacing w:line="360" w:lineRule="auto"/>
        <w:ind w:left="1134" w:right="539"/>
        <w:contextualSpacing/>
        <w:rPr>
          <w:b/>
          <w:bCs/>
          <w:i/>
          <w:iCs/>
          <w:color w:val="auto"/>
          <w:sz w:val="20"/>
          <w:szCs w:val="20"/>
        </w:rPr>
      </w:pPr>
      <w:r w:rsidRPr="000C51A4">
        <w:rPr>
          <w:b/>
          <w:bCs/>
          <w:i/>
          <w:iCs/>
          <w:color w:val="auto"/>
          <w:sz w:val="20"/>
          <w:szCs w:val="20"/>
        </w:rPr>
        <w:t>“CODIGO FISCAL. ES INDEBIDO EXIGIR PRUEBA DE HECHOS NEGATIVOS CONTRA PRESUNCION DE VALIDEZ.</w:t>
      </w:r>
    </w:p>
    <w:p w14:paraId="1969BC59" w14:textId="77777777" w:rsidR="00AF7AC4" w:rsidRPr="000C51A4" w:rsidRDefault="00AF7AC4" w:rsidP="00220A9B">
      <w:pPr>
        <w:spacing w:line="360" w:lineRule="auto"/>
        <w:ind w:left="1134" w:right="539"/>
        <w:contextualSpacing/>
        <w:rPr>
          <w:i/>
          <w:iCs/>
          <w:color w:val="auto"/>
          <w:sz w:val="20"/>
          <w:szCs w:val="20"/>
        </w:rPr>
      </w:pPr>
      <w:r w:rsidRPr="000C51A4">
        <w:rPr>
          <w:i/>
          <w:iCs/>
          <w:color w:val="auto"/>
          <w:sz w:val="20"/>
          <w:szCs w:val="20"/>
        </w:rPr>
        <w:t xml:space="preserve">No es verdad que quien alega en su favor la prescripción extintiva esté obligado a demostrar que el término relativo no se suspendió, en virtud de que se está en presencia de un hecho negativo que no es susceptible de comprobación, así que la presunción de validez de que habla el artículo 201, fracción IV, del Código Fiscal de la Federación no puede tener el alcance de exigir a la parte actora que pruebe un hecho negativo. </w:t>
      </w:r>
    </w:p>
    <w:p w14:paraId="086B6EEA"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 xml:space="preserve">Revisión fiscal 193/61/A. Tomás </w:t>
      </w:r>
      <w:proofErr w:type="spellStart"/>
      <w:r w:rsidRPr="000C51A4">
        <w:rPr>
          <w:i/>
          <w:color w:val="auto"/>
          <w:sz w:val="20"/>
          <w:szCs w:val="20"/>
        </w:rPr>
        <w:t>Nogues</w:t>
      </w:r>
      <w:proofErr w:type="spellEnd"/>
      <w:r w:rsidRPr="000C51A4">
        <w:rPr>
          <w:i/>
          <w:color w:val="auto"/>
          <w:sz w:val="20"/>
          <w:szCs w:val="20"/>
        </w:rPr>
        <w:t xml:space="preserve"> Miranda. 10 de agosto de 1961. Unanimidad de cuatro votos. Ausente: Felipe Tena Ramírez. Ponente: José Rivera Pérez Campos”.</w:t>
      </w:r>
    </w:p>
    <w:p w14:paraId="1C8AB80D"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Tesis aislada de la Segunda Sala de la Suprema Corte de Justicia de la Nación:</w:t>
      </w:r>
    </w:p>
    <w:p w14:paraId="10C38CED" w14:textId="77777777" w:rsidR="00AF7AC4" w:rsidRPr="000C51A4" w:rsidRDefault="00AF7AC4" w:rsidP="00220A9B">
      <w:pPr>
        <w:spacing w:line="360" w:lineRule="auto"/>
        <w:ind w:left="1134" w:right="539"/>
        <w:contextualSpacing/>
        <w:rPr>
          <w:b/>
          <w:bCs/>
          <w:i/>
          <w:iCs/>
          <w:color w:val="auto"/>
          <w:sz w:val="20"/>
          <w:szCs w:val="20"/>
        </w:rPr>
      </w:pPr>
      <w:r w:rsidRPr="000C51A4">
        <w:rPr>
          <w:b/>
          <w:bCs/>
          <w:i/>
          <w:iCs/>
          <w:color w:val="auto"/>
          <w:sz w:val="20"/>
          <w:szCs w:val="20"/>
        </w:rPr>
        <w:t>“HECHOS NEGATIVOS, NO SON SUSCEPTIBLES DE DEMOSTRACION.</w:t>
      </w:r>
    </w:p>
    <w:p w14:paraId="390212CA" w14:textId="77777777" w:rsidR="00AF7AC4" w:rsidRPr="000C51A4" w:rsidRDefault="00AF7AC4" w:rsidP="00220A9B">
      <w:pPr>
        <w:spacing w:line="360" w:lineRule="auto"/>
        <w:ind w:left="1134" w:right="539"/>
        <w:contextualSpacing/>
        <w:rPr>
          <w:i/>
          <w:iCs/>
          <w:color w:val="auto"/>
          <w:sz w:val="20"/>
          <w:szCs w:val="20"/>
        </w:rPr>
      </w:pPr>
      <w:r w:rsidRPr="000C51A4">
        <w:rPr>
          <w:i/>
          <w:iCs/>
          <w:color w:val="auto"/>
          <w:sz w:val="20"/>
          <w:szCs w:val="20"/>
        </w:rPr>
        <w:t>Tratándose de un hecho negativo, el Juez no tiene por qué invocar prueba alguna de la que se desprenda, ya que es bien sabido que esta clase de hechos no son susceptibles de demostración.</w:t>
      </w:r>
    </w:p>
    <w:p w14:paraId="1F97916F" w14:textId="77777777" w:rsidR="00AF7AC4" w:rsidRPr="000C51A4" w:rsidRDefault="00AF7AC4" w:rsidP="00220A9B">
      <w:pPr>
        <w:spacing w:line="360" w:lineRule="auto"/>
        <w:ind w:left="1134" w:right="539"/>
        <w:contextualSpacing/>
        <w:rPr>
          <w:i/>
          <w:iCs/>
          <w:color w:val="auto"/>
          <w:sz w:val="20"/>
          <w:szCs w:val="20"/>
        </w:rPr>
      </w:pPr>
      <w:r w:rsidRPr="000C51A4">
        <w:rPr>
          <w:i/>
          <w:iCs/>
          <w:color w:val="auto"/>
          <w:sz w:val="20"/>
          <w:szCs w:val="20"/>
        </w:rPr>
        <w:t>Amparo en revisión 2022/61. José García Florín (Menor). 9 de octubre de 1961. Cinco votos. Ponente: José Rivera Pérez Campos.</w:t>
      </w:r>
    </w:p>
    <w:p w14:paraId="14B31A68" w14:textId="77777777" w:rsidR="00AF7AC4" w:rsidRPr="000C51A4" w:rsidRDefault="00AF7AC4" w:rsidP="00220A9B">
      <w:pPr>
        <w:spacing w:line="360" w:lineRule="auto"/>
        <w:ind w:left="1134" w:right="539"/>
        <w:contextualSpacing/>
        <w:rPr>
          <w:i/>
          <w:iCs/>
          <w:color w:val="auto"/>
          <w:sz w:val="20"/>
          <w:szCs w:val="20"/>
        </w:rPr>
      </w:pPr>
      <w:r w:rsidRPr="000C51A4">
        <w:rPr>
          <w:i/>
          <w:iCs/>
          <w:color w:val="auto"/>
          <w:sz w:val="20"/>
          <w:szCs w:val="20"/>
        </w:rPr>
        <w:t>Nota: Esta tesis fue objeto de la denuncia relativa a la contradicción de criterios 176/2022 en la Suprema Corte de Justicia de la Nación, desechada por notoriamente improcedente, mediante acuerdo de presidencia de 20 de junio de 2022”.</w:t>
      </w:r>
    </w:p>
    <w:p w14:paraId="3608BB68" w14:textId="77777777"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lastRenderedPageBreak/>
        <w:t xml:space="preserve">Tesis asilada VI.2o.A.32 </w:t>
      </w:r>
      <w:proofErr w:type="gramStart"/>
      <w:r w:rsidRPr="000C51A4">
        <w:rPr>
          <w:i/>
          <w:color w:val="auto"/>
          <w:sz w:val="20"/>
          <w:szCs w:val="20"/>
        </w:rPr>
        <w:t>A</w:t>
      </w:r>
      <w:proofErr w:type="gramEnd"/>
      <w:r w:rsidRPr="000C51A4">
        <w:rPr>
          <w:i/>
          <w:color w:val="auto"/>
          <w:sz w:val="20"/>
          <w:szCs w:val="20"/>
        </w:rPr>
        <w:t xml:space="preserve"> del segundo tribunal colegiado en materia administrativa del sexto circuito:</w:t>
      </w:r>
    </w:p>
    <w:p w14:paraId="080A6465" w14:textId="77777777" w:rsidR="00AF7AC4" w:rsidRPr="000C51A4" w:rsidRDefault="00AF7AC4" w:rsidP="00220A9B">
      <w:pPr>
        <w:spacing w:line="360" w:lineRule="auto"/>
        <w:ind w:left="1134" w:right="539"/>
        <w:contextualSpacing/>
        <w:rPr>
          <w:b/>
          <w:bCs/>
          <w:i/>
          <w:iCs/>
          <w:color w:val="auto"/>
          <w:sz w:val="20"/>
          <w:szCs w:val="20"/>
        </w:rPr>
      </w:pPr>
      <w:r w:rsidRPr="000C51A4">
        <w:rPr>
          <w:b/>
          <w:bCs/>
          <w:i/>
          <w:iCs/>
          <w:color w:val="auto"/>
          <w:sz w:val="20"/>
          <w:szCs w:val="20"/>
        </w:rPr>
        <w:t>“HECHOS NEGATIVOS. EL ARTÍCULO 59, FRACCIÓN III, DEL CÓDIGO FISCAL DE LA FEDERACIÓN, NO ESTABLECE LA OBLIGACIÓN DE DEMOSTRARLOS.</w:t>
      </w:r>
    </w:p>
    <w:p w14:paraId="11BA217B" w14:textId="77777777" w:rsidR="00AF7AC4" w:rsidRPr="000C51A4" w:rsidRDefault="00AF7AC4" w:rsidP="00220A9B">
      <w:pPr>
        <w:spacing w:line="360" w:lineRule="auto"/>
        <w:ind w:left="1134" w:right="539"/>
        <w:contextualSpacing/>
        <w:rPr>
          <w:i/>
          <w:iCs/>
          <w:color w:val="auto"/>
          <w:sz w:val="20"/>
          <w:szCs w:val="20"/>
        </w:rPr>
      </w:pPr>
    </w:p>
    <w:p w14:paraId="2CA3144C" w14:textId="77777777" w:rsidR="00AF7AC4" w:rsidRPr="000C51A4" w:rsidRDefault="00AF7AC4" w:rsidP="00220A9B">
      <w:pPr>
        <w:spacing w:line="360" w:lineRule="auto"/>
        <w:ind w:left="1134" w:right="539"/>
        <w:contextualSpacing/>
        <w:rPr>
          <w:i/>
          <w:iCs/>
          <w:color w:val="auto"/>
          <w:sz w:val="20"/>
          <w:szCs w:val="20"/>
        </w:rPr>
      </w:pPr>
      <w:r w:rsidRPr="000C51A4">
        <w:rPr>
          <w:i/>
          <w:iCs/>
          <w:color w:val="auto"/>
          <w:sz w:val="20"/>
          <w:szCs w:val="20"/>
        </w:rPr>
        <w:t>Del estudio lógico-jurídico del artículo </w:t>
      </w:r>
      <w:hyperlink r:id="rId12" w:history="1">
        <w:r w:rsidRPr="000C51A4">
          <w:rPr>
            <w:rStyle w:val="Hipervnculo"/>
            <w:b/>
            <w:bCs/>
            <w:i/>
            <w:iCs/>
            <w:color w:val="auto"/>
            <w:sz w:val="20"/>
            <w:szCs w:val="20"/>
          </w:rPr>
          <w:t>59, fracción III, del Código Fiscal de la Federación</w:t>
        </w:r>
      </w:hyperlink>
      <w:r w:rsidRPr="000C51A4">
        <w:rPr>
          <w:i/>
          <w:iCs/>
          <w:color w:val="auto"/>
          <w:sz w:val="20"/>
          <w:szCs w:val="20"/>
        </w:rPr>
        <w:t xml:space="preserve">, se llega a la conclusión de que dicho numeral no obliga en ningún momento a los contribuyentes a probar o demostrar la existencia de un hecho negativo, puesto que dispone que se presumirán ingresos por los que deban pagar contribuciones, los depósitos bancarios que no correspondan a sus registros de contabilidad que estén obligados a llevar, estableciendo una salvedad, consistente en que la facultad de presunción con que cuenta la autoridad hacendaria a que se hace alusión en el artículo en comento, pueda ser desvirtuada mediante las pruebas que en su caso </w:t>
      </w:r>
    </w:p>
    <w:p w14:paraId="074E6C53" w14:textId="77777777" w:rsidR="00AF7AC4" w:rsidRPr="000C51A4" w:rsidRDefault="00AF7AC4" w:rsidP="00220A9B">
      <w:pPr>
        <w:spacing w:line="360" w:lineRule="auto"/>
        <w:ind w:left="1134" w:right="539"/>
        <w:contextualSpacing/>
        <w:rPr>
          <w:i/>
          <w:iCs/>
          <w:color w:val="auto"/>
          <w:sz w:val="20"/>
          <w:szCs w:val="20"/>
        </w:rPr>
      </w:pPr>
      <w:proofErr w:type="gramStart"/>
      <w:r w:rsidRPr="000C51A4">
        <w:rPr>
          <w:i/>
          <w:iCs/>
          <w:color w:val="auto"/>
          <w:sz w:val="20"/>
          <w:szCs w:val="20"/>
        </w:rPr>
        <w:t>exhiba</w:t>
      </w:r>
      <w:proofErr w:type="gramEnd"/>
      <w:r w:rsidRPr="000C51A4">
        <w:rPr>
          <w:i/>
          <w:iCs/>
          <w:color w:val="auto"/>
          <w:sz w:val="20"/>
          <w:szCs w:val="20"/>
        </w:rPr>
        <w:t xml:space="preserve"> el particular, lo cual implica la prueba de un hecho positivo, en cuanto que se trata de documentos propios (cuentas bancarias) del contribuyente visitado”.</w:t>
      </w:r>
    </w:p>
    <w:p w14:paraId="669E4EEB" w14:textId="237A7D4D" w:rsidR="00AF7AC4" w:rsidRPr="000C51A4" w:rsidRDefault="00AF7AC4" w:rsidP="00220A9B">
      <w:pPr>
        <w:spacing w:line="360" w:lineRule="auto"/>
        <w:ind w:left="567" w:right="539"/>
        <w:contextualSpacing/>
        <w:rPr>
          <w:i/>
          <w:color w:val="auto"/>
          <w:sz w:val="20"/>
          <w:szCs w:val="20"/>
        </w:rPr>
      </w:pPr>
      <w:r w:rsidRPr="000C51A4">
        <w:rPr>
          <w:i/>
          <w:color w:val="auto"/>
          <w:sz w:val="20"/>
          <w:szCs w:val="20"/>
        </w:rPr>
        <w:t xml:space="preserve">En conclusión, con base en las consideraciones expuestas, se ratifica la respuesta otorgada a través del </w:t>
      </w:r>
      <w:r w:rsidR="00244DE6">
        <w:rPr>
          <w:i/>
          <w:color w:val="auto"/>
          <w:sz w:val="20"/>
          <w:szCs w:val="20"/>
        </w:rPr>
        <w:t>SAIMEX</w:t>
      </w:r>
      <w:r w:rsidRPr="000C51A4">
        <w:rPr>
          <w:i/>
          <w:color w:val="auto"/>
          <w:sz w:val="20"/>
          <w:szCs w:val="20"/>
        </w:rPr>
        <w:t xml:space="preserve">, por medio de la Dirección de Vinculación Interinstitucional de la Secretaría Ejecutiva del Sistema Estatal Anticorrupción a la solicitud de información número 01002/SESEA/IP/2024. </w:t>
      </w:r>
    </w:p>
    <w:p w14:paraId="624671FF" w14:textId="77777777" w:rsidR="00AF7AC4" w:rsidRPr="000C51A4" w:rsidRDefault="00AF7AC4" w:rsidP="00220A9B">
      <w:pPr>
        <w:spacing w:line="360" w:lineRule="auto"/>
        <w:ind w:left="567" w:right="539"/>
        <w:contextualSpacing/>
        <w:jc w:val="center"/>
        <w:rPr>
          <w:b/>
          <w:i/>
          <w:color w:val="auto"/>
          <w:sz w:val="20"/>
          <w:szCs w:val="20"/>
        </w:rPr>
      </w:pPr>
      <w:r w:rsidRPr="000C51A4">
        <w:rPr>
          <w:b/>
          <w:i/>
          <w:color w:val="auto"/>
          <w:sz w:val="20"/>
          <w:szCs w:val="20"/>
        </w:rPr>
        <w:t>PRUEBAS</w:t>
      </w:r>
    </w:p>
    <w:p w14:paraId="439041AB" w14:textId="77777777" w:rsidR="00AF7AC4" w:rsidRPr="000C51A4" w:rsidRDefault="00AF7AC4" w:rsidP="00220A9B">
      <w:pPr>
        <w:spacing w:line="360" w:lineRule="auto"/>
        <w:ind w:left="567" w:right="539"/>
        <w:contextualSpacing/>
        <w:rPr>
          <w:i/>
          <w:color w:val="auto"/>
          <w:sz w:val="20"/>
          <w:szCs w:val="20"/>
          <w:lang w:val="es-ES"/>
        </w:rPr>
      </w:pPr>
      <w:r w:rsidRPr="000C51A4">
        <w:rPr>
          <w:i/>
          <w:color w:val="auto"/>
          <w:sz w:val="20"/>
          <w:szCs w:val="20"/>
          <w:lang w:val="es-ES"/>
        </w:rPr>
        <w:t xml:space="preserve">En términos de lo dispuesto por el artículo 185 fracción IV de la Ley de Transparencia y Acceso a la Información Pública del Estado de México y Municipios, se ofrece como prueba instrumental de actuaciones, consistente en las constancias que integran el expediente de solicitud de información pública 01002/SESEA/IP/2024, así como del Recurso de Revisión 06986/INFOEM/IP/RR/2024. </w:t>
      </w:r>
    </w:p>
    <w:p w14:paraId="10340488" w14:textId="77777777" w:rsidR="00AF7AC4" w:rsidRPr="000C51A4" w:rsidRDefault="00AF7AC4" w:rsidP="00220A9B">
      <w:pPr>
        <w:spacing w:line="360" w:lineRule="auto"/>
        <w:ind w:left="567" w:right="539"/>
        <w:contextualSpacing/>
        <w:rPr>
          <w:i/>
          <w:color w:val="auto"/>
          <w:sz w:val="20"/>
          <w:szCs w:val="20"/>
          <w:lang w:val="es-ES"/>
        </w:rPr>
      </w:pPr>
      <w:r w:rsidRPr="000C51A4">
        <w:rPr>
          <w:i/>
          <w:color w:val="auto"/>
          <w:sz w:val="20"/>
          <w:szCs w:val="20"/>
          <w:lang w:val="es-ES"/>
        </w:rPr>
        <w:t>Por lo antes expuesto y fundado, a Usted C. Comisionado, atentamente pido:</w:t>
      </w:r>
    </w:p>
    <w:p w14:paraId="369E8CDB" w14:textId="77777777" w:rsidR="00AF7AC4" w:rsidRPr="000C51A4" w:rsidRDefault="00AF7AC4" w:rsidP="00220A9B">
      <w:pPr>
        <w:spacing w:line="360" w:lineRule="auto"/>
        <w:ind w:left="567" w:right="539"/>
        <w:contextualSpacing/>
        <w:rPr>
          <w:i/>
          <w:color w:val="auto"/>
          <w:sz w:val="20"/>
          <w:szCs w:val="20"/>
          <w:lang w:val="es-ES"/>
        </w:rPr>
      </w:pPr>
      <w:r w:rsidRPr="000C51A4">
        <w:rPr>
          <w:b/>
          <w:i/>
          <w:color w:val="auto"/>
          <w:sz w:val="20"/>
          <w:szCs w:val="20"/>
          <w:lang w:val="es-ES"/>
        </w:rPr>
        <w:lastRenderedPageBreak/>
        <w:t xml:space="preserve">Primero. </w:t>
      </w:r>
      <w:r w:rsidRPr="000C51A4">
        <w:rPr>
          <w:i/>
          <w:color w:val="auto"/>
          <w:sz w:val="20"/>
          <w:szCs w:val="20"/>
          <w:lang w:val="es-ES"/>
        </w:rPr>
        <w:t>Tener por presentado en términos de ley del presente informe, por hechas las manifestaciones y ofrecidas las pruebas que corresponden a la Secretaría Ejecutiva del Sistema Estatal Anticorrupción en el Recurso de Revisión 06991/INFOEM/IP/RR/2024.</w:t>
      </w:r>
    </w:p>
    <w:p w14:paraId="7B8E70EA" w14:textId="77777777" w:rsidR="00AF7AC4" w:rsidRPr="000C51A4" w:rsidRDefault="00AF7AC4" w:rsidP="00220A9B">
      <w:pPr>
        <w:spacing w:line="360" w:lineRule="auto"/>
        <w:ind w:left="567" w:right="539"/>
        <w:contextualSpacing/>
        <w:rPr>
          <w:i/>
          <w:color w:val="auto"/>
          <w:sz w:val="20"/>
          <w:szCs w:val="20"/>
        </w:rPr>
      </w:pPr>
      <w:r w:rsidRPr="000C51A4">
        <w:rPr>
          <w:b/>
          <w:i/>
          <w:color w:val="auto"/>
          <w:sz w:val="20"/>
          <w:szCs w:val="20"/>
        </w:rPr>
        <w:t xml:space="preserve">Segundo. </w:t>
      </w:r>
      <w:r w:rsidRPr="000C51A4">
        <w:rPr>
          <w:i/>
          <w:color w:val="auto"/>
          <w:sz w:val="20"/>
          <w:szCs w:val="20"/>
        </w:rPr>
        <w:t>Previos los trámites de ley, se deseche por improcedente el recurso de revisión, por las razones de hecho y de derecho que se hacen valer en el presente informe o, en su caso se sobresea por actualizarse causal de improcedencia posterior a la admisión del medio de impugnación.</w:t>
      </w:r>
    </w:p>
    <w:p w14:paraId="228ECC87" w14:textId="77777777" w:rsidR="00B41360" w:rsidRPr="000C51A4" w:rsidRDefault="00B41360" w:rsidP="00220A9B">
      <w:pPr>
        <w:spacing w:line="360" w:lineRule="auto"/>
        <w:ind w:left="567" w:right="539"/>
        <w:contextualSpacing/>
        <w:rPr>
          <w:i/>
          <w:color w:val="auto"/>
          <w:sz w:val="20"/>
          <w:szCs w:val="20"/>
        </w:rPr>
      </w:pPr>
      <w:r w:rsidRPr="000C51A4">
        <w:rPr>
          <w:i/>
          <w:color w:val="auto"/>
          <w:sz w:val="20"/>
          <w:szCs w:val="20"/>
        </w:rPr>
        <w:t>…”</w:t>
      </w:r>
    </w:p>
    <w:p w14:paraId="5B4912E9" w14:textId="77777777" w:rsidR="00B41360" w:rsidRPr="000C51A4" w:rsidRDefault="00B41360" w:rsidP="00220A9B">
      <w:pPr>
        <w:spacing w:line="360" w:lineRule="auto"/>
        <w:ind w:right="539"/>
        <w:contextualSpacing/>
        <w:rPr>
          <w:rFonts w:eastAsia="Batang" w:cs="Tahoma"/>
          <w:bCs/>
          <w:i/>
          <w:iCs/>
          <w:color w:val="auto"/>
          <w:lang w:val="es-ES_tradnl"/>
        </w:rPr>
      </w:pPr>
    </w:p>
    <w:p w14:paraId="1D675382" w14:textId="1C774D06" w:rsidR="00B41360" w:rsidRPr="000C51A4" w:rsidRDefault="00B41360" w:rsidP="00220A9B">
      <w:pPr>
        <w:spacing w:line="360" w:lineRule="auto"/>
        <w:contextualSpacing/>
        <w:rPr>
          <w:rFonts w:cs="Tahoma"/>
          <w:color w:val="auto"/>
        </w:rPr>
      </w:pPr>
      <w:r w:rsidRPr="000C51A4">
        <w:rPr>
          <w:rFonts w:cs="Tahoma"/>
          <w:b/>
          <w:color w:val="auto"/>
        </w:rPr>
        <w:t>e). Vista del Informe Justificado</w:t>
      </w:r>
      <w:r w:rsidRPr="000C51A4">
        <w:rPr>
          <w:rFonts w:cs="Tahoma"/>
          <w:color w:val="auto"/>
        </w:rPr>
        <w:t xml:space="preserve">. El veinticinco de noviembre de dos mil veinticuatro, se dictó acuerdo mediante el cual se puso a la vista del Particular, el Informe Justificado, el cual le fue notificado, en esa misma fecha, a través del </w:t>
      </w:r>
      <w:r w:rsidR="00244DE6">
        <w:rPr>
          <w:rFonts w:cs="Tahoma"/>
          <w:color w:val="auto"/>
        </w:rPr>
        <w:t>SAIMEX</w:t>
      </w:r>
      <w:r w:rsidRPr="000C51A4">
        <w:rPr>
          <w:rFonts w:cs="Tahoma"/>
          <w:color w:val="auto"/>
        </w:rPr>
        <w:t>. No obstante, lo anterior, el Recurrente omitió realizar manifestación alguna que a su derecho conviniera y asistiera.</w:t>
      </w:r>
    </w:p>
    <w:p w14:paraId="1FFB540E" w14:textId="77777777" w:rsidR="00343495" w:rsidRPr="000C51A4" w:rsidRDefault="00343495" w:rsidP="00220A9B">
      <w:pPr>
        <w:spacing w:after="0" w:line="360" w:lineRule="auto"/>
        <w:contextualSpacing/>
        <w:rPr>
          <w:rFonts w:cs="Tahoma"/>
          <w:b/>
          <w:color w:val="auto"/>
        </w:rPr>
      </w:pPr>
    </w:p>
    <w:p w14:paraId="07D46EE9" w14:textId="56C0CCA3" w:rsidR="008F4B45" w:rsidRPr="000C51A4" w:rsidRDefault="00B41360" w:rsidP="00220A9B">
      <w:pPr>
        <w:spacing w:after="0" w:line="360" w:lineRule="auto"/>
        <w:contextualSpacing/>
        <w:rPr>
          <w:rFonts w:cs="Tahoma"/>
          <w:color w:val="auto"/>
        </w:rPr>
      </w:pPr>
      <w:r w:rsidRPr="000C51A4">
        <w:rPr>
          <w:rFonts w:cs="Tahoma"/>
          <w:b/>
          <w:color w:val="auto"/>
        </w:rPr>
        <w:t>f</w:t>
      </w:r>
      <w:r w:rsidR="000553B4" w:rsidRPr="000C51A4">
        <w:rPr>
          <w:rFonts w:cs="Tahoma"/>
          <w:b/>
          <w:color w:val="auto"/>
        </w:rPr>
        <w:t xml:space="preserve">) </w:t>
      </w:r>
      <w:r w:rsidR="0063734D" w:rsidRPr="000C51A4">
        <w:rPr>
          <w:rFonts w:cs="Tahoma"/>
          <w:b/>
          <w:color w:val="auto"/>
        </w:rPr>
        <w:t>Cierre de instrucción.</w:t>
      </w:r>
      <w:r w:rsidR="00763D85" w:rsidRPr="000C51A4">
        <w:rPr>
          <w:rFonts w:cs="Tahoma"/>
          <w:b/>
          <w:color w:val="auto"/>
        </w:rPr>
        <w:t xml:space="preserve"> </w:t>
      </w:r>
      <w:r w:rsidR="008F4B45" w:rsidRPr="000C51A4">
        <w:rPr>
          <w:rFonts w:cs="Tahoma"/>
          <w:color w:val="auto"/>
        </w:rPr>
        <w:t xml:space="preserve">El </w:t>
      </w:r>
      <w:r w:rsidRPr="000C51A4">
        <w:rPr>
          <w:rFonts w:cs="Tahoma"/>
          <w:color w:val="auto"/>
        </w:rPr>
        <w:t>dos de diciembre</w:t>
      </w:r>
      <w:r w:rsidR="000307EE" w:rsidRPr="000C51A4">
        <w:rPr>
          <w:rFonts w:cs="Tahoma"/>
          <w:color w:val="auto"/>
        </w:rPr>
        <w:t xml:space="preserve"> </w:t>
      </w:r>
      <w:r w:rsidR="008F4B45" w:rsidRPr="000C51A4">
        <w:rPr>
          <w:rFonts w:cs="Tahoma"/>
          <w:color w:val="auto"/>
        </w:rPr>
        <w:t xml:space="preserve">de dos mil </w:t>
      </w:r>
      <w:r w:rsidR="00CE1FC5" w:rsidRPr="000C51A4">
        <w:rPr>
          <w:rFonts w:cs="Tahoma"/>
          <w:color w:val="auto"/>
        </w:rPr>
        <w:t>veinticuatro</w:t>
      </w:r>
      <w:r w:rsidR="008F4B45" w:rsidRPr="000C51A4">
        <w:rPr>
          <w:rFonts w:cs="Tahoma"/>
          <w:color w:val="auto"/>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w:t>
      </w:r>
      <w:r w:rsidR="00244DE6">
        <w:rPr>
          <w:rFonts w:cs="Tahoma"/>
          <w:color w:val="auto"/>
        </w:rPr>
        <w:t>SAIMEX</w:t>
      </w:r>
      <w:r w:rsidR="008F4B45" w:rsidRPr="000C51A4">
        <w:rPr>
          <w:rFonts w:cs="Tahoma"/>
          <w:color w:val="auto"/>
        </w:rPr>
        <w:t xml:space="preserve">. </w:t>
      </w:r>
    </w:p>
    <w:p w14:paraId="7BAFA19B" w14:textId="77777777" w:rsidR="00471DA8" w:rsidRPr="000C51A4" w:rsidRDefault="00471DA8" w:rsidP="00220A9B">
      <w:pPr>
        <w:spacing w:after="0" w:line="360" w:lineRule="auto"/>
        <w:contextualSpacing/>
        <w:rPr>
          <w:rFonts w:cs="Tahoma"/>
          <w:b/>
          <w:color w:val="auto"/>
        </w:rPr>
      </w:pPr>
    </w:p>
    <w:p w14:paraId="1BD7A3A8" w14:textId="77777777" w:rsidR="008F4B45" w:rsidRPr="000C51A4" w:rsidRDefault="008F4B45" w:rsidP="00220A9B">
      <w:pPr>
        <w:spacing w:after="0" w:line="360" w:lineRule="auto"/>
        <w:contextualSpacing/>
        <w:rPr>
          <w:rFonts w:cs="Tahoma"/>
          <w:color w:val="auto"/>
        </w:rPr>
      </w:pPr>
      <w:r w:rsidRPr="000C51A4">
        <w:rPr>
          <w:rFonts w:cs="Tahoma"/>
          <w:color w:val="auto"/>
        </w:rPr>
        <w:t xml:space="preserve">En razón de que fue debidamente sustanciado el expediente electrónico y no existe diligencia pendiente de desahogo, se emite la Resolución que conforme a Derecho proceda, de acuerdo con los siguientes: </w:t>
      </w:r>
    </w:p>
    <w:p w14:paraId="3AAE30AF" w14:textId="77777777" w:rsidR="003F5E0D" w:rsidRPr="000C51A4" w:rsidRDefault="003F5E0D" w:rsidP="00220A9B">
      <w:pPr>
        <w:spacing w:after="0" w:line="360" w:lineRule="auto"/>
        <w:contextualSpacing/>
        <w:rPr>
          <w:rFonts w:cs="Tahoma"/>
          <w:color w:val="auto"/>
        </w:rPr>
      </w:pPr>
    </w:p>
    <w:p w14:paraId="478E7C72" w14:textId="312A786D" w:rsidR="008F4B45" w:rsidRPr="000C51A4" w:rsidRDefault="008F4B45" w:rsidP="00220A9B">
      <w:pPr>
        <w:spacing w:after="0" w:line="360" w:lineRule="auto"/>
        <w:contextualSpacing/>
        <w:jc w:val="center"/>
        <w:rPr>
          <w:rFonts w:cs="Tahoma"/>
          <w:b/>
          <w:color w:val="auto"/>
        </w:rPr>
      </w:pPr>
      <w:r w:rsidRPr="000C51A4">
        <w:rPr>
          <w:rFonts w:cs="Tahoma"/>
          <w:b/>
          <w:color w:val="auto"/>
        </w:rPr>
        <w:t>C</w:t>
      </w:r>
      <w:r w:rsidR="00861107" w:rsidRPr="000C51A4">
        <w:rPr>
          <w:rFonts w:cs="Tahoma"/>
          <w:b/>
          <w:color w:val="auto"/>
        </w:rPr>
        <w:t xml:space="preserve"> </w:t>
      </w:r>
      <w:r w:rsidRPr="000C51A4">
        <w:rPr>
          <w:rFonts w:cs="Tahoma"/>
          <w:b/>
          <w:color w:val="auto"/>
        </w:rPr>
        <w:t>O</w:t>
      </w:r>
      <w:r w:rsidR="00861107" w:rsidRPr="000C51A4">
        <w:rPr>
          <w:rFonts w:cs="Tahoma"/>
          <w:b/>
          <w:color w:val="auto"/>
        </w:rPr>
        <w:t xml:space="preserve"> </w:t>
      </w:r>
      <w:r w:rsidRPr="000C51A4">
        <w:rPr>
          <w:rFonts w:cs="Tahoma"/>
          <w:b/>
          <w:color w:val="auto"/>
        </w:rPr>
        <w:t>N</w:t>
      </w:r>
      <w:r w:rsidR="00861107" w:rsidRPr="000C51A4">
        <w:rPr>
          <w:rFonts w:cs="Tahoma"/>
          <w:b/>
          <w:color w:val="auto"/>
        </w:rPr>
        <w:t xml:space="preserve"> </w:t>
      </w:r>
      <w:r w:rsidRPr="000C51A4">
        <w:rPr>
          <w:rFonts w:cs="Tahoma"/>
          <w:b/>
          <w:color w:val="auto"/>
        </w:rPr>
        <w:t>S</w:t>
      </w:r>
      <w:r w:rsidR="00861107" w:rsidRPr="000C51A4">
        <w:rPr>
          <w:rFonts w:cs="Tahoma"/>
          <w:b/>
          <w:color w:val="auto"/>
        </w:rPr>
        <w:t xml:space="preserve"> </w:t>
      </w:r>
      <w:r w:rsidRPr="000C51A4">
        <w:rPr>
          <w:rFonts w:cs="Tahoma"/>
          <w:b/>
          <w:color w:val="auto"/>
        </w:rPr>
        <w:t>I</w:t>
      </w:r>
      <w:r w:rsidR="00861107" w:rsidRPr="000C51A4">
        <w:rPr>
          <w:rFonts w:cs="Tahoma"/>
          <w:b/>
          <w:color w:val="auto"/>
        </w:rPr>
        <w:t xml:space="preserve"> </w:t>
      </w:r>
      <w:r w:rsidRPr="000C51A4">
        <w:rPr>
          <w:rFonts w:cs="Tahoma"/>
          <w:b/>
          <w:color w:val="auto"/>
        </w:rPr>
        <w:t>D</w:t>
      </w:r>
      <w:r w:rsidR="00861107" w:rsidRPr="000C51A4">
        <w:rPr>
          <w:rFonts w:cs="Tahoma"/>
          <w:b/>
          <w:color w:val="auto"/>
        </w:rPr>
        <w:t xml:space="preserve"> </w:t>
      </w:r>
      <w:r w:rsidRPr="000C51A4">
        <w:rPr>
          <w:rFonts w:cs="Tahoma"/>
          <w:b/>
          <w:color w:val="auto"/>
        </w:rPr>
        <w:t>E</w:t>
      </w:r>
      <w:r w:rsidR="00861107" w:rsidRPr="000C51A4">
        <w:rPr>
          <w:rFonts w:cs="Tahoma"/>
          <w:b/>
          <w:color w:val="auto"/>
        </w:rPr>
        <w:t xml:space="preserve"> </w:t>
      </w:r>
      <w:r w:rsidRPr="000C51A4">
        <w:rPr>
          <w:rFonts w:cs="Tahoma"/>
          <w:b/>
          <w:color w:val="auto"/>
        </w:rPr>
        <w:t>R</w:t>
      </w:r>
      <w:r w:rsidR="00861107" w:rsidRPr="000C51A4">
        <w:rPr>
          <w:rFonts w:cs="Tahoma"/>
          <w:b/>
          <w:color w:val="auto"/>
        </w:rPr>
        <w:t xml:space="preserve"> </w:t>
      </w:r>
      <w:r w:rsidRPr="000C51A4">
        <w:rPr>
          <w:rFonts w:cs="Tahoma"/>
          <w:b/>
          <w:color w:val="auto"/>
        </w:rPr>
        <w:t>A</w:t>
      </w:r>
      <w:r w:rsidR="00861107" w:rsidRPr="000C51A4">
        <w:rPr>
          <w:rFonts w:cs="Tahoma"/>
          <w:b/>
          <w:color w:val="auto"/>
        </w:rPr>
        <w:t xml:space="preserve"> </w:t>
      </w:r>
      <w:r w:rsidRPr="000C51A4">
        <w:rPr>
          <w:rFonts w:cs="Tahoma"/>
          <w:b/>
          <w:color w:val="auto"/>
        </w:rPr>
        <w:t>N</w:t>
      </w:r>
      <w:r w:rsidR="00861107" w:rsidRPr="000C51A4">
        <w:rPr>
          <w:rFonts w:cs="Tahoma"/>
          <w:b/>
          <w:color w:val="auto"/>
        </w:rPr>
        <w:t xml:space="preserve"> </w:t>
      </w:r>
      <w:r w:rsidRPr="000C51A4">
        <w:rPr>
          <w:rFonts w:cs="Tahoma"/>
          <w:b/>
          <w:color w:val="auto"/>
        </w:rPr>
        <w:t>D</w:t>
      </w:r>
      <w:r w:rsidR="00861107" w:rsidRPr="000C51A4">
        <w:rPr>
          <w:rFonts w:cs="Tahoma"/>
          <w:b/>
          <w:color w:val="auto"/>
        </w:rPr>
        <w:t xml:space="preserve"> </w:t>
      </w:r>
      <w:r w:rsidRPr="000C51A4">
        <w:rPr>
          <w:rFonts w:cs="Tahoma"/>
          <w:b/>
          <w:color w:val="auto"/>
        </w:rPr>
        <w:t>O</w:t>
      </w:r>
      <w:r w:rsidR="00861107" w:rsidRPr="000C51A4">
        <w:rPr>
          <w:rFonts w:cs="Tahoma"/>
          <w:b/>
          <w:color w:val="auto"/>
        </w:rPr>
        <w:t xml:space="preserve"> </w:t>
      </w:r>
      <w:r w:rsidR="003F5E0D" w:rsidRPr="000C51A4">
        <w:rPr>
          <w:rFonts w:cs="Tahoma"/>
          <w:b/>
          <w:color w:val="auto"/>
        </w:rPr>
        <w:t>S</w:t>
      </w:r>
    </w:p>
    <w:p w14:paraId="4048F735" w14:textId="77777777" w:rsidR="003F5E0D" w:rsidRPr="000C51A4" w:rsidRDefault="003F5E0D" w:rsidP="00220A9B">
      <w:pPr>
        <w:spacing w:after="0" w:line="360" w:lineRule="auto"/>
        <w:contextualSpacing/>
        <w:rPr>
          <w:rFonts w:cs="Tahoma"/>
          <w:b/>
          <w:color w:val="auto"/>
        </w:rPr>
      </w:pPr>
    </w:p>
    <w:p w14:paraId="4A408545" w14:textId="77777777" w:rsidR="0007186E" w:rsidRPr="000C51A4" w:rsidRDefault="0007186E" w:rsidP="00220A9B">
      <w:pPr>
        <w:autoSpaceDE w:val="0"/>
        <w:autoSpaceDN w:val="0"/>
        <w:adjustRightInd w:val="0"/>
        <w:spacing w:after="0" w:line="360" w:lineRule="auto"/>
        <w:contextualSpacing/>
        <w:rPr>
          <w:rFonts w:cs="Tahoma"/>
          <w:b/>
          <w:color w:val="auto"/>
          <w:szCs w:val="24"/>
        </w:rPr>
      </w:pPr>
      <w:r w:rsidRPr="000C51A4">
        <w:rPr>
          <w:rFonts w:cs="Tahoma"/>
          <w:b/>
          <w:color w:val="auto"/>
          <w:szCs w:val="24"/>
          <w:lang w:eastAsia="es-MX"/>
        </w:rPr>
        <w:lastRenderedPageBreak/>
        <w:t>PRIMERO</w:t>
      </w:r>
      <w:r w:rsidRPr="000C51A4">
        <w:rPr>
          <w:rFonts w:cs="Tahoma"/>
          <w:color w:val="auto"/>
          <w:szCs w:val="24"/>
          <w:lang w:eastAsia="es-MX"/>
        </w:rPr>
        <w:t xml:space="preserve">. </w:t>
      </w:r>
      <w:r w:rsidRPr="000C51A4">
        <w:rPr>
          <w:rFonts w:cs="Tahoma"/>
          <w:b/>
          <w:color w:val="auto"/>
          <w:szCs w:val="24"/>
        </w:rPr>
        <w:t>Competencia</w:t>
      </w:r>
    </w:p>
    <w:p w14:paraId="284579D1" w14:textId="77777777" w:rsidR="0007186E" w:rsidRPr="000C51A4" w:rsidRDefault="0007186E" w:rsidP="00220A9B">
      <w:pPr>
        <w:autoSpaceDE w:val="0"/>
        <w:autoSpaceDN w:val="0"/>
        <w:adjustRightInd w:val="0"/>
        <w:spacing w:after="0" w:line="360" w:lineRule="auto"/>
        <w:contextualSpacing/>
        <w:rPr>
          <w:rFonts w:cs="Tahoma"/>
          <w:b/>
          <w:color w:val="auto"/>
          <w:szCs w:val="24"/>
        </w:rPr>
      </w:pPr>
    </w:p>
    <w:p w14:paraId="0C5F00EC" w14:textId="77777777" w:rsidR="0007186E" w:rsidRPr="000C51A4" w:rsidRDefault="00CE1FC5" w:rsidP="00220A9B">
      <w:pPr>
        <w:spacing w:after="0" w:line="360" w:lineRule="auto"/>
        <w:contextualSpacing/>
        <w:rPr>
          <w:rFonts w:cs="Tahoma"/>
          <w:bCs/>
          <w:color w:val="auto"/>
        </w:rPr>
      </w:pPr>
      <w:bookmarkStart w:id="3" w:name="_Hlk63334754"/>
      <w:r w:rsidRPr="000C51A4">
        <w:rPr>
          <w:rFonts w:cs="Tahoma"/>
          <w:bCs/>
          <w:color w:val="auto"/>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bookmarkEnd w:id="3"/>
    </w:p>
    <w:p w14:paraId="33B327D7" w14:textId="77777777" w:rsidR="00B103E0" w:rsidRPr="000C51A4" w:rsidRDefault="00B103E0" w:rsidP="00220A9B">
      <w:pPr>
        <w:spacing w:after="0" w:line="360" w:lineRule="auto"/>
        <w:contextualSpacing/>
        <w:rPr>
          <w:rFonts w:cs="Tahoma"/>
          <w:bCs/>
          <w:color w:val="auto"/>
        </w:rPr>
      </w:pPr>
    </w:p>
    <w:p w14:paraId="7B0C2F3B" w14:textId="77777777" w:rsidR="00AC3C69" w:rsidRPr="000C51A4" w:rsidRDefault="00AC3C69" w:rsidP="00220A9B">
      <w:pPr>
        <w:spacing w:after="0" w:line="360" w:lineRule="auto"/>
        <w:contextualSpacing/>
        <w:rPr>
          <w:rFonts w:cs="Tahoma"/>
          <w:iCs/>
          <w:color w:val="auto"/>
          <w:lang w:eastAsia="es-ES_tradnl"/>
        </w:rPr>
      </w:pPr>
      <w:r w:rsidRPr="000C51A4">
        <w:rPr>
          <w:rFonts w:cs="Tahoma"/>
          <w:b/>
          <w:iCs/>
          <w:color w:val="auto"/>
          <w:lang w:eastAsia="es-ES_tradnl"/>
        </w:rPr>
        <w:t>SEGUNDO</w:t>
      </w:r>
      <w:r w:rsidRPr="000C51A4">
        <w:rPr>
          <w:rFonts w:cs="Tahoma"/>
          <w:iCs/>
          <w:color w:val="auto"/>
          <w:lang w:eastAsia="es-ES_tradnl"/>
        </w:rPr>
        <w:t xml:space="preserve">. </w:t>
      </w:r>
      <w:r w:rsidRPr="000C51A4">
        <w:rPr>
          <w:rFonts w:cs="Tahoma"/>
          <w:b/>
          <w:iCs/>
          <w:color w:val="auto"/>
          <w:lang w:eastAsia="es-ES_tradnl"/>
        </w:rPr>
        <w:t>Causales de improcedencia y sobreseimiento</w:t>
      </w:r>
    </w:p>
    <w:p w14:paraId="1D7CD941" w14:textId="77777777" w:rsidR="00AC3C69" w:rsidRPr="000C51A4" w:rsidRDefault="00AC3C69" w:rsidP="00220A9B">
      <w:pPr>
        <w:spacing w:after="0" w:line="360" w:lineRule="auto"/>
        <w:contextualSpacing/>
        <w:rPr>
          <w:rFonts w:cs="Tahoma"/>
          <w:iCs/>
          <w:color w:val="auto"/>
          <w:lang w:eastAsia="es-ES_tradnl"/>
        </w:rPr>
      </w:pPr>
      <w:r w:rsidRPr="000C51A4">
        <w:rPr>
          <w:rFonts w:cs="Tahoma"/>
          <w:iCs/>
          <w:color w:val="auto"/>
          <w:lang w:eastAsia="es-ES_tradnl"/>
        </w:rPr>
        <w:t xml:space="preserve">De las constancias que forma parte del Recurso de Revisión que se analiza, se advierte que previo al estudio del fondo de la </w:t>
      </w:r>
      <w:proofErr w:type="spellStart"/>
      <w:r w:rsidRPr="000C51A4">
        <w:rPr>
          <w:rFonts w:cs="Tahoma"/>
          <w:i/>
          <w:iCs/>
          <w:color w:val="auto"/>
          <w:lang w:eastAsia="es-ES_tradnl"/>
        </w:rPr>
        <w:t>litis</w:t>
      </w:r>
      <w:proofErr w:type="spellEnd"/>
      <w:r w:rsidRPr="000C51A4">
        <w:rPr>
          <w:rFonts w:cs="Tahoma"/>
          <w:iCs/>
          <w:color w:val="auto"/>
          <w:lang w:eastAsia="es-ES_tradnl"/>
        </w:rPr>
        <w:t>, es necesario estudiar las causales de improcedencia y sobreseimiento que se adviertan, para determinar lo que en Derecho proceda.</w:t>
      </w:r>
    </w:p>
    <w:p w14:paraId="59A75EF7" w14:textId="77777777" w:rsidR="00AC3C69" w:rsidRPr="000C51A4" w:rsidRDefault="00AC3C69" w:rsidP="00220A9B">
      <w:pPr>
        <w:spacing w:after="0" w:line="360" w:lineRule="auto"/>
        <w:contextualSpacing/>
        <w:rPr>
          <w:rFonts w:cs="Tahoma"/>
          <w:b/>
          <w:iCs/>
          <w:color w:val="auto"/>
          <w:lang w:eastAsia="es-ES_tradnl"/>
        </w:rPr>
      </w:pPr>
    </w:p>
    <w:p w14:paraId="04F30718" w14:textId="77777777" w:rsidR="00AC3C69" w:rsidRPr="000C51A4" w:rsidRDefault="00AC3C69" w:rsidP="00220A9B">
      <w:pPr>
        <w:spacing w:after="0" w:line="360" w:lineRule="auto"/>
        <w:contextualSpacing/>
        <w:rPr>
          <w:rFonts w:cs="Tahoma"/>
          <w:b/>
          <w:iCs/>
          <w:color w:val="auto"/>
          <w:lang w:eastAsia="es-ES_tradnl"/>
        </w:rPr>
      </w:pPr>
      <w:r w:rsidRPr="000C51A4">
        <w:rPr>
          <w:rFonts w:cs="Tahoma"/>
          <w:b/>
          <w:iCs/>
          <w:color w:val="auto"/>
          <w:lang w:eastAsia="es-ES_tradnl"/>
        </w:rPr>
        <w:t>Causales de improcedencia</w:t>
      </w:r>
    </w:p>
    <w:p w14:paraId="7A63E3A1" w14:textId="77777777" w:rsidR="00AC3C69" w:rsidRPr="000C51A4" w:rsidRDefault="00AC3C69" w:rsidP="00220A9B">
      <w:pPr>
        <w:spacing w:after="0" w:line="360" w:lineRule="auto"/>
        <w:contextualSpacing/>
        <w:rPr>
          <w:rFonts w:cs="Tahoma"/>
          <w:iCs/>
          <w:color w:val="auto"/>
          <w:lang w:eastAsia="es-ES_tradnl"/>
        </w:rPr>
      </w:pPr>
    </w:p>
    <w:p w14:paraId="6520955E" w14:textId="77777777" w:rsidR="00AC3C69" w:rsidRPr="000C51A4" w:rsidRDefault="00AC3C69" w:rsidP="00220A9B">
      <w:pPr>
        <w:spacing w:after="0" w:line="360" w:lineRule="auto"/>
        <w:contextualSpacing/>
        <w:rPr>
          <w:rFonts w:cs="Tahoma"/>
          <w:iCs/>
          <w:color w:val="auto"/>
          <w:lang w:eastAsia="es-ES_tradnl"/>
        </w:rPr>
      </w:pPr>
      <w:r w:rsidRPr="000C51A4">
        <w:rPr>
          <w:rFonts w:cs="Tahoma"/>
          <w:iCs/>
          <w:color w:val="auto"/>
          <w:lang w:eastAsia="es-ES_tradnl"/>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0C51A4">
        <w:rPr>
          <w:rFonts w:cs="Tahoma"/>
          <w:iCs/>
          <w:color w:val="auto"/>
          <w:lang w:eastAsia="es-ES_tradnl"/>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E0F16FC" w14:textId="77777777" w:rsidR="00AC3C69" w:rsidRPr="000C51A4" w:rsidRDefault="00AC3C69" w:rsidP="00220A9B">
      <w:pPr>
        <w:spacing w:after="0" w:line="360" w:lineRule="auto"/>
        <w:contextualSpacing/>
        <w:rPr>
          <w:rFonts w:cs="Tahoma"/>
          <w:iCs/>
          <w:color w:val="auto"/>
          <w:lang w:eastAsia="es-ES_tradnl"/>
        </w:rPr>
      </w:pPr>
    </w:p>
    <w:p w14:paraId="13F1813D" w14:textId="77777777" w:rsidR="00AC3C69" w:rsidRPr="000C51A4" w:rsidRDefault="00AC3C69" w:rsidP="00220A9B">
      <w:pPr>
        <w:spacing w:after="0" w:line="360" w:lineRule="auto"/>
        <w:contextualSpacing/>
        <w:rPr>
          <w:rFonts w:cs="Tahoma"/>
          <w:iCs/>
          <w:color w:val="auto"/>
          <w:lang w:eastAsia="es-ES_tradnl"/>
        </w:rPr>
      </w:pPr>
      <w:r w:rsidRPr="000C51A4">
        <w:rPr>
          <w:rFonts w:cs="Tahoma"/>
          <w:iCs/>
          <w:color w:val="auto"/>
          <w:lang w:eastAsia="es-ES_tradnl"/>
        </w:rPr>
        <w:t>En el presente caso, </w:t>
      </w:r>
      <w:r w:rsidRPr="000C51A4">
        <w:rPr>
          <w:rFonts w:cs="Tahoma"/>
          <w:b/>
          <w:iCs/>
          <w:color w:val="auto"/>
          <w:lang w:eastAsia="es-ES_tradnl"/>
        </w:rPr>
        <w:t>no se actualiza ninguna de las causales de improcedencia</w:t>
      </w:r>
      <w:r w:rsidRPr="000C51A4">
        <w:rPr>
          <w:rFonts w:cs="Tahoma"/>
          <w:iCs/>
          <w:color w:val="auto"/>
          <w:lang w:eastAsia="es-ES_tradnl"/>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2DA45C5" w14:textId="77777777" w:rsidR="00C76FCF" w:rsidRPr="000C51A4" w:rsidRDefault="00C76FCF" w:rsidP="00220A9B">
      <w:pPr>
        <w:spacing w:after="0" w:line="360" w:lineRule="auto"/>
        <w:contextualSpacing/>
        <w:rPr>
          <w:rFonts w:cs="Tahoma"/>
          <w:iCs/>
          <w:color w:val="auto"/>
          <w:lang w:eastAsia="es-ES_tradnl"/>
        </w:rPr>
      </w:pPr>
    </w:p>
    <w:p w14:paraId="7AB363BD" w14:textId="77777777" w:rsidR="00AC3C69" w:rsidRPr="000C51A4" w:rsidRDefault="00AC3C69" w:rsidP="00220A9B">
      <w:pPr>
        <w:spacing w:after="0" w:line="360" w:lineRule="auto"/>
        <w:contextualSpacing/>
        <w:rPr>
          <w:rFonts w:cs="Tahoma"/>
          <w:b/>
          <w:iCs/>
          <w:color w:val="auto"/>
          <w:lang w:eastAsia="es-ES_tradnl"/>
        </w:rPr>
      </w:pPr>
      <w:r w:rsidRPr="000C51A4">
        <w:rPr>
          <w:rFonts w:cs="Tahoma"/>
          <w:b/>
          <w:iCs/>
          <w:color w:val="auto"/>
          <w:lang w:eastAsia="es-ES_tradnl"/>
        </w:rPr>
        <w:t>Causales de sobreseimiento</w:t>
      </w:r>
    </w:p>
    <w:p w14:paraId="4F064D4F" w14:textId="77777777" w:rsidR="00343495" w:rsidRPr="000C51A4" w:rsidRDefault="00343495" w:rsidP="00220A9B">
      <w:pPr>
        <w:spacing w:after="0" w:line="360" w:lineRule="auto"/>
        <w:contextualSpacing/>
        <w:rPr>
          <w:rFonts w:cs="Tahoma"/>
          <w:iCs/>
          <w:color w:val="auto"/>
          <w:lang w:eastAsia="es-ES_tradnl"/>
        </w:rPr>
      </w:pPr>
    </w:p>
    <w:p w14:paraId="3FD0AF15" w14:textId="77777777" w:rsidR="00343495" w:rsidRPr="000C51A4" w:rsidRDefault="00343495" w:rsidP="00220A9B">
      <w:pPr>
        <w:spacing w:after="0" w:line="360" w:lineRule="auto"/>
        <w:contextualSpacing/>
        <w:rPr>
          <w:rFonts w:eastAsia="Palatino Linotype" w:cs="Palatino Linotype"/>
          <w:color w:val="auto"/>
          <w:lang w:eastAsia="es-MX"/>
        </w:rPr>
      </w:pPr>
      <w:r w:rsidRPr="000C51A4">
        <w:rPr>
          <w:rFonts w:eastAsia="Palatino Linotype" w:cs="Palatino Linotype"/>
          <w:color w:val="auto"/>
          <w:lang w:eastAsia="es-MX"/>
        </w:rPr>
        <w:t>Por ser de previo y especial pronunciamiento, este Instituto analiza si se actualiza alguna causal de sobreseimiento.</w:t>
      </w:r>
    </w:p>
    <w:p w14:paraId="43D99B3C" w14:textId="77777777" w:rsidR="00343495" w:rsidRPr="000C51A4" w:rsidRDefault="00343495" w:rsidP="00220A9B">
      <w:pPr>
        <w:spacing w:after="0" w:line="360" w:lineRule="auto"/>
        <w:contextualSpacing/>
        <w:rPr>
          <w:rFonts w:eastAsia="Palatino Linotype" w:cs="Palatino Linotype"/>
          <w:color w:val="auto"/>
          <w:lang w:eastAsia="es-MX"/>
        </w:rPr>
      </w:pPr>
    </w:p>
    <w:p w14:paraId="7EA37FAA" w14:textId="42E8FAD7" w:rsidR="00343495" w:rsidRPr="000C51A4" w:rsidRDefault="00343495" w:rsidP="00220A9B">
      <w:pPr>
        <w:spacing w:after="0" w:line="360" w:lineRule="auto"/>
        <w:contextualSpacing/>
        <w:rPr>
          <w:rFonts w:eastAsia="Palatino Linotype" w:cs="Palatino Linotype"/>
          <w:color w:val="auto"/>
          <w:lang w:eastAsia="es-MX"/>
        </w:rPr>
      </w:pPr>
      <w:r w:rsidRPr="000C51A4">
        <w:rPr>
          <w:rFonts w:eastAsia="Palatino Linotype" w:cs="Palatino Linotype"/>
          <w:color w:val="auto"/>
          <w:lang w:eastAsia="es-MX"/>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w:t>
      </w:r>
      <w:r w:rsidRPr="000C51A4">
        <w:rPr>
          <w:rFonts w:eastAsia="Palatino Linotype" w:cs="Palatino Linotype"/>
          <w:color w:val="auto"/>
          <w:lang w:eastAsia="es-MX"/>
        </w:rPr>
        <w:lastRenderedPageBreak/>
        <w:t>hubiese modificado o revocado el acto impugnado o bien, haya quedado sin materia.</w:t>
      </w:r>
      <w:r w:rsidR="00112946">
        <w:rPr>
          <w:rFonts w:eastAsia="Palatino Linotype" w:cs="Palatino Linotype"/>
          <w:color w:val="auto"/>
          <w:lang w:eastAsia="es-MX"/>
        </w:rPr>
        <w:t xml:space="preserve"> </w:t>
      </w:r>
      <w:r w:rsidRPr="000C51A4">
        <w:rPr>
          <w:rFonts w:eastAsia="Palatino Linotype" w:cs="Palatino Linotype"/>
          <w:color w:val="auto"/>
          <w:lang w:eastAsia="es-MX"/>
        </w:rPr>
        <w:t xml:space="preserve">Por tales motivos, se considera procedente entrar al fondo del presente asunto. </w:t>
      </w:r>
    </w:p>
    <w:p w14:paraId="616598D6" w14:textId="77777777" w:rsidR="00863BC8" w:rsidRPr="000C51A4" w:rsidRDefault="00863BC8" w:rsidP="00220A9B">
      <w:pPr>
        <w:spacing w:after="0" w:line="360" w:lineRule="auto"/>
        <w:contextualSpacing/>
        <w:rPr>
          <w:rFonts w:cs="Tahoma"/>
          <w:iCs/>
          <w:color w:val="auto"/>
          <w:lang w:eastAsia="es-ES_tradnl"/>
        </w:rPr>
      </w:pPr>
    </w:p>
    <w:p w14:paraId="11A54228" w14:textId="77777777" w:rsidR="007852F7" w:rsidRPr="000C51A4" w:rsidRDefault="007852F7" w:rsidP="00220A9B">
      <w:pPr>
        <w:spacing w:after="0" w:line="360" w:lineRule="auto"/>
        <w:contextualSpacing/>
        <w:rPr>
          <w:rFonts w:cs="Tahoma"/>
          <w:b/>
          <w:bCs/>
          <w:iCs/>
          <w:color w:val="auto"/>
        </w:rPr>
      </w:pPr>
      <w:r w:rsidRPr="000C51A4">
        <w:rPr>
          <w:rFonts w:cs="Tahoma"/>
          <w:b/>
          <w:bCs/>
          <w:iCs/>
          <w:color w:val="auto"/>
        </w:rPr>
        <w:t>TERCERO. Determinación de la Controversia</w:t>
      </w:r>
      <w:r w:rsidR="00343495" w:rsidRPr="000C51A4">
        <w:rPr>
          <w:rFonts w:cs="Tahoma"/>
          <w:b/>
          <w:bCs/>
          <w:iCs/>
          <w:color w:val="auto"/>
        </w:rPr>
        <w:t xml:space="preserve"> </w:t>
      </w:r>
    </w:p>
    <w:p w14:paraId="0BE7A80A" w14:textId="77777777" w:rsidR="00343495" w:rsidRPr="000C51A4" w:rsidRDefault="00343495" w:rsidP="00220A9B">
      <w:pPr>
        <w:spacing w:after="0" w:line="360" w:lineRule="auto"/>
        <w:contextualSpacing/>
        <w:rPr>
          <w:rFonts w:cs="Tahoma"/>
          <w:color w:val="auto"/>
          <w:lang w:eastAsia="es-MX"/>
        </w:rPr>
      </w:pPr>
    </w:p>
    <w:p w14:paraId="51264140" w14:textId="77777777" w:rsidR="00FE4E6F" w:rsidRPr="000C51A4" w:rsidRDefault="007852F7" w:rsidP="00220A9B">
      <w:pPr>
        <w:spacing w:after="0" w:line="360" w:lineRule="auto"/>
        <w:contextualSpacing/>
        <w:rPr>
          <w:rFonts w:eastAsiaTheme="minorHAnsi" w:cs="Tahoma"/>
          <w:color w:val="auto"/>
        </w:rPr>
      </w:pPr>
      <w:r w:rsidRPr="000C51A4">
        <w:rPr>
          <w:rFonts w:cs="Tahoma"/>
          <w:iCs/>
          <w:color w:val="auto"/>
          <w:lang w:eastAsia="es-ES_tradnl"/>
        </w:rPr>
        <w:t xml:space="preserve">Una vez realizado el estudio de las constancias que integran el expediente en que se actúa, se desprende </w:t>
      </w:r>
      <w:r w:rsidRPr="000C51A4">
        <w:rPr>
          <w:rFonts w:eastAsiaTheme="minorHAnsi" w:cs="Tahoma"/>
          <w:color w:val="auto"/>
        </w:rPr>
        <w:t>que el Recurrente requirió</w:t>
      </w:r>
      <w:r w:rsidR="00F53BD4" w:rsidRPr="000C51A4">
        <w:rPr>
          <w:rFonts w:eastAsiaTheme="minorHAnsi" w:cs="Tahoma"/>
          <w:color w:val="auto"/>
        </w:rPr>
        <w:t xml:space="preserve">, por medio de </w:t>
      </w:r>
      <w:r w:rsidR="00A67F5C" w:rsidRPr="000C51A4">
        <w:rPr>
          <w:rFonts w:eastAsiaTheme="minorHAnsi" w:cs="Tahoma"/>
          <w:color w:val="auto"/>
        </w:rPr>
        <w:t xml:space="preserve">cinco </w:t>
      </w:r>
      <w:r w:rsidR="00F53BD4" w:rsidRPr="000C51A4">
        <w:rPr>
          <w:rFonts w:eastAsiaTheme="minorHAnsi" w:cs="Tahoma"/>
          <w:color w:val="auto"/>
        </w:rPr>
        <w:t xml:space="preserve"> solicitudes de información</w:t>
      </w:r>
      <w:r w:rsidR="002A6AEF" w:rsidRPr="000C51A4">
        <w:rPr>
          <w:rFonts w:eastAsiaTheme="minorHAnsi" w:cs="Tahoma"/>
          <w:color w:val="auto"/>
        </w:rPr>
        <w:t xml:space="preserve">, </w:t>
      </w:r>
      <w:r w:rsidR="00FE4E6F" w:rsidRPr="000C51A4">
        <w:rPr>
          <w:rFonts w:eastAsiaTheme="minorHAnsi" w:cs="Tahoma"/>
          <w:color w:val="auto"/>
        </w:rPr>
        <w:t>a la Dirección General de Vinculación Interinstitucional la información relevante acompañamiento permanente y seguimiento a la instalación de los Sistemas Municipales Anticorrupción desde el año dos mil dieciocho a dos mil veinticuatro.</w:t>
      </w:r>
    </w:p>
    <w:p w14:paraId="43A2283D" w14:textId="77777777" w:rsidR="00FE4E6F" w:rsidRPr="000C51A4" w:rsidRDefault="00FE4E6F" w:rsidP="00220A9B">
      <w:pPr>
        <w:spacing w:after="0" w:line="360" w:lineRule="auto"/>
        <w:contextualSpacing/>
        <w:rPr>
          <w:rFonts w:eastAsiaTheme="minorHAnsi" w:cs="Tahoma"/>
          <w:color w:val="auto"/>
        </w:rPr>
      </w:pPr>
    </w:p>
    <w:p w14:paraId="3EEE8CE5" w14:textId="77777777" w:rsidR="007852F7" w:rsidRPr="000C51A4" w:rsidRDefault="007852F7" w:rsidP="00220A9B">
      <w:pPr>
        <w:spacing w:after="0" w:line="360" w:lineRule="auto"/>
        <w:ind w:right="-28"/>
        <w:contextualSpacing/>
        <w:rPr>
          <w:rFonts w:cs="Tahoma"/>
          <w:color w:val="auto"/>
        </w:rPr>
      </w:pPr>
      <w:r w:rsidRPr="000C51A4">
        <w:rPr>
          <w:rFonts w:eastAsiaTheme="minorHAnsi" w:cs="Tahoma"/>
          <w:bCs/>
          <w:iCs/>
          <w:color w:val="auto"/>
        </w:rPr>
        <w:t xml:space="preserve">En respuesta, el Sujeto Obligado, precisó </w:t>
      </w:r>
      <w:r w:rsidR="00FE4E6F" w:rsidRPr="000C51A4">
        <w:rPr>
          <w:rFonts w:eastAsiaTheme="minorHAnsi" w:cs="Tahoma"/>
          <w:bCs/>
          <w:iCs/>
          <w:color w:val="auto"/>
        </w:rPr>
        <w:t>que la información del acompañamiento permanente y seguimiento a la instalación de los Sistemas Municipales Anticorrupción se encuentra en los informes anuales del Comité Coordinador, los cuales adjuntó</w:t>
      </w:r>
      <w:r w:rsidRPr="000C51A4">
        <w:rPr>
          <w:rFonts w:eastAsiaTheme="minorHAnsi" w:cs="Tahoma"/>
          <w:bCs/>
          <w:iCs/>
          <w:color w:val="auto"/>
        </w:rPr>
        <w:t xml:space="preserve">; </w:t>
      </w:r>
      <w:r w:rsidRPr="000C51A4">
        <w:rPr>
          <w:rFonts w:eastAsiaTheme="minorHAnsi" w:cs="Tahoma"/>
          <w:color w:val="auto"/>
        </w:rPr>
        <w:t xml:space="preserve">ante dicha circunstancia el Particular se inconformó </w:t>
      </w:r>
      <w:r w:rsidR="00FE4E6F" w:rsidRPr="000C51A4">
        <w:rPr>
          <w:rFonts w:eastAsiaTheme="minorHAnsi" w:cs="Tahoma"/>
          <w:color w:val="auto"/>
        </w:rPr>
        <w:t xml:space="preserve">por no corresponder a lo solicitado, </w:t>
      </w:r>
      <w:r w:rsidRPr="000C51A4">
        <w:rPr>
          <w:rFonts w:eastAsiaTheme="minorHAnsi" w:cs="Tahoma"/>
          <w:color w:val="auto"/>
        </w:rPr>
        <w:t>lo cual</w:t>
      </w:r>
      <w:r w:rsidRPr="000C51A4">
        <w:rPr>
          <w:rFonts w:cs="Tahoma"/>
          <w:color w:val="auto"/>
        </w:rPr>
        <w:t xml:space="preserve"> actualiza la causal de procedencia </w:t>
      </w:r>
      <w:r w:rsidR="001030DC" w:rsidRPr="000C51A4">
        <w:rPr>
          <w:rFonts w:cs="Tahoma"/>
          <w:color w:val="auto"/>
        </w:rPr>
        <w:t>prevista</w:t>
      </w:r>
      <w:r w:rsidR="00B35E5B" w:rsidRPr="000C51A4">
        <w:rPr>
          <w:rFonts w:cs="Tahoma"/>
          <w:color w:val="auto"/>
        </w:rPr>
        <w:t xml:space="preserve"> </w:t>
      </w:r>
      <w:r w:rsidRPr="000C51A4">
        <w:rPr>
          <w:rFonts w:cs="Tahoma"/>
          <w:color w:val="auto"/>
        </w:rPr>
        <w:t xml:space="preserve">en la </w:t>
      </w:r>
      <w:r w:rsidR="00B35E5B" w:rsidRPr="000C51A4">
        <w:rPr>
          <w:rFonts w:cs="Tahoma"/>
          <w:color w:val="auto"/>
        </w:rPr>
        <w:t xml:space="preserve">fracción </w:t>
      </w:r>
      <w:r w:rsidR="00FE4E6F" w:rsidRPr="000C51A4">
        <w:rPr>
          <w:rFonts w:cs="Tahoma"/>
          <w:color w:val="auto"/>
        </w:rPr>
        <w:t>VI</w:t>
      </w:r>
      <w:r w:rsidRPr="000C51A4">
        <w:rPr>
          <w:rFonts w:cs="Tahoma"/>
          <w:color w:val="auto"/>
        </w:rPr>
        <w:t xml:space="preserve">, del artículo 179 de la Ley de Transparencia y Acceso a la Información Pública del Estado de México y Municipios. Así, las cosas, una vez admitido y notificado el Recurso de Revisión, </w:t>
      </w:r>
      <w:r w:rsidR="00B35E5B" w:rsidRPr="000C51A4">
        <w:rPr>
          <w:rFonts w:cs="Tahoma"/>
          <w:color w:val="auto"/>
        </w:rPr>
        <w:t xml:space="preserve">las partes omitieron manifestarse. </w:t>
      </w:r>
      <w:r w:rsidR="00477B67" w:rsidRPr="000C51A4">
        <w:rPr>
          <w:rFonts w:cs="Tahoma"/>
          <w:color w:val="auto"/>
        </w:rPr>
        <w:t xml:space="preserve"> </w:t>
      </w:r>
    </w:p>
    <w:p w14:paraId="609FF3C6" w14:textId="77777777" w:rsidR="00C76FCF" w:rsidRPr="000C51A4" w:rsidRDefault="00C76FCF" w:rsidP="00220A9B">
      <w:pPr>
        <w:tabs>
          <w:tab w:val="left" w:pos="4962"/>
        </w:tabs>
        <w:spacing w:after="0" w:line="360" w:lineRule="auto"/>
        <w:contextualSpacing/>
        <w:rPr>
          <w:rFonts w:cs="Tahoma"/>
          <w:iCs/>
          <w:color w:val="auto"/>
          <w:lang w:eastAsia="es-ES_tradnl"/>
        </w:rPr>
      </w:pPr>
    </w:p>
    <w:p w14:paraId="7357D0D0" w14:textId="7CA87639" w:rsidR="007852F7" w:rsidRPr="000C51A4" w:rsidRDefault="007852F7" w:rsidP="00220A9B">
      <w:pPr>
        <w:tabs>
          <w:tab w:val="left" w:pos="4962"/>
        </w:tabs>
        <w:spacing w:after="0" w:line="360" w:lineRule="auto"/>
        <w:contextualSpacing/>
        <w:rPr>
          <w:rFonts w:cs="Tahoma"/>
          <w:bCs/>
          <w:color w:val="auto"/>
          <w:szCs w:val="24"/>
        </w:rPr>
      </w:pPr>
      <w:r w:rsidRPr="000C51A4">
        <w:rPr>
          <w:rFonts w:cs="Tahoma"/>
          <w:iCs/>
          <w:color w:val="auto"/>
          <w:lang w:eastAsia="es-ES_tradnl"/>
        </w:rPr>
        <w:t>Lo anterior, se desprende de las documentales que obran en el expediente de referencia, materia de la presente resolución, consistente en: la</w:t>
      </w:r>
      <w:r w:rsidR="00B35E5B" w:rsidRPr="000C51A4">
        <w:rPr>
          <w:rFonts w:cs="Tahoma"/>
          <w:iCs/>
          <w:color w:val="auto"/>
          <w:lang w:eastAsia="es-ES_tradnl"/>
        </w:rPr>
        <w:t>s</w:t>
      </w:r>
      <w:r w:rsidRPr="000C51A4">
        <w:rPr>
          <w:rFonts w:cs="Tahoma"/>
          <w:iCs/>
          <w:color w:val="auto"/>
          <w:lang w:eastAsia="es-ES_tradnl"/>
        </w:rPr>
        <w:t xml:space="preserve"> solicitud</w:t>
      </w:r>
      <w:r w:rsidR="00B35E5B" w:rsidRPr="000C51A4">
        <w:rPr>
          <w:rFonts w:cs="Tahoma"/>
          <w:iCs/>
          <w:color w:val="auto"/>
          <w:lang w:eastAsia="es-ES_tradnl"/>
        </w:rPr>
        <w:t>es</w:t>
      </w:r>
      <w:r w:rsidRPr="000C51A4">
        <w:rPr>
          <w:rFonts w:cs="Tahoma"/>
          <w:iCs/>
          <w:color w:val="auto"/>
          <w:lang w:eastAsia="es-ES_tradnl"/>
        </w:rPr>
        <w:t xml:space="preserve"> de acceso a la información, </w:t>
      </w:r>
      <w:r w:rsidR="00B35E5B" w:rsidRPr="000C51A4">
        <w:rPr>
          <w:rFonts w:cs="Tahoma"/>
          <w:iCs/>
          <w:color w:val="auto"/>
          <w:lang w:eastAsia="es-ES_tradnl"/>
        </w:rPr>
        <w:t>la respuesta del Sujeto Obligado y los</w:t>
      </w:r>
      <w:r w:rsidRPr="000C51A4">
        <w:rPr>
          <w:rFonts w:cs="Tahoma"/>
          <w:iCs/>
          <w:color w:val="auto"/>
          <w:lang w:eastAsia="es-ES_tradnl"/>
        </w:rPr>
        <w:t xml:space="preserve"> escrito</w:t>
      </w:r>
      <w:r w:rsidR="00B35E5B" w:rsidRPr="000C51A4">
        <w:rPr>
          <w:rFonts w:cs="Tahoma"/>
          <w:iCs/>
          <w:color w:val="auto"/>
          <w:lang w:eastAsia="es-ES_tradnl"/>
        </w:rPr>
        <w:t>s</w:t>
      </w:r>
      <w:r w:rsidRPr="000C51A4">
        <w:rPr>
          <w:rFonts w:cs="Tahoma"/>
          <w:iCs/>
          <w:color w:val="auto"/>
          <w:lang w:eastAsia="es-ES_tradnl"/>
        </w:rPr>
        <w:t xml:space="preserve"> </w:t>
      </w:r>
      <w:proofErr w:type="spellStart"/>
      <w:r w:rsidRPr="000C51A4">
        <w:rPr>
          <w:rFonts w:cs="Tahoma"/>
          <w:iCs/>
          <w:color w:val="auto"/>
          <w:lang w:eastAsia="es-ES_tradnl"/>
        </w:rPr>
        <w:t>recursal</w:t>
      </w:r>
      <w:r w:rsidR="00B35E5B" w:rsidRPr="000C51A4">
        <w:rPr>
          <w:rFonts w:cs="Tahoma"/>
          <w:iCs/>
          <w:color w:val="auto"/>
          <w:lang w:eastAsia="es-ES_tradnl"/>
        </w:rPr>
        <w:t>es</w:t>
      </w:r>
      <w:proofErr w:type="spellEnd"/>
      <w:r w:rsidRPr="000C51A4">
        <w:rPr>
          <w:rFonts w:cs="Tahoma"/>
          <w:iCs/>
          <w:color w:val="auto"/>
          <w:lang w:eastAsia="es-ES_tradnl"/>
        </w:rPr>
        <w:t xml:space="preserve">; </w:t>
      </w:r>
      <w:r w:rsidRPr="000C51A4">
        <w:rPr>
          <w:rFonts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1AC71AA6" w14:textId="77777777" w:rsidR="007852F7" w:rsidRPr="000C51A4" w:rsidRDefault="007852F7" w:rsidP="00220A9B">
      <w:pPr>
        <w:spacing w:after="0" w:line="360" w:lineRule="auto"/>
        <w:contextualSpacing/>
        <w:rPr>
          <w:rFonts w:cs="Tahoma"/>
          <w:b/>
          <w:bCs/>
          <w:iCs/>
          <w:color w:val="auto"/>
        </w:rPr>
      </w:pPr>
      <w:r w:rsidRPr="000C51A4">
        <w:rPr>
          <w:rFonts w:cs="Tahoma"/>
          <w:b/>
          <w:bCs/>
          <w:iCs/>
          <w:color w:val="auto"/>
        </w:rPr>
        <w:lastRenderedPageBreak/>
        <w:t>CUARTO. Marco normativo aplicable en materia de transparencia y acceso a la información pública</w:t>
      </w:r>
    </w:p>
    <w:p w14:paraId="63560E65" w14:textId="77777777" w:rsidR="007852F7" w:rsidRPr="000C51A4" w:rsidRDefault="007852F7" w:rsidP="00220A9B">
      <w:pPr>
        <w:autoSpaceDE w:val="0"/>
        <w:autoSpaceDN w:val="0"/>
        <w:adjustRightInd w:val="0"/>
        <w:spacing w:after="0" w:line="360" w:lineRule="auto"/>
        <w:contextualSpacing/>
        <w:rPr>
          <w:rFonts w:cs="Tahoma"/>
          <w:bCs/>
          <w:iCs/>
          <w:color w:val="auto"/>
        </w:rPr>
      </w:pPr>
    </w:p>
    <w:p w14:paraId="77732C74" w14:textId="77777777" w:rsidR="007852F7" w:rsidRPr="000C51A4" w:rsidRDefault="007852F7" w:rsidP="00220A9B">
      <w:pPr>
        <w:spacing w:after="0" w:line="360" w:lineRule="auto"/>
        <w:contextualSpacing/>
        <w:rPr>
          <w:rFonts w:cs="Tahoma"/>
          <w:bCs/>
          <w:iCs/>
          <w:color w:val="auto"/>
        </w:rPr>
      </w:pPr>
      <w:r w:rsidRPr="000C51A4">
        <w:rPr>
          <w:rFonts w:cs="Tahoma"/>
          <w:bCs/>
          <w:iCs/>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87D5056" w14:textId="77777777" w:rsidR="007852F7" w:rsidRPr="000C51A4" w:rsidRDefault="007852F7" w:rsidP="00220A9B">
      <w:pPr>
        <w:spacing w:after="0" w:line="360" w:lineRule="auto"/>
        <w:contextualSpacing/>
        <w:rPr>
          <w:rFonts w:cs="Tahoma"/>
          <w:bCs/>
          <w:iCs/>
          <w:color w:val="auto"/>
        </w:rPr>
      </w:pPr>
    </w:p>
    <w:p w14:paraId="1A7F9FD4" w14:textId="77777777" w:rsidR="007852F7" w:rsidRPr="000C51A4" w:rsidRDefault="007852F7" w:rsidP="00220A9B">
      <w:pPr>
        <w:spacing w:after="0" w:line="360" w:lineRule="auto"/>
        <w:contextualSpacing/>
        <w:rPr>
          <w:rFonts w:cs="Tahoma"/>
          <w:bCs/>
          <w:iCs/>
          <w:color w:val="auto"/>
        </w:rPr>
      </w:pPr>
      <w:r w:rsidRPr="000C51A4">
        <w:rPr>
          <w:rFonts w:cs="Tahoma"/>
          <w:bCs/>
          <w:iCs/>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D233E6A" w14:textId="77777777" w:rsidR="007852F7" w:rsidRPr="000C51A4" w:rsidRDefault="007852F7" w:rsidP="00220A9B">
      <w:pPr>
        <w:spacing w:after="0" w:line="360" w:lineRule="auto"/>
        <w:contextualSpacing/>
        <w:rPr>
          <w:rFonts w:cs="Tahoma"/>
          <w:bCs/>
          <w:iCs/>
          <w:color w:val="auto"/>
        </w:rPr>
      </w:pPr>
    </w:p>
    <w:p w14:paraId="3C1E3D67" w14:textId="77777777" w:rsidR="007852F7" w:rsidRPr="000C51A4" w:rsidRDefault="007852F7" w:rsidP="00220A9B">
      <w:pPr>
        <w:spacing w:after="0" w:line="360" w:lineRule="auto"/>
        <w:contextualSpacing/>
        <w:rPr>
          <w:rFonts w:cs="Tahoma"/>
          <w:bCs/>
          <w:iCs/>
          <w:color w:val="auto"/>
        </w:rPr>
      </w:pPr>
      <w:r w:rsidRPr="000C51A4">
        <w:rPr>
          <w:rFonts w:cs="Tahoma"/>
          <w:bCs/>
          <w:iCs/>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F266A89" w14:textId="77777777" w:rsidR="007852F7" w:rsidRPr="000C51A4" w:rsidRDefault="007852F7" w:rsidP="00220A9B">
      <w:pPr>
        <w:spacing w:after="0" w:line="360" w:lineRule="auto"/>
        <w:contextualSpacing/>
        <w:rPr>
          <w:rFonts w:cs="Tahoma"/>
          <w:bCs/>
          <w:iCs/>
          <w:color w:val="auto"/>
        </w:rPr>
      </w:pPr>
    </w:p>
    <w:p w14:paraId="2FD20CF8" w14:textId="77777777" w:rsidR="007852F7" w:rsidRPr="000C51A4" w:rsidRDefault="007852F7" w:rsidP="00220A9B">
      <w:pPr>
        <w:spacing w:after="0" w:line="360" w:lineRule="auto"/>
        <w:contextualSpacing/>
        <w:rPr>
          <w:rFonts w:cs="Tahoma"/>
          <w:bCs/>
          <w:iCs/>
          <w:color w:val="auto"/>
        </w:rPr>
      </w:pPr>
      <w:r w:rsidRPr="000C51A4">
        <w:rPr>
          <w:rFonts w:cs="Tahoma"/>
          <w:bCs/>
          <w:iCs/>
          <w:color w:val="auto"/>
        </w:rPr>
        <w:t>Por su parte, la Ley de Transparencia y Acceso a la Información Pública del Estado de México y Municipios (Reglamentaria del artículo 5° de la Constitución Local), establece lo siguiente:</w:t>
      </w:r>
    </w:p>
    <w:p w14:paraId="28486208" w14:textId="77777777" w:rsidR="007852F7" w:rsidRPr="000C51A4" w:rsidRDefault="007852F7" w:rsidP="00220A9B">
      <w:pPr>
        <w:spacing w:after="0" w:line="360" w:lineRule="auto"/>
        <w:contextualSpacing/>
        <w:rPr>
          <w:rFonts w:cs="Tahoma"/>
          <w:bCs/>
          <w:iCs/>
          <w:color w:val="auto"/>
        </w:rPr>
      </w:pPr>
    </w:p>
    <w:p w14:paraId="7BE5A1DF" w14:textId="77777777" w:rsidR="007852F7" w:rsidRPr="000C51A4" w:rsidRDefault="007852F7" w:rsidP="00220A9B">
      <w:pPr>
        <w:spacing w:after="0" w:line="360" w:lineRule="auto"/>
        <w:contextualSpacing/>
        <w:rPr>
          <w:rFonts w:cs="Tahoma"/>
          <w:bCs/>
          <w:iCs/>
          <w:color w:val="auto"/>
        </w:rPr>
      </w:pPr>
      <w:r w:rsidRPr="000C51A4">
        <w:rPr>
          <w:rFonts w:cs="Tahoma"/>
          <w:bCs/>
          <w:iCs/>
          <w:color w:val="auto"/>
        </w:rPr>
        <w:t>El artículo 12, que, quienes generen, recopilen, administren, manejen, procesen, archiven o conserven información pública serán responsables de la misma.</w:t>
      </w:r>
    </w:p>
    <w:p w14:paraId="337FE777" w14:textId="77777777" w:rsidR="007852F7" w:rsidRPr="000C51A4" w:rsidRDefault="007852F7" w:rsidP="00220A9B">
      <w:pPr>
        <w:spacing w:after="0" w:line="360" w:lineRule="auto"/>
        <w:contextualSpacing/>
        <w:rPr>
          <w:rFonts w:cs="Tahoma"/>
          <w:bCs/>
          <w:iCs/>
          <w:color w:val="auto"/>
        </w:rPr>
      </w:pPr>
    </w:p>
    <w:p w14:paraId="4CDF9905" w14:textId="77777777" w:rsidR="007852F7" w:rsidRPr="000C51A4" w:rsidRDefault="007852F7" w:rsidP="00220A9B">
      <w:pPr>
        <w:widowControl w:val="0"/>
        <w:spacing w:after="0" w:line="360" w:lineRule="auto"/>
        <w:contextualSpacing/>
        <w:rPr>
          <w:rFonts w:cs="Tahoma"/>
          <w:bCs/>
          <w:iCs/>
          <w:color w:val="auto"/>
        </w:rPr>
      </w:pPr>
      <w:r w:rsidRPr="000C51A4">
        <w:rPr>
          <w:rFonts w:cs="Tahoma"/>
          <w:bCs/>
          <w:iCs/>
          <w:color w:val="auto"/>
        </w:rPr>
        <w:t xml:space="preserve">El artículo 18, que, los Sujetos Obligados deberán documentar todo acto que derive del ejercicio de sus facultades, competencias o funciones, considerando desde su origen la </w:t>
      </w:r>
      <w:r w:rsidRPr="000C51A4">
        <w:rPr>
          <w:rFonts w:cs="Tahoma"/>
          <w:bCs/>
          <w:iCs/>
          <w:color w:val="auto"/>
        </w:rPr>
        <w:lastRenderedPageBreak/>
        <w:t>eventual publicidad y reutilización de la información que generen.</w:t>
      </w:r>
    </w:p>
    <w:p w14:paraId="38FE3806" w14:textId="77777777" w:rsidR="007852F7" w:rsidRPr="000C51A4" w:rsidRDefault="007852F7" w:rsidP="00220A9B">
      <w:pPr>
        <w:spacing w:after="0" w:line="360" w:lineRule="auto"/>
        <w:contextualSpacing/>
        <w:rPr>
          <w:rFonts w:cs="Tahoma"/>
          <w:bCs/>
          <w:iCs/>
          <w:color w:val="auto"/>
        </w:rPr>
      </w:pPr>
    </w:p>
    <w:p w14:paraId="0BB8048A" w14:textId="77777777" w:rsidR="007852F7" w:rsidRPr="000C51A4" w:rsidRDefault="007852F7" w:rsidP="00220A9B">
      <w:pPr>
        <w:spacing w:after="0" w:line="360" w:lineRule="auto"/>
        <w:contextualSpacing/>
        <w:rPr>
          <w:rFonts w:cs="Tahoma"/>
          <w:bCs/>
          <w:iCs/>
          <w:color w:val="auto"/>
        </w:rPr>
      </w:pPr>
      <w:r w:rsidRPr="000C51A4">
        <w:rPr>
          <w:rFonts w:cs="Tahoma"/>
          <w:bCs/>
          <w:iCs/>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D92EB1D" w14:textId="77777777" w:rsidR="007852F7" w:rsidRPr="000C51A4" w:rsidRDefault="007852F7" w:rsidP="00220A9B">
      <w:pPr>
        <w:spacing w:after="0" w:line="360" w:lineRule="auto"/>
        <w:contextualSpacing/>
        <w:rPr>
          <w:rFonts w:cs="Tahoma"/>
          <w:bCs/>
          <w:iCs/>
          <w:color w:val="auto"/>
        </w:rPr>
      </w:pPr>
    </w:p>
    <w:p w14:paraId="78528E39" w14:textId="77777777" w:rsidR="009916A6" w:rsidRPr="000C51A4" w:rsidRDefault="009916A6" w:rsidP="00220A9B">
      <w:pPr>
        <w:spacing w:after="0" w:line="360" w:lineRule="auto"/>
        <w:contextualSpacing/>
        <w:rPr>
          <w:rFonts w:cs="Tahoma"/>
          <w:b/>
          <w:color w:val="auto"/>
        </w:rPr>
      </w:pPr>
      <w:r w:rsidRPr="000C51A4">
        <w:rPr>
          <w:rFonts w:cs="Tahoma"/>
          <w:b/>
          <w:color w:val="auto"/>
        </w:rPr>
        <w:t>QUINTO. Estudio de Fondo</w:t>
      </w:r>
    </w:p>
    <w:p w14:paraId="122726FB" w14:textId="4E236FF2" w:rsidR="009916A6" w:rsidRDefault="009916A6" w:rsidP="00220A9B">
      <w:pPr>
        <w:spacing w:after="0" w:line="360" w:lineRule="auto"/>
        <w:contextualSpacing/>
        <w:rPr>
          <w:rFonts w:cs="Tahoma"/>
          <w:b/>
          <w:color w:val="auto"/>
        </w:rPr>
      </w:pPr>
    </w:p>
    <w:p w14:paraId="19457719" w14:textId="20B08367" w:rsidR="000C51A4" w:rsidRPr="00DC0306" w:rsidRDefault="000C51A4" w:rsidP="00220A9B">
      <w:pPr>
        <w:spacing w:line="360" w:lineRule="auto"/>
        <w:contextualSpacing/>
        <w:rPr>
          <w:rFonts w:cs="Tahoma"/>
        </w:rPr>
      </w:pPr>
      <w:r w:rsidRPr="00DC0306">
        <w:rPr>
          <w:rFonts w:cs="Tahoma"/>
        </w:rPr>
        <w:t xml:space="preserve">Una vez determinada la vía sobre la que versará el presente Recurso y previa revisión del expediente electrónico formado en el </w:t>
      </w:r>
      <w:r>
        <w:rPr>
          <w:rFonts w:cs="Tahoma"/>
        </w:rPr>
        <w:t xml:space="preserve">SAIMEX, </w:t>
      </w:r>
      <w:r w:rsidRPr="00DC0306">
        <w:rPr>
          <w:rFonts w:cs="Tahoma"/>
        </w:rPr>
        <w:t>con motivo de la</w:t>
      </w:r>
      <w:r>
        <w:rPr>
          <w:rFonts w:cs="Tahoma"/>
        </w:rPr>
        <w:t>s</w:t>
      </w:r>
      <w:r w:rsidRPr="00DC0306">
        <w:rPr>
          <w:rFonts w:cs="Tahoma"/>
        </w:rPr>
        <w:t xml:space="preserve"> solicitud</w:t>
      </w:r>
      <w:r>
        <w:rPr>
          <w:rFonts w:cs="Tahoma"/>
        </w:rPr>
        <w:t>es</w:t>
      </w:r>
      <w:r w:rsidRPr="00DC0306">
        <w:rPr>
          <w:rFonts w:cs="Tahoma"/>
        </w:rPr>
        <w:t xml:space="preserve"> de información y del Recurso a que da origen, es conveniente analizar si la</w:t>
      </w:r>
      <w:r>
        <w:rPr>
          <w:rFonts w:cs="Tahoma"/>
        </w:rPr>
        <w:t>s</w:t>
      </w:r>
      <w:r w:rsidRPr="00DC0306">
        <w:rPr>
          <w:rFonts w:cs="Tahoma"/>
        </w:rPr>
        <w:t xml:space="preserve"> respuesta</w:t>
      </w:r>
      <w:r>
        <w:rPr>
          <w:rFonts w:cs="Tahoma"/>
        </w:rPr>
        <w:t>s</w:t>
      </w:r>
      <w:r w:rsidRPr="00DC0306">
        <w:rPr>
          <w:rFonts w:cs="Tahoma"/>
        </w:rPr>
        <w:t xml:space="preserve"> del Sujeto Obligado cumple</w:t>
      </w:r>
      <w:r>
        <w:rPr>
          <w:rFonts w:cs="Tahoma"/>
        </w:rPr>
        <w:t>n</w:t>
      </w:r>
      <w:r w:rsidRPr="00DC0306">
        <w:rPr>
          <w:rFonts w:cs="Tahoma"/>
        </w:rPr>
        <w:t xml:space="preserve"> con los requisitos y procedimientos del derecho de acceso a la información pública.</w:t>
      </w:r>
    </w:p>
    <w:p w14:paraId="18F6C949" w14:textId="77777777" w:rsidR="000C51A4" w:rsidRDefault="000C51A4" w:rsidP="00220A9B">
      <w:pPr>
        <w:spacing w:line="360" w:lineRule="auto"/>
        <w:contextualSpacing/>
        <w:rPr>
          <w:rFonts w:cs="Tahoma"/>
        </w:rPr>
      </w:pPr>
    </w:p>
    <w:p w14:paraId="6D656A0E" w14:textId="25742272" w:rsidR="000916F5" w:rsidRDefault="000C51A4" w:rsidP="00220A9B">
      <w:pPr>
        <w:spacing w:after="0" w:line="360" w:lineRule="auto"/>
        <w:contextualSpacing/>
        <w:rPr>
          <w:rFonts w:cs="Tahoma"/>
        </w:rPr>
      </w:pPr>
      <w:r>
        <w:rPr>
          <w:rFonts w:cs="Tahoma"/>
        </w:rPr>
        <w:t xml:space="preserve">En un principio, </w:t>
      </w:r>
      <w:r w:rsidR="000916F5">
        <w:rPr>
          <w:rFonts w:cs="Tahoma"/>
        </w:rPr>
        <w:t xml:space="preserve">es de señalar que la </w:t>
      </w:r>
      <w:r w:rsidR="000916F5" w:rsidRPr="000916F5">
        <w:rPr>
          <w:rFonts w:cs="Tahoma"/>
        </w:rPr>
        <w:t>Secretaría Ejecutiva, es un organismo descentralizado, no sectorizado, con personalidad jurídica y patrimonio propio, con autonomía técnica y de gestión</w:t>
      </w:r>
      <w:r w:rsidR="000916F5">
        <w:rPr>
          <w:rFonts w:cs="Tahoma"/>
        </w:rPr>
        <w:t xml:space="preserve">, de acuerdo a lo establecido en el artículo 24 de la Ley del Sistema Anticorrupción del Estado de México y Municipios, y de acuerdo al artículo 25 de la misma Ley tiene </w:t>
      </w:r>
      <w:r w:rsidR="000916F5" w:rsidRPr="000916F5">
        <w:rPr>
          <w:rFonts w:cs="Tahoma"/>
        </w:rPr>
        <w:t>por objeto fungir como órgano de apoyo técnico del Comité Coordinador, a efecto de proveerle la asistencia técnica, así como los insumos necesarios para el desempeño de sus atribuciones</w:t>
      </w:r>
      <w:r w:rsidR="000916F5">
        <w:rPr>
          <w:rFonts w:cs="Tahoma"/>
        </w:rPr>
        <w:t xml:space="preserve"> </w:t>
      </w:r>
    </w:p>
    <w:p w14:paraId="4F419EEC" w14:textId="237A9123" w:rsidR="000916F5" w:rsidRDefault="000916F5" w:rsidP="00220A9B">
      <w:pPr>
        <w:spacing w:after="0" w:line="360" w:lineRule="auto"/>
        <w:contextualSpacing/>
        <w:rPr>
          <w:rFonts w:cs="Tahoma"/>
        </w:rPr>
      </w:pPr>
    </w:p>
    <w:p w14:paraId="64EF293E" w14:textId="77777777" w:rsidR="00111FCC" w:rsidRDefault="000916F5" w:rsidP="00220A9B">
      <w:pPr>
        <w:spacing w:after="0" w:line="360" w:lineRule="auto"/>
        <w:contextualSpacing/>
        <w:rPr>
          <w:rFonts w:cs="Tahoma"/>
        </w:rPr>
      </w:pPr>
      <w:r>
        <w:rPr>
          <w:rFonts w:cs="Tahoma"/>
        </w:rPr>
        <w:t xml:space="preserve">Aunado a lo anterior, el </w:t>
      </w:r>
      <w:r w:rsidRPr="000916F5">
        <w:rPr>
          <w:rFonts w:cs="Tahoma"/>
        </w:rPr>
        <w:t xml:space="preserve">Estatuto Orgánico de </w:t>
      </w:r>
      <w:r>
        <w:rPr>
          <w:rFonts w:cs="Tahoma"/>
        </w:rPr>
        <w:t>la Secretaría Ejecutiva del Sistema Estatal Anticorrupción,</w:t>
      </w:r>
      <w:r w:rsidR="00111FCC">
        <w:rPr>
          <w:rFonts w:cs="Tahoma"/>
        </w:rPr>
        <w:t xml:space="preserve"> en sus artículos 11 y 17</w:t>
      </w:r>
      <w:r>
        <w:rPr>
          <w:rFonts w:cs="Tahoma"/>
        </w:rPr>
        <w:t xml:space="preserve"> señala </w:t>
      </w:r>
      <w:r w:rsidR="00111FCC">
        <w:rPr>
          <w:rFonts w:cs="Tahoma"/>
        </w:rPr>
        <w:t>que la dirección y administración de la Secretaría Ejecutiva corresponden al Órgano de Gobierno y al Secretario Técnico, por lo cual este último p</w:t>
      </w:r>
      <w:r w:rsidR="00111FCC" w:rsidRPr="00111FCC">
        <w:rPr>
          <w:rFonts w:cs="Tahoma"/>
        </w:rPr>
        <w:t xml:space="preserve">ara el estudio, planeación y despacho de los asuntos de su competencia, se </w:t>
      </w:r>
      <w:r w:rsidR="00111FCC" w:rsidRPr="00111FCC">
        <w:rPr>
          <w:rFonts w:cs="Tahoma"/>
        </w:rPr>
        <w:lastRenderedPageBreak/>
        <w:t xml:space="preserve">auxiliará de </w:t>
      </w:r>
      <w:r w:rsidR="00111FCC">
        <w:rPr>
          <w:rFonts w:cs="Tahoma"/>
        </w:rPr>
        <w:t xml:space="preserve">diferentes </w:t>
      </w:r>
      <w:r w:rsidR="00111FCC" w:rsidRPr="00111FCC">
        <w:rPr>
          <w:rFonts w:cs="Tahoma"/>
        </w:rPr>
        <w:t xml:space="preserve">unidades administrativas </w:t>
      </w:r>
      <w:r w:rsidR="00111FCC">
        <w:rPr>
          <w:rFonts w:cs="Tahoma"/>
        </w:rPr>
        <w:t xml:space="preserve">dentro de las que se encuentra la </w:t>
      </w:r>
      <w:r w:rsidR="00111FCC" w:rsidRPr="00111FCC">
        <w:rPr>
          <w:rFonts w:cs="Tahoma"/>
        </w:rPr>
        <w:t>Dirección General de Vinculación Interinstitucional</w:t>
      </w:r>
      <w:r w:rsidR="00111FCC">
        <w:rPr>
          <w:rFonts w:cs="Tahoma"/>
        </w:rPr>
        <w:t>.</w:t>
      </w:r>
    </w:p>
    <w:p w14:paraId="23BDC422" w14:textId="77777777" w:rsidR="00111FCC" w:rsidRDefault="00111FCC" w:rsidP="00220A9B">
      <w:pPr>
        <w:spacing w:after="0" w:line="360" w:lineRule="auto"/>
        <w:contextualSpacing/>
        <w:rPr>
          <w:rFonts w:cs="Tahoma"/>
        </w:rPr>
      </w:pPr>
    </w:p>
    <w:p w14:paraId="301EB78B" w14:textId="519314F8" w:rsidR="000916F5" w:rsidRDefault="00111FCC" w:rsidP="00220A9B">
      <w:pPr>
        <w:spacing w:after="0" w:line="360" w:lineRule="auto"/>
        <w:contextualSpacing/>
        <w:rPr>
          <w:rFonts w:cs="Tahoma"/>
        </w:rPr>
      </w:pPr>
      <w:r>
        <w:rPr>
          <w:rFonts w:cs="Tahoma"/>
        </w:rPr>
        <w:t xml:space="preserve">Por su parte, el artículo 23 de los Estatutos arriba citados señalan las atribuciones de la Dirección </w:t>
      </w:r>
      <w:r w:rsidRPr="00111FCC">
        <w:rPr>
          <w:rFonts w:cs="Tahoma"/>
        </w:rPr>
        <w:t>General de Vinculación Interinstitucional</w:t>
      </w:r>
      <w:r>
        <w:rPr>
          <w:rFonts w:cs="Tahoma"/>
        </w:rPr>
        <w:t xml:space="preserve"> mencionada por el Particular en sus solicitudes, dentro de las que se encuentran las siguientes:</w:t>
      </w:r>
    </w:p>
    <w:p w14:paraId="12983C06" w14:textId="7543620E" w:rsidR="00111FCC" w:rsidRDefault="00111FCC" w:rsidP="00220A9B">
      <w:pPr>
        <w:spacing w:after="0" w:line="360" w:lineRule="auto"/>
        <w:contextualSpacing/>
        <w:rPr>
          <w:rFonts w:cs="Tahoma"/>
        </w:rPr>
      </w:pPr>
    </w:p>
    <w:p w14:paraId="03E1F6FC" w14:textId="77777777" w:rsidR="00111FCC" w:rsidRDefault="00111FCC" w:rsidP="00220A9B">
      <w:pPr>
        <w:spacing w:after="0" w:line="360" w:lineRule="auto"/>
        <w:ind w:left="567" w:right="539"/>
        <w:contextualSpacing/>
        <w:rPr>
          <w:rFonts w:cs="Tahoma"/>
          <w:i/>
          <w:iCs/>
          <w:sz w:val="20"/>
          <w:szCs w:val="20"/>
        </w:rPr>
      </w:pPr>
      <w:r w:rsidRPr="00111FCC">
        <w:rPr>
          <w:rFonts w:cs="Tahoma"/>
          <w:b/>
          <w:bCs/>
          <w:i/>
          <w:iCs/>
          <w:sz w:val="20"/>
          <w:szCs w:val="20"/>
        </w:rPr>
        <w:t>Artículo 23.-</w:t>
      </w:r>
      <w:r w:rsidRPr="00111FCC">
        <w:rPr>
          <w:rFonts w:cs="Tahoma"/>
          <w:i/>
          <w:iCs/>
          <w:sz w:val="20"/>
          <w:szCs w:val="20"/>
        </w:rPr>
        <w:t xml:space="preserve"> Corresponde a la Dirección General de Vinculación Interinstitucional, el ejercicio de las atribuciones siguientes: </w:t>
      </w:r>
    </w:p>
    <w:p w14:paraId="49F35118" w14:textId="167AE64E" w:rsidR="00111FCC" w:rsidRDefault="00111FCC" w:rsidP="00220A9B">
      <w:pPr>
        <w:spacing w:after="0" w:line="360" w:lineRule="auto"/>
        <w:ind w:left="567" w:right="539"/>
        <w:contextualSpacing/>
        <w:rPr>
          <w:rFonts w:cs="Tahoma"/>
          <w:i/>
          <w:iCs/>
          <w:sz w:val="20"/>
          <w:szCs w:val="20"/>
        </w:rPr>
      </w:pPr>
      <w:r w:rsidRPr="00111FCC">
        <w:rPr>
          <w:rFonts w:cs="Tahoma"/>
          <w:i/>
          <w:iCs/>
          <w:sz w:val="20"/>
          <w:szCs w:val="20"/>
        </w:rPr>
        <w:t xml:space="preserve">I. Diseñar proyectos de programas conjuntos y coordinados de capacitación, actualización y profesionalización para los servidores públicos estatales y municipales, tendentes a cumplir con los objetivos del Sistema Estatal Anticorrupción, cuyo contenido sea previamente aprobado por el Comité Coordinador, así como establecer coordinación con las instancias competentes para su implementación; </w:t>
      </w:r>
    </w:p>
    <w:p w14:paraId="02090DA7" w14:textId="103E87FB" w:rsidR="00111FCC" w:rsidRDefault="00111FCC" w:rsidP="00220A9B">
      <w:pPr>
        <w:spacing w:after="0" w:line="360" w:lineRule="auto"/>
        <w:ind w:left="567" w:right="539"/>
        <w:contextualSpacing/>
        <w:rPr>
          <w:rFonts w:cs="Tahoma"/>
          <w:i/>
          <w:iCs/>
          <w:sz w:val="20"/>
          <w:szCs w:val="20"/>
        </w:rPr>
      </w:pPr>
      <w:r w:rsidRPr="00111FCC">
        <w:rPr>
          <w:rFonts w:cs="Tahoma"/>
          <w:i/>
          <w:iCs/>
          <w:sz w:val="20"/>
          <w:szCs w:val="20"/>
        </w:rPr>
        <w:t xml:space="preserve">II. Apoyar y dar seguimiento a la celebración de convenios, foros, seminarios, cursos y concursos que se lleven a cabo en el marco de las atribuciones de la Secretaría Ejecutiva en coordinación con las entidades miembro del Sistema Estatal Anticorrupción; </w:t>
      </w:r>
    </w:p>
    <w:p w14:paraId="0C64C0A1" w14:textId="77777777" w:rsidR="00111FCC" w:rsidRDefault="00111FCC" w:rsidP="00220A9B">
      <w:pPr>
        <w:spacing w:after="0" w:line="360" w:lineRule="auto"/>
        <w:ind w:left="567" w:right="539"/>
        <w:contextualSpacing/>
        <w:rPr>
          <w:rFonts w:cs="Tahoma"/>
          <w:i/>
          <w:iCs/>
          <w:sz w:val="20"/>
          <w:szCs w:val="20"/>
        </w:rPr>
      </w:pPr>
      <w:r w:rsidRPr="00111FCC">
        <w:rPr>
          <w:rFonts w:cs="Tahoma"/>
          <w:i/>
          <w:iCs/>
          <w:sz w:val="20"/>
          <w:szCs w:val="20"/>
        </w:rPr>
        <w:t xml:space="preserve">III. Proponer e impulsar mecanismos de colaboración y coordinación entre la Secretaría Ejecutiva y </w:t>
      </w:r>
      <w:proofErr w:type="gramStart"/>
      <w:r w:rsidRPr="00111FCC">
        <w:rPr>
          <w:rFonts w:cs="Tahoma"/>
          <w:i/>
          <w:iCs/>
          <w:sz w:val="20"/>
          <w:szCs w:val="20"/>
        </w:rPr>
        <w:t>las en</w:t>
      </w:r>
      <w:bookmarkStart w:id="4" w:name="_GoBack"/>
      <w:bookmarkEnd w:id="4"/>
      <w:r w:rsidRPr="00111FCC">
        <w:rPr>
          <w:rFonts w:cs="Tahoma"/>
          <w:i/>
          <w:iCs/>
          <w:sz w:val="20"/>
          <w:szCs w:val="20"/>
        </w:rPr>
        <w:t>tidades</w:t>
      </w:r>
      <w:proofErr w:type="gramEnd"/>
      <w:r w:rsidRPr="00111FCC">
        <w:rPr>
          <w:rFonts w:cs="Tahoma"/>
          <w:i/>
          <w:iCs/>
          <w:sz w:val="20"/>
          <w:szCs w:val="20"/>
        </w:rPr>
        <w:t xml:space="preserve"> miembro del Sistema Estatal Anticorrupción en materia de prevención, detección y disuasión de hechos de corrupción y faltas administrativas; </w:t>
      </w:r>
    </w:p>
    <w:p w14:paraId="3515B5E9" w14:textId="0ECCE150" w:rsidR="00111FCC" w:rsidRDefault="00111FCC" w:rsidP="00220A9B">
      <w:pPr>
        <w:spacing w:after="0" w:line="360" w:lineRule="auto"/>
        <w:ind w:left="567" w:right="539"/>
        <w:contextualSpacing/>
        <w:rPr>
          <w:rFonts w:cs="Tahoma"/>
          <w:i/>
          <w:iCs/>
          <w:sz w:val="20"/>
          <w:szCs w:val="20"/>
        </w:rPr>
      </w:pPr>
      <w:r w:rsidRPr="00111FCC">
        <w:rPr>
          <w:rFonts w:cs="Tahoma"/>
          <w:i/>
          <w:iCs/>
          <w:sz w:val="20"/>
          <w:szCs w:val="20"/>
        </w:rPr>
        <w:t>IV. Formular y proponer al Órgano de Gobierno por conducto del Secretario Técnico, el programa para dar cumplimiento a la política y estrategia de comunicación aprobada en la Política Estatal de la materia</w:t>
      </w:r>
    </w:p>
    <w:p w14:paraId="64EC83A4" w14:textId="60C28EAB" w:rsidR="00111FCC" w:rsidRDefault="00111FCC" w:rsidP="00220A9B">
      <w:pPr>
        <w:spacing w:after="0" w:line="360" w:lineRule="auto"/>
        <w:ind w:left="567" w:right="539"/>
        <w:contextualSpacing/>
        <w:rPr>
          <w:rFonts w:cs="Tahoma"/>
          <w:i/>
          <w:iCs/>
          <w:sz w:val="20"/>
          <w:szCs w:val="20"/>
        </w:rPr>
      </w:pPr>
      <w:r w:rsidRPr="00111FCC">
        <w:rPr>
          <w:rFonts w:cs="Tahoma"/>
          <w:i/>
          <w:iCs/>
          <w:sz w:val="20"/>
          <w:szCs w:val="20"/>
        </w:rPr>
        <w:t>V. Requerir información a los entes públicos con relación al cumplimiento de las políticas integrales implementadas que determine el Comité Coordinador, así como recabar datos, observaciones y propuestas requeridas para su evaluación, revisión o modificación de conformidad con los indicadores generados para tales efectos;</w:t>
      </w:r>
    </w:p>
    <w:p w14:paraId="22E83281" w14:textId="6004724C" w:rsidR="00111FCC" w:rsidRPr="00111FCC" w:rsidRDefault="00111FCC" w:rsidP="00220A9B">
      <w:pPr>
        <w:spacing w:after="0" w:line="360" w:lineRule="auto"/>
        <w:ind w:left="567" w:right="539"/>
        <w:contextualSpacing/>
        <w:rPr>
          <w:rFonts w:cs="Tahoma"/>
          <w:i/>
          <w:iCs/>
          <w:sz w:val="20"/>
          <w:szCs w:val="20"/>
        </w:rPr>
      </w:pPr>
      <w:r>
        <w:rPr>
          <w:rFonts w:cs="Tahoma"/>
          <w:i/>
          <w:iCs/>
          <w:sz w:val="20"/>
          <w:szCs w:val="20"/>
        </w:rPr>
        <w:lastRenderedPageBreak/>
        <w:t>VI a XIV…</w:t>
      </w:r>
    </w:p>
    <w:p w14:paraId="53182DE4" w14:textId="77777777" w:rsidR="00111FCC" w:rsidRDefault="00111FCC" w:rsidP="00220A9B">
      <w:pPr>
        <w:spacing w:after="0" w:line="360" w:lineRule="auto"/>
        <w:contextualSpacing/>
        <w:rPr>
          <w:rFonts w:cs="Tahoma"/>
        </w:rPr>
      </w:pPr>
    </w:p>
    <w:p w14:paraId="2417273D" w14:textId="737ED54F" w:rsidR="00C845BF" w:rsidRPr="00B81A06" w:rsidRDefault="00111FCC" w:rsidP="00220A9B">
      <w:pPr>
        <w:spacing w:line="360" w:lineRule="auto"/>
        <w:contextualSpacing/>
        <w:rPr>
          <w:rFonts w:cs="Tahoma"/>
          <w:bCs/>
        </w:rPr>
      </w:pPr>
      <w:r>
        <w:rPr>
          <w:rFonts w:cs="Tahoma"/>
        </w:rPr>
        <w:t>Derivado de lo anterior, se observa que el Sujeto Obligado turn</w:t>
      </w:r>
      <w:r w:rsidR="00B236F7">
        <w:rPr>
          <w:rFonts w:cs="Tahoma"/>
        </w:rPr>
        <w:t>ó</w:t>
      </w:r>
      <w:r>
        <w:rPr>
          <w:rFonts w:cs="Tahoma"/>
        </w:rPr>
        <w:t xml:space="preserve"> las solicitudes a la unidad administrativa que pudo haber contado con lo solicitado y que además fue señalada por el Particular en su solicitud</w:t>
      </w:r>
      <w:r w:rsidR="00C845BF">
        <w:rPr>
          <w:rFonts w:cs="Tahoma"/>
        </w:rPr>
        <w:t xml:space="preserve">, por lo que se observa que siguió el procedimiento de búsqueda </w:t>
      </w:r>
      <w:r w:rsidR="00C845BF" w:rsidRPr="00B81A06">
        <w:rPr>
          <w:rFonts w:cs="Tahoma"/>
        </w:rPr>
        <w:t>previsto en los artículos</w:t>
      </w:r>
      <w:r w:rsidR="00C845BF" w:rsidRPr="00B81A06">
        <w:rPr>
          <w:rFonts w:cs="Tahoma"/>
          <w:bCs/>
        </w:rPr>
        <w:t xml:space="preserve"> 160 y 162 de la Ley de Transparencia y Acceso a la Información Pública del Estado de México y Municipios, mismo que es el siguiente:</w:t>
      </w:r>
    </w:p>
    <w:p w14:paraId="27492661" w14:textId="77777777" w:rsidR="00C845BF" w:rsidRPr="00B81A06" w:rsidRDefault="00C845BF" w:rsidP="00220A9B">
      <w:pPr>
        <w:spacing w:line="360" w:lineRule="auto"/>
        <w:contextualSpacing/>
        <w:rPr>
          <w:rFonts w:cs="Tahoma"/>
          <w:bCs/>
          <w:iCs/>
        </w:rPr>
      </w:pPr>
    </w:p>
    <w:p w14:paraId="3C521B33" w14:textId="77777777" w:rsidR="00C845BF" w:rsidRPr="00B81A06" w:rsidRDefault="00C845BF" w:rsidP="00220A9B">
      <w:pPr>
        <w:numPr>
          <w:ilvl w:val="0"/>
          <w:numId w:val="48"/>
        </w:numPr>
        <w:spacing w:after="0" w:line="360" w:lineRule="auto"/>
        <w:contextualSpacing/>
        <w:rPr>
          <w:rFonts w:cs="Tahoma"/>
          <w:bCs/>
          <w:iCs/>
          <w:lang w:val="es-ES"/>
        </w:rPr>
      </w:pPr>
      <w:r w:rsidRPr="00B81A06">
        <w:rPr>
          <w:rFonts w:cs="Tahoma"/>
          <w:bCs/>
          <w:i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4EA43B4" w14:textId="77777777" w:rsidR="00C845BF" w:rsidRPr="00B81A06" w:rsidRDefault="00C845BF" w:rsidP="00220A9B">
      <w:pPr>
        <w:spacing w:line="360" w:lineRule="auto"/>
        <w:contextualSpacing/>
        <w:rPr>
          <w:rFonts w:cs="Tahoma"/>
          <w:bCs/>
          <w:iCs/>
          <w:lang w:val="es-ES"/>
        </w:rPr>
      </w:pPr>
    </w:p>
    <w:p w14:paraId="1A341182" w14:textId="77777777" w:rsidR="00C845BF" w:rsidRPr="00B81A06" w:rsidRDefault="00C845BF" w:rsidP="00220A9B">
      <w:pPr>
        <w:numPr>
          <w:ilvl w:val="0"/>
          <w:numId w:val="48"/>
        </w:numPr>
        <w:spacing w:after="0" w:line="360" w:lineRule="auto"/>
        <w:contextualSpacing/>
        <w:rPr>
          <w:rFonts w:cs="Tahoma"/>
          <w:bCs/>
          <w:iCs/>
          <w:lang w:val="es-ES"/>
        </w:rPr>
      </w:pPr>
      <w:r w:rsidRPr="00B81A06">
        <w:rPr>
          <w:rFonts w:cs="Tahoma"/>
          <w:bCs/>
          <w:i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A9055C8" w14:textId="77777777" w:rsidR="00C845BF" w:rsidRPr="00B81A06" w:rsidRDefault="00C845BF" w:rsidP="00220A9B">
      <w:pPr>
        <w:spacing w:line="360" w:lineRule="auto"/>
        <w:contextualSpacing/>
        <w:rPr>
          <w:rFonts w:cs="Tahoma"/>
          <w:bCs/>
          <w:iCs/>
        </w:rPr>
      </w:pPr>
    </w:p>
    <w:p w14:paraId="0286C37C" w14:textId="77777777" w:rsidR="008852F2" w:rsidRPr="00B00476" w:rsidRDefault="00C845BF" w:rsidP="00220A9B">
      <w:pPr>
        <w:spacing w:line="360" w:lineRule="auto"/>
        <w:ind w:right="-93"/>
        <w:contextualSpacing/>
        <w:rPr>
          <w:rFonts w:cs="Tahoma"/>
          <w:iCs/>
          <w:lang w:eastAsia="es-ES_tradnl"/>
        </w:rPr>
      </w:pPr>
      <w:r>
        <w:rPr>
          <w:rFonts w:cs="Tahoma"/>
        </w:rPr>
        <w:t xml:space="preserve">Ahora, en respuesta manifestó que </w:t>
      </w:r>
      <w:r w:rsidRPr="00C845BF">
        <w:rPr>
          <w:rFonts w:cs="Tahoma"/>
        </w:rPr>
        <w:t>la información relevante al acompañamiento permanente y seguimiento a la instalación de los Sistemas Municipales Anticorrupción se encuentra en los informes anuales del Comité Coordinador</w:t>
      </w:r>
      <w:r>
        <w:rPr>
          <w:rFonts w:cs="Tahoma"/>
        </w:rPr>
        <w:t>, por lo que proporcionó diversas ligas electrónicas en las que supuestamente se podían consultar, sin embargo, estas se encuentran en datos cerrados</w:t>
      </w:r>
      <w:r w:rsidR="008852F2">
        <w:rPr>
          <w:rFonts w:cs="Tahoma"/>
        </w:rPr>
        <w:t xml:space="preserve">, </w:t>
      </w:r>
      <w:r w:rsidR="008852F2" w:rsidRPr="00B00476">
        <w:rPr>
          <w:rFonts w:cs="Tahoma"/>
          <w:iCs/>
          <w:lang w:eastAsia="es-ES_tradnl"/>
        </w:rPr>
        <w:t>esto implica que el Recurrente, para acceder a la información tenga que capturar cada carácter que integra la liga, lo que conlleva a que, con algún error, no acceda a la información.</w:t>
      </w:r>
    </w:p>
    <w:p w14:paraId="111F476B" w14:textId="6900AA99" w:rsidR="008852F2" w:rsidRPr="00B00476" w:rsidRDefault="008852F2" w:rsidP="00220A9B">
      <w:pPr>
        <w:spacing w:line="360" w:lineRule="auto"/>
        <w:ind w:right="-93"/>
        <w:contextualSpacing/>
        <w:rPr>
          <w:rFonts w:cs="Tahoma"/>
          <w:iCs/>
          <w:lang w:eastAsia="es-ES_tradnl"/>
        </w:rPr>
      </w:pPr>
      <w:r w:rsidRPr="00B00476">
        <w:rPr>
          <w:rFonts w:cs="Tahoma"/>
          <w:iCs/>
          <w:lang w:eastAsia="es-ES_tradnl"/>
        </w:rPr>
        <w:lastRenderedPageBreak/>
        <w:t xml:space="preserve">Visto lo anterior, es necesario precisar que, para tener acceso a las ligas proporcionadas por parte del </w:t>
      </w:r>
      <w:r w:rsidRPr="00B00476">
        <w:rPr>
          <w:rFonts w:cs="Tahoma"/>
          <w:b/>
          <w:iCs/>
          <w:lang w:eastAsia="es-ES_tradnl"/>
        </w:rPr>
        <w:t>Sujeto Obligado</w:t>
      </w:r>
      <w:r w:rsidRPr="00B00476">
        <w:rPr>
          <w:rFonts w:cs="Tahoma"/>
          <w:iCs/>
          <w:lang w:eastAsia="es-ES_tradnl"/>
        </w:rPr>
        <w:t xml:space="preserve">, es necesario capturar la dirección electrónica carácter por carácter, ya que el documento digitalizado a través del cual se proporcionó </w:t>
      </w:r>
      <w:r w:rsidR="00B236F7">
        <w:rPr>
          <w:rFonts w:cs="Tahoma"/>
          <w:iCs/>
          <w:lang w:eastAsia="es-ES_tradnl"/>
        </w:rPr>
        <w:t>la dirección electrónica</w:t>
      </w:r>
      <w:r w:rsidRPr="00B00476">
        <w:rPr>
          <w:rFonts w:cs="Tahoma"/>
          <w:iCs/>
          <w:lang w:eastAsia="es-ES_tradnl"/>
        </w:rPr>
        <w:t xml:space="preserve"> no permite editar, modificar o procesar su contenido, asimismo, es imprescindible mencionar que dicha liga electrónica está compuesta por diversos caracteres, así como por mayúsculas y minúsculas, por lo que no es posible distinguir dichos caracteres. </w:t>
      </w:r>
    </w:p>
    <w:p w14:paraId="7803866F" w14:textId="77777777" w:rsidR="008852F2" w:rsidRPr="00B00476" w:rsidRDefault="008852F2" w:rsidP="00220A9B">
      <w:pPr>
        <w:spacing w:line="360" w:lineRule="auto"/>
        <w:ind w:right="-93"/>
        <w:contextualSpacing/>
        <w:rPr>
          <w:rFonts w:cs="Tahoma"/>
          <w:iCs/>
          <w:lang w:eastAsia="es-ES_tradnl"/>
        </w:rPr>
      </w:pPr>
    </w:p>
    <w:p w14:paraId="3A495895" w14:textId="77777777" w:rsidR="008852F2" w:rsidRPr="00B00476" w:rsidRDefault="008852F2" w:rsidP="00220A9B">
      <w:pPr>
        <w:spacing w:line="360" w:lineRule="auto"/>
        <w:ind w:right="-93"/>
        <w:contextualSpacing/>
        <w:rPr>
          <w:rFonts w:cs="Tahoma"/>
          <w:iCs/>
          <w:lang w:val="es-ES" w:eastAsia="es-ES_tradnl"/>
        </w:rPr>
      </w:pPr>
      <w:r w:rsidRPr="00B00476">
        <w:rPr>
          <w:rFonts w:cs="Tahoma"/>
          <w:iCs/>
          <w:lang w:val="es-ES" w:eastAsia="es-ES_tradnl"/>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2AD81EED" w14:textId="77777777" w:rsidR="008852F2" w:rsidRPr="00B00476" w:rsidRDefault="008852F2" w:rsidP="00220A9B">
      <w:pPr>
        <w:spacing w:line="360" w:lineRule="auto"/>
        <w:ind w:right="-93"/>
        <w:contextualSpacing/>
        <w:rPr>
          <w:rFonts w:cs="Tahoma"/>
          <w:iCs/>
          <w:lang w:val="es-ES" w:eastAsia="es-ES_tradnl"/>
        </w:rPr>
      </w:pPr>
    </w:p>
    <w:p w14:paraId="402738EC" w14:textId="77777777" w:rsidR="008852F2" w:rsidRPr="00B00476" w:rsidRDefault="008852F2" w:rsidP="00220A9B">
      <w:pPr>
        <w:spacing w:line="360" w:lineRule="auto"/>
        <w:ind w:right="-93"/>
        <w:contextualSpacing/>
        <w:rPr>
          <w:rFonts w:cs="Tahoma"/>
          <w:b/>
          <w:bCs/>
          <w:i/>
          <w:iCs/>
          <w:lang w:val="es-ES" w:eastAsia="es-ES_tradnl"/>
        </w:rPr>
      </w:pPr>
      <w:r w:rsidRPr="00B00476">
        <w:rPr>
          <w:rFonts w:cs="Tahoma"/>
          <w:bCs/>
          <w:iCs/>
          <w:lang w:val="es-ES" w:eastAsia="es-ES_tradnl"/>
        </w:rPr>
        <w:t>Derivado de lo anterior, se considera necesario precisar que datos abiertos, conforme a la Carta Internacional de Datos Abiertos (</w:t>
      </w:r>
      <w:hyperlink r:id="rId13" w:history="1">
        <w:r w:rsidRPr="00B00476">
          <w:rPr>
            <w:rStyle w:val="Hipervnculo"/>
            <w:rFonts w:cs="Tahoma"/>
            <w:bCs/>
            <w:iCs/>
            <w:lang w:val="es-ES" w:eastAsia="es-ES_tradnl"/>
          </w:rPr>
          <w:t>https://opendatacharter.net/principles-es/</w:t>
        </w:r>
      </w:hyperlink>
      <w:r w:rsidRPr="00B00476">
        <w:rPr>
          <w:rFonts w:cs="Tahoma"/>
          <w:bCs/>
          <w:iCs/>
          <w:lang w:val="es-ES" w:eastAsia="es-ES_tradnl"/>
        </w:rPr>
        <w:t xml:space="preserve">) </w:t>
      </w:r>
      <w:r w:rsidRPr="00B00476">
        <w:rPr>
          <w:rFonts w:cs="Tahoma"/>
          <w:bCs/>
          <w:i/>
          <w:iCs/>
          <w:lang w:val="es-ES" w:eastAsia="es-ES_tradnl"/>
        </w:rPr>
        <w:t xml:space="preserve">son datos digitales que son puestos a disposición con las características técnicas y jurídicas necesarias para que </w:t>
      </w:r>
      <w:r w:rsidRPr="00B00476">
        <w:rPr>
          <w:rFonts w:cs="Tahoma"/>
          <w:b/>
          <w:bCs/>
          <w:i/>
          <w:iCs/>
          <w:lang w:val="es-ES" w:eastAsia="es-ES_tradnl"/>
        </w:rPr>
        <w:t xml:space="preserve">puedan ser </w:t>
      </w:r>
      <w:r w:rsidRPr="00B00476">
        <w:rPr>
          <w:rFonts w:cs="Tahoma"/>
          <w:b/>
          <w:bCs/>
          <w:i/>
          <w:iCs/>
          <w:u w:val="single"/>
          <w:lang w:val="es-ES" w:eastAsia="es-ES_tradnl"/>
        </w:rPr>
        <w:t>usados, reutilizados y redistribuidos</w:t>
      </w:r>
      <w:r w:rsidRPr="00B00476">
        <w:rPr>
          <w:rFonts w:cs="Tahoma"/>
          <w:b/>
          <w:bCs/>
          <w:i/>
          <w:iCs/>
          <w:lang w:val="es-ES" w:eastAsia="es-ES_tradnl"/>
        </w:rPr>
        <w:t xml:space="preserve"> libremente por cualquier persona, en cualquier momento y en cualquier lugar.</w:t>
      </w:r>
    </w:p>
    <w:p w14:paraId="3BBF92DF" w14:textId="77777777" w:rsidR="008852F2" w:rsidRPr="00B00476" w:rsidRDefault="008852F2" w:rsidP="00220A9B">
      <w:pPr>
        <w:spacing w:line="360" w:lineRule="auto"/>
        <w:ind w:right="-93"/>
        <w:contextualSpacing/>
        <w:rPr>
          <w:rFonts w:cs="Tahoma"/>
          <w:b/>
          <w:bCs/>
          <w:i/>
          <w:iCs/>
          <w:lang w:val="es-ES" w:eastAsia="es-ES_tradnl"/>
        </w:rPr>
      </w:pPr>
    </w:p>
    <w:p w14:paraId="3F724662" w14:textId="77777777" w:rsidR="008852F2" w:rsidRPr="00B00476" w:rsidRDefault="008852F2" w:rsidP="00220A9B">
      <w:pPr>
        <w:spacing w:line="360" w:lineRule="auto"/>
        <w:ind w:right="-93"/>
        <w:contextualSpacing/>
        <w:rPr>
          <w:rFonts w:cs="Tahoma"/>
          <w:iCs/>
          <w:lang w:val="es-ES" w:eastAsia="es-ES_tradnl"/>
        </w:rPr>
      </w:pPr>
      <w:r w:rsidRPr="00B00476">
        <w:rPr>
          <w:rFonts w:cs="Tahoma"/>
          <w:iCs/>
          <w:lang w:val="es-ES" w:eastAsia="es-ES_tradnl"/>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E03017C" w14:textId="77777777" w:rsidR="008852F2" w:rsidRPr="00B00476" w:rsidRDefault="008852F2" w:rsidP="00220A9B">
      <w:pPr>
        <w:spacing w:line="360" w:lineRule="auto"/>
        <w:ind w:right="-93"/>
        <w:contextualSpacing/>
        <w:rPr>
          <w:rFonts w:cs="Tahoma"/>
          <w:iCs/>
          <w:lang w:val="es-ES" w:eastAsia="es-ES_tradnl"/>
        </w:rPr>
      </w:pPr>
    </w:p>
    <w:p w14:paraId="2201AEF3" w14:textId="77777777" w:rsidR="008852F2" w:rsidRDefault="008852F2" w:rsidP="00B236F7">
      <w:pPr>
        <w:pStyle w:val="Prrafodelista"/>
        <w:numPr>
          <w:ilvl w:val="0"/>
          <w:numId w:val="50"/>
        </w:numPr>
        <w:spacing w:line="360" w:lineRule="auto"/>
        <w:ind w:right="-93"/>
        <w:rPr>
          <w:rFonts w:ascii="Palatino Linotype" w:hAnsi="Palatino Linotype" w:cs="Tahoma"/>
          <w:i/>
          <w:iCs/>
          <w:sz w:val="20"/>
          <w:lang w:val="es-ES" w:eastAsia="es-ES_tradnl"/>
        </w:rPr>
      </w:pPr>
      <w:r w:rsidRPr="00B236F7">
        <w:rPr>
          <w:rFonts w:ascii="Palatino Linotype" w:hAnsi="Palatino Linotype" w:cs="Tahoma"/>
          <w:b/>
          <w:bCs/>
          <w:i/>
          <w:iCs/>
          <w:sz w:val="20"/>
          <w:lang w:val="es-ES" w:eastAsia="es-ES_tradnl"/>
        </w:rPr>
        <w:lastRenderedPageBreak/>
        <w:t xml:space="preserve">VIII. Dato abierto: </w:t>
      </w:r>
      <w:r w:rsidRPr="00B236F7">
        <w:rPr>
          <w:rFonts w:ascii="Palatino Linotype" w:hAnsi="Palatino Linotype" w:cs="Tahoma"/>
          <w:i/>
          <w:iCs/>
          <w:sz w:val="20"/>
          <w:lang w:val="es-ES" w:eastAsia="es-ES_tradnl"/>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BAA962D" w14:textId="77777777" w:rsidR="00B236F7" w:rsidRPr="00B236F7" w:rsidRDefault="00B236F7" w:rsidP="00B236F7">
      <w:pPr>
        <w:pStyle w:val="Prrafodelista"/>
        <w:spacing w:line="360" w:lineRule="auto"/>
        <w:ind w:left="1287" w:right="-93"/>
        <w:rPr>
          <w:rFonts w:ascii="Palatino Linotype" w:hAnsi="Palatino Linotype" w:cs="Tahoma"/>
          <w:i/>
          <w:iCs/>
          <w:sz w:val="20"/>
          <w:lang w:val="es-ES" w:eastAsia="es-ES_tradnl"/>
        </w:rPr>
      </w:pPr>
    </w:p>
    <w:p w14:paraId="09226446" w14:textId="77777777" w:rsidR="008852F2" w:rsidRPr="00B236F7" w:rsidRDefault="008852F2" w:rsidP="00B236F7">
      <w:pPr>
        <w:pStyle w:val="Prrafodelista"/>
        <w:numPr>
          <w:ilvl w:val="0"/>
          <w:numId w:val="50"/>
        </w:numPr>
        <w:spacing w:line="360" w:lineRule="auto"/>
        <w:ind w:right="-93"/>
        <w:rPr>
          <w:rFonts w:ascii="Palatino Linotype" w:hAnsi="Palatino Linotype" w:cs="Tahoma"/>
          <w:i/>
          <w:iCs/>
          <w:sz w:val="20"/>
          <w:lang w:val="es-ES" w:eastAsia="es-ES_tradnl"/>
        </w:rPr>
      </w:pPr>
      <w:r w:rsidRPr="00B236F7">
        <w:rPr>
          <w:rFonts w:ascii="Palatino Linotype" w:hAnsi="Palatino Linotype" w:cs="Tahoma"/>
          <w:b/>
          <w:bCs/>
          <w:i/>
          <w:iCs/>
          <w:sz w:val="20"/>
          <w:lang w:val="es-ES" w:eastAsia="es-ES_tradnl"/>
        </w:rPr>
        <w:t xml:space="preserve">XVI. Formato accesible: </w:t>
      </w:r>
      <w:r w:rsidRPr="00B236F7">
        <w:rPr>
          <w:rFonts w:ascii="Palatino Linotype" w:hAnsi="Palatino Linotype" w:cs="Tahoma"/>
          <w:i/>
          <w:iCs/>
          <w:sz w:val="20"/>
          <w:lang w:val="es-ES" w:eastAsia="es-ES_tradnl"/>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D06E72F" w14:textId="77777777" w:rsidR="008852F2" w:rsidRPr="00B00476" w:rsidRDefault="008852F2" w:rsidP="00220A9B">
      <w:pPr>
        <w:spacing w:line="360" w:lineRule="auto"/>
        <w:ind w:right="-93"/>
        <w:contextualSpacing/>
        <w:rPr>
          <w:rFonts w:cs="Tahoma"/>
          <w:i/>
          <w:iCs/>
          <w:lang w:val="es-ES" w:eastAsia="es-ES_tradnl"/>
        </w:rPr>
      </w:pPr>
    </w:p>
    <w:p w14:paraId="5CDFB3BD" w14:textId="77777777" w:rsidR="008852F2" w:rsidRPr="00B00476" w:rsidRDefault="008852F2" w:rsidP="00220A9B">
      <w:pPr>
        <w:spacing w:line="360" w:lineRule="auto"/>
        <w:ind w:right="-93"/>
        <w:contextualSpacing/>
        <w:rPr>
          <w:rFonts w:cs="Tahoma"/>
          <w:bCs/>
          <w:iCs/>
          <w:lang w:val="es-ES" w:eastAsia="es-ES_tradnl"/>
        </w:rPr>
      </w:pPr>
      <w:r w:rsidRPr="00B00476">
        <w:rPr>
          <w:rFonts w:cs="Tahoma"/>
          <w:bCs/>
          <w:iCs/>
          <w:lang w:val="es-ES" w:eastAsia="es-ES_tradnl"/>
        </w:rPr>
        <w:t>En este sentido, los datos abiertos cumplen con la finalidad de poder ser utilizados, reutilizados</w:t>
      </w:r>
      <w:r w:rsidRPr="00B00476">
        <w:rPr>
          <w:rFonts w:cs="Tahoma"/>
          <w:b/>
          <w:bCs/>
          <w:iCs/>
          <w:u w:val="single"/>
          <w:lang w:val="es-ES" w:eastAsia="es-ES_tradnl"/>
        </w:rPr>
        <w:t xml:space="preserve"> </w:t>
      </w:r>
      <w:r w:rsidRPr="00B00476">
        <w:rPr>
          <w:rFonts w:cs="Tahoma"/>
          <w:bCs/>
          <w:iCs/>
          <w:lang w:val="es-ES" w:eastAsia="es-ES_tradnl"/>
        </w:rPr>
        <w:t xml:space="preserve">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7E13D5">
        <w:rPr>
          <w:rFonts w:cs="Tahoma"/>
          <w:bCs/>
          <w:i/>
          <w:lang w:val="es-ES" w:eastAsia="es-ES_tradnl"/>
        </w:rPr>
        <w:t>pdf</w:t>
      </w:r>
      <w:proofErr w:type="spellEnd"/>
      <w:r w:rsidRPr="00B00476">
        <w:rPr>
          <w:rFonts w:cs="Tahoma"/>
          <w:bCs/>
          <w:iCs/>
          <w:lang w:val="es-ES" w:eastAsia="es-ES_tradnl"/>
        </w:rPr>
        <w:t>, no permite seleccionar texto, copiarlo y pegarlo; por tanto, tampoco permite que la información pueda ser utilizada, reutilizada o redistribuida.</w:t>
      </w:r>
    </w:p>
    <w:p w14:paraId="0CFF464F" w14:textId="77777777" w:rsidR="008852F2" w:rsidRDefault="008852F2" w:rsidP="00220A9B">
      <w:pPr>
        <w:spacing w:line="360" w:lineRule="auto"/>
        <w:ind w:right="-93"/>
        <w:contextualSpacing/>
        <w:rPr>
          <w:rFonts w:cs="Tahoma"/>
          <w:iCs/>
          <w:lang w:val="es-ES" w:eastAsia="es-ES_tradnl"/>
        </w:rPr>
      </w:pPr>
    </w:p>
    <w:p w14:paraId="383906B6" w14:textId="77777777" w:rsidR="008852F2" w:rsidRPr="00B00476" w:rsidRDefault="008852F2" w:rsidP="00220A9B">
      <w:pPr>
        <w:spacing w:line="360" w:lineRule="auto"/>
        <w:ind w:right="-93"/>
        <w:contextualSpacing/>
        <w:rPr>
          <w:rFonts w:cs="Tahoma"/>
          <w:iCs/>
          <w:lang w:val="es-ES" w:eastAsia="es-ES_tradnl"/>
        </w:rPr>
      </w:pPr>
      <w:r w:rsidRPr="00B00476">
        <w:rPr>
          <w:rFonts w:cs="Tahoma"/>
          <w:iCs/>
          <w:lang w:val="es-ES" w:eastAsia="es-ES_tradnl"/>
        </w:rPr>
        <w:t xml:space="preserve">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 que se deberá garantizar que la entrega de la información sea accesible, actualizada, completa, congruente, confiable, verificable, veraz, integral, oportuna y expedita y que cuando esté disponible en formatos electrónicos se le hará saber al solicitante la fuente, lugar y la forma en la que pude consultarla, de manera precisa y concreta sin implicar que el solicitante realice una búsqueda en toda la información que se encuentre disponible.  </w:t>
      </w:r>
    </w:p>
    <w:p w14:paraId="4EC39994" w14:textId="769E474B" w:rsidR="008852F2" w:rsidRPr="00BF7391" w:rsidRDefault="008852F2" w:rsidP="00F5719A">
      <w:pPr>
        <w:spacing w:line="360" w:lineRule="auto"/>
        <w:ind w:right="-93"/>
        <w:contextualSpacing/>
        <w:rPr>
          <w:rFonts w:cs="Tahoma"/>
        </w:rPr>
      </w:pPr>
      <w:r w:rsidRPr="00B00476">
        <w:rPr>
          <w:rFonts w:cs="Tahoma"/>
          <w:iCs/>
          <w:lang w:eastAsia="es-ES_tradnl"/>
        </w:rPr>
        <w:lastRenderedPageBreak/>
        <w:t>Disposiciones legales, que establecen el procedimiento que debe seguir el Sujeto Obligado</w:t>
      </w:r>
      <w:r w:rsidRPr="00B00476">
        <w:rPr>
          <w:rFonts w:cs="Tahoma"/>
          <w:b/>
          <w:iCs/>
          <w:lang w:eastAsia="es-ES_tradnl"/>
        </w:rPr>
        <w:t xml:space="preserve"> </w:t>
      </w:r>
      <w:r w:rsidRPr="00B00476">
        <w:rPr>
          <w:rFonts w:cs="Tahoma"/>
          <w:iCs/>
          <w:lang w:eastAsia="es-ES_tradnl"/>
        </w:rPr>
        <w:t xml:space="preserve">para que pueda tomarse como válida su orientación sobre la forma en que puede consultar la información requerida, </w:t>
      </w:r>
      <w:r>
        <w:rPr>
          <w:rFonts w:cs="Tahoma"/>
          <w:iCs/>
          <w:lang w:eastAsia="es-ES_tradnl"/>
        </w:rPr>
        <w:t xml:space="preserve">no obstante, aun y cuando ya se refirió que no se puede acceder a las ligas electrónicas, </w:t>
      </w:r>
      <w:r w:rsidR="00112946">
        <w:rPr>
          <w:rFonts w:cs="Tahoma"/>
          <w:iCs/>
          <w:lang w:eastAsia="es-ES_tradnl"/>
        </w:rPr>
        <w:t xml:space="preserve">el Sujeto Obligado </w:t>
      </w:r>
      <w:r>
        <w:rPr>
          <w:rFonts w:cs="Tahoma"/>
          <w:iCs/>
          <w:lang w:eastAsia="es-ES_tradnl"/>
        </w:rPr>
        <w:t xml:space="preserve">hizo llegar junto con las respuestas los informes anuales mencionados en formato </w:t>
      </w:r>
      <w:proofErr w:type="spellStart"/>
      <w:r w:rsidRPr="00F5719A">
        <w:rPr>
          <w:rFonts w:cs="Tahoma"/>
          <w:iCs/>
          <w:lang w:eastAsia="es-ES_tradnl"/>
        </w:rPr>
        <w:t>pdf</w:t>
      </w:r>
      <w:proofErr w:type="spellEnd"/>
      <w:r w:rsidRPr="00F5719A">
        <w:rPr>
          <w:rFonts w:cs="Tahoma"/>
          <w:iCs/>
          <w:lang w:eastAsia="es-ES_tradnl"/>
        </w:rPr>
        <w:t>., en ese sentido</w:t>
      </w:r>
      <w:r w:rsidR="000231CD" w:rsidRPr="00F5719A">
        <w:rPr>
          <w:rFonts w:cs="Tahoma"/>
        </w:rPr>
        <w:t>,</w:t>
      </w:r>
      <w:r w:rsidRPr="00F5719A">
        <w:rPr>
          <w:rFonts w:cs="Tahoma"/>
        </w:rPr>
        <w:t xml:space="preserve"> es preciso</w:t>
      </w:r>
      <w:r w:rsidRPr="00BF7391">
        <w:rPr>
          <w:rFonts w:cs="Tahoma"/>
        </w:rPr>
        <w:t xml:space="preserve"> señalar que</w:t>
      </w:r>
      <w:r w:rsidR="000231CD">
        <w:rPr>
          <w:rFonts w:cs="Tahoma"/>
        </w:rPr>
        <w:t>,</w:t>
      </w:r>
      <w:r w:rsidRPr="00BF7391">
        <w:rPr>
          <w:rFonts w:cs="Tahoma"/>
        </w:rPr>
        <w:t xml:space="preserve"> </w:t>
      </w:r>
      <w:r w:rsidR="000231CD">
        <w:rPr>
          <w:rFonts w:cs="Tahoma"/>
        </w:rPr>
        <w:t>d</w:t>
      </w:r>
      <w:r w:rsidRPr="00BF7391">
        <w:rPr>
          <w:rFonts w:cs="Tahoma"/>
        </w:rPr>
        <w:t>el planteamiento de la</w:t>
      </w:r>
      <w:r>
        <w:rPr>
          <w:rFonts w:cs="Tahoma"/>
        </w:rPr>
        <w:t>s</w:t>
      </w:r>
      <w:r w:rsidRPr="00BF7391">
        <w:rPr>
          <w:rFonts w:cs="Tahoma"/>
        </w:rPr>
        <w:t xml:space="preserve"> solicitud</w:t>
      </w:r>
      <w:r>
        <w:rPr>
          <w:rFonts w:cs="Tahoma"/>
        </w:rPr>
        <w:t>es</w:t>
      </w:r>
      <w:r w:rsidRPr="00BF7391">
        <w:rPr>
          <w:rFonts w:cs="Tahoma"/>
        </w:rPr>
        <w:t>, realizad</w:t>
      </w:r>
      <w:r>
        <w:rPr>
          <w:rFonts w:cs="Tahoma"/>
        </w:rPr>
        <w:t>as</w:t>
      </w:r>
      <w:r w:rsidRPr="00BF7391">
        <w:rPr>
          <w:rFonts w:cs="Tahoma"/>
        </w:rPr>
        <w:t xml:space="preserve"> por el Particular, </w:t>
      </w:r>
      <w:r w:rsidR="000231CD">
        <w:rPr>
          <w:rFonts w:cs="Tahoma"/>
        </w:rPr>
        <w:t>no se observa un documento en específico al que quiera tener acceso</w:t>
      </w:r>
      <w:r w:rsidRPr="00BF7391">
        <w:rPr>
          <w:rFonts w:cs="Tahoma"/>
        </w:rPr>
        <w:t>, para lo que el Instituto Nacional de Transparencia, Acceso a la Información Pública y Protección de Datos Personales, emitió el criterio con clave de control SO/016/2017, que contempla:</w:t>
      </w:r>
    </w:p>
    <w:p w14:paraId="40E79184" w14:textId="77777777" w:rsidR="008852F2" w:rsidRPr="00BF7391" w:rsidRDefault="008852F2" w:rsidP="00220A9B">
      <w:pPr>
        <w:spacing w:line="360" w:lineRule="auto"/>
        <w:contextualSpacing/>
        <w:rPr>
          <w:rFonts w:cs="Tahoma"/>
        </w:rPr>
      </w:pPr>
    </w:p>
    <w:p w14:paraId="0EC64B20" w14:textId="77777777" w:rsidR="008852F2" w:rsidRPr="00D36EB4" w:rsidRDefault="008852F2" w:rsidP="00220A9B">
      <w:pPr>
        <w:spacing w:line="360" w:lineRule="auto"/>
        <w:ind w:left="567" w:right="539"/>
        <w:contextualSpacing/>
        <w:rPr>
          <w:rFonts w:cs="Tahoma"/>
          <w:bCs/>
          <w:i/>
          <w:iCs/>
          <w:sz w:val="20"/>
        </w:rPr>
      </w:pPr>
      <w:r w:rsidRPr="00D36EB4">
        <w:rPr>
          <w:rFonts w:cs="Tahoma"/>
          <w:b/>
          <w:i/>
          <w:iCs/>
          <w:sz w:val="20"/>
        </w:rPr>
        <w:t>Expresión documental.</w:t>
      </w:r>
      <w:r w:rsidRPr="00D36EB4">
        <w:rPr>
          <w:rFonts w:cs="Tahoma"/>
          <w:bCs/>
          <w:i/>
          <w:iCs/>
          <w:sz w:val="20"/>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683CB9C1" w14:textId="77777777" w:rsidR="008852F2" w:rsidRPr="00BF7391" w:rsidRDefault="008852F2" w:rsidP="00220A9B">
      <w:pPr>
        <w:spacing w:line="360" w:lineRule="auto"/>
        <w:contextualSpacing/>
        <w:rPr>
          <w:rFonts w:cs="Tahoma"/>
          <w:bCs/>
          <w:i/>
          <w:iCs/>
        </w:rPr>
      </w:pPr>
    </w:p>
    <w:p w14:paraId="7CAF049D" w14:textId="75B544F0" w:rsidR="008852F2" w:rsidRPr="00BF7391" w:rsidRDefault="008852F2" w:rsidP="00220A9B">
      <w:pPr>
        <w:spacing w:line="360" w:lineRule="auto"/>
        <w:contextualSpacing/>
        <w:rPr>
          <w:rFonts w:cs="Tahoma"/>
          <w:iCs/>
          <w:lang w:val="es-ES" w:eastAsia="es-ES_tradnl"/>
        </w:rPr>
      </w:pPr>
      <w:r w:rsidRPr="00BF7391">
        <w:rPr>
          <w:rFonts w:cs="Tahoma"/>
        </w:rPr>
        <w:t xml:space="preserve">Es así que </w:t>
      </w:r>
      <w:r w:rsidR="000231CD">
        <w:rPr>
          <w:rFonts w:cs="Tahoma"/>
        </w:rPr>
        <w:t>el</w:t>
      </w:r>
      <w:r w:rsidRPr="00BF7391">
        <w:rPr>
          <w:rFonts w:cs="Tahoma"/>
        </w:rPr>
        <w:t xml:space="preserve"> Sujeto Obligado, </w:t>
      </w:r>
      <w:r w:rsidR="00112946">
        <w:rPr>
          <w:rFonts w:cs="Tahoma"/>
        </w:rPr>
        <w:t xml:space="preserve">identificó </w:t>
      </w:r>
      <w:r w:rsidRPr="00BF7391">
        <w:rPr>
          <w:rFonts w:cs="Tahoma"/>
        </w:rPr>
        <w:t xml:space="preserve"> </w:t>
      </w:r>
      <w:r w:rsidR="00112946">
        <w:rPr>
          <w:rFonts w:cs="Tahoma"/>
        </w:rPr>
        <w:t>los documentos en donde constan las acciones realizadas en conjunto con los municipios</w:t>
      </w:r>
      <w:r w:rsidRPr="00BF7391">
        <w:rPr>
          <w:rFonts w:cs="Tahoma"/>
        </w:rPr>
        <w:t xml:space="preserve">. </w:t>
      </w:r>
      <w:r w:rsidR="00112946">
        <w:rPr>
          <w:rFonts w:cs="Tahoma"/>
        </w:rPr>
        <w:t>Por ello</w:t>
      </w:r>
      <w:r>
        <w:rPr>
          <w:rFonts w:cs="Tahoma"/>
        </w:rPr>
        <w:t xml:space="preserve">, </w:t>
      </w:r>
      <w:r w:rsidRPr="00BF7391">
        <w:rPr>
          <w:rFonts w:cs="Tahoma"/>
        </w:rPr>
        <w:t>es</w:t>
      </w:r>
      <w:r>
        <w:rPr>
          <w:rFonts w:cs="Tahoma"/>
        </w:rPr>
        <w:t xml:space="preserve"> de señalar </w:t>
      </w:r>
      <w:r w:rsidRPr="00BF7391">
        <w:rPr>
          <w:rFonts w:cs="Tahoma"/>
          <w:bCs/>
        </w:rPr>
        <w:t xml:space="preserve">que los sujetos obligados para atender el derecho de acceso a la información no están obligados a elaborar documentos </w:t>
      </w:r>
      <w:r w:rsidRPr="00BF7391">
        <w:rPr>
          <w:rFonts w:cs="Tahoma"/>
          <w:bCs/>
          <w:i/>
          <w:iCs/>
        </w:rPr>
        <w:t>ad hoc,</w:t>
      </w:r>
      <w:r w:rsidRPr="00BF7391">
        <w:rPr>
          <w:rFonts w:cs="Tahoma"/>
        </w:rPr>
        <w:t xml:space="preserve"> lo cual, toma sustento en el artículo 160 de la Ley </w:t>
      </w:r>
      <w:r>
        <w:rPr>
          <w:rFonts w:cs="Tahoma"/>
        </w:rPr>
        <w:t>de la materia</w:t>
      </w:r>
      <w:r w:rsidRPr="00BF7391">
        <w:rPr>
          <w:rFonts w:cs="Tahoma"/>
        </w:rPr>
        <w:t>, el cual refiere que los sujetos obligados deberán entregar la información que obre en sus archivos. As</w:t>
      </w:r>
      <w:r w:rsidR="000231CD">
        <w:rPr>
          <w:rFonts w:cs="Tahoma"/>
        </w:rPr>
        <w:t>í,</w:t>
      </w:r>
      <w:r w:rsidRPr="00BF7391">
        <w:rPr>
          <w:rFonts w:cs="Tahoma"/>
        </w:rPr>
        <w:t xml:space="preserve"> resulta aplicable </w:t>
      </w:r>
      <w:r w:rsidRPr="00BF7391">
        <w:rPr>
          <w:rFonts w:cs="Tahoma"/>
          <w:iCs/>
          <w:lang w:val="es-ES" w:eastAsia="es-ES_tradnl"/>
        </w:rPr>
        <w:t>el Criterio 0</w:t>
      </w:r>
      <w:r>
        <w:rPr>
          <w:rFonts w:cs="Tahoma"/>
          <w:iCs/>
          <w:lang w:val="es-ES" w:eastAsia="es-ES_tradnl"/>
        </w:rPr>
        <w:t>1</w:t>
      </w:r>
      <w:r w:rsidRPr="00BF7391">
        <w:rPr>
          <w:rFonts w:cs="Tahoma"/>
          <w:iCs/>
          <w:lang w:val="es-ES" w:eastAsia="es-ES_tradnl"/>
        </w:rPr>
        <w:t>/</w:t>
      </w:r>
      <w:r>
        <w:rPr>
          <w:rFonts w:cs="Tahoma"/>
          <w:iCs/>
          <w:lang w:val="es-ES" w:eastAsia="es-ES_tradnl"/>
        </w:rPr>
        <w:t>21</w:t>
      </w:r>
      <w:r w:rsidRPr="00BF7391">
        <w:rPr>
          <w:rFonts w:cs="Tahoma"/>
          <w:iCs/>
          <w:lang w:val="es-ES" w:eastAsia="es-ES_tradnl"/>
        </w:rPr>
        <w:t xml:space="preserve"> del Instituto Nacional de Transparencia, Acceso a la Información y Protección de </w:t>
      </w:r>
      <w:r w:rsidRPr="00BF7391">
        <w:rPr>
          <w:rFonts w:cs="Tahoma"/>
          <w:lang w:val="es-ES"/>
        </w:rPr>
        <w:t>Datos</w:t>
      </w:r>
      <w:r w:rsidRPr="00BF7391">
        <w:rPr>
          <w:rFonts w:cs="Tahoma"/>
          <w:iCs/>
          <w:lang w:val="es-ES" w:eastAsia="es-ES_tradnl"/>
        </w:rPr>
        <w:t xml:space="preserve"> Personales que a continuación se cita:</w:t>
      </w:r>
    </w:p>
    <w:p w14:paraId="615103A1" w14:textId="77777777" w:rsidR="008852F2" w:rsidRPr="000231CD" w:rsidRDefault="008852F2" w:rsidP="00220A9B">
      <w:pPr>
        <w:spacing w:before="73" w:line="360" w:lineRule="auto"/>
        <w:ind w:left="567" w:right="567"/>
        <w:contextualSpacing/>
        <w:rPr>
          <w:rFonts w:eastAsia="Arial" w:cs="Arial"/>
          <w:b/>
          <w:sz w:val="20"/>
          <w:szCs w:val="20"/>
        </w:rPr>
      </w:pPr>
    </w:p>
    <w:p w14:paraId="7C05166B" w14:textId="77777777" w:rsidR="008852F2" w:rsidRPr="009D7556" w:rsidRDefault="008852F2" w:rsidP="00220A9B">
      <w:pPr>
        <w:spacing w:before="73" w:line="360" w:lineRule="auto"/>
        <w:ind w:left="567" w:right="567"/>
        <w:contextualSpacing/>
        <w:rPr>
          <w:rFonts w:eastAsia="Arial" w:cs="Arial"/>
          <w:b/>
          <w:i/>
          <w:sz w:val="20"/>
        </w:rPr>
      </w:pPr>
      <w:r w:rsidRPr="00D36EB4">
        <w:rPr>
          <w:rFonts w:eastAsia="Arial" w:cs="Arial"/>
          <w:b/>
          <w:i/>
          <w:sz w:val="20"/>
        </w:rPr>
        <w:t>“</w:t>
      </w:r>
      <w:r w:rsidRPr="009D7556">
        <w:rPr>
          <w:rFonts w:eastAsia="Arial" w:cs="Arial"/>
          <w:b/>
          <w:i/>
          <w:sz w:val="20"/>
        </w:rPr>
        <w:t xml:space="preserve">No existe obligación de elaborar documentos ad hoc para la atención de solicitudes de acceso a datos personales. </w:t>
      </w:r>
      <w:r w:rsidRPr="009D7556">
        <w:rPr>
          <w:rFonts w:eastAsia="Arial" w:cs="Arial"/>
          <w:bCs/>
          <w:i/>
          <w:sz w:val="20"/>
        </w:rPr>
        <w:t xml:space="preserve">Se tendrá por satisfecha la solicitud de acceso a datos personales </w:t>
      </w:r>
      <w:r w:rsidRPr="009D7556">
        <w:rPr>
          <w:rFonts w:eastAsia="Arial" w:cs="Arial"/>
          <w:bCs/>
          <w:i/>
          <w:sz w:val="20"/>
        </w:rPr>
        <w:lastRenderedPageBreak/>
        <w:t>cuando el sujeto obligado proporcione la expresión documental que los contenga en el formato en el que los mismos obren en sus archivos, sin necesidad de elaborar documentos ad hoc para la respuesta de las solicitudes</w:t>
      </w:r>
      <w:r w:rsidRPr="009D7556">
        <w:rPr>
          <w:rFonts w:eastAsia="Arial" w:cs="Arial"/>
          <w:b/>
          <w:bCs/>
          <w:i/>
          <w:sz w:val="20"/>
        </w:rPr>
        <w:t xml:space="preserve">. </w:t>
      </w:r>
    </w:p>
    <w:p w14:paraId="6A3A0C64" w14:textId="77777777" w:rsidR="008852F2" w:rsidRPr="00D36EB4" w:rsidRDefault="008852F2" w:rsidP="00220A9B">
      <w:pPr>
        <w:spacing w:before="73" w:line="360" w:lineRule="auto"/>
        <w:ind w:left="567" w:right="567"/>
        <w:contextualSpacing/>
        <w:rPr>
          <w:rFonts w:cs="Tahoma"/>
          <w:sz w:val="18"/>
        </w:rPr>
      </w:pPr>
    </w:p>
    <w:p w14:paraId="4FFA4C8B" w14:textId="77777777" w:rsidR="008852F2" w:rsidRDefault="008852F2" w:rsidP="00220A9B">
      <w:pPr>
        <w:spacing w:line="360" w:lineRule="auto"/>
        <w:contextualSpacing/>
        <w:rPr>
          <w:rFonts w:cs="Tahoma"/>
          <w:lang w:val="es-ES"/>
        </w:rPr>
      </w:pPr>
      <w:r w:rsidRPr="00BF7391">
        <w:rPr>
          <w:rFonts w:cs="Tahoma"/>
          <w:lang w:val="es-ES"/>
        </w:rPr>
        <w:t xml:space="preserve">De tales circunstancias, se concluye que los sujetos obligados únicamente se encuentran constreñidos a proporcionar los documentos que den cuenta de la información solicitada, como obren en sus archivos, sin tener que </w:t>
      </w:r>
      <w:r w:rsidRPr="00BF7391">
        <w:rPr>
          <w:rFonts w:cs="Tahoma"/>
        </w:rPr>
        <w:t>elaborarlos</w:t>
      </w:r>
      <w:r w:rsidRPr="00BF7391">
        <w:rPr>
          <w:rFonts w:cs="Tahoma"/>
          <w:lang w:val="es-ES"/>
        </w:rPr>
        <w:t xml:space="preserve"> a las necesidades del Recurrente. </w:t>
      </w:r>
    </w:p>
    <w:p w14:paraId="50573FC5" w14:textId="77777777" w:rsidR="008852F2" w:rsidRPr="00BF7391" w:rsidRDefault="008852F2" w:rsidP="00220A9B">
      <w:pPr>
        <w:spacing w:line="360" w:lineRule="auto"/>
        <w:contextualSpacing/>
        <w:rPr>
          <w:rFonts w:cs="Tahoma"/>
          <w:iCs/>
        </w:rPr>
      </w:pPr>
    </w:p>
    <w:p w14:paraId="4F4F1222" w14:textId="11E3956E" w:rsidR="000231CD" w:rsidRDefault="000231CD" w:rsidP="00220A9B">
      <w:pPr>
        <w:spacing w:line="360" w:lineRule="auto"/>
        <w:contextualSpacing/>
        <w:rPr>
          <w:rFonts w:cs="Tahoma"/>
          <w:iCs/>
        </w:rPr>
      </w:pPr>
      <w:r>
        <w:rPr>
          <w:rFonts w:cs="Tahoma"/>
          <w:iCs/>
        </w:rPr>
        <w:t xml:space="preserve">Por lo señalado, se observa que el </w:t>
      </w:r>
      <w:r w:rsidR="00B236F7">
        <w:rPr>
          <w:rFonts w:cs="Tahoma"/>
          <w:iCs/>
        </w:rPr>
        <w:t>S</w:t>
      </w:r>
      <w:r>
        <w:rPr>
          <w:rFonts w:cs="Tahoma"/>
          <w:iCs/>
        </w:rPr>
        <w:t>ujeto Obligado proporcionó los informes en donde consta lo requerido por el Particular, se insertan las siguientes imágenes del informe 2023-2024 a manera de ejemplo</w:t>
      </w:r>
      <w:r w:rsidR="00B236F7">
        <w:rPr>
          <w:rFonts w:cs="Tahoma"/>
          <w:iCs/>
        </w:rPr>
        <w:t>.</w:t>
      </w:r>
      <w:r>
        <w:rPr>
          <w:rFonts w:cs="Tahoma"/>
          <w:iCs/>
        </w:rPr>
        <w:t xml:space="preserve"> </w:t>
      </w:r>
    </w:p>
    <w:p w14:paraId="089679C6" w14:textId="0FCA5469" w:rsidR="000231CD" w:rsidRDefault="000231CD" w:rsidP="00220A9B">
      <w:pPr>
        <w:spacing w:line="360" w:lineRule="auto"/>
        <w:contextualSpacing/>
        <w:rPr>
          <w:rFonts w:cs="Tahoma"/>
          <w:iCs/>
        </w:rPr>
      </w:pPr>
    </w:p>
    <w:p w14:paraId="6014EB74" w14:textId="2317EBF1" w:rsidR="000231CD" w:rsidRDefault="000231CD" w:rsidP="00220A9B">
      <w:pPr>
        <w:spacing w:line="360" w:lineRule="auto"/>
        <w:contextualSpacing/>
        <w:jc w:val="center"/>
        <w:rPr>
          <w:rFonts w:cs="Tahoma"/>
          <w:iCs/>
        </w:rPr>
      </w:pPr>
      <w:r>
        <w:rPr>
          <w:noProof/>
          <w:lang w:eastAsia="es-MX"/>
        </w:rPr>
        <w:drawing>
          <wp:inline distT="0" distB="0" distL="0" distR="0" wp14:anchorId="67C33019" wp14:editId="4E8F0DF9">
            <wp:extent cx="3270999" cy="355600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2823" cy="3579726"/>
                    </a:xfrm>
                    <a:prstGeom prst="rect">
                      <a:avLst/>
                    </a:prstGeom>
                  </pic:spPr>
                </pic:pic>
              </a:graphicData>
            </a:graphic>
          </wp:inline>
        </w:drawing>
      </w:r>
    </w:p>
    <w:p w14:paraId="0D9969E2" w14:textId="525C8D16" w:rsidR="000231CD" w:rsidRDefault="000231CD" w:rsidP="00220A9B">
      <w:pPr>
        <w:spacing w:line="360" w:lineRule="auto"/>
        <w:contextualSpacing/>
        <w:rPr>
          <w:noProof/>
          <w:lang w:eastAsia="es-MX"/>
        </w:rPr>
      </w:pPr>
    </w:p>
    <w:tbl>
      <w:tblPr>
        <w:tblStyle w:val="Tablaconcuadrcula"/>
        <w:tblW w:w="0" w:type="auto"/>
        <w:tblLook w:val="04A0" w:firstRow="1" w:lastRow="0" w:firstColumn="1" w:lastColumn="0" w:noHBand="0" w:noVBand="1"/>
      </w:tblPr>
      <w:tblGrid>
        <w:gridCol w:w="4490"/>
        <w:gridCol w:w="4544"/>
      </w:tblGrid>
      <w:tr w:rsidR="00B236F7" w14:paraId="7160EEB8" w14:textId="77777777" w:rsidTr="00B236F7">
        <w:tc>
          <w:tcPr>
            <w:tcW w:w="4517" w:type="dxa"/>
          </w:tcPr>
          <w:p w14:paraId="6898D46E" w14:textId="1F957A3D" w:rsidR="00B236F7" w:rsidRDefault="00B236F7" w:rsidP="00220A9B">
            <w:pPr>
              <w:spacing w:line="360" w:lineRule="auto"/>
              <w:contextualSpacing/>
              <w:rPr>
                <w:noProof/>
                <w:lang w:eastAsia="es-MX"/>
              </w:rPr>
            </w:pPr>
            <w:r>
              <w:rPr>
                <w:noProof/>
                <w:lang w:eastAsia="es-MX"/>
              </w:rPr>
              <w:drawing>
                <wp:inline distT="0" distB="0" distL="0" distR="0" wp14:anchorId="447F2943" wp14:editId="7D39C714">
                  <wp:extent cx="2978150" cy="36960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9352" cy="3722328"/>
                          </a:xfrm>
                          <a:prstGeom prst="rect">
                            <a:avLst/>
                          </a:prstGeom>
                        </pic:spPr>
                      </pic:pic>
                    </a:graphicData>
                  </a:graphic>
                </wp:inline>
              </w:drawing>
            </w:r>
          </w:p>
        </w:tc>
        <w:tc>
          <w:tcPr>
            <w:tcW w:w="4517" w:type="dxa"/>
          </w:tcPr>
          <w:p w14:paraId="4A1A6351" w14:textId="1BEBC151" w:rsidR="00B236F7" w:rsidRDefault="00B236F7" w:rsidP="00220A9B">
            <w:pPr>
              <w:spacing w:line="360" w:lineRule="auto"/>
              <w:contextualSpacing/>
              <w:rPr>
                <w:noProof/>
                <w:lang w:eastAsia="es-MX"/>
              </w:rPr>
            </w:pPr>
            <w:r>
              <w:rPr>
                <w:noProof/>
                <w:lang w:eastAsia="es-MX"/>
              </w:rPr>
              <w:drawing>
                <wp:inline distT="0" distB="0" distL="0" distR="0" wp14:anchorId="3E640416" wp14:editId="7CE05A96">
                  <wp:extent cx="3016250" cy="33781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31065" cy="3394701"/>
                          </a:xfrm>
                          <a:prstGeom prst="rect">
                            <a:avLst/>
                          </a:prstGeom>
                        </pic:spPr>
                      </pic:pic>
                    </a:graphicData>
                  </a:graphic>
                </wp:inline>
              </w:drawing>
            </w:r>
          </w:p>
        </w:tc>
      </w:tr>
    </w:tbl>
    <w:p w14:paraId="06464ED3" w14:textId="77777777" w:rsidR="00B236F7" w:rsidRDefault="00B236F7" w:rsidP="00220A9B">
      <w:pPr>
        <w:spacing w:line="360" w:lineRule="auto"/>
        <w:contextualSpacing/>
        <w:rPr>
          <w:noProof/>
          <w:lang w:eastAsia="es-MX"/>
        </w:rPr>
      </w:pPr>
    </w:p>
    <w:p w14:paraId="5D17F400" w14:textId="619CFA37" w:rsidR="00220A9B" w:rsidRPr="000101C3" w:rsidRDefault="00220A9B" w:rsidP="00220A9B">
      <w:pPr>
        <w:tabs>
          <w:tab w:val="left" w:pos="4962"/>
        </w:tabs>
        <w:spacing w:line="360" w:lineRule="auto"/>
        <w:contextualSpacing/>
        <w:rPr>
          <w:rFonts w:cs="Tahoma"/>
          <w:lang w:val="es-ES"/>
        </w:rPr>
      </w:pPr>
      <w:r>
        <w:rPr>
          <w:rFonts w:cs="Tahoma"/>
        </w:rPr>
        <w:t xml:space="preserve">Derivado de lo anterior, se observa que la Secretaría hizo entrega de los documentos en los que consta la información relacionada con lo solicitada por el Particular relativa al </w:t>
      </w:r>
      <w:r w:rsidRPr="00220A9B">
        <w:rPr>
          <w:rFonts w:cs="Tahoma"/>
        </w:rPr>
        <w:t>acompañamiento permanente y seguimiento a la instalación de los Sistemas Municipales Anticorrupción</w:t>
      </w:r>
      <w:r>
        <w:rPr>
          <w:rFonts w:cs="Tahoma"/>
        </w:rPr>
        <w:t xml:space="preserve">, </w:t>
      </w:r>
      <w:r w:rsidRPr="000101C3">
        <w:rPr>
          <w:rFonts w:cs="Tahoma"/>
        </w:rPr>
        <w:t xml:space="preserve">por tal razón </w:t>
      </w:r>
      <w:r w:rsidRPr="000101C3">
        <w:rPr>
          <w:rFonts w:cs="Tahoma"/>
          <w:bCs/>
        </w:rPr>
        <w:t xml:space="preserve">es necesario traer a </w:t>
      </w:r>
      <w:r w:rsidRPr="000101C3">
        <w:rPr>
          <w:rFonts w:cs="Tahoma"/>
          <w:bCs/>
          <w:lang w:val="es-ES"/>
        </w:rPr>
        <w:t>colación los artículos 2°, fracción II;</w:t>
      </w:r>
      <w:r>
        <w:rPr>
          <w:rFonts w:cs="Tahoma"/>
          <w:bCs/>
          <w:lang w:val="es-ES"/>
        </w:rPr>
        <w:t xml:space="preserve"> </w:t>
      </w:r>
      <w:r w:rsidRPr="000101C3">
        <w:rPr>
          <w:rFonts w:cs="Tahoma"/>
          <w:bCs/>
        </w:rPr>
        <w:t xml:space="preserve">3°, fracción XI y 18 de </w:t>
      </w:r>
      <w:r w:rsidRPr="000101C3">
        <w:rPr>
          <w:rFonts w:cs="Tahoma"/>
          <w:bCs/>
          <w:lang w:val="es-ES"/>
        </w:rPr>
        <w:t>la Ley de Transparencia y Acceso a la Información Pública del Estado de México y Municipios, los cuales disponen lo siguiente:</w:t>
      </w:r>
    </w:p>
    <w:p w14:paraId="7AF897E9" w14:textId="77777777" w:rsidR="00220A9B" w:rsidRPr="000101C3" w:rsidRDefault="00220A9B" w:rsidP="00220A9B">
      <w:pPr>
        <w:spacing w:line="360" w:lineRule="auto"/>
        <w:contextualSpacing/>
        <w:rPr>
          <w:rFonts w:cs="Tahoma"/>
          <w:bCs/>
        </w:rPr>
      </w:pPr>
    </w:p>
    <w:p w14:paraId="2DE8C5C6" w14:textId="77777777" w:rsidR="00220A9B" w:rsidRPr="000101C3" w:rsidRDefault="00220A9B" w:rsidP="00220A9B">
      <w:pPr>
        <w:numPr>
          <w:ilvl w:val="0"/>
          <w:numId w:val="49"/>
        </w:numPr>
        <w:spacing w:after="0" w:line="360" w:lineRule="auto"/>
        <w:contextualSpacing/>
        <w:rPr>
          <w:rFonts w:cs="Tahoma"/>
          <w:bCs/>
        </w:rPr>
      </w:pPr>
      <w:r w:rsidRPr="000101C3">
        <w:rPr>
          <w:rFonts w:cs="Tahoma"/>
          <w:bCs/>
        </w:rPr>
        <w:t>Que uno de los objetivos de la Ley es proveer lo necesario para garantizar a toda persona el derecho de acceso a la información pública, y</w:t>
      </w:r>
    </w:p>
    <w:p w14:paraId="274F6F1B" w14:textId="77777777" w:rsidR="00220A9B" w:rsidRPr="000101C3" w:rsidRDefault="00220A9B" w:rsidP="00220A9B">
      <w:pPr>
        <w:numPr>
          <w:ilvl w:val="0"/>
          <w:numId w:val="49"/>
        </w:numPr>
        <w:spacing w:after="0" w:line="360" w:lineRule="auto"/>
        <w:contextualSpacing/>
        <w:rPr>
          <w:rFonts w:cs="Tahoma"/>
          <w:bCs/>
        </w:rPr>
      </w:pPr>
      <w:r w:rsidRPr="000101C3">
        <w:rPr>
          <w:rFonts w:cs="Tahoma"/>
          <w:bCs/>
        </w:rPr>
        <w:lastRenderedPageBreak/>
        <w:t xml:space="preserve">Que los </w:t>
      </w:r>
      <w:r w:rsidRPr="000101C3">
        <w:rPr>
          <w:rFonts w:cs="Tahoma"/>
          <w:b/>
          <w:bCs/>
        </w:rPr>
        <w:t xml:space="preserve">documentos </w:t>
      </w:r>
      <w:r w:rsidRPr="000101C3">
        <w:rPr>
          <w:rFonts w:cs="Tahoma"/>
          <w:bCs/>
        </w:rPr>
        <w:t xml:space="preserve">son los expedientes, reportes, estudios, actas, resoluciones, contratos, convenios, instructivos, notas, memorandos, estadísticas o </w:t>
      </w:r>
      <w:r w:rsidRPr="000101C3">
        <w:rPr>
          <w:rFonts w:cs="Tahoma"/>
          <w:b/>
          <w:bCs/>
        </w:rPr>
        <w:t>cualquier registro que documente el ejercicio de facultades, funciones y competencia</w:t>
      </w:r>
      <w:r w:rsidRPr="000101C3">
        <w:rPr>
          <w:rFonts w:cs="Tahoma"/>
          <w:bCs/>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2D66246B" w14:textId="77777777" w:rsidR="00220A9B" w:rsidRPr="000101C3" w:rsidRDefault="00220A9B" w:rsidP="00220A9B">
      <w:pPr>
        <w:spacing w:line="360" w:lineRule="auto"/>
        <w:contextualSpacing/>
        <w:rPr>
          <w:rFonts w:cs="Tahoma"/>
          <w:bCs/>
        </w:rPr>
      </w:pPr>
    </w:p>
    <w:p w14:paraId="428FECE5" w14:textId="77777777" w:rsidR="00220A9B" w:rsidRDefault="00220A9B" w:rsidP="00220A9B">
      <w:pPr>
        <w:spacing w:line="360" w:lineRule="auto"/>
        <w:contextualSpacing/>
        <w:rPr>
          <w:rFonts w:cs="Tahoma"/>
          <w:b/>
          <w:lang w:val="es-ES"/>
        </w:rPr>
      </w:pPr>
      <w:r w:rsidRPr="000101C3">
        <w:rPr>
          <w:rFonts w:cs="Tahoma"/>
          <w:bCs/>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0101C3">
        <w:rPr>
          <w:rFonts w:cs="Tahoma"/>
          <w:b/>
          <w:bCs/>
        </w:rPr>
        <w:t xml:space="preserve">generada, obtenida, adquirida, transformada </w:t>
      </w:r>
      <w:r w:rsidRPr="000101C3">
        <w:rPr>
          <w:rFonts w:cs="Tahoma"/>
          <w:bCs/>
        </w:rPr>
        <w:t xml:space="preserve">por los sujetos obligados, o en su caso, </w:t>
      </w:r>
      <w:r w:rsidRPr="000101C3">
        <w:rPr>
          <w:rFonts w:cs="Tahoma"/>
          <w:b/>
          <w:bCs/>
        </w:rPr>
        <w:t xml:space="preserve">la tengan en su posesión, será pública y accesible para cualquier persona. </w:t>
      </w:r>
      <w:r w:rsidRPr="000101C3">
        <w:rPr>
          <w:rFonts w:cs="Tahoma"/>
          <w:bCs/>
        </w:rPr>
        <w:t>A</w:t>
      </w:r>
      <w:r w:rsidRPr="000101C3">
        <w:rPr>
          <w:rFonts w:cs="Tahoma"/>
          <w:bCs/>
          <w:lang w:val="es-ES"/>
        </w:rPr>
        <w:t xml:space="preserve">sí, se advierte que el derecho de acceso a la información, consiste en una prerrogativa de cualquier persona, a solicitar información pública que conste en </w:t>
      </w:r>
      <w:r w:rsidRPr="000101C3">
        <w:rPr>
          <w:rFonts w:cs="Tahoma"/>
          <w:b/>
          <w:lang w:val="es-ES"/>
        </w:rPr>
        <w:t>documentos generados, obtenidos, adquiridos, transformados o que tengan en posesión los sujetos obligados.</w:t>
      </w:r>
    </w:p>
    <w:p w14:paraId="267FE6BC" w14:textId="77777777" w:rsidR="00220A9B" w:rsidRPr="000101C3" w:rsidRDefault="00220A9B" w:rsidP="00220A9B">
      <w:pPr>
        <w:spacing w:line="360" w:lineRule="auto"/>
        <w:contextualSpacing/>
        <w:rPr>
          <w:rFonts w:cs="Tahoma"/>
          <w:b/>
          <w:lang w:val="es-ES"/>
        </w:rPr>
      </w:pPr>
    </w:p>
    <w:p w14:paraId="13C37019" w14:textId="77777777" w:rsidR="00220A9B" w:rsidRPr="000101C3" w:rsidRDefault="00220A9B" w:rsidP="00220A9B">
      <w:pPr>
        <w:spacing w:line="360" w:lineRule="auto"/>
        <w:contextualSpacing/>
        <w:rPr>
          <w:color w:val="000000"/>
          <w:shd w:val="clear" w:color="auto" w:fill="FFFFFF"/>
        </w:rPr>
      </w:pPr>
      <w:r w:rsidRPr="000101C3">
        <w:t>En ese orden de ideas, el artículo 3°, fracción VII, de la Ley General Transparencia, con</w:t>
      </w:r>
      <w:r w:rsidRPr="000101C3">
        <w:rPr>
          <w:color w:val="000000"/>
          <w:shd w:val="clear" w:color="auto" w:fill="FFFFFF"/>
          <w:lang w:val="es-ES"/>
        </w:rPr>
        <w:t xml:space="preserve"> relación al 3°, fracción XI, de la Ley Local de </w:t>
      </w:r>
      <w:r w:rsidRPr="000101C3">
        <w:rPr>
          <w:rFonts w:cs="Tahoma"/>
          <w:bCs/>
        </w:rPr>
        <w:t xml:space="preserve">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w:t>
      </w:r>
      <w:r w:rsidRPr="000101C3">
        <w:rPr>
          <w:rFonts w:cs="Tahoma"/>
          <w:bCs/>
        </w:rPr>
        <w:lastRenderedPageBreak/>
        <w:t>funciones y competencias de los sujetos obligados, sus Servidores Públicos e integrantes, sin importar su fuente o fecha de elaboración. Los documentos podrán estar en cualquier medio, sea escrito, impreso, sonoro, visual, electrónico, informático u holográfico.</w:t>
      </w:r>
      <w:r w:rsidRPr="000101C3">
        <w:rPr>
          <w:color w:val="000000"/>
          <w:shd w:val="clear" w:color="auto" w:fill="FFFFFF"/>
        </w:rPr>
        <w:t> </w:t>
      </w:r>
    </w:p>
    <w:p w14:paraId="4BB03298" w14:textId="77777777" w:rsidR="00220A9B" w:rsidRPr="000101C3" w:rsidRDefault="00220A9B" w:rsidP="00220A9B">
      <w:pPr>
        <w:spacing w:line="360" w:lineRule="auto"/>
        <w:contextualSpacing/>
        <w:rPr>
          <w:color w:val="000000"/>
          <w:shd w:val="clear" w:color="auto" w:fill="FFFFFF"/>
        </w:rPr>
      </w:pPr>
    </w:p>
    <w:p w14:paraId="4191BDF2" w14:textId="77777777" w:rsidR="00220A9B" w:rsidRPr="000101C3" w:rsidRDefault="00220A9B" w:rsidP="00220A9B">
      <w:pPr>
        <w:spacing w:line="360" w:lineRule="auto"/>
        <w:contextualSpacing/>
        <w:rPr>
          <w:rFonts w:cs="Tahoma"/>
          <w:bCs/>
          <w:lang w:val="es-ES"/>
        </w:rPr>
      </w:pPr>
      <w:r w:rsidRPr="000101C3">
        <w:rPr>
          <w:rFonts w:cs="Tahoma"/>
          <w:bCs/>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0101C3">
        <w:rPr>
          <w:rFonts w:cs="Tahoma"/>
          <w:bCs/>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54DC1768" w14:textId="4E1914F8" w:rsidR="00220A9B" w:rsidRDefault="00220A9B" w:rsidP="00220A9B">
      <w:pPr>
        <w:spacing w:line="360" w:lineRule="auto"/>
        <w:contextualSpacing/>
        <w:rPr>
          <w:rFonts w:cs="Tahoma"/>
        </w:rPr>
      </w:pPr>
    </w:p>
    <w:p w14:paraId="2B36C281" w14:textId="3F76A5E7" w:rsidR="00220A9B" w:rsidRPr="003870C7" w:rsidRDefault="00220A9B" w:rsidP="00220A9B">
      <w:pPr>
        <w:spacing w:line="360" w:lineRule="auto"/>
        <w:contextualSpacing/>
        <w:rPr>
          <w:rFonts w:cs="Tahoma"/>
          <w:bCs/>
        </w:rPr>
      </w:pPr>
      <w:r w:rsidRPr="003870C7">
        <w:rPr>
          <w:rFonts w:cs="Tahoma"/>
        </w:rPr>
        <w:t>Es así, que la</w:t>
      </w:r>
      <w:r>
        <w:rPr>
          <w:rFonts w:cs="Tahoma"/>
        </w:rPr>
        <w:t>s</w:t>
      </w:r>
      <w:r w:rsidRPr="003870C7">
        <w:rPr>
          <w:rFonts w:cs="Tahoma"/>
        </w:rPr>
        <w:t xml:space="preserve"> respuesta</w:t>
      </w:r>
      <w:r>
        <w:rPr>
          <w:rFonts w:cs="Tahoma"/>
        </w:rPr>
        <w:t>s</w:t>
      </w:r>
      <w:r w:rsidRPr="003870C7">
        <w:rPr>
          <w:rFonts w:cs="Tahoma"/>
        </w:rPr>
        <w:t xml:space="preserve"> otorgada</w:t>
      </w:r>
      <w:r>
        <w:rPr>
          <w:rFonts w:cs="Tahoma"/>
        </w:rPr>
        <w:t>s</w:t>
      </w:r>
      <w:r w:rsidRPr="003870C7">
        <w:rPr>
          <w:rFonts w:cs="Tahoma"/>
        </w:rPr>
        <w:t xml:space="preserve"> por el Sujeto Obligado, satisface</w:t>
      </w:r>
      <w:r>
        <w:rPr>
          <w:rFonts w:cs="Tahoma"/>
        </w:rPr>
        <w:t>n</w:t>
      </w:r>
      <w:r w:rsidRPr="003870C7">
        <w:rPr>
          <w:rFonts w:cs="Tahoma"/>
        </w:rPr>
        <w:t xml:space="preserve"> los requerimientos del Particular. </w:t>
      </w:r>
      <w:r w:rsidRPr="003870C7">
        <w:rPr>
          <w:rFonts w:cs="Tahoma"/>
          <w:bCs/>
        </w:rPr>
        <w:t xml:space="preserve">En razón de lo anterior, este Instituto advierte que los agravios hechos valer devienen de </w:t>
      </w:r>
      <w:r w:rsidRPr="003870C7">
        <w:rPr>
          <w:rFonts w:cs="Tahoma"/>
          <w:b/>
          <w:bCs/>
        </w:rPr>
        <w:t>infundados</w:t>
      </w:r>
      <w:r w:rsidRPr="003870C7">
        <w:rPr>
          <w:rFonts w:cs="Tahoma"/>
          <w:bCs/>
        </w:rPr>
        <w:t>, por las razones señaladas en la presente.</w:t>
      </w:r>
    </w:p>
    <w:p w14:paraId="52197943" w14:textId="77777777" w:rsidR="00B236F7" w:rsidRDefault="00B236F7" w:rsidP="00220A9B">
      <w:pPr>
        <w:spacing w:line="360" w:lineRule="auto"/>
        <w:contextualSpacing/>
        <w:rPr>
          <w:rFonts w:cs="Tahoma"/>
          <w:b/>
        </w:rPr>
      </w:pPr>
    </w:p>
    <w:p w14:paraId="5512FC81" w14:textId="0F087266" w:rsidR="00220A9B" w:rsidRPr="003870C7" w:rsidRDefault="00220A9B" w:rsidP="00220A9B">
      <w:pPr>
        <w:spacing w:line="360" w:lineRule="auto"/>
        <w:contextualSpacing/>
        <w:rPr>
          <w:rFonts w:cs="Tahoma"/>
          <w:b/>
        </w:rPr>
      </w:pPr>
      <w:r w:rsidRPr="003870C7">
        <w:rPr>
          <w:rFonts w:cs="Tahoma"/>
          <w:b/>
        </w:rPr>
        <w:t xml:space="preserve">SEXTO. Decisión </w:t>
      </w:r>
    </w:p>
    <w:p w14:paraId="546DB442" w14:textId="77777777" w:rsidR="00220A9B" w:rsidRPr="003870C7" w:rsidRDefault="00220A9B" w:rsidP="00220A9B">
      <w:pPr>
        <w:spacing w:line="360" w:lineRule="auto"/>
        <w:contextualSpacing/>
        <w:rPr>
          <w:rFonts w:cs="Tahoma"/>
          <w:b/>
          <w:lang w:val="es-ES"/>
        </w:rPr>
      </w:pPr>
    </w:p>
    <w:p w14:paraId="0FA92830" w14:textId="62B1CB2F" w:rsidR="00220A9B" w:rsidRPr="003870C7" w:rsidRDefault="00220A9B" w:rsidP="00220A9B">
      <w:pPr>
        <w:spacing w:line="360" w:lineRule="auto"/>
        <w:contextualSpacing/>
        <w:rPr>
          <w:rFonts w:cs="Tahoma"/>
          <w:iCs/>
        </w:rPr>
      </w:pPr>
      <w:r w:rsidRPr="003870C7">
        <w:rPr>
          <w:rFonts w:cs="Tahoma"/>
        </w:rPr>
        <w:t xml:space="preserve">Con fundamento en el artículo 186, fracción II, de la Ley de Transparencia y Acceso a la Información Pública del Estado de México y Municipios, este Instituto considera procedente </w:t>
      </w:r>
      <w:r w:rsidRPr="003870C7">
        <w:rPr>
          <w:rFonts w:cs="Tahoma"/>
          <w:b/>
        </w:rPr>
        <w:t xml:space="preserve">CONFIRMAR </w:t>
      </w:r>
      <w:r w:rsidRPr="003870C7">
        <w:rPr>
          <w:rFonts w:cs="Tahoma"/>
          <w:bCs/>
        </w:rPr>
        <w:t>la</w:t>
      </w:r>
      <w:r>
        <w:rPr>
          <w:rFonts w:cs="Tahoma"/>
          <w:bCs/>
        </w:rPr>
        <w:t>s</w:t>
      </w:r>
      <w:r w:rsidRPr="003870C7">
        <w:rPr>
          <w:rFonts w:cs="Tahoma"/>
        </w:rPr>
        <w:t xml:space="preserve"> respuesta</w:t>
      </w:r>
      <w:r>
        <w:rPr>
          <w:rFonts w:cs="Tahoma"/>
        </w:rPr>
        <w:t>s</w:t>
      </w:r>
      <w:r w:rsidRPr="003870C7">
        <w:rPr>
          <w:rFonts w:cs="Tahoma"/>
        </w:rPr>
        <w:t xml:space="preserve"> otorgada</w:t>
      </w:r>
      <w:r>
        <w:rPr>
          <w:rFonts w:cs="Tahoma"/>
        </w:rPr>
        <w:t>s</w:t>
      </w:r>
      <w:r w:rsidRPr="003870C7">
        <w:rPr>
          <w:rFonts w:cs="Tahoma"/>
          <w:iCs/>
        </w:rPr>
        <w:t xml:space="preserve">. </w:t>
      </w:r>
    </w:p>
    <w:p w14:paraId="6777759A" w14:textId="77777777" w:rsidR="00220A9B" w:rsidRPr="003870C7" w:rsidRDefault="00220A9B" w:rsidP="00220A9B">
      <w:pPr>
        <w:spacing w:line="360" w:lineRule="auto"/>
        <w:contextualSpacing/>
        <w:rPr>
          <w:rFonts w:cs="Tahoma"/>
        </w:rPr>
      </w:pPr>
    </w:p>
    <w:p w14:paraId="6CE78FAD" w14:textId="364DE0BF" w:rsidR="00220A9B" w:rsidRPr="003870C7" w:rsidRDefault="00220A9B" w:rsidP="00220A9B">
      <w:pPr>
        <w:spacing w:line="360" w:lineRule="auto"/>
        <w:contextualSpacing/>
        <w:rPr>
          <w:rFonts w:cs="Tahoma"/>
          <w:b/>
          <w:bCs/>
          <w:iCs/>
          <w:u w:val="single"/>
          <w:lang w:val="es-ES"/>
        </w:rPr>
      </w:pPr>
      <w:r w:rsidRPr="003870C7">
        <w:rPr>
          <w:rFonts w:cs="Tahoma"/>
          <w:b/>
          <w:bCs/>
          <w:iCs/>
          <w:u w:val="single"/>
          <w:lang w:val="es-ES"/>
        </w:rPr>
        <w:t>Términos de la Resolución para el Recurrente</w:t>
      </w:r>
    </w:p>
    <w:p w14:paraId="0A7FCDEC" w14:textId="77777777" w:rsidR="00220A9B" w:rsidRPr="003870C7" w:rsidRDefault="00220A9B" w:rsidP="00220A9B">
      <w:pPr>
        <w:spacing w:line="360" w:lineRule="auto"/>
        <w:contextualSpacing/>
        <w:rPr>
          <w:rFonts w:cs="Tahoma"/>
          <w:b/>
          <w:bCs/>
          <w:iCs/>
          <w:u w:val="single"/>
          <w:lang w:val="es-ES"/>
        </w:rPr>
      </w:pPr>
    </w:p>
    <w:p w14:paraId="640B83C4" w14:textId="588073DC" w:rsidR="00220A9B" w:rsidRPr="003870C7" w:rsidRDefault="00220A9B" w:rsidP="00220A9B">
      <w:pPr>
        <w:spacing w:line="360" w:lineRule="auto"/>
        <w:contextualSpacing/>
        <w:rPr>
          <w:rFonts w:cs="Tahoma"/>
          <w:iCs/>
        </w:rPr>
      </w:pPr>
      <w:r w:rsidRPr="003870C7">
        <w:rPr>
          <w:rFonts w:cs="Tahoma"/>
          <w:iCs/>
        </w:rPr>
        <w:lastRenderedPageBreak/>
        <w:t xml:space="preserve">Se le hace del conocimiento al Particular, que, en el presente caso, no se le concede la razón, pues </w:t>
      </w:r>
      <w:r>
        <w:rPr>
          <w:rFonts w:cs="Tahoma"/>
          <w:iCs/>
        </w:rPr>
        <w:t xml:space="preserve">la Secretaría </w:t>
      </w:r>
      <w:r w:rsidR="00B236F7">
        <w:rPr>
          <w:rFonts w:cs="Tahoma"/>
          <w:iCs/>
        </w:rPr>
        <w:t>E</w:t>
      </w:r>
      <w:r>
        <w:rPr>
          <w:rFonts w:cs="Tahoma"/>
          <w:iCs/>
        </w:rPr>
        <w:t>jecutiva del Sistema Estatal Anticorrupción</w:t>
      </w:r>
      <w:r w:rsidRPr="003870C7">
        <w:rPr>
          <w:rFonts w:cs="Tahoma"/>
          <w:iCs/>
        </w:rPr>
        <w:t>, le proporcionó l</w:t>
      </w:r>
      <w:r>
        <w:rPr>
          <w:rFonts w:cs="Tahoma"/>
          <w:iCs/>
        </w:rPr>
        <w:t xml:space="preserve">os documentos en donde consta </w:t>
      </w:r>
      <w:r w:rsidR="00B236F7">
        <w:rPr>
          <w:rFonts w:cs="Tahoma"/>
          <w:iCs/>
        </w:rPr>
        <w:t>la información que fue solicitada por Usted; sin embargo, para el caso de que requiera otro tipo de documentos o información, se dejan a salvo sus derechos a efecto de que presente una nueva solicitud en donde precise la información o documentos que son de su interés.</w:t>
      </w:r>
      <w:r>
        <w:rPr>
          <w:rFonts w:cs="Tahoma"/>
          <w:iCs/>
        </w:rPr>
        <w:t xml:space="preserve"> </w:t>
      </w:r>
    </w:p>
    <w:p w14:paraId="28CAD66A" w14:textId="77777777" w:rsidR="00220A9B" w:rsidRPr="003870C7" w:rsidRDefault="00220A9B" w:rsidP="00220A9B">
      <w:pPr>
        <w:spacing w:line="360" w:lineRule="auto"/>
        <w:contextualSpacing/>
        <w:rPr>
          <w:rFonts w:cs="Tahoma"/>
          <w:iCs/>
        </w:rPr>
      </w:pPr>
    </w:p>
    <w:p w14:paraId="08905CAE" w14:textId="77777777" w:rsidR="00220A9B" w:rsidRPr="003870C7" w:rsidRDefault="00220A9B" w:rsidP="00220A9B">
      <w:pPr>
        <w:spacing w:line="360" w:lineRule="auto"/>
        <w:contextualSpacing/>
        <w:rPr>
          <w:rFonts w:cs="Tahoma"/>
          <w:iCs/>
          <w:lang w:val="es-ES"/>
        </w:rPr>
      </w:pPr>
      <w:r w:rsidRPr="003870C7">
        <w:rPr>
          <w:rFonts w:cs="Tahoma"/>
          <w:iCs/>
          <w:lang w:val="es-ES"/>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25402D38" w14:textId="77777777" w:rsidR="00220A9B" w:rsidRPr="003870C7" w:rsidRDefault="00220A9B" w:rsidP="00220A9B">
      <w:pPr>
        <w:spacing w:line="360" w:lineRule="auto"/>
        <w:contextualSpacing/>
        <w:rPr>
          <w:rFonts w:cs="Tahoma"/>
          <w:iCs/>
          <w:lang w:val="es-ES"/>
        </w:rPr>
      </w:pPr>
    </w:p>
    <w:p w14:paraId="2A13850D" w14:textId="77777777" w:rsidR="00220A9B" w:rsidRPr="003870C7" w:rsidRDefault="00220A9B" w:rsidP="00220A9B">
      <w:pPr>
        <w:spacing w:line="360" w:lineRule="auto"/>
        <w:contextualSpacing/>
        <w:rPr>
          <w:rFonts w:cs="Tahoma"/>
          <w:bCs/>
          <w:iCs/>
        </w:rPr>
      </w:pPr>
      <w:r w:rsidRPr="003870C7">
        <w:rPr>
          <w:rFonts w:cs="Tahoma"/>
          <w:bCs/>
          <w:iCs/>
        </w:rPr>
        <w:t>Por lo expuesto y fundado, este Pleno:</w:t>
      </w:r>
    </w:p>
    <w:p w14:paraId="4B1E2E26" w14:textId="77777777" w:rsidR="00220A9B" w:rsidRDefault="00220A9B" w:rsidP="00220A9B">
      <w:pPr>
        <w:spacing w:after="0" w:line="360" w:lineRule="auto"/>
        <w:contextualSpacing/>
        <w:jc w:val="center"/>
        <w:rPr>
          <w:rFonts w:eastAsia="Palatino Linotype" w:cs="Palatino Linotype"/>
          <w:b/>
          <w:color w:val="auto"/>
        </w:rPr>
      </w:pPr>
    </w:p>
    <w:p w14:paraId="3EC81497" w14:textId="4492B45D" w:rsidR="00471DA8" w:rsidRPr="000C51A4" w:rsidRDefault="00471DA8" w:rsidP="00220A9B">
      <w:pPr>
        <w:spacing w:after="0" w:line="360" w:lineRule="auto"/>
        <w:contextualSpacing/>
        <w:jc w:val="center"/>
        <w:rPr>
          <w:rFonts w:eastAsia="Palatino Linotype" w:cs="Palatino Linotype"/>
          <w:b/>
          <w:color w:val="auto"/>
        </w:rPr>
      </w:pPr>
      <w:r w:rsidRPr="000C51A4">
        <w:rPr>
          <w:rFonts w:eastAsia="Palatino Linotype" w:cs="Palatino Linotype"/>
          <w:b/>
          <w:color w:val="auto"/>
        </w:rPr>
        <w:t>R E S U E L V E</w:t>
      </w:r>
    </w:p>
    <w:p w14:paraId="1CCAADEA" w14:textId="1888BDF4" w:rsidR="00471DA8" w:rsidRDefault="00471DA8" w:rsidP="00220A9B">
      <w:pPr>
        <w:spacing w:after="0" w:line="360" w:lineRule="auto"/>
        <w:contextualSpacing/>
        <w:rPr>
          <w:rFonts w:eastAsia="Palatino Linotype" w:cs="Palatino Linotype"/>
          <w:color w:val="auto"/>
        </w:rPr>
      </w:pPr>
    </w:p>
    <w:p w14:paraId="09AEBEA3" w14:textId="31F687B3" w:rsidR="00220A9B" w:rsidRPr="003870C7" w:rsidRDefault="00220A9B" w:rsidP="00220A9B">
      <w:pPr>
        <w:spacing w:line="360" w:lineRule="auto"/>
        <w:contextualSpacing/>
        <w:rPr>
          <w:rFonts w:cs="Tahoma"/>
          <w:bCs/>
        </w:rPr>
      </w:pPr>
      <w:r w:rsidRPr="003870C7">
        <w:rPr>
          <w:rFonts w:cs="Tahoma"/>
          <w:b/>
          <w:bCs/>
        </w:rPr>
        <w:t xml:space="preserve">PRIMERO. </w:t>
      </w:r>
      <w:r w:rsidRPr="003870C7">
        <w:rPr>
          <w:rFonts w:cs="Tahoma"/>
          <w:bCs/>
        </w:rPr>
        <w:t xml:space="preserve">Se </w:t>
      </w:r>
      <w:r w:rsidRPr="003870C7">
        <w:rPr>
          <w:rFonts w:cs="Tahoma"/>
          <w:b/>
          <w:bCs/>
        </w:rPr>
        <w:t>CONFIRMA</w:t>
      </w:r>
      <w:r>
        <w:rPr>
          <w:rFonts w:cs="Tahoma"/>
          <w:b/>
          <w:bCs/>
        </w:rPr>
        <w:t>N</w:t>
      </w:r>
      <w:r w:rsidRPr="003870C7">
        <w:rPr>
          <w:rFonts w:cs="Tahoma"/>
          <w:bCs/>
        </w:rPr>
        <w:t xml:space="preserve"> la</w:t>
      </w:r>
      <w:r>
        <w:rPr>
          <w:rFonts w:cs="Tahoma"/>
          <w:bCs/>
        </w:rPr>
        <w:t>s</w:t>
      </w:r>
      <w:r w:rsidRPr="003870C7">
        <w:rPr>
          <w:rFonts w:cs="Tahoma"/>
          <w:bCs/>
        </w:rPr>
        <w:t xml:space="preserve"> respuesta</w:t>
      </w:r>
      <w:r>
        <w:rPr>
          <w:rFonts w:cs="Tahoma"/>
          <w:bCs/>
        </w:rPr>
        <w:t>s</w:t>
      </w:r>
      <w:r w:rsidRPr="003870C7">
        <w:rPr>
          <w:rFonts w:cs="Tahoma"/>
          <w:bCs/>
        </w:rPr>
        <w:t xml:space="preserve"> entregada</w:t>
      </w:r>
      <w:r>
        <w:rPr>
          <w:rFonts w:cs="Tahoma"/>
          <w:bCs/>
        </w:rPr>
        <w:t>s</w:t>
      </w:r>
      <w:r w:rsidRPr="003870C7">
        <w:rPr>
          <w:rFonts w:cs="Tahoma"/>
          <w:bCs/>
        </w:rPr>
        <w:t xml:space="preserve"> por </w:t>
      </w:r>
      <w:r>
        <w:rPr>
          <w:rFonts w:cs="Tahoma"/>
          <w:bCs/>
        </w:rPr>
        <w:t xml:space="preserve">la </w:t>
      </w:r>
      <w:r>
        <w:rPr>
          <w:rFonts w:cs="Tahoma"/>
          <w:b/>
          <w:bCs/>
        </w:rPr>
        <w:t xml:space="preserve">Secretaría </w:t>
      </w:r>
      <w:r w:rsidR="00112946">
        <w:rPr>
          <w:rFonts w:cs="Tahoma"/>
          <w:b/>
          <w:bCs/>
        </w:rPr>
        <w:t xml:space="preserve">Ejecutiva </w:t>
      </w:r>
      <w:r>
        <w:rPr>
          <w:rFonts w:cs="Tahoma"/>
          <w:b/>
          <w:bCs/>
        </w:rPr>
        <w:t xml:space="preserve">del </w:t>
      </w:r>
      <w:r w:rsidR="00112946">
        <w:rPr>
          <w:rFonts w:cs="Tahoma"/>
          <w:b/>
          <w:bCs/>
        </w:rPr>
        <w:t xml:space="preserve">Sistema </w:t>
      </w:r>
      <w:r>
        <w:rPr>
          <w:rFonts w:cs="Tahoma"/>
          <w:b/>
          <w:bCs/>
        </w:rPr>
        <w:t xml:space="preserve">Estatal Anticorrupción </w:t>
      </w:r>
      <w:r w:rsidRPr="003870C7">
        <w:rPr>
          <w:rFonts w:cs="Tahoma"/>
          <w:bCs/>
        </w:rPr>
        <w:t>a la</w:t>
      </w:r>
      <w:r>
        <w:rPr>
          <w:rFonts w:cs="Tahoma"/>
          <w:bCs/>
        </w:rPr>
        <w:t>s</w:t>
      </w:r>
      <w:r w:rsidRPr="003870C7">
        <w:rPr>
          <w:rFonts w:cs="Tahoma"/>
          <w:bCs/>
        </w:rPr>
        <w:t xml:space="preserve"> solicitud</w:t>
      </w:r>
      <w:r>
        <w:rPr>
          <w:rFonts w:cs="Tahoma"/>
          <w:bCs/>
        </w:rPr>
        <w:t>es</w:t>
      </w:r>
      <w:r w:rsidRPr="003870C7">
        <w:rPr>
          <w:rFonts w:cs="Tahoma"/>
          <w:bCs/>
        </w:rPr>
        <w:t xml:space="preserve"> de información </w:t>
      </w:r>
      <w:r w:rsidRPr="00220A9B">
        <w:rPr>
          <w:b/>
          <w:bCs/>
        </w:rPr>
        <w:t>01002/SESEA/IP/2024, 01001/SESEA/IP/2024, 1000/SESEA/IP/2024, 00999/SESEA/IP/2024 y 00998/SESEA/IP/2024</w:t>
      </w:r>
      <w:r>
        <w:rPr>
          <w:b/>
          <w:bCs/>
        </w:rPr>
        <w:t xml:space="preserve"> </w:t>
      </w:r>
      <w:r w:rsidRPr="003870C7">
        <w:rPr>
          <w:bCs/>
        </w:rPr>
        <w:t>por resultar in</w:t>
      </w:r>
      <w:r w:rsidRPr="003870C7">
        <w:t>fundadas</w:t>
      </w:r>
      <w:r w:rsidRPr="003870C7">
        <w:rPr>
          <w:rFonts w:cs="Tahoma"/>
          <w:bCs/>
        </w:rPr>
        <w:t xml:space="preserve"> las razones o motivos de inconformidad hechos valer por el Recurrente en l</w:t>
      </w:r>
      <w:r>
        <w:rPr>
          <w:rFonts w:cs="Tahoma"/>
          <w:bCs/>
        </w:rPr>
        <w:t>os</w:t>
      </w:r>
      <w:r w:rsidRPr="003870C7">
        <w:rPr>
          <w:rFonts w:cs="Tahoma"/>
          <w:bCs/>
        </w:rPr>
        <w:t xml:space="preserve"> Recurso</w:t>
      </w:r>
      <w:r>
        <w:rPr>
          <w:rFonts w:cs="Tahoma"/>
          <w:bCs/>
        </w:rPr>
        <w:t>s</w:t>
      </w:r>
      <w:r w:rsidRPr="003870C7">
        <w:rPr>
          <w:rFonts w:cs="Tahoma"/>
          <w:bCs/>
        </w:rPr>
        <w:t xml:space="preserve"> de Revisión </w:t>
      </w:r>
      <w:r w:rsidRPr="00220A9B">
        <w:rPr>
          <w:rFonts w:cs="Tahoma"/>
          <w:b/>
          <w:bCs/>
          <w:color w:val="0D0D0D" w:themeColor="text1" w:themeTint="F2"/>
        </w:rPr>
        <w:t>06986/INFOEM/IP/RR/2024, 06988/INFOEM/IP/RR/2024, 06990/INFOEM/IP/RR/2024, 06991/INFOEM/IP/RR/2024 y 06992/INFOEM/IP/RR/2024</w:t>
      </w:r>
      <w:r w:rsidRPr="003870C7">
        <w:rPr>
          <w:rFonts w:cs="Tahoma"/>
          <w:bCs/>
        </w:rPr>
        <w:t>, en términos de los considerandos QUINTO y SEXTO de la presente Resolución.</w:t>
      </w:r>
    </w:p>
    <w:p w14:paraId="0FD43322" w14:textId="77777777" w:rsidR="00220A9B" w:rsidRPr="003870C7" w:rsidRDefault="00220A9B" w:rsidP="00220A9B">
      <w:pPr>
        <w:spacing w:line="360" w:lineRule="auto"/>
        <w:contextualSpacing/>
        <w:rPr>
          <w:rFonts w:cs="Tahoma"/>
          <w:bCs/>
        </w:rPr>
      </w:pPr>
    </w:p>
    <w:p w14:paraId="5ABA5081" w14:textId="77777777" w:rsidR="00220A9B" w:rsidRPr="003870C7" w:rsidRDefault="00220A9B" w:rsidP="00220A9B">
      <w:pPr>
        <w:spacing w:line="360" w:lineRule="auto"/>
        <w:contextualSpacing/>
        <w:rPr>
          <w:rFonts w:cs="Tahoma"/>
          <w:bCs/>
          <w:i/>
          <w:iCs/>
        </w:rPr>
      </w:pPr>
      <w:r w:rsidRPr="003870C7">
        <w:rPr>
          <w:rFonts w:cs="Tahoma"/>
          <w:b/>
          <w:bCs/>
          <w:iCs/>
        </w:rPr>
        <w:lastRenderedPageBreak/>
        <w:t xml:space="preserve">SEGUNDO. NOTIFÍQUESE POR SAIMEX </w:t>
      </w:r>
      <w:r w:rsidRPr="003870C7">
        <w:rPr>
          <w:rFonts w:cs="Tahoma"/>
          <w:bCs/>
          <w:iCs/>
        </w:rPr>
        <w:t>la presente resolución al Titular de la Unidad de Transparencia del Sujeto Obligado.</w:t>
      </w:r>
    </w:p>
    <w:p w14:paraId="38AF44B3" w14:textId="77777777" w:rsidR="00220A9B" w:rsidRPr="003870C7" w:rsidRDefault="00220A9B" w:rsidP="00220A9B">
      <w:pPr>
        <w:spacing w:line="360" w:lineRule="auto"/>
        <w:contextualSpacing/>
        <w:rPr>
          <w:rFonts w:cs="Tahoma"/>
          <w:bCs/>
          <w:iCs/>
        </w:rPr>
      </w:pPr>
    </w:p>
    <w:p w14:paraId="36EB46B8" w14:textId="77777777" w:rsidR="00220A9B" w:rsidRPr="003870C7" w:rsidRDefault="00220A9B" w:rsidP="00220A9B">
      <w:pPr>
        <w:spacing w:line="360" w:lineRule="auto"/>
        <w:contextualSpacing/>
        <w:rPr>
          <w:rFonts w:cs="Tahoma"/>
          <w:bCs/>
          <w:iCs/>
        </w:rPr>
      </w:pPr>
      <w:r w:rsidRPr="003870C7">
        <w:rPr>
          <w:rFonts w:cs="Tahoma"/>
          <w:b/>
          <w:bCs/>
          <w:iCs/>
        </w:rPr>
        <w:t>TERCERO. NOTIFÍQUESE POR SAIMEX</w:t>
      </w:r>
      <w:r w:rsidRPr="003870C7">
        <w:rPr>
          <w:rFonts w:cs="Tahoma"/>
          <w:bCs/>
          <w:iCs/>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EC05FE" w14:textId="77777777" w:rsidR="00220A9B" w:rsidRPr="000C51A4" w:rsidRDefault="00220A9B" w:rsidP="00220A9B">
      <w:pPr>
        <w:spacing w:after="0" w:line="360" w:lineRule="auto"/>
        <w:contextualSpacing/>
        <w:rPr>
          <w:rFonts w:eastAsia="Palatino Linotype" w:cs="Palatino Linotype"/>
          <w:color w:val="auto"/>
        </w:rPr>
      </w:pPr>
    </w:p>
    <w:p w14:paraId="771A071B" w14:textId="1D873CA3" w:rsidR="00CB2EC0" w:rsidRPr="000C51A4" w:rsidRDefault="00CB2EC0" w:rsidP="00220A9B">
      <w:pPr>
        <w:spacing w:after="0" w:line="360" w:lineRule="auto"/>
        <w:contextualSpacing/>
        <w:rPr>
          <w:rFonts w:eastAsiaTheme="minorHAnsi" w:cstheme="minorBidi"/>
          <w:color w:val="auto"/>
        </w:rPr>
      </w:pPr>
      <w:r w:rsidRPr="000C51A4">
        <w:rPr>
          <w:rFonts w:eastAsiaTheme="minorHAnsi" w:cstheme="minorBidi"/>
          <w:color w:val="auto"/>
        </w:rPr>
        <w:t>ASÍ LO RESUELVE, POR </w:t>
      </w:r>
      <w:r w:rsidRPr="000C51A4">
        <w:rPr>
          <w:rFonts w:eastAsiaTheme="minorHAnsi" w:cstheme="minorBidi"/>
          <w:b/>
          <w:color w:val="auto"/>
        </w:rPr>
        <w:t>UNANIMIDAD</w:t>
      </w:r>
      <w:r w:rsidRPr="000C51A4">
        <w:rPr>
          <w:rFonts w:eastAsiaTheme="minorHAnsi" w:cstheme="minorBidi"/>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7C05" w:rsidRPr="000C51A4">
        <w:rPr>
          <w:rFonts w:eastAsiaTheme="minorHAnsi" w:cstheme="minorBidi"/>
          <w:color w:val="auto"/>
        </w:rPr>
        <w:t>CUADRAGÉSIMA</w:t>
      </w:r>
      <w:r w:rsidRPr="000C51A4">
        <w:rPr>
          <w:rFonts w:eastAsiaTheme="minorHAnsi" w:cstheme="minorBidi"/>
          <w:color w:val="auto"/>
        </w:rPr>
        <w:t xml:space="preserve"> </w:t>
      </w:r>
      <w:r w:rsidR="00220A9B">
        <w:rPr>
          <w:rFonts w:eastAsiaTheme="minorHAnsi" w:cstheme="minorBidi"/>
          <w:color w:val="auto"/>
        </w:rPr>
        <w:t xml:space="preserve">SEGUNDA </w:t>
      </w:r>
      <w:r w:rsidRPr="000C51A4">
        <w:rPr>
          <w:rFonts w:eastAsiaTheme="minorHAnsi" w:cstheme="minorBidi"/>
          <w:color w:val="auto"/>
        </w:rPr>
        <w:t xml:space="preserve">SESIÓN ORDINARIA, CELEBRADA EL </w:t>
      </w:r>
      <w:r w:rsidR="00220A9B">
        <w:rPr>
          <w:rFonts w:eastAsiaTheme="minorHAnsi" w:cstheme="minorBidi"/>
          <w:color w:val="auto"/>
        </w:rPr>
        <w:t>CUATRO DE DICIEMBRE</w:t>
      </w:r>
      <w:r w:rsidRPr="000C51A4">
        <w:rPr>
          <w:rFonts w:eastAsiaTheme="minorHAnsi" w:cstheme="minorBidi"/>
          <w:color w:val="auto"/>
        </w:rPr>
        <w:t xml:space="preserve"> DE DOS MIL VEINTICUATRO, ANTE EL SECRETARIO TÉCNICO DEL PLENO, ALEXIS TAPIA RAMÍREZ.</w:t>
      </w:r>
    </w:p>
    <w:p w14:paraId="3C8F82C8" w14:textId="77777777" w:rsidR="00B103E0" w:rsidRPr="000C51A4" w:rsidRDefault="00B103E0" w:rsidP="00220A9B">
      <w:pPr>
        <w:spacing w:after="0" w:line="360" w:lineRule="auto"/>
        <w:contextualSpacing/>
        <w:rPr>
          <w:rFonts w:eastAsiaTheme="minorHAnsi" w:cstheme="minorBidi"/>
          <w:b/>
          <w:color w:val="auto"/>
        </w:rPr>
      </w:pPr>
    </w:p>
    <w:p w14:paraId="689902C1" w14:textId="77777777" w:rsidR="001720AA" w:rsidRPr="000C51A4" w:rsidRDefault="00B103E0" w:rsidP="00220A9B">
      <w:pPr>
        <w:spacing w:after="0" w:line="360" w:lineRule="auto"/>
        <w:contextualSpacing/>
        <w:jc w:val="left"/>
        <w:rPr>
          <w:rFonts w:eastAsiaTheme="minorHAnsi" w:cs="Tahoma"/>
          <w:bCs/>
          <w:color w:val="auto"/>
          <w:lang w:eastAsia="es-MX"/>
        </w:rPr>
      </w:pPr>
      <w:r w:rsidRPr="000C51A4">
        <w:rPr>
          <w:rFonts w:eastAsiaTheme="minorHAnsi" w:cstheme="minorBidi"/>
          <w:b/>
          <w:color w:val="auto"/>
        </w:rPr>
        <w:br w:type="page"/>
      </w:r>
    </w:p>
    <w:sectPr w:rsidR="001720AA" w:rsidRPr="000C51A4" w:rsidSect="00DB7E5F">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C6E4" w14:textId="77777777" w:rsidR="00CC5355" w:rsidRDefault="00CC5355" w:rsidP="00B31222">
      <w:r>
        <w:separator/>
      </w:r>
    </w:p>
  </w:endnote>
  <w:endnote w:type="continuationSeparator" w:id="0">
    <w:p w14:paraId="30413DD5" w14:textId="77777777" w:rsidR="00CC5355" w:rsidRDefault="00CC5355"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324A062" w14:textId="77777777" w:rsidR="00A511D1" w:rsidRPr="00131C88" w:rsidRDefault="00A511D1" w:rsidP="00131C88">
            <w:pPr>
              <w:pStyle w:val="Piedepgina"/>
              <w:ind w:left="7371"/>
              <w:jc w:val="center"/>
              <w:rPr>
                <w:sz w:val="26"/>
                <w:szCs w:val="26"/>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827BE">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827BE">
              <w:rPr>
                <w:b/>
                <w:bCs/>
                <w:noProof/>
              </w:rPr>
              <w:t>31</w:t>
            </w:r>
            <w:r>
              <w:rPr>
                <w:b/>
                <w:bCs/>
                <w:sz w:val="24"/>
                <w:szCs w:val="24"/>
              </w:rPr>
              <w:fldChar w:fldCharType="end"/>
            </w:r>
          </w:p>
        </w:sdtContent>
      </w:sdt>
    </w:sdtContent>
  </w:sdt>
  <w:p w14:paraId="7F29931C" w14:textId="77777777" w:rsidR="00A511D1" w:rsidRDefault="00A511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D325148" w14:textId="77777777" w:rsidR="00A511D1" w:rsidRDefault="00A511D1">
            <w:pPr>
              <w:pStyle w:val="Piedepgina"/>
              <w:jc w:val="right"/>
            </w:pPr>
          </w:p>
          <w:p w14:paraId="6E652EBD" w14:textId="77777777" w:rsidR="00A511D1" w:rsidRDefault="00A511D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827B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827BE">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6823F" w14:textId="77777777" w:rsidR="00CC5355" w:rsidRDefault="00CC5355" w:rsidP="00B31222">
      <w:r>
        <w:separator/>
      </w:r>
    </w:p>
  </w:footnote>
  <w:footnote w:type="continuationSeparator" w:id="0">
    <w:p w14:paraId="029762EB" w14:textId="77777777" w:rsidR="00CC5355" w:rsidRDefault="00CC5355"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Layout w:type="fixed"/>
      <w:tblLook w:val="04A0" w:firstRow="1" w:lastRow="0" w:firstColumn="1" w:lastColumn="0" w:noHBand="0" w:noVBand="1"/>
    </w:tblPr>
    <w:tblGrid>
      <w:gridCol w:w="2268"/>
      <w:gridCol w:w="7087"/>
    </w:tblGrid>
    <w:tr w:rsidR="00A511D1" w:rsidRPr="005C106F" w14:paraId="17CC91FE" w14:textId="77777777" w:rsidTr="00131C88">
      <w:trPr>
        <w:trHeight w:val="1412"/>
      </w:trPr>
      <w:tc>
        <w:tcPr>
          <w:tcW w:w="2268" w:type="dxa"/>
          <w:shd w:val="clear" w:color="auto" w:fill="auto"/>
        </w:tcPr>
        <w:p w14:paraId="1A61C0A1" w14:textId="77777777" w:rsidR="00A511D1" w:rsidRPr="005C106F" w:rsidRDefault="00A511D1" w:rsidP="00EF4A64">
          <w:pPr>
            <w:tabs>
              <w:tab w:val="right" w:pos="4273"/>
            </w:tabs>
            <w:rPr>
              <w:rFonts w:ascii="Garamond" w:hAnsi="Garamond"/>
              <w:sz w:val="16"/>
              <w:szCs w:val="16"/>
            </w:rPr>
          </w:pPr>
        </w:p>
      </w:tc>
      <w:tc>
        <w:tcPr>
          <w:tcW w:w="7087" w:type="dxa"/>
          <w:shd w:val="clear" w:color="auto" w:fill="auto"/>
        </w:tcPr>
        <w:p w14:paraId="332798E9" w14:textId="77777777" w:rsidR="00A511D1" w:rsidRDefault="00A511D1" w:rsidP="005743D2"/>
        <w:tbl>
          <w:tblPr>
            <w:tblStyle w:val="Tablaconcuadrcula"/>
            <w:tblW w:w="6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427"/>
          </w:tblGrid>
          <w:tr w:rsidR="00A511D1" w14:paraId="23CDC4CF" w14:textId="77777777" w:rsidTr="00131C88">
            <w:trPr>
              <w:trHeight w:val="144"/>
            </w:trPr>
            <w:tc>
              <w:tcPr>
                <w:tcW w:w="2552" w:type="dxa"/>
              </w:tcPr>
              <w:p w14:paraId="1121F3DF" w14:textId="77777777" w:rsidR="00A511D1" w:rsidRPr="00026EBB" w:rsidRDefault="00A511D1" w:rsidP="005743D2">
                <w:pPr>
                  <w:tabs>
                    <w:tab w:val="right" w:pos="8838"/>
                  </w:tabs>
                  <w:rPr>
                    <w:rFonts w:cs="Tahoma"/>
                    <w:b/>
                    <w:lang w:val="es-MX"/>
                  </w:rPr>
                </w:pPr>
                <w:r w:rsidRPr="00026EBB">
                  <w:rPr>
                    <w:rFonts w:cs="Tahoma"/>
                    <w:b/>
                    <w:lang w:val="es-MX"/>
                  </w:rPr>
                  <w:t>Recurso de Revisión:</w:t>
                </w:r>
              </w:p>
            </w:tc>
            <w:tc>
              <w:tcPr>
                <w:tcW w:w="4427" w:type="dxa"/>
              </w:tcPr>
              <w:p w14:paraId="5E956197" w14:textId="77777777" w:rsidR="00A511D1" w:rsidRPr="008B3548" w:rsidRDefault="00A511D1" w:rsidP="00C76FCF">
                <w:pPr>
                  <w:tabs>
                    <w:tab w:val="right" w:pos="8838"/>
                  </w:tabs>
                  <w:ind w:left="-108"/>
                  <w:rPr>
                    <w:rFonts w:cs="Tahoma"/>
                  </w:rPr>
                </w:pPr>
                <w:r>
                  <w:rPr>
                    <w:rFonts w:cs="Tahoma"/>
                  </w:rPr>
                  <w:t>06986</w:t>
                </w:r>
                <w:r w:rsidRPr="00D005C2">
                  <w:rPr>
                    <w:rFonts w:cs="Tahoma"/>
                  </w:rPr>
                  <w:t>/INFOEM/IP/RR/2024</w:t>
                </w:r>
                <w:r>
                  <w:rPr>
                    <w:rFonts w:cs="Tahoma"/>
                  </w:rPr>
                  <w:t xml:space="preserve"> </w:t>
                </w:r>
                <w:r w:rsidRPr="004B7F4A">
                  <w:rPr>
                    <w:rFonts w:cs="Tahoma"/>
                  </w:rPr>
                  <w:t>y</w:t>
                </w:r>
                <w:r>
                  <w:rPr>
                    <w:rFonts w:cs="Tahoma"/>
                  </w:rPr>
                  <w:t xml:space="preserve"> </w:t>
                </w:r>
                <w:r w:rsidRPr="004B7F4A">
                  <w:rPr>
                    <w:rFonts w:cs="Tahoma"/>
                  </w:rPr>
                  <w:t>acumulados</w:t>
                </w:r>
              </w:p>
            </w:tc>
          </w:tr>
          <w:tr w:rsidR="00A511D1" w14:paraId="4195B590" w14:textId="77777777" w:rsidTr="00131C88">
            <w:trPr>
              <w:trHeight w:val="144"/>
            </w:trPr>
            <w:tc>
              <w:tcPr>
                <w:tcW w:w="2552" w:type="dxa"/>
              </w:tcPr>
              <w:p w14:paraId="280402B5" w14:textId="77777777" w:rsidR="00A511D1" w:rsidRPr="00026EBB" w:rsidRDefault="00A511D1" w:rsidP="005743D2">
                <w:pPr>
                  <w:tabs>
                    <w:tab w:val="right" w:pos="8838"/>
                  </w:tabs>
                  <w:rPr>
                    <w:rFonts w:cs="Tahoma"/>
                    <w:b/>
                    <w:lang w:val="es-MX"/>
                  </w:rPr>
                </w:pPr>
                <w:r w:rsidRPr="00026EBB">
                  <w:rPr>
                    <w:rFonts w:cs="Tahoma"/>
                    <w:b/>
                    <w:lang w:val="es-MX"/>
                  </w:rPr>
                  <w:t>Sujeto Obligado:</w:t>
                </w:r>
              </w:p>
            </w:tc>
            <w:tc>
              <w:tcPr>
                <w:tcW w:w="4427" w:type="dxa"/>
              </w:tcPr>
              <w:p w14:paraId="3CE89480" w14:textId="77777777" w:rsidR="00A511D1" w:rsidRPr="00A404EA" w:rsidRDefault="00A511D1" w:rsidP="00885230">
                <w:pPr>
                  <w:tabs>
                    <w:tab w:val="right" w:pos="8838"/>
                  </w:tabs>
                  <w:ind w:left="-108"/>
                  <w:rPr>
                    <w:rFonts w:cs="Tahoma"/>
                    <w:lang w:val="es-MX"/>
                  </w:rPr>
                </w:pPr>
                <w:r>
                  <w:rPr>
                    <w:rFonts w:cs="Tahoma"/>
                    <w:lang w:val="es-MX"/>
                  </w:rPr>
                  <w:t>Secretaría Ejecutiva del Sistema Estatal Anticorrupción</w:t>
                </w:r>
              </w:p>
            </w:tc>
          </w:tr>
          <w:tr w:rsidR="00A511D1" w14:paraId="3AD3F3A9" w14:textId="77777777" w:rsidTr="00131C88">
            <w:trPr>
              <w:trHeight w:val="138"/>
            </w:trPr>
            <w:tc>
              <w:tcPr>
                <w:tcW w:w="2552" w:type="dxa"/>
              </w:tcPr>
              <w:p w14:paraId="27631E98" w14:textId="77777777" w:rsidR="00A511D1" w:rsidRPr="00026EBB" w:rsidRDefault="00A511D1" w:rsidP="005743D2">
                <w:pPr>
                  <w:tabs>
                    <w:tab w:val="right" w:pos="8838"/>
                  </w:tabs>
                  <w:rPr>
                    <w:rFonts w:cs="Tahoma"/>
                    <w:b/>
                    <w:lang w:val="es-MX"/>
                  </w:rPr>
                </w:pPr>
                <w:r w:rsidRPr="00026EBB">
                  <w:rPr>
                    <w:rFonts w:cs="Tahoma"/>
                    <w:b/>
                    <w:lang w:val="es-MX"/>
                  </w:rPr>
                  <w:t>Comisionado Ponente:</w:t>
                </w:r>
              </w:p>
            </w:tc>
            <w:tc>
              <w:tcPr>
                <w:tcW w:w="4427" w:type="dxa"/>
              </w:tcPr>
              <w:p w14:paraId="2099796C" w14:textId="77777777" w:rsidR="00A511D1" w:rsidRPr="00131C88" w:rsidRDefault="00A511D1" w:rsidP="00131C88">
                <w:pPr>
                  <w:tabs>
                    <w:tab w:val="right" w:pos="8838"/>
                  </w:tabs>
                  <w:ind w:left="-108"/>
                  <w:rPr>
                    <w:rFonts w:cs="Tahoma"/>
                    <w:lang w:val="es-MX"/>
                  </w:rPr>
                </w:pPr>
                <w:r w:rsidRPr="00026EBB">
                  <w:rPr>
                    <w:rFonts w:cs="Tahoma"/>
                    <w:lang w:val="es-MX"/>
                  </w:rPr>
                  <w:t>Luis Gustavo Parra Noriega</w:t>
                </w:r>
              </w:p>
            </w:tc>
          </w:tr>
        </w:tbl>
        <w:p w14:paraId="7037628C" w14:textId="77777777" w:rsidR="00A511D1" w:rsidRPr="005C106F" w:rsidRDefault="00A511D1" w:rsidP="005743D2">
          <w:pPr>
            <w:tabs>
              <w:tab w:val="right" w:pos="8838"/>
            </w:tabs>
            <w:ind w:left="-28"/>
            <w:rPr>
              <w:rFonts w:ascii="Arial" w:hAnsi="Arial" w:cs="Arial"/>
              <w:b/>
            </w:rPr>
          </w:pPr>
        </w:p>
      </w:tc>
    </w:tr>
  </w:tbl>
  <w:p w14:paraId="1E097DF0" w14:textId="77777777" w:rsidR="00A511D1" w:rsidRDefault="00CC5355" w:rsidP="000930AE">
    <w:pPr>
      <w:pStyle w:val="Encabezado"/>
      <w:rPr>
        <w:sz w:val="14"/>
      </w:rPr>
    </w:pPr>
    <w:r>
      <w:rPr>
        <w:rFonts w:ascii="Garamond" w:hAnsi="Garamond"/>
        <w:noProof/>
        <w:sz w:val="16"/>
        <w:szCs w:val="16"/>
        <w:lang w:eastAsia="es-MX"/>
      </w:rPr>
      <w:pict w14:anchorId="06F60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left:0;text-align:left;margin-left:-80.05pt;margin-top:-139.3pt;width:663.5pt;height:12in;z-index:-251657216;mso-wrap-edited:f;mso-position-horizontal-relative:margin;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AC02E" w14:textId="77777777" w:rsidR="00A511D1" w:rsidRPr="00C76FCF" w:rsidRDefault="00CC5355">
    <w:pPr>
      <w:rPr>
        <w:sz w:val="2"/>
        <w:szCs w:val="2"/>
      </w:rPr>
    </w:pPr>
    <w:r>
      <w:rPr>
        <w:rFonts w:cs="Tahoma"/>
        <w:b/>
        <w:noProof/>
        <w:lang w:eastAsia="es-MX"/>
      </w:rPr>
      <w:pict w14:anchorId="27C22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49" type="#_x0000_t75" alt="MARCA DE AGUA - HOJA RESOLUCIÓN" style="position:absolute;left:0;text-align:left;margin-left:-79.2pt;margin-top:-161.8pt;width:663.5pt;height:12in;z-index:-251658240;mso-wrap-edited:f;mso-position-horizontal-relative:margin;mso-position-vertical-relative:margin" o:allowincell="f">
          <v:imagedata r:id="rId1" o:title="MARCA DE AGUA - HOJA RESOLUCIÓN"/>
          <w10:wrap anchorx="margin" anchory="margin"/>
        </v:shape>
      </w:pict>
    </w:r>
  </w:p>
  <w:tbl>
    <w:tblPr>
      <w:tblStyle w:val="Tablaconcuadrcula"/>
      <w:tblpPr w:leftFromText="141" w:rightFromText="141" w:vertAnchor="page" w:horzAnchor="margin" w:tblpY="55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405"/>
      <w:gridCol w:w="4257"/>
    </w:tblGrid>
    <w:tr w:rsidR="00A511D1" w:rsidRPr="00264223" w14:paraId="06A079F2" w14:textId="77777777" w:rsidTr="006A0D45">
      <w:trPr>
        <w:trHeight w:val="466"/>
      </w:trPr>
      <w:tc>
        <w:tcPr>
          <w:tcW w:w="2410" w:type="dxa"/>
          <w:vAlign w:val="bottom"/>
        </w:tcPr>
        <w:p w14:paraId="7BAB7674" w14:textId="77777777" w:rsidR="00A511D1" w:rsidRPr="00026EBB" w:rsidRDefault="00A511D1" w:rsidP="00913B76">
          <w:pPr>
            <w:tabs>
              <w:tab w:val="right" w:pos="8838"/>
            </w:tabs>
            <w:ind w:right="-105"/>
            <w:rPr>
              <w:rFonts w:cs="Tahoma"/>
              <w:b/>
              <w:lang w:val="es-MX"/>
            </w:rPr>
          </w:pPr>
        </w:p>
      </w:tc>
      <w:tc>
        <w:tcPr>
          <w:tcW w:w="2405" w:type="dxa"/>
          <w:vAlign w:val="bottom"/>
        </w:tcPr>
        <w:p w14:paraId="3267568A" w14:textId="77777777" w:rsidR="00A511D1" w:rsidRPr="0091633A" w:rsidRDefault="00A511D1" w:rsidP="006A0D45">
          <w:pPr>
            <w:tabs>
              <w:tab w:val="left" w:pos="1735"/>
              <w:tab w:val="right" w:pos="8838"/>
            </w:tabs>
            <w:spacing w:line="276" w:lineRule="auto"/>
            <w:rPr>
              <w:rFonts w:cs="Tahoma"/>
              <w:b/>
              <w:bCs/>
            </w:rPr>
          </w:pPr>
          <w:r w:rsidRPr="00026EBB">
            <w:rPr>
              <w:rFonts w:cs="Tahoma"/>
              <w:b/>
              <w:lang w:val="es-MX"/>
            </w:rPr>
            <w:t>Recurso de Revisión:</w:t>
          </w:r>
        </w:p>
      </w:tc>
      <w:tc>
        <w:tcPr>
          <w:tcW w:w="4257" w:type="dxa"/>
          <w:vAlign w:val="bottom"/>
        </w:tcPr>
        <w:p w14:paraId="7816329C" w14:textId="77777777" w:rsidR="00A511D1" w:rsidRPr="00A404EA" w:rsidRDefault="00A511D1" w:rsidP="00D005C2">
          <w:pPr>
            <w:tabs>
              <w:tab w:val="left" w:pos="3435"/>
              <w:tab w:val="right" w:pos="8838"/>
            </w:tabs>
            <w:spacing w:line="276" w:lineRule="auto"/>
            <w:ind w:left="-28" w:right="39"/>
            <w:rPr>
              <w:rFonts w:cs="Tahoma"/>
            </w:rPr>
          </w:pPr>
          <w:r>
            <w:rPr>
              <w:rFonts w:cs="Tahoma"/>
            </w:rPr>
            <w:t>06986</w:t>
          </w:r>
          <w:r w:rsidRPr="00D005C2">
            <w:rPr>
              <w:rFonts w:cs="Tahoma"/>
            </w:rPr>
            <w:t>/INFOEM/IP/RR/2024</w:t>
          </w:r>
          <w:r>
            <w:rPr>
              <w:rFonts w:cs="Tahoma"/>
            </w:rPr>
            <w:t xml:space="preserve"> </w:t>
          </w:r>
          <w:r w:rsidRPr="004B7F4A">
            <w:rPr>
              <w:rFonts w:cs="Tahoma"/>
            </w:rPr>
            <w:t>y</w:t>
          </w:r>
          <w:r>
            <w:rPr>
              <w:rFonts w:cs="Tahoma"/>
            </w:rPr>
            <w:t xml:space="preserve"> </w:t>
          </w:r>
          <w:r w:rsidRPr="004B7F4A">
            <w:rPr>
              <w:rFonts w:cs="Tahoma"/>
            </w:rPr>
            <w:t>acumulados</w:t>
          </w:r>
        </w:p>
      </w:tc>
    </w:tr>
    <w:tr w:rsidR="00A511D1" w:rsidRPr="00264223" w14:paraId="1693FE63" w14:textId="77777777" w:rsidTr="006A0D45">
      <w:trPr>
        <w:trHeight w:val="119"/>
      </w:trPr>
      <w:tc>
        <w:tcPr>
          <w:tcW w:w="2410" w:type="dxa"/>
        </w:tcPr>
        <w:p w14:paraId="5572E259" w14:textId="77777777" w:rsidR="00A511D1" w:rsidRPr="00026EBB" w:rsidRDefault="00A511D1" w:rsidP="00913B76">
          <w:pPr>
            <w:tabs>
              <w:tab w:val="right" w:pos="8838"/>
            </w:tabs>
            <w:ind w:right="-105"/>
            <w:rPr>
              <w:rFonts w:cs="Tahoma"/>
              <w:b/>
              <w:lang w:val="es-MX"/>
            </w:rPr>
          </w:pPr>
        </w:p>
      </w:tc>
      <w:tc>
        <w:tcPr>
          <w:tcW w:w="2405" w:type="dxa"/>
        </w:tcPr>
        <w:p w14:paraId="33625B55" w14:textId="77777777" w:rsidR="00A511D1" w:rsidRPr="00026EBB" w:rsidRDefault="00A511D1" w:rsidP="00F82637">
          <w:pPr>
            <w:tabs>
              <w:tab w:val="right" w:pos="8838"/>
            </w:tabs>
            <w:spacing w:line="276" w:lineRule="auto"/>
            <w:ind w:right="171"/>
            <w:rPr>
              <w:rFonts w:cs="Tahoma"/>
              <w:lang w:val="es-MX"/>
            </w:rPr>
          </w:pPr>
          <w:r w:rsidRPr="00026EBB">
            <w:rPr>
              <w:rFonts w:cs="Tahoma"/>
              <w:b/>
              <w:lang w:val="es-MX"/>
            </w:rPr>
            <w:t>Recurrente:</w:t>
          </w:r>
        </w:p>
      </w:tc>
      <w:tc>
        <w:tcPr>
          <w:tcW w:w="4257" w:type="dxa"/>
        </w:tcPr>
        <w:p w14:paraId="5F568E0A" w14:textId="002B1ED0" w:rsidR="00A511D1" w:rsidRPr="0055002A" w:rsidRDefault="00491BFA" w:rsidP="00C76FCF">
          <w:pPr>
            <w:tabs>
              <w:tab w:val="right" w:pos="8838"/>
            </w:tabs>
            <w:spacing w:line="276" w:lineRule="auto"/>
            <w:ind w:right="-391"/>
            <w:rPr>
              <w:rFonts w:cs="Tahoma"/>
            </w:rPr>
          </w:pPr>
          <w:r w:rsidRPr="00491BFA">
            <w:rPr>
              <w:rFonts w:cs="Tahoma"/>
              <w:highlight w:val="black"/>
            </w:rPr>
            <w:t>XX</w:t>
          </w:r>
        </w:p>
      </w:tc>
    </w:tr>
    <w:tr w:rsidR="00A511D1" w:rsidRPr="00264223" w14:paraId="3F1BE9EA" w14:textId="77777777" w:rsidTr="006A0D45">
      <w:trPr>
        <w:trHeight w:val="234"/>
      </w:trPr>
      <w:tc>
        <w:tcPr>
          <w:tcW w:w="2410" w:type="dxa"/>
        </w:tcPr>
        <w:p w14:paraId="4692CCE5" w14:textId="77777777" w:rsidR="00A511D1" w:rsidRPr="00026EBB" w:rsidRDefault="00A511D1" w:rsidP="00913B76">
          <w:pPr>
            <w:tabs>
              <w:tab w:val="right" w:pos="8838"/>
            </w:tabs>
            <w:ind w:right="-105"/>
            <w:rPr>
              <w:rFonts w:cs="Tahoma"/>
              <w:b/>
              <w:lang w:val="es-MX"/>
            </w:rPr>
          </w:pPr>
        </w:p>
      </w:tc>
      <w:tc>
        <w:tcPr>
          <w:tcW w:w="2405" w:type="dxa"/>
        </w:tcPr>
        <w:p w14:paraId="08CB3820" w14:textId="77777777" w:rsidR="00A511D1" w:rsidRPr="00026EBB" w:rsidRDefault="00A511D1" w:rsidP="00F82637">
          <w:pPr>
            <w:tabs>
              <w:tab w:val="right" w:pos="8838"/>
            </w:tabs>
            <w:spacing w:line="276" w:lineRule="auto"/>
            <w:ind w:right="171"/>
            <w:rPr>
              <w:rFonts w:cs="Tahoma"/>
              <w:b/>
              <w:lang w:val="es-MX"/>
            </w:rPr>
          </w:pPr>
          <w:r w:rsidRPr="00026EBB">
            <w:rPr>
              <w:rFonts w:cs="Tahoma"/>
              <w:b/>
              <w:lang w:val="es-MX"/>
            </w:rPr>
            <w:t>Sujeto Obligado:</w:t>
          </w:r>
        </w:p>
      </w:tc>
      <w:tc>
        <w:tcPr>
          <w:tcW w:w="4257" w:type="dxa"/>
        </w:tcPr>
        <w:p w14:paraId="7734C950" w14:textId="77777777" w:rsidR="00A511D1" w:rsidRPr="00A404EA" w:rsidRDefault="00A511D1" w:rsidP="006A0D45">
          <w:pPr>
            <w:tabs>
              <w:tab w:val="right" w:pos="8838"/>
            </w:tabs>
            <w:spacing w:line="276" w:lineRule="auto"/>
            <w:rPr>
              <w:rFonts w:cs="Tahoma"/>
            </w:rPr>
          </w:pPr>
          <w:r>
            <w:rPr>
              <w:rFonts w:cs="Tahoma"/>
              <w:lang w:val="es-MX"/>
            </w:rPr>
            <w:t>Secretaría Ejecutiva del Sistema Estatal Anticorrupción</w:t>
          </w:r>
        </w:p>
      </w:tc>
    </w:tr>
    <w:tr w:rsidR="00A511D1" w:rsidRPr="00264223" w14:paraId="5202B9B2" w14:textId="77777777" w:rsidTr="006A0D45">
      <w:trPr>
        <w:trHeight w:val="234"/>
      </w:trPr>
      <w:tc>
        <w:tcPr>
          <w:tcW w:w="2410" w:type="dxa"/>
        </w:tcPr>
        <w:p w14:paraId="2CE9868F" w14:textId="77777777" w:rsidR="00A511D1" w:rsidRPr="00026EBB" w:rsidRDefault="00A511D1" w:rsidP="00913B76">
          <w:pPr>
            <w:tabs>
              <w:tab w:val="right" w:pos="8838"/>
            </w:tabs>
            <w:ind w:right="-105"/>
            <w:rPr>
              <w:rFonts w:cs="Tahoma"/>
              <w:b/>
              <w:lang w:val="es-MX"/>
            </w:rPr>
          </w:pPr>
        </w:p>
      </w:tc>
      <w:tc>
        <w:tcPr>
          <w:tcW w:w="2405" w:type="dxa"/>
        </w:tcPr>
        <w:p w14:paraId="15DBD98B" w14:textId="77777777" w:rsidR="00A511D1" w:rsidRPr="00026EBB" w:rsidRDefault="00A511D1" w:rsidP="00F82637">
          <w:pPr>
            <w:tabs>
              <w:tab w:val="right" w:pos="8838"/>
            </w:tabs>
            <w:spacing w:line="276" w:lineRule="auto"/>
            <w:ind w:right="-108"/>
            <w:rPr>
              <w:rFonts w:cs="Tahoma"/>
              <w:b/>
              <w:lang w:val="es-MX"/>
            </w:rPr>
          </w:pPr>
          <w:r w:rsidRPr="00026EBB">
            <w:rPr>
              <w:rFonts w:cs="Tahoma"/>
              <w:b/>
              <w:lang w:val="es-MX"/>
            </w:rPr>
            <w:t>Comisionado Ponente:</w:t>
          </w:r>
        </w:p>
      </w:tc>
      <w:tc>
        <w:tcPr>
          <w:tcW w:w="4257" w:type="dxa"/>
        </w:tcPr>
        <w:p w14:paraId="2E3568D0" w14:textId="77777777" w:rsidR="00A511D1" w:rsidRDefault="00A511D1" w:rsidP="00F82637">
          <w:pPr>
            <w:tabs>
              <w:tab w:val="right" w:pos="8838"/>
            </w:tabs>
            <w:spacing w:line="276" w:lineRule="auto"/>
            <w:ind w:right="171"/>
            <w:rPr>
              <w:rFonts w:cs="Tahoma"/>
            </w:rPr>
          </w:pPr>
          <w:r w:rsidRPr="00026EBB">
            <w:rPr>
              <w:rFonts w:cs="Tahoma"/>
              <w:lang w:val="es-MX"/>
            </w:rPr>
            <w:t>Luis Gustavo Parra Noriega</w:t>
          </w:r>
        </w:p>
      </w:tc>
    </w:tr>
  </w:tbl>
  <w:p w14:paraId="4D9ABC1A" w14:textId="77777777" w:rsidR="00A511D1" w:rsidRPr="00220A9B" w:rsidRDefault="00A511D1" w:rsidP="0026742F">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4E06CE"/>
    <w:multiLevelType w:val="hybridMultilevel"/>
    <w:tmpl w:val="78D61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A0294A"/>
    <w:multiLevelType w:val="hybridMultilevel"/>
    <w:tmpl w:val="2EAE36CC"/>
    <w:lvl w:ilvl="0" w:tplc="9A7040E6">
      <w:start w:val="1"/>
      <w:numFmt w:val="lowerLetter"/>
      <w:lvlText w:val="%1)"/>
      <w:lvlJc w:val="left"/>
      <w:pPr>
        <w:ind w:left="720" w:hanging="360"/>
      </w:pPr>
      <w:rPr>
        <w:rFonts w:ascii="Palatino Linotype" w:hAnsi="Palatino Linotyp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3811E1"/>
    <w:multiLevelType w:val="hybridMultilevel"/>
    <w:tmpl w:val="2FC4B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D068CE"/>
    <w:multiLevelType w:val="hybridMultilevel"/>
    <w:tmpl w:val="DFD819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F370A3"/>
    <w:multiLevelType w:val="hybridMultilevel"/>
    <w:tmpl w:val="FB687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B2C2FCD"/>
    <w:multiLevelType w:val="hybridMultilevel"/>
    <w:tmpl w:val="E1EE0F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AF6A4E"/>
    <w:multiLevelType w:val="hybridMultilevel"/>
    <w:tmpl w:val="ECE25ED8"/>
    <w:lvl w:ilvl="0" w:tplc="7AA0B6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BE72F0"/>
    <w:multiLevelType w:val="hybridMultilevel"/>
    <w:tmpl w:val="8856D5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69C57B2"/>
    <w:multiLevelType w:val="hybridMultilevel"/>
    <w:tmpl w:val="28D868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EA2186"/>
    <w:multiLevelType w:val="hybridMultilevel"/>
    <w:tmpl w:val="9744712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7F764C3"/>
    <w:multiLevelType w:val="hybridMultilevel"/>
    <w:tmpl w:val="CB7C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8362F"/>
    <w:multiLevelType w:val="hybridMultilevel"/>
    <w:tmpl w:val="7C761C9C"/>
    <w:lvl w:ilvl="0" w:tplc="87B47F84">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A3C59DC"/>
    <w:multiLevelType w:val="hybridMultilevel"/>
    <w:tmpl w:val="E0AA947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A916B2"/>
    <w:multiLevelType w:val="hybridMultilevel"/>
    <w:tmpl w:val="E482EC1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0672A"/>
    <w:multiLevelType w:val="hybridMultilevel"/>
    <w:tmpl w:val="FE0CA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AC7F10"/>
    <w:multiLevelType w:val="hybridMultilevel"/>
    <w:tmpl w:val="3F701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3486A"/>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3A0854"/>
    <w:multiLevelType w:val="hybridMultilevel"/>
    <w:tmpl w:val="43CC4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F46A4"/>
    <w:multiLevelType w:val="hybridMultilevel"/>
    <w:tmpl w:val="69FA2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9D950C2"/>
    <w:multiLevelType w:val="hybridMultilevel"/>
    <w:tmpl w:val="D0EEF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764B74"/>
    <w:multiLevelType w:val="hybridMultilevel"/>
    <w:tmpl w:val="CEA648CE"/>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3A17E30"/>
    <w:multiLevelType w:val="hybridMultilevel"/>
    <w:tmpl w:val="550C0A0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4F574F0"/>
    <w:multiLevelType w:val="hybridMultilevel"/>
    <w:tmpl w:val="F90E2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B60BBE"/>
    <w:multiLevelType w:val="hybridMultilevel"/>
    <w:tmpl w:val="4176C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1B52B1"/>
    <w:multiLevelType w:val="hybridMultilevel"/>
    <w:tmpl w:val="384631D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B820A8"/>
    <w:multiLevelType w:val="hybridMultilevel"/>
    <w:tmpl w:val="BF0266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E36A86"/>
    <w:multiLevelType w:val="hybridMultilevel"/>
    <w:tmpl w:val="2502099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C1653C7"/>
    <w:multiLevelType w:val="hybridMultilevel"/>
    <w:tmpl w:val="7EE82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747094"/>
    <w:multiLevelType w:val="hybridMultilevel"/>
    <w:tmpl w:val="0442C4D8"/>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62792D"/>
    <w:multiLevelType w:val="hybridMultilevel"/>
    <w:tmpl w:val="D7F2FB56"/>
    <w:lvl w:ilvl="0" w:tplc="48FA2CB0">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311D81"/>
    <w:multiLevelType w:val="hybridMultilevel"/>
    <w:tmpl w:val="2C1A2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3F5B0C"/>
    <w:multiLevelType w:val="hybridMultilevel"/>
    <w:tmpl w:val="475AD25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5"/>
  </w:num>
  <w:num w:numId="4">
    <w:abstractNumId w:val="27"/>
  </w:num>
  <w:num w:numId="5">
    <w:abstractNumId w:val="13"/>
  </w:num>
  <w:num w:numId="6">
    <w:abstractNumId w:val="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22"/>
  </w:num>
  <w:num w:numId="11">
    <w:abstractNumId w:val="13"/>
  </w:num>
  <w:num w:numId="12">
    <w:abstractNumId w:val="24"/>
  </w:num>
  <w:num w:numId="13">
    <w:abstractNumId w:val="19"/>
  </w:num>
  <w:num w:numId="14">
    <w:abstractNumId w:val="36"/>
  </w:num>
  <w:num w:numId="15">
    <w:abstractNumId w:val="26"/>
  </w:num>
  <w:num w:numId="16">
    <w:abstractNumId w:val="34"/>
  </w:num>
  <w:num w:numId="17">
    <w:abstractNumId w:val="41"/>
  </w:num>
  <w:num w:numId="18">
    <w:abstractNumId w:val="17"/>
  </w:num>
  <w:num w:numId="19">
    <w:abstractNumId w:val="44"/>
  </w:num>
  <w:num w:numId="20">
    <w:abstractNumId w:val="6"/>
  </w:num>
  <w:num w:numId="21">
    <w:abstractNumId w:val="11"/>
  </w:num>
  <w:num w:numId="22">
    <w:abstractNumId w:val="13"/>
  </w:num>
  <w:num w:numId="23">
    <w:abstractNumId w:val="12"/>
  </w:num>
  <w:num w:numId="24">
    <w:abstractNumId w:val="21"/>
  </w:num>
  <w:num w:numId="25">
    <w:abstractNumId w:val="40"/>
  </w:num>
  <w:num w:numId="26">
    <w:abstractNumId w:val="3"/>
  </w:num>
  <w:num w:numId="27">
    <w:abstractNumId w:val="42"/>
  </w:num>
  <w:num w:numId="28">
    <w:abstractNumId w:val="32"/>
  </w:num>
  <w:num w:numId="29">
    <w:abstractNumId w:val="38"/>
  </w:num>
  <w:num w:numId="30">
    <w:abstractNumId w:val="33"/>
  </w:num>
  <w:num w:numId="31">
    <w:abstractNumId w:val="8"/>
  </w:num>
  <w:num w:numId="32">
    <w:abstractNumId w:val="45"/>
  </w:num>
  <w:num w:numId="33">
    <w:abstractNumId w:val="10"/>
  </w:num>
  <w:num w:numId="34">
    <w:abstractNumId w:val="28"/>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1"/>
  </w:num>
  <w:num w:numId="40">
    <w:abstractNumId w:val="9"/>
  </w:num>
  <w:num w:numId="41">
    <w:abstractNumId w:val="1"/>
  </w:num>
  <w:num w:numId="42">
    <w:abstractNumId w:val="43"/>
  </w:num>
  <w:num w:numId="43">
    <w:abstractNumId w:val="29"/>
  </w:num>
  <w:num w:numId="44">
    <w:abstractNumId w:val="16"/>
  </w:num>
  <w:num w:numId="45">
    <w:abstractNumId w:val="7"/>
  </w:num>
  <w:num w:numId="46">
    <w:abstractNumId w:val="23"/>
  </w:num>
  <w:num w:numId="47">
    <w:abstractNumId w:val="3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0447"/>
    <w:rsid w:val="00011CE8"/>
    <w:rsid w:val="00012C57"/>
    <w:rsid w:val="00013A19"/>
    <w:rsid w:val="00014465"/>
    <w:rsid w:val="0001559E"/>
    <w:rsid w:val="000156FF"/>
    <w:rsid w:val="00017019"/>
    <w:rsid w:val="00020FAA"/>
    <w:rsid w:val="000212E5"/>
    <w:rsid w:val="00021C64"/>
    <w:rsid w:val="000231CD"/>
    <w:rsid w:val="00023837"/>
    <w:rsid w:val="0002405C"/>
    <w:rsid w:val="000241C5"/>
    <w:rsid w:val="00026EBB"/>
    <w:rsid w:val="00027E3E"/>
    <w:rsid w:val="000307EE"/>
    <w:rsid w:val="000313A7"/>
    <w:rsid w:val="000313C2"/>
    <w:rsid w:val="00031B9F"/>
    <w:rsid w:val="00032F5B"/>
    <w:rsid w:val="00034E9D"/>
    <w:rsid w:val="0003645D"/>
    <w:rsid w:val="000373BC"/>
    <w:rsid w:val="00037B34"/>
    <w:rsid w:val="00037F4B"/>
    <w:rsid w:val="0004168D"/>
    <w:rsid w:val="000421D3"/>
    <w:rsid w:val="00043C4B"/>
    <w:rsid w:val="00043E6F"/>
    <w:rsid w:val="00044C31"/>
    <w:rsid w:val="0004646B"/>
    <w:rsid w:val="000464FC"/>
    <w:rsid w:val="000475E4"/>
    <w:rsid w:val="00047D67"/>
    <w:rsid w:val="00050DF6"/>
    <w:rsid w:val="00051964"/>
    <w:rsid w:val="00051A65"/>
    <w:rsid w:val="000520C2"/>
    <w:rsid w:val="000528E6"/>
    <w:rsid w:val="00053EBE"/>
    <w:rsid w:val="00055043"/>
    <w:rsid w:val="000551C1"/>
    <w:rsid w:val="00055251"/>
    <w:rsid w:val="000553B4"/>
    <w:rsid w:val="00057236"/>
    <w:rsid w:val="000575C3"/>
    <w:rsid w:val="00060166"/>
    <w:rsid w:val="0006017B"/>
    <w:rsid w:val="00061F5F"/>
    <w:rsid w:val="00063366"/>
    <w:rsid w:val="0007186E"/>
    <w:rsid w:val="00073274"/>
    <w:rsid w:val="000735A4"/>
    <w:rsid w:val="00074579"/>
    <w:rsid w:val="00076A8D"/>
    <w:rsid w:val="0008009A"/>
    <w:rsid w:val="000813B0"/>
    <w:rsid w:val="0008148B"/>
    <w:rsid w:val="0008165E"/>
    <w:rsid w:val="00081C8C"/>
    <w:rsid w:val="000827B9"/>
    <w:rsid w:val="00082F59"/>
    <w:rsid w:val="00087B93"/>
    <w:rsid w:val="000916F5"/>
    <w:rsid w:val="000930AE"/>
    <w:rsid w:val="00093D95"/>
    <w:rsid w:val="00094124"/>
    <w:rsid w:val="00094683"/>
    <w:rsid w:val="0009668A"/>
    <w:rsid w:val="00097211"/>
    <w:rsid w:val="0009793B"/>
    <w:rsid w:val="000A1A06"/>
    <w:rsid w:val="000A20A4"/>
    <w:rsid w:val="000A2275"/>
    <w:rsid w:val="000A2389"/>
    <w:rsid w:val="000A238F"/>
    <w:rsid w:val="000A2C7C"/>
    <w:rsid w:val="000A66FD"/>
    <w:rsid w:val="000A7211"/>
    <w:rsid w:val="000B0B4E"/>
    <w:rsid w:val="000B1D07"/>
    <w:rsid w:val="000B1D37"/>
    <w:rsid w:val="000B2C93"/>
    <w:rsid w:val="000B36DD"/>
    <w:rsid w:val="000B5711"/>
    <w:rsid w:val="000B6020"/>
    <w:rsid w:val="000B691A"/>
    <w:rsid w:val="000C0493"/>
    <w:rsid w:val="000C1F42"/>
    <w:rsid w:val="000C2283"/>
    <w:rsid w:val="000C27CA"/>
    <w:rsid w:val="000C46DF"/>
    <w:rsid w:val="000C51A4"/>
    <w:rsid w:val="000C5940"/>
    <w:rsid w:val="000C59CB"/>
    <w:rsid w:val="000C6D13"/>
    <w:rsid w:val="000D0B08"/>
    <w:rsid w:val="000D0CE1"/>
    <w:rsid w:val="000D199C"/>
    <w:rsid w:val="000D514C"/>
    <w:rsid w:val="000D6387"/>
    <w:rsid w:val="000D6664"/>
    <w:rsid w:val="000D71F7"/>
    <w:rsid w:val="000E087D"/>
    <w:rsid w:val="000E0BEA"/>
    <w:rsid w:val="000E17F3"/>
    <w:rsid w:val="000E1EF4"/>
    <w:rsid w:val="000E2513"/>
    <w:rsid w:val="000E4C0C"/>
    <w:rsid w:val="000E67E4"/>
    <w:rsid w:val="000F24C8"/>
    <w:rsid w:val="000F3DA0"/>
    <w:rsid w:val="000F3E68"/>
    <w:rsid w:val="000F470F"/>
    <w:rsid w:val="000F4876"/>
    <w:rsid w:val="000F555D"/>
    <w:rsid w:val="000F57B1"/>
    <w:rsid w:val="000F6B9F"/>
    <w:rsid w:val="000F7A45"/>
    <w:rsid w:val="000F7FD8"/>
    <w:rsid w:val="00100BAC"/>
    <w:rsid w:val="001017B7"/>
    <w:rsid w:val="001024BE"/>
    <w:rsid w:val="001030DC"/>
    <w:rsid w:val="001034C6"/>
    <w:rsid w:val="00103D64"/>
    <w:rsid w:val="001049B0"/>
    <w:rsid w:val="00104ADB"/>
    <w:rsid w:val="001057BC"/>
    <w:rsid w:val="00106127"/>
    <w:rsid w:val="00107D2F"/>
    <w:rsid w:val="00111FCC"/>
    <w:rsid w:val="00112946"/>
    <w:rsid w:val="00112F0B"/>
    <w:rsid w:val="001133D5"/>
    <w:rsid w:val="00113837"/>
    <w:rsid w:val="00114068"/>
    <w:rsid w:val="00114CEA"/>
    <w:rsid w:val="001150E9"/>
    <w:rsid w:val="00117C08"/>
    <w:rsid w:val="001223E5"/>
    <w:rsid w:val="001224BA"/>
    <w:rsid w:val="001239BF"/>
    <w:rsid w:val="001241A6"/>
    <w:rsid w:val="00127757"/>
    <w:rsid w:val="00127E51"/>
    <w:rsid w:val="00130F33"/>
    <w:rsid w:val="001311C3"/>
    <w:rsid w:val="00131C88"/>
    <w:rsid w:val="00132A80"/>
    <w:rsid w:val="00132F95"/>
    <w:rsid w:val="00135F5A"/>
    <w:rsid w:val="00136927"/>
    <w:rsid w:val="00136CBF"/>
    <w:rsid w:val="001373A9"/>
    <w:rsid w:val="00141846"/>
    <w:rsid w:val="001426E4"/>
    <w:rsid w:val="0014307A"/>
    <w:rsid w:val="00144D0B"/>
    <w:rsid w:val="00145C9A"/>
    <w:rsid w:val="00146080"/>
    <w:rsid w:val="00147566"/>
    <w:rsid w:val="001507FD"/>
    <w:rsid w:val="00150A0A"/>
    <w:rsid w:val="00151053"/>
    <w:rsid w:val="00151442"/>
    <w:rsid w:val="00151FBB"/>
    <w:rsid w:val="0015211F"/>
    <w:rsid w:val="00155F96"/>
    <w:rsid w:val="00156408"/>
    <w:rsid w:val="00156A6B"/>
    <w:rsid w:val="00161DF9"/>
    <w:rsid w:val="00161ED0"/>
    <w:rsid w:val="00162CCE"/>
    <w:rsid w:val="00165891"/>
    <w:rsid w:val="00166954"/>
    <w:rsid w:val="00167281"/>
    <w:rsid w:val="00167C4B"/>
    <w:rsid w:val="00170301"/>
    <w:rsid w:val="00170545"/>
    <w:rsid w:val="00171ADD"/>
    <w:rsid w:val="001720AA"/>
    <w:rsid w:val="001720DD"/>
    <w:rsid w:val="001734B1"/>
    <w:rsid w:val="00173688"/>
    <w:rsid w:val="0017459B"/>
    <w:rsid w:val="00174ABA"/>
    <w:rsid w:val="001758E3"/>
    <w:rsid w:val="00175B2F"/>
    <w:rsid w:val="0017695F"/>
    <w:rsid w:val="0018044A"/>
    <w:rsid w:val="001815C5"/>
    <w:rsid w:val="00182F0F"/>
    <w:rsid w:val="00183C9D"/>
    <w:rsid w:val="00183D24"/>
    <w:rsid w:val="001843F8"/>
    <w:rsid w:val="001851A6"/>
    <w:rsid w:val="001875A7"/>
    <w:rsid w:val="001879E1"/>
    <w:rsid w:val="001905AB"/>
    <w:rsid w:val="001923B6"/>
    <w:rsid w:val="0019389B"/>
    <w:rsid w:val="00194314"/>
    <w:rsid w:val="00194582"/>
    <w:rsid w:val="0019576A"/>
    <w:rsid w:val="001A1B88"/>
    <w:rsid w:val="001A1B94"/>
    <w:rsid w:val="001A22F5"/>
    <w:rsid w:val="001A7FD2"/>
    <w:rsid w:val="001B107D"/>
    <w:rsid w:val="001B2CD9"/>
    <w:rsid w:val="001B3581"/>
    <w:rsid w:val="001B5FC3"/>
    <w:rsid w:val="001B6049"/>
    <w:rsid w:val="001B62A0"/>
    <w:rsid w:val="001B71FA"/>
    <w:rsid w:val="001B73CC"/>
    <w:rsid w:val="001B790F"/>
    <w:rsid w:val="001B7D42"/>
    <w:rsid w:val="001C0299"/>
    <w:rsid w:val="001C1655"/>
    <w:rsid w:val="001C282F"/>
    <w:rsid w:val="001C4E35"/>
    <w:rsid w:val="001D0086"/>
    <w:rsid w:val="001D0094"/>
    <w:rsid w:val="001D22EC"/>
    <w:rsid w:val="001D33B5"/>
    <w:rsid w:val="001D425D"/>
    <w:rsid w:val="001D47C9"/>
    <w:rsid w:val="001D7012"/>
    <w:rsid w:val="001D7BD2"/>
    <w:rsid w:val="001E1355"/>
    <w:rsid w:val="001E2A4D"/>
    <w:rsid w:val="001E47C1"/>
    <w:rsid w:val="001E4D69"/>
    <w:rsid w:val="001E53C2"/>
    <w:rsid w:val="001E551B"/>
    <w:rsid w:val="001F0E9C"/>
    <w:rsid w:val="001F1540"/>
    <w:rsid w:val="001F3076"/>
    <w:rsid w:val="001F4726"/>
    <w:rsid w:val="001F652C"/>
    <w:rsid w:val="001F739F"/>
    <w:rsid w:val="001F78D9"/>
    <w:rsid w:val="002010D1"/>
    <w:rsid w:val="00202494"/>
    <w:rsid w:val="00202DB8"/>
    <w:rsid w:val="00205B1E"/>
    <w:rsid w:val="002072BE"/>
    <w:rsid w:val="00207736"/>
    <w:rsid w:val="00212460"/>
    <w:rsid w:val="00213783"/>
    <w:rsid w:val="00215731"/>
    <w:rsid w:val="00215D0D"/>
    <w:rsid w:val="00217AEF"/>
    <w:rsid w:val="00220A9B"/>
    <w:rsid w:val="0022119B"/>
    <w:rsid w:val="00221576"/>
    <w:rsid w:val="00221EC9"/>
    <w:rsid w:val="00223ECD"/>
    <w:rsid w:val="002240FC"/>
    <w:rsid w:val="002241A6"/>
    <w:rsid w:val="002241E8"/>
    <w:rsid w:val="002243A5"/>
    <w:rsid w:val="00224774"/>
    <w:rsid w:val="002247B0"/>
    <w:rsid w:val="00224D5D"/>
    <w:rsid w:val="00224F7A"/>
    <w:rsid w:val="00225152"/>
    <w:rsid w:val="00226633"/>
    <w:rsid w:val="0023069D"/>
    <w:rsid w:val="00230E81"/>
    <w:rsid w:val="00232673"/>
    <w:rsid w:val="00236863"/>
    <w:rsid w:val="00237C1F"/>
    <w:rsid w:val="00237D0D"/>
    <w:rsid w:val="0024089F"/>
    <w:rsid w:val="00241A8E"/>
    <w:rsid w:val="0024332D"/>
    <w:rsid w:val="002433A4"/>
    <w:rsid w:val="002435DC"/>
    <w:rsid w:val="00244DE6"/>
    <w:rsid w:val="00245E04"/>
    <w:rsid w:val="002463A1"/>
    <w:rsid w:val="00247B17"/>
    <w:rsid w:val="00250389"/>
    <w:rsid w:val="00250EC0"/>
    <w:rsid w:val="00251F2E"/>
    <w:rsid w:val="00252669"/>
    <w:rsid w:val="002534FB"/>
    <w:rsid w:val="00254209"/>
    <w:rsid w:val="00254288"/>
    <w:rsid w:val="002545AA"/>
    <w:rsid w:val="0025469C"/>
    <w:rsid w:val="002579CE"/>
    <w:rsid w:val="00257F01"/>
    <w:rsid w:val="002604A5"/>
    <w:rsid w:val="00260AF7"/>
    <w:rsid w:val="00260D0F"/>
    <w:rsid w:val="00260FEC"/>
    <w:rsid w:val="00261DD6"/>
    <w:rsid w:val="00262B28"/>
    <w:rsid w:val="00263545"/>
    <w:rsid w:val="00264223"/>
    <w:rsid w:val="002657E2"/>
    <w:rsid w:val="0026609C"/>
    <w:rsid w:val="0026742F"/>
    <w:rsid w:val="002705D2"/>
    <w:rsid w:val="00272742"/>
    <w:rsid w:val="002727CC"/>
    <w:rsid w:val="00273679"/>
    <w:rsid w:val="002741BF"/>
    <w:rsid w:val="0028009F"/>
    <w:rsid w:val="002805A9"/>
    <w:rsid w:val="00281A35"/>
    <w:rsid w:val="00283E90"/>
    <w:rsid w:val="00284486"/>
    <w:rsid w:val="00285644"/>
    <w:rsid w:val="0028581E"/>
    <w:rsid w:val="002921EB"/>
    <w:rsid w:val="00292DE5"/>
    <w:rsid w:val="0029330C"/>
    <w:rsid w:val="00293491"/>
    <w:rsid w:val="00293A8C"/>
    <w:rsid w:val="00296187"/>
    <w:rsid w:val="002A0FB8"/>
    <w:rsid w:val="002A1D01"/>
    <w:rsid w:val="002A30E4"/>
    <w:rsid w:val="002A3B3C"/>
    <w:rsid w:val="002A5D21"/>
    <w:rsid w:val="002A6193"/>
    <w:rsid w:val="002A643B"/>
    <w:rsid w:val="002A6AEF"/>
    <w:rsid w:val="002A7216"/>
    <w:rsid w:val="002A792F"/>
    <w:rsid w:val="002A7BD4"/>
    <w:rsid w:val="002A7F32"/>
    <w:rsid w:val="002B20A1"/>
    <w:rsid w:val="002B2147"/>
    <w:rsid w:val="002B226E"/>
    <w:rsid w:val="002B40AC"/>
    <w:rsid w:val="002B4524"/>
    <w:rsid w:val="002B4561"/>
    <w:rsid w:val="002B46D4"/>
    <w:rsid w:val="002B54CF"/>
    <w:rsid w:val="002C1274"/>
    <w:rsid w:val="002C1A9C"/>
    <w:rsid w:val="002C51F7"/>
    <w:rsid w:val="002C6FE0"/>
    <w:rsid w:val="002D179F"/>
    <w:rsid w:val="002D1BE4"/>
    <w:rsid w:val="002D3936"/>
    <w:rsid w:val="002D5DDD"/>
    <w:rsid w:val="002D6C69"/>
    <w:rsid w:val="002D724D"/>
    <w:rsid w:val="002D739A"/>
    <w:rsid w:val="002D7B5B"/>
    <w:rsid w:val="002D7C69"/>
    <w:rsid w:val="002E07C6"/>
    <w:rsid w:val="002E258E"/>
    <w:rsid w:val="002E5015"/>
    <w:rsid w:val="002E5D49"/>
    <w:rsid w:val="002E7ACF"/>
    <w:rsid w:val="002F0CE9"/>
    <w:rsid w:val="002F18C3"/>
    <w:rsid w:val="002F199F"/>
    <w:rsid w:val="002F3691"/>
    <w:rsid w:val="002F3BD0"/>
    <w:rsid w:val="002F5B19"/>
    <w:rsid w:val="002F746F"/>
    <w:rsid w:val="00300A0B"/>
    <w:rsid w:val="00301F46"/>
    <w:rsid w:val="00302306"/>
    <w:rsid w:val="00303776"/>
    <w:rsid w:val="0030387B"/>
    <w:rsid w:val="00303CAD"/>
    <w:rsid w:val="00304689"/>
    <w:rsid w:val="003046FD"/>
    <w:rsid w:val="003053CA"/>
    <w:rsid w:val="00306418"/>
    <w:rsid w:val="003068F2"/>
    <w:rsid w:val="0030726B"/>
    <w:rsid w:val="003074AB"/>
    <w:rsid w:val="003100F3"/>
    <w:rsid w:val="00310C11"/>
    <w:rsid w:val="0031318A"/>
    <w:rsid w:val="003142D9"/>
    <w:rsid w:val="00315492"/>
    <w:rsid w:val="00316600"/>
    <w:rsid w:val="003172EC"/>
    <w:rsid w:val="003201BA"/>
    <w:rsid w:val="0032170B"/>
    <w:rsid w:val="00321F30"/>
    <w:rsid w:val="00322128"/>
    <w:rsid w:val="00322F87"/>
    <w:rsid w:val="00323325"/>
    <w:rsid w:val="003243B0"/>
    <w:rsid w:val="00325EC0"/>
    <w:rsid w:val="00326578"/>
    <w:rsid w:val="00331748"/>
    <w:rsid w:val="003340EC"/>
    <w:rsid w:val="003350FF"/>
    <w:rsid w:val="00336332"/>
    <w:rsid w:val="00336991"/>
    <w:rsid w:val="00337F5F"/>
    <w:rsid w:val="0034057C"/>
    <w:rsid w:val="00343495"/>
    <w:rsid w:val="00343E36"/>
    <w:rsid w:val="0034591E"/>
    <w:rsid w:val="003476AC"/>
    <w:rsid w:val="00350142"/>
    <w:rsid w:val="00351628"/>
    <w:rsid w:val="00351F58"/>
    <w:rsid w:val="003526FB"/>
    <w:rsid w:val="00353B6D"/>
    <w:rsid w:val="00354920"/>
    <w:rsid w:val="00355AA1"/>
    <w:rsid w:val="00355DC6"/>
    <w:rsid w:val="00357C81"/>
    <w:rsid w:val="003604D7"/>
    <w:rsid w:val="003619C7"/>
    <w:rsid w:val="0036324F"/>
    <w:rsid w:val="0036351E"/>
    <w:rsid w:val="0036382F"/>
    <w:rsid w:val="00363853"/>
    <w:rsid w:val="00364521"/>
    <w:rsid w:val="00365026"/>
    <w:rsid w:val="00366E16"/>
    <w:rsid w:val="00367F82"/>
    <w:rsid w:val="00372255"/>
    <w:rsid w:val="003756AF"/>
    <w:rsid w:val="00375815"/>
    <w:rsid w:val="00376EC8"/>
    <w:rsid w:val="00380441"/>
    <w:rsid w:val="00381323"/>
    <w:rsid w:val="003816A3"/>
    <w:rsid w:val="00382696"/>
    <w:rsid w:val="0038438A"/>
    <w:rsid w:val="003864D2"/>
    <w:rsid w:val="003869FC"/>
    <w:rsid w:val="00387B0F"/>
    <w:rsid w:val="00390249"/>
    <w:rsid w:val="00390724"/>
    <w:rsid w:val="00390BF8"/>
    <w:rsid w:val="00392877"/>
    <w:rsid w:val="00392E12"/>
    <w:rsid w:val="003932E8"/>
    <w:rsid w:val="00394645"/>
    <w:rsid w:val="00394D7E"/>
    <w:rsid w:val="003956E9"/>
    <w:rsid w:val="00395930"/>
    <w:rsid w:val="003965EC"/>
    <w:rsid w:val="00396BA0"/>
    <w:rsid w:val="003A0E17"/>
    <w:rsid w:val="003A111E"/>
    <w:rsid w:val="003A16D4"/>
    <w:rsid w:val="003A357E"/>
    <w:rsid w:val="003A6757"/>
    <w:rsid w:val="003A69C5"/>
    <w:rsid w:val="003A6E62"/>
    <w:rsid w:val="003A78B5"/>
    <w:rsid w:val="003A7BE8"/>
    <w:rsid w:val="003A7C85"/>
    <w:rsid w:val="003A7FBE"/>
    <w:rsid w:val="003B0D09"/>
    <w:rsid w:val="003B165A"/>
    <w:rsid w:val="003B2140"/>
    <w:rsid w:val="003B3EF3"/>
    <w:rsid w:val="003B552A"/>
    <w:rsid w:val="003C1510"/>
    <w:rsid w:val="003C2478"/>
    <w:rsid w:val="003C28B8"/>
    <w:rsid w:val="003C2948"/>
    <w:rsid w:val="003C3768"/>
    <w:rsid w:val="003C3EC5"/>
    <w:rsid w:val="003C4067"/>
    <w:rsid w:val="003C6934"/>
    <w:rsid w:val="003C74F9"/>
    <w:rsid w:val="003C7827"/>
    <w:rsid w:val="003C7FD0"/>
    <w:rsid w:val="003D0268"/>
    <w:rsid w:val="003D0323"/>
    <w:rsid w:val="003D1A43"/>
    <w:rsid w:val="003D1A64"/>
    <w:rsid w:val="003D2200"/>
    <w:rsid w:val="003D2632"/>
    <w:rsid w:val="003D3757"/>
    <w:rsid w:val="003D37E4"/>
    <w:rsid w:val="003D3A9C"/>
    <w:rsid w:val="003E13A6"/>
    <w:rsid w:val="003E1EE5"/>
    <w:rsid w:val="003E31E5"/>
    <w:rsid w:val="003E32ED"/>
    <w:rsid w:val="003E3A39"/>
    <w:rsid w:val="003E4693"/>
    <w:rsid w:val="003E56BD"/>
    <w:rsid w:val="003E58C9"/>
    <w:rsid w:val="003E79C7"/>
    <w:rsid w:val="003F204B"/>
    <w:rsid w:val="003F321A"/>
    <w:rsid w:val="003F36D7"/>
    <w:rsid w:val="003F578D"/>
    <w:rsid w:val="003F5E0D"/>
    <w:rsid w:val="003F650B"/>
    <w:rsid w:val="003F67B8"/>
    <w:rsid w:val="003F67E3"/>
    <w:rsid w:val="003F7A60"/>
    <w:rsid w:val="004004E9"/>
    <w:rsid w:val="00400FDE"/>
    <w:rsid w:val="00402109"/>
    <w:rsid w:val="00402595"/>
    <w:rsid w:val="00402C5E"/>
    <w:rsid w:val="004033A7"/>
    <w:rsid w:val="00404F33"/>
    <w:rsid w:val="004052C5"/>
    <w:rsid w:val="00405DBA"/>
    <w:rsid w:val="004100AA"/>
    <w:rsid w:val="00411467"/>
    <w:rsid w:val="00412203"/>
    <w:rsid w:val="00414815"/>
    <w:rsid w:val="0041563A"/>
    <w:rsid w:val="00417DE3"/>
    <w:rsid w:val="004203EE"/>
    <w:rsid w:val="00420B07"/>
    <w:rsid w:val="00422292"/>
    <w:rsid w:val="00422869"/>
    <w:rsid w:val="0042383A"/>
    <w:rsid w:val="00426448"/>
    <w:rsid w:val="0043197C"/>
    <w:rsid w:val="00431CDE"/>
    <w:rsid w:val="0043257A"/>
    <w:rsid w:val="00433077"/>
    <w:rsid w:val="00434C45"/>
    <w:rsid w:val="00436FD3"/>
    <w:rsid w:val="00437903"/>
    <w:rsid w:val="004406CF"/>
    <w:rsid w:val="00441804"/>
    <w:rsid w:val="0044293C"/>
    <w:rsid w:val="004435B4"/>
    <w:rsid w:val="00444335"/>
    <w:rsid w:val="0044446C"/>
    <w:rsid w:val="00444AC3"/>
    <w:rsid w:val="004471B4"/>
    <w:rsid w:val="00450248"/>
    <w:rsid w:val="004517E5"/>
    <w:rsid w:val="004520DF"/>
    <w:rsid w:val="00452310"/>
    <w:rsid w:val="00457325"/>
    <w:rsid w:val="0046048A"/>
    <w:rsid w:val="00461690"/>
    <w:rsid w:val="00462ED7"/>
    <w:rsid w:val="00464C62"/>
    <w:rsid w:val="004655E4"/>
    <w:rsid w:val="00466346"/>
    <w:rsid w:val="00466662"/>
    <w:rsid w:val="0046783A"/>
    <w:rsid w:val="00470928"/>
    <w:rsid w:val="00470CA9"/>
    <w:rsid w:val="00471DA8"/>
    <w:rsid w:val="00473F17"/>
    <w:rsid w:val="004751D6"/>
    <w:rsid w:val="00476345"/>
    <w:rsid w:val="00477B67"/>
    <w:rsid w:val="00477DBA"/>
    <w:rsid w:val="00477E20"/>
    <w:rsid w:val="0048033F"/>
    <w:rsid w:val="00480BB8"/>
    <w:rsid w:val="00481674"/>
    <w:rsid w:val="00481D51"/>
    <w:rsid w:val="00483FCD"/>
    <w:rsid w:val="0048519E"/>
    <w:rsid w:val="00485EC7"/>
    <w:rsid w:val="00485F1D"/>
    <w:rsid w:val="004860BD"/>
    <w:rsid w:val="00487430"/>
    <w:rsid w:val="00491BFA"/>
    <w:rsid w:val="00492519"/>
    <w:rsid w:val="00492DCA"/>
    <w:rsid w:val="00492E43"/>
    <w:rsid w:val="00493283"/>
    <w:rsid w:val="0049667A"/>
    <w:rsid w:val="004979A2"/>
    <w:rsid w:val="004A0A7B"/>
    <w:rsid w:val="004A0BB0"/>
    <w:rsid w:val="004A1FE5"/>
    <w:rsid w:val="004A26CD"/>
    <w:rsid w:val="004A2A21"/>
    <w:rsid w:val="004A3584"/>
    <w:rsid w:val="004A3CBE"/>
    <w:rsid w:val="004A5121"/>
    <w:rsid w:val="004A577A"/>
    <w:rsid w:val="004A7966"/>
    <w:rsid w:val="004A7990"/>
    <w:rsid w:val="004B134D"/>
    <w:rsid w:val="004B1796"/>
    <w:rsid w:val="004B2C95"/>
    <w:rsid w:val="004B3AFE"/>
    <w:rsid w:val="004B591D"/>
    <w:rsid w:val="004B7542"/>
    <w:rsid w:val="004B7F4A"/>
    <w:rsid w:val="004C2299"/>
    <w:rsid w:val="004C37AA"/>
    <w:rsid w:val="004C47FA"/>
    <w:rsid w:val="004C4ACC"/>
    <w:rsid w:val="004C6AC1"/>
    <w:rsid w:val="004C7C6A"/>
    <w:rsid w:val="004C7E83"/>
    <w:rsid w:val="004D1776"/>
    <w:rsid w:val="004D2A6A"/>
    <w:rsid w:val="004D4A82"/>
    <w:rsid w:val="004D5893"/>
    <w:rsid w:val="004D5DB3"/>
    <w:rsid w:val="004E0096"/>
    <w:rsid w:val="004E0478"/>
    <w:rsid w:val="004E345F"/>
    <w:rsid w:val="004E3545"/>
    <w:rsid w:val="004E41C7"/>
    <w:rsid w:val="004E4F22"/>
    <w:rsid w:val="004E58C3"/>
    <w:rsid w:val="004E5A21"/>
    <w:rsid w:val="004E75A5"/>
    <w:rsid w:val="004E7FE7"/>
    <w:rsid w:val="004F2D88"/>
    <w:rsid w:val="004F41A2"/>
    <w:rsid w:val="005001F3"/>
    <w:rsid w:val="00500283"/>
    <w:rsid w:val="005008D7"/>
    <w:rsid w:val="00502D8D"/>
    <w:rsid w:val="005032CC"/>
    <w:rsid w:val="0050434B"/>
    <w:rsid w:val="00504819"/>
    <w:rsid w:val="0050485B"/>
    <w:rsid w:val="005070C3"/>
    <w:rsid w:val="005124DC"/>
    <w:rsid w:val="00512F7F"/>
    <w:rsid w:val="00515991"/>
    <w:rsid w:val="00517189"/>
    <w:rsid w:val="0052179E"/>
    <w:rsid w:val="005220BE"/>
    <w:rsid w:val="00525BFE"/>
    <w:rsid w:val="00526667"/>
    <w:rsid w:val="00526B39"/>
    <w:rsid w:val="00540DFD"/>
    <w:rsid w:val="00541D46"/>
    <w:rsid w:val="00542D5F"/>
    <w:rsid w:val="005435DE"/>
    <w:rsid w:val="00544365"/>
    <w:rsid w:val="0054474A"/>
    <w:rsid w:val="00544C28"/>
    <w:rsid w:val="00545159"/>
    <w:rsid w:val="00546BAE"/>
    <w:rsid w:val="0055002A"/>
    <w:rsid w:val="00550057"/>
    <w:rsid w:val="005510CC"/>
    <w:rsid w:val="00552EBD"/>
    <w:rsid w:val="00553827"/>
    <w:rsid w:val="00554B00"/>
    <w:rsid w:val="005557CA"/>
    <w:rsid w:val="00555F71"/>
    <w:rsid w:val="00560AC9"/>
    <w:rsid w:val="00562759"/>
    <w:rsid w:val="005635A8"/>
    <w:rsid w:val="005643DB"/>
    <w:rsid w:val="0056521E"/>
    <w:rsid w:val="00565955"/>
    <w:rsid w:val="00570E92"/>
    <w:rsid w:val="0057338D"/>
    <w:rsid w:val="00573B8E"/>
    <w:rsid w:val="00573C9A"/>
    <w:rsid w:val="005740F6"/>
    <w:rsid w:val="005743D2"/>
    <w:rsid w:val="00575CB8"/>
    <w:rsid w:val="00575DE3"/>
    <w:rsid w:val="00576F74"/>
    <w:rsid w:val="0057773B"/>
    <w:rsid w:val="0057786A"/>
    <w:rsid w:val="005802BD"/>
    <w:rsid w:val="0058573A"/>
    <w:rsid w:val="005867C4"/>
    <w:rsid w:val="00586FA8"/>
    <w:rsid w:val="00587F23"/>
    <w:rsid w:val="00591E3A"/>
    <w:rsid w:val="00593CB4"/>
    <w:rsid w:val="00597635"/>
    <w:rsid w:val="00597A04"/>
    <w:rsid w:val="005A1156"/>
    <w:rsid w:val="005A1803"/>
    <w:rsid w:val="005A3131"/>
    <w:rsid w:val="005A4096"/>
    <w:rsid w:val="005B0196"/>
    <w:rsid w:val="005B0D7C"/>
    <w:rsid w:val="005B0E86"/>
    <w:rsid w:val="005B27D6"/>
    <w:rsid w:val="005B2CD4"/>
    <w:rsid w:val="005B3A3B"/>
    <w:rsid w:val="005B4D87"/>
    <w:rsid w:val="005B5DEE"/>
    <w:rsid w:val="005B6854"/>
    <w:rsid w:val="005B7263"/>
    <w:rsid w:val="005C0DBE"/>
    <w:rsid w:val="005C3721"/>
    <w:rsid w:val="005C4034"/>
    <w:rsid w:val="005C465F"/>
    <w:rsid w:val="005C651C"/>
    <w:rsid w:val="005C6D3A"/>
    <w:rsid w:val="005D0D06"/>
    <w:rsid w:val="005D1427"/>
    <w:rsid w:val="005D257C"/>
    <w:rsid w:val="005D2B62"/>
    <w:rsid w:val="005D3B24"/>
    <w:rsid w:val="005D49C8"/>
    <w:rsid w:val="005D4C33"/>
    <w:rsid w:val="005D5607"/>
    <w:rsid w:val="005D573F"/>
    <w:rsid w:val="005E1D8E"/>
    <w:rsid w:val="005E37E9"/>
    <w:rsid w:val="005E7F6C"/>
    <w:rsid w:val="005F03DB"/>
    <w:rsid w:val="005F11C2"/>
    <w:rsid w:val="005F1701"/>
    <w:rsid w:val="005F3C27"/>
    <w:rsid w:val="005F56B1"/>
    <w:rsid w:val="005F77BB"/>
    <w:rsid w:val="005F7B67"/>
    <w:rsid w:val="005F7B7F"/>
    <w:rsid w:val="00602E30"/>
    <w:rsid w:val="00603A46"/>
    <w:rsid w:val="00605668"/>
    <w:rsid w:val="006071B7"/>
    <w:rsid w:val="00607EF5"/>
    <w:rsid w:val="00611A49"/>
    <w:rsid w:val="00612E1F"/>
    <w:rsid w:val="00613017"/>
    <w:rsid w:val="00613A54"/>
    <w:rsid w:val="00615D30"/>
    <w:rsid w:val="00616189"/>
    <w:rsid w:val="006166F0"/>
    <w:rsid w:val="00616F4E"/>
    <w:rsid w:val="00620EE6"/>
    <w:rsid w:val="00621760"/>
    <w:rsid w:val="006217BB"/>
    <w:rsid w:val="00623C9D"/>
    <w:rsid w:val="00624BB7"/>
    <w:rsid w:val="00624BE1"/>
    <w:rsid w:val="00625BD5"/>
    <w:rsid w:val="00625DFB"/>
    <w:rsid w:val="0062725F"/>
    <w:rsid w:val="00630DE2"/>
    <w:rsid w:val="00631DC6"/>
    <w:rsid w:val="00632E2F"/>
    <w:rsid w:val="00634CEB"/>
    <w:rsid w:val="00637179"/>
    <w:rsid w:val="0063734D"/>
    <w:rsid w:val="006444C4"/>
    <w:rsid w:val="00646100"/>
    <w:rsid w:val="006476CA"/>
    <w:rsid w:val="006507A4"/>
    <w:rsid w:val="0065100D"/>
    <w:rsid w:val="006510BE"/>
    <w:rsid w:val="00652D65"/>
    <w:rsid w:val="00653D74"/>
    <w:rsid w:val="00653F19"/>
    <w:rsid w:val="006541BB"/>
    <w:rsid w:val="006552AE"/>
    <w:rsid w:val="00655773"/>
    <w:rsid w:val="006563CA"/>
    <w:rsid w:val="00656ECF"/>
    <w:rsid w:val="006578FC"/>
    <w:rsid w:val="006608AB"/>
    <w:rsid w:val="00662E00"/>
    <w:rsid w:val="0066348D"/>
    <w:rsid w:val="00663B2D"/>
    <w:rsid w:val="0066415D"/>
    <w:rsid w:val="00664587"/>
    <w:rsid w:val="006649C0"/>
    <w:rsid w:val="00664A5E"/>
    <w:rsid w:val="00665164"/>
    <w:rsid w:val="00666F25"/>
    <w:rsid w:val="00667A5F"/>
    <w:rsid w:val="00667C1C"/>
    <w:rsid w:val="0067010C"/>
    <w:rsid w:val="00671885"/>
    <w:rsid w:val="006723A2"/>
    <w:rsid w:val="00672DBF"/>
    <w:rsid w:val="00673DD4"/>
    <w:rsid w:val="00674AEB"/>
    <w:rsid w:val="006753B0"/>
    <w:rsid w:val="0067635F"/>
    <w:rsid w:val="00676F42"/>
    <w:rsid w:val="00681656"/>
    <w:rsid w:val="00682008"/>
    <w:rsid w:val="00683CB5"/>
    <w:rsid w:val="006841C2"/>
    <w:rsid w:val="0068455C"/>
    <w:rsid w:val="00685328"/>
    <w:rsid w:val="00687B05"/>
    <w:rsid w:val="00690562"/>
    <w:rsid w:val="0069333E"/>
    <w:rsid w:val="00693C8E"/>
    <w:rsid w:val="006949FF"/>
    <w:rsid w:val="00696595"/>
    <w:rsid w:val="006969BA"/>
    <w:rsid w:val="006A018D"/>
    <w:rsid w:val="006A026A"/>
    <w:rsid w:val="006A0425"/>
    <w:rsid w:val="006A0D45"/>
    <w:rsid w:val="006A1D62"/>
    <w:rsid w:val="006A3759"/>
    <w:rsid w:val="006A4380"/>
    <w:rsid w:val="006A5795"/>
    <w:rsid w:val="006A6D7F"/>
    <w:rsid w:val="006A718D"/>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56FB"/>
    <w:rsid w:val="006C6009"/>
    <w:rsid w:val="006C6F31"/>
    <w:rsid w:val="006C7760"/>
    <w:rsid w:val="006C7EEA"/>
    <w:rsid w:val="006D32A6"/>
    <w:rsid w:val="006D35D5"/>
    <w:rsid w:val="006D5217"/>
    <w:rsid w:val="006D522C"/>
    <w:rsid w:val="006D56AA"/>
    <w:rsid w:val="006D7795"/>
    <w:rsid w:val="006D7ACB"/>
    <w:rsid w:val="006D7C63"/>
    <w:rsid w:val="006E00EF"/>
    <w:rsid w:val="006E1340"/>
    <w:rsid w:val="006E1A7A"/>
    <w:rsid w:val="006E37F1"/>
    <w:rsid w:val="006E38AF"/>
    <w:rsid w:val="006E4846"/>
    <w:rsid w:val="006E7ED1"/>
    <w:rsid w:val="006F01E7"/>
    <w:rsid w:val="006F0254"/>
    <w:rsid w:val="006F1F3A"/>
    <w:rsid w:val="006F59CF"/>
    <w:rsid w:val="006F7630"/>
    <w:rsid w:val="006F76DD"/>
    <w:rsid w:val="006F7A9A"/>
    <w:rsid w:val="006F7EB8"/>
    <w:rsid w:val="00701882"/>
    <w:rsid w:val="00702DD7"/>
    <w:rsid w:val="0070361C"/>
    <w:rsid w:val="007047D3"/>
    <w:rsid w:val="007052DC"/>
    <w:rsid w:val="00705C40"/>
    <w:rsid w:val="00706723"/>
    <w:rsid w:val="0071087E"/>
    <w:rsid w:val="00711E09"/>
    <w:rsid w:val="00714E37"/>
    <w:rsid w:val="0071540F"/>
    <w:rsid w:val="00717731"/>
    <w:rsid w:val="007229A1"/>
    <w:rsid w:val="007235AA"/>
    <w:rsid w:val="007235F2"/>
    <w:rsid w:val="0072794B"/>
    <w:rsid w:val="00730283"/>
    <w:rsid w:val="00731AE5"/>
    <w:rsid w:val="00732289"/>
    <w:rsid w:val="0073268D"/>
    <w:rsid w:val="007328DD"/>
    <w:rsid w:val="00732917"/>
    <w:rsid w:val="00735915"/>
    <w:rsid w:val="00735C21"/>
    <w:rsid w:val="0073614A"/>
    <w:rsid w:val="00736FF2"/>
    <w:rsid w:val="00740C8C"/>
    <w:rsid w:val="00741AC4"/>
    <w:rsid w:val="0074285B"/>
    <w:rsid w:val="007430C0"/>
    <w:rsid w:val="007446FF"/>
    <w:rsid w:val="007448FE"/>
    <w:rsid w:val="00745AEC"/>
    <w:rsid w:val="00745CF2"/>
    <w:rsid w:val="00746791"/>
    <w:rsid w:val="00746CC2"/>
    <w:rsid w:val="00746F03"/>
    <w:rsid w:val="007506C4"/>
    <w:rsid w:val="00750B21"/>
    <w:rsid w:val="007515BC"/>
    <w:rsid w:val="007533D5"/>
    <w:rsid w:val="007573B2"/>
    <w:rsid w:val="007574BB"/>
    <w:rsid w:val="007575E2"/>
    <w:rsid w:val="0075764C"/>
    <w:rsid w:val="007610D5"/>
    <w:rsid w:val="00761D32"/>
    <w:rsid w:val="00762198"/>
    <w:rsid w:val="00763800"/>
    <w:rsid w:val="00763CE8"/>
    <w:rsid w:val="00763D85"/>
    <w:rsid w:val="00764E7C"/>
    <w:rsid w:val="00766ACC"/>
    <w:rsid w:val="00766F2A"/>
    <w:rsid w:val="00770792"/>
    <w:rsid w:val="00770E78"/>
    <w:rsid w:val="00771658"/>
    <w:rsid w:val="00773903"/>
    <w:rsid w:val="00774FFE"/>
    <w:rsid w:val="00775638"/>
    <w:rsid w:val="00775677"/>
    <w:rsid w:val="0077599A"/>
    <w:rsid w:val="00777353"/>
    <w:rsid w:val="00780CD6"/>
    <w:rsid w:val="00782EA4"/>
    <w:rsid w:val="00783009"/>
    <w:rsid w:val="00783B92"/>
    <w:rsid w:val="007852F7"/>
    <w:rsid w:val="00785461"/>
    <w:rsid w:val="00786FF3"/>
    <w:rsid w:val="007875AA"/>
    <w:rsid w:val="007876CF"/>
    <w:rsid w:val="00787778"/>
    <w:rsid w:val="007904B3"/>
    <w:rsid w:val="00791EFC"/>
    <w:rsid w:val="007922F7"/>
    <w:rsid w:val="00793090"/>
    <w:rsid w:val="00796BBC"/>
    <w:rsid w:val="00796F2A"/>
    <w:rsid w:val="0079735A"/>
    <w:rsid w:val="007A0176"/>
    <w:rsid w:val="007A2F67"/>
    <w:rsid w:val="007A38C9"/>
    <w:rsid w:val="007A3918"/>
    <w:rsid w:val="007A5707"/>
    <w:rsid w:val="007B0B08"/>
    <w:rsid w:val="007B0E89"/>
    <w:rsid w:val="007B207F"/>
    <w:rsid w:val="007B2C38"/>
    <w:rsid w:val="007B2E54"/>
    <w:rsid w:val="007B4B0E"/>
    <w:rsid w:val="007B51E3"/>
    <w:rsid w:val="007B69E4"/>
    <w:rsid w:val="007B6F5A"/>
    <w:rsid w:val="007B7498"/>
    <w:rsid w:val="007B7AEE"/>
    <w:rsid w:val="007C05C4"/>
    <w:rsid w:val="007C18A8"/>
    <w:rsid w:val="007C45E9"/>
    <w:rsid w:val="007C5C09"/>
    <w:rsid w:val="007C6E6C"/>
    <w:rsid w:val="007C7EB6"/>
    <w:rsid w:val="007D007C"/>
    <w:rsid w:val="007D037A"/>
    <w:rsid w:val="007D1103"/>
    <w:rsid w:val="007D240B"/>
    <w:rsid w:val="007D2E75"/>
    <w:rsid w:val="007D2F75"/>
    <w:rsid w:val="007D3C0E"/>
    <w:rsid w:val="007D6BAB"/>
    <w:rsid w:val="007D7FE7"/>
    <w:rsid w:val="007E22E7"/>
    <w:rsid w:val="007E3127"/>
    <w:rsid w:val="007E41BC"/>
    <w:rsid w:val="007E4232"/>
    <w:rsid w:val="007E44BF"/>
    <w:rsid w:val="007E69BB"/>
    <w:rsid w:val="007E6AB8"/>
    <w:rsid w:val="007E73A4"/>
    <w:rsid w:val="007F2109"/>
    <w:rsid w:val="007F21C5"/>
    <w:rsid w:val="007F234B"/>
    <w:rsid w:val="007F253F"/>
    <w:rsid w:val="007F3ACF"/>
    <w:rsid w:val="007F3EF1"/>
    <w:rsid w:val="007F564B"/>
    <w:rsid w:val="007F63B4"/>
    <w:rsid w:val="00800FD0"/>
    <w:rsid w:val="00801BCE"/>
    <w:rsid w:val="00802515"/>
    <w:rsid w:val="00805349"/>
    <w:rsid w:val="00807746"/>
    <w:rsid w:val="0081283F"/>
    <w:rsid w:val="0081480A"/>
    <w:rsid w:val="008202EB"/>
    <w:rsid w:val="0082180A"/>
    <w:rsid w:val="008240D3"/>
    <w:rsid w:val="00827F88"/>
    <w:rsid w:val="00831A2B"/>
    <w:rsid w:val="008336A5"/>
    <w:rsid w:val="0083437E"/>
    <w:rsid w:val="00835474"/>
    <w:rsid w:val="008360D7"/>
    <w:rsid w:val="0083687B"/>
    <w:rsid w:val="008373C0"/>
    <w:rsid w:val="0084113C"/>
    <w:rsid w:val="0084145F"/>
    <w:rsid w:val="008419FB"/>
    <w:rsid w:val="00841DA2"/>
    <w:rsid w:val="00842DB2"/>
    <w:rsid w:val="008434ED"/>
    <w:rsid w:val="0084387C"/>
    <w:rsid w:val="008458F6"/>
    <w:rsid w:val="00845AED"/>
    <w:rsid w:val="00845CA0"/>
    <w:rsid w:val="0084708E"/>
    <w:rsid w:val="008506B4"/>
    <w:rsid w:val="00851AE4"/>
    <w:rsid w:val="00851F1C"/>
    <w:rsid w:val="00852121"/>
    <w:rsid w:val="00853FDD"/>
    <w:rsid w:val="0085598D"/>
    <w:rsid w:val="00856700"/>
    <w:rsid w:val="008609FC"/>
    <w:rsid w:val="00861107"/>
    <w:rsid w:val="00862771"/>
    <w:rsid w:val="00862EC5"/>
    <w:rsid w:val="00863B11"/>
    <w:rsid w:val="00863BC8"/>
    <w:rsid w:val="0086682F"/>
    <w:rsid w:val="00867C16"/>
    <w:rsid w:val="008712D9"/>
    <w:rsid w:val="00871940"/>
    <w:rsid w:val="0087655E"/>
    <w:rsid w:val="00876F54"/>
    <w:rsid w:val="00877292"/>
    <w:rsid w:val="0087754A"/>
    <w:rsid w:val="0087766C"/>
    <w:rsid w:val="00880118"/>
    <w:rsid w:val="00880552"/>
    <w:rsid w:val="00880A26"/>
    <w:rsid w:val="00880B60"/>
    <w:rsid w:val="008839DA"/>
    <w:rsid w:val="00884EE8"/>
    <w:rsid w:val="00885168"/>
    <w:rsid w:val="00885230"/>
    <w:rsid w:val="008852F2"/>
    <w:rsid w:val="008863A7"/>
    <w:rsid w:val="00887016"/>
    <w:rsid w:val="008908D1"/>
    <w:rsid w:val="0089173B"/>
    <w:rsid w:val="00891E76"/>
    <w:rsid w:val="00891F65"/>
    <w:rsid w:val="0089220F"/>
    <w:rsid w:val="00892C8C"/>
    <w:rsid w:val="008935AA"/>
    <w:rsid w:val="00894F1E"/>
    <w:rsid w:val="008963F0"/>
    <w:rsid w:val="00896C53"/>
    <w:rsid w:val="00897F22"/>
    <w:rsid w:val="008A03A5"/>
    <w:rsid w:val="008A042D"/>
    <w:rsid w:val="008A0886"/>
    <w:rsid w:val="008A0DF3"/>
    <w:rsid w:val="008A4138"/>
    <w:rsid w:val="008A5D96"/>
    <w:rsid w:val="008A631B"/>
    <w:rsid w:val="008A662F"/>
    <w:rsid w:val="008A791B"/>
    <w:rsid w:val="008B0AB0"/>
    <w:rsid w:val="008B0FA3"/>
    <w:rsid w:val="008B1B3B"/>
    <w:rsid w:val="008B304C"/>
    <w:rsid w:val="008B3548"/>
    <w:rsid w:val="008B5C93"/>
    <w:rsid w:val="008B6848"/>
    <w:rsid w:val="008C2BBE"/>
    <w:rsid w:val="008C2FA1"/>
    <w:rsid w:val="008C7925"/>
    <w:rsid w:val="008C7D74"/>
    <w:rsid w:val="008D0855"/>
    <w:rsid w:val="008D1BAE"/>
    <w:rsid w:val="008D2C4C"/>
    <w:rsid w:val="008D39B7"/>
    <w:rsid w:val="008D58AB"/>
    <w:rsid w:val="008D5C2F"/>
    <w:rsid w:val="008D6263"/>
    <w:rsid w:val="008D6344"/>
    <w:rsid w:val="008D7E0D"/>
    <w:rsid w:val="008D7EDB"/>
    <w:rsid w:val="008E1829"/>
    <w:rsid w:val="008E1888"/>
    <w:rsid w:val="008E2327"/>
    <w:rsid w:val="008E5077"/>
    <w:rsid w:val="008E64F0"/>
    <w:rsid w:val="008E6FF3"/>
    <w:rsid w:val="008E77FF"/>
    <w:rsid w:val="008E7B05"/>
    <w:rsid w:val="008F05F9"/>
    <w:rsid w:val="008F18ED"/>
    <w:rsid w:val="008F3EA1"/>
    <w:rsid w:val="008F438E"/>
    <w:rsid w:val="008F46C2"/>
    <w:rsid w:val="008F4B45"/>
    <w:rsid w:val="008F5097"/>
    <w:rsid w:val="008F78C0"/>
    <w:rsid w:val="009001FC"/>
    <w:rsid w:val="00901006"/>
    <w:rsid w:val="009020A8"/>
    <w:rsid w:val="00903272"/>
    <w:rsid w:val="00903D37"/>
    <w:rsid w:val="00907CDA"/>
    <w:rsid w:val="0091055D"/>
    <w:rsid w:val="00910E4D"/>
    <w:rsid w:val="00913B76"/>
    <w:rsid w:val="009140A3"/>
    <w:rsid w:val="00914C61"/>
    <w:rsid w:val="0091633A"/>
    <w:rsid w:val="00917B29"/>
    <w:rsid w:val="00917D6F"/>
    <w:rsid w:val="00921B1A"/>
    <w:rsid w:val="00921DDA"/>
    <w:rsid w:val="0092600D"/>
    <w:rsid w:val="00926C64"/>
    <w:rsid w:val="00927D70"/>
    <w:rsid w:val="00927ED6"/>
    <w:rsid w:val="0093039D"/>
    <w:rsid w:val="00931960"/>
    <w:rsid w:val="00931E4F"/>
    <w:rsid w:val="0093364D"/>
    <w:rsid w:val="00936574"/>
    <w:rsid w:val="00937C0F"/>
    <w:rsid w:val="009427D6"/>
    <w:rsid w:val="00942D6B"/>
    <w:rsid w:val="00943BCE"/>
    <w:rsid w:val="00957104"/>
    <w:rsid w:val="00957CA8"/>
    <w:rsid w:val="00960346"/>
    <w:rsid w:val="009617D3"/>
    <w:rsid w:val="00963899"/>
    <w:rsid w:val="00963DC8"/>
    <w:rsid w:val="0096463B"/>
    <w:rsid w:val="009677F9"/>
    <w:rsid w:val="00967869"/>
    <w:rsid w:val="00970475"/>
    <w:rsid w:val="00971F54"/>
    <w:rsid w:val="009725C5"/>
    <w:rsid w:val="00973F40"/>
    <w:rsid w:val="00973FDF"/>
    <w:rsid w:val="009806E2"/>
    <w:rsid w:val="00983AA1"/>
    <w:rsid w:val="009849EF"/>
    <w:rsid w:val="00984BE6"/>
    <w:rsid w:val="00986CDA"/>
    <w:rsid w:val="00986DB7"/>
    <w:rsid w:val="009916A6"/>
    <w:rsid w:val="0099315B"/>
    <w:rsid w:val="00993262"/>
    <w:rsid w:val="009934CF"/>
    <w:rsid w:val="00993B80"/>
    <w:rsid w:val="00994D5D"/>
    <w:rsid w:val="00995364"/>
    <w:rsid w:val="00995AD7"/>
    <w:rsid w:val="009A0D75"/>
    <w:rsid w:val="009A32D7"/>
    <w:rsid w:val="009A347A"/>
    <w:rsid w:val="009A5614"/>
    <w:rsid w:val="009A620E"/>
    <w:rsid w:val="009B548D"/>
    <w:rsid w:val="009B6578"/>
    <w:rsid w:val="009B6A6F"/>
    <w:rsid w:val="009C0540"/>
    <w:rsid w:val="009C096D"/>
    <w:rsid w:val="009C155B"/>
    <w:rsid w:val="009C1AFE"/>
    <w:rsid w:val="009C3FA3"/>
    <w:rsid w:val="009C4081"/>
    <w:rsid w:val="009C5531"/>
    <w:rsid w:val="009C5F24"/>
    <w:rsid w:val="009D048B"/>
    <w:rsid w:val="009D2074"/>
    <w:rsid w:val="009D3908"/>
    <w:rsid w:val="009D3DB3"/>
    <w:rsid w:val="009D40EC"/>
    <w:rsid w:val="009D510B"/>
    <w:rsid w:val="009D55C8"/>
    <w:rsid w:val="009D5C3E"/>
    <w:rsid w:val="009D69C6"/>
    <w:rsid w:val="009D7EDD"/>
    <w:rsid w:val="009E1236"/>
    <w:rsid w:val="009E1E8E"/>
    <w:rsid w:val="009E2C40"/>
    <w:rsid w:val="009E5419"/>
    <w:rsid w:val="009E5A6E"/>
    <w:rsid w:val="009F46DC"/>
    <w:rsid w:val="009F5CEE"/>
    <w:rsid w:val="00A00BF3"/>
    <w:rsid w:val="00A01C00"/>
    <w:rsid w:val="00A05C27"/>
    <w:rsid w:val="00A060A7"/>
    <w:rsid w:val="00A06D9C"/>
    <w:rsid w:val="00A10AB8"/>
    <w:rsid w:val="00A112F7"/>
    <w:rsid w:val="00A11CAD"/>
    <w:rsid w:val="00A14169"/>
    <w:rsid w:val="00A14880"/>
    <w:rsid w:val="00A157E2"/>
    <w:rsid w:val="00A1620A"/>
    <w:rsid w:val="00A1620D"/>
    <w:rsid w:val="00A16AC0"/>
    <w:rsid w:val="00A20877"/>
    <w:rsid w:val="00A22C67"/>
    <w:rsid w:val="00A23D31"/>
    <w:rsid w:val="00A24C9B"/>
    <w:rsid w:val="00A25553"/>
    <w:rsid w:val="00A27124"/>
    <w:rsid w:val="00A27D2B"/>
    <w:rsid w:val="00A27E27"/>
    <w:rsid w:val="00A301A7"/>
    <w:rsid w:val="00A3043F"/>
    <w:rsid w:val="00A30C34"/>
    <w:rsid w:val="00A30FD3"/>
    <w:rsid w:val="00A33154"/>
    <w:rsid w:val="00A34077"/>
    <w:rsid w:val="00A35E2F"/>
    <w:rsid w:val="00A37891"/>
    <w:rsid w:val="00A404EA"/>
    <w:rsid w:val="00A40517"/>
    <w:rsid w:val="00A40A51"/>
    <w:rsid w:val="00A40CAA"/>
    <w:rsid w:val="00A42292"/>
    <w:rsid w:val="00A428ED"/>
    <w:rsid w:val="00A44B26"/>
    <w:rsid w:val="00A47916"/>
    <w:rsid w:val="00A50746"/>
    <w:rsid w:val="00A509EC"/>
    <w:rsid w:val="00A511D1"/>
    <w:rsid w:val="00A5144C"/>
    <w:rsid w:val="00A536DA"/>
    <w:rsid w:val="00A53D7D"/>
    <w:rsid w:val="00A54893"/>
    <w:rsid w:val="00A571CD"/>
    <w:rsid w:val="00A57C3D"/>
    <w:rsid w:val="00A60065"/>
    <w:rsid w:val="00A615DC"/>
    <w:rsid w:val="00A61E0F"/>
    <w:rsid w:val="00A61F25"/>
    <w:rsid w:val="00A6280E"/>
    <w:rsid w:val="00A62DE3"/>
    <w:rsid w:val="00A63630"/>
    <w:rsid w:val="00A63EC3"/>
    <w:rsid w:val="00A65CD8"/>
    <w:rsid w:val="00A668B7"/>
    <w:rsid w:val="00A6697B"/>
    <w:rsid w:val="00A67F5C"/>
    <w:rsid w:val="00A72635"/>
    <w:rsid w:val="00A72FFE"/>
    <w:rsid w:val="00A74C2D"/>
    <w:rsid w:val="00A75092"/>
    <w:rsid w:val="00A76B34"/>
    <w:rsid w:val="00A77107"/>
    <w:rsid w:val="00A80644"/>
    <w:rsid w:val="00A827BE"/>
    <w:rsid w:val="00A83487"/>
    <w:rsid w:val="00A84A76"/>
    <w:rsid w:val="00A8529E"/>
    <w:rsid w:val="00A854FF"/>
    <w:rsid w:val="00A87035"/>
    <w:rsid w:val="00A8745D"/>
    <w:rsid w:val="00A8787B"/>
    <w:rsid w:val="00A90F9B"/>
    <w:rsid w:val="00A91273"/>
    <w:rsid w:val="00A92694"/>
    <w:rsid w:val="00A93072"/>
    <w:rsid w:val="00A94437"/>
    <w:rsid w:val="00A9482B"/>
    <w:rsid w:val="00A95108"/>
    <w:rsid w:val="00A9629C"/>
    <w:rsid w:val="00A9729E"/>
    <w:rsid w:val="00AA11D8"/>
    <w:rsid w:val="00AA35D5"/>
    <w:rsid w:val="00AA417B"/>
    <w:rsid w:val="00AA4912"/>
    <w:rsid w:val="00AA533F"/>
    <w:rsid w:val="00AA557E"/>
    <w:rsid w:val="00AA5A86"/>
    <w:rsid w:val="00AA70FB"/>
    <w:rsid w:val="00AA7C05"/>
    <w:rsid w:val="00AB010D"/>
    <w:rsid w:val="00AB020A"/>
    <w:rsid w:val="00AB0749"/>
    <w:rsid w:val="00AB1209"/>
    <w:rsid w:val="00AB5709"/>
    <w:rsid w:val="00AB573B"/>
    <w:rsid w:val="00AB7679"/>
    <w:rsid w:val="00AB76D8"/>
    <w:rsid w:val="00AB7E6A"/>
    <w:rsid w:val="00AC1B61"/>
    <w:rsid w:val="00AC2C6E"/>
    <w:rsid w:val="00AC3C69"/>
    <w:rsid w:val="00AC5EE6"/>
    <w:rsid w:val="00AC63CF"/>
    <w:rsid w:val="00AC641F"/>
    <w:rsid w:val="00AC7E85"/>
    <w:rsid w:val="00AD077D"/>
    <w:rsid w:val="00AD0D24"/>
    <w:rsid w:val="00AD0FA2"/>
    <w:rsid w:val="00AD124E"/>
    <w:rsid w:val="00AD1923"/>
    <w:rsid w:val="00AD2611"/>
    <w:rsid w:val="00AD3AC5"/>
    <w:rsid w:val="00AD3D24"/>
    <w:rsid w:val="00AD3D57"/>
    <w:rsid w:val="00AD477B"/>
    <w:rsid w:val="00AD4882"/>
    <w:rsid w:val="00AE1BA2"/>
    <w:rsid w:val="00AE33C9"/>
    <w:rsid w:val="00AE4507"/>
    <w:rsid w:val="00AE47BF"/>
    <w:rsid w:val="00AE5024"/>
    <w:rsid w:val="00AE60AB"/>
    <w:rsid w:val="00AE7617"/>
    <w:rsid w:val="00AF340C"/>
    <w:rsid w:val="00AF36A2"/>
    <w:rsid w:val="00AF58EF"/>
    <w:rsid w:val="00AF6432"/>
    <w:rsid w:val="00AF6B9D"/>
    <w:rsid w:val="00AF75BE"/>
    <w:rsid w:val="00AF79BD"/>
    <w:rsid w:val="00AF7AC4"/>
    <w:rsid w:val="00B07F12"/>
    <w:rsid w:val="00B103E0"/>
    <w:rsid w:val="00B1415B"/>
    <w:rsid w:val="00B15278"/>
    <w:rsid w:val="00B21671"/>
    <w:rsid w:val="00B217E2"/>
    <w:rsid w:val="00B227BD"/>
    <w:rsid w:val="00B22D34"/>
    <w:rsid w:val="00B234EC"/>
    <w:rsid w:val="00B236F7"/>
    <w:rsid w:val="00B26473"/>
    <w:rsid w:val="00B26FCD"/>
    <w:rsid w:val="00B2732B"/>
    <w:rsid w:val="00B274AE"/>
    <w:rsid w:val="00B274BF"/>
    <w:rsid w:val="00B27A5E"/>
    <w:rsid w:val="00B31222"/>
    <w:rsid w:val="00B32215"/>
    <w:rsid w:val="00B3234E"/>
    <w:rsid w:val="00B32C53"/>
    <w:rsid w:val="00B35E5B"/>
    <w:rsid w:val="00B369C8"/>
    <w:rsid w:val="00B41360"/>
    <w:rsid w:val="00B415CC"/>
    <w:rsid w:val="00B41F43"/>
    <w:rsid w:val="00B42E81"/>
    <w:rsid w:val="00B4329D"/>
    <w:rsid w:val="00B434FC"/>
    <w:rsid w:val="00B443F5"/>
    <w:rsid w:val="00B4478E"/>
    <w:rsid w:val="00B44D40"/>
    <w:rsid w:val="00B46640"/>
    <w:rsid w:val="00B471E0"/>
    <w:rsid w:val="00B520F9"/>
    <w:rsid w:val="00B52812"/>
    <w:rsid w:val="00B5495A"/>
    <w:rsid w:val="00B54E2E"/>
    <w:rsid w:val="00B577A3"/>
    <w:rsid w:val="00B579A5"/>
    <w:rsid w:val="00B6087A"/>
    <w:rsid w:val="00B6258B"/>
    <w:rsid w:val="00B645F2"/>
    <w:rsid w:val="00B64641"/>
    <w:rsid w:val="00B667D0"/>
    <w:rsid w:val="00B67D38"/>
    <w:rsid w:val="00B7262F"/>
    <w:rsid w:val="00B727C5"/>
    <w:rsid w:val="00B73FD4"/>
    <w:rsid w:val="00B749FC"/>
    <w:rsid w:val="00B74FC5"/>
    <w:rsid w:val="00B75A6C"/>
    <w:rsid w:val="00B81B8B"/>
    <w:rsid w:val="00B81CA0"/>
    <w:rsid w:val="00B82547"/>
    <w:rsid w:val="00B82F2D"/>
    <w:rsid w:val="00B83E2A"/>
    <w:rsid w:val="00B83E38"/>
    <w:rsid w:val="00B84ACC"/>
    <w:rsid w:val="00B85DF3"/>
    <w:rsid w:val="00B86869"/>
    <w:rsid w:val="00B86C19"/>
    <w:rsid w:val="00B870C6"/>
    <w:rsid w:val="00B92584"/>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A4488"/>
    <w:rsid w:val="00BA7C8D"/>
    <w:rsid w:val="00BB1891"/>
    <w:rsid w:val="00BB27E3"/>
    <w:rsid w:val="00BB375D"/>
    <w:rsid w:val="00BB49A0"/>
    <w:rsid w:val="00BB5067"/>
    <w:rsid w:val="00BB515F"/>
    <w:rsid w:val="00BB5DFF"/>
    <w:rsid w:val="00BC1FA5"/>
    <w:rsid w:val="00BC2C0C"/>
    <w:rsid w:val="00BC3ECB"/>
    <w:rsid w:val="00BC4CF5"/>
    <w:rsid w:val="00BC55E5"/>
    <w:rsid w:val="00BC64F5"/>
    <w:rsid w:val="00BC732A"/>
    <w:rsid w:val="00BC758B"/>
    <w:rsid w:val="00BD181B"/>
    <w:rsid w:val="00BD1BCF"/>
    <w:rsid w:val="00BD2EAC"/>
    <w:rsid w:val="00BD4BB3"/>
    <w:rsid w:val="00BD5CDF"/>
    <w:rsid w:val="00BD5CFE"/>
    <w:rsid w:val="00BD5F6D"/>
    <w:rsid w:val="00BD7B7B"/>
    <w:rsid w:val="00BE17C6"/>
    <w:rsid w:val="00BE2BD3"/>
    <w:rsid w:val="00BE4865"/>
    <w:rsid w:val="00BE69BF"/>
    <w:rsid w:val="00BE6A3C"/>
    <w:rsid w:val="00BE725A"/>
    <w:rsid w:val="00BE7430"/>
    <w:rsid w:val="00BE7B48"/>
    <w:rsid w:val="00BF259E"/>
    <w:rsid w:val="00BF2920"/>
    <w:rsid w:val="00BF3381"/>
    <w:rsid w:val="00C03D1A"/>
    <w:rsid w:val="00C05514"/>
    <w:rsid w:val="00C05543"/>
    <w:rsid w:val="00C105B6"/>
    <w:rsid w:val="00C106E1"/>
    <w:rsid w:val="00C10FCF"/>
    <w:rsid w:val="00C111BB"/>
    <w:rsid w:val="00C1291A"/>
    <w:rsid w:val="00C13895"/>
    <w:rsid w:val="00C143EE"/>
    <w:rsid w:val="00C1575E"/>
    <w:rsid w:val="00C167C0"/>
    <w:rsid w:val="00C16B4B"/>
    <w:rsid w:val="00C170DF"/>
    <w:rsid w:val="00C17427"/>
    <w:rsid w:val="00C20C00"/>
    <w:rsid w:val="00C210FD"/>
    <w:rsid w:val="00C21EB2"/>
    <w:rsid w:val="00C22901"/>
    <w:rsid w:val="00C22F6B"/>
    <w:rsid w:val="00C25238"/>
    <w:rsid w:val="00C253F8"/>
    <w:rsid w:val="00C25DCE"/>
    <w:rsid w:val="00C26AEB"/>
    <w:rsid w:val="00C26DCB"/>
    <w:rsid w:val="00C30291"/>
    <w:rsid w:val="00C305C8"/>
    <w:rsid w:val="00C305F2"/>
    <w:rsid w:val="00C307AF"/>
    <w:rsid w:val="00C3345C"/>
    <w:rsid w:val="00C33C9A"/>
    <w:rsid w:val="00C35B18"/>
    <w:rsid w:val="00C3748D"/>
    <w:rsid w:val="00C407E5"/>
    <w:rsid w:val="00C42DAC"/>
    <w:rsid w:val="00C4342B"/>
    <w:rsid w:val="00C436FC"/>
    <w:rsid w:val="00C459A9"/>
    <w:rsid w:val="00C46615"/>
    <w:rsid w:val="00C5022A"/>
    <w:rsid w:val="00C502A5"/>
    <w:rsid w:val="00C51078"/>
    <w:rsid w:val="00C521F7"/>
    <w:rsid w:val="00C52CB9"/>
    <w:rsid w:val="00C53008"/>
    <w:rsid w:val="00C55151"/>
    <w:rsid w:val="00C558FF"/>
    <w:rsid w:val="00C55FB3"/>
    <w:rsid w:val="00C560FA"/>
    <w:rsid w:val="00C570C5"/>
    <w:rsid w:val="00C57FF9"/>
    <w:rsid w:val="00C61FD1"/>
    <w:rsid w:val="00C6305F"/>
    <w:rsid w:val="00C6425F"/>
    <w:rsid w:val="00C64434"/>
    <w:rsid w:val="00C659E5"/>
    <w:rsid w:val="00C65F77"/>
    <w:rsid w:val="00C7063C"/>
    <w:rsid w:val="00C72408"/>
    <w:rsid w:val="00C73C57"/>
    <w:rsid w:val="00C74101"/>
    <w:rsid w:val="00C74D43"/>
    <w:rsid w:val="00C75CA7"/>
    <w:rsid w:val="00C766D6"/>
    <w:rsid w:val="00C76FCF"/>
    <w:rsid w:val="00C8079B"/>
    <w:rsid w:val="00C81C46"/>
    <w:rsid w:val="00C845BF"/>
    <w:rsid w:val="00C85675"/>
    <w:rsid w:val="00C85FBF"/>
    <w:rsid w:val="00C901BB"/>
    <w:rsid w:val="00C90CD3"/>
    <w:rsid w:val="00C92552"/>
    <w:rsid w:val="00C93F1B"/>
    <w:rsid w:val="00C976D1"/>
    <w:rsid w:val="00CA0E6B"/>
    <w:rsid w:val="00CA1FCA"/>
    <w:rsid w:val="00CA6131"/>
    <w:rsid w:val="00CA71D4"/>
    <w:rsid w:val="00CB1F3C"/>
    <w:rsid w:val="00CB2EC0"/>
    <w:rsid w:val="00CB34FC"/>
    <w:rsid w:val="00CB35C5"/>
    <w:rsid w:val="00CB4FC8"/>
    <w:rsid w:val="00CB5D29"/>
    <w:rsid w:val="00CB675A"/>
    <w:rsid w:val="00CB782B"/>
    <w:rsid w:val="00CC0E77"/>
    <w:rsid w:val="00CC110B"/>
    <w:rsid w:val="00CC1745"/>
    <w:rsid w:val="00CC2092"/>
    <w:rsid w:val="00CC302A"/>
    <w:rsid w:val="00CC5355"/>
    <w:rsid w:val="00CC5D85"/>
    <w:rsid w:val="00CC5E76"/>
    <w:rsid w:val="00CC65EB"/>
    <w:rsid w:val="00CC765A"/>
    <w:rsid w:val="00CC7B01"/>
    <w:rsid w:val="00CD1526"/>
    <w:rsid w:val="00CD3A5D"/>
    <w:rsid w:val="00CD43BE"/>
    <w:rsid w:val="00CD5B96"/>
    <w:rsid w:val="00CD5FD4"/>
    <w:rsid w:val="00CE0DCE"/>
    <w:rsid w:val="00CE1B1E"/>
    <w:rsid w:val="00CE1BC9"/>
    <w:rsid w:val="00CE1DAA"/>
    <w:rsid w:val="00CE1FC5"/>
    <w:rsid w:val="00CE33C1"/>
    <w:rsid w:val="00CE372F"/>
    <w:rsid w:val="00CE3AFD"/>
    <w:rsid w:val="00CE4DD6"/>
    <w:rsid w:val="00CE692A"/>
    <w:rsid w:val="00CE76FF"/>
    <w:rsid w:val="00CF04CA"/>
    <w:rsid w:val="00CF1C93"/>
    <w:rsid w:val="00CF4012"/>
    <w:rsid w:val="00CF47FE"/>
    <w:rsid w:val="00CF5C25"/>
    <w:rsid w:val="00CF7AA3"/>
    <w:rsid w:val="00CF7F57"/>
    <w:rsid w:val="00D0002E"/>
    <w:rsid w:val="00D005C2"/>
    <w:rsid w:val="00D02BC6"/>
    <w:rsid w:val="00D0310D"/>
    <w:rsid w:val="00D03896"/>
    <w:rsid w:val="00D0541C"/>
    <w:rsid w:val="00D05803"/>
    <w:rsid w:val="00D05C7C"/>
    <w:rsid w:val="00D0672F"/>
    <w:rsid w:val="00D06906"/>
    <w:rsid w:val="00D07742"/>
    <w:rsid w:val="00D100AE"/>
    <w:rsid w:val="00D110D4"/>
    <w:rsid w:val="00D1276A"/>
    <w:rsid w:val="00D14186"/>
    <w:rsid w:val="00D142B7"/>
    <w:rsid w:val="00D14DB7"/>
    <w:rsid w:val="00D14E1A"/>
    <w:rsid w:val="00D15ED5"/>
    <w:rsid w:val="00D17761"/>
    <w:rsid w:val="00D20771"/>
    <w:rsid w:val="00D22B6A"/>
    <w:rsid w:val="00D23161"/>
    <w:rsid w:val="00D255CF"/>
    <w:rsid w:val="00D26B5D"/>
    <w:rsid w:val="00D319F1"/>
    <w:rsid w:val="00D348F7"/>
    <w:rsid w:val="00D351E9"/>
    <w:rsid w:val="00D3703D"/>
    <w:rsid w:val="00D37ADF"/>
    <w:rsid w:val="00D37F2B"/>
    <w:rsid w:val="00D40BC3"/>
    <w:rsid w:val="00D422ED"/>
    <w:rsid w:val="00D434EC"/>
    <w:rsid w:val="00D444D0"/>
    <w:rsid w:val="00D44E9D"/>
    <w:rsid w:val="00D46E5C"/>
    <w:rsid w:val="00D472A7"/>
    <w:rsid w:val="00D5260C"/>
    <w:rsid w:val="00D5653C"/>
    <w:rsid w:val="00D56A36"/>
    <w:rsid w:val="00D56F37"/>
    <w:rsid w:val="00D56FEA"/>
    <w:rsid w:val="00D6187D"/>
    <w:rsid w:val="00D619B0"/>
    <w:rsid w:val="00D61A0E"/>
    <w:rsid w:val="00D65317"/>
    <w:rsid w:val="00D66CA3"/>
    <w:rsid w:val="00D7109B"/>
    <w:rsid w:val="00D717D8"/>
    <w:rsid w:val="00D71CF9"/>
    <w:rsid w:val="00D735AE"/>
    <w:rsid w:val="00D748E0"/>
    <w:rsid w:val="00D75FF9"/>
    <w:rsid w:val="00D77FCD"/>
    <w:rsid w:val="00D80ED6"/>
    <w:rsid w:val="00D80F9D"/>
    <w:rsid w:val="00D81BAE"/>
    <w:rsid w:val="00D822F1"/>
    <w:rsid w:val="00D83A82"/>
    <w:rsid w:val="00D849DD"/>
    <w:rsid w:val="00D84B17"/>
    <w:rsid w:val="00D8507D"/>
    <w:rsid w:val="00D86735"/>
    <w:rsid w:val="00D86C7D"/>
    <w:rsid w:val="00D8718E"/>
    <w:rsid w:val="00D871FB"/>
    <w:rsid w:val="00D87627"/>
    <w:rsid w:val="00D90C57"/>
    <w:rsid w:val="00D90C9D"/>
    <w:rsid w:val="00D90E57"/>
    <w:rsid w:val="00D91910"/>
    <w:rsid w:val="00D91AA8"/>
    <w:rsid w:val="00D944A6"/>
    <w:rsid w:val="00D94976"/>
    <w:rsid w:val="00D95958"/>
    <w:rsid w:val="00D95B92"/>
    <w:rsid w:val="00D95C7A"/>
    <w:rsid w:val="00D963EC"/>
    <w:rsid w:val="00D96BF1"/>
    <w:rsid w:val="00D96FC3"/>
    <w:rsid w:val="00DA0CA2"/>
    <w:rsid w:val="00DA12C3"/>
    <w:rsid w:val="00DA1E68"/>
    <w:rsid w:val="00DA200E"/>
    <w:rsid w:val="00DA234F"/>
    <w:rsid w:val="00DA2571"/>
    <w:rsid w:val="00DA3779"/>
    <w:rsid w:val="00DA45F0"/>
    <w:rsid w:val="00DA495D"/>
    <w:rsid w:val="00DA7BA0"/>
    <w:rsid w:val="00DB0995"/>
    <w:rsid w:val="00DB3C6E"/>
    <w:rsid w:val="00DB40F2"/>
    <w:rsid w:val="00DB469A"/>
    <w:rsid w:val="00DB52C3"/>
    <w:rsid w:val="00DB5DA3"/>
    <w:rsid w:val="00DB7E5F"/>
    <w:rsid w:val="00DC10B0"/>
    <w:rsid w:val="00DC1594"/>
    <w:rsid w:val="00DC1E80"/>
    <w:rsid w:val="00DC3DA9"/>
    <w:rsid w:val="00DC4BCD"/>
    <w:rsid w:val="00DC597C"/>
    <w:rsid w:val="00DC79C7"/>
    <w:rsid w:val="00DD0749"/>
    <w:rsid w:val="00DD0CC5"/>
    <w:rsid w:val="00DD1107"/>
    <w:rsid w:val="00DD178F"/>
    <w:rsid w:val="00DD1FE4"/>
    <w:rsid w:val="00DD3E5D"/>
    <w:rsid w:val="00DD51B9"/>
    <w:rsid w:val="00DD5B27"/>
    <w:rsid w:val="00DD63D0"/>
    <w:rsid w:val="00DE01D8"/>
    <w:rsid w:val="00DE19F0"/>
    <w:rsid w:val="00DE21B3"/>
    <w:rsid w:val="00DE2847"/>
    <w:rsid w:val="00DE2966"/>
    <w:rsid w:val="00DE376D"/>
    <w:rsid w:val="00DE4107"/>
    <w:rsid w:val="00DE4258"/>
    <w:rsid w:val="00DE436F"/>
    <w:rsid w:val="00DF0B5E"/>
    <w:rsid w:val="00DF0ED5"/>
    <w:rsid w:val="00DF2BBE"/>
    <w:rsid w:val="00DF72D9"/>
    <w:rsid w:val="00DF7EC8"/>
    <w:rsid w:val="00E00D46"/>
    <w:rsid w:val="00E028ED"/>
    <w:rsid w:val="00E02A57"/>
    <w:rsid w:val="00E02C43"/>
    <w:rsid w:val="00E04660"/>
    <w:rsid w:val="00E04BA2"/>
    <w:rsid w:val="00E0542B"/>
    <w:rsid w:val="00E104F6"/>
    <w:rsid w:val="00E10748"/>
    <w:rsid w:val="00E1094C"/>
    <w:rsid w:val="00E1100F"/>
    <w:rsid w:val="00E12F57"/>
    <w:rsid w:val="00E134D7"/>
    <w:rsid w:val="00E14282"/>
    <w:rsid w:val="00E17ABD"/>
    <w:rsid w:val="00E200BA"/>
    <w:rsid w:val="00E211BC"/>
    <w:rsid w:val="00E2346B"/>
    <w:rsid w:val="00E25614"/>
    <w:rsid w:val="00E27DDF"/>
    <w:rsid w:val="00E27E01"/>
    <w:rsid w:val="00E30A90"/>
    <w:rsid w:val="00E327C3"/>
    <w:rsid w:val="00E32DBA"/>
    <w:rsid w:val="00E33CA0"/>
    <w:rsid w:val="00E350F4"/>
    <w:rsid w:val="00E4249F"/>
    <w:rsid w:val="00E43469"/>
    <w:rsid w:val="00E445DA"/>
    <w:rsid w:val="00E45379"/>
    <w:rsid w:val="00E45C35"/>
    <w:rsid w:val="00E50223"/>
    <w:rsid w:val="00E50B22"/>
    <w:rsid w:val="00E50C4F"/>
    <w:rsid w:val="00E51E18"/>
    <w:rsid w:val="00E527EE"/>
    <w:rsid w:val="00E533BD"/>
    <w:rsid w:val="00E53706"/>
    <w:rsid w:val="00E55D55"/>
    <w:rsid w:val="00E5664A"/>
    <w:rsid w:val="00E567AD"/>
    <w:rsid w:val="00E573C6"/>
    <w:rsid w:val="00E57CE2"/>
    <w:rsid w:val="00E601A9"/>
    <w:rsid w:val="00E61343"/>
    <w:rsid w:val="00E613BA"/>
    <w:rsid w:val="00E617BD"/>
    <w:rsid w:val="00E618D9"/>
    <w:rsid w:val="00E6325C"/>
    <w:rsid w:val="00E642E7"/>
    <w:rsid w:val="00E65C14"/>
    <w:rsid w:val="00E67B7B"/>
    <w:rsid w:val="00E70503"/>
    <w:rsid w:val="00E705B4"/>
    <w:rsid w:val="00E70BBB"/>
    <w:rsid w:val="00E713BD"/>
    <w:rsid w:val="00E72967"/>
    <w:rsid w:val="00E72A19"/>
    <w:rsid w:val="00E742BE"/>
    <w:rsid w:val="00E74768"/>
    <w:rsid w:val="00E759B2"/>
    <w:rsid w:val="00E770B3"/>
    <w:rsid w:val="00E804F0"/>
    <w:rsid w:val="00E80F4C"/>
    <w:rsid w:val="00E8155D"/>
    <w:rsid w:val="00E829A2"/>
    <w:rsid w:val="00E8409D"/>
    <w:rsid w:val="00E860DE"/>
    <w:rsid w:val="00E86361"/>
    <w:rsid w:val="00E90C37"/>
    <w:rsid w:val="00E90EB9"/>
    <w:rsid w:val="00E9148C"/>
    <w:rsid w:val="00E974DE"/>
    <w:rsid w:val="00EA0A82"/>
    <w:rsid w:val="00EA0E04"/>
    <w:rsid w:val="00EA1E39"/>
    <w:rsid w:val="00EA220D"/>
    <w:rsid w:val="00EA3156"/>
    <w:rsid w:val="00EA39C8"/>
    <w:rsid w:val="00EA40A2"/>
    <w:rsid w:val="00EA4CD5"/>
    <w:rsid w:val="00EA5D2C"/>
    <w:rsid w:val="00EA5D8E"/>
    <w:rsid w:val="00EA68DA"/>
    <w:rsid w:val="00EB07CF"/>
    <w:rsid w:val="00EB092D"/>
    <w:rsid w:val="00EB0E0D"/>
    <w:rsid w:val="00EB13FC"/>
    <w:rsid w:val="00EB3B88"/>
    <w:rsid w:val="00EC1DA8"/>
    <w:rsid w:val="00EC3B8F"/>
    <w:rsid w:val="00EC5CA0"/>
    <w:rsid w:val="00EC7372"/>
    <w:rsid w:val="00EC763F"/>
    <w:rsid w:val="00EC7D8B"/>
    <w:rsid w:val="00ED1995"/>
    <w:rsid w:val="00ED2844"/>
    <w:rsid w:val="00ED30E8"/>
    <w:rsid w:val="00ED3B69"/>
    <w:rsid w:val="00ED48BE"/>
    <w:rsid w:val="00ED6CD1"/>
    <w:rsid w:val="00EE18E6"/>
    <w:rsid w:val="00EE3548"/>
    <w:rsid w:val="00EE5F2E"/>
    <w:rsid w:val="00EE693B"/>
    <w:rsid w:val="00EE6B2A"/>
    <w:rsid w:val="00EE783F"/>
    <w:rsid w:val="00EE7C15"/>
    <w:rsid w:val="00EF045F"/>
    <w:rsid w:val="00EF098E"/>
    <w:rsid w:val="00EF0CCC"/>
    <w:rsid w:val="00EF4A64"/>
    <w:rsid w:val="00EF4D79"/>
    <w:rsid w:val="00EF7891"/>
    <w:rsid w:val="00F00407"/>
    <w:rsid w:val="00F006EA"/>
    <w:rsid w:val="00F02171"/>
    <w:rsid w:val="00F033EF"/>
    <w:rsid w:val="00F04077"/>
    <w:rsid w:val="00F061A6"/>
    <w:rsid w:val="00F102E8"/>
    <w:rsid w:val="00F107AF"/>
    <w:rsid w:val="00F11AB3"/>
    <w:rsid w:val="00F129C0"/>
    <w:rsid w:val="00F12DD0"/>
    <w:rsid w:val="00F15D77"/>
    <w:rsid w:val="00F16C35"/>
    <w:rsid w:val="00F17D75"/>
    <w:rsid w:val="00F20633"/>
    <w:rsid w:val="00F218DA"/>
    <w:rsid w:val="00F23E81"/>
    <w:rsid w:val="00F254BE"/>
    <w:rsid w:val="00F25CFE"/>
    <w:rsid w:val="00F260F1"/>
    <w:rsid w:val="00F3060F"/>
    <w:rsid w:val="00F32886"/>
    <w:rsid w:val="00F35243"/>
    <w:rsid w:val="00F4018F"/>
    <w:rsid w:val="00F41030"/>
    <w:rsid w:val="00F426A8"/>
    <w:rsid w:val="00F43E6E"/>
    <w:rsid w:val="00F44363"/>
    <w:rsid w:val="00F44423"/>
    <w:rsid w:val="00F454DD"/>
    <w:rsid w:val="00F469B3"/>
    <w:rsid w:val="00F51236"/>
    <w:rsid w:val="00F5374C"/>
    <w:rsid w:val="00F53BD4"/>
    <w:rsid w:val="00F541B8"/>
    <w:rsid w:val="00F56CC2"/>
    <w:rsid w:val="00F56E6F"/>
    <w:rsid w:val="00F5719A"/>
    <w:rsid w:val="00F574B7"/>
    <w:rsid w:val="00F60BC0"/>
    <w:rsid w:val="00F61B7F"/>
    <w:rsid w:val="00F62370"/>
    <w:rsid w:val="00F623F3"/>
    <w:rsid w:val="00F628D3"/>
    <w:rsid w:val="00F6497E"/>
    <w:rsid w:val="00F677E2"/>
    <w:rsid w:val="00F67C16"/>
    <w:rsid w:val="00F724D5"/>
    <w:rsid w:val="00F73751"/>
    <w:rsid w:val="00F75EAD"/>
    <w:rsid w:val="00F77154"/>
    <w:rsid w:val="00F80F33"/>
    <w:rsid w:val="00F82637"/>
    <w:rsid w:val="00F846D6"/>
    <w:rsid w:val="00F85441"/>
    <w:rsid w:val="00F86926"/>
    <w:rsid w:val="00F906D2"/>
    <w:rsid w:val="00F9173A"/>
    <w:rsid w:val="00F91800"/>
    <w:rsid w:val="00F94E99"/>
    <w:rsid w:val="00F95F79"/>
    <w:rsid w:val="00F9650A"/>
    <w:rsid w:val="00F965BB"/>
    <w:rsid w:val="00F967C7"/>
    <w:rsid w:val="00F96908"/>
    <w:rsid w:val="00FA0437"/>
    <w:rsid w:val="00FA16EC"/>
    <w:rsid w:val="00FA233F"/>
    <w:rsid w:val="00FA2E05"/>
    <w:rsid w:val="00FA2E5F"/>
    <w:rsid w:val="00FA3072"/>
    <w:rsid w:val="00FA3E48"/>
    <w:rsid w:val="00FA7D57"/>
    <w:rsid w:val="00FB0008"/>
    <w:rsid w:val="00FB05B2"/>
    <w:rsid w:val="00FB071C"/>
    <w:rsid w:val="00FB3EA0"/>
    <w:rsid w:val="00FB4127"/>
    <w:rsid w:val="00FB474B"/>
    <w:rsid w:val="00FB55F4"/>
    <w:rsid w:val="00FB6B37"/>
    <w:rsid w:val="00FC0B63"/>
    <w:rsid w:val="00FC1A4F"/>
    <w:rsid w:val="00FC2209"/>
    <w:rsid w:val="00FC2F84"/>
    <w:rsid w:val="00FC3860"/>
    <w:rsid w:val="00FC44B0"/>
    <w:rsid w:val="00FC7531"/>
    <w:rsid w:val="00FC7EAA"/>
    <w:rsid w:val="00FD4B62"/>
    <w:rsid w:val="00FD4FA5"/>
    <w:rsid w:val="00FD5166"/>
    <w:rsid w:val="00FE03AC"/>
    <w:rsid w:val="00FE25DD"/>
    <w:rsid w:val="00FE46AD"/>
    <w:rsid w:val="00FE4E6F"/>
    <w:rsid w:val="00FE5410"/>
    <w:rsid w:val="00FF0CC0"/>
    <w:rsid w:val="00FF2CDD"/>
    <w:rsid w:val="00FF2D44"/>
    <w:rsid w:val="00FF456A"/>
    <w:rsid w:val="00FF6204"/>
    <w:rsid w:val="00FF62CB"/>
    <w:rsid w:val="00FF634D"/>
    <w:rsid w:val="00FF6BDF"/>
    <w:rsid w:val="00FF6D25"/>
    <w:rsid w:val="00FF729D"/>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FCAB5D5"/>
  <w15:docId w15:val="{FA552F13-AD2F-4BC5-B7AB-02F2B04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E5"/>
    <w:pPr>
      <w:spacing w:line="256" w:lineRule="auto"/>
      <w:jc w:val="both"/>
    </w:pPr>
    <w:rPr>
      <w:rFonts w:ascii="Palatino Linotype" w:eastAsia="Calibri" w:hAnsi="Palatino Linotype" w:cs="Times New Roman"/>
      <w:color w:val="000000" w:themeColor="text1"/>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hAnsi="Calibri"/>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227BD"/>
    <w:rPr>
      <w:color w:val="605E5C"/>
      <w:shd w:val="clear" w:color="auto" w:fill="E1DFDD"/>
    </w:rPr>
  </w:style>
  <w:style w:type="table" w:customStyle="1" w:styleId="Tablaconcuadrcula4">
    <w:name w:val="Tabla con cuadrícula4"/>
    <w:basedOn w:val="Tablanormal"/>
    <w:next w:val="Tablaconcuadrcula"/>
    <w:uiPriority w:val="59"/>
    <w:rsid w:val="009916A6"/>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EC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7294657">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158204">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9475392">
      <w:bodyDiv w:val="1"/>
      <w:marLeft w:val="0"/>
      <w:marRight w:val="0"/>
      <w:marTop w:val="0"/>
      <w:marBottom w:val="0"/>
      <w:divBdr>
        <w:top w:val="none" w:sz="0" w:space="0" w:color="auto"/>
        <w:left w:val="none" w:sz="0" w:space="0" w:color="auto"/>
        <w:bottom w:val="none" w:sz="0" w:space="0" w:color="auto"/>
        <w:right w:val="none" w:sz="0" w:space="0" w:color="auto"/>
      </w:divBdr>
    </w:div>
    <w:div w:id="116606140">
      <w:bodyDiv w:val="1"/>
      <w:marLeft w:val="0"/>
      <w:marRight w:val="0"/>
      <w:marTop w:val="0"/>
      <w:marBottom w:val="0"/>
      <w:divBdr>
        <w:top w:val="none" w:sz="0" w:space="0" w:color="auto"/>
        <w:left w:val="none" w:sz="0" w:space="0" w:color="auto"/>
        <w:bottom w:val="none" w:sz="0" w:space="0" w:color="auto"/>
        <w:right w:val="none" w:sz="0" w:space="0" w:color="auto"/>
      </w:divBdr>
    </w:div>
    <w:div w:id="118106263">
      <w:bodyDiv w:val="1"/>
      <w:marLeft w:val="0"/>
      <w:marRight w:val="0"/>
      <w:marTop w:val="0"/>
      <w:marBottom w:val="0"/>
      <w:divBdr>
        <w:top w:val="none" w:sz="0" w:space="0" w:color="auto"/>
        <w:left w:val="none" w:sz="0" w:space="0" w:color="auto"/>
        <w:bottom w:val="none" w:sz="0" w:space="0" w:color="auto"/>
        <w:right w:val="none" w:sz="0" w:space="0" w:color="auto"/>
      </w:divBdr>
    </w:div>
    <w:div w:id="122045785">
      <w:bodyDiv w:val="1"/>
      <w:marLeft w:val="0"/>
      <w:marRight w:val="0"/>
      <w:marTop w:val="0"/>
      <w:marBottom w:val="0"/>
      <w:divBdr>
        <w:top w:val="none" w:sz="0" w:space="0" w:color="auto"/>
        <w:left w:val="none" w:sz="0" w:space="0" w:color="auto"/>
        <w:bottom w:val="none" w:sz="0" w:space="0" w:color="auto"/>
        <w:right w:val="none" w:sz="0" w:space="0" w:color="auto"/>
      </w:divBdr>
    </w:div>
    <w:div w:id="142547455">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11426552">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49704439">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2323323">
      <w:bodyDiv w:val="1"/>
      <w:marLeft w:val="0"/>
      <w:marRight w:val="0"/>
      <w:marTop w:val="0"/>
      <w:marBottom w:val="0"/>
      <w:divBdr>
        <w:top w:val="none" w:sz="0" w:space="0" w:color="auto"/>
        <w:left w:val="none" w:sz="0" w:space="0" w:color="auto"/>
        <w:bottom w:val="none" w:sz="0" w:space="0" w:color="auto"/>
        <w:right w:val="none" w:sz="0" w:space="0" w:color="auto"/>
      </w:divBdr>
    </w:div>
    <w:div w:id="296646360">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10838792">
      <w:bodyDiv w:val="1"/>
      <w:marLeft w:val="0"/>
      <w:marRight w:val="0"/>
      <w:marTop w:val="0"/>
      <w:marBottom w:val="0"/>
      <w:divBdr>
        <w:top w:val="none" w:sz="0" w:space="0" w:color="auto"/>
        <w:left w:val="none" w:sz="0" w:space="0" w:color="auto"/>
        <w:bottom w:val="none" w:sz="0" w:space="0" w:color="auto"/>
        <w:right w:val="none" w:sz="0" w:space="0" w:color="auto"/>
      </w:divBdr>
    </w:div>
    <w:div w:id="326835336">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1375617587">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56124260">
          <w:marLeft w:val="0"/>
          <w:marRight w:val="0"/>
          <w:marTop w:val="0"/>
          <w:marBottom w:val="0"/>
          <w:divBdr>
            <w:top w:val="none" w:sz="0" w:space="0" w:color="auto"/>
            <w:left w:val="none" w:sz="0" w:space="0" w:color="auto"/>
            <w:bottom w:val="none" w:sz="0" w:space="0" w:color="auto"/>
            <w:right w:val="none" w:sz="0" w:space="0" w:color="auto"/>
          </w:divBdr>
        </w:div>
        <w:div w:id="366953804">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53596978">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2716913">
      <w:bodyDiv w:val="1"/>
      <w:marLeft w:val="0"/>
      <w:marRight w:val="0"/>
      <w:marTop w:val="0"/>
      <w:marBottom w:val="0"/>
      <w:divBdr>
        <w:top w:val="none" w:sz="0" w:space="0" w:color="auto"/>
        <w:left w:val="none" w:sz="0" w:space="0" w:color="auto"/>
        <w:bottom w:val="none" w:sz="0" w:space="0" w:color="auto"/>
        <w:right w:val="none" w:sz="0" w:space="0" w:color="auto"/>
      </w:divBdr>
    </w:div>
    <w:div w:id="474371887">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05292101">
      <w:bodyDiv w:val="1"/>
      <w:marLeft w:val="0"/>
      <w:marRight w:val="0"/>
      <w:marTop w:val="0"/>
      <w:marBottom w:val="0"/>
      <w:divBdr>
        <w:top w:val="none" w:sz="0" w:space="0" w:color="auto"/>
        <w:left w:val="none" w:sz="0" w:space="0" w:color="auto"/>
        <w:bottom w:val="none" w:sz="0" w:space="0" w:color="auto"/>
        <w:right w:val="none" w:sz="0" w:space="0" w:color="auto"/>
      </w:divBdr>
    </w:div>
    <w:div w:id="513229382">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26676769">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97299266">
      <w:bodyDiv w:val="1"/>
      <w:marLeft w:val="0"/>
      <w:marRight w:val="0"/>
      <w:marTop w:val="0"/>
      <w:marBottom w:val="0"/>
      <w:divBdr>
        <w:top w:val="none" w:sz="0" w:space="0" w:color="auto"/>
        <w:left w:val="none" w:sz="0" w:space="0" w:color="auto"/>
        <w:bottom w:val="none" w:sz="0" w:space="0" w:color="auto"/>
        <w:right w:val="none" w:sz="0" w:space="0" w:color="auto"/>
      </w:divBdr>
    </w:div>
    <w:div w:id="612715194">
      <w:bodyDiv w:val="1"/>
      <w:marLeft w:val="0"/>
      <w:marRight w:val="0"/>
      <w:marTop w:val="0"/>
      <w:marBottom w:val="0"/>
      <w:divBdr>
        <w:top w:val="none" w:sz="0" w:space="0" w:color="auto"/>
        <w:left w:val="none" w:sz="0" w:space="0" w:color="auto"/>
        <w:bottom w:val="none" w:sz="0" w:space="0" w:color="auto"/>
        <w:right w:val="none" w:sz="0" w:space="0" w:color="auto"/>
      </w:divBdr>
    </w:div>
    <w:div w:id="62431123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sChild>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 w:id="1918588258">
          <w:marLeft w:val="0"/>
          <w:marRight w:val="0"/>
          <w:marTop w:val="0"/>
          <w:marBottom w:val="0"/>
          <w:divBdr>
            <w:top w:val="none" w:sz="0" w:space="0" w:color="auto"/>
            <w:left w:val="none" w:sz="0" w:space="0" w:color="auto"/>
            <w:bottom w:val="none" w:sz="0" w:space="0" w:color="auto"/>
            <w:right w:val="none" w:sz="0" w:space="0" w:color="auto"/>
          </w:divBdr>
        </w:div>
      </w:divsChild>
    </w:div>
    <w:div w:id="730269046">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44958130">
      <w:bodyDiv w:val="1"/>
      <w:marLeft w:val="0"/>
      <w:marRight w:val="0"/>
      <w:marTop w:val="0"/>
      <w:marBottom w:val="0"/>
      <w:divBdr>
        <w:top w:val="none" w:sz="0" w:space="0" w:color="auto"/>
        <w:left w:val="none" w:sz="0" w:space="0" w:color="auto"/>
        <w:bottom w:val="none" w:sz="0" w:space="0" w:color="auto"/>
        <w:right w:val="none" w:sz="0" w:space="0" w:color="auto"/>
      </w:divBdr>
    </w:div>
    <w:div w:id="748119150">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6244238">
      <w:bodyDiv w:val="1"/>
      <w:marLeft w:val="0"/>
      <w:marRight w:val="0"/>
      <w:marTop w:val="0"/>
      <w:marBottom w:val="0"/>
      <w:divBdr>
        <w:top w:val="none" w:sz="0" w:space="0" w:color="auto"/>
        <w:left w:val="none" w:sz="0" w:space="0" w:color="auto"/>
        <w:bottom w:val="none" w:sz="0" w:space="0" w:color="auto"/>
        <w:right w:val="none" w:sz="0" w:space="0" w:color="auto"/>
      </w:divBdr>
    </w:div>
    <w:div w:id="791290048">
      <w:bodyDiv w:val="1"/>
      <w:marLeft w:val="0"/>
      <w:marRight w:val="0"/>
      <w:marTop w:val="0"/>
      <w:marBottom w:val="0"/>
      <w:divBdr>
        <w:top w:val="none" w:sz="0" w:space="0" w:color="auto"/>
        <w:left w:val="none" w:sz="0" w:space="0" w:color="auto"/>
        <w:bottom w:val="none" w:sz="0" w:space="0" w:color="auto"/>
        <w:right w:val="none" w:sz="0" w:space="0" w:color="auto"/>
      </w:divBdr>
    </w:div>
    <w:div w:id="794063146">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18766114">
      <w:bodyDiv w:val="1"/>
      <w:marLeft w:val="0"/>
      <w:marRight w:val="0"/>
      <w:marTop w:val="0"/>
      <w:marBottom w:val="0"/>
      <w:divBdr>
        <w:top w:val="none" w:sz="0" w:space="0" w:color="auto"/>
        <w:left w:val="none" w:sz="0" w:space="0" w:color="auto"/>
        <w:bottom w:val="none" w:sz="0" w:space="0" w:color="auto"/>
        <w:right w:val="none" w:sz="0" w:space="0" w:color="auto"/>
      </w:divBdr>
    </w:div>
    <w:div w:id="827331454">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93273706">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09779081">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53344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62825551">
      <w:bodyDiv w:val="1"/>
      <w:marLeft w:val="0"/>
      <w:marRight w:val="0"/>
      <w:marTop w:val="0"/>
      <w:marBottom w:val="0"/>
      <w:divBdr>
        <w:top w:val="none" w:sz="0" w:space="0" w:color="auto"/>
        <w:left w:val="none" w:sz="0" w:space="0" w:color="auto"/>
        <w:bottom w:val="none" w:sz="0" w:space="0" w:color="auto"/>
        <w:right w:val="none" w:sz="0" w:space="0" w:color="auto"/>
      </w:divBdr>
    </w:div>
    <w:div w:id="1074204964">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08701271">
      <w:bodyDiv w:val="1"/>
      <w:marLeft w:val="0"/>
      <w:marRight w:val="0"/>
      <w:marTop w:val="0"/>
      <w:marBottom w:val="0"/>
      <w:divBdr>
        <w:top w:val="none" w:sz="0" w:space="0" w:color="auto"/>
        <w:left w:val="none" w:sz="0" w:space="0" w:color="auto"/>
        <w:bottom w:val="none" w:sz="0" w:space="0" w:color="auto"/>
        <w:right w:val="none" w:sz="0" w:space="0" w:color="auto"/>
      </w:divBdr>
    </w:div>
    <w:div w:id="1115366554">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9173898">
      <w:bodyDiv w:val="1"/>
      <w:marLeft w:val="0"/>
      <w:marRight w:val="0"/>
      <w:marTop w:val="0"/>
      <w:marBottom w:val="0"/>
      <w:divBdr>
        <w:top w:val="none" w:sz="0" w:space="0" w:color="auto"/>
        <w:left w:val="none" w:sz="0" w:space="0" w:color="auto"/>
        <w:bottom w:val="none" w:sz="0" w:space="0" w:color="auto"/>
        <w:right w:val="none" w:sz="0" w:space="0" w:color="auto"/>
      </w:divBdr>
    </w:div>
    <w:div w:id="1174954888">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69968193">
      <w:bodyDiv w:val="1"/>
      <w:marLeft w:val="0"/>
      <w:marRight w:val="0"/>
      <w:marTop w:val="0"/>
      <w:marBottom w:val="0"/>
      <w:divBdr>
        <w:top w:val="none" w:sz="0" w:space="0" w:color="auto"/>
        <w:left w:val="none" w:sz="0" w:space="0" w:color="auto"/>
        <w:bottom w:val="none" w:sz="0" w:space="0" w:color="auto"/>
        <w:right w:val="none" w:sz="0" w:space="0" w:color="auto"/>
      </w:divBdr>
    </w:div>
    <w:div w:id="1271160208">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59814429">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675413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8624584">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0834449">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2626049">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8938401">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82575511">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9034477">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114407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14442046">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27731270">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55571023">
      <w:bodyDiv w:val="1"/>
      <w:marLeft w:val="0"/>
      <w:marRight w:val="0"/>
      <w:marTop w:val="0"/>
      <w:marBottom w:val="0"/>
      <w:divBdr>
        <w:top w:val="none" w:sz="0" w:space="0" w:color="auto"/>
        <w:left w:val="none" w:sz="0" w:space="0" w:color="auto"/>
        <w:bottom w:val="none" w:sz="0" w:space="0" w:color="auto"/>
        <w:right w:val="none" w:sz="0" w:space="0" w:color="auto"/>
      </w:divBdr>
    </w:div>
    <w:div w:id="1665087675">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186716773">
          <w:marLeft w:val="0"/>
          <w:marRight w:val="0"/>
          <w:marTop w:val="0"/>
          <w:marBottom w:val="0"/>
          <w:divBdr>
            <w:top w:val="none" w:sz="0" w:space="0" w:color="auto"/>
            <w:left w:val="none" w:sz="0" w:space="0" w:color="auto"/>
            <w:bottom w:val="none" w:sz="0" w:space="0" w:color="auto"/>
            <w:right w:val="none" w:sz="0" w:space="0" w:color="auto"/>
          </w:divBdr>
        </w:div>
        <w:div w:id="682122956">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sChild>
    </w:div>
    <w:div w:id="1683629005">
      <w:bodyDiv w:val="1"/>
      <w:marLeft w:val="0"/>
      <w:marRight w:val="0"/>
      <w:marTop w:val="0"/>
      <w:marBottom w:val="0"/>
      <w:divBdr>
        <w:top w:val="none" w:sz="0" w:space="0" w:color="auto"/>
        <w:left w:val="none" w:sz="0" w:space="0" w:color="auto"/>
        <w:bottom w:val="none" w:sz="0" w:space="0" w:color="auto"/>
        <w:right w:val="none" w:sz="0" w:space="0" w:color="auto"/>
      </w:divBdr>
    </w:div>
    <w:div w:id="1688411376">
      <w:bodyDiv w:val="1"/>
      <w:marLeft w:val="0"/>
      <w:marRight w:val="0"/>
      <w:marTop w:val="0"/>
      <w:marBottom w:val="0"/>
      <w:divBdr>
        <w:top w:val="none" w:sz="0" w:space="0" w:color="auto"/>
        <w:left w:val="none" w:sz="0" w:space="0" w:color="auto"/>
        <w:bottom w:val="none" w:sz="0" w:space="0" w:color="auto"/>
        <w:right w:val="none" w:sz="0" w:space="0" w:color="auto"/>
      </w:divBdr>
    </w:div>
    <w:div w:id="16937233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45107208">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11434180">
      <w:bodyDiv w:val="1"/>
      <w:marLeft w:val="0"/>
      <w:marRight w:val="0"/>
      <w:marTop w:val="0"/>
      <w:marBottom w:val="0"/>
      <w:divBdr>
        <w:top w:val="none" w:sz="0" w:space="0" w:color="auto"/>
        <w:left w:val="none" w:sz="0" w:space="0" w:color="auto"/>
        <w:bottom w:val="none" w:sz="0" w:space="0" w:color="auto"/>
        <w:right w:val="none" w:sz="0" w:space="0" w:color="auto"/>
      </w:divBdr>
    </w:div>
    <w:div w:id="1834494607">
      <w:bodyDiv w:val="1"/>
      <w:marLeft w:val="0"/>
      <w:marRight w:val="0"/>
      <w:marTop w:val="0"/>
      <w:marBottom w:val="0"/>
      <w:divBdr>
        <w:top w:val="none" w:sz="0" w:space="0" w:color="auto"/>
        <w:left w:val="none" w:sz="0" w:space="0" w:color="auto"/>
        <w:bottom w:val="none" w:sz="0" w:space="0" w:color="auto"/>
        <w:right w:val="none" w:sz="0" w:space="0" w:color="auto"/>
      </w:divBdr>
    </w:div>
    <w:div w:id="1845583674">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09460085">
      <w:bodyDiv w:val="1"/>
      <w:marLeft w:val="0"/>
      <w:marRight w:val="0"/>
      <w:marTop w:val="0"/>
      <w:marBottom w:val="0"/>
      <w:divBdr>
        <w:top w:val="none" w:sz="0" w:space="0" w:color="auto"/>
        <w:left w:val="none" w:sz="0" w:space="0" w:color="auto"/>
        <w:bottom w:val="none" w:sz="0" w:space="0" w:color="auto"/>
        <w:right w:val="none" w:sz="0" w:space="0" w:color="auto"/>
      </w:divBdr>
    </w:div>
    <w:div w:id="1941789842">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2271778">
      <w:bodyDiv w:val="1"/>
      <w:marLeft w:val="0"/>
      <w:marRight w:val="0"/>
      <w:marTop w:val="0"/>
      <w:marBottom w:val="0"/>
      <w:divBdr>
        <w:top w:val="none" w:sz="0" w:space="0" w:color="auto"/>
        <w:left w:val="none" w:sz="0" w:space="0" w:color="auto"/>
        <w:bottom w:val="none" w:sz="0" w:space="0" w:color="auto"/>
        <w:right w:val="none" w:sz="0" w:space="0" w:color="auto"/>
      </w:divBdr>
    </w:div>
    <w:div w:id="1987319090">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08848154">
      <w:bodyDiv w:val="1"/>
      <w:marLeft w:val="0"/>
      <w:marRight w:val="0"/>
      <w:marTop w:val="0"/>
      <w:marBottom w:val="0"/>
      <w:divBdr>
        <w:top w:val="none" w:sz="0" w:space="0" w:color="auto"/>
        <w:left w:val="none" w:sz="0" w:space="0" w:color="auto"/>
        <w:bottom w:val="none" w:sz="0" w:space="0" w:color="auto"/>
        <w:right w:val="none" w:sz="0" w:space="0" w:color="auto"/>
      </w:divBdr>
    </w:div>
    <w:div w:id="2119714569">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yperlink" Target="https://opendatacharter.net/principle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saemm.gob.mx/politica_antisoborn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esaemm.gob.m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taformadetransparencia.org.mx/web/guest/inicio"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0285-3C32-46A4-91EF-13A56B9C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7772</Words>
  <Characters>42752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2024-12-05T23:48:00Z</cp:lastPrinted>
  <dcterms:created xsi:type="dcterms:W3CDTF">2024-12-09T22:42:00Z</dcterms:created>
  <dcterms:modified xsi:type="dcterms:W3CDTF">2025-02-04T20:32:00Z</dcterms:modified>
</cp:coreProperties>
</file>