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28" w:rsidRPr="0024200F" w:rsidRDefault="00D17539" w:rsidP="004F7928">
      <w:pPr>
        <w:spacing w:line="360" w:lineRule="auto"/>
        <w:jc w:val="both"/>
        <w:rPr>
          <w:rFonts w:ascii="Palatino Linotype" w:hAnsi="Palatino Linotype"/>
        </w:rPr>
      </w:pPr>
      <w:r>
        <w:rPr>
          <w:rFonts w:ascii="Palatino Linotype" w:hAnsi="Palatino Linotype"/>
        </w:rPr>
        <w:t xml:space="preserve"> </w:t>
      </w:r>
      <w:r w:rsidR="004F7928"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seis de noviembre</w:t>
      </w:r>
      <w:r w:rsidR="004F7928">
        <w:rPr>
          <w:rFonts w:ascii="Palatino Linotype" w:hAnsi="Palatino Linotype"/>
        </w:rPr>
        <w:t xml:space="preserve"> de dos mil veinticuatro.</w:t>
      </w:r>
    </w:p>
    <w:p w:rsidR="004F7928" w:rsidRPr="0024200F" w:rsidRDefault="004F7928" w:rsidP="004F7928">
      <w:pPr>
        <w:spacing w:line="360" w:lineRule="auto"/>
        <w:jc w:val="both"/>
        <w:rPr>
          <w:rFonts w:ascii="Palatino Linotype" w:hAnsi="Palatino Linotype"/>
        </w:rPr>
      </w:pPr>
    </w:p>
    <w:p w:rsidR="004F7928" w:rsidRPr="002C3EC8" w:rsidRDefault="004F7928" w:rsidP="004F7928">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sidR="00EF5F18">
        <w:rPr>
          <w:rFonts w:ascii="Palatino Linotype" w:hAnsi="Palatino Linotype" w:cs="Arial"/>
          <w:b/>
        </w:rPr>
        <w:t>0</w:t>
      </w:r>
      <w:r w:rsidR="00D17539">
        <w:rPr>
          <w:rFonts w:ascii="Palatino Linotype" w:hAnsi="Palatino Linotype" w:cs="Arial"/>
          <w:b/>
          <w:bCs/>
          <w:lang w:eastAsia="es-MX"/>
        </w:rPr>
        <w:t>6010</w:t>
      </w:r>
      <w:r>
        <w:rPr>
          <w:rFonts w:ascii="Palatino Linotype" w:hAnsi="Palatino Linotype" w:cs="Arial"/>
          <w:b/>
          <w:bCs/>
          <w:lang w:eastAsia="es-MX"/>
        </w:rPr>
        <w:t>/INFOEM/IP/RR/2024</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D17539" w:rsidRPr="00D17539">
        <w:rPr>
          <w:rFonts w:ascii="Palatino Linotype" w:hAnsi="Palatino Linotype"/>
          <w:b/>
        </w:rPr>
        <w:t>Secretaría de Educación, Ciencia, Tecnología e Innovación</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4F7928" w:rsidRPr="002C3EC8" w:rsidRDefault="004F7928" w:rsidP="004F7928">
      <w:pPr>
        <w:tabs>
          <w:tab w:val="left" w:pos="1701"/>
        </w:tabs>
        <w:spacing w:before="240" w:line="360" w:lineRule="auto"/>
        <w:jc w:val="both"/>
        <w:rPr>
          <w:rFonts w:ascii="Palatino Linotype" w:hAnsi="Palatino Linotype" w:cs="Arial"/>
          <w:b/>
        </w:rPr>
      </w:pPr>
    </w:p>
    <w:p w:rsidR="004F7928" w:rsidRDefault="004F7928" w:rsidP="004F7928">
      <w:pPr>
        <w:pStyle w:val="infoemcitas"/>
        <w:jc w:val="center"/>
        <w:rPr>
          <w:b/>
          <w:bCs/>
          <w:i w:val="0"/>
          <w:iCs/>
          <w:sz w:val="28"/>
          <w:szCs w:val="28"/>
        </w:rPr>
      </w:pPr>
      <w:r w:rsidRPr="002C3EC8">
        <w:rPr>
          <w:b/>
          <w:bCs/>
          <w:i w:val="0"/>
          <w:iCs/>
          <w:sz w:val="28"/>
          <w:szCs w:val="28"/>
        </w:rPr>
        <w:t>A N T E C E D E N T E S   D E L   A S U N T O</w:t>
      </w:r>
    </w:p>
    <w:p w:rsidR="004F7928" w:rsidRPr="002C3EC8" w:rsidRDefault="004F7928" w:rsidP="004F7928">
      <w:pPr>
        <w:pStyle w:val="infoemcitas"/>
        <w:jc w:val="center"/>
        <w:rPr>
          <w:b/>
          <w:bCs/>
          <w:i w:val="0"/>
          <w:iCs/>
          <w:sz w:val="28"/>
          <w:szCs w:val="28"/>
        </w:rPr>
      </w:pPr>
    </w:p>
    <w:p w:rsidR="004F7928" w:rsidRPr="002C3EC8" w:rsidRDefault="004F7928" w:rsidP="004F7928">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4F7928" w:rsidRPr="00D705FF" w:rsidRDefault="004F7928" w:rsidP="004F7928">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D17539">
        <w:rPr>
          <w:rFonts w:ascii="Palatino Linotype" w:hAnsi="Palatino Linotype" w:cs="Arial"/>
        </w:rPr>
        <w:t>cinco de septiembre</w:t>
      </w:r>
      <w:r>
        <w:rPr>
          <w:rFonts w:ascii="Palatino Linotype" w:hAnsi="Palatino Linotype" w:cs="Arial"/>
        </w:rPr>
        <w:t xml:space="preserve"> de dos mil veinticuatro</w:t>
      </w:r>
      <w:r w:rsidRPr="00D705FF">
        <w:rPr>
          <w:rFonts w:ascii="Palatino Linotype" w:hAnsi="Palatino Linotype" w:cs="Arial"/>
        </w:rPr>
        <w:t>, el</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D17539">
        <w:rPr>
          <w:rFonts w:ascii="Palatino Linotype" w:hAnsi="Palatino Linotype" w:cs="Arial"/>
          <w:b/>
        </w:rPr>
        <w:t>00539/SECTI/IP/2024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4F7928" w:rsidRPr="001C7F6F" w:rsidRDefault="004F7928" w:rsidP="004F7928">
      <w:pPr>
        <w:pStyle w:val="INFOEM"/>
        <w:rPr>
          <w:lang w:val="es-ES_tradnl" w:eastAsia="es-ES"/>
        </w:rPr>
      </w:pPr>
      <w:r w:rsidRPr="00D705FF">
        <w:rPr>
          <w:lang w:val="es-ES_tradnl" w:eastAsia="es-ES"/>
        </w:rPr>
        <w:lastRenderedPageBreak/>
        <w:t>“</w:t>
      </w:r>
      <w:r w:rsidR="00D17539" w:rsidRPr="00D17539">
        <w:rPr>
          <w:lang w:val="es-ES" w:eastAsia="es-ES"/>
        </w:rPr>
        <w:t>movimiento de alta de ISSEMYM de Perama Colín Martinez nombramiento ,cargo y categoría que desempeña, horario laboral y nómina de pago del 30 de diciembre de 2021 a la fecha</w:t>
      </w:r>
      <w:r w:rsidRPr="00D705FF">
        <w:rPr>
          <w:lang w:val="es-ES_tradnl" w:eastAsia="es-ES"/>
        </w:rPr>
        <w:t>” (Sic)</w:t>
      </w:r>
    </w:p>
    <w:p w:rsidR="004F7928" w:rsidRPr="002C3EC8" w:rsidRDefault="004F7928" w:rsidP="004F7928">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4F7928" w:rsidRDefault="004F7928" w:rsidP="004F7928">
      <w:pPr>
        <w:spacing w:before="240" w:line="360" w:lineRule="auto"/>
        <w:jc w:val="both"/>
        <w:rPr>
          <w:rFonts w:ascii="Palatino Linotype" w:hAnsi="Palatino Linotype" w:cs="Arial"/>
          <w:b/>
          <w:sz w:val="28"/>
        </w:rPr>
      </w:pPr>
    </w:p>
    <w:p w:rsidR="004F7928" w:rsidRDefault="004F7928" w:rsidP="004F7928">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 xml:space="preserve">De la </w:t>
      </w:r>
      <w:r w:rsidR="00D17539">
        <w:rPr>
          <w:rFonts w:ascii="Palatino Linotype" w:hAnsi="Palatino Linotype" w:cs="Arial"/>
          <w:b/>
          <w:sz w:val="28"/>
          <w:szCs w:val="20"/>
        </w:rPr>
        <w:t xml:space="preserve">incompetencia parcial y </w:t>
      </w:r>
      <w:r>
        <w:rPr>
          <w:rFonts w:ascii="Palatino Linotype" w:hAnsi="Palatino Linotype" w:cs="Arial"/>
          <w:b/>
          <w:sz w:val="28"/>
          <w:szCs w:val="20"/>
        </w:rPr>
        <w:t>respuesta a la solicitud o entrega de información</w:t>
      </w:r>
      <w:r w:rsidRPr="00165D6E">
        <w:rPr>
          <w:rFonts w:ascii="Palatino Linotype" w:hAnsi="Palatino Linotype" w:cs="Arial"/>
          <w:b/>
          <w:sz w:val="28"/>
          <w:szCs w:val="20"/>
        </w:rPr>
        <w:t>.</w:t>
      </w:r>
    </w:p>
    <w:p w:rsidR="004F7928" w:rsidRPr="009062B2" w:rsidRDefault="004F7928" w:rsidP="004F7928">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6A6801">
        <w:rPr>
          <w:rFonts w:ascii="Palatino Linotype" w:hAnsi="Palatino Linotype" w:cs="Arial"/>
          <w:b/>
          <w:sz w:val="24"/>
        </w:rPr>
        <w:t>diez de septiembre</w:t>
      </w:r>
      <w:r>
        <w:rPr>
          <w:rFonts w:ascii="Palatino Linotype" w:hAnsi="Palatino Linotype" w:cs="Arial"/>
          <w:b/>
          <w:sz w:val="24"/>
        </w:rPr>
        <w:t xml:space="preserv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w:t>
      </w:r>
      <w:r w:rsidR="006A6801">
        <w:rPr>
          <w:rFonts w:ascii="Palatino Linotype" w:hAnsi="Palatino Linotype" w:cs="Arial"/>
          <w:sz w:val="24"/>
        </w:rPr>
        <w:t xml:space="preserve">notificó una incompetencia parcial, por otro lado, en fecha </w:t>
      </w:r>
      <w:r w:rsidR="006A6801">
        <w:rPr>
          <w:rFonts w:ascii="Palatino Linotype" w:hAnsi="Palatino Linotype" w:cs="Arial"/>
          <w:b/>
          <w:sz w:val="24"/>
        </w:rPr>
        <w:t xml:space="preserve">veinticinco de septiembre de dos mil veinticuatro </w:t>
      </w:r>
      <w:r w:rsidRPr="009062B2">
        <w:rPr>
          <w:rFonts w:ascii="Palatino Linotype" w:hAnsi="Palatino Linotype" w:cs="Arial"/>
          <w:sz w:val="24"/>
        </w:rPr>
        <w:t xml:space="preserve">dio respuesta a la solicitud de información en los siguientes términos: </w:t>
      </w:r>
    </w:p>
    <w:p w:rsidR="004F7928" w:rsidRPr="00E818A5" w:rsidRDefault="004F7928" w:rsidP="004F7928">
      <w:pPr>
        <w:spacing w:line="360" w:lineRule="auto"/>
        <w:jc w:val="both"/>
        <w:rPr>
          <w:rFonts w:ascii="Palatino Linotype" w:hAnsi="Palatino Linotype" w:cs="Arial"/>
        </w:rPr>
      </w:pPr>
    </w:p>
    <w:p w:rsidR="006A6801" w:rsidRDefault="006A6801" w:rsidP="004F7928">
      <w:pPr>
        <w:ind w:left="567" w:right="567"/>
        <w:jc w:val="both"/>
        <w:rPr>
          <w:rFonts w:ascii="Palatino Linotype" w:hAnsi="Palatino Linotype" w:cs="Arial"/>
          <w:i/>
        </w:rPr>
      </w:pPr>
      <w:r>
        <w:rPr>
          <w:rFonts w:ascii="Palatino Linotype" w:hAnsi="Palatino Linotype" w:cs="Arial"/>
          <w:i/>
        </w:rPr>
        <w:t>“</w:t>
      </w:r>
      <w:r w:rsidRPr="006A6801">
        <w:rPr>
          <w:rFonts w:ascii="Palatino Linotype" w:hAnsi="Palatino Linotype" w:cs="Arial"/>
          <w:i/>
        </w:rPr>
        <w:t>Con fundamento en el artículo 167 de la Ley de Transparencia y Acceso a la Información Pública del Estado de México y Municipios, le informo que este Sujeto Obligado es incompetente Parcialmente para proporcionar la información, por lo que se sugiere presentar una nueva solicitud de información con el Sujeto Obligado correspondiente.</w:t>
      </w:r>
      <w:r>
        <w:rPr>
          <w:rFonts w:ascii="Palatino Linotype" w:hAnsi="Palatino Linotype" w:cs="Arial"/>
          <w:i/>
        </w:rPr>
        <w:t>” (Sic)</w:t>
      </w:r>
    </w:p>
    <w:p w:rsidR="006A6801" w:rsidRDefault="006A6801" w:rsidP="004F7928">
      <w:pPr>
        <w:ind w:left="567" w:right="567"/>
        <w:jc w:val="both"/>
        <w:rPr>
          <w:rFonts w:ascii="Palatino Linotype" w:hAnsi="Palatino Linotype" w:cs="Arial"/>
          <w:i/>
        </w:rPr>
      </w:pPr>
    </w:p>
    <w:p w:rsidR="004F7928" w:rsidRDefault="004F7928" w:rsidP="006A6801">
      <w:pPr>
        <w:ind w:left="567" w:right="567"/>
        <w:jc w:val="both"/>
        <w:rPr>
          <w:rFonts w:ascii="Palatino Linotype" w:hAnsi="Palatino Linotype" w:cs="Arial"/>
          <w:i/>
        </w:rPr>
      </w:pPr>
      <w:r>
        <w:rPr>
          <w:rFonts w:ascii="Palatino Linotype" w:hAnsi="Palatino Linotype" w:cs="Arial"/>
          <w:i/>
        </w:rPr>
        <w:t>“</w:t>
      </w:r>
      <w:r w:rsidR="006A6801" w:rsidRPr="006A6801">
        <w:rPr>
          <w:rFonts w:ascii="Palatino Linotype" w:hAnsi="Palatino Linotype" w:cs="Arial"/>
          <w:i/>
        </w:rPr>
        <w:t>Con fundamento en los artículos 53 fracciones II, V y VI y 163 de la Ley de Transparencia y Acceso a la Información Pública del Estado de México y Municipios, en respuesta a su solicitud de información se adjunta el Acuerdo de respuesta de fecha 24 de septiembre de dos mil veinticuatro, asimismo, se anexan los archivos que contienen la información remitida por el Servidor Público Habilitado.</w:t>
      </w:r>
      <w:r w:rsidRPr="00A2631F">
        <w:rPr>
          <w:rFonts w:ascii="Palatino Linotype" w:hAnsi="Palatino Linotype" w:cs="Arial"/>
          <w:i/>
        </w:rPr>
        <w:t xml:space="preserve"> </w:t>
      </w:r>
      <w:r w:rsidRPr="00667998">
        <w:rPr>
          <w:rFonts w:ascii="Palatino Linotype" w:hAnsi="Palatino Linotype" w:cs="Arial"/>
          <w:i/>
        </w:rPr>
        <w:t>“(Sic).</w:t>
      </w:r>
    </w:p>
    <w:p w:rsidR="004F7928" w:rsidRDefault="004F7928" w:rsidP="004F7928">
      <w:pPr>
        <w:spacing w:line="360" w:lineRule="auto"/>
        <w:ind w:right="567"/>
        <w:jc w:val="both"/>
        <w:rPr>
          <w:rFonts w:ascii="Palatino Linotype" w:hAnsi="Palatino Linotype" w:cs="Arial"/>
        </w:rPr>
      </w:pPr>
    </w:p>
    <w:p w:rsidR="004F7928" w:rsidRPr="003750D2" w:rsidRDefault="004F7928" w:rsidP="006A6801">
      <w:pPr>
        <w:spacing w:line="360" w:lineRule="auto"/>
        <w:jc w:val="both"/>
        <w:rPr>
          <w:rFonts w:ascii="Palatino Linotype" w:hAnsi="Palatino Linotype" w:cs="Arial"/>
        </w:rPr>
      </w:pPr>
      <w:r>
        <w:rPr>
          <w:rFonts w:ascii="Palatino Linotype" w:hAnsi="Palatino Linotype" w:cs="Arial"/>
        </w:rPr>
        <w:lastRenderedPageBreak/>
        <w:t xml:space="preserve">Adicionalmente, el Sujeto Obligado adjuntó </w:t>
      </w:r>
      <w:r w:rsidR="006A6801">
        <w:rPr>
          <w:rFonts w:ascii="Palatino Linotype" w:hAnsi="Palatino Linotype" w:cs="Arial"/>
        </w:rPr>
        <w:t>los</w:t>
      </w:r>
      <w:r>
        <w:rPr>
          <w:rFonts w:ascii="Palatino Linotype" w:hAnsi="Palatino Linotype" w:cs="Arial"/>
        </w:rPr>
        <w:t xml:space="preserve"> </w:t>
      </w:r>
      <w:r w:rsidR="006A6801">
        <w:rPr>
          <w:rFonts w:ascii="Palatino Linotype" w:hAnsi="Palatino Linotype" w:cs="Arial"/>
        </w:rPr>
        <w:t>archivos electrónicos</w:t>
      </w:r>
      <w:r>
        <w:rPr>
          <w:rFonts w:ascii="Palatino Linotype" w:hAnsi="Palatino Linotype" w:cs="Arial"/>
        </w:rPr>
        <w:t xml:space="preserve"> denominado</w:t>
      </w:r>
      <w:r w:rsidR="006A6801">
        <w:rPr>
          <w:rFonts w:ascii="Palatino Linotype" w:hAnsi="Palatino Linotype" w:cs="Arial"/>
        </w:rPr>
        <w:t>s</w:t>
      </w:r>
      <w:r>
        <w:rPr>
          <w:rFonts w:ascii="Palatino Linotype" w:hAnsi="Palatino Linotype" w:cs="Arial"/>
        </w:rPr>
        <w:t xml:space="preserve"> “</w:t>
      </w:r>
      <w:r w:rsidR="006A6801" w:rsidRPr="006A6801">
        <w:rPr>
          <w:rFonts w:ascii="Palatino Linotype" w:hAnsi="Palatino Linotype" w:cs="Arial"/>
          <w:b/>
          <w:i/>
        </w:rPr>
        <w:t>Incompetencia parcial_00539_SECTI_IP_2024.pdf</w:t>
      </w:r>
      <w:r>
        <w:rPr>
          <w:rFonts w:ascii="Palatino Linotype" w:hAnsi="Palatino Linotype" w:cs="Arial"/>
          <w:b/>
          <w:i/>
        </w:rPr>
        <w:t>”</w:t>
      </w:r>
      <w:r w:rsidR="006A6801">
        <w:rPr>
          <w:rFonts w:ascii="Palatino Linotype" w:hAnsi="Palatino Linotype" w:cs="Arial"/>
          <w:b/>
          <w:i/>
        </w:rPr>
        <w:t>, “</w:t>
      </w:r>
      <w:r w:rsidR="006A6801" w:rsidRPr="006A6801">
        <w:rPr>
          <w:rFonts w:ascii="Palatino Linotype" w:hAnsi="Palatino Linotype" w:cs="Arial"/>
          <w:b/>
          <w:i/>
        </w:rPr>
        <w:t>Respuesta SPH 00539_SECTI_IP_2024 Delegación Administrativa de Educaicón Básica.pdf</w:t>
      </w:r>
      <w:r w:rsidR="006A6801">
        <w:rPr>
          <w:rFonts w:ascii="Palatino Linotype" w:hAnsi="Palatino Linotype" w:cs="Arial"/>
          <w:b/>
          <w:i/>
        </w:rPr>
        <w:t>”, “</w:t>
      </w:r>
      <w:r w:rsidR="006A6801" w:rsidRPr="006A6801">
        <w:rPr>
          <w:rFonts w:ascii="Palatino Linotype" w:hAnsi="Palatino Linotype" w:cs="Arial"/>
          <w:b/>
          <w:i/>
        </w:rPr>
        <w:t>Respuesta_UT_00539_SECTI_iP_2024.pdf</w:t>
      </w:r>
      <w:r w:rsidR="006A6801">
        <w:rPr>
          <w:rFonts w:ascii="Palatino Linotype" w:hAnsi="Palatino Linotype" w:cs="Arial"/>
          <w:b/>
          <w:i/>
        </w:rPr>
        <w:t>” y “</w:t>
      </w:r>
      <w:r w:rsidR="006A6801" w:rsidRPr="006A6801">
        <w:rPr>
          <w:rFonts w:ascii="Palatino Linotype" w:hAnsi="Palatino Linotype" w:cs="Arial"/>
          <w:b/>
          <w:i/>
        </w:rPr>
        <w:t>Respuest SPH 00539_SECTI_IP_2024 Dirección Gral de Educación Primaria.pdf</w:t>
      </w:r>
      <w:r w:rsidR="006A6801">
        <w:rPr>
          <w:rFonts w:ascii="Palatino Linotype" w:hAnsi="Palatino Linotype" w:cs="Arial"/>
          <w:b/>
          <w:i/>
        </w:rPr>
        <w:t>”</w:t>
      </w:r>
      <w:r>
        <w:rPr>
          <w:rFonts w:ascii="Palatino Linotype" w:hAnsi="Palatino Linotype" w:cs="Arial"/>
          <w:b/>
          <w:i/>
        </w:rPr>
        <w:t xml:space="preserve">, </w:t>
      </w:r>
      <w:r>
        <w:rPr>
          <w:rFonts w:ascii="Palatino Linotype" w:hAnsi="Palatino Linotype" w:cs="Arial"/>
        </w:rPr>
        <w:t>mismo</w:t>
      </w:r>
      <w:r w:rsidR="006A6801">
        <w:rPr>
          <w:rFonts w:ascii="Palatino Linotype" w:hAnsi="Palatino Linotype" w:cs="Arial"/>
        </w:rPr>
        <w:t>s</w:t>
      </w:r>
      <w:r>
        <w:rPr>
          <w:rFonts w:ascii="Palatino Linotype" w:hAnsi="Palatino Linotype" w:cs="Arial"/>
        </w:rPr>
        <w:t xml:space="preserve"> que no se reproduce</w:t>
      </w:r>
      <w:r w:rsidR="006A6801">
        <w:rPr>
          <w:rFonts w:ascii="Palatino Linotype" w:hAnsi="Palatino Linotype" w:cs="Arial"/>
        </w:rPr>
        <w:t>n</w:t>
      </w:r>
      <w:r>
        <w:rPr>
          <w:rFonts w:ascii="Palatino Linotype" w:hAnsi="Palatino Linotype" w:cs="Arial"/>
        </w:rPr>
        <w:t xml:space="preserve"> por ser del conocimiento de las partes, sin embargo, será materia de estudio en el considerando respectivo. </w:t>
      </w:r>
    </w:p>
    <w:p w:rsidR="004F7928" w:rsidRPr="002C3EC8" w:rsidRDefault="004F7928" w:rsidP="004F7928">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4F7928" w:rsidRDefault="004F7928" w:rsidP="004F7928">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A21DEE">
        <w:rPr>
          <w:rFonts w:ascii="Palatino Linotype" w:hAnsi="Palatino Linotype" w:cs="Arial"/>
          <w:b/>
        </w:rPr>
        <w:t>tres de octubre</w:t>
      </w:r>
      <w:r>
        <w:rPr>
          <w:rFonts w:ascii="Palatino Linotype" w:hAnsi="Palatino Linotype" w:cs="Arial"/>
          <w:b/>
        </w:rPr>
        <w:t xml:space="preserve"> de dos mil 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EF5F18">
        <w:rPr>
          <w:rFonts w:ascii="Palatino Linotype" w:hAnsi="Palatino Linotype" w:cs="Arial"/>
          <w:b/>
        </w:rPr>
        <w:t>0</w:t>
      </w:r>
      <w:r w:rsidR="00D17539">
        <w:rPr>
          <w:rFonts w:ascii="Palatino Linotype" w:hAnsi="Palatino Linotype" w:cs="Arial"/>
          <w:b/>
        </w:rPr>
        <w:t>6010</w:t>
      </w:r>
      <w:r>
        <w:rPr>
          <w:rFonts w:ascii="Palatino Linotype" w:hAnsi="Palatino Linotype" w:cs="Arial"/>
          <w:b/>
        </w:rPr>
        <w:t>/INFOEM/IP/RR/2024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4F7928" w:rsidRDefault="004F7928" w:rsidP="004F7928">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4F7928" w:rsidRPr="007E4713" w:rsidRDefault="004F7928" w:rsidP="004F7928">
      <w:pPr>
        <w:pStyle w:val="INFOEM"/>
      </w:pPr>
      <w:r w:rsidRPr="007E4713">
        <w:t>“</w:t>
      </w:r>
      <w:r w:rsidR="00A21DEE" w:rsidRPr="00A21DEE">
        <w:t>la respuesta del sujeto obligado</w:t>
      </w:r>
      <w:r>
        <w:t>” (sic)</w:t>
      </w:r>
    </w:p>
    <w:p w:rsidR="004F7928" w:rsidRPr="0033050B" w:rsidRDefault="004F7928" w:rsidP="004F7928">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4F7928" w:rsidRPr="009068C9" w:rsidRDefault="004F7928" w:rsidP="004F7928">
      <w:pPr>
        <w:pStyle w:val="INFOEM"/>
      </w:pPr>
      <w:r>
        <w:t>“</w:t>
      </w:r>
      <w:r w:rsidR="00A21DEE" w:rsidRPr="00A21DEE">
        <w:t>no proporcionan lo solicitado</w:t>
      </w:r>
      <w:r>
        <w:t>” (sic)</w:t>
      </w:r>
    </w:p>
    <w:p w:rsidR="004F7928" w:rsidRDefault="004F7928" w:rsidP="004F7928">
      <w:pPr>
        <w:spacing w:line="360" w:lineRule="auto"/>
        <w:jc w:val="both"/>
        <w:rPr>
          <w:rFonts w:ascii="Palatino Linotype" w:hAnsi="Palatino Linotype" w:cs="Arial"/>
        </w:rPr>
      </w:pPr>
    </w:p>
    <w:p w:rsidR="004F7928" w:rsidRPr="002C3EC8" w:rsidRDefault="004F7928" w:rsidP="004F7928">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4F7928" w:rsidRDefault="004F7928" w:rsidP="004F7928">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w:t>
      </w:r>
      <w:r w:rsidRPr="002C3EC8">
        <w:rPr>
          <w:rFonts w:ascii="Palatino Linotype" w:hAnsi="Palatino Linotype"/>
        </w:rPr>
        <w:lastRenderedPageBreak/>
        <w:t>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A21DEE">
        <w:rPr>
          <w:rFonts w:ascii="Palatino Linotype" w:hAnsi="Palatino Linotype"/>
          <w:b/>
        </w:rPr>
        <w:t>ocho de octubre</w:t>
      </w:r>
      <w:r>
        <w:rPr>
          <w:rFonts w:ascii="Palatino Linotype" w:hAnsi="Palatino Linotype"/>
          <w:b/>
        </w:rPr>
        <w:t xml:space="preserv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rsidR="004F7928" w:rsidRPr="004C20B7" w:rsidRDefault="004F7928" w:rsidP="004F7928">
      <w:pPr>
        <w:spacing w:before="240" w:line="360" w:lineRule="auto"/>
        <w:jc w:val="both"/>
        <w:rPr>
          <w:rFonts w:ascii="Palatino Linotype" w:hAnsi="Palatino Linotype" w:cs="Arial"/>
          <w:sz w:val="28"/>
        </w:rPr>
      </w:pPr>
    </w:p>
    <w:p w:rsidR="004F7928" w:rsidRPr="00E52C83" w:rsidRDefault="004F7928" w:rsidP="004F7928">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4F7928" w:rsidRPr="00D32665" w:rsidRDefault="004F7928" w:rsidP="004F7928">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A21DEE">
        <w:rPr>
          <w:rFonts w:ascii="Palatino Linotype" w:hAnsi="Palatino Linotype" w:cs="Arial"/>
        </w:rPr>
        <w:t>diecisiete de octubre</w:t>
      </w:r>
      <w:r>
        <w:rPr>
          <w:rFonts w:ascii="Palatino Linotype" w:hAnsi="Palatino Linotype" w:cs="Arial"/>
        </w:rPr>
        <w:t xml:space="preserve"> de dos mil veinticuatro</w:t>
      </w:r>
      <w:r w:rsidRPr="00D32665">
        <w:rPr>
          <w:rFonts w:ascii="Palatino Linotype" w:hAnsi="Palatino Linotype" w:cs="Arial"/>
        </w:rPr>
        <w:t>, por medio del archivo electrónico “</w:t>
      </w:r>
      <w:r w:rsidR="00A21DEE" w:rsidRPr="00A21DEE">
        <w:rPr>
          <w:rFonts w:ascii="Palatino Linotype" w:hAnsi="Palatino Linotype" w:cs="Arial"/>
          <w:b/>
          <w:i/>
        </w:rPr>
        <w:t>INFORME JUSTIFICADO 539.pdf</w:t>
      </w:r>
      <w:r w:rsidRPr="00D32665">
        <w:rPr>
          <w:rFonts w:ascii="Palatino Linotype" w:hAnsi="Palatino Linotype" w:cs="Arial"/>
          <w:b/>
          <w:i/>
        </w:rPr>
        <w:t>”</w:t>
      </w:r>
      <w:r w:rsidRPr="00D32665">
        <w:rPr>
          <w:rFonts w:ascii="Palatino Linotype" w:hAnsi="Palatino Linotype" w:cs="Arial"/>
        </w:rPr>
        <w:t xml:space="preserve">, el cual fue puesto a la vista en fecha </w:t>
      </w:r>
      <w:r w:rsidR="00A21DEE">
        <w:rPr>
          <w:rFonts w:ascii="Palatino Linotype" w:hAnsi="Palatino Linotype" w:cs="Arial"/>
        </w:rPr>
        <w:t>dieciocho de octubre</w:t>
      </w:r>
      <w:r w:rsidRPr="00D32665">
        <w:rPr>
          <w:rFonts w:ascii="Palatino Linotype" w:hAnsi="Palatino Linotype" w:cs="Arial"/>
        </w:rPr>
        <w:t xml:space="preserve"> del mismo año</w:t>
      </w:r>
      <w:r w:rsidRPr="00D32665">
        <w:rPr>
          <w:rFonts w:ascii="Palatino Linotype" w:hAnsi="Palatino Linotype" w:cs="Arial"/>
          <w:b/>
          <w:i/>
        </w:rPr>
        <w:t>.</w:t>
      </w:r>
    </w:p>
    <w:p w:rsidR="004F7928" w:rsidRPr="00D32665" w:rsidRDefault="004F7928" w:rsidP="004F7928">
      <w:pPr>
        <w:spacing w:line="360" w:lineRule="auto"/>
        <w:jc w:val="both"/>
        <w:rPr>
          <w:rFonts w:ascii="Palatino Linotype" w:hAnsi="Palatino Linotype"/>
        </w:rPr>
      </w:pPr>
    </w:p>
    <w:p w:rsidR="004F7928" w:rsidRPr="00D32665" w:rsidRDefault="004F7928" w:rsidP="004F7928">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4F7928" w:rsidRDefault="004F7928" w:rsidP="004F7928">
      <w:pPr>
        <w:spacing w:line="360" w:lineRule="auto"/>
        <w:jc w:val="both"/>
        <w:rPr>
          <w:rFonts w:ascii="Palatino Linotype" w:hAnsi="Palatino Linotype" w:cs="Arial"/>
          <w:b/>
          <w:sz w:val="28"/>
          <w:szCs w:val="28"/>
        </w:rPr>
      </w:pPr>
    </w:p>
    <w:p w:rsidR="004F7928" w:rsidRPr="002C3EC8" w:rsidRDefault="004F7928" w:rsidP="004F7928">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4F7928" w:rsidRDefault="004F7928" w:rsidP="004F7928">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A21DEE">
        <w:rPr>
          <w:rFonts w:ascii="Palatino Linotype" w:hAnsi="Palatino Linotype" w:cs="Arial"/>
          <w:b/>
        </w:rPr>
        <w:t>veinticuatro de octubre</w:t>
      </w:r>
      <w:r>
        <w:rPr>
          <w:rFonts w:ascii="Palatino Linotype" w:hAnsi="Palatino Linotype" w:cs="Arial"/>
          <w:b/>
        </w:rPr>
        <w:t xml:space="preserve"> de dos mil veinticuatro</w:t>
      </w:r>
      <w:r w:rsidRPr="002C3EC8">
        <w:rPr>
          <w:rFonts w:ascii="Palatino Linotype" w:hAnsi="Palatino Linotype" w:cs="Arial"/>
        </w:rPr>
        <w:t xml:space="preserve">, en términos del artículo 185 fracción VI de la Ley de Transparencia y </w:t>
      </w:r>
      <w:r w:rsidRPr="002C3EC8">
        <w:rPr>
          <w:rFonts w:ascii="Palatino Linotype" w:hAnsi="Palatino Linotype" w:cs="Arial"/>
        </w:rPr>
        <w:lastRenderedPageBreak/>
        <w:t>Acceso a la Información Pública del Estado de México y Municipios, ordenándose turnar el expediente a la resolución que en derecho proceda.</w:t>
      </w:r>
    </w:p>
    <w:p w:rsidR="004F7928" w:rsidRPr="00E3454E" w:rsidRDefault="004F7928" w:rsidP="004F7928">
      <w:pPr>
        <w:spacing w:line="360" w:lineRule="auto"/>
        <w:jc w:val="both"/>
        <w:rPr>
          <w:rFonts w:ascii="Palatino Linotype" w:eastAsia="Calibri" w:hAnsi="Palatino Linotype" w:cs="Arial"/>
          <w:lang w:val="es-MX" w:eastAsia="en-US"/>
        </w:rPr>
      </w:pPr>
    </w:p>
    <w:p w:rsidR="004F7928" w:rsidRPr="0024200F" w:rsidRDefault="004F7928" w:rsidP="004F792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4F7928" w:rsidRPr="00825F67" w:rsidRDefault="004F7928" w:rsidP="004F7928">
      <w:pPr>
        <w:spacing w:line="360" w:lineRule="auto"/>
        <w:ind w:right="49"/>
        <w:jc w:val="both"/>
        <w:rPr>
          <w:rFonts w:ascii="Palatino Linotype" w:hAnsi="Palatino Linotype"/>
          <w:szCs w:val="28"/>
        </w:rPr>
      </w:pPr>
    </w:p>
    <w:p w:rsidR="004F7928" w:rsidRPr="002C3EC8" w:rsidRDefault="004F7928" w:rsidP="004F7928">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A21DEE" w:rsidRPr="007C6AB6" w:rsidRDefault="00A21DEE" w:rsidP="00A21DEE">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4F7928" w:rsidRPr="002C3EC8" w:rsidRDefault="004F7928" w:rsidP="004F7928">
      <w:pPr>
        <w:spacing w:before="240" w:line="360" w:lineRule="auto"/>
        <w:jc w:val="both"/>
        <w:rPr>
          <w:rFonts w:ascii="Palatino Linotype" w:eastAsia="Calibri" w:hAnsi="Palatino Linotype"/>
          <w:b/>
          <w:color w:val="000000" w:themeColor="text1"/>
        </w:rPr>
      </w:pPr>
    </w:p>
    <w:p w:rsidR="004F7928" w:rsidRPr="002C3EC8" w:rsidRDefault="004F7928" w:rsidP="004F7928">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4F7928" w:rsidRDefault="004F7928" w:rsidP="004F7928">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w:t>
      </w:r>
      <w:r w:rsidRPr="002C3EC8">
        <w:rPr>
          <w:rFonts w:ascii="Palatino Linotype" w:hAnsi="Palatino Linotype" w:cs="Arial"/>
        </w:rPr>
        <w:lastRenderedPageBreak/>
        <w:t>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4F7928" w:rsidRPr="00821CCD" w:rsidRDefault="004F7928" w:rsidP="004F7928">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4F7928" w:rsidRPr="00821CCD" w:rsidRDefault="004F7928" w:rsidP="004F7928">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4F7928" w:rsidRPr="00821CCD" w:rsidRDefault="004F7928" w:rsidP="004F7928">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4F7928" w:rsidRPr="00821CCD" w:rsidRDefault="004F7928" w:rsidP="004F792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4F7928" w:rsidRPr="00821CCD" w:rsidRDefault="004F7928" w:rsidP="004F7928">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4F7928" w:rsidRPr="00821CCD" w:rsidRDefault="004F7928" w:rsidP="004F792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4F7928" w:rsidRPr="00821CCD" w:rsidRDefault="004F7928" w:rsidP="004F792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4F7928" w:rsidRPr="00821CCD" w:rsidRDefault="004F7928" w:rsidP="004F7928">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4F7928" w:rsidRPr="00821CCD" w:rsidRDefault="004F7928" w:rsidP="004F792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4F7928" w:rsidRPr="00821CCD" w:rsidRDefault="004F7928" w:rsidP="004F792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4F7928" w:rsidRPr="00821CCD" w:rsidRDefault="004F7928" w:rsidP="004F7928">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4F7928" w:rsidRPr="00821CCD" w:rsidRDefault="004F7928" w:rsidP="004F7928">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4F7928" w:rsidRPr="00821CCD" w:rsidRDefault="004F7928" w:rsidP="004F7928">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lastRenderedPageBreak/>
        <w:t>En caso de que el recurso se interponga de manera electrónica no será indispensable que contengan los requisitos establecidos en las fracciones II, IV, VII y VIII.”</w:t>
      </w:r>
    </w:p>
    <w:p w:rsidR="004F7928" w:rsidRPr="00821CCD" w:rsidRDefault="004F7928" w:rsidP="004F7928">
      <w:pPr>
        <w:autoSpaceDE w:val="0"/>
        <w:autoSpaceDN w:val="0"/>
        <w:adjustRightInd w:val="0"/>
        <w:spacing w:before="240" w:line="360" w:lineRule="auto"/>
        <w:jc w:val="both"/>
        <w:rPr>
          <w:rFonts w:ascii="Palatino Linotype" w:hAnsi="Palatino Linotype"/>
        </w:rPr>
      </w:pPr>
    </w:p>
    <w:p w:rsidR="004F7928" w:rsidRPr="00821CCD" w:rsidRDefault="004F7928" w:rsidP="004F792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4F7928" w:rsidRPr="00821CCD" w:rsidTr="006A6801">
        <w:trPr>
          <w:trHeight w:val="1360"/>
        </w:trPr>
        <w:tc>
          <w:tcPr>
            <w:tcW w:w="7982" w:type="dxa"/>
          </w:tcPr>
          <w:p w:rsidR="004F7928" w:rsidRPr="00821CCD" w:rsidRDefault="004F7928" w:rsidP="006A6801">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4F7928" w:rsidRPr="00821CCD" w:rsidRDefault="004F7928" w:rsidP="004F792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4F7928" w:rsidRPr="00821CCD" w:rsidTr="006A6801">
        <w:trPr>
          <w:jc w:val="center"/>
        </w:trPr>
        <w:tc>
          <w:tcPr>
            <w:tcW w:w="8075" w:type="dxa"/>
          </w:tcPr>
          <w:p w:rsidR="004F7928" w:rsidRPr="00821CCD" w:rsidRDefault="004F7928" w:rsidP="006A6801">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4F7928" w:rsidRPr="00821CCD" w:rsidRDefault="004F7928" w:rsidP="006A6801">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w:t>
            </w:r>
            <w:r w:rsidRPr="00821CCD">
              <w:rPr>
                <w:rFonts w:ascii="Palatino Linotype" w:hAnsi="Palatino Linotype"/>
                <w:i/>
              </w:rPr>
              <w:lastRenderedPageBreak/>
              <w:t xml:space="preserve">derecho de réplica será ejercido en los términos dispuestos por la ley. El derecho a la información será garantizado por el Estado. </w:t>
            </w:r>
          </w:p>
          <w:p w:rsidR="004F7928" w:rsidRPr="00821CCD" w:rsidRDefault="004F7928" w:rsidP="006A6801">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4F7928" w:rsidRPr="00821CCD" w:rsidRDefault="004F7928" w:rsidP="006A6801">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4F7928" w:rsidRPr="00821CCD" w:rsidRDefault="004F7928" w:rsidP="006A6801">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4F7928" w:rsidRPr="00821CCD" w:rsidRDefault="004F7928" w:rsidP="006A6801">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4F7928" w:rsidRPr="00821CCD" w:rsidRDefault="004F7928" w:rsidP="006A6801">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4F7928" w:rsidRPr="00821CCD" w:rsidRDefault="004F7928" w:rsidP="006A6801">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lang w:val="es-ES_tradnl" w:eastAsia="es-MX"/>
              </w:rPr>
              <w:lastRenderedPageBreak/>
              <w:t>en los casos y bajo las condiciones que la Constitución Política de los Estados Unidos Mexicanos establece.</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4F7928" w:rsidRPr="00821CCD" w:rsidRDefault="004F7928" w:rsidP="006A6801">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4F7928" w:rsidRPr="00821CCD" w:rsidRDefault="004F7928" w:rsidP="006A6801">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4F7928" w:rsidRPr="00821CCD" w:rsidRDefault="004F7928" w:rsidP="006A6801">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4F7928" w:rsidRPr="00821CCD" w:rsidRDefault="004F7928" w:rsidP="004F792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4F7928" w:rsidRPr="00821CCD" w:rsidRDefault="004F7928" w:rsidP="004F792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rsidR="004F7928" w:rsidRPr="00FF46DA" w:rsidRDefault="004F7928" w:rsidP="004F7928">
      <w:pPr>
        <w:pStyle w:val="Prrafodelista"/>
        <w:autoSpaceDE w:val="0"/>
        <w:autoSpaceDN w:val="0"/>
        <w:adjustRightInd w:val="0"/>
        <w:spacing w:before="240" w:after="160" w:line="360" w:lineRule="auto"/>
        <w:ind w:left="0"/>
        <w:jc w:val="both"/>
        <w:rPr>
          <w:rFonts w:ascii="Palatino Linotype" w:hAnsi="Palatino Linotype" w:cs="Arial"/>
        </w:rPr>
      </w:pPr>
    </w:p>
    <w:p w:rsidR="004F7928" w:rsidRPr="002C3EC8" w:rsidRDefault="004F7928" w:rsidP="004F7928">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4F7928" w:rsidRPr="002C3EC8" w:rsidRDefault="004F7928" w:rsidP="004F7928">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4F7928" w:rsidRPr="002C3EC8" w:rsidRDefault="004F7928" w:rsidP="004F7928">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4F7928" w:rsidRDefault="004F7928" w:rsidP="004F7928">
      <w:pPr>
        <w:tabs>
          <w:tab w:val="left" w:pos="709"/>
        </w:tabs>
        <w:spacing w:before="240" w:line="360" w:lineRule="auto"/>
        <w:ind w:right="51"/>
        <w:jc w:val="both"/>
        <w:rPr>
          <w:rFonts w:ascii="Palatino Linotype" w:hAnsi="Palatino Linotype"/>
          <w:b/>
          <w:sz w:val="28"/>
          <w:szCs w:val="28"/>
        </w:rPr>
      </w:pPr>
    </w:p>
    <w:p w:rsidR="004F7928" w:rsidRPr="002C3EC8" w:rsidRDefault="004F7928" w:rsidP="004F7928">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4F7928" w:rsidRDefault="004F7928" w:rsidP="004F79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4F7928" w:rsidRDefault="004F7928" w:rsidP="004F7928">
      <w:pPr>
        <w:autoSpaceDE w:val="0"/>
        <w:autoSpaceDN w:val="0"/>
        <w:adjustRightInd w:val="0"/>
        <w:ind w:left="567" w:right="567"/>
        <w:jc w:val="right"/>
        <w:rPr>
          <w:rFonts w:ascii="Palatino Linotype" w:eastAsia="Calibri" w:hAnsi="Palatino Linotype" w:cs="Arial"/>
        </w:rPr>
      </w:pPr>
    </w:p>
    <w:p w:rsidR="004F7928" w:rsidRPr="00A779C7" w:rsidRDefault="004F7928" w:rsidP="004F7928">
      <w:pPr>
        <w:spacing w:line="360" w:lineRule="auto"/>
        <w:jc w:val="both"/>
        <w:rPr>
          <w:rFonts w:ascii="Palatino Linotype" w:hAnsi="Palatino Linotype" w:cs="Arial"/>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A93F4E" w:rsidRPr="00A93F4E" w:rsidRDefault="00A93F4E" w:rsidP="00A93F4E">
      <w:pPr>
        <w:pStyle w:val="Prrafodelista"/>
        <w:numPr>
          <w:ilvl w:val="0"/>
          <w:numId w:val="12"/>
        </w:numPr>
        <w:tabs>
          <w:tab w:val="left" w:pos="1828"/>
        </w:tabs>
        <w:spacing w:line="360" w:lineRule="auto"/>
        <w:jc w:val="both"/>
        <w:rPr>
          <w:rFonts w:ascii="Palatino Linotype" w:hAnsi="Palatino Linotype" w:cs="Tahoma"/>
          <w:bCs/>
        </w:rPr>
      </w:pPr>
      <w:r w:rsidRPr="00A93F4E">
        <w:rPr>
          <w:rFonts w:ascii="Palatino Linotype" w:hAnsi="Palatino Linotype" w:cs="Tahoma"/>
          <w:bCs/>
        </w:rPr>
        <w:t>De Perama Colín Martínez.</w:t>
      </w:r>
    </w:p>
    <w:p w:rsidR="00A93F4E" w:rsidRDefault="00A93F4E" w:rsidP="00A93F4E">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Movimiento de alta</w:t>
      </w:r>
    </w:p>
    <w:p w:rsidR="00A93F4E" w:rsidRDefault="00A93F4E" w:rsidP="00A93F4E">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Nombramiento</w:t>
      </w:r>
    </w:p>
    <w:p w:rsidR="00A93F4E" w:rsidRDefault="00A93F4E" w:rsidP="00A93F4E">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C</w:t>
      </w:r>
      <w:r w:rsidRPr="00A93F4E">
        <w:rPr>
          <w:rFonts w:ascii="Palatino Linotype" w:hAnsi="Palatino Linotype" w:cs="Tahoma"/>
          <w:bCs/>
        </w:rPr>
        <w:t>argo y categoría que</w:t>
      </w:r>
      <w:r w:rsidR="006430BA">
        <w:rPr>
          <w:rFonts w:ascii="Palatino Linotype" w:hAnsi="Palatino Linotype" w:cs="Tahoma"/>
          <w:bCs/>
        </w:rPr>
        <w:t xml:space="preserve"> desempeña</w:t>
      </w:r>
      <w:r w:rsidRPr="00A93F4E">
        <w:rPr>
          <w:rFonts w:ascii="Palatino Linotype" w:hAnsi="Palatino Linotype" w:cs="Tahoma"/>
          <w:bCs/>
        </w:rPr>
        <w:t xml:space="preserve"> </w:t>
      </w:r>
    </w:p>
    <w:p w:rsidR="00A93F4E" w:rsidRDefault="00A93F4E" w:rsidP="00A93F4E">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lastRenderedPageBreak/>
        <w:t xml:space="preserve">Horario laboral </w:t>
      </w:r>
    </w:p>
    <w:p w:rsidR="004F7928" w:rsidRPr="00A52225" w:rsidRDefault="00A93F4E" w:rsidP="00A93F4E">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N</w:t>
      </w:r>
      <w:r w:rsidRPr="00A93F4E">
        <w:rPr>
          <w:rFonts w:ascii="Palatino Linotype" w:hAnsi="Palatino Linotype" w:cs="Tahoma"/>
          <w:bCs/>
        </w:rPr>
        <w:t>ómina de pago del 30 de diciembre de 2021 a la fecha</w:t>
      </w:r>
      <w:r>
        <w:rPr>
          <w:rFonts w:ascii="Palatino Linotype" w:hAnsi="Palatino Linotype" w:cs="Tahoma"/>
          <w:bCs/>
        </w:rPr>
        <w:t>.</w:t>
      </w:r>
      <w:r w:rsidR="004F7928">
        <w:rPr>
          <w:rFonts w:ascii="Palatino Linotype" w:hAnsi="Palatino Linotype" w:cs="Tahoma"/>
          <w:bCs/>
        </w:rPr>
        <w:t xml:space="preserve"> </w:t>
      </w:r>
    </w:p>
    <w:p w:rsidR="004F7928" w:rsidRPr="001106D5" w:rsidRDefault="004F7928" w:rsidP="004F7928">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D17539">
        <w:rPr>
          <w:rFonts w:ascii="Palatino Linotype" w:hAnsi="Palatino Linotype" w:cs="Arial"/>
          <w:b/>
        </w:rPr>
        <w:t>00539/SECTI/IP/2024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4F7928" w:rsidRPr="00A93F4E" w:rsidRDefault="00A93F4E" w:rsidP="00A93F4E">
      <w:pPr>
        <w:pStyle w:val="Sinespaciado"/>
        <w:numPr>
          <w:ilvl w:val="0"/>
          <w:numId w:val="1"/>
        </w:numPr>
        <w:spacing w:before="240" w:line="360" w:lineRule="auto"/>
        <w:jc w:val="both"/>
        <w:rPr>
          <w:rFonts w:ascii="Palatino Linotype" w:hAnsi="Palatino Linotype" w:cs="Arial"/>
          <w:b/>
          <w:i/>
          <w:sz w:val="24"/>
        </w:rPr>
      </w:pPr>
      <w:r w:rsidRPr="00A93F4E">
        <w:rPr>
          <w:rFonts w:ascii="Palatino Linotype" w:hAnsi="Palatino Linotype" w:cs="Arial"/>
          <w:b/>
          <w:i/>
          <w:sz w:val="24"/>
        </w:rPr>
        <w:t>Incompetencia parcial_00539_SECTI_IP_2024.pdf</w:t>
      </w:r>
      <w:r w:rsidR="004F7928">
        <w:rPr>
          <w:rFonts w:ascii="Palatino Linotype" w:hAnsi="Palatino Linotype" w:cs="Arial"/>
          <w:b/>
          <w:i/>
          <w:sz w:val="24"/>
        </w:rPr>
        <w:t xml:space="preserve">: </w:t>
      </w:r>
      <w:r w:rsidR="004F7928">
        <w:rPr>
          <w:rFonts w:ascii="Palatino Linotype" w:hAnsi="Palatino Linotype" w:cs="Arial"/>
          <w:sz w:val="24"/>
        </w:rPr>
        <w:t xml:space="preserve">constante de </w:t>
      </w:r>
      <w:r>
        <w:rPr>
          <w:rFonts w:ascii="Palatino Linotype" w:hAnsi="Palatino Linotype" w:cs="Arial"/>
          <w:sz w:val="24"/>
        </w:rPr>
        <w:t>tres fojas</w:t>
      </w:r>
      <w:r w:rsidR="004F7928">
        <w:rPr>
          <w:rFonts w:ascii="Palatino Linotype" w:hAnsi="Palatino Linotype" w:cs="Arial"/>
          <w:sz w:val="24"/>
        </w:rPr>
        <w:t xml:space="preserve">, en formato pdf, contiene el oficio número </w:t>
      </w:r>
      <w:r>
        <w:rPr>
          <w:rFonts w:ascii="Palatino Linotype" w:hAnsi="Palatino Linotype" w:cs="Arial"/>
          <w:sz w:val="24"/>
        </w:rPr>
        <w:t>22800007010000S/1670/UT/2024</w:t>
      </w:r>
      <w:r w:rsidR="004F7928">
        <w:rPr>
          <w:rFonts w:ascii="Palatino Linotype" w:hAnsi="Palatino Linotype" w:cs="Arial"/>
          <w:sz w:val="24"/>
        </w:rPr>
        <w:t xml:space="preserve">, de fecha </w:t>
      </w:r>
      <w:r>
        <w:rPr>
          <w:rFonts w:ascii="Palatino Linotype" w:hAnsi="Palatino Linotype" w:cs="Arial"/>
          <w:sz w:val="24"/>
        </w:rPr>
        <w:t>diez de septiembre</w:t>
      </w:r>
      <w:r w:rsidR="004F7928">
        <w:rPr>
          <w:rFonts w:ascii="Palatino Linotype" w:hAnsi="Palatino Linotype" w:cs="Arial"/>
          <w:sz w:val="24"/>
        </w:rPr>
        <w:t xml:space="preserve"> de dos mil veinticuatro, firmado por el </w:t>
      </w:r>
      <w:r>
        <w:rPr>
          <w:rFonts w:ascii="Palatino Linotype" w:hAnsi="Palatino Linotype" w:cs="Arial"/>
          <w:sz w:val="24"/>
        </w:rPr>
        <w:t>Titular de la Unidad</w:t>
      </w:r>
      <w:r w:rsidR="004F7928">
        <w:rPr>
          <w:rFonts w:ascii="Palatino Linotype" w:hAnsi="Palatino Linotype" w:cs="Arial"/>
          <w:sz w:val="24"/>
        </w:rPr>
        <w:t>, en el que refiere lo siguiente:</w:t>
      </w:r>
    </w:p>
    <w:p w:rsidR="00A93F4E" w:rsidRDefault="00A93F4E" w:rsidP="00A93F4E">
      <w:pPr>
        <w:pStyle w:val="INFOEM"/>
      </w:pPr>
      <w:r>
        <w:t>“…</w:t>
      </w:r>
    </w:p>
    <w:p w:rsidR="00A93F4E" w:rsidRDefault="00A93F4E" w:rsidP="00A93F4E">
      <w:pPr>
        <w:pStyle w:val="INFOEM"/>
      </w:pPr>
      <w:r>
        <w:t>Al respecto, se le informa que el Instituto de Seguridad Social del Estado de México y Municipios (ISSEMYM), de conformidad con lo establecido en su Manual General de Organización, tiene dentro de sus funciones la de emitir los avisos de movimiento de las y los servidores públicos afiliados al régimen de seguridad social del Estado de México, y a la letra señala:</w:t>
      </w:r>
    </w:p>
    <w:p w:rsidR="00A93F4E" w:rsidRDefault="00A93F4E" w:rsidP="00A93F4E">
      <w:pPr>
        <w:pStyle w:val="INFOEM"/>
      </w:pPr>
      <w:r>
        <w:t>…</w:t>
      </w:r>
    </w:p>
    <w:p w:rsidR="00A93F4E" w:rsidRDefault="00A93F4E" w:rsidP="00A93F4E">
      <w:pPr>
        <w:pStyle w:val="INFOEM"/>
      </w:pPr>
      <w:r>
        <w:t>Ahora bien, le informo que del análisis e interpretación literal al punto aducido en su solicitud movimiento de alta de ISSEMYM de Perama Colín Martínez… “se advierte un requerimiento que no corresponden al ejercicio del derecho de Acceso a Datos personales, sino, a la realización de tramite personal.</w:t>
      </w:r>
    </w:p>
    <w:p w:rsidR="00A93F4E" w:rsidRDefault="00A93F4E" w:rsidP="00A93F4E">
      <w:pPr>
        <w:pStyle w:val="INFOEM"/>
        <w:numPr>
          <w:ilvl w:val="0"/>
          <w:numId w:val="13"/>
        </w:numPr>
      </w:pPr>
      <w:r>
        <w:t>Para “personal docente” en la Delegación Administrativa del Subsistema Educativo que corresponda:</w:t>
      </w:r>
    </w:p>
    <w:p w:rsidR="00A93F4E" w:rsidRDefault="00A93F4E" w:rsidP="00A93F4E">
      <w:pPr>
        <w:pStyle w:val="INFOEM"/>
        <w:numPr>
          <w:ilvl w:val="0"/>
          <w:numId w:val="14"/>
        </w:numPr>
      </w:pPr>
      <w:r>
        <w:lastRenderedPageBreak/>
        <w:t xml:space="preserve">Delegación Administrativa del Subsistema de Educación </w:t>
      </w:r>
      <w:r w:rsidR="0003731C">
        <w:t>Básica</w:t>
      </w:r>
      <w:r>
        <w:t xml:space="preserve">, ubicada en Avenida José María Morelos y </w:t>
      </w:r>
      <w:r w:rsidR="0003731C">
        <w:t>Pavón</w:t>
      </w:r>
      <w:r>
        <w:t xml:space="preserve"> Poniente número 1017, Colonia la Merced-Alameda C.P. 0080, Toluca, Estado de México, teléfono </w:t>
      </w:r>
      <w:r w:rsidR="0003731C">
        <w:t>7226889740 de lunes a viernes con un horario de 09:00 a 18:00 horas.</w:t>
      </w:r>
    </w:p>
    <w:p w:rsidR="0003731C" w:rsidRDefault="0003731C" w:rsidP="00A93F4E">
      <w:pPr>
        <w:pStyle w:val="INFOEM"/>
        <w:numPr>
          <w:ilvl w:val="0"/>
          <w:numId w:val="14"/>
        </w:numPr>
      </w:pPr>
      <w:r>
        <w:t>Delegación Administrativa del Subsistema de Educación Media Superior, ubicada en Avenida Independencia número 106, Colonia Centro, C.P. 50000, Toluca, Estado de México, teléfono 7222264319 de lunes a viernes con un horario de 09:00 a 18:00 horas.</w:t>
      </w:r>
    </w:p>
    <w:p w:rsidR="0003731C" w:rsidRDefault="0003731C" w:rsidP="00A93F4E">
      <w:pPr>
        <w:pStyle w:val="INFOEM"/>
        <w:numPr>
          <w:ilvl w:val="0"/>
          <w:numId w:val="14"/>
        </w:numPr>
      </w:pPr>
      <w:r>
        <w:t>Delegación Administrativa del Subsistema de Educación Superior y Norma, ubicado en Cale José Vicente Villada número 112, 4° Piso, Colonia Centro, C.P. 50080, Toluca, Estado de México, teléfono 7222264319 de lunes a viernes con un horario de 09:00 a 18:00 horas.</w:t>
      </w:r>
    </w:p>
    <w:p w:rsidR="0003731C" w:rsidRDefault="0003731C" w:rsidP="0003731C">
      <w:pPr>
        <w:pStyle w:val="INFOEM"/>
        <w:numPr>
          <w:ilvl w:val="0"/>
          <w:numId w:val="13"/>
        </w:numPr>
      </w:pPr>
      <w:r>
        <w:t>Para “personal administrativo” en el Departamento de Administración y Desarrollo de Personal, ubicado Calle Lázaro Cardenas número 105, Colonia la Magdalena, C.P. 50220, Toluca, Estado de México, teléfono 7222264337, de lunes a viernes con un horario de 09:00 a 18:00 horas.</w:t>
      </w:r>
    </w:p>
    <w:p w:rsidR="0003731C" w:rsidRDefault="0003731C" w:rsidP="0003731C">
      <w:pPr>
        <w:pStyle w:val="INFOEM"/>
      </w:pPr>
      <w:r>
        <w:t xml:space="preserve">Respecto a “… nómina de pago del 30 de diciembre de 2021 a la fecha.” Corresponde a la Oficialía Mayor del Estado de México, apegado a su Manual de Organización que a la letra señala. </w:t>
      </w:r>
    </w:p>
    <w:p w:rsidR="0003731C" w:rsidRDefault="0003731C" w:rsidP="0003731C">
      <w:pPr>
        <w:pStyle w:val="INFOEM"/>
      </w:pPr>
      <w:r>
        <w:t>…</w:t>
      </w:r>
    </w:p>
    <w:p w:rsidR="0003731C" w:rsidRDefault="0003731C" w:rsidP="0003731C">
      <w:pPr>
        <w:pStyle w:val="INFOEM"/>
      </w:pPr>
      <w:r>
        <w:t xml:space="preserve">En ese sentido, se hace de su conocimiento que, tanto el Instituto de Seguridad Social del Estado de México y Municipios (ISSEMYM), así como la Oficialía Mayor son organismos públicos descentralizados con personalidad jurídica y patrimonio propios </w:t>
      </w:r>
      <w:r>
        <w:lastRenderedPageBreak/>
        <w:t>diversos a la Secretaría de Educación, Ciencia, Tecnología e Innovación (SECTI), por lo que cual se le sugiere atentamente presentar su solicitud de información ante la Unidad de Transparencia de estos Sujeto Obligados.</w:t>
      </w:r>
    </w:p>
    <w:p w:rsidR="0003731C" w:rsidRDefault="0003731C" w:rsidP="0003731C">
      <w:pPr>
        <w:pStyle w:val="INFOEM"/>
      </w:pPr>
      <w:r>
        <w:t>…</w:t>
      </w:r>
    </w:p>
    <w:p w:rsidR="00FA6869" w:rsidRDefault="0003731C" w:rsidP="00FA6869">
      <w:pPr>
        <w:pStyle w:val="INFOEM"/>
      </w:pPr>
      <w:r>
        <w:t xml:space="preserve">Por otra parte, la Secretaría de Educación, Ciencia, Tecnología e Innovación tiene </w:t>
      </w:r>
      <w:r>
        <w:rPr>
          <w:b/>
        </w:rPr>
        <w:t>competencia parcial</w:t>
      </w:r>
      <w:r>
        <w:t xml:space="preserve"> para atender</w:t>
      </w:r>
      <w:r w:rsidR="00FA6869">
        <w:t xml:space="preserve"> su solicitud, por lo que se llevará a cabo una búsqueda exhaustiva en las Unidades Administrativas competentes a efecto de dar atención al completo de su solicitud.</w:t>
      </w:r>
    </w:p>
    <w:p w:rsidR="00A93F4E" w:rsidRPr="00A93F4E" w:rsidRDefault="00FA6869" w:rsidP="00A93F4E">
      <w:pPr>
        <w:pStyle w:val="INFOEM"/>
        <w:rPr>
          <w:rStyle w:val="Refdenotaalpie"/>
        </w:rPr>
      </w:pPr>
      <w:r>
        <w:t>…</w:t>
      </w:r>
      <w:r w:rsidR="00A93F4E">
        <w:t>“(Sic)</w:t>
      </w:r>
    </w:p>
    <w:p w:rsidR="00A93F4E" w:rsidRPr="00015594" w:rsidRDefault="00A93F4E" w:rsidP="00A93F4E">
      <w:pPr>
        <w:pStyle w:val="Sinespaciado"/>
        <w:numPr>
          <w:ilvl w:val="0"/>
          <w:numId w:val="1"/>
        </w:numPr>
        <w:spacing w:before="240" w:line="360" w:lineRule="auto"/>
        <w:jc w:val="both"/>
        <w:rPr>
          <w:rFonts w:ascii="Palatino Linotype" w:hAnsi="Palatino Linotype" w:cs="Arial"/>
          <w:b/>
          <w:i/>
          <w:sz w:val="24"/>
        </w:rPr>
      </w:pPr>
      <w:r w:rsidRPr="00A93F4E">
        <w:rPr>
          <w:rFonts w:ascii="Palatino Linotype" w:hAnsi="Palatino Linotype" w:cs="Arial"/>
          <w:b/>
          <w:i/>
          <w:sz w:val="24"/>
        </w:rPr>
        <w:t>Respuesta SPH 00539_SECTI_IP_2024 Delegación Administrativa de Educaicón Básica.pdf</w:t>
      </w:r>
      <w:r>
        <w:rPr>
          <w:rFonts w:ascii="Palatino Linotype" w:hAnsi="Palatino Linotype" w:cs="Arial"/>
          <w:b/>
          <w:i/>
          <w:sz w:val="24"/>
        </w:rPr>
        <w:t>:</w:t>
      </w:r>
      <w:r w:rsidR="00FA6869">
        <w:rPr>
          <w:rFonts w:ascii="Palatino Linotype" w:hAnsi="Palatino Linotype" w:cs="Arial"/>
          <w:b/>
          <w:i/>
          <w:sz w:val="24"/>
        </w:rPr>
        <w:t xml:space="preserve"> </w:t>
      </w:r>
      <w:r w:rsidR="00FA6869">
        <w:rPr>
          <w:rFonts w:ascii="Palatino Linotype" w:hAnsi="Palatino Linotype" w:cs="Arial"/>
          <w:sz w:val="24"/>
        </w:rPr>
        <w:t>constante de una foja, en formato pdf, contiene el oficio número 22804001010000S/6309/2024, de fecha diecisiete de septiembre de dos mil veinticuatro,</w:t>
      </w:r>
      <w:r w:rsidR="00015594">
        <w:rPr>
          <w:rFonts w:ascii="Palatino Linotype" w:hAnsi="Palatino Linotype" w:cs="Arial"/>
          <w:sz w:val="24"/>
        </w:rPr>
        <w:t xml:space="preserve"> firmado por el Del</w:t>
      </w:r>
      <w:r w:rsidR="00472432">
        <w:rPr>
          <w:rFonts w:ascii="Palatino Linotype" w:hAnsi="Palatino Linotype" w:cs="Arial"/>
          <w:sz w:val="24"/>
        </w:rPr>
        <w:t>e</w:t>
      </w:r>
      <w:r w:rsidR="00015594">
        <w:rPr>
          <w:rFonts w:ascii="Palatino Linotype" w:hAnsi="Palatino Linotype" w:cs="Arial"/>
          <w:sz w:val="24"/>
        </w:rPr>
        <w:t>gado</w:t>
      </w:r>
      <w:r w:rsidR="00472432">
        <w:rPr>
          <w:rFonts w:ascii="Palatino Linotype" w:hAnsi="Palatino Linotype" w:cs="Arial"/>
          <w:sz w:val="24"/>
        </w:rPr>
        <w:t xml:space="preserve"> de</w:t>
      </w:r>
      <w:r w:rsidR="00015594">
        <w:rPr>
          <w:rFonts w:ascii="Palatino Linotype" w:hAnsi="Palatino Linotype" w:cs="Arial"/>
          <w:sz w:val="24"/>
        </w:rPr>
        <w:t xml:space="preserve"> Administración del Subsistema de Educación Básica, en el que refiere lo siguiente:</w:t>
      </w:r>
    </w:p>
    <w:p w:rsidR="00015594" w:rsidRDefault="00015594" w:rsidP="00015594">
      <w:pPr>
        <w:pStyle w:val="INFOEM"/>
      </w:pPr>
      <w:r>
        <w:t>“…</w:t>
      </w:r>
    </w:p>
    <w:p w:rsidR="00015594" w:rsidRDefault="00015594" w:rsidP="00015594">
      <w:pPr>
        <w:pStyle w:val="INFOEM"/>
      </w:pPr>
      <w:r>
        <w:rPr>
          <w:noProof/>
          <w:lang w:eastAsia="es-MX"/>
        </w:rPr>
        <w:drawing>
          <wp:inline distT="0" distB="0" distL="0" distR="0">
            <wp:extent cx="5067300" cy="596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B46A3B.tmp"/>
                    <pic:cNvPicPr/>
                  </pic:nvPicPr>
                  <pic:blipFill>
                    <a:blip r:embed="rId7">
                      <a:extLst>
                        <a:ext uri="{28A0092B-C50C-407E-A947-70E740481C1C}">
                          <a14:useLocalDpi xmlns:a14="http://schemas.microsoft.com/office/drawing/2010/main" val="0"/>
                        </a:ext>
                      </a:extLst>
                    </a:blip>
                    <a:stretch>
                      <a:fillRect/>
                    </a:stretch>
                  </pic:blipFill>
                  <pic:spPr>
                    <a:xfrm>
                      <a:off x="0" y="0"/>
                      <a:ext cx="5126427" cy="603076"/>
                    </a:xfrm>
                    <a:prstGeom prst="rect">
                      <a:avLst/>
                    </a:prstGeom>
                  </pic:spPr>
                </pic:pic>
              </a:graphicData>
            </a:graphic>
          </wp:inline>
        </w:drawing>
      </w:r>
    </w:p>
    <w:p w:rsidR="00015594" w:rsidRPr="00A93F4E" w:rsidRDefault="00015594" w:rsidP="00015594">
      <w:pPr>
        <w:pStyle w:val="INFOEM"/>
      </w:pPr>
      <w:r>
        <w:t xml:space="preserve">Respecto a la petición en relación al nombramiento, cargo y al horario de jordana laboral, me permito comentar a usted que dicha información no es competencia de esta Delegación Administrativa del Subsistema de Educación Básica, por lo tanto, no se cuenta con la información solicitada por la Unidad de Transparencia a su digno </w:t>
      </w:r>
      <w:r>
        <w:lastRenderedPageBreak/>
        <w:t>cargo y según lo establecido en la Ley de Transparencia y Acceso a la Información Pública del Estado de México y Municipios…” (Sic)</w:t>
      </w:r>
    </w:p>
    <w:p w:rsidR="00BA33E7" w:rsidRPr="00A93F4E" w:rsidRDefault="00A93F4E" w:rsidP="00D46B42">
      <w:pPr>
        <w:pStyle w:val="Sinespaciado"/>
        <w:numPr>
          <w:ilvl w:val="0"/>
          <w:numId w:val="1"/>
        </w:numPr>
        <w:spacing w:before="240" w:line="360" w:lineRule="auto"/>
        <w:jc w:val="both"/>
      </w:pPr>
      <w:r w:rsidRPr="00A93F4E">
        <w:rPr>
          <w:rFonts w:ascii="Palatino Linotype" w:hAnsi="Palatino Linotype" w:cs="Arial"/>
          <w:b/>
          <w:i/>
          <w:sz w:val="24"/>
        </w:rPr>
        <w:t>Respuesta_UT_00539_SECTI_iP_2024.pdf</w:t>
      </w:r>
      <w:r>
        <w:rPr>
          <w:rFonts w:ascii="Palatino Linotype" w:hAnsi="Palatino Linotype" w:cs="Arial"/>
          <w:b/>
          <w:i/>
          <w:sz w:val="24"/>
        </w:rPr>
        <w:t>:</w:t>
      </w:r>
      <w:r w:rsidR="00015594">
        <w:rPr>
          <w:rFonts w:ascii="Palatino Linotype" w:hAnsi="Palatino Linotype" w:cs="Arial"/>
          <w:b/>
          <w:i/>
          <w:sz w:val="24"/>
        </w:rPr>
        <w:t xml:space="preserve"> </w:t>
      </w:r>
      <w:r w:rsidR="00E52755">
        <w:rPr>
          <w:rFonts w:ascii="Palatino Linotype" w:hAnsi="Palatino Linotype" w:cs="Arial"/>
          <w:sz w:val="24"/>
        </w:rPr>
        <w:t>constante de dos fojas, en formato pdf, contiene el oficio número 2280000701000CS/1799/</w:t>
      </w:r>
      <w:r w:rsidR="0034182A">
        <w:rPr>
          <w:rFonts w:ascii="Palatino Linotype" w:hAnsi="Palatino Linotype" w:cs="Arial"/>
          <w:sz w:val="24"/>
        </w:rPr>
        <w:t xml:space="preserve">UT/2024, de fecha veinticuatro de septiembre de dos mil veinticuatro, firmado por el Titular de la Unidad, en el que </w:t>
      </w:r>
      <w:r w:rsidR="00D46B42">
        <w:rPr>
          <w:rFonts w:ascii="Palatino Linotype" w:hAnsi="Palatino Linotype" w:cs="Arial"/>
          <w:sz w:val="24"/>
        </w:rPr>
        <w:t xml:space="preserve">sustancialmente entrega respuesta al Solicitante por medio de los archivos antes descritos. </w:t>
      </w:r>
    </w:p>
    <w:p w:rsidR="00A93F4E" w:rsidRPr="00A2631F" w:rsidRDefault="00A93F4E" w:rsidP="00A93F4E">
      <w:pPr>
        <w:pStyle w:val="Sinespaciado"/>
        <w:numPr>
          <w:ilvl w:val="0"/>
          <w:numId w:val="1"/>
        </w:numPr>
        <w:spacing w:before="240" w:line="360" w:lineRule="auto"/>
        <w:jc w:val="both"/>
        <w:rPr>
          <w:rFonts w:ascii="Palatino Linotype" w:hAnsi="Palatino Linotype" w:cs="Arial"/>
          <w:b/>
          <w:i/>
          <w:sz w:val="24"/>
        </w:rPr>
      </w:pPr>
      <w:r w:rsidRPr="00A93F4E">
        <w:rPr>
          <w:rFonts w:ascii="Palatino Linotype" w:hAnsi="Palatino Linotype" w:cs="Arial"/>
          <w:b/>
          <w:i/>
          <w:sz w:val="24"/>
        </w:rPr>
        <w:t>Respuest SPH 00539_SECTI_IP_2024 Dirección Gral de Educación Primaria.pdf</w:t>
      </w:r>
      <w:r>
        <w:rPr>
          <w:rFonts w:ascii="Palatino Linotype" w:hAnsi="Palatino Linotype" w:cs="Arial"/>
          <w:b/>
          <w:i/>
          <w:sz w:val="24"/>
        </w:rPr>
        <w:t>:</w:t>
      </w:r>
      <w:r w:rsidR="00D46B42">
        <w:rPr>
          <w:rFonts w:ascii="Palatino Linotype" w:hAnsi="Palatino Linotype" w:cs="Arial"/>
          <w:b/>
          <w:i/>
          <w:sz w:val="24"/>
        </w:rPr>
        <w:t xml:space="preserve"> </w:t>
      </w:r>
      <w:r w:rsidR="00D46B42">
        <w:rPr>
          <w:rFonts w:ascii="Palatino Linotype" w:hAnsi="Palatino Linotype" w:cs="Arial"/>
          <w:sz w:val="24"/>
        </w:rPr>
        <w:t>constante de una foja, en formato pdf, contiene el oficio número 22801002A/12345/2024, de fecha once de septiembre de dos mil veinticuatro, firmado por la Directora General, en el que refiere lo siguiente:</w:t>
      </w:r>
    </w:p>
    <w:p w:rsidR="004F7928" w:rsidRDefault="004F7928" w:rsidP="004F7928">
      <w:pPr>
        <w:pStyle w:val="INFOEM"/>
      </w:pPr>
      <w:r>
        <w:t>“(…)</w:t>
      </w:r>
    </w:p>
    <w:p w:rsidR="00D46B42" w:rsidRPr="00D46B42" w:rsidRDefault="00D46B42" w:rsidP="004F7928">
      <w:pPr>
        <w:pStyle w:val="INFOEM"/>
      </w:pPr>
      <w:r>
        <w:t xml:space="preserve">Al respecto informo a usted que la Profesora Colín Martínez, actualmente ostenta un nombramiento, cargo y categoría de </w:t>
      </w:r>
      <w:r>
        <w:rPr>
          <w:b/>
        </w:rPr>
        <w:t xml:space="preserve">Director Escolar Prees y Prim., con un horario laboral de 8:00 a 13:00 horas de lunes a viernes; </w:t>
      </w:r>
      <w:r>
        <w:t xml:space="preserve">lo que se informa para los efectos legales y administrativos que haya lugar. </w:t>
      </w:r>
    </w:p>
    <w:p w:rsidR="004F7928" w:rsidRPr="00A2631F" w:rsidRDefault="00015594" w:rsidP="004F7928">
      <w:pPr>
        <w:pStyle w:val="INFOEM"/>
        <w:rPr>
          <w:rFonts w:cs="Arial"/>
          <w:b/>
          <w:sz w:val="24"/>
        </w:rPr>
      </w:pPr>
      <w:r>
        <w:t xml:space="preserve"> </w:t>
      </w:r>
      <w:r w:rsidR="004F7928">
        <w:t>(…)” (Sic)</w:t>
      </w:r>
    </w:p>
    <w:p w:rsidR="004F7928" w:rsidRDefault="004F7928" w:rsidP="004F7928">
      <w:pPr>
        <w:spacing w:line="360" w:lineRule="auto"/>
        <w:jc w:val="both"/>
        <w:rPr>
          <w:rFonts w:ascii="Palatino Linotype" w:hAnsi="Palatino Linotype" w:cs="Arial"/>
          <w:bCs/>
        </w:rPr>
      </w:pPr>
    </w:p>
    <w:p w:rsidR="004F7928" w:rsidRDefault="004F7928" w:rsidP="004F7928">
      <w:pPr>
        <w:spacing w:line="360" w:lineRule="auto"/>
        <w:jc w:val="both"/>
        <w:rPr>
          <w:rFonts w:ascii="Palatino Linotype" w:hAnsi="Palatino Linotype" w:cs="Arial"/>
          <w:bCs/>
        </w:rPr>
      </w:pPr>
    </w:p>
    <w:p w:rsidR="004F7928" w:rsidRDefault="004F7928" w:rsidP="004F7928">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D46B42" w:rsidRPr="00D46B42">
        <w:rPr>
          <w:rFonts w:ascii="Palatino Linotype" w:hAnsi="Palatino Linotype"/>
          <w:i/>
        </w:rPr>
        <w:t>no proporcionan lo solicitado</w:t>
      </w:r>
      <w:r>
        <w:rPr>
          <w:rFonts w:ascii="Palatino Linotype" w:hAnsi="Palatino Linotype"/>
          <w:i/>
        </w:rPr>
        <w:t>” (Sic).</w:t>
      </w:r>
    </w:p>
    <w:p w:rsidR="004F7928" w:rsidRDefault="004F7928" w:rsidP="004F7928">
      <w:pPr>
        <w:spacing w:line="360" w:lineRule="auto"/>
        <w:jc w:val="both"/>
        <w:rPr>
          <w:rFonts w:ascii="Palatino Linotype" w:hAnsi="Palatino Linotype"/>
          <w:i/>
        </w:rPr>
      </w:pPr>
    </w:p>
    <w:p w:rsidR="004F7928" w:rsidRDefault="004F7928" w:rsidP="004F7928">
      <w:pPr>
        <w:spacing w:line="360" w:lineRule="auto"/>
        <w:jc w:val="both"/>
        <w:rPr>
          <w:rFonts w:ascii="Palatino Linotype" w:hAnsi="Palatino Linotype"/>
        </w:rPr>
      </w:pPr>
      <w:r w:rsidRPr="00255F60">
        <w:rPr>
          <w:rFonts w:ascii="Palatino Linotype" w:hAnsi="Palatino Linotype"/>
          <w:lang w:val="es-ES_tradnl"/>
        </w:rPr>
        <w:t xml:space="preserve">Asimismo, en la etapa de manifestaciones </w:t>
      </w:r>
      <w:r w:rsidRPr="00255F60">
        <w:rPr>
          <w:rFonts w:ascii="Palatino Linotype" w:hAnsi="Palatino Linotype"/>
        </w:rPr>
        <w:t xml:space="preserve">se advierte que el </w:t>
      </w:r>
      <w:r w:rsidRPr="00255F60">
        <w:rPr>
          <w:rFonts w:ascii="Palatino Linotype" w:hAnsi="Palatino Linotype"/>
          <w:b/>
        </w:rPr>
        <w:t>Sujeto Obligado</w:t>
      </w:r>
      <w:r w:rsidRPr="00255F60">
        <w:rPr>
          <w:rFonts w:ascii="Palatino Linotype" w:hAnsi="Palatino Linotype"/>
        </w:rPr>
        <w:t xml:space="preserve"> rindió su informe justificado mediante el archivo electrónico denominado “</w:t>
      </w:r>
      <w:r w:rsidR="006430BA" w:rsidRPr="006430BA">
        <w:rPr>
          <w:rFonts w:ascii="Palatino Linotype" w:hAnsi="Palatino Linotype"/>
          <w:b/>
          <w:i/>
        </w:rPr>
        <w:t>INFORME JUSTIFICADO 539.pdf</w:t>
      </w:r>
      <w:r w:rsidRPr="00255F60">
        <w:rPr>
          <w:rFonts w:ascii="Palatino Linotype" w:hAnsi="Palatino Linotype"/>
          <w:b/>
          <w:i/>
        </w:rPr>
        <w:t>”</w:t>
      </w:r>
      <w:r w:rsidRPr="00255F60">
        <w:rPr>
          <w:rFonts w:ascii="Palatino Linotype" w:hAnsi="Palatino Linotype"/>
        </w:rPr>
        <w:t xml:space="preserve">, en </w:t>
      </w:r>
      <w:r>
        <w:rPr>
          <w:rFonts w:ascii="Palatino Linotype" w:hAnsi="Palatino Linotype"/>
        </w:rPr>
        <w:t xml:space="preserve">el </w:t>
      </w:r>
      <w:r w:rsidRPr="00255F60">
        <w:rPr>
          <w:rFonts w:ascii="Palatino Linotype" w:hAnsi="Palatino Linotype"/>
        </w:rPr>
        <w:t>que sustancialmente ratifica su respuesta</w:t>
      </w:r>
      <w:r>
        <w:rPr>
          <w:rFonts w:ascii="Palatino Linotype" w:hAnsi="Palatino Linotype"/>
        </w:rPr>
        <w:t xml:space="preserve">. </w:t>
      </w:r>
    </w:p>
    <w:p w:rsidR="004F7928" w:rsidRDefault="004F7928" w:rsidP="004F792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6430BA" w:rsidRDefault="006430BA" w:rsidP="006430BA">
      <w:pPr>
        <w:spacing w:line="360" w:lineRule="auto"/>
        <w:jc w:val="both"/>
        <w:rPr>
          <w:rFonts w:ascii="Palatino Linotype" w:hAnsi="Palatino Linotype"/>
        </w:rPr>
      </w:pPr>
      <w:r>
        <w:rPr>
          <w:rFonts w:ascii="Palatino Linotype" w:hAnsi="Palatino Linotype"/>
        </w:rPr>
        <w:t>En ese orden de ideas, la Ley Orgánica de la Administración Pública del Estado de México, establece las dependencias con las que cuenta el Poder Ejecutivo:</w:t>
      </w:r>
    </w:p>
    <w:p w:rsidR="006430BA" w:rsidRDefault="006430BA" w:rsidP="006430BA">
      <w:pPr>
        <w:pStyle w:val="INFOEM"/>
      </w:pPr>
      <w:r w:rsidRPr="00DF5A5F">
        <w:t>Artículo 23. Para el estudio, planeación y despacho de los asuntos, en los diversos ramos de la Administración Pública, auxiliarán a la persona titular del Poder Ejecutivo del Estado, las siguientes dependencias:</w:t>
      </w:r>
    </w:p>
    <w:p w:rsidR="006430BA" w:rsidRDefault="006430BA" w:rsidP="00C1094B">
      <w:pPr>
        <w:pStyle w:val="INFOEM"/>
        <w:numPr>
          <w:ilvl w:val="0"/>
          <w:numId w:val="15"/>
        </w:numPr>
        <w:spacing w:before="0" w:after="0" w:line="240" w:lineRule="auto"/>
      </w:pPr>
      <w:r w:rsidRPr="00DF5A5F">
        <w:t xml:space="preserve">Secretaría General de Gobierno; </w:t>
      </w:r>
    </w:p>
    <w:p w:rsidR="006430BA" w:rsidRDefault="006430BA" w:rsidP="00C1094B">
      <w:pPr>
        <w:pStyle w:val="INFOEM"/>
        <w:numPr>
          <w:ilvl w:val="0"/>
          <w:numId w:val="15"/>
        </w:numPr>
        <w:spacing w:before="0" w:after="0" w:line="240" w:lineRule="auto"/>
      </w:pPr>
      <w:r w:rsidRPr="00DF5A5F">
        <w:t xml:space="preserve">Secretaría de Seguridad; </w:t>
      </w:r>
    </w:p>
    <w:p w:rsidR="006430BA" w:rsidRDefault="006430BA" w:rsidP="00C1094B">
      <w:pPr>
        <w:pStyle w:val="INFOEM"/>
        <w:numPr>
          <w:ilvl w:val="0"/>
          <w:numId w:val="15"/>
        </w:numPr>
        <w:spacing w:before="0" w:after="0" w:line="240" w:lineRule="auto"/>
      </w:pPr>
      <w:r w:rsidRPr="00DF5A5F">
        <w:t xml:space="preserve">Secretaría de Finanzas; </w:t>
      </w:r>
    </w:p>
    <w:p w:rsidR="006430BA" w:rsidRDefault="006430BA" w:rsidP="00C1094B">
      <w:pPr>
        <w:pStyle w:val="INFOEM"/>
        <w:numPr>
          <w:ilvl w:val="0"/>
          <w:numId w:val="15"/>
        </w:numPr>
        <w:spacing w:before="0" w:after="0" w:line="240" w:lineRule="auto"/>
      </w:pPr>
      <w:r w:rsidRPr="00DF5A5F">
        <w:t xml:space="preserve">Secretaría de Salud; </w:t>
      </w:r>
    </w:p>
    <w:p w:rsidR="006430BA" w:rsidRDefault="006430BA" w:rsidP="00C1094B">
      <w:pPr>
        <w:pStyle w:val="INFOEM"/>
        <w:numPr>
          <w:ilvl w:val="0"/>
          <w:numId w:val="15"/>
        </w:numPr>
        <w:spacing w:before="0" w:after="0" w:line="240" w:lineRule="auto"/>
      </w:pPr>
      <w:r w:rsidRPr="00DF5A5F">
        <w:t xml:space="preserve">Secretaría del Trabajo; </w:t>
      </w:r>
    </w:p>
    <w:p w:rsidR="006430BA" w:rsidRPr="00C1094B" w:rsidRDefault="006430BA" w:rsidP="00C1094B">
      <w:pPr>
        <w:pStyle w:val="INFOEM"/>
        <w:numPr>
          <w:ilvl w:val="0"/>
          <w:numId w:val="15"/>
        </w:numPr>
        <w:spacing w:before="0" w:after="0" w:line="240" w:lineRule="auto"/>
        <w:rPr>
          <w:b/>
        </w:rPr>
      </w:pPr>
      <w:r w:rsidRPr="00C1094B">
        <w:rPr>
          <w:b/>
        </w:rPr>
        <w:t xml:space="preserve">Secretaría de Educación, Ciencia, Tecnología e Innovación; </w:t>
      </w:r>
    </w:p>
    <w:p w:rsidR="006430BA" w:rsidRDefault="006430BA" w:rsidP="00C1094B">
      <w:pPr>
        <w:pStyle w:val="INFOEM"/>
        <w:numPr>
          <w:ilvl w:val="0"/>
          <w:numId w:val="15"/>
        </w:numPr>
        <w:spacing w:before="0" w:after="0" w:line="240" w:lineRule="auto"/>
      </w:pPr>
      <w:r w:rsidRPr="00DF5A5F">
        <w:t xml:space="preserve">Secretaría de Bienestar; </w:t>
      </w:r>
    </w:p>
    <w:p w:rsidR="006430BA" w:rsidRDefault="006430BA" w:rsidP="00C1094B">
      <w:pPr>
        <w:pStyle w:val="INFOEM"/>
        <w:numPr>
          <w:ilvl w:val="0"/>
          <w:numId w:val="15"/>
        </w:numPr>
        <w:spacing w:before="0" w:after="0" w:line="240" w:lineRule="auto"/>
      </w:pPr>
      <w:r w:rsidRPr="00DF5A5F">
        <w:t xml:space="preserve">Secretaría de Desarrollo Urbano e Infraestructura; </w:t>
      </w:r>
    </w:p>
    <w:p w:rsidR="006430BA" w:rsidRDefault="006430BA" w:rsidP="00C1094B">
      <w:pPr>
        <w:pStyle w:val="INFOEM"/>
        <w:numPr>
          <w:ilvl w:val="0"/>
          <w:numId w:val="15"/>
        </w:numPr>
        <w:spacing w:before="0" w:after="0" w:line="240" w:lineRule="auto"/>
      </w:pPr>
      <w:r w:rsidRPr="00DF5A5F">
        <w:t xml:space="preserve">Secretaría del Campo; </w:t>
      </w:r>
    </w:p>
    <w:p w:rsidR="006430BA" w:rsidRDefault="006430BA" w:rsidP="00C1094B">
      <w:pPr>
        <w:pStyle w:val="INFOEM"/>
        <w:numPr>
          <w:ilvl w:val="0"/>
          <w:numId w:val="15"/>
        </w:numPr>
        <w:spacing w:before="0" w:after="0" w:line="240" w:lineRule="auto"/>
      </w:pPr>
      <w:r w:rsidRPr="00DF5A5F">
        <w:t xml:space="preserve">Secretaría de Desarrollo Económico; </w:t>
      </w:r>
    </w:p>
    <w:p w:rsidR="006430BA" w:rsidRDefault="006430BA" w:rsidP="00C1094B">
      <w:pPr>
        <w:pStyle w:val="INFOEM"/>
        <w:numPr>
          <w:ilvl w:val="0"/>
          <w:numId w:val="15"/>
        </w:numPr>
        <w:spacing w:before="0" w:after="0" w:line="240" w:lineRule="auto"/>
      </w:pPr>
      <w:r w:rsidRPr="00DF5A5F">
        <w:t xml:space="preserve">Secretaría de Cultura y Turismo; </w:t>
      </w:r>
    </w:p>
    <w:p w:rsidR="006430BA" w:rsidRDefault="006430BA" w:rsidP="00C1094B">
      <w:pPr>
        <w:pStyle w:val="INFOEM"/>
        <w:numPr>
          <w:ilvl w:val="0"/>
          <w:numId w:val="15"/>
        </w:numPr>
        <w:spacing w:before="0" w:after="0" w:line="240" w:lineRule="auto"/>
      </w:pPr>
      <w:r w:rsidRPr="00DF5A5F">
        <w:t>Secretaría de la Contraloría;</w:t>
      </w:r>
      <w:r>
        <w:t xml:space="preserve"> </w:t>
      </w:r>
    </w:p>
    <w:p w:rsidR="006430BA" w:rsidRDefault="006430BA" w:rsidP="00C1094B">
      <w:pPr>
        <w:pStyle w:val="INFOEM"/>
        <w:numPr>
          <w:ilvl w:val="0"/>
          <w:numId w:val="15"/>
        </w:numPr>
        <w:spacing w:before="0" w:after="0" w:line="240" w:lineRule="auto"/>
      </w:pPr>
      <w:r w:rsidRPr="00DF5A5F">
        <w:t xml:space="preserve">Secretaría del Medio Ambiente y Desarrollo Sostenible; </w:t>
      </w:r>
    </w:p>
    <w:p w:rsidR="006430BA" w:rsidRDefault="006430BA" w:rsidP="00C1094B">
      <w:pPr>
        <w:pStyle w:val="INFOEM"/>
        <w:numPr>
          <w:ilvl w:val="0"/>
          <w:numId w:val="15"/>
        </w:numPr>
        <w:spacing w:before="0" w:after="0" w:line="240" w:lineRule="auto"/>
      </w:pPr>
      <w:r w:rsidRPr="00DF5A5F">
        <w:t xml:space="preserve">Secretaría del Agua; </w:t>
      </w:r>
    </w:p>
    <w:p w:rsidR="006430BA" w:rsidRDefault="006430BA" w:rsidP="00C1094B">
      <w:pPr>
        <w:pStyle w:val="INFOEM"/>
        <w:numPr>
          <w:ilvl w:val="0"/>
          <w:numId w:val="15"/>
        </w:numPr>
        <w:spacing w:before="0" w:after="0" w:line="240" w:lineRule="auto"/>
      </w:pPr>
      <w:r w:rsidRPr="00DF5A5F">
        <w:t xml:space="preserve">Secretaría de las Mujeres; </w:t>
      </w:r>
    </w:p>
    <w:p w:rsidR="006430BA" w:rsidRDefault="006430BA" w:rsidP="00C1094B">
      <w:pPr>
        <w:pStyle w:val="INFOEM"/>
        <w:numPr>
          <w:ilvl w:val="0"/>
          <w:numId w:val="15"/>
        </w:numPr>
        <w:spacing w:before="0" w:after="0" w:line="240" w:lineRule="auto"/>
      </w:pPr>
      <w:r w:rsidRPr="00DF5A5F">
        <w:t xml:space="preserve">Secretaría de Movilidad; </w:t>
      </w:r>
    </w:p>
    <w:p w:rsidR="006430BA" w:rsidRDefault="006430BA" w:rsidP="00C1094B">
      <w:pPr>
        <w:pStyle w:val="INFOEM"/>
        <w:numPr>
          <w:ilvl w:val="0"/>
          <w:numId w:val="15"/>
        </w:numPr>
        <w:spacing w:before="0" w:after="0" w:line="240" w:lineRule="auto"/>
      </w:pPr>
      <w:r w:rsidRPr="00DF5A5F">
        <w:t xml:space="preserve">Consejería Jurídica; y </w:t>
      </w:r>
    </w:p>
    <w:p w:rsidR="006430BA" w:rsidRDefault="006430BA" w:rsidP="00C1094B">
      <w:pPr>
        <w:pStyle w:val="INFOEM"/>
        <w:numPr>
          <w:ilvl w:val="0"/>
          <w:numId w:val="15"/>
        </w:numPr>
        <w:spacing w:before="0" w:after="0" w:line="240" w:lineRule="auto"/>
      </w:pPr>
      <w:r w:rsidRPr="00DF5A5F">
        <w:rPr>
          <w:b/>
        </w:rPr>
        <w:t>Oficialía Mayor</w:t>
      </w:r>
      <w:r w:rsidRPr="00DF5A5F">
        <w:t>.</w:t>
      </w:r>
    </w:p>
    <w:p w:rsidR="006430BA" w:rsidRDefault="006430BA" w:rsidP="006430BA">
      <w:pPr>
        <w:pStyle w:val="INFOEM"/>
      </w:pPr>
    </w:p>
    <w:p w:rsidR="006430BA" w:rsidRDefault="006430BA" w:rsidP="006430BA">
      <w:pPr>
        <w:pStyle w:val="INFOEM"/>
        <w:rPr>
          <w:b/>
        </w:rPr>
      </w:pPr>
      <w:r w:rsidRPr="009807AA">
        <w:rPr>
          <w:b/>
        </w:rPr>
        <w:lastRenderedPageBreak/>
        <w:t xml:space="preserve">Artículo 58. </w:t>
      </w:r>
      <w:r w:rsidRPr="009807AA">
        <w:rPr>
          <w:b/>
          <w:u w:val="single"/>
        </w:rPr>
        <w:t>La Oficialía Mayor es la encargada de planear, organizar, normar y dirigir la administración y desarrollo de los recursos humanos</w:t>
      </w:r>
      <w:r w:rsidRPr="009807AA">
        <w:rPr>
          <w:b/>
        </w:rPr>
        <w:t>, materiales y servicios para el apoyo administrativo y tecnológico que requieran las dependencias del Poder Ejecutivo del Estado.</w:t>
      </w:r>
    </w:p>
    <w:p w:rsidR="006430BA" w:rsidRPr="00030214" w:rsidRDefault="006430BA" w:rsidP="006430BA">
      <w:pPr>
        <w:pStyle w:val="INFOEM"/>
        <w:rPr>
          <w:b/>
        </w:rPr>
      </w:pPr>
      <w:r w:rsidRPr="00030214">
        <w:rPr>
          <w:b/>
        </w:rPr>
        <w:t xml:space="preserve">Artículo 59. La Oficialía Mayor contará con las siguientes atribuciones: </w:t>
      </w:r>
    </w:p>
    <w:p w:rsidR="006430BA" w:rsidRDefault="006430BA" w:rsidP="006430BA">
      <w:pPr>
        <w:pStyle w:val="INFOEM"/>
        <w:numPr>
          <w:ilvl w:val="0"/>
          <w:numId w:val="16"/>
        </w:numPr>
        <w:spacing w:before="0" w:line="240" w:lineRule="auto"/>
        <w:ind w:left="1134" w:right="567"/>
      </w:pPr>
      <w:r w:rsidRPr="00030214">
        <w:t xml:space="preserve">Formular y someter a consideración de la persona titular del Poder Ejecutivo del Estado, los proyectos de leyes, reglamentos y demás disposiciones de carácter general y específicas que se requieran para el cumplimiento de sus atribuciones; </w:t>
      </w:r>
    </w:p>
    <w:p w:rsidR="006430BA" w:rsidRDefault="006430BA" w:rsidP="006430BA">
      <w:pPr>
        <w:pStyle w:val="INFOEM"/>
        <w:numPr>
          <w:ilvl w:val="0"/>
          <w:numId w:val="16"/>
        </w:numPr>
        <w:spacing w:before="0" w:line="240" w:lineRule="auto"/>
        <w:ind w:left="1134" w:right="567"/>
      </w:pPr>
      <w:r w:rsidRPr="00030214">
        <w:t>Instrumentar y vigilar el cumplimiento de las disposiciones legales de carácter administrativo, laboral, tecnológico y de manejo de información, así como las demás de su ramo, aplicables en el Estado;</w:t>
      </w:r>
    </w:p>
    <w:p w:rsidR="006430BA" w:rsidRDefault="006430BA" w:rsidP="006430BA">
      <w:pPr>
        <w:pStyle w:val="INFOEM"/>
        <w:numPr>
          <w:ilvl w:val="0"/>
          <w:numId w:val="16"/>
        </w:numPr>
        <w:spacing w:before="0" w:line="240" w:lineRule="auto"/>
        <w:ind w:left="1134" w:right="567"/>
      </w:pPr>
      <w:r w:rsidRPr="00030214">
        <w:t xml:space="preserve">Ejercer en el ámbito de su competencia las atribuciones derivadas de los convenios administrativos, laborales, tecnológicos y de manejo de información que celebre el Gobierno del Estado con el Gobierno Federal, con los gobiernos de otros estados de la República, con los gobiernos municipales y con organismos auxiliares; </w:t>
      </w:r>
    </w:p>
    <w:p w:rsidR="006430BA" w:rsidRDefault="006430BA" w:rsidP="006430BA">
      <w:pPr>
        <w:pStyle w:val="INFOEM"/>
        <w:numPr>
          <w:ilvl w:val="0"/>
          <w:numId w:val="16"/>
        </w:numPr>
        <w:spacing w:before="0" w:line="240" w:lineRule="auto"/>
        <w:ind w:left="1134" w:right="567"/>
      </w:pPr>
      <w:r w:rsidRPr="00030214">
        <w:rPr>
          <w:b/>
        </w:rPr>
        <w:t>Proyectar y calcular el gasto anual requerido para las dependencias, por concepto de servicios personales,</w:t>
      </w:r>
      <w:r w:rsidRPr="00030214">
        <w:t xml:space="preserve"> materiales, servicios y de inversión pública para someterlo a consideración de la persona titular del Poder Ejecutivo del Estado, que se entregará a la Secretaría de Finanzas para su incorporación en el Proyecto de Presupuesto de Egresos del Gobierno del Estado de México, con apego a los principios constitucionales de eficiencia, eficacia, economía, transparencia, honradez; </w:t>
      </w:r>
    </w:p>
    <w:p w:rsidR="006430BA" w:rsidRDefault="006430BA" w:rsidP="006430BA">
      <w:pPr>
        <w:pStyle w:val="INFOEM"/>
        <w:numPr>
          <w:ilvl w:val="0"/>
          <w:numId w:val="16"/>
        </w:numPr>
        <w:spacing w:before="0" w:line="240" w:lineRule="auto"/>
        <w:ind w:left="1134" w:right="567"/>
      </w:pPr>
      <w:r w:rsidRPr="00030214">
        <w:t xml:space="preserve">Establecer, administrar, integrar, controlar, verificar y mantener actualizados, el padrón de proveedores y contratista, así como demás registros, conforme a las disposiciones legales, convenios que correspondan; </w:t>
      </w:r>
    </w:p>
    <w:p w:rsidR="006430BA" w:rsidRPr="00030214" w:rsidRDefault="006430BA" w:rsidP="006430BA">
      <w:pPr>
        <w:pStyle w:val="INFOEM"/>
        <w:numPr>
          <w:ilvl w:val="0"/>
          <w:numId w:val="16"/>
        </w:numPr>
        <w:spacing w:before="0" w:line="240" w:lineRule="auto"/>
        <w:ind w:left="1134" w:right="567"/>
        <w:rPr>
          <w:b/>
        </w:rPr>
      </w:pPr>
      <w:r w:rsidRPr="00030214">
        <w:rPr>
          <w:b/>
        </w:rPr>
        <w:t xml:space="preserve">Dirigir, normar, controlar, supervisar y evaluar las actividades de las personas servidoras públicas; </w:t>
      </w:r>
    </w:p>
    <w:p w:rsidR="006430BA" w:rsidRDefault="006430BA" w:rsidP="006430BA">
      <w:pPr>
        <w:pStyle w:val="INFOEM"/>
        <w:numPr>
          <w:ilvl w:val="0"/>
          <w:numId w:val="16"/>
        </w:numPr>
        <w:spacing w:before="0" w:line="240" w:lineRule="auto"/>
        <w:ind w:left="1134" w:right="567"/>
      </w:pPr>
      <w:r w:rsidRPr="00030214">
        <w:t xml:space="preserve">Proporcionar asesoría en materia de interpretación y aplicación de las leyes administrativas, laborales y de tecnologías de la información, que le sea solicitada por las dependencias y organismos auxiliares de la Administración Pública, por los municipios y por los particulares; </w:t>
      </w:r>
    </w:p>
    <w:p w:rsidR="006430BA" w:rsidRDefault="006430BA" w:rsidP="006430BA">
      <w:pPr>
        <w:pStyle w:val="INFOEM"/>
        <w:numPr>
          <w:ilvl w:val="0"/>
          <w:numId w:val="16"/>
        </w:numPr>
        <w:spacing w:before="0" w:line="240" w:lineRule="auto"/>
        <w:ind w:left="1134" w:right="567"/>
      </w:pPr>
      <w:r w:rsidRPr="00030214">
        <w:t xml:space="preserve">Asumir la representación patronal ante representaciones sindicales y autoridades laborales, en relación con las condiciones generales de trabajo y contratos colectivos </w:t>
      </w:r>
      <w:r w:rsidRPr="00030214">
        <w:lastRenderedPageBreak/>
        <w:t xml:space="preserve">de trabajo vigentes en las dependencias, órganos desconcentrados, y demás entes de su competencia, en su caso; </w:t>
      </w:r>
    </w:p>
    <w:p w:rsidR="006430BA" w:rsidRDefault="006430BA" w:rsidP="006430BA">
      <w:pPr>
        <w:pStyle w:val="INFOEM"/>
        <w:numPr>
          <w:ilvl w:val="0"/>
          <w:numId w:val="16"/>
        </w:numPr>
        <w:spacing w:before="0" w:line="240" w:lineRule="auto"/>
        <w:ind w:left="1134" w:right="567"/>
      </w:pPr>
      <w:r w:rsidRPr="00030214">
        <w:t xml:space="preserve">Participar activamente, bajo la coordinación de la Secretaría de Finanzas, en la elaboración del Plan de Desarrollo del Estado de México que se pondrá a consideración de la persona titular del Poder Ejecutivo del Estado, incluyendo consideraciones y proyecciones de largo alcance, así como los programas sectoriales, institucionales, regionales, especiales y anuales que requiera el Estado, aplicando un enfoque de derechos humanos y perspectiva de género, y con apego a las disposiciones legales aplicables; </w:t>
      </w:r>
    </w:p>
    <w:p w:rsidR="006430BA" w:rsidRDefault="006430BA" w:rsidP="006430BA">
      <w:pPr>
        <w:pStyle w:val="INFOEM"/>
        <w:numPr>
          <w:ilvl w:val="0"/>
          <w:numId w:val="16"/>
        </w:numPr>
        <w:spacing w:before="0" w:line="240" w:lineRule="auto"/>
        <w:ind w:left="1134" w:right="567"/>
      </w:pPr>
      <w:r w:rsidRPr="00030214">
        <w:t xml:space="preserve">Diseñar, implantar, evaluar, actualizar, y gestionar, en coordinación con la Secretaría de Finanzas, todas las plataformas tecnológicas donde se albergarán los sistemas de gestión e información que requieran las dependencias para su óptimo desempeño, apegadas a las disposiciones legales aplicables; </w:t>
      </w:r>
    </w:p>
    <w:p w:rsidR="006430BA" w:rsidRDefault="006430BA" w:rsidP="006430BA">
      <w:pPr>
        <w:pStyle w:val="INFOEM"/>
        <w:numPr>
          <w:ilvl w:val="0"/>
          <w:numId w:val="16"/>
        </w:numPr>
        <w:spacing w:before="0" w:line="240" w:lineRule="auto"/>
        <w:ind w:left="1134" w:right="567"/>
      </w:pPr>
      <w:r w:rsidRPr="00030214">
        <w:t xml:space="preserve">Colaborar con la Secretaría de Finanzas, en el ámbito de su competencia, en la integración de los informes financieros periódicos y la Cuenta Pública del Gobierno del Estado; </w:t>
      </w:r>
    </w:p>
    <w:p w:rsidR="006430BA" w:rsidRDefault="006430BA" w:rsidP="006430BA">
      <w:pPr>
        <w:pStyle w:val="INFOEM"/>
        <w:numPr>
          <w:ilvl w:val="0"/>
          <w:numId w:val="16"/>
        </w:numPr>
        <w:spacing w:before="0" w:line="240" w:lineRule="auto"/>
        <w:ind w:left="1134" w:right="567"/>
      </w:pPr>
      <w:r w:rsidRPr="00030214">
        <w:t xml:space="preserve">Celebrar, otorgar y suscribir contratos, convenios, escrituras públicas y demás actos jurídicos de cualquier índole, necesarios para el ejercicio de las atribuciones del órgano ejecutivo local, excepto los relativos a obra pública, los servicios relacionados con ésta, y otros que sean atribución de otra dependencia, unidad administrativa u órgano desconcentrado, o correspondan a una facultad indelegable de la persona titular del Poder Ejecutivo del Estado, así como registrar y normar los actos y contratos relacionados con recursos humanos, materiales, de servicios y de tecnología de los que resulten derechos y obligaciones para el Gobierno del Estado; </w:t>
      </w:r>
    </w:p>
    <w:p w:rsidR="006430BA" w:rsidRDefault="006430BA" w:rsidP="006430BA">
      <w:pPr>
        <w:pStyle w:val="INFOEM"/>
        <w:numPr>
          <w:ilvl w:val="0"/>
          <w:numId w:val="16"/>
        </w:numPr>
        <w:spacing w:before="0" w:line="240" w:lineRule="auto"/>
        <w:ind w:left="1134" w:right="567"/>
      </w:pPr>
      <w:r w:rsidRPr="00030214">
        <w:t>Prestar a las dependencias, organismos auxiliares y a los municipios, cuando así lo soliciten, la asesoría y el apoyo técnico necesario relacionado a los temas que le competen;</w:t>
      </w:r>
    </w:p>
    <w:p w:rsidR="006430BA" w:rsidRDefault="006430BA" w:rsidP="006430BA">
      <w:pPr>
        <w:pStyle w:val="INFOEM"/>
        <w:numPr>
          <w:ilvl w:val="0"/>
          <w:numId w:val="16"/>
        </w:numPr>
        <w:spacing w:before="0" w:line="240" w:lineRule="auto"/>
        <w:ind w:left="1134" w:right="567"/>
      </w:pPr>
      <w:r w:rsidRPr="00030214">
        <w:t xml:space="preserve">Representar legalmente al Gobierno del Estado y vigilar en el cumplimiento de las disposiciones legales en materia de recursos humanos, materiales, bienes muebles e inmuebles, servicios generales y adjudicaciones, en el ámbito de su competencia; </w:t>
      </w:r>
    </w:p>
    <w:p w:rsidR="006430BA" w:rsidRPr="00710CD4" w:rsidRDefault="006430BA" w:rsidP="006430BA">
      <w:pPr>
        <w:pStyle w:val="INFOEM"/>
        <w:numPr>
          <w:ilvl w:val="0"/>
          <w:numId w:val="16"/>
        </w:numPr>
        <w:spacing w:before="0" w:line="240" w:lineRule="auto"/>
        <w:ind w:left="1134" w:right="567"/>
        <w:rPr>
          <w:b/>
        </w:rPr>
      </w:pPr>
      <w:r w:rsidRPr="00710CD4">
        <w:rPr>
          <w:b/>
        </w:rPr>
        <w:t xml:space="preserve">Normar dirigir, vigilar y controlar la selección, contratación y capacitación del personal adscrito a las dependencias del Poder Ejecutivo del Estado, bajo los principios de no discriminación, equidad de género e igualdad de oportunidades, con base en las disposiciones legales aplicables; </w:t>
      </w:r>
    </w:p>
    <w:p w:rsidR="006430BA" w:rsidRPr="00710CD4" w:rsidRDefault="006430BA" w:rsidP="006430BA">
      <w:pPr>
        <w:pStyle w:val="INFOEM"/>
        <w:numPr>
          <w:ilvl w:val="0"/>
          <w:numId w:val="16"/>
        </w:numPr>
        <w:spacing w:before="0" w:line="240" w:lineRule="auto"/>
        <w:ind w:left="1134" w:right="567"/>
        <w:rPr>
          <w:b/>
        </w:rPr>
      </w:pPr>
      <w:r w:rsidRPr="00710CD4">
        <w:rPr>
          <w:b/>
        </w:rPr>
        <w:lastRenderedPageBreak/>
        <w:t xml:space="preserve">Gestionar los nombramientos, remociones, renuncias, licencias y jubilaciones de las personas servidoras públicas del Poder Ejecutivo del Estado, y en su caso de sus organismos auxiliares; apegado a las disposiciones legales vigentes; </w:t>
      </w:r>
    </w:p>
    <w:p w:rsidR="006430BA" w:rsidRPr="00710CD4" w:rsidRDefault="006430BA" w:rsidP="006430BA">
      <w:pPr>
        <w:pStyle w:val="INFOEM"/>
        <w:numPr>
          <w:ilvl w:val="0"/>
          <w:numId w:val="16"/>
        </w:numPr>
        <w:spacing w:before="0" w:line="240" w:lineRule="auto"/>
        <w:ind w:left="1134" w:right="567"/>
        <w:rPr>
          <w:b/>
        </w:rPr>
      </w:pPr>
      <w:r w:rsidRPr="00710CD4">
        <w:rPr>
          <w:b/>
        </w:rPr>
        <w:t xml:space="preserve">Establecer las normas y lineamientos para administrar y controlar el régimen escalafonario de las personas servidoras públicas al servicio de las dependencias y en su caso de sus organismos auxiliares del Gobierno del Estado, así como mantener actualizado el expediente personal de estas; </w:t>
      </w:r>
    </w:p>
    <w:p w:rsidR="006430BA" w:rsidRDefault="006430BA" w:rsidP="006430BA">
      <w:pPr>
        <w:pStyle w:val="INFOEM"/>
      </w:pPr>
      <w:r>
        <w:t>(…)</w:t>
      </w:r>
    </w:p>
    <w:p w:rsidR="006430BA" w:rsidRDefault="006430BA" w:rsidP="006430BA">
      <w:pPr>
        <w:pStyle w:val="INFOEM"/>
      </w:pPr>
    </w:p>
    <w:p w:rsidR="006430BA" w:rsidRDefault="006430BA" w:rsidP="006430BA">
      <w:pPr>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 xml:space="preserve">Por otro lado, es necesario traer a colación el </w:t>
      </w:r>
      <w:r w:rsidRPr="00710CD4">
        <w:rPr>
          <w:rFonts w:ascii="Palatino Linotype" w:eastAsia="Palatino Linotype" w:hAnsi="Palatino Linotype" w:cs="Palatino Linotype"/>
          <w:color w:val="000000"/>
          <w:lang w:val="es-ES_tradnl" w:eastAsia="es-MX"/>
        </w:rPr>
        <w:t>Acuerdo por el que se transfieren los recursos de la Subsecretaría de Administración de la Secretaría d</w:t>
      </w:r>
      <w:r>
        <w:rPr>
          <w:rFonts w:ascii="Palatino Linotype" w:eastAsia="Palatino Linotype" w:hAnsi="Palatino Linotype" w:cs="Palatino Linotype"/>
          <w:color w:val="000000"/>
          <w:lang w:val="es-ES_tradnl" w:eastAsia="es-MX"/>
        </w:rPr>
        <w:t>e Finanzas a la Oficialía Mayor, publicado el 27 de septiembre de 2023 en el periódico oficial “Gaceta del Gobierno” del Estado de México, mismo que establece lo siguiente:</w:t>
      </w:r>
    </w:p>
    <w:p w:rsidR="006430BA" w:rsidRDefault="006430BA" w:rsidP="006430BA">
      <w:pPr>
        <w:pStyle w:val="INFOEM"/>
      </w:pPr>
      <w:r>
        <w:t>“(…)</w:t>
      </w:r>
    </w:p>
    <w:p w:rsidR="006430BA" w:rsidRDefault="006430BA" w:rsidP="006430BA">
      <w:pPr>
        <w:pStyle w:val="INFOEM"/>
      </w:pPr>
      <w:r w:rsidRPr="009807AA">
        <w:t xml:space="preserve">Que conforme a lo previsto en los artículos 58 y 59 de la Ley Orgánica citada en el párrafo anterior, la Oficialía Mayor es la encargada de planear, organizar, normar y dirigir la administración y el desarrollo de los recursos humanos, materiales y servicios, para el apoyo administrativo y tecnológico que requieran las dependencias del Poder Ejecutivo del Estado y, por tanto, cuenta con diversas atribuciones específicas para cumplir con tales responsabilidades, las cuales, antes de la entrada en vigor de la referida Ley Orgánica, correspondían a la Secretaría de Finanzas, a través de la Subsecretaría de Administración. </w:t>
      </w:r>
    </w:p>
    <w:p w:rsidR="006430BA" w:rsidRDefault="006430BA" w:rsidP="006430BA">
      <w:pPr>
        <w:pStyle w:val="INFOEM"/>
      </w:pPr>
      <w:r w:rsidRPr="009807AA">
        <w:t xml:space="preserve">Que a fin de dar cumplimiento a lo dispuesto en los artículos transitorios Quinto, Sexto, Séptimo, Noveno, Décimo Tercero, Décimo Cuarto, y Décimo Quinto </w:t>
      </w:r>
      <w:r w:rsidRPr="009807AA">
        <w:lastRenderedPageBreak/>
        <w:t>Transitorios del Decreto 182 de mérito, resulta necesario transferir los recursos con los que la Subsecretaría de Administración, dependiente de la Secretaría de Finanzas, ejercía sus funciones a la Oficialía Mayor, ello a fin de dotarla de los instrumentos jurídicos y administrativos necesarios que le permitan continuar la operación de los actos en dichas materias.</w:t>
      </w:r>
    </w:p>
    <w:p w:rsidR="006430BA" w:rsidRDefault="006430BA" w:rsidP="006430BA">
      <w:pPr>
        <w:pStyle w:val="INFOEM"/>
      </w:pPr>
      <w:r>
        <w:t>…</w:t>
      </w:r>
    </w:p>
    <w:p w:rsidR="006430BA" w:rsidRDefault="006430BA" w:rsidP="006430BA">
      <w:pPr>
        <w:pStyle w:val="INFOEM"/>
      </w:pPr>
      <w:r w:rsidRPr="009807AA">
        <w:t xml:space="preserve">ARTÍCULO SEGUNDO. </w:t>
      </w:r>
      <w:r w:rsidRPr="009807AA">
        <w:rPr>
          <w:b/>
        </w:rPr>
        <w:t xml:space="preserve">Los </w:t>
      </w:r>
      <w:r w:rsidRPr="009807AA">
        <w:rPr>
          <w:b/>
          <w:u w:val="single"/>
        </w:rPr>
        <w:t>recursos humanos</w:t>
      </w:r>
      <w:r w:rsidRPr="009807AA">
        <w:rPr>
          <w:b/>
        </w:rPr>
        <w:t xml:space="preserve">, materiales, </w:t>
      </w:r>
      <w:r w:rsidRPr="009807AA">
        <w:rPr>
          <w:b/>
          <w:u w:val="single"/>
        </w:rPr>
        <w:t>presupuestales y financieros de la Subsecretaría de Administración de la Secretaría de Finanzas</w:t>
      </w:r>
      <w:r w:rsidRPr="009807AA">
        <w:t xml:space="preserve">, con excepción de los relativos a la Dirección General del Sistema Estatal de Informática, que continuará adscrita a la Secretaría de Finanzas, </w:t>
      </w:r>
      <w:r w:rsidRPr="009807AA">
        <w:rPr>
          <w:b/>
        </w:rPr>
        <w:t>serán transferidos a partir de la entrada en vigor del presente Acuerdo a la Oficialía Mayor</w:t>
      </w:r>
      <w:r w:rsidRPr="009807AA">
        <w:t xml:space="preserve">. </w:t>
      </w:r>
      <w:r w:rsidRPr="00041AF1">
        <w:rPr>
          <w:b/>
        </w:rPr>
        <w:t xml:space="preserve">La Secretaría de Finanzas deberá llevar a cabo las acciones necesarias que permitan a la </w:t>
      </w:r>
      <w:r w:rsidRPr="00041AF1">
        <w:rPr>
          <w:b/>
          <w:u w:val="single"/>
        </w:rPr>
        <w:t>Oficialía Mayor ejercer sus atribuciones y cumplir con sus obligaciones relativas al pago de las prestaciones económicas de los recursos humanos</w:t>
      </w:r>
      <w:r w:rsidRPr="00041AF1">
        <w:rPr>
          <w:b/>
        </w:rPr>
        <w:t>,</w:t>
      </w:r>
      <w:r w:rsidRPr="009807AA">
        <w:t xml:space="preserve"> materiales y financieros, así como las derivadas de los contratos de arrendamiento de bienes muebles e inmuebles, de ejecución de obra pública y los correspondientes a la adquisición de los bienes y servicios.</w:t>
      </w:r>
    </w:p>
    <w:p w:rsidR="006430BA" w:rsidRDefault="006430BA" w:rsidP="006430BA">
      <w:pPr>
        <w:pStyle w:val="INFOEM"/>
      </w:pPr>
      <w:r w:rsidRPr="00041AF1">
        <w:t xml:space="preserve">ARTÍCULO TERCERO. 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w:t>
      </w:r>
      <w:r w:rsidRPr="00041AF1">
        <w:lastRenderedPageBreak/>
        <w:t>excepción de las que correspondan a la Dirección General del Sistema Estatal de Informática, se entenderán hechas a la Oficialía Mayor.</w:t>
      </w:r>
    </w:p>
    <w:p w:rsidR="006430BA" w:rsidRDefault="006430BA" w:rsidP="006430BA">
      <w:pPr>
        <w:pStyle w:val="INFOEM"/>
      </w:pPr>
      <w:r w:rsidRPr="00041AF1">
        <w:t xml:space="preserve">ARTÍCULO CUARTO. Los asuntos, actos, procedimientos, programas o proyectos que se encuentren en trámite o curso en la Subsecretaría de Administración o en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los correspondientes a la Dirección General del Sistema Estatal de Informática, serán atendidos hasta su conclusión por la Oficialía Mayor. </w:t>
      </w:r>
    </w:p>
    <w:p w:rsidR="006430BA" w:rsidRDefault="006430BA" w:rsidP="006430BA">
      <w:pPr>
        <w:pStyle w:val="INFOEM"/>
      </w:pPr>
      <w:r w:rsidRPr="00041AF1">
        <w:rPr>
          <w:b/>
        </w:rPr>
        <w:t>ARTÍCULO QUINTO. Los recursos humanos serán trasferidos respetando los derechos laborales de las personas servidoras públicas adscritas a las Subsecretaría de Administración de conformidad con las disposiciones jurídicas aplicables</w:t>
      </w:r>
      <w:r w:rsidRPr="00041AF1">
        <w:t>.</w:t>
      </w:r>
    </w:p>
    <w:p w:rsidR="006430BA" w:rsidRDefault="006430BA" w:rsidP="006430BA">
      <w:pPr>
        <w:pStyle w:val="Sinespaciado"/>
        <w:spacing w:line="360" w:lineRule="auto"/>
        <w:jc w:val="both"/>
        <w:rPr>
          <w:rFonts w:ascii="Palatino Linotype" w:eastAsia="Palatino Linotype" w:hAnsi="Palatino Linotype" w:cs="Palatino Linotype"/>
          <w:color w:val="000000"/>
          <w:lang w:val="es-ES_tradnl" w:eastAsia="es-MX"/>
        </w:rPr>
      </w:pPr>
    </w:p>
    <w:p w:rsidR="006430BA" w:rsidRPr="006430BA" w:rsidRDefault="006430BA" w:rsidP="006430BA">
      <w:pPr>
        <w:pStyle w:val="Sinespaciado"/>
        <w:spacing w:line="360" w:lineRule="auto"/>
        <w:jc w:val="both"/>
        <w:rPr>
          <w:rFonts w:ascii="Palatino Linotype" w:eastAsia="Palatino Linotype" w:hAnsi="Palatino Linotype" w:cs="Palatino Linotype"/>
          <w:color w:val="000000"/>
          <w:sz w:val="24"/>
          <w:lang w:val="es-ES_tradnl" w:eastAsia="es-MX"/>
        </w:rPr>
      </w:pPr>
      <w:r w:rsidRPr="006430BA">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 </w:t>
      </w:r>
    </w:p>
    <w:p w:rsidR="006430BA" w:rsidRPr="00177253" w:rsidRDefault="006430BA" w:rsidP="006430BA">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4654"/>
        <w:gridCol w:w="1426"/>
      </w:tblGrid>
      <w:tr w:rsidR="006430BA" w:rsidTr="007C6E8C">
        <w:trPr>
          <w:trHeight w:val="408"/>
        </w:trPr>
        <w:tc>
          <w:tcPr>
            <w:tcW w:w="2962" w:type="dxa"/>
            <w:shd w:val="clear" w:color="auto" w:fill="E7E6E6" w:themeFill="background2"/>
          </w:tcPr>
          <w:p w:rsidR="006430BA" w:rsidRPr="00E80E99" w:rsidRDefault="006430BA" w:rsidP="007C6E8C">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654" w:type="dxa"/>
            <w:shd w:val="clear" w:color="auto" w:fill="E7E6E6" w:themeFill="background2"/>
          </w:tcPr>
          <w:p w:rsidR="006430BA" w:rsidRPr="00E80E99" w:rsidRDefault="006430BA" w:rsidP="007C6E8C">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426" w:type="dxa"/>
            <w:shd w:val="clear" w:color="auto" w:fill="E7E6E6" w:themeFill="background2"/>
          </w:tcPr>
          <w:p w:rsidR="006430BA" w:rsidRPr="00E80E99" w:rsidRDefault="006430BA" w:rsidP="007C6E8C">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6430BA" w:rsidTr="006430BA">
        <w:trPr>
          <w:trHeight w:val="466"/>
        </w:trPr>
        <w:tc>
          <w:tcPr>
            <w:tcW w:w="2962" w:type="dxa"/>
          </w:tcPr>
          <w:p w:rsidR="006430BA" w:rsidRPr="006430BA" w:rsidRDefault="006430BA" w:rsidP="006430BA">
            <w:pPr>
              <w:tabs>
                <w:tab w:val="left" w:pos="1828"/>
              </w:tabs>
              <w:jc w:val="both"/>
              <w:rPr>
                <w:rFonts w:ascii="Palatino Linotype" w:hAnsi="Palatino Linotype" w:cs="Tahoma"/>
                <w:bCs/>
              </w:rPr>
            </w:pPr>
            <w:r w:rsidRPr="006430BA">
              <w:rPr>
                <w:rFonts w:ascii="Palatino Linotype" w:hAnsi="Palatino Linotype" w:cs="Tahoma"/>
                <w:bCs/>
              </w:rPr>
              <w:t>De Perama Colín Martínez.</w:t>
            </w:r>
          </w:p>
          <w:p w:rsidR="006430BA" w:rsidRPr="00227D4D" w:rsidRDefault="006430BA" w:rsidP="006430BA">
            <w:pPr>
              <w:tabs>
                <w:tab w:val="left" w:pos="1828"/>
              </w:tabs>
              <w:jc w:val="both"/>
              <w:rPr>
                <w:rFonts w:ascii="Palatino Linotype" w:hAnsi="Palatino Linotype" w:cs="Tahoma"/>
                <w:bCs/>
              </w:rPr>
            </w:pPr>
            <w:r w:rsidRPr="006430BA">
              <w:rPr>
                <w:rFonts w:ascii="Palatino Linotype" w:hAnsi="Palatino Linotype" w:cs="Tahoma"/>
                <w:bCs/>
              </w:rPr>
              <w:t>Movimiento de alta</w:t>
            </w:r>
          </w:p>
        </w:tc>
        <w:tc>
          <w:tcPr>
            <w:tcW w:w="4654" w:type="dxa"/>
          </w:tcPr>
          <w:p w:rsidR="006430BA" w:rsidRPr="00E94B77" w:rsidRDefault="009940A0" w:rsidP="007C6E8C">
            <w:pPr>
              <w:jc w:val="both"/>
              <w:rPr>
                <w:rFonts w:ascii="Palatino Linotype" w:hAnsi="Palatino Linotype"/>
                <w:color w:val="000000"/>
              </w:rPr>
            </w:pPr>
            <w:r>
              <w:rPr>
                <w:rFonts w:ascii="Palatino Linotype" w:hAnsi="Palatino Linotype"/>
                <w:color w:val="000000"/>
              </w:rPr>
              <w:t xml:space="preserve">Declina competencia a Issemym </w:t>
            </w:r>
          </w:p>
        </w:tc>
        <w:tc>
          <w:tcPr>
            <w:tcW w:w="1426" w:type="dxa"/>
          </w:tcPr>
          <w:p w:rsidR="006430BA" w:rsidRPr="00B10F71" w:rsidRDefault="009940A0" w:rsidP="007C6E8C">
            <w:pPr>
              <w:jc w:val="center"/>
              <w:rPr>
                <w:rFonts w:ascii="Palatino Linotype" w:hAnsi="Palatino Linotype"/>
                <w:b/>
                <w:i/>
              </w:rPr>
            </w:pPr>
            <w:r>
              <w:rPr>
                <w:rFonts w:ascii="Palatino Linotype" w:hAnsi="Palatino Linotype"/>
                <w:b/>
                <w:i/>
              </w:rPr>
              <w:t>No</w:t>
            </w:r>
          </w:p>
        </w:tc>
      </w:tr>
      <w:tr w:rsidR="006430BA" w:rsidTr="006430BA">
        <w:trPr>
          <w:trHeight w:val="466"/>
        </w:trPr>
        <w:tc>
          <w:tcPr>
            <w:tcW w:w="2962" w:type="dxa"/>
          </w:tcPr>
          <w:p w:rsidR="006430BA" w:rsidRPr="00227D4D" w:rsidRDefault="006430BA" w:rsidP="006430BA">
            <w:pPr>
              <w:tabs>
                <w:tab w:val="left" w:pos="1828"/>
              </w:tabs>
              <w:rPr>
                <w:rFonts w:ascii="Palatino Linotype" w:hAnsi="Palatino Linotype" w:cs="Tahoma"/>
                <w:bCs/>
              </w:rPr>
            </w:pPr>
            <w:r>
              <w:rPr>
                <w:rFonts w:ascii="Palatino Linotype" w:hAnsi="Palatino Linotype" w:cs="Tahoma"/>
                <w:bCs/>
              </w:rPr>
              <w:t>Nombramiento</w:t>
            </w:r>
          </w:p>
        </w:tc>
        <w:tc>
          <w:tcPr>
            <w:tcW w:w="4654" w:type="dxa"/>
          </w:tcPr>
          <w:p w:rsidR="006430BA" w:rsidRPr="00E94B77" w:rsidRDefault="009940A0" w:rsidP="007C6E8C">
            <w:pPr>
              <w:jc w:val="both"/>
              <w:rPr>
                <w:rFonts w:ascii="Palatino Linotype" w:hAnsi="Palatino Linotype"/>
                <w:color w:val="000000"/>
              </w:rPr>
            </w:pPr>
            <w:r>
              <w:rPr>
                <w:rFonts w:ascii="Palatino Linotype" w:hAnsi="Palatino Linotype"/>
                <w:color w:val="000000"/>
              </w:rPr>
              <w:t>No se pronunció</w:t>
            </w:r>
          </w:p>
        </w:tc>
        <w:tc>
          <w:tcPr>
            <w:tcW w:w="1426" w:type="dxa"/>
          </w:tcPr>
          <w:p w:rsidR="006430BA" w:rsidRPr="00B10F71" w:rsidRDefault="009940A0" w:rsidP="007C6E8C">
            <w:pPr>
              <w:jc w:val="center"/>
              <w:rPr>
                <w:rFonts w:ascii="Palatino Linotype" w:hAnsi="Palatino Linotype"/>
                <w:b/>
                <w:i/>
              </w:rPr>
            </w:pPr>
            <w:r>
              <w:rPr>
                <w:rFonts w:ascii="Palatino Linotype" w:hAnsi="Palatino Linotype"/>
                <w:b/>
                <w:i/>
              </w:rPr>
              <w:t>No</w:t>
            </w:r>
          </w:p>
        </w:tc>
      </w:tr>
      <w:tr w:rsidR="006430BA" w:rsidTr="006430BA">
        <w:trPr>
          <w:trHeight w:val="466"/>
        </w:trPr>
        <w:tc>
          <w:tcPr>
            <w:tcW w:w="2962" w:type="dxa"/>
          </w:tcPr>
          <w:p w:rsidR="006430BA" w:rsidRPr="00227D4D" w:rsidRDefault="006430BA" w:rsidP="007C6E8C">
            <w:pPr>
              <w:tabs>
                <w:tab w:val="left" w:pos="1828"/>
              </w:tabs>
              <w:jc w:val="both"/>
              <w:rPr>
                <w:rFonts w:ascii="Palatino Linotype" w:hAnsi="Palatino Linotype" w:cs="Tahoma"/>
                <w:bCs/>
              </w:rPr>
            </w:pPr>
            <w:r>
              <w:rPr>
                <w:rFonts w:ascii="Palatino Linotype" w:hAnsi="Palatino Linotype" w:cs="Tahoma"/>
                <w:bCs/>
              </w:rPr>
              <w:lastRenderedPageBreak/>
              <w:t>C</w:t>
            </w:r>
            <w:r w:rsidRPr="00A93F4E">
              <w:rPr>
                <w:rFonts w:ascii="Palatino Linotype" w:hAnsi="Palatino Linotype" w:cs="Tahoma"/>
                <w:bCs/>
              </w:rPr>
              <w:t>argo y categoría que desempeña</w:t>
            </w:r>
          </w:p>
        </w:tc>
        <w:tc>
          <w:tcPr>
            <w:tcW w:w="4654" w:type="dxa"/>
          </w:tcPr>
          <w:p w:rsidR="006430BA" w:rsidRPr="00E94B77" w:rsidRDefault="009940A0" w:rsidP="007C6E8C">
            <w:pPr>
              <w:jc w:val="both"/>
              <w:rPr>
                <w:rFonts w:ascii="Palatino Linotype" w:hAnsi="Palatino Linotype"/>
                <w:color w:val="000000"/>
              </w:rPr>
            </w:pPr>
            <w:r>
              <w:rPr>
                <w:rFonts w:ascii="Palatino Linotype" w:hAnsi="Palatino Linotype"/>
                <w:color w:val="000000"/>
              </w:rPr>
              <w:t>Directora Escolar Prees. Y Prim.</w:t>
            </w:r>
          </w:p>
        </w:tc>
        <w:tc>
          <w:tcPr>
            <w:tcW w:w="1426" w:type="dxa"/>
          </w:tcPr>
          <w:p w:rsidR="006430BA" w:rsidRPr="00B10F71" w:rsidRDefault="009940A0" w:rsidP="007C6E8C">
            <w:pPr>
              <w:jc w:val="center"/>
              <w:rPr>
                <w:rFonts w:ascii="Palatino Linotype" w:hAnsi="Palatino Linotype"/>
                <w:b/>
                <w:i/>
              </w:rPr>
            </w:pPr>
            <w:r>
              <w:rPr>
                <w:rFonts w:ascii="Palatino Linotype" w:hAnsi="Palatino Linotype"/>
                <w:b/>
                <w:i/>
              </w:rPr>
              <w:t>Sí</w:t>
            </w:r>
          </w:p>
        </w:tc>
      </w:tr>
      <w:tr w:rsidR="006430BA" w:rsidTr="006430BA">
        <w:trPr>
          <w:trHeight w:val="466"/>
        </w:trPr>
        <w:tc>
          <w:tcPr>
            <w:tcW w:w="2962" w:type="dxa"/>
          </w:tcPr>
          <w:p w:rsidR="006430BA" w:rsidRPr="00227D4D" w:rsidRDefault="006430BA" w:rsidP="007C6E8C">
            <w:pPr>
              <w:tabs>
                <w:tab w:val="left" w:pos="1828"/>
              </w:tabs>
              <w:jc w:val="both"/>
              <w:rPr>
                <w:rFonts w:ascii="Palatino Linotype" w:hAnsi="Palatino Linotype" w:cs="Tahoma"/>
                <w:bCs/>
              </w:rPr>
            </w:pPr>
            <w:r>
              <w:rPr>
                <w:rFonts w:ascii="Palatino Linotype" w:hAnsi="Palatino Linotype" w:cs="Tahoma"/>
                <w:bCs/>
              </w:rPr>
              <w:t>Horario laboral</w:t>
            </w:r>
          </w:p>
        </w:tc>
        <w:tc>
          <w:tcPr>
            <w:tcW w:w="4654" w:type="dxa"/>
          </w:tcPr>
          <w:p w:rsidR="006430BA" w:rsidRPr="00E94B77" w:rsidRDefault="009940A0" w:rsidP="007C6E8C">
            <w:pPr>
              <w:jc w:val="both"/>
              <w:rPr>
                <w:rFonts w:ascii="Palatino Linotype" w:hAnsi="Palatino Linotype"/>
                <w:color w:val="000000"/>
              </w:rPr>
            </w:pPr>
            <w:r w:rsidRPr="009940A0">
              <w:rPr>
                <w:rFonts w:ascii="Palatino Linotype" w:hAnsi="Palatino Linotype"/>
                <w:color w:val="000000"/>
              </w:rPr>
              <w:t>horario laboral de 8:00 a 13:00 horas de lunes a viernes</w:t>
            </w:r>
          </w:p>
        </w:tc>
        <w:tc>
          <w:tcPr>
            <w:tcW w:w="1426" w:type="dxa"/>
          </w:tcPr>
          <w:p w:rsidR="006430BA" w:rsidRPr="00B10F71" w:rsidRDefault="009940A0" w:rsidP="007C6E8C">
            <w:pPr>
              <w:jc w:val="center"/>
              <w:rPr>
                <w:rFonts w:ascii="Palatino Linotype" w:hAnsi="Palatino Linotype"/>
                <w:b/>
                <w:i/>
              </w:rPr>
            </w:pPr>
            <w:r>
              <w:rPr>
                <w:rFonts w:ascii="Palatino Linotype" w:hAnsi="Palatino Linotype"/>
                <w:b/>
                <w:i/>
              </w:rPr>
              <w:t>Sí</w:t>
            </w:r>
          </w:p>
        </w:tc>
      </w:tr>
      <w:tr w:rsidR="006430BA" w:rsidTr="006430BA">
        <w:trPr>
          <w:trHeight w:val="466"/>
        </w:trPr>
        <w:tc>
          <w:tcPr>
            <w:tcW w:w="2962" w:type="dxa"/>
          </w:tcPr>
          <w:p w:rsidR="006430BA" w:rsidRPr="00227D4D" w:rsidRDefault="006430BA" w:rsidP="006430BA">
            <w:pPr>
              <w:tabs>
                <w:tab w:val="left" w:pos="1828"/>
              </w:tabs>
              <w:rPr>
                <w:rFonts w:ascii="Palatino Linotype" w:hAnsi="Palatino Linotype" w:cs="Tahoma"/>
                <w:bCs/>
              </w:rPr>
            </w:pPr>
            <w:r>
              <w:rPr>
                <w:rFonts w:ascii="Palatino Linotype" w:hAnsi="Palatino Linotype" w:cs="Tahoma"/>
                <w:bCs/>
              </w:rPr>
              <w:t>N</w:t>
            </w:r>
            <w:r w:rsidRPr="00A93F4E">
              <w:rPr>
                <w:rFonts w:ascii="Palatino Linotype" w:hAnsi="Palatino Linotype" w:cs="Tahoma"/>
                <w:bCs/>
              </w:rPr>
              <w:t>ómina de pago del 30 de diciembre de 2021 a la fecha</w:t>
            </w:r>
          </w:p>
        </w:tc>
        <w:tc>
          <w:tcPr>
            <w:tcW w:w="4654" w:type="dxa"/>
          </w:tcPr>
          <w:p w:rsidR="006430BA" w:rsidRPr="00E94B77" w:rsidRDefault="009940A0" w:rsidP="007C6E8C">
            <w:pPr>
              <w:jc w:val="both"/>
              <w:rPr>
                <w:rFonts w:ascii="Palatino Linotype" w:hAnsi="Palatino Linotype"/>
                <w:color w:val="000000"/>
              </w:rPr>
            </w:pPr>
            <w:r>
              <w:rPr>
                <w:rFonts w:ascii="Palatino Linotype" w:hAnsi="Palatino Linotype"/>
                <w:color w:val="000000"/>
              </w:rPr>
              <w:t>Declina competencia a Oficialía Mayor</w:t>
            </w:r>
          </w:p>
        </w:tc>
        <w:tc>
          <w:tcPr>
            <w:tcW w:w="1426" w:type="dxa"/>
          </w:tcPr>
          <w:p w:rsidR="006430BA" w:rsidRPr="00B10F71" w:rsidRDefault="009940A0" w:rsidP="007C6E8C">
            <w:pPr>
              <w:jc w:val="center"/>
              <w:rPr>
                <w:rFonts w:ascii="Palatino Linotype" w:hAnsi="Palatino Linotype"/>
                <w:b/>
                <w:i/>
              </w:rPr>
            </w:pPr>
            <w:r>
              <w:rPr>
                <w:rFonts w:ascii="Palatino Linotype" w:hAnsi="Palatino Linotype"/>
                <w:b/>
                <w:i/>
              </w:rPr>
              <w:t>No</w:t>
            </w:r>
          </w:p>
        </w:tc>
      </w:tr>
    </w:tbl>
    <w:p w:rsidR="004F7928" w:rsidRDefault="004F7928" w:rsidP="004F7928">
      <w:pPr>
        <w:tabs>
          <w:tab w:val="left" w:pos="2130"/>
        </w:tabs>
        <w:spacing w:line="360" w:lineRule="auto"/>
        <w:jc w:val="both"/>
        <w:rPr>
          <w:rFonts w:ascii="Palatino Linotype" w:eastAsia="Calibri" w:hAnsi="Palatino Linotype" w:cs="Tahoma"/>
          <w:bCs/>
        </w:rPr>
      </w:pPr>
    </w:p>
    <w:p w:rsidR="00C1094B" w:rsidRDefault="00C1094B" w:rsidP="004F7928">
      <w:pPr>
        <w:tabs>
          <w:tab w:val="left" w:pos="2130"/>
        </w:tabs>
        <w:spacing w:line="360" w:lineRule="auto"/>
        <w:jc w:val="both"/>
        <w:rPr>
          <w:rFonts w:ascii="Palatino Linotype" w:eastAsia="Calibri" w:hAnsi="Palatino Linotype" w:cs="Tahoma"/>
          <w:bCs/>
        </w:rPr>
      </w:pPr>
    </w:p>
    <w:p w:rsidR="00307B6D" w:rsidRDefault="00307B6D" w:rsidP="004F7928">
      <w:pPr>
        <w:tabs>
          <w:tab w:val="left" w:pos="2130"/>
        </w:tabs>
        <w:spacing w:line="360" w:lineRule="auto"/>
        <w:jc w:val="both"/>
        <w:rPr>
          <w:rFonts w:ascii="Palatino Linotype" w:eastAsia="Calibri" w:hAnsi="Palatino Linotype" w:cs="Tahoma"/>
          <w:bCs/>
        </w:rPr>
      </w:pPr>
      <w:r>
        <w:rPr>
          <w:rFonts w:ascii="Palatino Linotype" w:eastAsia="Calibri" w:hAnsi="Palatino Linotype" w:cs="Tahoma"/>
          <w:bCs/>
        </w:rPr>
        <w:t>Para mayor abundamiento, es necesario traer a colación el Organigrama del Sujeto Obligado, tal como se ilustra:</w:t>
      </w:r>
    </w:p>
    <w:p w:rsidR="00307B6D" w:rsidRDefault="00307B6D" w:rsidP="004F7928">
      <w:pPr>
        <w:tabs>
          <w:tab w:val="left" w:pos="2130"/>
        </w:tabs>
        <w:spacing w:line="360" w:lineRule="auto"/>
        <w:jc w:val="both"/>
        <w:rPr>
          <w:rFonts w:ascii="Palatino Linotype" w:eastAsia="Calibri" w:hAnsi="Palatino Linotype" w:cs="Tahoma"/>
          <w:bCs/>
        </w:rPr>
      </w:pPr>
      <w:r>
        <w:rPr>
          <w:rFonts w:ascii="Palatino Linotype" w:eastAsia="Calibri" w:hAnsi="Palatino Linotype" w:cs="Tahoma"/>
          <w:bCs/>
          <w:noProof/>
          <w:lang w:val="es-MX" w:eastAsia="es-MX"/>
        </w:rPr>
        <w:drawing>
          <wp:inline distT="0" distB="0" distL="0" distR="0">
            <wp:extent cx="5524500" cy="4149583"/>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86704.tmp"/>
                    <pic:cNvPicPr/>
                  </pic:nvPicPr>
                  <pic:blipFill>
                    <a:blip r:embed="rId8">
                      <a:extLst>
                        <a:ext uri="{28A0092B-C50C-407E-A947-70E740481C1C}">
                          <a14:useLocalDpi xmlns:a14="http://schemas.microsoft.com/office/drawing/2010/main" val="0"/>
                        </a:ext>
                      </a:extLst>
                    </a:blip>
                    <a:stretch>
                      <a:fillRect/>
                    </a:stretch>
                  </pic:blipFill>
                  <pic:spPr>
                    <a:xfrm>
                      <a:off x="0" y="0"/>
                      <a:ext cx="5560694" cy="4176769"/>
                    </a:xfrm>
                    <a:prstGeom prst="rect">
                      <a:avLst/>
                    </a:prstGeom>
                  </pic:spPr>
                </pic:pic>
              </a:graphicData>
            </a:graphic>
          </wp:inline>
        </w:drawing>
      </w:r>
    </w:p>
    <w:p w:rsidR="00307B6D" w:rsidRDefault="00307B6D" w:rsidP="00307B6D">
      <w:pPr>
        <w:tabs>
          <w:tab w:val="left" w:pos="2130"/>
        </w:tabs>
        <w:spacing w:line="360" w:lineRule="auto"/>
        <w:jc w:val="center"/>
        <w:rPr>
          <w:rFonts w:ascii="Palatino Linotype" w:eastAsia="Calibri" w:hAnsi="Palatino Linotype" w:cs="Tahoma"/>
          <w:bCs/>
        </w:rPr>
      </w:pPr>
      <w:r>
        <w:rPr>
          <w:rFonts w:ascii="Palatino Linotype" w:eastAsia="Calibri" w:hAnsi="Palatino Linotype" w:cs="Tahoma"/>
          <w:bCs/>
          <w:noProof/>
          <w:lang w:val="es-MX" w:eastAsia="es-MX"/>
        </w:rPr>
        <w:lastRenderedPageBreak/>
        <w:drawing>
          <wp:inline distT="0" distB="0" distL="0" distR="0">
            <wp:extent cx="3543300" cy="2997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8BDA1.tmp"/>
                    <pic:cNvPicPr/>
                  </pic:nvPicPr>
                  <pic:blipFill>
                    <a:blip r:embed="rId9">
                      <a:extLst>
                        <a:ext uri="{28A0092B-C50C-407E-A947-70E740481C1C}">
                          <a14:useLocalDpi xmlns:a14="http://schemas.microsoft.com/office/drawing/2010/main" val="0"/>
                        </a:ext>
                      </a:extLst>
                    </a:blip>
                    <a:stretch>
                      <a:fillRect/>
                    </a:stretch>
                  </pic:blipFill>
                  <pic:spPr>
                    <a:xfrm>
                      <a:off x="0" y="0"/>
                      <a:ext cx="3573211" cy="3022401"/>
                    </a:xfrm>
                    <a:prstGeom prst="rect">
                      <a:avLst/>
                    </a:prstGeom>
                  </pic:spPr>
                </pic:pic>
              </a:graphicData>
            </a:graphic>
          </wp:inline>
        </w:drawing>
      </w:r>
    </w:p>
    <w:p w:rsidR="00307B6D" w:rsidRDefault="00307B6D" w:rsidP="004F7928">
      <w:pPr>
        <w:tabs>
          <w:tab w:val="left" w:pos="2130"/>
        </w:tabs>
        <w:spacing w:line="360" w:lineRule="auto"/>
        <w:jc w:val="both"/>
        <w:rPr>
          <w:rFonts w:ascii="Palatino Linotype" w:eastAsia="Calibri" w:hAnsi="Palatino Linotype" w:cs="Tahoma"/>
          <w:bCs/>
        </w:rPr>
      </w:pPr>
    </w:p>
    <w:p w:rsidR="00C1094B" w:rsidRDefault="00C1094B" w:rsidP="004F7928">
      <w:pPr>
        <w:tabs>
          <w:tab w:val="left" w:pos="2130"/>
        </w:tabs>
        <w:spacing w:line="360" w:lineRule="auto"/>
        <w:jc w:val="both"/>
        <w:rPr>
          <w:rFonts w:ascii="Palatino Linotype" w:eastAsia="Calibri" w:hAnsi="Palatino Linotype" w:cs="Tahoma"/>
          <w:bCs/>
        </w:rPr>
      </w:pPr>
      <w:r>
        <w:rPr>
          <w:rFonts w:ascii="Palatino Linotype" w:eastAsia="Calibri" w:hAnsi="Palatino Linotype" w:cs="Tahoma"/>
          <w:bCs/>
        </w:rPr>
        <w:t xml:space="preserve">Ahora bien, el Reglamento Interior de la </w:t>
      </w:r>
      <w:r w:rsidRPr="00C1094B">
        <w:rPr>
          <w:rFonts w:ascii="Palatino Linotype" w:eastAsia="Calibri" w:hAnsi="Palatino Linotype" w:cs="Tahoma"/>
          <w:bCs/>
        </w:rPr>
        <w:t>Secretaría de Educación, Ciencia, Tecnología e Innovación</w:t>
      </w:r>
      <w:r>
        <w:rPr>
          <w:rFonts w:ascii="Palatino Linotype" w:eastAsia="Calibri" w:hAnsi="Palatino Linotype" w:cs="Tahoma"/>
          <w:bCs/>
        </w:rPr>
        <w:t xml:space="preserve"> establece lo siguiente:</w:t>
      </w:r>
    </w:p>
    <w:p w:rsidR="00C1094B" w:rsidRPr="00307B6D" w:rsidRDefault="00C1094B" w:rsidP="00C1094B">
      <w:pPr>
        <w:pStyle w:val="Citas"/>
        <w:rPr>
          <w:b/>
        </w:rPr>
      </w:pPr>
      <w:r w:rsidRPr="00307B6D">
        <w:rPr>
          <w:b/>
        </w:rPr>
        <w:t>Artículo 15. Corresponden a la Subsecretaría de Administración y Finanzas las atribuciones siguientes:</w:t>
      </w:r>
    </w:p>
    <w:p w:rsidR="00C1094B" w:rsidRPr="00C1094B" w:rsidRDefault="00C1094B" w:rsidP="00C1094B">
      <w:pPr>
        <w:pStyle w:val="Citas"/>
        <w:rPr>
          <w:lang w:val="es-ES"/>
        </w:rPr>
      </w:pPr>
      <w:r w:rsidRPr="00C1094B">
        <w:t>I. Planear, programar, supervisar y vigilar la administración de los recursos humanos, financieros, materiales, presupuestales y tecnológicos de la Secretaría;</w:t>
      </w:r>
    </w:p>
    <w:p w:rsidR="00C1094B" w:rsidRDefault="00C1094B" w:rsidP="00C1094B">
      <w:pPr>
        <w:pStyle w:val="Citas"/>
        <w:rPr>
          <w:lang w:val="es-ES"/>
        </w:rPr>
      </w:pPr>
      <w:r w:rsidRPr="00C1094B">
        <w:rPr>
          <w:lang w:val="es-ES"/>
        </w:rPr>
        <w:t>IV. Autorizar las políticas, normas, lineamientos, procedimientos y demás disposiciones en materia de administración de recursos humanos y materiales de la Secretaría, con base en la normatividad aplicable;</w:t>
      </w:r>
    </w:p>
    <w:p w:rsidR="00C1094B" w:rsidRPr="00C1094B" w:rsidRDefault="00C1094B" w:rsidP="00C1094B">
      <w:pPr>
        <w:pStyle w:val="Citas"/>
        <w:rPr>
          <w:lang w:val="es-ES"/>
        </w:rPr>
      </w:pPr>
      <w:r w:rsidRPr="00C1094B">
        <w:t xml:space="preserve">VIII. Establecer y dirigir las políticas y lineamientos para el suministro de los recursos humanos, financieros, materiales, técnicos y servicios generales, que requieren las unidades administrativas adscritas a la Secretaría, para apoyar el </w:t>
      </w:r>
      <w:r w:rsidRPr="00C1094B">
        <w:lastRenderedPageBreak/>
        <w:t>cumplimiento de sus objetivos, conforme a la normatividad vigente y a las directrices de la Oficialía Mayor del Gobierno del Estado;</w:t>
      </w:r>
    </w:p>
    <w:p w:rsidR="00C1094B" w:rsidRDefault="00C1094B" w:rsidP="00C1094B">
      <w:pPr>
        <w:pStyle w:val="Citas"/>
        <w:rPr>
          <w:lang w:val="es-ES"/>
        </w:rPr>
      </w:pPr>
    </w:p>
    <w:p w:rsidR="00C1094B" w:rsidRDefault="00C1094B" w:rsidP="00C1094B">
      <w:pPr>
        <w:pStyle w:val="Citas"/>
        <w:rPr>
          <w:lang w:val="es-ES"/>
        </w:rPr>
      </w:pPr>
      <w:r w:rsidRPr="00C1094B">
        <w:rPr>
          <w:lang w:val="es-ES"/>
        </w:rPr>
        <w:t xml:space="preserve">Artículo 27. </w:t>
      </w:r>
      <w:r w:rsidRPr="00307B6D">
        <w:rPr>
          <w:b/>
          <w:lang w:val="es-ES"/>
        </w:rPr>
        <w:t>Corresponden a la Coordinación de Delegaciones Administrativas las atribuciones siguientes</w:t>
      </w:r>
      <w:r w:rsidRPr="00C1094B">
        <w:rPr>
          <w:lang w:val="es-ES"/>
        </w:rPr>
        <w:t xml:space="preserve">: </w:t>
      </w:r>
    </w:p>
    <w:p w:rsidR="00C1094B" w:rsidRDefault="00C1094B" w:rsidP="00C1094B">
      <w:pPr>
        <w:pStyle w:val="Citas"/>
        <w:numPr>
          <w:ilvl w:val="0"/>
          <w:numId w:val="18"/>
        </w:numPr>
        <w:ind w:left="1134" w:hanging="283"/>
        <w:rPr>
          <w:lang w:val="es-ES"/>
        </w:rPr>
      </w:pPr>
      <w:r w:rsidRPr="007C6E8C">
        <w:rPr>
          <w:b/>
          <w:lang w:val="es-ES"/>
        </w:rPr>
        <w:t>Coordinar y vigilar el suministro de los recursos humanos</w:t>
      </w:r>
      <w:r w:rsidRPr="00C1094B">
        <w:rPr>
          <w:lang w:val="es-ES"/>
        </w:rPr>
        <w:t>, financieros, materiales, técnicos y servicios generales, que requieren las Delegaciones Administrativas adscritas a la Secretaría para apoyar el cumplimiento de sus objetivos, conforme a la normatividad vigente y las directrices de la Oficialía Mayor del Gobierno del Estado;</w:t>
      </w:r>
    </w:p>
    <w:p w:rsidR="00C1094B" w:rsidRDefault="00C1094B" w:rsidP="00C1094B">
      <w:pPr>
        <w:pStyle w:val="Citas"/>
        <w:rPr>
          <w:lang w:val="es-ES"/>
        </w:rPr>
      </w:pPr>
      <w:r w:rsidRPr="00C1094B">
        <w:rPr>
          <w:lang w:val="es-ES"/>
        </w:rPr>
        <w:t>V. Vigilar que el manejo de los recursos humanos, financieros, materiales, técnicos y de servicios generales de las unidades administrativas de las Subsecretarías de Educación Básica, de Educación Media Superior y de Educación Superior y Normal, se lleve a cabo en cumplimiento a las normas, políticas y procedimientos establecidos por la Secretaría de Finanzas, la Oficialía Mayor del Gobierno del Estado y la propia Secretaría;</w:t>
      </w:r>
    </w:p>
    <w:p w:rsidR="00C1094B" w:rsidRPr="00307B6D" w:rsidRDefault="00C1094B" w:rsidP="00C1094B">
      <w:pPr>
        <w:pStyle w:val="Citas"/>
        <w:rPr>
          <w:b/>
          <w:lang w:val="es-ES"/>
        </w:rPr>
      </w:pPr>
      <w:r w:rsidRPr="00307B6D">
        <w:rPr>
          <w:b/>
          <w:lang w:val="es-ES"/>
        </w:rPr>
        <w:t xml:space="preserve">Artículo 28. Corresponden a la Dirección General de Administración las atribuciones siguientes: </w:t>
      </w:r>
    </w:p>
    <w:p w:rsidR="00C1094B" w:rsidRDefault="00C1094B" w:rsidP="00C1094B">
      <w:pPr>
        <w:pStyle w:val="Citas"/>
        <w:rPr>
          <w:lang w:val="es-ES"/>
        </w:rPr>
      </w:pPr>
      <w:r w:rsidRPr="007C6E8C">
        <w:rPr>
          <w:b/>
          <w:lang w:val="es-ES"/>
        </w:rPr>
        <w:t>I. Programar, organizar y controlar el suministro, administración y aplicación de los recursos humanos,</w:t>
      </w:r>
      <w:r w:rsidRPr="00C1094B">
        <w:rPr>
          <w:lang w:val="es-ES"/>
        </w:rPr>
        <w:t xml:space="preserve"> materiales, técnicos y tecnológicos, así como los servicios generales necesarios para el funcionamiento de las unidades administrativas de la Secretaría;</w:t>
      </w:r>
    </w:p>
    <w:p w:rsidR="00C1094B" w:rsidRDefault="00C1094B" w:rsidP="00C1094B">
      <w:pPr>
        <w:pStyle w:val="Citas"/>
        <w:rPr>
          <w:lang w:val="es-ES"/>
        </w:rPr>
      </w:pPr>
      <w:r w:rsidRPr="007C6E8C">
        <w:rPr>
          <w:b/>
          <w:lang w:val="es-ES"/>
        </w:rPr>
        <w:lastRenderedPageBreak/>
        <w:t>II. Establecer, de conformidad con las disposiciones jurídicas aplicables, las normas, procedimientos y sistemas de administración interna en materia de recursos humanos</w:t>
      </w:r>
      <w:r w:rsidRPr="00C1094B">
        <w:rPr>
          <w:lang w:val="es-ES"/>
        </w:rPr>
        <w:t xml:space="preserve"> y materiales, así como de servicios generales de la Secretaría;</w:t>
      </w:r>
    </w:p>
    <w:p w:rsidR="00C1094B" w:rsidRDefault="00C1094B" w:rsidP="00C1094B">
      <w:pPr>
        <w:pStyle w:val="Citas"/>
        <w:rPr>
          <w:lang w:val="es-ES"/>
        </w:rPr>
      </w:pPr>
      <w:r w:rsidRPr="00C1094B">
        <w:rPr>
          <w:lang w:val="es-ES"/>
        </w:rPr>
        <w:t>III. Cumplir y hacer cumplir las políticas, normas, lineamientos, procedimientos y demás disposiciones en materia de administración de recursos humanos y materiales;</w:t>
      </w:r>
    </w:p>
    <w:p w:rsidR="007C6E8C" w:rsidRDefault="007C6E8C" w:rsidP="004F7928">
      <w:pPr>
        <w:tabs>
          <w:tab w:val="left" w:pos="2130"/>
        </w:tabs>
        <w:spacing w:line="360" w:lineRule="auto"/>
        <w:jc w:val="both"/>
        <w:rPr>
          <w:rFonts w:ascii="Palatino Linotype" w:eastAsia="Calibri" w:hAnsi="Palatino Linotype" w:cs="Tahoma"/>
          <w:bCs/>
        </w:rPr>
      </w:pPr>
    </w:p>
    <w:p w:rsidR="004F7928" w:rsidRDefault="007C6E8C" w:rsidP="004F7928">
      <w:pPr>
        <w:tabs>
          <w:tab w:val="left" w:pos="2130"/>
        </w:tabs>
        <w:spacing w:line="360" w:lineRule="auto"/>
        <w:jc w:val="both"/>
        <w:rPr>
          <w:rFonts w:ascii="Palatino Linotype" w:eastAsia="Calibri" w:hAnsi="Palatino Linotype" w:cs="Tahoma"/>
          <w:bCs/>
        </w:rPr>
      </w:pPr>
      <w:r>
        <w:rPr>
          <w:rFonts w:ascii="Palatino Linotype" w:eastAsia="Calibri" w:hAnsi="Palatino Linotype" w:cs="Tahoma"/>
          <w:bCs/>
        </w:rPr>
        <w:t>Por otro lado, el Manual General de Organización de la Secretaría de Educación refiere lo siguiente:</w:t>
      </w:r>
    </w:p>
    <w:p w:rsidR="0042320A" w:rsidRPr="0042320A" w:rsidRDefault="0042320A" w:rsidP="007C6E8C">
      <w:pPr>
        <w:pStyle w:val="INFOEM"/>
        <w:rPr>
          <w:lang w:val="es-ES"/>
        </w:rPr>
      </w:pPr>
      <w:r w:rsidRPr="0042320A">
        <w:rPr>
          <w:lang w:val="es-ES"/>
        </w:rPr>
        <w:t xml:space="preserve">21001001020000L DIRECCIÓN DE OPERACIÓN EDUCATIVA </w:t>
      </w:r>
    </w:p>
    <w:p w:rsidR="0042320A" w:rsidRPr="0042320A" w:rsidRDefault="0042320A" w:rsidP="007C6E8C">
      <w:pPr>
        <w:pStyle w:val="INFOEM"/>
        <w:rPr>
          <w:lang w:val="es-ES"/>
        </w:rPr>
      </w:pPr>
      <w:r w:rsidRPr="0042320A">
        <w:rPr>
          <w:lang w:val="es-ES"/>
        </w:rPr>
        <w:t>OBJETIVO:</w:t>
      </w:r>
    </w:p>
    <w:p w:rsidR="007C6E8C" w:rsidRDefault="007C6E8C" w:rsidP="007C6E8C">
      <w:pPr>
        <w:pStyle w:val="INFOEM"/>
        <w:rPr>
          <w:lang w:val="es-ES"/>
        </w:rPr>
      </w:pPr>
      <w:r w:rsidRPr="007C6E8C">
        <w:rPr>
          <w:b/>
          <w:lang w:val="es-ES"/>
        </w:rPr>
        <w:t xml:space="preserve">OBJETIVO: Supervisar, regular, controlar y operar los procesos administrativos inherentes a </w:t>
      </w:r>
      <w:r w:rsidRPr="0042320A">
        <w:rPr>
          <w:b/>
          <w:u w:val="single"/>
          <w:lang w:val="es-ES"/>
        </w:rPr>
        <w:t>movimientos de personal docente</w:t>
      </w:r>
      <w:r w:rsidRPr="007C6E8C">
        <w:rPr>
          <w:b/>
          <w:lang w:val="es-ES"/>
        </w:rPr>
        <w:t xml:space="preserve"> adscrito a las escuelas de nivel preescolar del Subsistema Educativo Estatal, c</w:t>
      </w:r>
      <w:r w:rsidRPr="007C6E8C">
        <w:rPr>
          <w:lang w:val="es-ES"/>
        </w:rPr>
        <w:t>on el propósito de garantizar la continuidad del servicio en relación a la demanda educativa y en cumplimiento de lo establecido en la normatividad vigente.</w:t>
      </w:r>
    </w:p>
    <w:p w:rsidR="00E12154" w:rsidRDefault="00E12154" w:rsidP="007C6E8C">
      <w:pPr>
        <w:pStyle w:val="INFOEM"/>
        <w:rPr>
          <w:lang w:val="es-ES"/>
        </w:rPr>
      </w:pPr>
      <w:r w:rsidRPr="00E12154">
        <w:rPr>
          <w:lang w:val="es-ES"/>
        </w:rPr>
        <w:t>− Operar mecanismos de información y asesoría sobre la normatividad jurídica y administrativa que regula los movimientos e incidencias del personal docente en los servicios de educación primaria del Subsistema Educativo Estatal.</w:t>
      </w:r>
    </w:p>
    <w:p w:rsidR="007C6E8C" w:rsidRDefault="007C6E8C" w:rsidP="007C6E8C">
      <w:pPr>
        <w:pStyle w:val="INFOEM"/>
        <w:rPr>
          <w:lang w:val="es-ES"/>
        </w:rPr>
      </w:pPr>
      <w:r w:rsidRPr="007C6E8C">
        <w:rPr>
          <w:lang w:val="es-ES"/>
        </w:rPr>
        <w:t>− Registrar en el Sistema Integral de Información de Personal los reportes de puntualidad y asistencia del personal directivo y docente adscrito a las escuelas de nivel preescolar, para su consecuente afectación nominal</w:t>
      </w:r>
      <w:r>
        <w:rPr>
          <w:lang w:val="es-ES"/>
        </w:rPr>
        <w:t>.</w:t>
      </w:r>
    </w:p>
    <w:p w:rsidR="007C6E8C" w:rsidRDefault="007C6E8C" w:rsidP="007C6E8C">
      <w:pPr>
        <w:pStyle w:val="INFOEM"/>
      </w:pPr>
      <w:r w:rsidRPr="007C6E8C">
        <w:lastRenderedPageBreak/>
        <w:t>− Proporcionar información que sea requerida por la instancia respectiva para la atención de los asuntos jurídicos y de problemática educativa del nivel preescolar, solicitando al área responsable, realice la afectación nominal que corresponda al resolutivo.</w:t>
      </w:r>
    </w:p>
    <w:p w:rsidR="00E12154" w:rsidRPr="00536FC0" w:rsidRDefault="00E12154" w:rsidP="00E12154">
      <w:pPr>
        <w:pStyle w:val="INFOEM"/>
        <w:rPr>
          <w:b/>
          <w:lang w:val="es-ES"/>
        </w:rPr>
      </w:pPr>
      <w:r w:rsidRPr="00536FC0">
        <w:rPr>
          <w:b/>
          <w:lang w:val="es-ES"/>
        </w:rPr>
        <w:t xml:space="preserve">21004001000000S COORDINACIÓN DE DELEGACIONES ADMINISTRATIVAS </w:t>
      </w:r>
    </w:p>
    <w:p w:rsidR="00E12154" w:rsidRDefault="00E12154" w:rsidP="00E12154">
      <w:pPr>
        <w:pStyle w:val="INFOEM"/>
        <w:rPr>
          <w:lang w:val="es-ES"/>
        </w:rPr>
      </w:pPr>
      <w:r w:rsidRPr="00E12154">
        <w:rPr>
          <w:lang w:val="es-ES"/>
        </w:rPr>
        <w:t>OBJETIVO: Coordinar y vigilar el suministro de los recursos humanos, financieros, materiales, técnicos y servicios generales, que requieren las unidades administrativas adscritas a las Subsecretarías de Educación Básica, Educación Media Superior y Educación Superior y Normal, para apoyar el cumplimiento de sus objetivos, conforme a la normatividad vigente.</w:t>
      </w:r>
    </w:p>
    <w:p w:rsidR="00E12154" w:rsidRDefault="00E12154" w:rsidP="00E12154">
      <w:pPr>
        <w:pStyle w:val="INFOEM"/>
      </w:pPr>
      <w:r>
        <w:t>FUNCIONES:</w:t>
      </w:r>
    </w:p>
    <w:p w:rsidR="00E12154" w:rsidRDefault="00E12154" w:rsidP="00E12154">
      <w:pPr>
        <w:pStyle w:val="INFOEM"/>
        <w:rPr>
          <w:lang w:val="es-ES"/>
        </w:rPr>
      </w:pPr>
      <w:r w:rsidRPr="00E12154">
        <w:rPr>
          <w:lang w:val="es-ES"/>
        </w:rPr>
        <w:t xml:space="preserve">− </w:t>
      </w:r>
      <w:r w:rsidRPr="00E12154">
        <w:rPr>
          <w:b/>
          <w:lang w:val="es-ES"/>
        </w:rPr>
        <w:t>Supervisar la aplicación de percepciones salariales y las diversas prestaciones económicas y sociales al personal docente</w:t>
      </w:r>
      <w:r w:rsidRPr="00E12154">
        <w:rPr>
          <w:lang w:val="es-ES"/>
        </w:rPr>
        <w:t>, derivadas del Convenio de Sueldos y Prestaciones vigente, firmado por el Gobierno del Estado de México y el Sindicato de Maestros al Servicio del Estado de México.</w:t>
      </w:r>
    </w:p>
    <w:p w:rsidR="00E12154" w:rsidRDefault="00E12154" w:rsidP="00E12154">
      <w:pPr>
        <w:pStyle w:val="INFOEM"/>
        <w:rPr>
          <w:lang w:val="es-ES"/>
        </w:rPr>
      </w:pPr>
      <w:r w:rsidRPr="00E12154">
        <w:rPr>
          <w:b/>
          <w:lang w:val="es-ES"/>
        </w:rPr>
        <w:t>− Supervisar la ejecución de los avisos de movimiento para la afiliación y vigencia de derechos de servidoras y servidores públicos docentes ante el Instituto de Seguridad Social del Estado de México y Municipios,</w:t>
      </w:r>
      <w:r w:rsidRPr="00E12154">
        <w:rPr>
          <w:lang w:val="es-ES"/>
        </w:rPr>
        <w:t xml:space="preserve"> adscritos a las Subsecretarías de Educación Básica, de Educación Media Superior y de Educación Superior y Normal.</w:t>
      </w:r>
    </w:p>
    <w:p w:rsidR="00536FC0" w:rsidRDefault="00536FC0" w:rsidP="00536FC0">
      <w:pPr>
        <w:pStyle w:val="INFOEM"/>
      </w:pPr>
      <w:r w:rsidRPr="007C6E8C">
        <w:t xml:space="preserve">21004001010000S </w:t>
      </w:r>
      <w:r w:rsidRPr="0042320A">
        <w:rPr>
          <w:b/>
        </w:rPr>
        <w:t>DELEGACIÓN ADMINISTRATIVA DEL SUBSISTEMA DE EDUCACIÓN BÁSICA</w:t>
      </w:r>
      <w:r w:rsidRPr="007C6E8C">
        <w:t xml:space="preserve"> </w:t>
      </w:r>
    </w:p>
    <w:p w:rsidR="00536FC0" w:rsidRDefault="00536FC0" w:rsidP="00536FC0">
      <w:pPr>
        <w:pStyle w:val="INFOEM"/>
      </w:pPr>
      <w:r w:rsidRPr="007C6E8C">
        <w:lastRenderedPageBreak/>
        <w:t xml:space="preserve">OBJETIVO: Proporcionar y administrar los recursos humanos, financieros, materiales, técnicos y servicios generales que requieran las unidades administrativas adscritas a la Subsecretaría de Educación Básica, para apoyar el cumplimiento de sus objetivos, con base en la normatividad vigente. </w:t>
      </w:r>
    </w:p>
    <w:p w:rsidR="00536FC0" w:rsidRDefault="00536FC0" w:rsidP="00536FC0">
      <w:pPr>
        <w:pStyle w:val="INFOEM"/>
      </w:pPr>
      <w:r w:rsidRPr="007C6E8C">
        <w:t>FUNCIONES:</w:t>
      </w:r>
    </w:p>
    <w:p w:rsidR="00536FC0" w:rsidRDefault="00536FC0" w:rsidP="00536FC0">
      <w:pPr>
        <w:pStyle w:val="INFOEM"/>
        <w:rPr>
          <w:lang w:val="es-ES"/>
        </w:rPr>
      </w:pPr>
      <w:r w:rsidRPr="0042320A">
        <w:rPr>
          <w:lang w:val="es-ES"/>
        </w:rPr>
        <w:t>− Ejecutar en la base de datos del Sistema Integral de Información de Personal</w:t>
      </w:r>
      <w:r w:rsidRPr="0042320A">
        <w:rPr>
          <w:b/>
          <w:lang w:val="es-ES"/>
        </w:rPr>
        <w:t>, las incidencias y movimientos de alta, baja,</w:t>
      </w:r>
      <w:r w:rsidRPr="0042320A">
        <w:rPr>
          <w:lang w:val="es-ES"/>
        </w:rPr>
        <w:t xml:space="preserve"> alta/baja de horas clase, alta de interinos, cambios, promoción, transferencia, democión, licencias, reingreso de licencias de las servidoras y servidores públicos docentes adscritos a la Subsecretaría de Educación Básica.</w:t>
      </w:r>
    </w:p>
    <w:p w:rsidR="00536FC0" w:rsidRPr="0042320A" w:rsidRDefault="00536FC0" w:rsidP="00536FC0">
      <w:pPr>
        <w:pStyle w:val="INFOEM"/>
        <w:numPr>
          <w:ilvl w:val="0"/>
          <w:numId w:val="12"/>
        </w:numPr>
        <w:ind w:hanging="153"/>
        <w:rPr>
          <w:lang w:val="es-ES"/>
        </w:rPr>
      </w:pPr>
      <w:r w:rsidRPr="0042320A">
        <w:t>Administrar los recursos humanos en la asignación de plazas y horas clase que se autorizan, así como su incorporación a las unidades administrativas en la Subsecretaría de Educación Básica.</w:t>
      </w:r>
    </w:p>
    <w:p w:rsidR="00536FC0" w:rsidRPr="00536FC0" w:rsidRDefault="00536FC0" w:rsidP="00536FC0">
      <w:pPr>
        <w:pStyle w:val="INFOEM"/>
        <w:rPr>
          <w:b/>
          <w:u w:val="single"/>
        </w:rPr>
      </w:pPr>
      <w:r w:rsidRPr="00E12154">
        <w:t xml:space="preserve">− </w:t>
      </w:r>
      <w:r w:rsidRPr="00536FC0">
        <w:rPr>
          <w:b/>
          <w:u w:val="single"/>
        </w:rPr>
        <w:t>Gestionar ante el Instituto de Seguridad Social del Estado de México y Municipios, el aviso de movimiento para la afiliación y vigencia de derechos de servidoras y servidores públicos docentes, adscritos a la Subsecretaría de Educación Básica</w:t>
      </w:r>
    </w:p>
    <w:p w:rsidR="00536FC0" w:rsidRDefault="00536FC0" w:rsidP="00536FC0">
      <w:pPr>
        <w:pStyle w:val="INFOEM"/>
        <w:rPr>
          <w:b/>
        </w:rPr>
      </w:pPr>
    </w:p>
    <w:p w:rsidR="00536FC0" w:rsidRPr="00536FC0" w:rsidRDefault="00536FC0" w:rsidP="00536FC0">
      <w:pPr>
        <w:pStyle w:val="INFOEM"/>
        <w:rPr>
          <w:b/>
        </w:rPr>
      </w:pPr>
      <w:r w:rsidRPr="00536FC0">
        <w:rPr>
          <w:b/>
        </w:rPr>
        <w:t xml:space="preserve">SUBDIRECCIÓN REGIONAL DE EDUCACIÓN BÁSICA </w:t>
      </w:r>
    </w:p>
    <w:p w:rsidR="00536FC0" w:rsidRPr="00E12154" w:rsidRDefault="00536FC0" w:rsidP="00536FC0">
      <w:pPr>
        <w:pStyle w:val="INFOEM"/>
      </w:pPr>
      <w:r w:rsidRPr="00E12154">
        <w:t>OBJETIVO: Operar, supervisar, controlar, orientar y contribuir a la mejora educativa en la prestación de los servicios de educación básica y educación para personas jóvenes y adultas, en sus niveles y modalidades, con base en la normatividad federal y estatal vigente.</w:t>
      </w:r>
    </w:p>
    <w:p w:rsidR="00536FC0" w:rsidRDefault="00536FC0" w:rsidP="00536FC0">
      <w:pPr>
        <w:pStyle w:val="INFOEM"/>
      </w:pPr>
      <w:r w:rsidRPr="00536FC0">
        <w:rPr>
          <w:b/>
        </w:rPr>
        <w:lastRenderedPageBreak/>
        <w:t>− Revisar y gestionar los estudios de factibilidad, para determinar los requerimientos de plazas docentes y horas clase, así como detectar y proponer los movimientos de personal,</w:t>
      </w:r>
      <w:r w:rsidRPr="00E12154">
        <w:t xml:space="preserve"> que permitan atender las necesidades del servicio educativo.</w:t>
      </w:r>
    </w:p>
    <w:p w:rsidR="00536FC0" w:rsidRDefault="00536FC0" w:rsidP="00536FC0">
      <w:pPr>
        <w:pStyle w:val="INFOEM"/>
        <w:rPr>
          <w:lang w:val="es-ES"/>
        </w:rPr>
      </w:pPr>
      <w:r w:rsidRPr="00536FC0">
        <w:rPr>
          <w:lang w:val="es-ES"/>
        </w:rPr>
        <w:t xml:space="preserve">21004001010001L DEPARTAMENTO DE ADMINISTRACIÓN Y DESARROLLO DE PERSONAL </w:t>
      </w:r>
    </w:p>
    <w:p w:rsidR="00536FC0" w:rsidRDefault="00536FC0" w:rsidP="00536FC0">
      <w:pPr>
        <w:pStyle w:val="INFOEM"/>
        <w:rPr>
          <w:lang w:val="es-ES"/>
        </w:rPr>
      </w:pPr>
      <w:r w:rsidRPr="00536FC0">
        <w:rPr>
          <w:lang w:val="es-ES"/>
        </w:rPr>
        <w:t>OBJETIVO: Coordinar y controlar la administración de los recursos humanos, así como promover la capacitación, desarrollo y actualización de las personas servidoras públicas generales y de confianza de la Secretaría de Educación.</w:t>
      </w:r>
    </w:p>
    <w:p w:rsidR="00536FC0" w:rsidRDefault="00536FC0" w:rsidP="00536FC0">
      <w:pPr>
        <w:pStyle w:val="INFOEM"/>
      </w:pPr>
      <w:r w:rsidRPr="00536FC0">
        <w:t xml:space="preserve">− </w:t>
      </w:r>
      <w:r w:rsidRPr="00536FC0">
        <w:rPr>
          <w:b/>
        </w:rPr>
        <w:t>Participar en la elaboración del anteproyecto de presupuesto de egresos destinado al pago de servicios personales de las personas servidoras públicas generales y de confianza de la Secretaría de Educación</w:t>
      </w:r>
      <w:r w:rsidRPr="00536FC0">
        <w:t xml:space="preserve">, con base en los lineamientos que para tal efecto establece la Secretaría de Finanzas. </w:t>
      </w:r>
    </w:p>
    <w:p w:rsidR="00536FC0" w:rsidRPr="00536FC0" w:rsidRDefault="00536FC0" w:rsidP="00536FC0">
      <w:pPr>
        <w:pStyle w:val="INFOEM"/>
        <w:rPr>
          <w:b/>
          <w:u w:val="single"/>
        </w:rPr>
      </w:pPr>
      <w:r w:rsidRPr="00536FC0">
        <w:rPr>
          <w:b/>
          <w:u w:val="single"/>
        </w:rPr>
        <w:t>− Gestionar ante la Secretaría de Finanzas los movimientos de altas, bajas, cambio de datos, transferencias, promociones, estímulos, licencias e incidencias de las personas servidoras públicas generales y de confianza de la Secretaría de Educación.</w:t>
      </w:r>
    </w:p>
    <w:p w:rsidR="00536FC0" w:rsidRDefault="00536FC0" w:rsidP="00536FC0">
      <w:pPr>
        <w:pStyle w:val="INFOEM"/>
      </w:pPr>
      <w:r w:rsidRPr="00536FC0">
        <w:t xml:space="preserve"> − Integrar y mantener actualizada la plantilla y expedientes de las personas servidoras públicas generales y de confianza de la Secretaría de Educación. </w:t>
      </w:r>
    </w:p>
    <w:p w:rsidR="00536FC0" w:rsidRPr="00536FC0" w:rsidRDefault="00536FC0" w:rsidP="00536FC0">
      <w:pPr>
        <w:pStyle w:val="INFOEM"/>
        <w:rPr>
          <w:b/>
        </w:rPr>
      </w:pPr>
      <w:r w:rsidRPr="00536FC0">
        <w:rPr>
          <w:b/>
        </w:rPr>
        <w:t xml:space="preserve">− Informar y asesorar respecto a la forma pago de las percepciones quincenales, aguinaldo, prima vacacional y cualquier otro concepto de sueldo ordinario o extraordinario, así como la obtención del comprobante de </w:t>
      </w:r>
      <w:r w:rsidRPr="00536FC0">
        <w:rPr>
          <w:b/>
        </w:rPr>
        <w:lastRenderedPageBreak/>
        <w:t xml:space="preserve">percepciones y deducciones de las personas servidoras públicas generales y de confianza de la Secretaría Educación. </w:t>
      </w:r>
    </w:p>
    <w:p w:rsidR="00536FC0" w:rsidRPr="00536FC0" w:rsidRDefault="00536FC0" w:rsidP="00536FC0">
      <w:pPr>
        <w:pStyle w:val="INFOEM"/>
        <w:rPr>
          <w:b/>
          <w:u w:val="single"/>
        </w:rPr>
      </w:pPr>
      <w:r w:rsidRPr="00536FC0">
        <w:rPr>
          <w:b/>
          <w:u w:val="single"/>
        </w:rPr>
        <w:t>− Gestionar ante el Instituto de Seguridad Social del Estado de México y Municipios, los movimientos de alta o baja de las personas servidoras públicas generales y de confianza.</w:t>
      </w:r>
    </w:p>
    <w:p w:rsidR="0042320A" w:rsidRPr="007C6E8C" w:rsidRDefault="0042320A" w:rsidP="007C6E8C">
      <w:pPr>
        <w:pStyle w:val="INFOEM"/>
      </w:pPr>
    </w:p>
    <w:p w:rsidR="003C7CBE" w:rsidRDefault="003C7CBE" w:rsidP="00536FC0">
      <w:pPr>
        <w:autoSpaceDE w:val="0"/>
        <w:autoSpaceDN w:val="0"/>
        <w:adjustRightInd w:val="0"/>
        <w:spacing w:before="240" w:after="160" w:line="360" w:lineRule="auto"/>
        <w:jc w:val="both"/>
        <w:rPr>
          <w:rFonts w:ascii="Palatino Linotype" w:hAnsi="Palatino Linotype"/>
        </w:rPr>
      </w:pPr>
      <w:r w:rsidRPr="003C7CBE">
        <w:rPr>
          <w:rFonts w:ascii="Palatino Linotype" w:hAnsi="Palatino Linotype"/>
        </w:rPr>
        <w:t xml:space="preserve">Hasta este punto, se advierte que el pago por las remuneraciones de los servidores públicos adscritos a las dependencias del Poder Ejecutivo del Estado, es una atribución que le corresponde a la Dirección General de Personal, como informó el Sujeto Obligado en respuesta a la solicitud, sin embargo, no debe perderse de vista que para tales efectos, se emplea el Sistema de Nómina del Sector Central del Poder Ejecutivo, cuyas claves de acceso generadas por la Dirección General del Sistema Estatal de Informática, son enviadas a las coordinaciones administrativas o equivalentes de las dependencias del Poder Ejecutivo, para la aplicación de los movimientos e incidencias, lo que se traduce en que las Coordinaciones Administrativas o equivalentes tienen acceso a dicho Sistema. </w:t>
      </w:r>
    </w:p>
    <w:p w:rsidR="003C7CBE" w:rsidRPr="003C7CBE" w:rsidRDefault="003C7CBE" w:rsidP="00536FC0">
      <w:pPr>
        <w:autoSpaceDE w:val="0"/>
        <w:autoSpaceDN w:val="0"/>
        <w:adjustRightInd w:val="0"/>
        <w:spacing w:before="240" w:after="160" w:line="360" w:lineRule="auto"/>
        <w:jc w:val="both"/>
        <w:rPr>
          <w:rFonts w:ascii="Palatino Linotype" w:hAnsi="Palatino Linotype"/>
        </w:rPr>
      </w:pPr>
    </w:p>
    <w:p w:rsidR="00536FC0" w:rsidRPr="002C5A45" w:rsidRDefault="00536FC0" w:rsidP="00536FC0">
      <w:pPr>
        <w:autoSpaceDE w:val="0"/>
        <w:autoSpaceDN w:val="0"/>
        <w:adjustRightInd w:val="0"/>
        <w:spacing w:before="240" w:after="160"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rsidR="00536FC0" w:rsidRPr="002C5A45" w:rsidRDefault="00536FC0" w:rsidP="00536FC0">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lastRenderedPageBreak/>
        <w:t xml:space="preserve">“Artículo 24. </w:t>
      </w:r>
      <w:r w:rsidRPr="002C5A45">
        <w:rPr>
          <w:rFonts w:ascii="Palatino Linotype" w:eastAsiaTheme="minorHAns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rsidR="00536FC0" w:rsidRPr="002C5A45" w:rsidRDefault="00536FC0" w:rsidP="00536FC0">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XII. </w:t>
      </w:r>
      <w:r w:rsidRPr="002C5A45">
        <w:rPr>
          <w:rFonts w:ascii="Palatino Linotype" w:eastAsiaTheme="minorHAnsi" w:hAnsi="Palatino Linotype" w:cs="Arial"/>
          <w:b/>
          <w:i/>
          <w:color w:val="000000"/>
          <w:sz w:val="22"/>
          <w:szCs w:val="22"/>
          <w:u w:val="single"/>
          <w:lang w:val="es-MX" w:eastAsia="en-US"/>
        </w:rPr>
        <w:t>Publicar y mantener actualizada la información relativa a las obligaciones generales de transparencia</w:t>
      </w:r>
      <w:r w:rsidRPr="002C5A45">
        <w:rPr>
          <w:rFonts w:ascii="Palatino Linotype" w:eastAsiaTheme="minorHAnsi" w:hAnsi="Palatino Linotype" w:cs="Arial"/>
          <w:i/>
          <w:color w:val="000000"/>
          <w:sz w:val="22"/>
          <w:szCs w:val="22"/>
          <w:lang w:val="es-MX" w:eastAsia="en-US"/>
        </w:rPr>
        <w:t xml:space="preserve"> previstas en la presente Ley o determinadas así por el Instituto, y en general aquella que sea de interés público;</w:t>
      </w:r>
    </w:p>
    <w:p w:rsidR="00536FC0" w:rsidRPr="002C5A45" w:rsidRDefault="00536FC0" w:rsidP="00536FC0">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Artículo 92. </w:t>
      </w:r>
      <w:r w:rsidRPr="002C5A45">
        <w:rPr>
          <w:rFonts w:ascii="Palatino Linotype" w:eastAsiaTheme="minorHAns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536FC0" w:rsidRPr="002C5A45" w:rsidRDefault="00536FC0" w:rsidP="00536FC0">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w:t>
      </w:r>
      <w:r w:rsidRPr="002C5A45">
        <w:rPr>
          <w:rFonts w:ascii="Palatino Linotype" w:eastAsiaTheme="minorHAnsi" w:hAnsi="Palatino Linotype" w:cs="Arial"/>
          <w:i/>
          <w:color w:val="000000"/>
          <w:sz w:val="22"/>
          <w:szCs w:val="22"/>
          <w:lang w:val="es-MX" w:eastAsia="en-US"/>
        </w:rPr>
        <w:t>)</w:t>
      </w:r>
    </w:p>
    <w:p w:rsidR="00536FC0" w:rsidRPr="002C5A45" w:rsidRDefault="00536FC0" w:rsidP="00536FC0">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bCs/>
          <w:i/>
          <w:sz w:val="22"/>
          <w:szCs w:val="22"/>
          <w:u w:val="single"/>
          <w:lang w:val="es-MX" w:eastAsia="en-US"/>
        </w:rPr>
        <w:t xml:space="preserve">VIII. </w:t>
      </w:r>
      <w:r w:rsidRPr="002C5A45">
        <w:rPr>
          <w:rFonts w:ascii="Palatino Linotype" w:eastAsiaTheme="minorHAnsi" w:hAnsi="Palatino Linotype" w:cstheme="minorBidi"/>
          <w:b/>
          <w:i/>
          <w:sz w:val="22"/>
          <w:szCs w:val="22"/>
          <w:u w:val="single"/>
          <w:lang w:val="es-MX"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536FC0" w:rsidRPr="002C5A45" w:rsidRDefault="00536FC0" w:rsidP="00536FC0">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i/>
          <w:sz w:val="22"/>
          <w:szCs w:val="22"/>
          <w:u w:val="single"/>
          <w:lang w:val="es-MX" w:eastAsia="en-US"/>
        </w:rPr>
        <w:t>(…)”</w:t>
      </w:r>
      <w:r w:rsidRPr="002C5A45">
        <w:rPr>
          <w:rFonts w:ascii="Palatino Linotype" w:eastAsiaTheme="minorHAnsi" w:hAnsi="Palatino Linotype" w:cstheme="minorBidi"/>
          <w:i/>
          <w:sz w:val="22"/>
          <w:szCs w:val="22"/>
          <w:u w:val="single"/>
          <w:lang w:val="es-MX" w:eastAsia="en-US"/>
        </w:rPr>
        <w:t xml:space="preserve"> </w:t>
      </w:r>
      <w:r w:rsidRPr="002C5A45">
        <w:rPr>
          <w:rFonts w:ascii="Palatino Linotype" w:eastAsiaTheme="minorHAnsi" w:hAnsi="Palatino Linotype" w:cstheme="minorBidi"/>
          <w:b/>
          <w:i/>
          <w:sz w:val="22"/>
          <w:szCs w:val="22"/>
          <w:u w:val="single"/>
          <w:lang w:val="es-MX" w:eastAsia="en-US"/>
        </w:rPr>
        <w:t>[Sic]</w:t>
      </w:r>
    </w:p>
    <w:p w:rsidR="00536FC0" w:rsidRDefault="00536FC0" w:rsidP="00536FC0">
      <w:pPr>
        <w:pStyle w:val="Sinespaciado"/>
        <w:spacing w:line="360" w:lineRule="auto"/>
        <w:jc w:val="both"/>
        <w:rPr>
          <w:rFonts w:ascii="Palatino Linotype" w:hAnsi="Palatino Linotype"/>
          <w:sz w:val="24"/>
        </w:rPr>
      </w:pPr>
    </w:p>
    <w:p w:rsidR="00536FC0" w:rsidRDefault="00536FC0" w:rsidP="00536FC0">
      <w:pPr>
        <w:pStyle w:val="Sinespaciado"/>
        <w:spacing w:line="360" w:lineRule="auto"/>
        <w:jc w:val="both"/>
        <w:rPr>
          <w:rFonts w:ascii="Palatino Linotype" w:eastAsia="Palatino Linotype" w:hAnsi="Palatino Linotype" w:cs="Palatino Linotype"/>
          <w:sz w:val="24"/>
        </w:rPr>
      </w:pPr>
      <w:r>
        <w:rPr>
          <w:rFonts w:ascii="Palatino Linotype" w:hAnsi="Palatino Linotype"/>
          <w:sz w:val="24"/>
        </w:rPr>
        <w:t>E</w:t>
      </w:r>
      <w:r w:rsidRPr="00E27DC5">
        <w:rPr>
          <w:rFonts w:ascii="Palatino Linotype" w:hAnsi="Palatino Linotype"/>
          <w:sz w:val="24"/>
        </w:rPr>
        <w:t xml:space="preserve">n razón de lo anterior, se arriba a la conclusión de que la información requerida no solo obra en los archivos del </w:t>
      </w:r>
      <w:r w:rsidRPr="00E27DC5">
        <w:rPr>
          <w:rFonts w:ascii="Palatino Linotype" w:hAnsi="Palatino Linotype"/>
          <w:b/>
          <w:bCs/>
          <w:sz w:val="24"/>
        </w:rPr>
        <w:t xml:space="preserve">Sujeto Obligado, </w:t>
      </w:r>
      <w:r w:rsidRPr="00E27DC5">
        <w:rPr>
          <w:rFonts w:ascii="Palatino Linotype" w:hAnsi="Palatino Linotype"/>
          <w:sz w:val="24"/>
        </w:rPr>
        <w:t>sino que obra en las fronteras conceptuales de las oblig</w:t>
      </w:r>
      <w:r>
        <w:rPr>
          <w:rFonts w:ascii="Palatino Linotype" w:hAnsi="Palatino Linotype"/>
          <w:sz w:val="24"/>
        </w:rPr>
        <w:t xml:space="preserve">aciones de transparencia común, </w:t>
      </w:r>
      <w:r w:rsidRPr="00F16009">
        <w:rPr>
          <w:rFonts w:ascii="Palatino Linotype" w:eastAsia="Palatino Linotype" w:hAnsi="Palatino Linotype" w:cs="Palatino Linotype"/>
          <w:sz w:val="24"/>
        </w:rPr>
        <w:t xml:space="preserve">este Órgano Garante estima </w:t>
      </w:r>
      <w:r w:rsidRPr="00F16009">
        <w:rPr>
          <w:rFonts w:ascii="Palatino Linotype" w:eastAsia="Palatino Linotype" w:hAnsi="Palatino Linotype" w:cs="Palatino Linotype"/>
          <w:sz w:val="24"/>
        </w:rPr>
        <w:lastRenderedPageBreak/>
        <w:t>que las razones o motivos de inconformidad planteados en el recurso de revisión devienen fundados.</w:t>
      </w:r>
    </w:p>
    <w:p w:rsidR="00536FC0" w:rsidRDefault="00536FC0" w:rsidP="00536FC0">
      <w:pPr>
        <w:spacing w:line="360" w:lineRule="auto"/>
        <w:ind w:right="142"/>
        <w:jc w:val="both"/>
        <w:rPr>
          <w:rFonts w:ascii="Palatino Linotype" w:hAnsi="Palatino Linotype"/>
        </w:rPr>
      </w:pPr>
    </w:p>
    <w:p w:rsidR="002B7BF0" w:rsidRPr="0039499D" w:rsidRDefault="002B7BF0" w:rsidP="002B7BF0">
      <w:pPr>
        <w:spacing w:line="360" w:lineRule="auto"/>
        <w:jc w:val="both"/>
        <w:rPr>
          <w:rFonts w:ascii="Palatino Linotype" w:hAnsi="Palatino Linotype"/>
          <w:bCs/>
        </w:rPr>
      </w:pPr>
      <w:r>
        <w:rPr>
          <w:rFonts w:ascii="Palatino Linotype" w:hAnsi="Palatino Linotype"/>
          <w:bCs/>
        </w:rPr>
        <w:t>Ahora bien</w:t>
      </w:r>
      <w:r w:rsidRPr="0039499D">
        <w:rPr>
          <w:rFonts w:ascii="Palatino Linotype" w:hAnsi="Palatino Linotype"/>
          <w:bCs/>
        </w:rPr>
        <w:t xml:space="preserve">, respecto </w:t>
      </w:r>
      <w:r>
        <w:rPr>
          <w:rFonts w:ascii="Palatino Linotype" w:hAnsi="Palatino Linotype"/>
          <w:bCs/>
        </w:rPr>
        <w:t>a los nombramientos de los servidores públicos</w:t>
      </w:r>
      <w:r w:rsidRPr="0039499D">
        <w:rPr>
          <w:rFonts w:ascii="Palatino Linotype" w:hAnsi="Palatino Linotype"/>
          <w:bCs/>
        </w:rPr>
        <w:t>, la Ley del Trabajo de los Servidores Públicos del Estado y Municipios en su</w:t>
      </w:r>
      <w:r>
        <w:rPr>
          <w:rFonts w:ascii="Palatino Linotype" w:hAnsi="Palatino Linotype"/>
          <w:bCs/>
        </w:rPr>
        <w:t>s</w:t>
      </w:r>
      <w:r w:rsidRPr="0039499D">
        <w:rPr>
          <w:rFonts w:ascii="Palatino Linotype" w:hAnsi="Palatino Linotype"/>
          <w:bCs/>
        </w:rPr>
        <w:t xml:space="preserve"> artículo</w:t>
      </w:r>
      <w:r>
        <w:rPr>
          <w:rFonts w:ascii="Palatino Linotype" w:hAnsi="Palatino Linotype"/>
          <w:bCs/>
        </w:rPr>
        <w:t>s 5, 45, 47, 49 y 50</w:t>
      </w:r>
      <w:r w:rsidRPr="0039499D">
        <w:rPr>
          <w:rFonts w:ascii="Palatino Linotype" w:hAnsi="Palatino Linotype"/>
          <w:bCs/>
        </w:rPr>
        <w:t xml:space="preserve"> establece</w:t>
      </w:r>
      <w:r>
        <w:rPr>
          <w:rFonts w:ascii="Palatino Linotype" w:hAnsi="Palatino Linotype"/>
          <w:bCs/>
        </w:rPr>
        <w:t>n</w:t>
      </w:r>
      <w:r w:rsidRPr="0039499D">
        <w:rPr>
          <w:rFonts w:ascii="Palatino Linotype" w:hAnsi="Palatino Linotype"/>
          <w:bCs/>
        </w:rPr>
        <w:t xml:space="preserve"> lo siguiente:</w:t>
      </w:r>
    </w:p>
    <w:p w:rsidR="002B7BF0" w:rsidRDefault="002B7BF0" w:rsidP="002B7BF0">
      <w:pPr>
        <w:pStyle w:val="infoemcitas"/>
      </w:pPr>
      <w:r w:rsidRPr="00F40D61">
        <w:rPr>
          <w:b/>
        </w:rPr>
        <w:t>ARTÍCULO 5.</w:t>
      </w:r>
      <w:r w:rsidRPr="00E04F77">
        <w:t>- La relación de trabajo entre las instituciones públicas y sus servidores públicos</w:t>
      </w:r>
      <w:r>
        <w:t xml:space="preserve"> </w:t>
      </w:r>
      <w:r w:rsidRPr="00E04F77">
        <w:t>se entiende establecida mediante nombramiento, formato único de movimiento de personal,</w:t>
      </w:r>
      <w:r>
        <w:t xml:space="preserve"> </w:t>
      </w:r>
      <w:r w:rsidRPr="00E04F77">
        <w:t>contrato o por cualquier otro acto que tenga como consecuencia la prestación personal</w:t>
      </w:r>
      <w:r>
        <w:t xml:space="preserve"> </w:t>
      </w:r>
      <w:r w:rsidRPr="00E04F77">
        <w:t>subordinada del servicio y la percepción de un sueldo.</w:t>
      </w:r>
    </w:p>
    <w:p w:rsidR="002B7BF0" w:rsidRDefault="002B7BF0" w:rsidP="002B7BF0">
      <w:pPr>
        <w:pStyle w:val="infoemcitas"/>
      </w:pPr>
      <w:r w:rsidRPr="00F40D61">
        <w:rPr>
          <w:b/>
        </w:rPr>
        <w:t>ARTÍCULO 45.-</w:t>
      </w:r>
      <w:r>
        <w:t>Los servidores públicos prestarán sus servicios mediante nombramiento, contrato o formato único de Movimientos de Personal expedidos por quien estuviere facultado legalmente para extenderlo.</w:t>
      </w:r>
    </w:p>
    <w:p w:rsidR="002B7BF0" w:rsidRPr="00990BF3" w:rsidRDefault="002B7BF0" w:rsidP="002B7BF0">
      <w:pPr>
        <w:pStyle w:val="infoemcitas"/>
      </w:pPr>
      <w:r w:rsidRPr="00990BF3">
        <w:rPr>
          <w:b/>
        </w:rPr>
        <w:t>ARTÍCULO 47.</w:t>
      </w:r>
      <w:r w:rsidRPr="00990BF3">
        <w:t xml:space="preserve"> Para ingresar al servicio público se requiere:</w:t>
      </w:r>
    </w:p>
    <w:p w:rsidR="002B7BF0" w:rsidRPr="00990BF3" w:rsidRDefault="002B7BF0" w:rsidP="002B7BF0">
      <w:pPr>
        <w:pStyle w:val="infoemcitas"/>
        <w:spacing w:after="0" w:line="276" w:lineRule="auto"/>
      </w:pPr>
      <w:r w:rsidRPr="00990BF3">
        <w:t>I. Presentar una solicitud utilizando la forma oficial que se autorice por la institución pública o dependencia correspondiente;</w:t>
      </w:r>
    </w:p>
    <w:p w:rsidR="002B7BF0" w:rsidRPr="00990BF3" w:rsidRDefault="002B7BF0" w:rsidP="002B7BF0">
      <w:pPr>
        <w:pStyle w:val="infoemcitas"/>
        <w:spacing w:after="0" w:line="276" w:lineRule="auto"/>
      </w:pPr>
      <w:r w:rsidRPr="00990BF3">
        <w:t>II. Ser de nacionalidad mexicana, con la excepción prevista en el artículo 17 de la presente ley;</w:t>
      </w:r>
    </w:p>
    <w:p w:rsidR="002B7BF0" w:rsidRPr="00990BF3" w:rsidRDefault="002B7BF0" w:rsidP="002B7BF0">
      <w:pPr>
        <w:pStyle w:val="infoemcitas"/>
        <w:spacing w:line="276" w:lineRule="auto"/>
      </w:pPr>
      <w:r w:rsidRPr="00990BF3">
        <w:t>III. Estar en pleno ejercicio de sus derechos civiles y políticos, en su caso;</w:t>
      </w:r>
    </w:p>
    <w:p w:rsidR="002B7BF0" w:rsidRPr="00990BF3" w:rsidRDefault="002B7BF0" w:rsidP="002B7BF0">
      <w:pPr>
        <w:pStyle w:val="infoemcitas"/>
        <w:spacing w:after="0" w:line="276" w:lineRule="auto"/>
      </w:pPr>
      <w:r w:rsidRPr="00990BF3">
        <w:t>IV. Acreditar, cuando proceda, el cumplimiento de la Ley del Servicio Militar Nacional;</w:t>
      </w:r>
    </w:p>
    <w:p w:rsidR="002B7BF0" w:rsidRPr="00990BF3" w:rsidRDefault="002B7BF0" w:rsidP="002B7BF0">
      <w:pPr>
        <w:pStyle w:val="infoemcitas"/>
        <w:spacing w:line="276" w:lineRule="auto"/>
      </w:pPr>
      <w:r w:rsidRPr="00990BF3">
        <w:t>V. Derogada.</w:t>
      </w:r>
    </w:p>
    <w:p w:rsidR="002B7BF0" w:rsidRPr="00990BF3" w:rsidRDefault="002B7BF0" w:rsidP="002B7BF0">
      <w:pPr>
        <w:pStyle w:val="infoemcitas"/>
        <w:spacing w:after="0" w:line="276" w:lineRule="auto"/>
      </w:pPr>
      <w:r w:rsidRPr="00990BF3">
        <w:lastRenderedPageBreak/>
        <w:t>VI. No haber sido separado anteriormente del servicio por las causas previstas en el artículo 93 de la presente ley;</w:t>
      </w:r>
    </w:p>
    <w:p w:rsidR="002B7BF0" w:rsidRPr="00990BF3" w:rsidRDefault="002B7BF0" w:rsidP="002B7BF0">
      <w:pPr>
        <w:pStyle w:val="infoemcitas"/>
        <w:spacing w:after="0" w:line="276" w:lineRule="auto"/>
      </w:pPr>
      <w:r w:rsidRPr="00990BF3">
        <w:t>VII. Tener buena salud, lo que se comprobará con los certificados médicos correspondientes, en la forma en que se establezca en cada institución pública;</w:t>
      </w:r>
    </w:p>
    <w:p w:rsidR="002B7BF0" w:rsidRPr="00990BF3" w:rsidRDefault="002B7BF0" w:rsidP="002B7BF0">
      <w:pPr>
        <w:pStyle w:val="infoemcitas"/>
        <w:spacing w:after="0" w:line="276" w:lineRule="auto"/>
      </w:pPr>
      <w:r w:rsidRPr="00990BF3">
        <w:t>VIII. Cumplir con los requisitos que se establezcan para los diferentes puestos</w:t>
      </w:r>
    </w:p>
    <w:p w:rsidR="002B7BF0" w:rsidRPr="00990BF3" w:rsidRDefault="002B7BF0" w:rsidP="002B7BF0">
      <w:pPr>
        <w:pStyle w:val="infoemcitas"/>
        <w:spacing w:after="0" w:line="276" w:lineRule="auto"/>
      </w:pPr>
      <w:r w:rsidRPr="00990BF3">
        <w:t>IX. Acreditar por medio de los exámenes correspondientes los conocimientos y aptitudes necesarios para el desempeño del puesto; y</w:t>
      </w:r>
    </w:p>
    <w:p w:rsidR="002B7BF0" w:rsidRPr="00990BF3" w:rsidRDefault="002B7BF0" w:rsidP="002B7BF0">
      <w:pPr>
        <w:pStyle w:val="infoemcitas"/>
        <w:spacing w:line="276" w:lineRule="auto"/>
      </w:pPr>
      <w:r w:rsidRPr="00990BF3">
        <w:t>X. No estar inhabilitado para el ejercicio del servicio público.</w:t>
      </w:r>
    </w:p>
    <w:p w:rsidR="002B7BF0" w:rsidRDefault="002B7BF0" w:rsidP="002B7BF0">
      <w:pPr>
        <w:pStyle w:val="infoemcitas"/>
        <w:spacing w:line="276" w:lineRule="auto"/>
      </w:pPr>
      <w:r w:rsidRPr="00990BF3">
        <w:t xml:space="preserve">XI. Presentar certificado expedido por la Unidad del Registro de Deudores Alimentarios Morosos en el que conste, si se encuentra inscrito o no en el mismo. </w:t>
      </w:r>
    </w:p>
    <w:p w:rsidR="002B7BF0" w:rsidRPr="007B3ADC" w:rsidRDefault="002B7BF0" w:rsidP="002B7BF0">
      <w:pPr>
        <w:pStyle w:val="infoemcitas"/>
        <w:spacing w:line="276" w:lineRule="auto"/>
        <w:rPr>
          <w:b/>
          <w:u w:val="single"/>
        </w:rPr>
      </w:pPr>
      <w:r w:rsidRPr="00F40D61">
        <w:rPr>
          <w:b/>
        </w:rPr>
        <w:t>ARTÍCULO 49</w:t>
      </w:r>
      <w:r>
        <w:t xml:space="preserve">.- </w:t>
      </w:r>
      <w:r w:rsidRPr="007B3ADC">
        <w:rPr>
          <w:b/>
          <w:u w:val="single"/>
        </w:rPr>
        <w:t>Los nombramientos, contratos o formato único de Movimientos de Personal de los servidores públicos deberán contener:</w:t>
      </w:r>
    </w:p>
    <w:p w:rsidR="002B7BF0" w:rsidRDefault="002B7BF0" w:rsidP="002B7BF0">
      <w:pPr>
        <w:pStyle w:val="infoemcitas"/>
        <w:numPr>
          <w:ilvl w:val="0"/>
          <w:numId w:val="19"/>
        </w:numPr>
        <w:spacing w:before="0" w:line="240" w:lineRule="auto"/>
      </w:pPr>
      <w:r>
        <w:t xml:space="preserve">Nombre completo del servidor público; </w:t>
      </w:r>
    </w:p>
    <w:p w:rsidR="002B7BF0" w:rsidRDefault="002B7BF0" w:rsidP="002B7BF0">
      <w:pPr>
        <w:pStyle w:val="infoemcitas"/>
        <w:numPr>
          <w:ilvl w:val="0"/>
          <w:numId w:val="19"/>
        </w:numPr>
        <w:spacing w:before="0" w:line="240" w:lineRule="auto"/>
      </w:pPr>
      <w:r>
        <w:t>Cargo para el que es designado, fecha de inicio de sus servicios y lugar de adscripción;</w:t>
      </w:r>
    </w:p>
    <w:p w:rsidR="002B7BF0" w:rsidRDefault="002B7BF0" w:rsidP="002B7BF0">
      <w:pPr>
        <w:pStyle w:val="infoemcitas"/>
        <w:numPr>
          <w:ilvl w:val="0"/>
          <w:numId w:val="19"/>
        </w:numPr>
        <w:spacing w:before="0" w:line="240" w:lineRule="auto"/>
      </w:pPr>
      <w:r>
        <w:t>Carácter del nombramiento, ya sea de servidores públicos generales o de confianza, así como la temporalidad del mismo;</w:t>
      </w:r>
    </w:p>
    <w:p w:rsidR="002B7BF0" w:rsidRDefault="002B7BF0" w:rsidP="002B7BF0">
      <w:pPr>
        <w:pStyle w:val="infoemcitas"/>
        <w:numPr>
          <w:ilvl w:val="0"/>
          <w:numId w:val="19"/>
        </w:numPr>
        <w:spacing w:before="0" w:line="240" w:lineRule="auto"/>
      </w:pPr>
      <w:r>
        <w:t>Remuneración correspondiente al puesto;</w:t>
      </w:r>
    </w:p>
    <w:p w:rsidR="002B7BF0" w:rsidRDefault="002B7BF0" w:rsidP="002B7BF0">
      <w:pPr>
        <w:pStyle w:val="infoemcitas"/>
        <w:numPr>
          <w:ilvl w:val="0"/>
          <w:numId w:val="19"/>
        </w:numPr>
        <w:spacing w:before="0" w:line="240" w:lineRule="auto"/>
      </w:pPr>
      <w:r>
        <w:t xml:space="preserve"> Jornada de trabajo; </w:t>
      </w:r>
    </w:p>
    <w:p w:rsidR="002B7BF0" w:rsidRDefault="002B7BF0" w:rsidP="002B7BF0">
      <w:pPr>
        <w:pStyle w:val="infoemcitas"/>
        <w:numPr>
          <w:ilvl w:val="0"/>
          <w:numId w:val="19"/>
        </w:numPr>
        <w:spacing w:before="0" w:line="240" w:lineRule="auto"/>
      </w:pPr>
      <w:r>
        <w:t xml:space="preserve">Derogada; </w:t>
      </w:r>
    </w:p>
    <w:p w:rsidR="002B7BF0" w:rsidRDefault="002B7BF0" w:rsidP="002B7BF0">
      <w:pPr>
        <w:pStyle w:val="infoemcitas"/>
        <w:numPr>
          <w:ilvl w:val="0"/>
          <w:numId w:val="19"/>
        </w:numPr>
        <w:spacing w:before="0" w:line="240" w:lineRule="auto"/>
      </w:pPr>
      <w:r>
        <w:t>Firma del servidor público autorizado para emitir el nombramiento, contrato o formato único de Movimientos de Personal, así como el fundamento legal de esa atribución.</w:t>
      </w:r>
    </w:p>
    <w:p w:rsidR="002B7BF0" w:rsidRPr="00E841D1" w:rsidRDefault="002B7BF0" w:rsidP="002B7BF0">
      <w:pPr>
        <w:pStyle w:val="infoemcitas"/>
        <w:spacing w:line="240" w:lineRule="auto"/>
        <w:rPr>
          <w:b/>
          <w:u w:val="single"/>
        </w:rPr>
      </w:pPr>
      <w:r w:rsidRPr="00E841D1">
        <w:rPr>
          <w:b/>
          <w:u w:val="single"/>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rsidR="002B7BF0" w:rsidRPr="00990BF3" w:rsidRDefault="002B7BF0" w:rsidP="002B7BF0">
      <w:pPr>
        <w:pStyle w:val="infoemcitas"/>
        <w:spacing w:line="240" w:lineRule="auto"/>
      </w:pPr>
      <w:r>
        <w:lastRenderedPageBreak/>
        <w:t>Iguales consecuencias se generarán para todos los servidores públicos, cuando la relación de trabajo se formalice mediante un contrato o por encontrarse en lista de raya.</w:t>
      </w:r>
    </w:p>
    <w:p w:rsidR="002B7BF0" w:rsidRDefault="002B7BF0" w:rsidP="002B7BF0">
      <w:pPr>
        <w:pStyle w:val="Sinespaciado"/>
        <w:spacing w:line="360" w:lineRule="auto"/>
        <w:jc w:val="both"/>
        <w:rPr>
          <w:rFonts w:ascii="Palatino Linotype" w:hAnsi="Palatino Linotype" w:cs="Arial"/>
        </w:rPr>
      </w:pPr>
    </w:p>
    <w:p w:rsidR="002B7BF0" w:rsidRPr="002B7BF0" w:rsidRDefault="002B7BF0" w:rsidP="002B7BF0">
      <w:pPr>
        <w:pStyle w:val="Sinespaciado"/>
        <w:spacing w:line="360" w:lineRule="auto"/>
        <w:jc w:val="both"/>
        <w:rPr>
          <w:rFonts w:ascii="Palatino Linotype" w:hAnsi="Palatino Linotype" w:cs="Arial"/>
          <w:sz w:val="24"/>
        </w:rPr>
      </w:pPr>
      <w:r w:rsidRPr="002B7BF0">
        <w:rPr>
          <w:rFonts w:ascii="Palatino Linotype" w:hAnsi="Palatino Linotype" w:cs="Arial"/>
          <w:sz w:val="24"/>
        </w:rPr>
        <w:t xml:space="preserve">Ahora bien, conforme a los artículos antes referidos se desprende que en una relación laboral debe haber un nombramiento, un contrato o bien un formato único de movimiento de personal, si bien la parte Recurrente no es experta en la materia, también lo es que, el Sujeto Obligado puede generar cualquiera de estos tres documentos para ostentar su relación laboral con </w:t>
      </w:r>
      <w:r>
        <w:rPr>
          <w:rFonts w:ascii="Palatino Linotype" w:hAnsi="Palatino Linotype" w:cs="Arial"/>
          <w:sz w:val="24"/>
        </w:rPr>
        <w:t>la servidora pública referida en la solicitud de información</w:t>
      </w:r>
      <w:r w:rsidRPr="002B7BF0">
        <w:rPr>
          <w:rFonts w:ascii="Palatino Linotype" w:hAnsi="Palatino Linotype" w:cs="Arial"/>
          <w:sz w:val="24"/>
        </w:rPr>
        <w:t xml:space="preserve">. </w:t>
      </w:r>
    </w:p>
    <w:p w:rsidR="002B7BF0" w:rsidRDefault="002B7BF0" w:rsidP="00536FC0">
      <w:pPr>
        <w:spacing w:line="360" w:lineRule="auto"/>
        <w:ind w:right="142"/>
        <w:jc w:val="both"/>
        <w:rPr>
          <w:rFonts w:ascii="Palatino Linotype" w:hAnsi="Palatino Linotype"/>
        </w:rPr>
      </w:pPr>
    </w:p>
    <w:p w:rsidR="00536FC0" w:rsidRPr="009E63DA" w:rsidRDefault="00536FC0" w:rsidP="00536FC0">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536FC0" w:rsidRPr="009E63DA" w:rsidRDefault="00536FC0" w:rsidP="00536FC0">
      <w:pPr>
        <w:ind w:left="567" w:right="567"/>
        <w:jc w:val="both"/>
        <w:rPr>
          <w:rFonts w:ascii="Palatino Linotype" w:hAnsi="Palatino Linotype"/>
        </w:rPr>
      </w:pPr>
    </w:p>
    <w:p w:rsidR="00536FC0" w:rsidRPr="009E63DA" w:rsidRDefault="00536FC0" w:rsidP="00536FC0">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536FC0" w:rsidRPr="009E63DA" w:rsidRDefault="00536FC0" w:rsidP="00536FC0">
      <w:pPr>
        <w:ind w:left="851" w:right="851"/>
        <w:jc w:val="both"/>
        <w:rPr>
          <w:rFonts w:ascii="Palatino Linotype" w:hAnsi="Palatino Linotype"/>
          <w:i/>
        </w:rPr>
      </w:pPr>
      <w:r w:rsidRPr="009E63DA">
        <w:rPr>
          <w:rFonts w:ascii="Palatino Linotype" w:hAnsi="Palatino Linotype"/>
          <w:i/>
        </w:rPr>
        <w:t>…</w:t>
      </w:r>
    </w:p>
    <w:p w:rsidR="00536FC0" w:rsidRPr="009E63DA" w:rsidRDefault="00536FC0" w:rsidP="00536FC0">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536FC0" w:rsidRPr="009E63DA" w:rsidRDefault="00536FC0" w:rsidP="00536FC0">
      <w:pPr>
        <w:ind w:left="851" w:right="851"/>
        <w:jc w:val="both"/>
        <w:rPr>
          <w:rFonts w:ascii="Palatino Linotype" w:hAnsi="Palatino Linotype"/>
          <w:i/>
        </w:rPr>
      </w:pPr>
    </w:p>
    <w:p w:rsidR="00536FC0" w:rsidRPr="009E63DA" w:rsidRDefault="00536FC0" w:rsidP="00536FC0">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536FC0" w:rsidRPr="009E63DA" w:rsidRDefault="00536FC0" w:rsidP="00536FC0">
      <w:pPr>
        <w:ind w:left="851" w:right="851"/>
        <w:jc w:val="both"/>
        <w:rPr>
          <w:rFonts w:ascii="Palatino Linotype" w:hAnsi="Palatino Linotype"/>
          <w:bCs/>
          <w:i/>
        </w:rPr>
      </w:pPr>
    </w:p>
    <w:p w:rsidR="00536FC0" w:rsidRPr="009E63DA" w:rsidRDefault="00536FC0" w:rsidP="00536FC0">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536FC0" w:rsidRPr="009E63DA" w:rsidRDefault="00536FC0" w:rsidP="00536FC0">
      <w:pPr>
        <w:ind w:left="851" w:right="851"/>
        <w:jc w:val="both"/>
        <w:rPr>
          <w:rFonts w:ascii="Palatino Linotype" w:hAnsi="Palatino Linotype"/>
          <w:bCs/>
          <w:i/>
        </w:rPr>
      </w:pPr>
    </w:p>
    <w:p w:rsidR="00536FC0" w:rsidRPr="009E63DA" w:rsidRDefault="00536FC0" w:rsidP="00536FC0">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536FC0" w:rsidRPr="009E63DA" w:rsidRDefault="00536FC0" w:rsidP="00536FC0">
      <w:pPr>
        <w:ind w:left="851" w:right="851"/>
        <w:jc w:val="both"/>
        <w:rPr>
          <w:rFonts w:ascii="Palatino Linotype" w:hAnsi="Palatino Linotype"/>
          <w:i/>
        </w:rPr>
      </w:pPr>
    </w:p>
    <w:p w:rsidR="00536FC0" w:rsidRPr="009E63DA" w:rsidRDefault="00536FC0" w:rsidP="00536FC0">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536FC0" w:rsidRPr="009E63DA" w:rsidRDefault="00536FC0" w:rsidP="00536FC0">
      <w:pPr>
        <w:ind w:left="851" w:right="851"/>
        <w:jc w:val="both"/>
        <w:rPr>
          <w:rFonts w:ascii="Palatino Linotype" w:hAnsi="Palatino Linotype"/>
          <w:i/>
        </w:rPr>
      </w:pPr>
    </w:p>
    <w:p w:rsidR="00536FC0" w:rsidRPr="009E63DA" w:rsidRDefault="00536FC0" w:rsidP="00536FC0">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536FC0" w:rsidRPr="009E63DA" w:rsidRDefault="00536FC0" w:rsidP="00536FC0">
      <w:pPr>
        <w:spacing w:line="360" w:lineRule="auto"/>
        <w:jc w:val="both"/>
        <w:rPr>
          <w:rFonts w:ascii="Palatino Linotype" w:hAnsi="Palatino Linotype"/>
        </w:rPr>
      </w:pPr>
    </w:p>
    <w:p w:rsidR="00536FC0" w:rsidRDefault="00536FC0" w:rsidP="00536FC0">
      <w:pPr>
        <w:spacing w:line="360" w:lineRule="auto"/>
        <w:jc w:val="both"/>
        <w:rPr>
          <w:rFonts w:ascii="Palatino Linotype" w:eastAsia="Calibri" w:hAnsi="Palatino Linotype" w:cs="Arial"/>
          <w:color w:val="000000"/>
          <w:lang w:val="es-ES_tradnl" w:eastAsia="es-MX"/>
        </w:rPr>
      </w:pPr>
    </w:p>
    <w:p w:rsidR="00536FC0" w:rsidRPr="00DE27AA" w:rsidRDefault="00536FC0" w:rsidP="00536FC0">
      <w:pPr>
        <w:spacing w:line="360" w:lineRule="auto"/>
        <w:jc w:val="both"/>
        <w:rPr>
          <w:rFonts w:ascii="Palatino Linotype" w:eastAsia="Calibri" w:hAnsi="Palatino Linotype" w:cs="Arial"/>
          <w:b/>
          <w:color w:val="000000"/>
          <w:u w:val="single"/>
          <w:lang w:val="es-ES_tradnl" w:eastAsia="es-MX"/>
        </w:rPr>
      </w:pPr>
      <w:r w:rsidRPr="009E63DA">
        <w:rPr>
          <w:rFonts w:ascii="Palatino Linotype" w:eastAsia="Calibri" w:hAnsi="Palatino Linotype" w:cs="Arial"/>
          <w:color w:val="000000"/>
          <w:lang w:val="es-ES_tradnl" w:eastAsia="es-MX"/>
        </w:rPr>
        <w:t xml:space="preserve">En síntesis, el derecho de acceso a la información pública se satisface en aquellos casos en que se entregue el soporte documental en que conste la información pública, toda vez que, </w:t>
      </w:r>
      <w:r w:rsidRPr="00DE27AA">
        <w:rPr>
          <w:rFonts w:ascii="Palatino Linotype" w:eastAsia="Calibri" w:hAnsi="Palatino Linotype" w:cs="Arial"/>
          <w:b/>
          <w:color w:val="000000"/>
          <w:lang w:val="es-ES_tradnl" w:eastAsia="es-MX"/>
        </w:rPr>
        <w:t>los Sujetos Obligados no tienen el deber de generar, poseer o administrar la información pública con el grado de detalle solicitado</w:t>
      </w:r>
      <w:r w:rsidRPr="009E63DA">
        <w:rPr>
          <w:rFonts w:ascii="Palatino Linotype" w:eastAsia="Calibri" w:hAnsi="Palatino Linotype" w:cs="Arial"/>
          <w:color w:val="000000"/>
          <w:lang w:val="es-ES_tradnl" w:eastAsia="es-MX"/>
        </w:rPr>
        <w:t xml:space="preserve">; esto es, que </w:t>
      </w:r>
      <w:r w:rsidRPr="00DE27AA">
        <w:rPr>
          <w:rFonts w:ascii="Palatino Linotype" w:eastAsia="Calibri" w:hAnsi="Palatino Linotype" w:cs="Arial"/>
          <w:b/>
          <w:color w:val="000000"/>
          <w:u w:val="single"/>
          <w:lang w:val="es-ES_tradnl" w:eastAsia="es-MX"/>
        </w:rPr>
        <w:t xml:space="preserve">no tienen el </w:t>
      </w:r>
      <w:r w:rsidRPr="00DE27AA">
        <w:rPr>
          <w:rFonts w:ascii="Palatino Linotype" w:eastAsia="Calibri" w:hAnsi="Palatino Linotype" w:cs="Arial"/>
          <w:b/>
          <w:color w:val="000000"/>
          <w:u w:val="single"/>
          <w:lang w:val="es-ES_tradnl" w:eastAsia="es-MX"/>
        </w:rPr>
        <w:lastRenderedPageBreak/>
        <w:t xml:space="preserve">deber de generar un documento </w:t>
      </w:r>
      <w:r w:rsidRPr="00DE27AA">
        <w:rPr>
          <w:rFonts w:ascii="Palatino Linotype" w:eastAsia="Calibri" w:hAnsi="Palatino Linotype" w:cs="Arial"/>
          <w:b/>
          <w:i/>
          <w:color w:val="000000"/>
          <w:u w:val="single"/>
          <w:lang w:val="es-ES_tradnl" w:eastAsia="es-MX"/>
        </w:rPr>
        <w:t>ad hoc</w:t>
      </w:r>
      <w:r w:rsidRPr="00DE27AA">
        <w:rPr>
          <w:rFonts w:ascii="Palatino Linotype" w:eastAsia="Calibri" w:hAnsi="Palatino Linotype" w:cs="Arial"/>
          <w:b/>
          <w:color w:val="000000"/>
          <w:u w:val="single"/>
          <w:lang w:val="es-ES_tradnl" w:eastAsia="es-MX"/>
        </w:rPr>
        <w:t>, para satisfacer el derecho de acceso a la información pública.</w:t>
      </w:r>
    </w:p>
    <w:p w:rsidR="00536FC0" w:rsidRPr="00F16009" w:rsidRDefault="00536FC0" w:rsidP="00536FC0">
      <w:pPr>
        <w:pStyle w:val="Sinespaciado"/>
        <w:spacing w:line="360" w:lineRule="auto"/>
        <w:jc w:val="both"/>
        <w:rPr>
          <w:rFonts w:ascii="Palatino Linotype" w:hAnsi="Palatino Linotype"/>
          <w:sz w:val="24"/>
        </w:rPr>
      </w:pPr>
    </w:p>
    <w:p w:rsidR="004F7928" w:rsidRPr="002C3EC8" w:rsidRDefault="004F7928" w:rsidP="004F7928">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t>De la versión pública</w:t>
      </w:r>
    </w:p>
    <w:p w:rsidR="004F7928" w:rsidRPr="002C3EC8" w:rsidRDefault="004F7928" w:rsidP="004F7928">
      <w:pPr>
        <w:tabs>
          <w:tab w:val="left" w:pos="8647"/>
        </w:tabs>
        <w:spacing w:line="360" w:lineRule="auto"/>
        <w:ind w:right="51"/>
        <w:jc w:val="both"/>
        <w:rPr>
          <w:rFonts w:ascii="Palatino Linotype" w:hAnsi="Palatino Linotype" w:cs="Arial"/>
        </w:rPr>
      </w:pPr>
    </w:p>
    <w:p w:rsidR="004F7928" w:rsidRDefault="004F7928" w:rsidP="004F79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20593">
        <w:rPr>
          <w:rFonts w:ascii="Palatino Linotype" w:eastAsia="Palatino Linotype" w:hAnsi="Palatino Linotype" w:cs="Palatino Linotype"/>
          <w:color w:val="000000"/>
        </w:rPr>
        <w:t>No pasa desapercibido que la información</w:t>
      </w:r>
      <w:r w:rsidRPr="00DA44B3">
        <w:rPr>
          <w:rFonts w:ascii="Palatino Linotype" w:eastAsia="Palatino Linotype" w:hAnsi="Palatino Linotype" w:cs="Palatino Linotype"/>
          <w:color w:val="000000"/>
        </w:rPr>
        <w:t xml:space="preserve"> podría contener información susceptible de clasificar, por lo cual, dicha información debe ser clasificada para no vulnerar un derecho intangible. Aunado a que de ser en caso de contar con otra información consistente en datos personales, deberá generarse una versión pública,</w:t>
      </w:r>
      <w:r>
        <w:rPr>
          <w:rFonts w:ascii="Palatino Linotype" w:eastAsia="Palatino Linotype" w:hAnsi="Palatino Linotype" w:cs="Palatino Linotype"/>
          <w:color w:val="000000"/>
        </w:rPr>
        <w:t xml:space="preserve"> de ser procedente,</w:t>
      </w:r>
      <w:r w:rsidRPr="00DA44B3">
        <w:rPr>
          <w:rFonts w:ascii="Palatino Linotype" w:eastAsia="Palatino Linotype" w:hAnsi="Palatino Linotype" w:cs="Palatino Linotype"/>
          <w:color w:val="000000"/>
        </w:rPr>
        <w:t xml:space="preserve">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 </w:t>
      </w:r>
    </w:p>
    <w:p w:rsidR="004F7928" w:rsidRDefault="004F7928" w:rsidP="004F79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4F7928" w:rsidRDefault="004F7928" w:rsidP="004F7928">
      <w:pPr>
        <w:pStyle w:val="INFOEM"/>
      </w:pPr>
      <w:r w:rsidRPr="00DA44B3">
        <w:t xml:space="preserve">“Artículo 3. Para los efectos de la presente Ley se entenderá por: </w:t>
      </w:r>
    </w:p>
    <w:p w:rsidR="004F7928" w:rsidRDefault="004F7928" w:rsidP="004F7928">
      <w:pPr>
        <w:pStyle w:val="INFOEM"/>
      </w:pPr>
      <w:r w:rsidRPr="00DA44B3">
        <w:t xml:space="preserve">(…) </w:t>
      </w:r>
    </w:p>
    <w:p w:rsidR="004F7928" w:rsidRDefault="004F7928" w:rsidP="004F7928">
      <w:pPr>
        <w:pStyle w:val="INFOEM"/>
      </w:pPr>
      <w:r w:rsidRPr="00DA44B3">
        <w:t xml:space="preserve">IX. Datos personales: La información concerniente a una persona, identificada o identificable según lo dispuesto por la Ley de Protección de Datos Personales del Estado de México; </w:t>
      </w:r>
    </w:p>
    <w:p w:rsidR="004F7928" w:rsidRDefault="004F7928" w:rsidP="004F7928">
      <w:pPr>
        <w:pStyle w:val="INFOEM"/>
      </w:pPr>
      <w:r w:rsidRPr="00DA44B3">
        <w:t xml:space="preserve">(…) </w:t>
      </w:r>
    </w:p>
    <w:p w:rsidR="004F7928" w:rsidRDefault="004F7928" w:rsidP="004F7928">
      <w:pPr>
        <w:pStyle w:val="INFOEM"/>
      </w:pPr>
      <w:r w:rsidRPr="00DA44B3">
        <w:rPr>
          <w:b/>
          <w:u w:val="single"/>
        </w:rPr>
        <w:lastRenderedPageBreak/>
        <w:t>XLV. Versión pública:</w:t>
      </w:r>
      <w:r w:rsidRPr="00DA44B3">
        <w:t xml:space="preserve"> Documento en el que se elimine, suprime o borra la información clasificada como reservada o confidencial para permitir su acceso. </w:t>
      </w:r>
    </w:p>
    <w:p w:rsidR="004F7928" w:rsidRDefault="004F7928" w:rsidP="004F7928">
      <w:pPr>
        <w:pStyle w:val="INFOEM"/>
        <w:rPr>
          <w:b/>
          <w:u w:val="single"/>
        </w:rPr>
      </w:pPr>
      <w:r w:rsidRPr="00DA44B3">
        <w:t xml:space="preserve">Artículo 122. </w:t>
      </w:r>
      <w:r w:rsidRPr="00DA44B3">
        <w:rPr>
          <w:b/>
          <w:u w:val="single"/>
        </w:rPr>
        <w:t>La clasificación es el proceso mediante el cual el sujeto obligado determina que la información en su poder actualiza alguno de los supuestos de reserva o confidencialidad, de conformidad con lo dispuesto en el presente título.</w:t>
      </w:r>
    </w:p>
    <w:p w:rsidR="004F7928" w:rsidRDefault="004F7928" w:rsidP="004F7928">
      <w:pPr>
        <w:pStyle w:val="INFOEM"/>
      </w:pPr>
      <w:r w:rsidRPr="00DA44B3">
        <w:t xml:space="preserve">[…] </w:t>
      </w:r>
    </w:p>
    <w:p w:rsidR="004F7928" w:rsidRDefault="004F7928" w:rsidP="004F7928">
      <w:pPr>
        <w:pStyle w:val="INFOEM"/>
      </w:pPr>
      <w:r w:rsidRPr="00DA44B3">
        <w:t>Artículo 132. La clasificación de la información se llevará a cabo en el momento en que:</w:t>
      </w:r>
    </w:p>
    <w:p w:rsidR="004F7928" w:rsidRDefault="004F7928" w:rsidP="004F7928">
      <w:pPr>
        <w:pStyle w:val="INFOEM"/>
      </w:pPr>
      <w:r w:rsidRPr="00DA44B3">
        <w:t xml:space="preserve"> […] </w:t>
      </w:r>
    </w:p>
    <w:p w:rsidR="004F7928" w:rsidRDefault="004F7928" w:rsidP="004F7928">
      <w:pPr>
        <w:pStyle w:val="INFOEM"/>
      </w:pPr>
      <w:r w:rsidRPr="00DA44B3">
        <w:rPr>
          <w:b/>
          <w:u w:val="single"/>
        </w:rPr>
        <w:t>II. Se determine mediante resolución de autoridad competente;</w:t>
      </w:r>
      <w:r w:rsidRPr="00DA44B3">
        <w:t xml:space="preserve"> o </w:t>
      </w:r>
    </w:p>
    <w:p w:rsidR="004F7928" w:rsidRDefault="004F7928" w:rsidP="004F7928">
      <w:pPr>
        <w:pStyle w:val="INFOEM"/>
      </w:pPr>
      <w:r w:rsidRPr="00DA44B3">
        <w:t xml:space="preserve">(…) </w:t>
      </w:r>
    </w:p>
    <w:p w:rsidR="004F7928" w:rsidRDefault="004F7928" w:rsidP="004F7928">
      <w:pPr>
        <w:pStyle w:val="INFOEM"/>
      </w:pPr>
      <w:r w:rsidRPr="00DA44B3">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DA44B3">
        <w:rPr>
          <w:b/>
          <w:u w:val="single"/>
        </w:rPr>
        <w:t>de manera genérica y fundando y motivando su clasificación.” [Sic]</w:t>
      </w:r>
    </w:p>
    <w:p w:rsidR="004F7928" w:rsidRDefault="004F7928" w:rsidP="004F7928">
      <w:pPr>
        <w:spacing w:line="360" w:lineRule="auto"/>
        <w:jc w:val="both"/>
        <w:rPr>
          <w:rFonts w:ascii="Palatino Linotype" w:hAnsi="Palatino Linotype"/>
        </w:rPr>
      </w:pPr>
    </w:p>
    <w:p w:rsidR="007C28B0" w:rsidRPr="0039499D" w:rsidRDefault="007C28B0" w:rsidP="007C28B0">
      <w:pPr>
        <w:spacing w:line="360" w:lineRule="auto"/>
        <w:jc w:val="both"/>
        <w:rPr>
          <w:rFonts w:ascii="Palatino Linotype" w:hAnsi="Palatino Linotype" w:cs="Arial"/>
        </w:rPr>
      </w:pPr>
      <w:r w:rsidRPr="0039499D">
        <w:rPr>
          <w:rFonts w:ascii="Palatino Linotype" w:hAnsi="Palatino Linotype" w:cs="Arial"/>
        </w:rPr>
        <w:t xml:space="preserve">Asimismo, de la versión pública deberá dejarse a la vista del </w:t>
      </w:r>
      <w:r w:rsidRPr="0039499D">
        <w:rPr>
          <w:rFonts w:ascii="Palatino Linotype" w:hAnsi="Palatino Linotype" w:cs="Arial"/>
          <w:b/>
        </w:rPr>
        <w:t>Recurrente</w:t>
      </w:r>
      <w:r w:rsidRPr="0039499D">
        <w:rPr>
          <w:rFonts w:ascii="Palatino Linotype" w:hAnsi="Palatino Linotype" w:cs="Arial"/>
        </w:rPr>
        <w:t xml:space="preserve"> los siguientes elementos de información pública: monto total del sueldo neto y bruto, compensaciones, prestaciones, aguinaldos, bonos, pagos por concepto de gasolina, de servicio de telefonía celular, el </w:t>
      </w:r>
      <w:r w:rsidRPr="0039499D">
        <w:rPr>
          <w:rFonts w:ascii="Palatino Linotype" w:hAnsi="Palatino Linotype" w:cs="Arial"/>
          <w:b/>
        </w:rPr>
        <w:t>nombre del servidor público</w:t>
      </w:r>
      <w:r w:rsidRPr="0039499D">
        <w:rPr>
          <w:rFonts w:ascii="Palatino Linotype" w:hAnsi="Palatino Linotype" w:cs="Arial"/>
        </w:rPr>
        <w:t xml:space="preserve">, el cargo que desempeña, </w:t>
      </w:r>
      <w:r w:rsidRPr="0039499D">
        <w:rPr>
          <w:rFonts w:ascii="Palatino Linotype" w:hAnsi="Palatino Linotype" w:cs="Arial"/>
        </w:rPr>
        <w:lastRenderedPageBreak/>
        <w:t xml:space="preserve">área de adscripción, número de empleado (sólo en caso de no arrojar datos personales) y el período de la nómina respectiva, básicamente.  </w:t>
      </w: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eastAsia="en-US"/>
        </w:rPr>
      </w:pPr>
      <w:r>
        <w:rPr>
          <w:rFonts w:ascii="Palatino Linotype" w:eastAsiaTheme="minorHAnsi" w:hAnsi="Palatino Linotype" w:cs="Arial"/>
          <w:lang w:eastAsia="en-US"/>
        </w:rPr>
        <w:t>E</w:t>
      </w: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E24957">
        <w:rPr>
          <w:rFonts w:ascii="Palatino Linotype" w:eastAsiaTheme="minorHAnsi" w:hAnsi="Palatino Linotype" w:cs="Arial"/>
          <w:lang w:eastAsia="en-US"/>
        </w:rPr>
        <w:t xml:space="preserv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eastAsia="en-US"/>
        </w:rPr>
      </w:pP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E24957">
        <w:rPr>
          <w:rFonts w:ascii="Palatino Linotype" w:eastAsiaTheme="minorHAnsi" w:hAnsi="Palatino Linotype" w:cs="Arial"/>
          <w:lang w:eastAsia="en-US"/>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 </w:t>
      </w: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eastAsia="en-US"/>
        </w:rPr>
      </w:pP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E24957">
        <w:rPr>
          <w:rFonts w:ascii="Palatino Linotype" w:eastAsiaTheme="minorHAnsi" w:hAnsi="Palatino Linotype" w:cs="Arial"/>
          <w:lang w:eastAsia="en-US"/>
        </w:rPr>
        <w:t xml:space="preserve">Lo anterior, toma sustento en el Criterio 06/19, emitido por el Instituto Nacional de Transparencia, Acceso a la Información y Protección de Datos Personales, que establece lo siguiente: </w:t>
      </w:r>
    </w:p>
    <w:p w:rsidR="006C3F2F" w:rsidRDefault="006C3F2F" w:rsidP="006C3F2F">
      <w:pPr>
        <w:pStyle w:val="Citas"/>
      </w:pPr>
      <w:r w:rsidRPr="00E24957">
        <w:t>“</w:t>
      </w:r>
      <w:r w:rsidRPr="00E24957">
        <w:rPr>
          <w:b/>
        </w:rPr>
        <w:t>Número de empleado.</w:t>
      </w:r>
      <w:r w:rsidRPr="00E24957">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eastAsia="en-US"/>
        </w:rPr>
      </w:pPr>
    </w:p>
    <w:p w:rsidR="006C3F2F" w:rsidRPr="00E24957"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E24957">
        <w:rPr>
          <w:rFonts w:ascii="Palatino Linotype" w:eastAsiaTheme="minorHAnsi" w:hAnsi="Palatino Linotype" w:cs="Arial"/>
          <w:lang w:eastAsia="en-US"/>
        </w:rPr>
        <w:lastRenderedPageBreak/>
        <w:t>Así, se colige que solamente procederá la clasificación del número de empleado, cuando se integre con datos personales de los servidores públicos o funcione como clave de acceso que no requiera una contraseña para ingresar a sistemas o bases de datos.</w:t>
      </w:r>
    </w:p>
    <w:p w:rsidR="006C3F2F"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val="es-MX" w:eastAsia="en-US"/>
        </w:rPr>
      </w:pPr>
    </w:p>
    <w:p w:rsidR="006C3F2F" w:rsidRPr="002C5A45" w:rsidRDefault="006C3F2F" w:rsidP="006C3F2F">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E24957">
        <w:rPr>
          <w:rFonts w:ascii="Palatino Linotype" w:eastAsiaTheme="minorHAnsi" w:hAnsi="Palatino Linotype" w:cs="Arial"/>
          <w:lang w:eastAsia="en-US"/>
        </w:rPr>
        <w:t>En ese contexto, se logra vislumbrar que el número de empleado únicamente se conforma por dígitos numéricos, por lo que, no da acceso a datos personales, ni refleja estos, lo cual da como resultado que no resulte procedente su clasificación, en términos del artículo 143, fracción I, de la Ley de Transparencia y Acceso a la Información Pública del Estado de México y Municipios.</w:t>
      </w:r>
    </w:p>
    <w:p w:rsidR="007C28B0" w:rsidRDefault="007C28B0" w:rsidP="004F7928">
      <w:pPr>
        <w:spacing w:line="360" w:lineRule="auto"/>
        <w:jc w:val="both"/>
        <w:rPr>
          <w:rFonts w:ascii="Palatino Linotype" w:hAnsi="Palatino Linotype"/>
        </w:rPr>
      </w:pPr>
    </w:p>
    <w:p w:rsidR="004F7928" w:rsidRDefault="004F7928" w:rsidP="004F7928">
      <w:pPr>
        <w:spacing w:line="360" w:lineRule="auto"/>
        <w:jc w:val="both"/>
        <w:rPr>
          <w:rFonts w:ascii="Palatino Linotype" w:hAnsi="Palatino Linotype"/>
        </w:rPr>
      </w:pPr>
      <w:r w:rsidRPr="00DA44B3">
        <w:rPr>
          <w:rFonts w:ascii="Palatino Linotype" w:hAnsi="Palatino Linotype"/>
        </w:rPr>
        <w:t xml:space="preserve">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 </w:t>
      </w:r>
    </w:p>
    <w:p w:rsidR="004F7928" w:rsidRDefault="004F7928" w:rsidP="004F7928">
      <w:pPr>
        <w:spacing w:line="360" w:lineRule="auto"/>
        <w:jc w:val="both"/>
        <w:rPr>
          <w:rFonts w:ascii="Palatino Linotype" w:hAnsi="Palatino Linotype"/>
        </w:rPr>
      </w:pPr>
    </w:p>
    <w:p w:rsidR="004F7928" w:rsidRPr="00DA44B3" w:rsidRDefault="004F7928" w:rsidP="004F7928">
      <w:pPr>
        <w:spacing w:line="360" w:lineRule="auto"/>
        <w:jc w:val="both"/>
        <w:rPr>
          <w:rFonts w:ascii="Palatino Linotype" w:hAnsi="Palatino Linotype"/>
        </w:rPr>
      </w:pPr>
      <w:r w:rsidRPr="00DA44B3">
        <w:rPr>
          <w:rFonts w:ascii="Palatino Linotype" w:hAnsi="Palatino Linotype"/>
        </w:rPr>
        <w:t>En cuanto al Registro Federal de Contribuyentes de las personas físicas constituye un dato personal, ya que para su obtención es necesario acreditar ante la autoridad fiscal previamente la identidad de la persona, su fecha de nacimiento, entre otros aspectos.</w:t>
      </w:r>
    </w:p>
    <w:p w:rsidR="004F7928" w:rsidRDefault="004F7928" w:rsidP="004F7928">
      <w:pPr>
        <w:spacing w:line="360" w:lineRule="auto"/>
        <w:jc w:val="both"/>
        <w:rPr>
          <w:rFonts w:ascii="Palatino Linotype" w:hAnsi="Palatino Linotype"/>
        </w:rPr>
      </w:pPr>
    </w:p>
    <w:p w:rsidR="004F7928" w:rsidRDefault="004F7928" w:rsidP="004F7928">
      <w:pPr>
        <w:spacing w:line="360" w:lineRule="auto"/>
        <w:jc w:val="both"/>
        <w:rPr>
          <w:rFonts w:ascii="Palatino Linotype" w:hAnsi="Palatino Linotype"/>
        </w:rPr>
      </w:pPr>
      <w:r w:rsidRPr="00DA44B3">
        <w:rPr>
          <w:rFonts w:ascii="Palatino Linotype" w:hAnsi="Palatino Linotype"/>
        </w:rPr>
        <w:lastRenderedPageBreak/>
        <w:t>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w:t>
      </w:r>
    </w:p>
    <w:p w:rsidR="004F7928" w:rsidRPr="00C960DD" w:rsidRDefault="004F7928" w:rsidP="004F7928">
      <w:pPr>
        <w:ind w:left="567" w:right="567"/>
        <w:jc w:val="both"/>
        <w:rPr>
          <w:rFonts w:ascii="Palatino Linotype" w:hAnsi="Palatino Linotype" w:cs="Arial"/>
          <w:b/>
          <w:bCs/>
          <w:i/>
        </w:rPr>
      </w:pPr>
      <w:r w:rsidRPr="00C960DD">
        <w:rPr>
          <w:rFonts w:ascii="Palatino Linotype" w:hAnsi="Palatino Linotype" w:cs="Arial"/>
          <w:bCs/>
          <w:i/>
        </w:rPr>
        <w:t>“</w:t>
      </w:r>
      <w:r w:rsidRPr="00C960DD">
        <w:rPr>
          <w:rFonts w:ascii="Palatino Linotype" w:hAnsi="Palatino Linotype" w:cs="Arial"/>
          <w:b/>
          <w:bCs/>
          <w:i/>
        </w:rPr>
        <w:t xml:space="preserve">Registro Federal de Contribuyentes (RFC) de personas físicas. </w:t>
      </w:r>
      <w:r w:rsidRPr="00C960DD">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rsidR="004F7928" w:rsidRPr="00C960DD" w:rsidRDefault="004F7928" w:rsidP="004F7928">
      <w:pPr>
        <w:ind w:left="567" w:right="567"/>
        <w:jc w:val="both"/>
        <w:rPr>
          <w:rFonts w:ascii="Palatino Linotype" w:hAnsi="Palatino Linotype" w:cs="Arial"/>
          <w:bCs/>
          <w:i/>
          <w:sz w:val="20"/>
        </w:rPr>
      </w:pPr>
      <w:r w:rsidRPr="00C960DD">
        <w:rPr>
          <w:rFonts w:ascii="Palatino Linotype" w:hAnsi="Palatino Linotype" w:cs="Arial"/>
          <w:bCs/>
          <w:i/>
          <w:sz w:val="20"/>
        </w:rPr>
        <w:t>Resoluciones:</w:t>
      </w:r>
    </w:p>
    <w:p w:rsidR="004F7928" w:rsidRPr="00C960DD" w:rsidRDefault="004F7928" w:rsidP="004F7928">
      <w:pPr>
        <w:ind w:left="567" w:right="567"/>
        <w:jc w:val="both"/>
        <w:rPr>
          <w:rFonts w:ascii="Palatino Linotype" w:hAnsi="Palatino Linotype" w:cs="Arial"/>
          <w:bCs/>
          <w:i/>
          <w:sz w:val="20"/>
        </w:rPr>
      </w:pPr>
      <w:r w:rsidRPr="00C960DD">
        <w:rPr>
          <w:rFonts w:ascii="Palatino Linotype" w:hAnsi="Palatino Linotype" w:cs="Arial"/>
          <w:bCs/>
          <w:i/>
          <w:sz w:val="20"/>
        </w:rPr>
        <w:t>•</w:t>
      </w:r>
      <w:r w:rsidRPr="00C960DD">
        <w:rPr>
          <w:rFonts w:ascii="Palatino Linotype" w:hAnsi="Palatino Linotype" w:cs="Arial"/>
          <w:bCs/>
          <w:i/>
          <w:sz w:val="20"/>
        </w:rPr>
        <w:tab/>
        <w:t>RRA 0189/17. Morena. 08 de febrero de 2017. Por unanimidad. Comisionado Ponente Joel Salas Suárez.</w:t>
      </w:r>
    </w:p>
    <w:p w:rsidR="004F7928" w:rsidRPr="00C960DD" w:rsidRDefault="004F7928" w:rsidP="004F7928">
      <w:pPr>
        <w:ind w:left="567" w:right="567"/>
        <w:jc w:val="both"/>
        <w:rPr>
          <w:rFonts w:ascii="Palatino Linotype" w:hAnsi="Palatino Linotype" w:cs="Arial"/>
          <w:bCs/>
          <w:i/>
          <w:sz w:val="20"/>
        </w:rPr>
      </w:pPr>
      <w:r w:rsidRPr="00C960DD">
        <w:rPr>
          <w:rFonts w:ascii="Palatino Linotype" w:hAnsi="Palatino Linotype" w:cs="Arial"/>
          <w:bCs/>
          <w:i/>
          <w:sz w:val="20"/>
        </w:rPr>
        <w:t>•</w:t>
      </w:r>
      <w:r w:rsidRPr="00C960DD">
        <w:rPr>
          <w:rFonts w:ascii="Palatino Linotype" w:hAnsi="Palatino Linotype" w:cs="Arial"/>
          <w:bCs/>
          <w:i/>
          <w:sz w:val="20"/>
        </w:rPr>
        <w:tab/>
        <w:t xml:space="preserve">RRA 0677/17. Universidad Nacional Autónoma de México. 08 de marzo de 2017. Por unanimidad. Comisionado Ponente Rosendoevgueni Monterrey Chepov. </w:t>
      </w:r>
    </w:p>
    <w:p w:rsidR="004F7928" w:rsidRPr="00C960DD" w:rsidRDefault="004F7928" w:rsidP="004F7928">
      <w:pPr>
        <w:ind w:left="567" w:right="567"/>
        <w:jc w:val="both"/>
        <w:rPr>
          <w:rFonts w:ascii="Palatino Linotype" w:hAnsi="Palatino Linotype" w:cs="Arial"/>
          <w:i/>
          <w:sz w:val="20"/>
        </w:rPr>
      </w:pPr>
      <w:r w:rsidRPr="00C960DD">
        <w:rPr>
          <w:rFonts w:ascii="Palatino Linotype" w:hAnsi="Palatino Linotype" w:cs="Arial"/>
          <w:bCs/>
          <w:i/>
          <w:sz w:val="20"/>
        </w:rPr>
        <w:t>•</w:t>
      </w:r>
      <w:r w:rsidRPr="00C960DD">
        <w:rPr>
          <w:rFonts w:ascii="Palatino Linotype" w:hAnsi="Palatino Linotype" w:cs="Arial"/>
          <w:bCs/>
          <w:i/>
          <w:sz w:val="20"/>
        </w:rPr>
        <w:tab/>
        <w:t>RRA 1564/17. Tribunal Electoral del Poder Judicial de la Federación. 26 de abril de 2017. Por unanimidad. Comisionado Ponente Oscar Mauricio Guerra Ford.</w:t>
      </w:r>
      <w:r w:rsidRPr="00C960DD">
        <w:rPr>
          <w:rFonts w:ascii="Palatino Linotype" w:hAnsi="Palatino Linotype" w:cs="Arial"/>
          <w:i/>
          <w:sz w:val="20"/>
        </w:rPr>
        <w:t>”</w:t>
      </w:r>
    </w:p>
    <w:p w:rsidR="004F7928" w:rsidRPr="00C960DD" w:rsidRDefault="004F7928" w:rsidP="004F7928">
      <w:pPr>
        <w:spacing w:line="360" w:lineRule="auto"/>
        <w:jc w:val="both"/>
        <w:rPr>
          <w:rFonts w:ascii="Palatino Linotype" w:hAnsi="Palatino Linotype" w:cs="Arial"/>
          <w:lang w:eastAsia="es-MX"/>
        </w:rPr>
      </w:pPr>
    </w:p>
    <w:p w:rsidR="004F7928" w:rsidRPr="00C960DD" w:rsidRDefault="004F7928" w:rsidP="004F7928">
      <w:pPr>
        <w:spacing w:line="360" w:lineRule="auto"/>
        <w:jc w:val="both"/>
        <w:rPr>
          <w:rFonts w:ascii="Palatino Linotype" w:hAnsi="Palatino Linotype" w:cs="Arial"/>
          <w:lang w:eastAsia="es-MX"/>
        </w:rPr>
      </w:pPr>
      <w:r w:rsidRPr="00C960DD">
        <w:rPr>
          <w:rFonts w:ascii="Palatino Linotype" w:hAnsi="Palatino Linotype" w:cs="Arial"/>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rsidR="004F7928" w:rsidRPr="00C960DD" w:rsidRDefault="004F7928" w:rsidP="004F7928">
      <w:pPr>
        <w:spacing w:line="360" w:lineRule="auto"/>
        <w:jc w:val="both"/>
        <w:rPr>
          <w:rFonts w:ascii="Palatino Linotype" w:hAnsi="Palatino Linotype" w:cs="Arial"/>
          <w:lang w:eastAsia="es-MX"/>
        </w:rPr>
      </w:pPr>
    </w:p>
    <w:p w:rsidR="004F7928" w:rsidRPr="00C960DD" w:rsidRDefault="004F7928" w:rsidP="004F7928">
      <w:pPr>
        <w:spacing w:line="360" w:lineRule="auto"/>
        <w:jc w:val="both"/>
        <w:rPr>
          <w:rFonts w:ascii="Palatino Linotype" w:hAnsi="Palatino Linotype"/>
          <w:lang w:eastAsia="es-MX"/>
        </w:rPr>
      </w:pPr>
      <w:r w:rsidRPr="00C960DD">
        <w:rPr>
          <w:rFonts w:ascii="Palatino Linotype" w:hAnsi="Palatino Linotype"/>
          <w:lang w:eastAsia="es-MX"/>
        </w:rPr>
        <w:t xml:space="preserve">Por cuanto hace a la </w:t>
      </w:r>
      <w:r w:rsidRPr="00C960DD">
        <w:rPr>
          <w:rFonts w:ascii="Palatino Linotype" w:hAnsi="Palatino Linotype"/>
          <w:b/>
        </w:rPr>
        <w:t xml:space="preserve">Clave Única de Registro de Población, </w:t>
      </w:r>
      <w:r w:rsidRPr="00C960DD">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4F7928" w:rsidRPr="00C960DD" w:rsidRDefault="004F7928" w:rsidP="004F7928">
      <w:pPr>
        <w:spacing w:line="360" w:lineRule="auto"/>
        <w:jc w:val="both"/>
        <w:rPr>
          <w:rFonts w:ascii="Palatino Linotype" w:hAnsi="Palatino Linotype"/>
          <w:lang w:eastAsia="es-MX"/>
        </w:rPr>
      </w:pPr>
    </w:p>
    <w:p w:rsidR="004F7928" w:rsidRPr="00C960DD" w:rsidRDefault="004F7928" w:rsidP="004F7928">
      <w:pPr>
        <w:spacing w:line="360" w:lineRule="auto"/>
        <w:jc w:val="both"/>
        <w:rPr>
          <w:rFonts w:ascii="Palatino Linotype" w:hAnsi="Palatino Linotype"/>
          <w:lang w:eastAsia="es-MX"/>
        </w:rPr>
      </w:pPr>
      <w:r w:rsidRPr="00C960DD">
        <w:rPr>
          <w:rFonts w:ascii="Palatino Linotype" w:hAnsi="Palatino Linotype"/>
          <w:lang w:eastAsia="es-MX"/>
        </w:rPr>
        <w:lastRenderedPageBreak/>
        <w:t>Lo anterior, tiene sustento en los artículos 86 y 91 de la Ley General de Población, la cual señala lo siguiente:</w:t>
      </w:r>
    </w:p>
    <w:p w:rsidR="004F7928" w:rsidRPr="00C960DD" w:rsidRDefault="004F7928" w:rsidP="004F7928">
      <w:pPr>
        <w:spacing w:line="360" w:lineRule="auto"/>
        <w:jc w:val="both"/>
        <w:rPr>
          <w:rFonts w:ascii="Palatino Linotype" w:hAnsi="Palatino Linotype"/>
          <w:lang w:eastAsia="es-MX"/>
        </w:rPr>
      </w:pPr>
    </w:p>
    <w:p w:rsidR="004F7928" w:rsidRPr="00C960DD" w:rsidRDefault="004F7928" w:rsidP="004F7928">
      <w:pPr>
        <w:ind w:left="567" w:right="567"/>
        <w:jc w:val="both"/>
        <w:rPr>
          <w:rFonts w:ascii="Palatino Linotype" w:hAnsi="Palatino Linotype" w:cs="Arial"/>
          <w:i/>
          <w:lang w:eastAsia="es-MX"/>
        </w:rPr>
      </w:pPr>
      <w:r w:rsidRPr="00C960DD">
        <w:rPr>
          <w:rFonts w:ascii="Palatino Linotype" w:hAnsi="Palatino Linotype" w:cs="Arial,Bold"/>
          <w:b/>
          <w:bCs/>
          <w:i/>
          <w:lang w:eastAsia="es-MX"/>
        </w:rPr>
        <w:t xml:space="preserve">“Artículo 86. </w:t>
      </w:r>
      <w:r w:rsidRPr="00C960DD">
        <w:rPr>
          <w:rFonts w:ascii="Palatino Linotype" w:hAnsi="Palatino Linotype" w:cs="Arial"/>
          <w:i/>
          <w:lang w:eastAsia="es-MX"/>
        </w:rPr>
        <w:t>El Registro Nacional de Población tiene como finalidad registrar a cada una de las personas que integran la población del país, con los datos que permitan certificar y acreditar fehacientemente su identidad.</w:t>
      </w:r>
    </w:p>
    <w:p w:rsidR="004F7928" w:rsidRPr="00C960DD" w:rsidRDefault="004F7928" w:rsidP="004F7928">
      <w:pPr>
        <w:ind w:left="567" w:right="567"/>
        <w:jc w:val="both"/>
        <w:rPr>
          <w:rFonts w:ascii="Palatino Linotype" w:hAnsi="Palatino Linotype" w:cs="Arial"/>
          <w:i/>
          <w:lang w:eastAsia="es-MX"/>
        </w:rPr>
      </w:pPr>
    </w:p>
    <w:p w:rsidR="004F7928" w:rsidRPr="00C960DD" w:rsidRDefault="004F7928" w:rsidP="004F7928">
      <w:pPr>
        <w:ind w:left="567" w:right="567"/>
        <w:jc w:val="both"/>
        <w:rPr>
          <w:rFonts w:ascii="Palatino Linotype" w:hAnsi="Palatino Linotype" w:cs="Arial"/>
          <w:i/>
          <w:lang w:eastAsia="es-MX"/>
        </w:rPr>
      </w:pPr>
      <w:r w:rsidRPr="00C960DD">
        <w:rPr>
          <w:rFonts w:ascii="Palatino Linotype" w:hAnsi="Palatino Linotype" w:cs="Arial,Bold"/>
          <w:b/>
          <w:bCs/>
          <w:i/>
          <w:lang w:eastAsia="es-MX"/>
        </w:rPr>
        <w:t xml:space="preserve">Artículo 91. </w:t>
      </w:r>
      <w:r w:rsidRPr="00C960DD">
        <w:rPr>
          <w:rFonts w:ascii="Palatino Linotype" w:hAnsi="Palatino Linotype" w:cs="Arial"/>
          <w:i/>
          <w:lang w:eastAsia="es-MX"/>
        </w:rPr>
        <w:t>Al incorporar a una persona en el Registro Nacional de Población, se le asignará una clave que se denominará Clave Única de Registro de Población. Esta servirá para registrarla e identificarla en forma individual.”</w:t>
      </w:r>
    </w:p>
    <w:p w:rsidR="004F7928" w:rsidRPr="00C960DD" w:rsidRDefault="004F7928" w:rsidP="004F7928">
      <w:pPr>
        <w:spacing w:line="360" w:lineRule="auto"/>
        <w:jc w:val="both"/>
        <w:rPr>
          <w:rFonts w:ascii="Palatino Linotype" w:hAnsi="Palatino Linotype"/>
          <w:lang w:eastAsia="es-MX"/>
        </w:rPr>
      </w:pPr>
    </w:p>
    <w:p w:rsidR="004F7928" w:rsidRPr="00C960DD" w:rsidRDefault="004F7928" w:rsidP="004F7928">
      <w:pPr>
        <w:spacing w:line="360" w:lineRule="auto"/>
        <w:jc w:val="both"/>
        <w:rPr>
          <w:rFonts w:ascii="Palatino Linotype" w:hAnsi="Palatino Linotype"/>
          <w:lang w:eastAsia="es-MX"/>
        </w:rPr>
      </w:pPr>
      <w:r w:rsidRPr="00C960DD">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4F7928" w:rsidRPr="00C960DD" w:rsidRDefault="004F7928" w:rsidP="004F7928">
      <w:pPr>
        <w:spacing w:line="360" w:lineRule="auto"/>
        <w:jc w:val="both"/>
        <w:rPr>
          <w:rFonts w:ascii="Palatino Linotype" w:hAnsi="Palatino Linotype"/>
          <w:lang w:eastAsia="es-MX"/>
        </w:rPr>
      </w:pPr>
    </w:p>
    <w:p w:rsidR="004F7928" w:rsidRPr="00C960DD" w:rsidRDefault="004F7928" w:rsidP="004F7928">
      <w:pPr>
        <w:spacing w:line="360" w:lineRule="auto"/>
        <w:jc w:val="both"/>
        <w:rPr>
          <w:rFonts w:ascii="Palatino Linotype" w:hAnsi="Palatino Linotype"/>
          <w:lang w:eastAsia="es-MX"/>
        </w:rPr>
      </w:pPr>
      <w:r w:rsidRPr="00C960DD">
        <w:rPr>
          <w:rFonts w:ascii="Palatino Linotype" w:hAnsi="Palatino Linotype"/>
          <w:lang w:eastAsia="es-MX"/>
        </w:rPr>
        <w:t>Al respecto, el Instituto Nacional de Transparencia, Acceso a la Información y Protección de Datos Personales (INAI) a través del Criterio 18/17, señala literalmente lo siguiente:</w:t>
      </w:r>
    </w:p>
    <w:p w:rsidR="004F7928" w:rsidRPr="00C960DD" w:rsidRDefault="004F7928" w:rsidP="004F7928">
      <w:pPr>
        <w:spacing w:line="360" w:lineRule="auto"/>
        <w:jc w:val="both"/>
        <w:rPr>
          <w:rFonts w:ascii="Palatino Linotype" w:hAnsi="Palatino Linotype" w:cs="Arial"/>
          <w:lang w:eastAsia="es-MX"/>
        </w:rPr>
      </w:pPr>
    </w:p>
    <w:p w:rsidR="004F7928" w:rsidRPr="00C960DD" w:rsidRDefault="004F7928" w:rsidP="004F7928">
      <w:pPr>
        <w:ind w:left="567" w:right="567"/>
        <w:jc w:val="both"/>
        <w:rPr>
          <w:rFonts w:ascii="Palatino Linotype" w:hAnsi="Palatino Linotype"/>
          <w:i/>
          <w:lang w:eastAsia="es-MX"/>
        </w:rPr>
      </w:pPr>
      <w:r w:rsidRPr="00C960DD">
        <w:rPr>
          <w:rFonts w:ascii="Palatino Linotype" w:hAnsi="Palatino Linotype"/>
          <w:b/>
          <w:i/>
          <w:lang w:eastAsia="es-MX"/>
        </w:rPr>
        <w:t>Clave Única de Registro de Población (CURP)</w:t>
      </w:r>
      <w:r w:rsidRPr="00C960DD">
        <w:rPr>
          <w:rFonts w:ascii="Palatino Linotype" w:hAnsi="Palatino Linotype"/>
          <w:i/>
          <w:lang w:eastAsia="es-MX"/>
        </w:rPr>
        <w:t xml:space="preserve">. La Clave Única de Registro de Población se integra por datos personales que sólo conciernen al particular titular </w:t>
      </w:r>
      <w:r w:rsidRPr="00C960DD">
        <w:rPr>
          <w:rFonts w:ascii="Palatino Linotype" w:hAnsi="Palatino Linotype"/>
          <w:i/>
          <w:lang w:eastAsia="es-MX"/>
        </w:rPr>
        <w:lastRenderedPageBreak/>
        <w:t>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4F7928" w:rsidRPr="00C960DD" w:rsidRDefault="004F7928" w:rsidP="004F7928">
      <w:pPr>
        <w:spacing w:line="360" w:lineRule="auto"/>
        <w:ind w:right="616"/>
        <w:jc w:val="both"/>
        <w:rPr>
          <w:rFonts w:ascii="Palatino Linotype" w:hAnsi="Palatino Linotype" w:cs="Arial"/>
          <w:bCs/>
          <w:lang w:eastAsia="es-MX"/>
        </w:rPr>
      </w:pPr>
    </w:p>
    <w:p w:rsidR="004F7928" w:rsidRPr="00C960DD" w:rsidRDefault="004F7928" w:rsidP="004F7928">
      <w:pPr>
        <w:spacing w:line="360" w:lineRule="auto"/>
        <w:jc w:val="both"/>
        <w:rPr>
          <w:rFonts w:ascii="Palatino Linotype" w:hAnsi="Palatino Linotype"/>
          <w:lang w:eastAsia="es-MX"/>
        </w:rPr>
      </w:pPr>
      <w:r w:rsidRPr="00C960DD">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F7928" w:rsidRDefault="004F7928" w:rsidP="004F7928">
      <w:pPr>
        <w:spacing w:line="360" w:lineRule="auto"/>
        <w:jc w:val="both"/>
        <w:rPr>
          <w:rFonts w:ascii="Palatino Linotype" w:hAnsi="Palatino Linotype"/>
        </w:rPr>
      </w:pPr>
    </w:p>
    <w:p w:rsidR="004F7928" w:rsidRPr="00DA44B3" w:rsidRDefault="004F7928" w:rsidP="004F7928">
      <w:pPr>
        <w:spacing w:line="360" w:lineRule="auto"/>
        <w:jc w:val="both"/>
        <w:rPr>
          <w:rFonts w:ascii="Palatino Linotype" w:hAnsi="Palatino Linotype"/>
        </w:rPr>
      </w:pPr>
      <w:r w:rsidRPr="00DA44B3">
        <w:rPr>
          <w:rFonts w:ascii="Palatino Linotype" w:hAnsi="Palatino Linotype"/>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DA44B3">
        <w:rPr>
          <w:rFonts w:ascii="Palatino Linotype" w:hAnsi="Palatino Linotype"/>
          <w:b/>
        </w:rPr>
        <w:t>LINEAMIENTOS GENERALES EN MATERIA DE CLASIFICACIÓN Y DESCLASIFICACIÓN DE LA INFORMACIÓN, ASÍ COMO PARA LA ELABORACIÓN DE VERSIONES PÚBLICAS,</w:t>
      </w:r>
      <w:r w:rsidRPr="00DA44B3">
        <w:rPr>
          <w:rFonts w:ascii="Palatino Linotype" w:hAnsi="Palatino Linotype"/>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4F7928" w:rsidRDefault="004F7928" w:rsidP="004F7928">
      <w:pPr>
        <w:spacing w:line="360" w:lineRule="auto"/>
        <w:jc w:val="both"/>
        <w:rPr>
          <w:rFonts w:ascii="Palatino Linotype" w:hAnsi="Palatino Linotype"/>
        </w:rPr>
      </w:pPr>
    </w:p>
    <w:p w:rsidR="004F7928" w:rsidRPr="009A71E1" w:rsidRDefault="004F7928" w:rsidP="004F7928">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segunda</w:t>
      </w:r>
      <w:r w:rsidRPr="009A71E1">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D17539">
        <w:rPr>
          <w:rFonts w:ascii="Palatino Linotype" w:hAnsi="Palatino Linotype"/>
          <w:b/>
          <w:bCs/>
        </w:rPr>
        <w:t>00539/SECTI/IP/2024</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rsidR="004F7928" w:rsidRPr="009A71E1" w:rsidRDefault="004F7928" w:rsidP="004F7928">
      <w:pPr>
        <w:spacing w:line="360" w:lineRule="auto"/>
        <w:jc w:val="both"/>
        <w:rPr>
          <w:rFonts w:ascii="Palatino Linotype" w:eastAsiaTheme="minorHAnsi" w:hAnsi="Palatino Linotype" w:cstheme="minorBidi"/>
          <w:lang w:val="es-MX" w:eastAsia="en-US"/>
        </w:rPr>
      </w:pPr>
    </w:p>
    <w:p w:rsidR="004F7928" w:rsidRDefault="004F7928" w:rsidP="004F7928">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4F7928" w:rsidRPr="009A71E1" w:rsidRDefault="004F7928" w:rsidP="004F7928">
      <w:pPr>
        <w:spacing w:line="360" w:lineRule="auto"/>
        <w:jc w:val="both"/>
        <w:rPr>
          <w:rFonts w:ascii="Palatino Linotype" w:hAnsi="Palatino Linotype"/>
          <w:lang w:val="es-MX"/>
        </w:rPr>
      </w:pPr>
    </w:p>
    <w:p w:rsidR="004F7928" w:rsidRPr="009A71E1" w:rsidRDefault="004F7928" w:rsidP="004F7928">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4F7928" w:rsidRDefault="004F7928" w:rsidP="004F7928">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4F7928" w:rsidRPr="00165D42" w:rsidRDefault="004F7928" w:rsidP="004F7928">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D17539">
        <w:rPr>
          <w:rFonts w:ascii="Palatino Linotype" w:hAnsi="Palatino Linotype"/>
          <w:b/>
          <w:bCs/>
        </w:rPr>
        <w:t>00539/SECTI/IP/2024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parcialmente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4F7928" w:rsidRPr="00165D42" w:rsidRDefault="004F7928" w:rsidP="004F7928">
      <w:pPr>
        <w:spacing w:line="360" w:lineRule="auto"/>
        <w:jc w:val="both"/>
        <w:rPr>
          <w:rFonts w:ascii="Palatino Linotype" w:hAnsi="Palatino Linotype" w:cs="Arial"/>
        </w:rPr>
      </w:pPr>
    </w:p>
    <w:p w:rsidR="004F7928" w:rsidRDefault="004F7928" w:rsidP="004F7928">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rsidR="004F7928" w:rsidRDefault="004F7928" w:rsidP="004F7928">
      <w:pPr>
        <w:spacing w:line="360" w:lineRule="auto"/>
        <w:jc w:val="both"/>
        <w:rPr>
          <w:rFonts w:ascii="Palatino Linotype" w:hAnsi="Palatino Linotype" w:cs="Arial"/>
        </w:rPr>
      </w:pPr>
    </w:p>
    <w:p w:rsidR="004F7928" w:rsidRPr="002B7BF0" w:rsidRDefault="002B7BF0" w:rsidP="002B7BF0">
      <w:pPr>
        <w:pStyle w:val="Prrafodelista"/>
        <w:numPr>
          <w:ilvl w:val="3"/>
          <w:numId w:val="4"/>
        </w:numPr>
        <w:spacing w:before="240" w:line="360" w:lineRule="auto"/>
        <w:ind w:left="567" w:right="72"/>
        <w:jc w:val="both"/>
        <w:rPr>
          <w:rFonts w:ascii="Palatino Linotype" w:hAnsi="Palatino Linotype" w:cs="Arial"/>
        </w:rPr>
      </w:pPr>
      <w:r w:rsidRPr="002B7BF0">
        <w:rPr>
          <w:rFonts w:ascii="Palatino Linotype" w:hAnsi="Palatino Linotype" w:cs="Arial"/>
        </w:rPr>
        <w:t>De la servidora pública referida en la solicitud de información, lo siguiente:</w:t>
      </w:r>
    </w:p>
    <w:p w:rsidR="002B7BF0" w:rsidRDefault="002B7BF0" w:rsidP="002B7BF0">
      <w:pPr>
        <w:pStyle w:val="Prrafodelista"/>
        <w:numPr>
          <w:ilvl w:val="0"/>
          <w:numId w:val="20"/>
        </w:numPr>
        <w:spacing w:before="240" w:line="360" w:lineRule="auto"/>
        <w:ind w:right="72"/>
        <w:jc w:val="both"/>
        <w:rPr>
          <w:rFonts w:ascii="Palatino Linotype" w:hAnsi="Palatino Linotype" w:cs="Arial"/>
        </w:rPr>
      </w:pPr>
      <w:r>
        <w:rPr>
          <w:rFonts w:ascii="Palatino Linotype" w:hAnsi="Palatino Linotype" w:cs="Arial"/>
        </w:rPr>
        <w:lastRenderedPageBreak/>
        <w:t>Nombramiento o documento que d</w:t>
      </w:r>
      <w:r w:rsidR="00472432">
        <w:rPr>
          <w:rFonts w:ascii="Palatino Linotype" w:hAnsi="Palatino Linotype" w:cs="Arial"/>
        </w:rPr>
        <w:t xml:space="preserve">é cuenta de su relación laboral, al cinco de septiembre de dos mil veinticuatro. </w:t>
      </w:r>
      <w:r>
        <w:rPr>
          <w:rFonts w:ascii="Palatino Linotype" w:hAnsi="Palatino Linotype" w:cs="Arial"/>
        </w:rPr>
        <w:t xml:space="preserve"> </w:t>
      </w:r>
    </w:p>
    <w:p w:rsidR="00921DD9" w:rsidRDefault="00921DD9" w:rsidP="002B7BF0">
      <w:pPr>
        <w:pStyle w:val="Prrafodelista"/>
        <w:numPr>
          <w:ilvl w:val="0"/>
          <w:numId w:val="20"/>
        </w:numPr>
        <w:spacing w:before="240" w:line="360" w:lineRule="auto"/>
        <w:ind w:right="72"/>
        <w:jc w:val="both"/>
        <w:rPr>
          <w:rFonts w:ascii="Palatino Linotype" w:hAnsi="Palatino Linotype" w:cs="Arial"/>
        </w:rPr>
      </w:pPr>
      <w:r>
        <w:rPr>
          <w:rFonts w:ascii="Palatino Linotype" w:hAnsi="Palatino Linotype" w:cs="Arial"/>
        </w:rPr>
        <w:t xml:space="preserve">Movimiento de </w:t>
      </w:r>
      <w:r w:rsidRPr="00710E8C">
        <w:rPr>
          <w:rFonts w:ascii="Palatino Linotype" w:hAnsi="Palatino Linotype" w:cs="Arial"/>
        </w:rPr>
        <w:t>alta</w:t>
      </w:r>
      <w:r w:rsidR="00792256" w:rsidRPr="00710E8C">
        <w:rPr>
          <w:rFonts w:ascii="Palatino Linotype" w:hAnsi="Palatino Linotype" w:cs="Arial"/>
        </w:rPr>
        <w:t xml:space="preserve"> </w:t>
      </w:r>
      <w:r w:rsidR="00792256" w:rsidRPr="00710E8C">
        <w:rPr>
          <w:rFonts w:ascii="Palatino Linotype" w:eastAsia="Palatino Linotype" w:hAnsi="Palatino Linotype" w:cs="Palatino Linotype"/>
          <w:szCs w:val="20"/>
        </w:rPr>
        <w:t>en el ISSEMYM.</w:t>
      </w:r>
    </w:p>
    <w:p w:rsidR="002B7BF0" w:rsidRPr="002B7BF0" w:rsidRDefault="002B7BF0" w:rsidP="002B7BF0">
      <w:pPr>
        <w:pStyle w:val="Prrafodelista"/>
        <w:numPr>
          <w:ilvl w:val="0"/>
          <w:numId w:val="20"/>
        </w:numPr>
        <w:spacing w:before="240" w:line="360" w:lineRule="auto"/>
        <w:ind w:right="72"/>
        <w:jc w:val="both"/>
        <w:rPr>
          <w:rFonts w:ascii="Palatino Linotype" w:hAnsi="Palatino Linotype" w:cs="Arial"/>
        </w:rPr>
      </w:pPr>
      <w:r>
        <w:rPr>
          <w:rFonts w:ascii="Palatino Linotype" w:hAnsi="Palatino Linotype" w:cs="Arial"/>
        </w:rPr>
        <w:t>Documentación que dé cuenta</w:t>
      </w:r>
      <w:r w:rsidRPr="003F5319">
        <w:rPr>
          <w:rFonts w:ascii="Palatino Linotype" w:eastAsia="Palatino Linotype" w:hAnsi="Palatino Linotype" w:cs="Palatino Linotype"/>
        </w:rPr>
        <w:t xml:space="preserve"> de la remuneración bruta y neta</w:t>
      </w:r>
      <w:r>
        <w:rPr>
          <w:rFonts w:ascii="Palatino Linotype" w:hAnsi="Palatino Linotype" w:cs="Arial"/>
        </w:rPr>
        <w:t xml:space="preserve"> </w:t>
      </w:r>
      <w:r w:rsidR="00E12CC3">
        <w:rPr>
          <w:rFonts w:ascii="Palatino Linotype" w:hAnsi="Palatino Linotype" w:cs="Arial"/>
        </w:rPr>
        <w:t xml:space="preserve">pagada </w:t>
      </w:r>
      <w:r>
        <w:rPr>
          <w:rFonts w:ascii="Palatino Linotype" w:hAnsi="Palatino Linotype" w:cs="Arial"/>
        </w:rPr>
        <w:t xml:space="preserve">de la segunda quincena de diciembre de dos mil veintiuno a la segunda quincena de agosto de dos mil veinticuatro. </w:t>
      </w:r>
    </w:p>
    <w:p w:rsidR="004F7928" w:rsidRDefault="004F7928" w:rsidP="004F7928">
      <w:pPr>
        <w:pStyle w:val="INFOEM"/>
        <w:spacing w:before="0" w:after="0"/>
        <w:ind w:left="720" w:right="567"/>
        <w:rPr>
          <w:sz w:val="24"/>
          <w:szCs w:val="24"/>
        </w:rPr>
      </w:pPr>
    </w:p>
    <w:p w:rsidR="004F7928" w:rsidRDefault="004F7928" w:rsidP="004F7928">
      <w:pPr>
        <w:pStyle w:val="INFOEM"/>
        <w:spacing w:before="0" w:after="0"/>
        <w:ind w:left="720"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4F7928" w:rsidRPr="00DC5E29" w:rsidRDefault="004F7928" w:rsidP="004F7928">
      <w:pPr>
        <w:spacing w:line="360" w:lineRule="auto"/>
        <w:jc w:val="both"/>
        <w:rPr>
          <w:rFonts w:ascii="Palatino Linotype" w:hAnsi="Palatino Linotype" w:cs="Arial"/>
        </w:rPr>
      </w:pPr>
    </w:p>
    <w:p w:rsidR="004F7928" w:rsidRPr="00DC5E29" w:rsidRDefault="004F7928" w:rsidP="004F7928">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(SAIMEX),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 xml:space="preserve">se le apercibe que en caso de negarse a cumplir la presente resolución o hacerlo de manera parcial, se le impondrá una medida de apremio de conformidad con lo previsto en los artículos 198, 200, </w:t>
      </w:r>
      <w:r w:rsidRPr="00E24C8E">
        <w:rPr>
          <w:rFonts w:ascii="Palatino Linotype" w:eastAsia="Palatino Linotype" w:hAnsi="Palatino Linotype" w:cs="Palatino Linotype"/>
          <w:b/>
          <w:color w:val="000000"/>
          <w:lang w:val="es-ES_tradnl" w:eastAsia="es-MX"/>
        </w:rPr>
        <w:lastRenderedPageBreak/>
        <w:t>fracción III; 214, 215 y 216 de la Ley  de Transparencia y Acceso a la Información Pública del Estado de México y Municipios.</w:t>
      </w:r>
    </w:p>
    <w:p w:rsidR="004F7928" w:rsidRPr="00DC5E29" w:rsidRDefault="004F7928" w:rsidP="004F7928">
      <w:pPr>
        <w:spacing w:line="360" w:lineRule="auto"/>
        <w:ind w:right="-595"/>
        <w:jc w:val="both"/>
        <w:rPr>
          <w:rFonts w:ascii="Palatino Linotype" w:hAnsi="Palatino Linotype" w:cs="Tahoma"/>
          <w:bCs/>
        </w:rPr>
      </w:pPr>
    </w:p>
    <w:p w:rsidR="004F7928" w:rsidRDefault="004F7928" w:rsidP="004F7928">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4F7928" w:rsidRPr="00DC5E29" w:rsidRDefault="004F7928" w:rsidP="004F7928">
      <w:pPr>
        <w:autoSpaceDE w:val="0"/>
        <w:autoSpaceDN w:val="0"/>
        <w:adjustRightInd w:val="0"/>
        <w:spacing w:line="360" w:lineRule="auto"/>
        <w:jc w:val="both"/>
        <w:rPr>
          <w:rFonts w:ascii="Palatino Linotype" w:hAnsi="Palatino Linotype" w:cs="Arial"/>
        </w:rPr>
      </w:pPr>
    </w:p>
    <w:p w:rsidR="004F7928" w:rsidRDefault="004F7928" w:rsidP="004F7928">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4F7928" w:rsidRPr="007C3942" w:rsidRDefault="004F7928" w:rsidP="004F7928">
      <w:pPr>
        <w:spacing w:line="360" w:lineRule="auto"/>
        <w:jc w:val="both"/>
        <w:rPr>
          <w:rFonts w:ascii="Palatino Linotype" w:hAnsi="Palatino Linotype"/>
          <w:lang w:eastAsia="es-ES_tradnl"/>
        </w:rPr>
      </w:pPr>
    </w:p>
    <w:p w:rsidR="004F7928" w:rsidRPr="00A151D0" w:rsidRDefault="004F7928" w:rsidP="00EF5F18">
      <w:pPr>
        <w:spacing w:line="360" w:lineRule="auto"/>
        <w:jc w:val="both"/>
        <w:rPr>
          <w:rFonts w:ascii="Palatino Linotype" w:hAnsi="Palatino Linotype" w:cs="Arial"/>
          <w:sz w:val="20"/>
        </w:rPr>
      </w:pPr>
      <w:r w:rsidRPr="00EF5F18">
        <w:rPr>
          <w:rFonts w:ascii="Palatino Linotype" w:hAnsi="Palatino Linotype" w:cs="Arial"/>
          <w:sz w:val="22"/>
        </w:rPr>
        <w:t>ASÍ LO RESUELVE, POR UNANIMIDAD DE VOTOS EL PLENO DEL</w:t>
      </w:r>
      <w:r w:rsidRPr="00EF5F18">
        <w:rPr>
          <w:rFonts w:ascii="Palatino Linotype" w:eastAsia="Arial Unicode MS" w:hAnsi="Palatino Linotype" w:cs="Arial"/>
          <w:sz w:val="22"/>
        </w:rPr>
        <w:t xml:space="preserve"> INSTITUTO DE TRANSPARENCIA, ACCESO A LA INFORMACIÓN PÚBLICA Y PROTECCIÓN DE DATOS PERSONALES DEL ESTADO DE MÉXICO Y MUNICIPIOS</w:t>
      </w:r>
      <w:r w:rsidRPr="00EF5F18">
        <w:rPr>
          <w:rFonts w:ascii="Palatino Linotype" w:hAnsi="Palatino Linotype" w:cs="Arial"/>
          <w:sz w:val="22"/>
        </w:rPr>
        <w:t xml:space="preserve">, CONFORMADO POR LOS COMISIONADOS JOSÉ MARTÍNEZ VILCHIS, MARÍA DEL ROSARIO MEJÍA AYALA, SHARON CRISTINA MORALES MARTÍNEZ, LUIS GUSTAVO PARRA NORIEGA Y GUADALUPE RAMÍREZ PEÑA, EN LA </w:t>
      </w:r>
      <w:r w:rsidR="001D7802" w:rsidRPr="00EF5F18">
        <w:rPr>
          <w:rFonts w:ascii="Palatino Linotype" w:hAnsi="Palatino Linotype" w:cs="Arial"/>
          <w:sz w:val="22"/>
        </w:rPr>
        <w:t>TRI</w:t>
      </w:r>
      <w:r w:rsidRPr="00EF5F18">
        <w:rPr>
          <w:rFonts w:ascii="Palatino Linotype" w:hAnsi="Palatino Linotype" w:cs="Arial"/>
          <w:sz w:val="22"/>
        </w:rPr>
        <w:t xml:space="preserve">GÉSIMA </w:t>
      </w:r>
      <w:r w:rsidR="001D7802" w:rsidRPr="00EF5F18">
        <w:rPr>
          <w:rFonts w:ascii="Palatino Linotype" w:hAnsi="Palatino Linotype" w:cs="Arial"/>
          <w:sz w:val="22"/>
        </w:rPr>
        <w:t>OCTAVA</w:t>
      </w:r>
      <w:r w:rsidRPr="00EF5F18">
        <w:rPr>
          <w:rFonts w:ascii="Palatino Linotype" w:hAnsi="Palatino Linotype" w:cs="Arial"/>
          <w:sz w:val="22"/>
        </w:rPr>
        <w:t xml:space="preserve"> SESIÓN ORDINARIA CELEBRADA EL </w:t>
      </w:r>
      <w:r w:rsidR="001D7802" w:rsidRPr="00EF5F18">
        <w:rPr>
          <w:rFonts w:ascii="Palatino Linotype" w:hAnsi="Palatino Linotype" w:cs="Arial"/>
          <w:sz w:val="22"/>
        </w:rPr>
        <w:t>SEIS DE NOVIEMBRE</w:t>
      </w:r>
      <w:r w:rsidRPr="00EF5F18">
        <w:rPr>
          <w:rFonts w:ascii="Palatino Linotype" w:hAnsi="Palatino Linotype" w:cs="Arial"/>
          <w:sz w:val="22"/>
        </w:rPr>
        <w:t xml:space="preserve"> DE DOS MIL VEINTICUATRO, ANTE EL SECRETARIO TÉCNICO DEL PLENO, ALEXIS TAPIA RAMÍREZ. ---------------------------------------------------------------------------------------------------------------------------------------------------------------</w:t>
      </w:r>
    </w:p>
    <w:p w:rsidR="004F7928" w:rsidRPr="00E23C8F" w:rsidRDefault="004F7928" w:rsidP="004F7928">
      <w:pPr>
        <w:spacing w:line="360" w:lineRule="auto"/>
        <w:jc w:val="both"/>
        <w:rPr>
          <w:rFonts w:ascii="Palatino Linotype" w:hAnsi="Palatino Linotype" w:cs="Arial"/>
          <w:sz w:val="16"/>
        </w:rPr>
      </w:pPr>
      <w:r>
        <w:rPr>
          <w:rFonts w:ascii="Palatino Linotype" w:hAnsi="Palatino Linotype" w:cs="Arial"/>
          <w:sz w:val="16"/>
        </w:rPr>
        <w:t>JMV/CCR/LMST</w:t>
      </w:r>
    </w:p>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4F7928" w:rsidRDefault="004F7928" w:rsidP="004F7928"/>
    <w:p w:rsidR="00B068DB" w:rsidRDefault="00B068DB"/>
    <w:sectPr w:rsidR="00B068DB" w:rsidSect="006A6801">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DB" w:rsidRDefault="00CF15DB" w:rsidP="004F7928">
      <w:r>
        <w:separator/>
      </w:r>
    </w:p>
  </w:endnote>
  <w:endnote w:type="continuationSeparator" w:id="0">
    <w:p w:rsidR="00CF15DB" w:rsidRDefault="00CF15DB" w:rsidP="004F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8C" w:rsidRPr="00A2780F" w:rsidRDefault="007C6E8C" w:rsidP="006A6801">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A2904">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A2904">
      <w:rPr>
        <w:rFonts w:ascii="Arial" w:hAnsi="Arial" w:cs="Arial"/>
        <w:b/>
        <w:bCs/>
        <w:noProof/>
        <w:sz w:val="20"/>
        <w:szCs w:val="20"/>
      </w:rPr>
      <w:t>46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8C" w:rsidRPr="00070856" w:rsidRDefault="007C6E8C" w:rsidP="006A6801">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A2904">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A2904">
      <w:rPr>
        <w:rFonts w:ascii="Arial" w:hAnsi="Arial" w:cs="Arial"/>
        <w:b/>
        <w:bCs/>
        <w:noProof/>
        <w:sz w:val="20"/>
        <w:szCs w:val="20"/>
      </w:rPr>
      <w:t>46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DB" w:rsidRDefault="00CF15DB" w:rsidP="004F7928">
      <w:r>
        <w:separator/>
      </w:r>
    </w:p>
  </w:footnote>
  <w:footnote w:type="continuationSeparator" w:id="0">
    <w:p w:rsidR="00CF15DB" w:rsidRDefault="00CF15DB" w:rsidP="004F7928">
      <w:r>
        <w:continuationSeparator/>
      </w:r>
    </w:p>
  </w:footnote>
  <w:footnote w:id="1">
    <w:p w:rsidR="007C6E8C" w:rsidRPr="005552A8" w:rsidRDefault="007C6E8C" w:rsidP="004F7928">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7C6E8C" w:rsidRPr="005552A8" w:rsidRDefault="007C6E8C" w:rsidP="004F792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7C6E8C" w:rsidRPr="008F2CCC" w:rsidTr="006A6801">
      <w:tc>
        <w:tcPr>
          <w:tcW w:w="3620" w:type="dxa"/>
          <w:shd w:val="clear" w:color="auto" w:fill="auto"/>
        </w:tcPr>
        <w:p w:rsidR="007C6E8C" w:rsidRPr="007E5FC4" w:rsidRDefault="007C6E8C" w:rsidP="006A680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7C6E8C" w:rsidRPr="00664658" w:rsidRDefault="00EF5F18" w:rsidP="006A6801">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7C6E8C">
            <w:rPr>
              <w:rFonts w:ascii="Palatino Linotype" w:hAnsi="Palatino Linotype"/>
              <w:b/>
              <w:sz w:val="22"/>
              <w:szCs w:val="22"/>
              <w:lang w:val="es-ES_tradnl"/>
            </w:rPr>
            <w:t>6010/INFOEM/IP/RR/2024</w:t>
          </w:r>
        </w:p>
      </w:tc>
    </w:tr>
    <w:tr w:rsidR="007C6E8C" w:rsidRPr="008F2CCC" w:rsidTr="006A6801">
      <w:tc>
        <w:tcPr>
          <w:tcW w:w="3620" w:type="dxa"/>
          <w:shd w:val="clear" w:color="auto" w:fill="auto"/>
        </w:tcPr>
        <w:p w:rsidR="007C6E8C" w:rsidRPr="007E5FC4" w:rsidRDefault="007C6E8C" w:rsidP="006A680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7C6E8C" w:rsidRPr="00664658" w:rsidRDefault="007C6E8C" w:rsidP="006A6801">
          <w:pPr>
            <w:spacing w:line="276" w:lineRule="auto"/>
            <w:jc w:val="right"/>
            <w:rPr>
              <w:rFonts w:ascii="Palatino Linotype" w:hAnsi="Palatino Linotype"/>
              <w:b/>
              <w:sz w:val="22"/>
              <w:szCs w:val="22"/>
              <w:lang w:val="es-ES_tradnl"/>
            </w:rPr>
          </w:pPr>
          <w:r w:rsidRPr="004F7928">
            <w:rPr>
              <w:rFonts w:ascii="Palatino Linotype" w:hAnsi="Palatino Linotype"/>
              <w:b/>
              <w:sz w:val="22"/>
              <w:szCs w:val="22"/>
            </w:rPr>
            <w:t>Secretaría de Educación, Ciencia, Tecnología e Innovación</w:t>
          </w:r>
        </w:p>
      </w:tc>
    </w:tr>
    <w:tr w:rsidR="007C6E8C" w:rsidRPr="008F2CCC" w:rsidTr="006A6801">
      <w:trPr>
        <w:trHeight w:val="228"/>
      </w:trPr>
      <w:tc>
        <w:tcPr>
          <w:tcW w:w="3620" w:type="dxa"/>
          <w:shd w:val="clear" w:color="auto" w:fill="auto"/>
        </w:tcPr>
        <w:p w:rsidR="007C6E8C" w:rsidRPr="007E5FC4" w:rsidRDefault="007C6E8C" w:rsidP="006A680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7C6E8C" w:rsidRPr="00664658" w:rsidRDefault="007C6E8C" w:rsidP="006A6801">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7C6E8C" w:rsidRDefault="007C6E8C" w:rsidP="006A6801">
    <w:pPr>
      <w:pStyle w:val="Encabezado"/>
      <w:tabs>
        <w:tab w:val="clear" w:pos="4252"/>
        <w:tab w:val="clear" w:pos="8504"/>
        <w:tab w:val="left" w:pos="2326"/>
      </w:tabs>
      <w:rPr>
        <w:rFonts w:ascii="Palatino Linotype" w:hAnsi="Palatino Linotype"/>
        <w:sz w:val="20"/>
      </w:rPr>
    </w:pPr>
  </w:p>
  <w:p w:rsidR="007C6E8C" w:rsidRPr="001779E0" w:rsidRDefault="007C6E8C" w:rsidP="006A6801">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78F94F6" wp14:editId="5A52869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7C6E8C" w:rsidRPr="008F2CCC" w:rsidTr="006A6801">
      <w:tc>
        <w:tcPr>
          <w:tcW w:w="2977" w:type="dxa"/>
          <w:shd w:val="clear" w:color="auto" w:fill="auto"/>
        </w:tcPr>
        <w:p w:rsidR="007C6E8C" w:rsidRPr="007E5FC4" w:rsidRDefault="007C6E8C" w:rsidP="006A680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7C6E8C" w:rsidRPr="008F2CCC" w:rsidRDefault="00EF5F18" w:rsidP="006A680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7C6E8C">
            <w:rPr>
              <w:rFonts w:ascii="Palatino Linotype" w:hAnsi="Palatino Linotype"/>
              <w:b/>
              <w:sz w:val="22"/>
              <w:szCs w:val="22"/>
              <w:lang w:val="es-ES_tradnl"/>
            </w:rPr>
            <w:t>6010/INFOEM/IP/RR/2024</w:t>
          </w:r>
        </w:p>
      </w:tc>
    </w:tr>
    <w:tr w:rsidR="007C6E8C" w:rsidRPr="008F2CCC" w:rsidTr="006A6801">
      <w:tc>
        <w:tcPr>
          <w:tcW w:w="2977" w:type="dxa"/>
          <w:shd w:val="clear" w:color="auto" w:fill="auto"/>
          <w:vAlign w:val="center"/>
        </w:tcPr>
        <w:p w:rsidR="007C6E8C" w:rsidRPr="007E5FC4" w:rsidRDefault="007C6E8C" w:rsidP="006A680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7C6E8C" w:rsidRPr="008F2CCC" w:rsidRDefault="008A2904" w:rsidP="006A680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7C6E8C" w:rsidRPr="008F2CCC" w:rsidTr="006A6801">
      <w:trPr>
        <w:trHeight w:val="228"/>
      </w:trPr>
      <w:tc>
        <w:tcPr>
          <w:tcW w:w="2977" w:type="dxa"/>
          <w:shd w:val="clear" w:color="auto" w:fill="auto"/>
        </w:tcPr>
        <w:p w:rsidR="007C6E8C" w:rsidRPr="007E5FC4" w:rsidRDefault="007C6E8C" w:rsidP="006A680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7C6E8C" w:rsidRPr="00DC41C8" w:rsidRDefault="007C6E8C" w:rsidP="006A6801">
          <w:pPr>
            <w:spacing w:line="360" w:lineRule="auto"/>
            <w:jc w:val="right"/>
            <w:rPr>
              <w:rFonts w:ascii="Palatino Linotype" w:hAnsi="Palatino Linotype"/>
              <w:b/>
              <w:sz w:val="22"/>
              <w:szCs w:val="22"/>
            </w:rPr>
          </w:pPr>
          <w:r w:rsidRPr="004F7928">
            <w:rPr>
              <w:rFonts w:ascii="Palatino Linotype" w:hAnsi="Palatino Linotype"/>
              <w:b/>
              <w:sz w:val="22"/>
              <w:szCs w:val="22"/>
            </w:rPr>
            <w:t>Secretaría de Educación, Ciencia, Tecnología e Innovación</w:t>
          </w:r>
        </w:p>
      </w:tc>
    </w:tr>
    <w:tr w:rsidR="007C6E8C" w:rsidRPr="008F2CCC" w:rsidTr="006A6801">
      <w:tc>
        <w:tcPr>
          <w:tcW w:w="2977" w:type="dxa"/>
          <w:shd w:val="clear" w:color="auto" w:fill="auto"/>
        </w:tcPr>
        <w:p w:rsidR="007C6E8C" w:rsidRPr="007E5FC4" w:rsidRDefault="007C6E8C" w:rsidP="006A680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7C6E8C" w:rsidRPr="008F2CCC" w:rsidRDefault="007C6E8C" w:rsidP="006A680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7C6E8C" w:rsidRPr="009F1AB6" w:rsidRDefault="007C6E8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B025E58" wp14:editId="14EA29BE">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BEA"/>
    <w:multiLevelType w:val="hybridMultilevel"/>
    <w:tmpl w:val="5FE2CE38"/>
    <w:lvl w:ilvl="0" w:tplc="BA7CC76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3A91571"/>
    <w:multiLevelType w:val="hybridMultilevel"/>
    <w:tmpl w:val="6A76D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293419BC">
      <w:start w:val="1"/>
      <w:numFmt w:val="upperLetter"/>
      <w:lvlText w:val="%4."/>
      <w:lvlJc w:val="left"/>
      <w:pPr>
        <w:ind w:left="2880" w:hanging="360"/>
      </w:pPr>
      <w:rPr>
        <w:rFonts w:ascii="Palatino Linotype" w:eastAsia="Times New Roman" w:hAnsi="Palatino Linotype" w:cs="Arial"/>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A2CD8"/>
    <w:multiLevelType w:val="hybridMultilevel"/>
    <w:tmpl w:val="1484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7804CD"/>
    <w:multiLevelType w:val="hybridMultilevel"/>
    <w:tmpl w:val="6F9085F6"/>
    <w:lvl w:ilvl="0" w:tplc="00146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D056F02"/>
    <w:multiLevelType w:val="hybridMultilevel"/>
    <w:tmpl w:val="7924F08A"/>
    <w:lvl w:ilvl="0" w:tplc="37A04F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3F6D05"/>
    <w:multiLevelType w:val="hybridMultilevel"/>
    <w:tmpl w:val="DC6476B6"/>
    <w:lvl w:ilvl="0" w:tplc="4BE4C4A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D73331E"/>
    <w:multiLevelType w:val="hybridMultilevel"/>
    <w:tmpl w:val="D41CAD96"/>
    <w:lvl w:ilvl="0" w:tplc="4C968AD0">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3" w15:restartNumberingAfterBreak="0">
    <w:nsid w:val="590B3A8D"/>
    <w:multiLevelType w:val="hybridMultilevel"/>
    <w:tmpl w:val="E0F46B9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5BB569B6"/>
    <w:multiLevelType w:val="hybridMultilevel"/>
    <w:tmpl w:val="F4FC1D0A"/>
    <w:lvl w:ilvl="0" w:tplc="33CED28C">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EF3617"/>
    <w:multiLevelType w:val="hybridMultilevel"/>
    <w:tmpl w:val="7D70CC06"/>
    <w:lvl w:ilvl="0" w:tplc="6146265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6BC079A2"/>
    <w:multiLevelType w:val="hybridMultilevel"/>
    <w:tmpl w:val="87AA23BA"/>
    <w:lvl w:ilvl="0" w:tplc="F65A7B7A">
      <w:start w:val="1"/>
      <w:numFmt w:val="decimal"/>
      <w:lvlText w:val="%1."/>
      <w:lvlJc w:val="left"/>
      <w:pPr>
        <w:ind w:left="567" w:hanging="360"/>
      </w:pPr>
      <w:rPr>
        <w:rFonts w:hint="default"/>
      </w:r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abstractNum w:abstractNumId="17" w15:restartNumberingAfterBreak="0">
    <w:nsid w:val="6BFF5788"/>
    <w:multiLevelType w:val="hybridMultilevel"/>
    <w:tmpl w:val="527E2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9A2342"/>
    <w:multiLevelType w:val="hybridMultilevel"/>
    <w:tmpl w:val="44307C06"/>
    <w:lvl w:ilvl="0" w:tplc="3E32739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3"/>
  </w:num>
  <w:num w:numId="3">
    <w:abstractNumId w:val="17"/>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2"/>
  </w:num>
  <w:num w:numId="10">
    <w:abstractNumId w:val="4"/>
  </w:num>
  <w:num w:numId="11">
    <w:abstractNumId w:val="5"/>
  </w:num>
  <w:num w:numId="12">
    <w:abstractNumId w:val="14"/>
  </w:num>
  <w:num w:numId="13">
    <w:abstractNumId w:val="18"/>
  </w:num>
  <w:num w:numId="14">
    <w:abstractNumId w:val="10"/>
  </w:num>
  <w:num w:numId="15">
    <w:abstractNumId w:val="11"/>
  </w:num>
  <w:num w:numId="16">
    <w:abstractNumId w:val="6"/>
  </w:num>
  <w:num w:numId="17">
    <w:abstractNumId w:val="0"/>
  </w:num>
  <w:num w:numId="18">
    <w:abstractNumId w:val="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28"/>
    <w:rsid w:val="00015594"/>
    <w:rsid w:val="0003731C"/>
    <w:rsid w:val="001D7802"/>
    <w:rsid w:val="002B7BF0"/>
    <w:rsid w:val="00307B6D"/>
    <w:rsid w:val="0034182A"/>
    <w:rsid w:val="003C7CBE"/>
    <w:rsid w:val="0042320A"/>
    <w:rsid w:val="00472432"/>
    <w:rsid w:val="004F7928"/>
    <w:rsid w:val="00536FC0"/>
    <w:rsid w:val="006430BA"/>
    <w:rsid w:val="006A6801"/>
    <w:rsid w:val="006C3F2F"/>
    <w:rsid w:val="00710E8C"/>
    <w:rsid w:val="00792256"/>
    <w:rsid w:val="007C28B0"/>
    <w:rsid w:val="007C6E8C"/>
    <w:rsid w:val="008662BB"/>
    <w:rsid w:val="008A2904"/>
    <w:rsid w:val="008B7F0F"/>
    <w:rsid w:val="00921DD9"/>
    <w:rsid w:val="009940A0"/>
    <w:rsid w:val="00A21DEE"/>
    <w:rsid w:val="00A93F4E"/>
    <w:rsid w:val="00B068DB"/>
    <w:rsid w:val="00BA33E7"/>
    <w:rsid w:val="00C1094B"/>
    <w:rsid w:val="00CF15DB"/>
    <w:rsid w:val="00D17539"/>
    <w:rsid w:val="00D46B42"/>
    <w:rsid w:val="00E12154"/>
    <w:rsid w:val="00E12CC3"/>
    <w:rsid w:val="00E52755"/>
    <w:rsid w:val="00EF5F18"/>
    <w:rsid w:val="00FA68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673A-AE3D-4053-AA93-70864218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792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4F7928"/>
    <w:rPr>
      <w:rFonts w:eastAsiaTheme="minorEastAsia"/>
      <w:sz w:val="24"/>
      <w:szCs w:val="24"/>
      <w:lang w:val="es-ES_tradnl" w:eastAsia="es-ES"/>
    </w:rPr>
  </w:style>
  <w:style w:type="paragraph" w:styleId="Piedepgina">
    <w:name w:val="footer"/>
    <w:basedOn w:val="Normal"/>
    <w:link w:val="PiedepginaCar"/>
    <w:uiPriority w:val="99"/>
    <w:unhideWhenUsed/>
    <w:rsid w:val="004F792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4F792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792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F7928"/>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4F7928"/>
    <w:pPr>
      <w:spacing w:after="0" w:line="240" w:lineRule="auto"/>
    </w:pPr>
  </w:style>
  <w:style w:type="character" w:customStyle="1" w:styleId="SinespaciadoCar">
    <w:name w:val="Sin espaciado Car"/>
    <w:aliases w:val="Francesa Car,INAI Car"/>
    <w:link w:val="Sinespaciado"/>
    <w:uiPriority w:val="1"/>
    <w:locked/>
    <w:rsid w:val="004F7928"/>
  </w:style>
  <w:style w:type="character" w:styleId="Hipervnculo">
    <w:name w:val="Hyperlink"/>
    <w:aliases w:val="Hipervínculo1,Hipervínculo11,Hipervínculo12,Hipervínculo13,Hipervínculo14,Hipervínculo15"/>
    <w:basedOn w:val="Fuentedeprrafopredeter"/>
    <w:uiPriority w:val="99"/>
    <w:unhideWhenUsed/>
    <w:rsid w:val="004F7928"/>
    <w:rPr>
      <w:color w:val="0563C1" w:themeColor="hyperlink"/>
      <w:u w:val="single"/>
    </w:rPr>
  </w:style>
  <w:style w:type="paragraph" w:customStyle="1" w:styleId="INFOEM">
    <w:name w:val="INFOEM"/>
    <w:basedOn w:val="Normal"/>
    <w:qFormat/>
    <w:rsid w:val="004F7928"/>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4F7928"/>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4F7928"/>
    <w:rPr>
      <w:vertAlign w:val="superscript"/>
    </w:rPr>
  </w:style>
  <w:style w:type="paragraph" w:customStyle="1" w:styleId="infoemcitas">
    <w:name w:val="infoem citas"/>
    <w:basedOn w:val="Normal"/>
    <w:qFormat/>
    <w:rsid w:val="004F7928"/>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4F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F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4F7928"/>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46</Pages>
  <Words>9812</Words>
  <Characters>53972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16</cp:revision>
  <dcterms:created xsi:type="dcterms:W3CDTF">2024-10-21T22:32:00Z</dcterms:created>
  <dcterms:modified xsi:type="dcterms:W3CDTF">2024-11-26T16:57:00Z</dcterms:modified>
</cp:coreProperties>
</file>