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E27C4" w14:textId="77777777" w:rsidR="00ED1397" w:rsidRDefault="00ED1397"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49AF2C0C" w14:textId="252C259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CD62D1">
        <w:rPr>
          <w:rFonts w:eastAsia="Palatino Linotype" w:cs="Palatino Linotype"/>
          <w:color w:val="000000"/>
          <w:szCs w:val="24"/>
        </w:rPr>
        <w:t>veintiocho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C4C791A"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4B7F23">
        <w:rPr>
          <w:rFonts w:eastAsia="Palatino Linotype" w:cs="Palatino Linotype"/>
          <w:b/>
          <w:bCs/>
          <w:color w:val="000000" w:themeColor="text1"/>
          <w:lang w:val="es-ES"/>
        </w:rPr>
        <w:t>02215/INFOEM/IP/RR/2024</w:t>
      </w:r>
      <w:r w:rsidRPr="70652167">
        <w:rPr>
          <w:rFonts w:eastAsia="Palatino Linotype" w:cs="Palatino Linotype"/>
          <w:color w:val="000000" w:themeColor="text1"/>
          <w:lang w:val="es-ES"/>
        </w:rPr>
        <w:t xml:space="preserve">, interpuesto por </w:t>
      </w:r>
      <w:r w:rsidR="00E0706B">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E0706B">
        <w:rPr>
          <w:rFonts w:eastAsia="Palatino Linotype" w:cs="Palatino Linotype"/>
          <w:color w:val="000000" w:themeColor="text1"/>
          <w:lang w:val="es-ES"/>
        </w:rPr>
        <w:t xml:space="preserve"> </w:t>
      </w:r>
      <w:r w:rsidRPr="70652167">
        <w:rPr>
          <w:rFonts w:eastAsia="Palatino Linotype" w:cs="Palatino Linotype"/>
          <w:color w:val="000000" w:themeColor="text1"/>
          <w:lang w:val="es-ES"/>
        </w:rPr>
        <w:t>l</w:t>
      </w:r>
      <w:r w:rsidR="00E0706B">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E0706B">
        <w:rPr>
          <w:rFonts w:eastAsia="Palatino Linotype" w:cs="Palatino Linotype"/>
          <w:b/>
          <w:bCs/>
          <w:color w:val="000000" w:themeColor="text1"/>
          <w:lang w:val="es-ES"/>
        </w:rPr>
        <w:t>Universidad Autónoma del Estado de México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69E206C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774FE6">
        <w:rPr>
          <w:rFonts w:eastAsia="Palatino Linotype" w:cs="Palatino Linotype"/>
          <w:color w:val="000000"/>
          <w:szCs w:val="24"/>
        </w:rPr>
        <w:t>veintidós</w:t>
      </w:r>
      <w:r w:rsidR="006723F9">
        <w:rPr>
          <w:rFonts w:eastAsia="Palatino Linotype" w:cs="Palatino Linotype"/>
          <w:color w:val="000000"/>
          <w:szCs w:val="24"/>
        </w:rPr>
        <w:t xml:space="preserve"> de </w:t>
      </w:r>
      <w:r w:rsidR="00D778FC">
        <w:rPr>
          <w:rFonts w:eastAsia="Palatino Linotype" w:cs="Palatino Linotype"/>
          <w:color w:val="000000"/>
          <w:szCs w:val="24"/>
        </w:rPr>
        <w:t>marzo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E762A" w:rsidRPr="001028A9">
        <w:rPr>
          <w:rFonts w:eastAsia="Palatino Linotype" w:cs="Palatino Linotype"/>
          <w:color w:val="000000"/>
          <w:szCs w:val="24"/>
        </w:rPr>
        <w:t xml:space="preserve"> </w:t>
      </w:r>
      <w:r w:rsidR="00467FE9">
        <w:rPr>
          <w:rFonts w:eastAsia="Palatino Linotype" w:cs="Palatino Linotype"/>
          <w:b/>
          <w:bCs/>
          <w:color w:val="000000"/>
          <w:szCs w:val="24"/>
        </w:rPr>
        <w:t>00412/UAEM/IP/2024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2143C78" w:rsidR="00A970D5" w:rsidRPr="006922F5" w:rsidRDefault="70652167" w:rsidP="006922F5">
      <w:pPr>
        <w:pStyle w:val="Fundamentos"/>
      </w:pPr>
      <w:r w:rsidRPr="70652167">
        <w:rPr>
          <w:lang w:val="es-ES"/>
        </w:rPr>
        <w:t>«</w:t>
      </w:r>
      <w:proofErr w:type="spellStart"/>
      <w:r w:rsidR="00A7126F" w:rsidRPr="00A7126F">
        <w:rPr>
          <w:lang w:val="es-ES"/>
        </w:rPr>
        <w:t>Docuemnto</w:t>
      </w:r>
      <w:proofErr w:type="spellEnd"/>
      <w:r w:rsidR="00A7126F" w:rsidRPr="00A7126F">
        <w:rPr>
          <w:lang w:val="es-ES"/>
        </w:rPr>
        <w:t xml:space="preserve"> que acredite a Victorino Barrios Davalos como docente en la Universidad Autónoma del Estado de México.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F4DDEB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C6C30">
        <w:rPr>
          <w:rFonts w:eastAsia="Palatino Linotype" w:cs="Palatino Linotype"/>
          <w:color w:val="000000"/>
          <w:szCs w:val="24"/>
        </w:rPr>
        <w:t xml:space="preserve"> d</w:t>
      </w:r>
      <w:r w:rsidR="00A7126F">
        <w:rPr>
          <w:rFonts w:eastAsia="Palatino Linotype" w:cs="Palatino Linotype"/>
          <w:color w:val="000000"/>
          <w:szCs w:val="24"/>
        </w:rPr>
        <w:t>iecinueve</w:t>
      </w:r>
      <w:r w:rsidR="002C5B10">
        <w:rPr>
          <w:rFonts w:eastAsia="Palatino Linotype" w:cs="Palatino Linotype"/>
          <w:color w:val="000000"/>
          <w:szCs w:val="24"/>
        </w:rPr>
        <w:t xml:space="preserve"> de </w:t>
      </w:r>
      <w:r w:rsidR="005D6BCD">
        <w:rPr>
          <w:rFonts w:eastAsia="Palatino Linotype" w:cs="Palatino Linotype"/>
          <w:color w:val="000000"/>
          <w:szCs w:val="24"/>
        </w:rPr>
        <w:t>abril</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C5BF9AE" w14:textId="77777777" w:rsidR="0003552A" w:rsidRDefault="00851748" w:rsidP="0003552A">
      <w:pPr>
        <w:pStyle w:val="Fundamentos"/>
      </w:pPr>
      <w:r>
        <w:t>«</w:t>
      </w:r>
      <w:r w:rsidR="0003552A">
        <w:t>En respuesta a la solicitud recibida, nos permitimos hacer de su conocimiento que con fundamento en el artículo 53, Fracciones: II, V y VI de la Ley de Transparencia y Acceso a la Información Pública del Estado de México y Municipios, le contestamos que:</w:t>
      </w:r>
    </w:p>
    <w:p w14:paraId="65BB7236" w14:textId="77777777" w:rsidR="0003552A" w:rsidRDefault="0003552A" w:rsidP="0003552A">
      <w:pPr>
        <w:pStyle w:val="Fundamentos"/>
      </w:pPr>
    </w:p>
    <w:p w14:paraId="5F864487" w14:textId="77777777" w:rsidR="0003552A" w:rsidRDefault="0003552A" w:rsidP="0003552A">
      <w:pPr>
        <w:pStyle w:val="Fundamentos"/>
      </w:pPr>
      <w:r>
        <w:t>En respuesta a la solicitud de acceso a la información pública con número de folio 00412/UAEM/IP/2024,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Dirección de Recursos Humanos y la Dirección de Control Escolar lo siguiente: De acuerdo a lo establecido en el Título Tercero, Capítulo IV del Reglamento del Personal Académico, la información solicitada no es competencia de la Dirección de Recursos Humanos. Asimismo, le informamos que de acuerdo con el Sistema Integral de Control y desempeño Escolar se anexa el horario de clases del profesor Victorino Barrios Dávalos del periodo 2024A.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6120CECB" w14:textId="77777777" w:rsidR="0003552A" w:rsidRDefault="0003552A" w:rsidP="0003552A">
      <w:pPr>
        <w:pStyle w:val="Fundamentos"/>
      </w:pPr>
    </w:p>
    <w:p w14:paraId="3CFFD159" w14:textId="77777777" w:rsidR="0003552A" w:rsidRDefault="0003552A" w:rsidP="0003552A">
      <w:pPr>
        <w:pStyle w:val="Fundamentos"/>
      </w:pPr>
      <w:r>
        <w:t>ATENTAMENTE</w:t>
      </w:r>
    </w:p>
    <w:p w14:paraId="3FE4A9EF" w14:textId="3D0F2929" w:rsidR="00A970D5" w:rsidRPr="00404754" w:rsidRDefault="0003552A" w:rsidP="0003552A">
      <w:pPr>
        <w:pStyle w:val="Fundamentos"/>
        <w:rPr>
          <w:lang w:val="es-MX"/>
        </w:rPr>
      </w:pPr>
      <w:r>
        <w:t>M. EN D. HUGO EDGAR CHAPARRO CAMPOS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A197AF1"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lastRenderedPageBreak/>
        <w:t xml:space="preserve">El Sujeto Obligado adjuntó a su respuesta </w:t>
      </w:r>
      <w:r w:rsidR="0003552A">
        <w:rPr>
          <w:rFonts w:eastAsia="Palatino Linotype" w:cs="Palatino Linotype"/>
          <w:color w:val="000000" w:themeColor="text1"/>
          <w:lang w:val="es-ES"/>
        </w:rPr>
        <w:t xml:space="preserve">el documento denominado </w:t>
      </w:r>
      <w:r w:rsidRPr="70652167">
        <w:rPr>
          <w:rFonts w:eastAsia="Palatino Linotype" w:cs="Palatino Linotype"/>
          <w:b/>
          <w:bCs/>
          <w:color w:val="000000" w:themeColor="text1"/>
          <w:lang w:val="es-ES"/>
        </w:rPr>
        <w:t>«</w:t>
      </w:r>
      <w:r w:rsidR="0003552A">
        <w:rPr>
          <w:rFonts w:eastAsia="Palatino Linotype" w:cs="Palatino Linotype"/>
          <w:b/>
          <w:bCs/>
          <w:color w:val="000000" w:themeColor="text1"/>
          <w:lang w:val="es-ES"/>
        </w:rPr>
        <w:t>Solicitud Transparencia 412.pdf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D137D82"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5C0075">
        <w:rPr>
          <w:rFonts w:eastAsia="Palatino Linotype" w:cs="Palatino Linotype"/>
          <w:color w:val="000000"/>
          <w:szCs w:val="24"/>
        </w:rPr>
        <w:t>veinticuatro</w:t>
      </w:r>
      <w:r w:rsidR="00D11EA1">
        <w:rPr>
          <w:rFonts w:eastAsia="Palatino Linotype" w:cs="Palatino Linotype"/>
          <w:color w:val="000000"/>
          <w:szCs w:val="24"/>
        </w:rPr>
        <w:t xml:space="preserve"> de abril</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4B7F23">
        <w:rPr>
          <w:rFonts w:eastAsia="Palatino Linotype" w:cs="Palatino Linotype"/>
          <w:b/>
          <w:color w:val="000000"/>
          <w:szCs w:val="24"/>
        </w:rPr>
        <w:t>02215/INFOEM/IP/RR/2024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5AB1ACB9" w:rsidR="00A970D5" w:rsidRPr="006922F5" w:rsidRDefault="5C35490E" w:rsidP="5C35490E">
      <w:pPr>
        <w:pStyle w:val="Fundamentos"/>
        <w:rPr>
          <w:b/>
          <w:bCs/>
          <w:lang w:val="es-ES"/>
        </w:rPr>
      </w:pPr>
      <w:r w:rsidRPr="5C35490E">
        <w:rPr>
          <w:lang w:val="es-ES"/>
        </w:rPr>
        <w:t>«</w:t>
      </w:r>
      <w:r w:rsidR="00E852AB" w:rsidRPr="00E852AB">
        <w:rPr>
          <w:lang w:val="es-ES"/>
        </w:rPr>
        <w:t>La respuesta proveída por el sujeto obligado Universidad Autónoma del Estado de México y el servidor habilitado del Órgano Interno de Control</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1707F291" w:rsidR="00A970D5" w:rsidRPr="006922F5" w:rsidRDefault="5C35490E" w:rsidP="006922F5">
      <w:pPr>
        <w:pStyle w:val="Fundamentos"/>
      </w:pPr>
      <w:r w:rsidRPr="5C35490E">
        <w:rPr>
          <w:lang w:val="es-ES"/>
        </w:rPr>
        <w:t>«</w:t>
      </w:r>
      <w:r w:rsidR="00032545" w:rsidRPr="00032545">
        <w:rPr>
          <w:lang w:val="es-ES"/>
        </w:rPr>
        <w:t xml:space="preserve">El sujeto obligado, Universidad Autónoma del Estado de México no entrega documental pública que acredite lo solicitado, en este caso, el </w:t>
      </w:r>
      <w:proofErr w:type="spellStart"/>
      <w:r w:rsidR="00032545" w:rsidRPr="00032545">
        <w:rPr>
          <w:lang w:val="es-ES"/>
        </w:rPr>
        <w:t>docuemnto</w:t>
      </w:r>
      <w:proofErr w:type="spellEnd"/>
      <w:r w:rsidR="00032545" w:rsidRPr="00032545">
        <w:rPr>
          <w:lang w:val="es-ES"/>
        </w:rPr>
        <w:t xml:space="preserve"> que acredite a Victorino Barrios Dávalos como docente de la Universidad referida. Se considera que la información está incompleta en los siguientes puntos: 1) La Universidad no acredita la búsqueda exhaustiva del nombramiento de horas clase, asignatura, definitividad o tiempo completo de Victorino Barrios Dávalos, mismo que ciertamente debe estar en cualquiera de los departamentos que la integran, sea en los registros de Recursos Humanos, o en el espacio académico, o en control escolar; 2) Victorino Barrios Dávalos muestra únicamente una porción de lo que presume debe entenderse como una documental pública, sin señalar qué documento es, quién lo expide y valida, e incluso, tampoco muestra documental pública donde conste la aprobación de reserva de información de la presunta documental pública. Así mismo, no se justifica la idoneidad de la información entregada, porque el trabajador universitario debe tener en su posesión el nombramiento como docente; 3) El sujeto obligado y la autoridad (servidor habilitado del OIC) no cumplen con el principio de máxima publicidad y transparencia, pues no proveen documental o documentales públicas que permitan clarificar la escueta e injustificada, </w:t>
      </w:r>
      <w:proofErr w:type="spellStart"/>
      <w:r w:rsidR="00032545" w:rsidRPr="00032545">
        <w:rPr>
          <w:lang w:val="es-ES"/>
        </w:rPr>
        <w:t>infundamda</w:t>
      </w:r>
      <w:proofErr w:type="spellEnd"/>
      <w:r w:rsidR="00032545" w:rsidRPr="00032545">
        <w:rPr>
          <w:lang w:val="es-ES"/>
        </w:rPr>
        <w:t xml:space="preserve"> e inmotivada información entregada</w:t>
      </w:r>
      <w:r w:rsidRPr="5C35490E">
        <w:rPr>
          <w:lang w:val="es-ES"/>
        </w:rPr>
        <w:t>» (Sic)</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7BA7D76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E214DD">
        <w:rPr>
          <w:rFonts w:eastAsia="Palatino Linotype" w:cs="Palatino Linotype"/>
          <w:color w:val="000000" w:themeColor="text1"/>
          <w:lang w:val="es-ES"/>
        </w:rPr>
        <w:t>treinta</w:t>
      </w:r>
      <w:r w:rsidR="00072ADE">
        <w:rPr>
          <w:rFonts w:eastAsia="Palatino Linotype" w:cs="Palatino Linotype"/>
          <w:color w:val="000000" w:themeColor="text1"/>
          <w:lang w:val="es-ES"/>
        </w:rPr>
        <w:t xml:space="preserve"> de abril</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5B536618" w14:textId="0B0FC97F" w:rsidR="00C02596" w:rsidRDefault="0090115A" w:rsidP="000F292F">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0769B1">
        <w:rPr>
          <w:rFonts w:eastAsia="Palatino Linotype" w:cs="Palatino Linotype"/>
          <w:color w:val="000000"/>
          <w:szCs w:val="24"/>
        </w:rPr>
        <w:t>nueve de mayo</w:t>
      </w:r>
      <w:r w:rsidR="00780183">
        <w:rPr>
          <w:rFonts w:eastAsia="Palatino Linotype" w:cs="Palatino Linotype"/>
          <w:color w:val="000000"/>
          <w:szCs w:val="24"/>
        </w:rPr>
        <w:t xml:space="preserve"> </w:t>
      </w:r>
      <w:r w:rsidR="00520C3C">
        <w:rPr>
          <w:rFonts w:eastAsia="Palatino Linotype" w:cs="Palatino Linotype"/>
          <w:color w:val="000000"/>
          <w:szCs w:val="24"/>
        </w:rPr>
        <w:t>de dos mil veinticuatro</w:t>
      </w:r>
      <w:r w:rsidRPr="00CF2732">
        <w:rPr>
          <w:rFonts w:eastAsia="Palatino Linotype" w:cs="Palatino Linotype"/>
          <w:color w:val="000000"/>
          <w:szCs w:val="24"/>
        </w:rPr>
        <w:t xml:space="preserve">, el Sujeto Obligado rindió su Informe Justificado, consistente en </w:t>
      </w:r>
      <w:r w:rsidR="000769B1">
        <w:rPr>
          <w:rFonts w:eastAsia="Palatino Linotype" w:cs="Palatino Linotype"/>
          <w:color w:val="000000"/>
          <w:szCs w:val="24"/>
        </w:rPr>
        <w:t xml:space="preserve">el documento </w:t>
      </w:r>
      <w:r w:rsidR="00780183">
        <w:rPr>
          <w:rFonts w:eastAsia="Palatino Linotype" w:cs="Palatino Linotype"/>
          <w:color w:val="000000"/>
          <w:szCs w:val="24"/>
        </w:rPr>
        <w:t>denominad</w:t>
      </w:r>
      <w:r w:rsidR="000769B1">
        <w:rPr>
          <w:rFonts w:eastAsia="Palatino Linotype" w:cs="Palatino Linotype"/>
          <w:color w:val="000000"/>
          <w:szCs w:val="24"/>
        </w:rPr>
        <w:t>o</w:t>
      </w:r>
      <w:r w:rsidRPr="00CF2732">
        <w:rPr>
          <w:rFonts w:eastAsia="Palatino Linotype" w:cs="Palatino Linotype"/>
          <w:color w:val="000000"/>
          <w:szCs w:val="24"/>
        </w:rPr>
        <w:t xml:space="preserve"> </w:t>
      </w:r>
      <w:r w:rsidR="00944024">
        <w:rPr>
          <w:rFonts w:eastAsia="Palatino Linotype" w:cs="Palatino Linotype"/>
          <w:b/>
          <w:color w:val="000000"/>
          <w:szCs w:val="24"/>
        </w:rPr>
        <w:t>«</w:t>
      </w:r>
      <w:r w:rsidR="000769B1">
        <w:rPr>
          <w:rFonts w:eastAsia="Palatino Linotype" w:cs="Palatino Linotype"/>
          <w:b/>
          <w:color w:val="000000"/>
          <w:szCs w:val="24"/>
        </w:rPr>
        <w:t>2215-24</w:t>
      </w:r>
      <w:r w:rsidR="00056259">
        <w:rPr>
          <w:rFonts w:eastAsia="Palatino Linotype" w:cs="Palatino Linotype"/>
          <w:b/>
          <w:color w:val="000000"/>
          <w:szCs w:val="24"/>
        </w:rPr>
        <w:t>.pdf</w:t>
      </w:r>
      <w:r w:rsidR="00EE1427">
        <w:rPr>
          <w:rFonts w:eastAsia="Palatino Linotype" w:cs="Palatino Linotype"/>
          <w:b/>
          <w:color w:val="000000"/>
          <w:szCs w:val="24"/>
        </w:rPr>
        <w:t>»</w:t>
      </w:r>
      <w:r w:rsidR="0073427B" w:rsidRPr="006E52FF">
        <w:rPr>
          <w:rFonts w:eastAsia="Palatino Linotype" w:cs="Palatino Linotype"/>
          <w:color w:val="000000"/>
          <w:szCs w:val="24"/>
        </w:rPr>
        <w:t xml:space="preserve">, </w:t>
      </w:r>
      <w:r w:rsidR="000769B1">
        <w:rPr>
          <w:rFonts w:eastAsia="Palatino Linotype" w:cs="Palatino Linotype"/>
          <w:color w:val="000000"/>
          <w:szCs w:val="24"/>
        </w:rPr>
        <w:t>el</w:t>
      </w:r>
      <w:r w:rsidRPr="00CF2732">
        <w:rPr>
          <w:rFonts w:eastAsia="Palatino Linotype" w:cs="Palatino Linotype"/>
          <w:color w:val="000000"/>
          <w:szCs w:val="24"/>
        </w:rPr>
        <w:t xml:space="preserve"> cual fue puest</w:t>
      </w:r>
      <w:r w:rsidR="000769B1">
        <w:rPr>
          <w:rFonts w:eastAsia="Palatino Linotype" w:cs="Palatino Linotype"/>
          <w:color w:val="000000"/>
          <w:szCs w:val="24"/>
        </w:rPr>
        <w:t>o</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0769B1">
        <w:rPr>
          <w:rFonts w:eastAsia="Palatino Linotype" w:cs="Palatino Linotype"/>
          <w:color w:val="000000"/>
          <w:szCs w:val="24"/>
        </w:rPr>
        <w:t>catorce de mayo</w:t>
      </w:r>
      <w:r w:rsidR="00A027DE">
        <w:rPr>
          <w:rFonts w:eastAsia="Palatino Linotype" w:cs="Palatino Linotype"/>
          <w:color w:val="000000"/>
          <w:szCs w:val="24"/>
        </w:rPr>
        <w:t xml:space="preserve"> del año en curso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w:t>
      </w:r>
      <w:r w:rsidR="00F71849">
        <w:rPr>
          <w:rFonts w:eastAsia="Palatino Linotype" w:cs="Palatino Linotype"/>
          <w:color w:val="000000"/>
          <w:szCs w:val="24"/>
        </w:rPr>
        <w:t>; cuyo contenido</w:t>
      </w:r>
      <w:r>
        <w:rPr>
          <w:rFonts w:eastAsia="Palatino Linotype" w:cs="Palatino Linotype"/>
          <w:color w:val="000000"/>
          <w:szCs w:val="24"/>
        </w:rPr>
        <w:t xml:space="preserve"> </w:t>
      </w:r>
      <w:r w:rsidR="00F71849">
        <w:rPr>
          <w:rFonts w:eastAsia="Palatino Linotype" w:cs="Palatino Linotype"/>
          <w:color w:val="000000"/>
          <w:szCs w:val="24"/>
        </w:rPr>
        <w:t xml:space="preserve">será analizado en el estudio correspondiente. </w:t>
      </w:r>
      <w:r>
        <w:rPr>
          <w:rFonts w:eastAsia="Palatino Linotype" w:cs="Palatino Linotype"/>
          <w:color w:val="000000"/>
          <w:szCs w:val="24"/>
        </w:rPr>
        <w:t>Por su</w:t>
      </w:r>
      <w:r w:rsidRPr="00CF2732">
        <w:rPr>
          <w:rFonts w:eastAsia="Palatino Linotype" w:cs="Palatino Linotype"/>
          <w:color w:val="000000"/>
          <w:szCs w:val="24"/>
        </w:rPr>
        <w:t xml:space="preserve"> parte, se observa que el Recurrente </w:t>
      </w:r>
      <w:r w:rsidR="00EB2F86">
        <w:rPr>
          <w:rFonts w:eastAsia="Palatino Linotype" w:cs="Palatino Linotype"/>
          <w:color w:val="000000"/>
          <w:szCs w:val="24"/>
        </w:rPr>
        <w:t xml:space="preserve">no </w:t>
      </w:r>
      <w:r w:rsidRPr="00CF2732">
        <w:rPr>
          <w:rFonts w:eastAsia="Palatino Linotype" w:cs="Palatino Linotype"/>
          <w:color w:val="000000"/>
          <w:szCs w:val="24"/>
        </w:rPr>
        <w:t>emitió</w:t>
      </w:r>
      <w:r>
        <w:rPr>
          <w:rFonts w:eastAsia="Palatino Linotype" w:cs="Palatino Linotype"/>
          <w:color w:val="000000"/>
          <w:szCs w:val="24"/>
        </w:rPr>
        <w:t xml:space="preserve"> </w:t>
      </w:r>
      <w:r w:rsidRPr="00CF2732">
        <w:rPr>
          <w:rFonts w:eastAsia="Palatino Linotype" w:cs="Palatino Linotype"/>
          <w:color w:val="000000"/>
          <w:szCs w:val="24"/>
        </w:rPr>
        <w:t>manifestaciones</w:t>
      </w:r>
      <w:r>
        <w:rPr>
          <w:rFonts w:eastAsia="Palatino Linotype" w:cs="Palatino Linotype"/>
          <w:color w:val="000000"/>
          <w:szCs w:val="24"/>
        </w:rPr>
        <w:t xml:space="preserve">, </w:t>
      </w:r>
      <w:r w:rsidR="000F292F">
        <w:rPr>
          <w:rFonts w:eastAsia="Palatino Linotype" w:cs="Palatino Linotype"/>
          <w:color w:val="000000"/>
          <w:szCs w:val="24"/>
        </w:rPr>
        <w:t>vertió alegatos ni presentó pruebas que a su derecho convinieran</w:t>
      </w:r>
      <w:r w:rsidR="000769B1">
        <w:rPr>
          <w:rFonts w:eastAsia="Palatino Linotype" w:cs="Palatino Linotype"/>
          <w:color w:val="000000"/>
          <w:szCs w:val="24"/>
        </w:rPr>
        <w:t>, así como tampoco se pronunció respecto del Informe Justificado rendido por el Sujeto Obligado.</w:t>
      </w:r>
    </w:p>
    <w:p w14:paraId="6AFC979F" w14:textId="77777777" w:rsidR="000F292F" w:rsidRPr="006922F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03261896"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3C62DE8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0769B1">
        <w:rPr>
          <w:rFonts w:eastAsia="Palatino Linotype" w:cs="Palatino Linotype"/>
          <w:color w:val="000000"/>
          <w:szCs w:val="24"/>
        </w:rPr>
        <w:t>veinte</w:t>
      </w:r>
      <w:r w:rsidR="000F292F">
        <w:rPr>
          <w:rFonts w:eastAsia="Palatino Linotype" w:cs="Palatino Linotype"/>
          <w:color w:val="000000"/>
          <w:szCs w:val="24"/>
        </w:rPr>
        <w:t xml:space="preserve"> de mayo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047890" w:rsidRDefault="00271737" w:rsidP="006922F5">
      <w:pPr>
        <w:pStyle w:val="Ttulo2"/>
        <w:rPr>
          <w:rFonts w:eastAsiaTheme="minorHAnsi"/>
          <w:lang w:eastAsia="en-US"/>
        </w:rPr>
      </w:pPr>
      <w:r>
        <w:rPr>
          <w:rFonts w:eastAsiaTheme="minorHAnsi"/>
          <w:lang w:eastAsia="en-US"/>
        </w:rPr>
        <w:t>SÉPTIMO</w:t>
      </w:r>
      <w:r w:rsidR="00A914F3" w:rsidRPr="00047890">
        <w:rPr>
          <w:rFonts w:eastAsiaTheme="minorHAnsi"/>
          <w:lang w:eastAsia="en-US"/>
        </w:rPr>
        <w:t>. De la ampliación del término para resolver.</w:t>
      </w:r>
    </w:p>
    <w:p w14:paraId="580C419B" w14:textId="402144D9"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0769B1">
        <w:rPr>
          <w:rFonts w:eastAsiaTheme="minorHAnsi" w:cstheme="minorBidi"/>
          <w:szCs w:val="24"/>
          <w:lang w:eastAsia="en-US"/>
        </w:rPr>
        <w:t>trece</w:t>
      </w:r>
      <w:r w:rsidR="000F292F">
        <w:rPr>
          <w:rFonts w:eastAsiaTheme="minorHAnsi" w:cstheme="minorBidi"/>
          <w:szCs w:val="24"/>
          <w:lang w:eastAsia="en-US"/>
        </w:rPr>
        <w:t xml:space="preserve"> de junio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5C8DCF"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00F4C092"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1A23D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w:t>
      </w:r>
      <w:proofErr w:type="gramStart"/>
      <w:r w:rsidRPr="00546575">
        <w:rPr>
          <w:rFonts w:eastAsiaTheme="minorHAnsi" w:cstheme="minorBidi"/>
          <w:szCs w:val="24"/>
          <w:lang w:eastAsia="en-US"/>
        </w:rPr>
        <w:t>./</w:t>
      </w:r>
      <w:proofErr w:type="gramEnd"/>
      <w:r w:rsidRPr="00546575">
        <w:rPr>
          <w:rFonts w:eastAsiaTheme="minorHAnsi" w:cstheme="minorBidi"/>
          <w:szCs w:val="24"/>
          <w:lang w:eastAsia="en-U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0C6BD860" w14:textId="0153976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0588B5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este organismo garante comprometido con la tutela de los derechos humanos </w:t>
      </w:r>
      <w:r w:rsidR="00E30F56" w:rsidRPr="00546575">
        <w:rPr>
          <w:rFonts w:eastAsiaTheme="minorHAnsi" w:cstheme="minorBidi"/>
          <w:szCs w:val="24"/>
          <w:lang w:eastAsia="en-US"/>
        </w:rPr>
        <w:t>confiados</w:t>
      </w:r>
      <w:r w:rsidRPr="00546575">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3B359E7" w14:textId="77777777" w:rsidR="007826F1" w:rsidRPr="00E06B6E" w:rsidRDefault="007826F1" w:rsidP="007826F1">
      <w:pPr>
        <w:pStyle w:val="Ttulo2"/>
        <w:rPr>
          <w:rFonts w:eastAsia="Palatino Linotype"/>
        </w:rPr>
      </w:pPr>
      <w:r w:rsidRPr="00E06B6E">
        <w:rPr>
          <w:rFonts w:eastAsia="Palatino Linotype"/>
        </w:rPr>
        <w:t>TERCERO. Cuestiones de previo y especial pronunciamiento.</w:t>
      </w:r>
    </w:p>
    <w:p w14:paraId="428CE27D"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D99AB8" w14:textId="77777777" w:rsidR="007826F1" w:rsidRPr="00FB173E" w:rsidRDefault="007826F1" w:rsidP="007826F1">
      <w:pPr>
        <w:contextualSpacing/>
        <w:rPr>
          <w:rFonts w:eastAsia="Palatino Linotype" w:cs="Palatino Linotype"/>
          <w:szCs w:val="24"/>
        </w:rPr>
      </w:pPr>
    </w:p>
    <w:p w14:paraId="04115F5C"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94A9188" w14:textId="77777777" w:rsidR="007826F1" w:rsidRPr="00FB173E" w:rsidRDefault="007826F1" w:rsidP="007826F1">
      <w:pPr>
        <w:spacing w:line="240" w:lineRule="auto"/>
        <w:ind w:left="567" w:right="567"/>
        <w:contextualSpacing/>
        <w:rPr>
          <w:rFonts w:eastAsia="Palatino Linotype" w:cs="Palatino Linotype"/>
          <w:i/>
          <w:sz w:val="22"/>
        </w:rPr>
      </w:pPr>
    </w:p>
    <w:p w14:paraId="29841015"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4A69D04B"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58689ED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A296E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38837B2D"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71938B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DA207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1BF60CA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4950A867" w14:textId="77777777" w:rsidR="007826F1" w:rsidRPr="00FB173E" w:rsidRDefault="007826F1" w:rsidP="007826F1">
      <w:pPr>
        <w:spacing w:line="240" w:lineRule="auto"/>
        <w:ind w:left="567" w:right="567"/>
        <w:contextualSpacing/>
        <w:rPr>
          <w:rFonts w:eastAsia="Palatino Linotype" w:cs="Palatino Linotype"/>
          <w:i/>
          <w:sz w:val="22"/>
        </w:rPr>
      </w:pPr>
    </w:p>
    <w:p w14:paraId="36595EA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1D91AB80" w14:textId="77777777" w:rsidR="007826F1" w:rsidRPr="00FB173E" w:rsidRDefault="007826F1" w:rsidP="007826F1">
      <w:pPr>
        <w:spacing w:line="240" w:lineRule="auto"/>
        <w:ind w:left="567" w:right="567"/>
        <w:contextualSpacing/>
        <w:rPr>
          <w:rFonts w:eastAsia="Palatino Linotype" w:cs="Palatino Linotype"/>
          <w:i/>
          <w:sz w:val="22"/>
        </w:rPr>
      </w:pPr>
    </w:p>
    <w:p w14:paraId="786D1E1F"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0D297630" w14:textId="77777777" w:rsidR="007826F1" w:rsidRPr="00FB173E" w:rsidRDefault="007826F1" w:rsidP="007826F1">
      <w:pPr>
        <w:spacing w:line="240" w:lineRule="auto"/>
        <w:ind w:left="567" w:right="567"/>
        <w:contextualSpacing/>
        <w:rPr>
          <w:rFonts w:eastAsia="Palatino Linotype" w:cs="Palatino Linotype"/>
          <w:i/>
          <w:sz w:val="22"/>
        </w:rPr>
      </w:pPr>
    </w:p>
    <w:p w14:paraId="0AA7CAB6"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b/>
          <w:bCs/>
          <w:i/>
          <w:iCs/>
          <w:sz w:val="22"/>
          <w:lang w:val="es-ES"/>
        </w:rPr>
        <w:t>En caso de que el recurso se interponga de manera electrónica no será indispensable que contengan los requisitos establecidos en las fracciones II</w:t>
      </w:r>
      <w:r w:rsidRPr="5C35490E">
        <w:rPr>
          <w:rFonts w:eastAsia="Palatino Linotype" w:cs="Palatino Linotype"/>
          <w:i/>
          <w:iCs/>
          <w:sz w:val="22"/>
          <w:lang w:val="es-ES"/>
        </w:rPr>
        <w:t>, IV, VII y VIII.</w:t>
      </w:r>
    </w:p>
    <w:p w14:paraId="62184F3A" w14:textId="77777777" w:rsidR="007826F1" w:rsidRPr="00FB173E" w:rsidRDefault="007826F1" w:rsidP="007826F1">
      <w:pPr>
        <w:contextualSpacing/>
        <w:rPr>
          <w:rFonts w:eastAsia="Palatino Linotype" w:cs="Palatino Linotype"/>
          <w:b/>
          <w:i/>
          <w:szCs w:val="24"/>
        </w:rPr>
      </w:pPr>
    </w:p>
    <w:p w14:paraId="59A45D3A" w14:textId="65C95E3B" w:rsidR="007826F1" w:rsidRPr="00FB173E" w:rsidRDefault="007826F1" w:rsidP="007826F1">
      <w:pPr>
        <w:contextualSpacing/>
        <w:rPr>
          <w:rFonts w:eastAsia="Palatino Linotype" w:cs="Palatino Linotype"/>
          <w:szCs w:val="24"/>
        </w:rPr>
      </w:pPr>
      <w:r w:rsidRPr="00FB173E">
        <w:rPr>
          <w:rFonts w:eastAsia="Palatino Linotype" w:cs="Palatino Linotype"/>
          <w:szCs w:val="24"/>
        </w:rPr>
        <w:t>Cabe señalar que el hoy Recurrente</w:t>
      </w:r>
      <w:r w:rsidR="00167291">
        <w:rPr>
          <w:rFonts w:eastAsia="Palatino Linotype" w:cs="Palatino Linotype"/>
          <w:szCs w:val="24"/>
        </w:rPr>
        <w:t xml:space="preserve"> </w:t>
      </w:r>
      <w:r w:rsidR="00207132">
        <w:rPr>
          <w:rFonts w:eastAsia="Palatino Linotype" w:cs="Palatino Linotype"/>
          <w:szCs w:val="24"/>
        </w:rPr>
        <w:t>no proporcionó nombre o seudónimo</w:t>
      </w:r>
      <w:r w:rsidR="00167291">
        <w:rPr>
          <w:rFonts w:eastAsia="Palatino Linotype" w:cs="Palatino Linotype"/>
          <w:szCs w:val="24"/>
        </w:rPr>
        <w:t xml:space="preserve">; </w:t>
      </w:r>
      <w:r w:rsidRPr="00FB173E">
        <w:rPr>
          <w:rFonts w:eastAsia="Palatino Linotype" w:cs="Palatino Linotype"/>
          <w:szCs w:val="24"/>
        </w:rPr>
        <w:t>no obstante, proporcionar el nombre incompleto, seudónimo o</w:t>
      </w:r>
      <w:r w:rsidR="004257D6">
        <w:rPr>
          <w:rFonts w:eastAsia="Palatino Linotype" w:cs="Palatino Linotype"/>
          <w:szCs w:val="24"/>
        </w:rPr>
        <w:t xml:space="preserve"> </w:t>
      </w:r>
      <w:r w:rsidRPr="00FB173E">
        <w:rPr>
          <w:rFonts w:eastAsia="Palatino Linotype" w:cs="Palatino Linotype"/>
          <w:szCs w:val="24"/>
        </w:rPr>
        <w:t>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11996F43" w14:textId="77777777" w:rsidR="007826F1" w:rsidRPr="00FB173E" w:rsidRDefault="007826F1" w:rsidP="007826F1">
      <w:pPr>
        <w:contextualSpacing/>
        <w:rPr>
          <w:rFonts w:eastAsia="Palatino Linotype" w:cs="Palatino Linotype"/>
          <w:szCs w:val="24"/>
        </w:rPr>
      </w:pPr>
    </w:p>
    <w:p w14:paraId="464E141D" w14:textId="378C4336"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3C666DE8" w14:textId="77777777" w:rsidR="007826F1" w:rsidRPr="00FB173E" w:rsidRDefault="007826F1" w:rsidP="007826F1">
      <w:pPr>
        <w:spacing w:line="240" w:lineRule="auto"/>
        <w:ind w:left="567" w:right="567"/>
        <w:contextualSpacing/>
        <w:rPr>
          <w:rFonts w:eastAsia="Palatino Linotype" w:cs="Palatino Linotype"/>
          <w:i/>
          <w:sz w:val="22"/>
        </w:rPr>
      </w:pPr>
    </w:p>
    <w:p w14:paraId="40934129"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6C37A09A" w14:textId="77777777" w:rsidR="007826F1" w:rsidRPr="00FB173E" w:rsidRDefault="007826F1" w:rsidP="007826F1">
      <w:pPr>
        <w:contextualSpacing/>
        <w:rPr>
          <w:rFonts w:eastAsia="Palatino Linotype" w:cs="Palatino Linotype"/>
          <w:szCs w:val="24"/>
        </w:rPr>
      </w:pPr>
    </w:p>
    <w:p w14:paraId="2D192490" w14:textId="77777777" w:rsidR="007826F1" w:rsidRPr="00FB173E" w:rsidRDefault="007826F1" w:rsidP="007826F1">
      <w:pPr>
        <w:contextualSpacing/>
        <w:rPr>
          <w:rFonts w:eastAsia="Palatino Linotype" w:cs="Palatino Linotype"/>
          <w:szCs w:val="24"/>
        </w:rPr>
      </w:pPr>
      <w:r w:rsidRPr="00FB173E">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89C8274" w14:textId="77777777" w:rsidR="007826F1" w:rsidRPr="00FB173E" w:rsidRDefault="007826F1" w:rsidP="007826F1">
      <w:pPr>
        <w:contextualSpacing/>
        <w:rPr>
          <w:rFonts w:eastAsia="Palatino Linotype" w:cs="Palatino Linotype"/>
          <w:szCs w:val="24"/>
        </w:rPr>
      </w:pPr>
    </w:p>
    <w:p w14:paraId="67456352"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6C00300E"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b/>
          <w:bCs/>
          <w:i/>
          <w:iCs/>
          <w:sz w:val="22"/>
          <w:lang w:val="es-ES"/>
        </w:rPr>
        <w:t>Artículo 6</w:t>
      </w:r>
      <w:r w:rsidRPr="5C35490E">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407F2C" w14:textId="39AA5C27"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6B5B9F03" w14:textId="77777777" w:rsidR="007826F1"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2EC7FA7B" w14:textId="77777777" w:rsidR="007826F1" w:rsidRPr="00FB173E" w:rsidRDefault="007826F1" w:rsidP="007826F1">
      <w:pPr>
        <w:spacing w:line="240" w:lineRule="auto"/>
        <w:ind w:left="567" w:right="567"/>
        <w:contextualSpacing/>
        <w:rPr>
          <w:rFonts w:eastAsia="Palatino Linotype" w:cs="Palatino Linotype"/>
          <w:i/>
          <w:sz w:val="22"/>
        </w:rPr>
      </w:pPr>
    </w:p>
    <w:p w14:paraId="34F022BD" w14:textId="525C2492"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A. Para el ejercicio del derecho de acceso </w:t>
      </w:r>
      <w:r w:rsidR="001B23FA">
        <w:rPr>
          <w:rFonts w:eastAsia="Palatino Linotype" w:cs="Palatino Linotype"/>
          <w:i/>
          <w:sz w:val="22"/>
        </w:rPr>
        <w:t>a la información, la Federación y las entidades federativas</w:t>
      </w:r>
      <w:r w:rsidRPr="00FB173E">
        <w:rPr>
          <w:rFonts w:eastAsia="Palatino Linotype" w:cs="Palatino Linotype"/>
          <w:i/>
          <w:sz w:val="22"/>
        </w:rPr>
        <w:t>, en el ámbito de sus respectivas competencias, se regirán por los siguientes principios y bases:</w:t>
      </w:r>
    </w:p>
    <w:p w14:paraId="7B716ED2" w14:textId="6995B184"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49B5570A"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4CD8F213"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9CB9BC5" w14:textId="77777777" w:rsidR="007826F1" w:rsidRPr="00FB173E" w:rsidRDefault="007826F1" w:rsidP="007826F1">
      <w:pPr>
        <w:spacing w:line="240" w:lineRule="auto"/>
        <w:ind w:left="567" w:right="567"/>
        <w:contextualSpacing/>
        <w:rPr>
          <w:rFonts w:eastAsia="Palatino Linotype" w:cs="Palatino Linotype"/>
          <w:i/>
          <w:sz w:val="22"/>
        </w:rPr>
      </w:pPr>
    </w:p>
    <w:p w14:paraId="53239860" w14:textId="77777777" w:rsidR="007826F1" w:rsidRPr="00FB173E" w:rsidRDefault="007826F1" w:rsidP="007826F1">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1799837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A8AC" w14:textId="7F787033"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C34C805"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7FEA3344" w14:textId="13852CFF"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56BDB488"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46C3B6EC" w14:textId="77777777" w:rsidR="007826F1" w:rsidRPr="00FB173E" w:rsidRDefault="007826F1" w:rsidP="007826F1">
      <w:pPr>
        <w:spacing w:line="240" w:lineRule="auto"/>
        <w:ind w:left="567" w:right="567"/>
        <w:contextualSpacing/>
        <w:rPr>
          <w:rFonts w:eastAsia="Palatino Linotype" w:cs="Palatino Linotype"/>
          <w:i/>
          <w:sz w:val="22"/>
        </w:rPr>
      </w:pPr>
    </w:p>
    <w:p w14:paraId="5D4D5CB1"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E9CDC9" w14:textId="77777777" w:rsidR="007826F1" w:rsidRPr="00FB173E" w:rsidRDefault="007826F1" w:rsidP="007826F1">
      <w:pPr>
        <w:spacing w:line="240" w:lineRule="auto"/>
        <w:ind w:left="567" w:right="567"/>
        <w:contextualSpacing/>
        <w:rPr>
          <w:rFonts w:eastAsia="Palatino Linotype" w:cs="Palatino Linotype"/>
          <w:i/>
          <w:sz w:val="22"/>
        </w:rPr>
      </w:pPr>
    </w:p>
    <w:p w14:paraId="53888FE7"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390582BC" w14:textId="037A622B"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23753CC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A8F634"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3FA2246" w14:textId="7D75226C"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E01BB2A"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375E4AA" w14:textId="206D7A56" w:rsidR="007826F1" w:rsidRPr="00FB173E" w:rsidRDefault="007826F1" w:rsidP="007826F1">
      <w:pPr>
        <w:spacing w:line="240" w:lineRule="auto"/>
        <w:ind w:left="567" w:right="567"/>
        <w:contextualSpacing/>
        <w:rPr>
          <w:rFonts w:eastAsia="Palatino Linotype" w:cs="Palatino Linotype"/>
          <w:i/>
          <w:sz w:val="22"/>
        </w:rPr>
      </w:pPr>
      <w:r>
        <w:rPr>
          <w:rFonts w:eastAsia="Palatino Linotype" w:cs="Palatino Linotype"/>
          <w:i/>
          <w:sz w:val="22"/>
        </w:rPr>
        <w:t>[…]</w:t>
      </w:r>
    </w:p>
    <w:p w14:paraId="0CD2469F" w14:textId="77777777" w:rsidR="007826F1" w:rsidRPr="00FB173E" w:rsidRDefault="007826F1" w:rsidP="007826F1">
      <w:pPr>
        <w:ind w:left="567" w:right="567"/>
        <w:contextualSpacing/>
        <w:rPr>
          <w:rFonts w:eastAsia="Palatino Linotype" w:cs="Palatino Linotype"/>
          <w:szCs w:val="24"/>
        </w:rPr>
      </w:pPr>
    </w:p>
    <w:p w14:paraId="79EBF4C9" w14:textId="77777777" w:rsidR="007826F1" w:rsidRDefault="007826F1" w:rsidP="007826F1">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6C1AB79B" w14:textId="77777777" w:rsidR="007826F1" w:rsidRPr="00FB173E" w:rsidRDefault="007826F1" w:rsidP="007826F1">
      <w:pPr>
        <w:ind w:right="49"/>
        <w:contextualSpacing/>
        <w:rPr>
          <w:rFonts w:eastAsia="Palatino Linotype" w:cs="Palatino Linotype"/>
          <w:szCs w:val="24"/>
        </w:rPr>
      </w:pPr>
    </w:p>
    <w:p w14:paraId="5802A76C" w14:textId="77777777" w:rsidR="007826F1" w:rsidRPr="00FB173E" w:rsidRDefault="007826F1" w:rsidP="007826F1">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DDCCA6" w14:textId="77777777" w:rsidR="007826F1" w:rsidRPr="00FB173E" w:rsidRDefault="007826F1" w:rsidP="007826F1">
      <w:pPr>
        <w:spacing w:line="240" w:lineRule="auto"/>
        <w:ind w:left="567" w:right="567"/>
        <w:contextualSpacing/>
        <w:rPr>
          <w:rFonts w:eastAsia="Palatino Linotype" w:cs="Palatino Linotype"/>
          <w:i/>
          <w:sz w:val="22"/>
        </w:rPr>
      </w:pPr>
    </w:p>
    <w:p w14:paraId="7000E427"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6D3DA314" w14:textId="77777777" w:rsidR="007826F1" w:rsidRPr="00FB173E" w:rsidRDefault="007826F1" w:rsidP="007826F1">
      <w:pPr>
        <w:spacing w:line="240" w:lineRule="auto"/>
        <w:ind w:left="567" w:right="567"/>
        <w:contextualSpacing/>
        <w:rPr>
          <w:rFonts w:eastAsia="Palatino Linotype" w:cs="Palatino Linotype"/>
          <w:i/>
          <w:sz w:val="22"/>
        </w:rPr>
      </w:pPr>
    </w:p>
    <w:p w14:paraId="70A61A4B" w14:textId="77777777" w:rsidR="007826F1" w:rsidRPr="00FB173E" w:rsidRDefault="5C35490E" w:rsidP="5C35490E">
      <w:pPr>
        <w:spacing w:line="240" w:lineRule="auto"/>
        <w:ind w:left="567" w:right="567"/>
        <w:contextualSpacing/>
        <w:rPr>
          <w:rFonts w:eastAsia="Palatino Linotype" w:cs="Palatino Linotype"/>
          <w:i/>
          <w:iCs/>
          <w:sz w:val="22"/>
          <w:lang w:val="es-ES"/>
        </w:rPr>
      </w:pPr>
      <w:r w:rsidRPr="5C35490E">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F4B9BF8" w14:textId="77777777" w:rsidR="007826F1" w:rsidRPr="00FB173E" w:rsidRDefault="007826F1" w:rsidP="008F50E6"/>
    <w:p w14:paraId="02AB4227" w14:textId="77777777" w:rsidR="007826F1" w:rsidRPr="00FB173E" w:rsidRDefault="007826F1" w:rsidP="008F50E6">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F158976" w14:textId="77777777" w:rsidR="007826F1" w:rsidRPr="00FB173E" w:rsidRDefault="007826F1" w:rsidP="008F50E6">
      <w:pPr>
        <w:rPr>
          <w:rFonts w:eastAsia="Palatino Linotype" w:cs="Palatino Linotype"/>
          <w:szCs w:val="24"/>
        </w:rPr>
      </w:pPr>
    </w:p>
    <w:p w14:paraId="78477604" w14:textId="77777777" w:rsidR="007826F1" w:rsidRDefault="007826F1" w:rsidP="008F50E6">
      <w:pPr>
        <w:rPr>
          <w:rFonts w:eastAsia="Palatino Linotype" w:cs="Palatino Linotype"/>
          <w:color w:val="000000"/>
          <w:szCs w:val="24"/>
        </w:rPr>
      </w:pPr>
      <w:r w:rsidRPr="00FB173E">
        <w:rPr>
          <w:rFonts w:eastAsia="Palatino Linotype" w:cs="Palatino Linotype"/>
          <w:color w:val="000000"/>
          <w:szCs w:val="24"/>
        </w:rPr>
        <w:t>En conclusión, se cubrieron los requisitos de procedencia y procedibilidad y conforme a las constancias que obran en el expediente.</w:t>
      </w:r>
    </w:p>
    <w:p w14:paraId="30A73289" w14:textId="77777777" w:rsidR="007826F1" w:rsidRDefault="007826F1" w:rsidP="008F50E6">
      <w:pPr>
        <w:rPr>
          <w:rFonts w:eastAsia="Palatino Linotype" w:cs="Palatino Linotype"/>
          <w:color w:val="000000"/>
          <w:szCs w:val="24"/>
        </w:rPr>
      </w:pPr>
    </w:p>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43C36D4E" w:rsidR="00A970D5" w:rsidRPr="006922F5" w:rsidRDefault="007826F1"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xml:space="preserve">. </w:t>
      </w:r>
      <w:r w:rsidR="008456E4">
        <w:rPr>
          <w:rFonts w:eastAsia="Palatino Linotype"/>
        </w:rPr>
        <w:t>Análisis de la causal de sobreseimiento</w:t>
      </w:r>
      <w:r w:rsidR="00A970D5" w:rsidRPr="006922F5">
        <w:rPr>
          <w:rFonts w:eastAsia="Palatino Linotype"/>
        </w:rPr>
        <w:t>.</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47371A91"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t>En esa tesitura, 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6BD890AC" w:rsidR="001C22A7" w:rsidRPr="003C19CB" w:rsidRDefault="00A970D5" w:rsidP="00DB4882">
      <w:pPr>
        <w:pBdr>
          <w:top w:val="nil"/>
          <w:left w:val="nil"/>
          <w:bottom w:val="nil"/>
          <w:right w:val="nil"/>
          <w:between w:val="nil"/>
        </w:pBdr>
        <w:contextualSpacing/>
        <w:rPr>
          <w:rFonts w:eastAsia="Palatino Linotype" w:cs="Palatino Linotype"/>
          <w:color w:val="000000"/>
        </w:rPr>
      </w:pPr>
      <w:r w:rsidRPr="00047890">
        <w:rPr>
          <w:rFonts w:eastAsia="Palatino Linotype" w:cs="Palatino Linotype"/>
          <w:color w:val="000000"/>
          <w:szCs w:val="24"/>
        </w:rPr>
        <w:t>Por tanto</w:t>
      </w:r>
      <w:r w:rsidR="007F3F9F" w:rsidRPr="00047890">
        <w:rPr>
          <w:rFonts w:eastAsia="Palatino Linotype" w:cs="Palatino Linotype"/>
          <w:color w:val="000000"/>
          <w:szCs w:val="24"/>
        </w:rPr>
        <w:t xml:space="preserve">, es conveniente recordar que </w:t>
      </w:r>
      <w:r w:rsidR="006D438A" w:rsidRPr="00047890">
        <w:rPr>
          <w:rFonts w:eastAsia="Palatino Linotype" w:cs="Palatino Linotype"/>
          <w:color w:val="000000"/>
          <w:szCs w:val="24"/>
        </w:rPr>
        <w:t>el</w:t>
      </w:r>
      <w:r w:rsidRPr="00047890">
        <w:rPr>
          <w:rFonts w:eastAsia="Palatino Linotype" w:cs="Palatino Linotype"/>
          <w:color w:val="000000"/>
          <w:szCs w:val="24"/>
        </w:rPr>
        <w:t xml:space="preserve"> hoy Recurrente </w:t>
      </w:r>
      <w:r w:rsidR="003F32E3">
        <w:rPr>
          <w:rFonts w:eastAsia="Palatino Linotype" w:cs="Palatino Linotype"/>
          <w:color w:val="000000"/>
          <w:szCs w:val="24"/>
        </w:rPr>
        <w:t xml:space="preserve">requirió que </w:t>
      </w:r>
      <w:r w:rsidR="007826F1">
        <w:rPr>
          <w:rFonts w:eastAsia="Palatino Linotype" w:cs="Palatino Linotype"/>
          <w:color w:val="000000"/>
          <w:szCs w:val="24"/>
        </w:rPr>
        <w:t>se le proporcionar</w:t>
      </w:r>
      <w:r w:rsidR="00062CBE">
        <w:rPr>
          <w:rFonts w:eastAsia="Palatino Linotype" w:cs="Palatino Linotype"/>
          <w:color w:val="000000"/>
          <w:szCs w:val="24"/>
        </w:rPr>
        <w:t>a</w:t>
      </w:r>
      <w:r w:rsidR="00C202FE">
        <w:rPr>
          <w:rFonts w:eastAsia="Palatino Linotype" w:cs="Palatino Linotype"/>
          <w:color w:val="000000"/>
          <w:szCs w:val="24"/>
        </w:rPr>
        <w:t xml:space="preserve"> </w:t>
      </w:r>
      <w:r w:rsidR="00DB4882">
        <w:rPr>
          <w:rFonts w:eastAsia="Palatino Linotype" w:cs="Palatino Linotype"/>
          <w:color w:val="000000"/>
          <w:szCs w:val="24"/>
        </w:rPr>
        <w:t xml:space="preserve">el documento que acredite como docente en esa </w:t>
      </w:r>
      <w:r w:rsidR="005A27F3">
        <w:rPr>
          <w:rFonts w:eastAsia="Palatino Linotype" w:cs="Palatino Linotype"/>
          <w:color w:val="000000"/>
          <w:szCs w:val="24"/>
        </w:rPr>
        <w:t xml:space="preserve">institución a </w:t>
      </w:r>
      <w:r w:rsidR="00DB4882">
        <w:rPr>
          <w:rFonts w:eastAsia="Palatino Linotype" w:cs="Palatino Linotype"/>
          <w:color w:val="000000"/>
          <w:szCs w:val="24"/>
        </w:rPr>
        <w:t>la persona referida en la solici</w:t>
      </w:r>
      <w:r w:rsidR="005A27F3">
        <w:rPr>
          <w:rFonts w:eastAsia="Palatino Linotype" w:cs="Palatino Linotype"/>
          <w:color w:val="000000"/>
          <w:szCs w:val="24"/>
        </w:rPr>
        <w:t>tud de información.</w:t>
      </w:r>
    </w:p>
    <w:p w14:paraId="5D0C44B2" w14:textId="77777777" w:rsidR="00D37CE0" w:rsidRDefault="00D37CE0" w:rsidP="00062CBE">
      <w:pPr>
        <w:pBdr>
          <w:top w:val="nil"/>
          <w:left w:val="nil"/>
          <w:bottom w:val="nil"/>
          <w:right w:val="nil"/>
          <w:between w:val="nil"/>
        </w:pBdr>
        <w:contextualSpacing/>
        <w:rPr>
          <w:rFonts w:eastAsia="Palatino Linotype" w:cs="Palatino Linotype"/>
          <w:color w:val="000000"/>
          <w:szCs w:val="24"/>
        </w:rPr>
      </w:pPr>
    </w:p>
    <w:p w14:paraId="494F2E41" w14:textId="7870CD21"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884F2D">
        <w:rPr>
          <w:rFonts w:eastAsia="Palatino Linotype" w:cs="Palatino Linotype"/>
          <w:color w:val="000000"/>
          <w:szCs w:val="24"/>
        </w:rPr>
        <w:t>manifestó que con base en las respuesta</w:t>
      </w:r>
      <w:r w:rsidR="00F033E0">
        <w:rPr>
          <w:rFonts w:eastAsia="Palatino Linotype" w:cs="Palatino Linotype"/>
          <w:color w:val="000000"/>
          <w:szCs w:val="24"/>
        </w:rPr>
        <w:t>s</w:t>
      </w:r>
      <w:r w:rsidR="00884F2D">
        <w:rPr>
          <w:rFonts w:eastAsia="Palatino Linotype" w:cs="Palatino Linotype"/>
          <w:color w:val="000000"/>
          <w:szCs w:val="24"/>
        </w:rPr>
        <w:t xml:space="preserve"> de la Dirección de Re</w:t>
      </w:r>
      <w:r w:rsidR="00E44366">
        <w:rPr>
          <w:rFonts w:eastAsia="Palatino Linotype" w:cs="Palatino Linotype"/>
          <w:color w:val="000000"/>
          <w:szCs w:val="24"/>
        </w:rPr>
        <w:t xml:space="preserve">cursos Humanos y de la Dirección de Control </w:t>
      </w:r>
      <w:r w:rsidR="00F033E0">
        <w:rPr>
          <w:rFonts w:eastAsia="Palatino Linotype" w:cs="Palatino Linotype"/>
          <w:color w:val="000000"/>
          <w:szCs w:val="24"/>
        </w:rPr>
        <w:t>E</w:t>
      </w:r>
      <w:r w:rsidR="00E44366">
        <w:rPr>
          <w:rFonts w:eastAsia="Palatino Linotype" w:cs="Palatino Linotype"/>
          <w:color w:val="000000"/>
          <w:szCs w:val="24"/>
        </w:rPr>
        <w:t>scolar</w:t>
      </w:r>
      <w:r w:rsidR="00F033E0">
        <w:rPr>
          <w:rFonts w:eastAsia="Palatino Linotype" w:cs="Palatino Linotype"/>
          <w:color w:val="000000"/>
          <w:szCs w:val="24"/>
        </w:rPr>
        <w:t>, que la información solicitada no es competencia de la Dirección de Recursos Humanos</w:t>
      </w:r>
      <w:r w:rsidR="009F5699">
        <w:rPr>
          <w:rFonts w:eastAsia="Palatino Linotype" w:cs="Palatino Linotype"/>
          <w:color w:val="000000"/>
          <w:szCs w:val="24"/>
        </w:rPr>
        <w:t xml:space="preserve">; mientras que de acuerdo con el Sistema Integral de Control y Desempeño Escolar, se hacía entrega de </w:t>
      </w:r>
      <w:r w:rsidR="00546A17">
        <w:rPr>
          <w:rFonts w:eastAsia="Palatino Linotype" w:cs="Palatino Linotype"/>
          <w:color w:val="000000"/>
          <w:szCs w:val="24"/>
        </w:rPr>
        <w:t>horario de clases del profesor referido correspondiente al periodo 2024 A</w:t>
      </w:r>
      <w:r w:rsidR="006A7363">
        <w:rPr>
          <w:rFonts w:eastAsia="Palatino Linotype" w:cs="Palatino Linotype"/>
          <w:color w:val="000000"/>
          <w:szCs w:val="24"/>
        </w:rPr>
        <w:t>. Asimismo, se hizo entre</w:t>
      </w:r>
      <w:r w:rsidR="00056259">
        <w:rPr>
          <w:rFonts w:eastAsia="Palatino Linotype" w:cs="Palatino Linotype"/>
          <w:color w:val="000000"/>
          <w:szCs w:val="24"/>
        </w:rPr>
        <w:t>ga</w:t>
      </w:r>
      <w:r w:rsidR="006A7363">
        <w:rPr>
          <w:rFonts w:eastAsia="Palatino Linotype" w:cs="Palatino Linotype"/>
          <w:color w:val="000000"/>
          <w:szCs w:val="24"/>
        </w:rPr>
        <w:t xml:space="preserve"> del siguiente documento:</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045F5692" w14:textId="1AD1C037" w:rsidR="006B06F6" w:rsidRPr="00AE6DCA" w:rsidRDefault="00AE6DCA" w:rsidP="00AE6DCA">
      <w:pPr>
        <w:pStyle w:val="Prrafodelista"/>
        <w:numPr>
          <w:ilvl w:val="0"/>
          <w:numId w:val="38"/>
        </w:numPr>
        <w:pBdr>
          <w:top w:val="nil"/>
          <w:left w:val="nil"/>
          <w:bottom w:val="nil"/>
          <w:right w:val="nil"/>
          <w:between w:val="nil"/>
        </w:pBdr>
        <w:contextualSpacing/>
        <w:rPr>
          <w:rFonts w:eastAsia="Palatino Linotype" w:cs="Palatino Linotype"/>
          <w:color w:val="000000" w:themeColor="text1"/>
        </w:rPr>
      </w:pPr>
      <w:r w:rsidRPr="00AE6DCA">
        <w:rPr>
          <w:rFonts w:eastAsia="Palatino Linotype" w:cs="Palatino Linotype"/>
          <w:b/>
          <w:bCs/>
          <w:color w:val="000000"/>
        </w:rPr>
        <w:t>Solicitud Transparencia 412.pdf</w:t>
      </w:r>
      <w:r>
        <w:rPr>
          <w:rFonts w:eastAsia="Palatino Linotype" w:cs="Palatino Linotype"/>
          <w:color w:val="000000"/>
        </w:rPr>
        <w:t xml:space="preserve">. </w:t>
      </w:r>
      <w:r w:rsidR="00301E96">
        <w:rPr>
          <w:rFonts w:eastAsia="Palatino Linotype" w:cs="Palatino Linotype"/>
          <w:color w:val="000000"/>
        </w:rPr>
        <w:t xml:space="preserve">Reporte de horarios emitido por la Dirección de Control Escolar </w:t>
      </w:r>
      <w:r w:rsidR="00CB759D">
        <w:rPr>
          <w:rFonts w:eastAsia="Palatino Linotype" w:cs="Palatino Linotype"/>
          <w:color w:val="000000"/>
        </w:rPr>
        <w:t xml:space="preserve">correspondiente al periodo de cursos </w:t>
      </w:r>
      <w:proofErr w:type="gramStart"/>
      <w:r w:rsidR="00CB759D">
        <w:rPr>
          <w:rFonts w:eastAsia="Palatino Linotype" w:cs="Palatino Linotype"/>
          <w:color w:val="000000"/>
        </w:rPr>
        <w:t>Primavera</w:t>
      </w:r>
      <w:proofErr w:type="gramEnd"/>
      <w:r w:rsidR="00CB759D">
        <w:rPr>
          <w:rFonts w:eastAsia="Palatino Linotype" w:cs="Palatino Linotype"/>
          <w:color w:val="000000"/>
        </w:rPr>
        <w:t xml:space="preserve"> 2024 </w:t>
      </w:r>
      <w:r w:rsidR="00426D36">
        <w:rPr>
          <w:rFonts w:eastAsia="Palatino Linotype" w:cs="Palatino Linotype"/>
          <w:color w:val="000000"/>
        </w:rPr>
        <w:t>relativo al profesor referido en la solicitud de información para la impartición de la materia de Teoría y Política Fiscal.</w:t>
      </w:r>
    </w:p>
    <w:p w14:paraId="750C143C" w14:textId="77777777" w:rsidR="00AE6DCA" w:rsidRDefault="00AE6DCA"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366153AC"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426D36">
        <w:rPr>
          <w:rFonts w:eastAsia="Palatino Linotype" w:cs="Palatino Linotype"/>
          <w:color w:val="000000" w:themeColor="text1"/>
          <w:lang w:val="es-ES"/>
        </w:rPr>
        <w:t>la respuesta proporcionada por el Sujeto Obligado y el servidor público habilitado del Órgano Interno de Control</w:t>
      </w:r>
      <w:r w:rsidR="00B74A11">
        <w:rPr>
          <w:rFonts w:eastAsia="Palatino Linotype" w:cs="Palatino Linotype"/>
          <w:color w:val="000000" w:themeColor="text1"/>
          <w:lang w:val="es-ES"/>
        </w:rPr>
        <w:t xml:space="preserve">; dando </w:t>
      </w:r>
      <w:r w:rsidRPr="1923E2E8">
        <w:rPr>
          <w:rFonts w:eastAsia="Palatino Linotype" w:cs="Palatino Linotype"/>
          <w:color w:val="000000" w:themeColor="text1"/>
          <w:lang w:val="es-ES"/>
        </w:rPr>
        <w:t xml:space="preserve">como razones o motivos de inconformidad </w:t>
      </w:r>
      <w:r w:rsidR="006225AE">
        <w:rPr>
          <w:rFonts w:eastAsia="Palatino Linotype" w:cs="Palatino Linotype"/>
          <w:color w:val="000000" w:themeColor="text1"/>
          <w:lang w:val="es-ES"/>
        </w:rPr>
        <w:t xml:space="preserve">que </w:t>
      </w:r>
      <w:r w:rsidR="00B74A11">
        <w:rPr>
          <w:rFonts w:eastAsia="Palatino Linotype" w:cs="Palatino Linotype"/>
          <w:color w:val="000000" w:themeColor="text1"/>
          <w:lang w:val="es-ES"/>
        </w:rPr>
        <w:t>el Sujeto Obligado no entregó la documental pública que acredit</w:t>
      </w:r>
      <w:r w:rsidR="0058176F">
        <w:rPr>
          <w:rFonts w:eastAsia="Palatino Linotype" w:cs="Palatino Linotype"/>
          <w:color w:val="000000" w:themeColor="text1"/>
          <w:lang w:val="es-ES"/>
        </w:rPr>
        <w:t xml:space="preserve">e que la persona referida sea docente en la Universidad, ya que considera que no se acreditó la búsqueda exhaustiva del nombramiento de hora clase, asignatura, definitividad o tiempo completo </w:t>
      </w:r>
      <w:r w:rsidR="00B65AB9">
        <w:rPr>
          <w:rFonts w:eastAsia="Palatino Linotype" w:cs="Palatino Linotype"/>
          <w:color w:val="000000" w:themeColor="text1"/>
          <w:lang w:val="es-ES"/>
        </w:rPr>
        <w:t>de dicho docente; que sólo se mostró una porción de lo que se presume debe entenderse como una documental públ</w:t>
      </w:r>
      <w:r w:rsidR="004B1F64">
        <w:rPr>
          <w:rFonts w:eastAsia="Palatino Linotype" w:cs="Palatino Linotype"/>
          <w:color w:val="000000" w:themeColor="text1"/>
          <w:lang w:val="es-ES"/>
        </w:rPr>
        <w:t xml:space="preserve">ica sin que se señale qué documento es, quién lo expida o valida y tampoco se muestra el documento </w:t>
      </w:r>
      <w:r w:rsidR="006F2600">
        <w:rPr>
          <w:rFonts w:eastAsia="Palatino Linotype" w:cs="Palatino Linotype"/>
          <w:color w:val="000000" w:themeColor="text1"/>
          <w:lang w:val="es-ES"/>
        </w:rPr>
        <w:t>en donde conste la reserva de la información, por lo que no se justifica la idoneidad del documento</w:t>
      </w:r>
      <w:r w:rsidR="001B7D10">
        <w:rPr>
          <w:rFonts w:eastAsia="Palatino Linotype" w:cs="Palatino Linotype"/>
          <w:color w:val="000000" w:themeColor="text1"/>
          <w:lang w:val="es-ES"/>
        </w:rPr>
        <w:t xml:space="preserve">; y por último, que no se entrega un documento que </w:t>
      </w:r>
      <w:r w:rsidR="00DE3958">
        <w:rPr>
          <w:rFonts w:eastAsia="Palatino Linotype" w:cs="Palatino Linotype"/>
          <w:color w:val="000000" w:themeColor="text1"/>
          <w:lang w:val="es-ES"/>
        </w:rPr>
        <w:t>clarifique la respuesta.</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35695B46" w14:textId="4B193F33" w:rsidR="00C006C6" w:rsidRDefault="00072FF9" w:rsidP="008F50E6">
      <w:r>
        <w:t>Durante la etapa de instrucción, el Sujeto Obligado rindió el Informe Justificado consistente</w:t>
      </w:r>
      <w:r w:rsidR="0005726D">
        <w:t xml:space="preserve"> </w:t>
      </w:r>
      <w:r w:rsidR="00DE3958" w:rsidRPr="00CF2732">
        <w:rPr>
          <w:rFonts w:eastAsia="Palatino Linotype" w:cs="Palatino Linotype"/>
          <w:color w:val="000000"/>
          <w:szCs w:val="24"/>
        </w:rPr>
        <w:t xml:space="preserve">en </w:t>
      </w:r>
      <w:r w:rsidR="00DE3958">
        <w:rPr>
          <w:rFonts w:eastAsia="Palatino Linotype" w:cs="Palatino Linotype"/>
          <w:color w:val="000000"/>
          <w:szCs w:val="24"/>
        </w:rPr>
        <w:t>el documento denominado</w:t>
      </w:r>
      <w:r w:rsidR="00DE3958" w:rsidRPr="00CF2732">
        <w:rPr>
          <w:rFonts w:eastAsia="Palatino Linotype" w:cs="Palatino Linotype"/>
          <w:color w:val="000000"/>
          <w:szCs w:val="24"/>
        </w:rPr>
        <w:t xml:space="preserve"> </w:t>
      </w:r>
      <w:r w:rsidR="00DE3958">
        <w:rPr>
          <w:rFonts w:eastAsia="Palatino Linotype" w:cs="Palatino Linotype"/>
          <w:b/>
          <w:color w:val="000000"/>
          <w:szCs w:val="24"/>
        </w:rPr>
        <w:t>«2215-24</w:t>
      </w:r>
      <w:r w:rsidR="00430888">
        <w:rPr>
          <w:rFonts w:eastAsia="Palatino Linotype" w:cs="Palatino Linotype"/>
          <w:b/>
          <w:color w:val="000000"/>
          <w:szCs w:val="24"/>
        </w:rPr>
        <w:t>.pdf</w:t>
      </w:r>
      <w:r w:rsidR="00DE3958">
        <w:rPr>
          <w:rFonts w:eastAsia="Palatino Linotype" w:cs="Palatino Linotype"/>
          <w:b/>
          <w:color w:val="000000"/>
          <w:szCs w:val="24"/>
        </w:rPr>
        <w:t>»</w:t>
      </w:r>
      <w:r w:rsidR="00DE3958" w:rsidRPr="00DE3958">
        <w:rPr>
          <w:rFonts w:eastAsia="Palatino Linotype" w:cs="Palatino Linotype"/>
          <w:bCs/>
          <w:color w:val="000000"/>
          <w:szCs w:val="24"/>
        </w:rPr>
        <w:t xml:space="preserve">, </w:t>
      </w:r>
      <w:r w:rsidR="00DE3958">
        <w:rPr>
          <w:rFonts w:eastAsia="Palatino Linotype" w:cs="Palatino Linotype"/>
          <w:bCs/>
          <w:color w:val="000000"/>
          <w:szCs w:val="24"/>
        </w:rPr>
        <w:t>el</w:t>
      </w:r>
      <w:r w:rsidR="0075390C" w:rsidRPr="00DE3958">
        <w:rPr>
          <w:rFonts w:eastAsia="Palatino Linotype" w:cs="Palatino Linotype"/>
          <w:bCs/>
          <w:color w:val="000000"/>
          <w:szCs w:val="24"/>
        </w:rPr>
        <w:t xml:space="preserve"> </w:t>
      </w:r>
      <w:r w:rsidR="0075390C">
        <w:rPr>
          <w:rFonts w:eastAsia="Palatino Linotype" w:cs="Palatino Linotype"/>
          <w:color w:val="000000"/>
          <w:szCs w:val="24"/>
        </w:rPr>
        <w:t>cual contiene lo siguiente</w:t>
      </w:r>
      <w:r>
        <w:t>:</w:t>
      </w:r>
    </w:p>
    <w:p w14:paraId="309EC65F" w14:textId="77777777" w:rsidR="00072FF9" w:rsidRDefault="00072FF9" w:rsidP="008F50E6"/>
    <w:p w14:paraId="74E06E77" w14:textId="4FF6C52C" w:rsidR="00FC09D6" w:rsidRDefault="009D38C8" w:rsidP="004C1A04">
      <w:pPr>
        <w:pStyle w:val="Prrafodelista"/>
        <w:numPr>
          <w:ilvl w:val="0"/>
          <w:numId w:val="22"/>
        </w:numPr>
      </w:pPr>
      <w:r>
        <w:t xml:space="preserve">Informe Justificado suscrito por </w:t>
      </w:r>
      <w:r w:rsidR="00D10173">
        <w:t>el Director de Transparencia Universitaria</w:t>
      </w:r>
      <w:r w:rsidR="00622A93">
        <w:t xml:space="preserve">, con el cual se señaló que </w:t>
      </w:r>
      <w:r w:rsidR="003A34FF">
        <w:t>la Dirección de Control Escolar manifestó que</w:t>
      </w:r>
      <w:r w:rsidR="009D66C9">
        <w:t xml:space="preserve">, debido a que no se especificó el periodo del cual se requería la información, </w:t>
      </w:r>
      <w:r w:rsidR="00987692">
        <w:t>por lo que se remitió el horario que se encuentra en el Sistema Integral de Control y Desempeño Escolar</w:t>
      </w:r>
      <w:r w:rsidR="0028196D">
        <w:t>, mientras que la Dirección de Recursos Humanos expresó que</w:t>
      </w:r>
      <w:r w:rsidR="00300B3C">
        <w:t>, conforme al Reglamento del Personal Académico, esa Dirección no emite los nombramientos del personal académico</w:t>
      </w:r>
      <w:r w:rsidR="00192CBA">
        <w:t>; que el Órgano de Control, en vía de colaboración, remitió el nombramiento que acredita a la persona referida en la solicitud como Profesor de Asignatura.</w:t>
      </w:r>
      <w:r w:rsidR="00722963">
        <w:t xml:space="preserve"> Asimismo, se refutaron los </w:t>
      </w:r>
      <w:r w:rsidR="00147AA0">
        <w:t>motivos de inconformidad del Recurrente</w:t>
      </w:r>
      <w:r w:rsidR="00CA22A4">
        <w:t xml:space="preserve"> y se solicitó desechar el recurso por improcedente y se confirme la respuesta.</w:t>
      </w:r>
    </w:p>
    <w:p w14:paraId="76005BD7" w14:textId="5DDD3ADC" w:rsidR="00AA66F5" w:rsidRPr="001C5086" w:rsidRDefault="1923E2E8" w:rsidP="004C1A04">
      <w:pPr>
        <w:pStyle w:val="Prrafodelista"/>
        <w:numPr>
          <w:ilvl w:val="0"/>
          <w:numId w:val="22"/>
        </w:numPr>
      </w:pPr>
      <w:r w:rsidRPr="1923E2E8">
        <w:t xml:space="preserve"> </w:t>
      </w:r>
      <w:r w:rsidR="00FC09D6">
        <w:rPr>
          <w:rFonts w:eastAsia="Palatino Linotype" w:cs="Palatino Linotype"/>
          <w:bCs/>
          <w:color w:val="000000"/>
        </w:rPr>
        <w:t>Oficio</w:t>
      </w:r>
      <w:r w:rsidR="0047712F">
        <w:rPr>
          <w:rFonts w:eastAsia="Palatino Linotype" w:cs="Palatino Linotype"/>
          <w:bCs/>
          <w:color w:val="000000"/>
        </w:rPr>
        <w:t xml:space="preserve"> número </w:t>
      </w:r>
      <w:r w:rsidR="00F25FAB">
        <w:rPr>
          <w:rFonts w:eastAsia="Palatino Linotype" w:cs="Palatino Linotype"/>
          <w:bCs/>
          <w:color w:val="000000"/>
        </w:rPr>
        <w:t>5604/2024 emitido por el Director de Control Escolar</w:t>
      </w:r>
      <w:r w:rsidR="00713EC8">
        <w:rPr>
          <w:rFonts w:eastAsia="Palatino Linotype" w:cs="Palatino Linotype"/>
          <w:bCs/>
          <w:color w:val="000000"/>
        </w:rPr>
        <w:t>, por medio del cual refirió que</w:t>
      </w:r>
      <w:r w:rsidR="00F528F0">
        <w:rPr>
          <w:rFonts w:eastAsia="Palatino Linotype" w:cs="Palatino Linotype"/>
          <w:bCs/>
          <w:color w:val="000000"/>
        </w:rPr>
        <w:t xml:space="preserve">, </w:t>
      </w:r>
      <w:r w:rsidR="001836A7">
        <w:rPr>
          <w:rFonts w:eastAsia="Palatino Linotype" w:cs="Palatino Linotype"/>
          <w:bCs/>
          <w:color w:val="000000"/>
        </w:rPr>
        <w:t xml:space="preserve">en </w:t>
      </w:r>
      <w:r w:rsidR="00A76400" w:rsidRPr="00A76400">
        <w:rPr>
          <w:rFonts w:eastAsia="Palatino Linotype" w:cs="Palatino Linotype"/>
          <w:bCs/>
          <w:color w:val="000000"/>
        </w:rPr>
        <w:t xml:space="preserve">respuesta al punto 1 del recurso de revisión, </w:t>
      </w:r>
      <w:r w:rsidR="00A76400">
        <w:rPr>
          <w:rFonts w:eastAsia="Palatino Linotype" w:cs="Palatino Linotype"/>
          <w:bCs/>
          <w:color w:val="000000"/>
        </w:rPr>
        <w:t xml:space="preserve">esa </w:t>
      </w:r>
      <w:r w:rsidR="00A76400" w:rsidRPr="00A76400">
        <w:rPr>
          <w:rFonts w:eastAsia="Palatino Linotype" w:cs="Palatino Linotype"/>
          <w:bCs/>
          <w:color w:val="000000"/>
        </w:rPr>
        <w:t>Dirección carece de dicho documento por lo cual se anexó a la solicitud el horario de cursos del profesor del periodo 2024 que se encuentra en el Sistema Integral de Control y Desempeño Escolar (SICDE) ya que en la solicitud tampoco se especificaba el periodo</w:t>
      </w:r>
      <w:r w:rsidR="00A76400">
        <w:rPr>
          <w:rFonts w:eastAsia="Palatino Linotype" w:cs="Palatino Linotype"/>
          <w:bCs/>
          <w:color w:val="000000"/>
        </w:rPr>
        <w:t>; además de que</w:t>
      </w:r>
      <w:r w:rsidR="00A76400" w:rsidRPr="00A76400">
        <w:rPr>
          <w:rFonts w:eastAsia="Palatino Linotype" w:cs="Palatino Linotype"/>
          <w:bCs/>
          <w:color w:val="000000"/>
        </w:rPr>
        <w:t xml:space="preserve"> no se dio contestación si es profesor por asignatura, definitividad o tiempo completo porque no </w:t>
      </w:r>
      <w:r w:rsidR="00A76400">
        <w:rPr>
          <w:rFonts w:eastAsia="Palatino Linotype" w:cs="Palatino Linotype"/>
          <w:bCs/>
          <w:color w:val="000000"/>
        </w:rPr>
        <w:t>fue solicitado</w:t>
      </w:r>
      <w:r w:rsidR="009B5FDD">
        <w:rPr>
          <w:rFonts w:eastAsia="Palatino Linotype" w:cs="Palatino Linotype"/>
          <w:bCs/>
          <w:color w:val="000000"/>
        </w:rPr>
        <w:t>. E</w:t>
      </w:r>
      <w:r w:rsidR="00A76400" w:rsidRPr="00A76400">
        <w:rPr>
          <w:rFonts w:eastAsia="Palatino Linotype" w:cs="Palatino Linotype"/>
          <w:bCs/>
          <w:color w:val="000000"/>
        </w:rPr>
        <w:t>n cuanto a las demás razones o motivos de la inconformidad</w:t>
      </w:r>
      <w:r w:rsidR="009B5FDD">
        <w:rPr>
          <w:rFonts w:eastAsia="Palatino Linotype" w:cs="Palatino Linotype"/>
          <w:bCs/>
          <w:color w:val="000000"/>
        </w:rPr>
        <w:t>,</w:t>
      </w:r>
      <w:r w:rsidR="00A76400" w:rsidRPr="00A76400">
        <w:rPr>
          <w:rFonts w:eastAsia="Palatino Linotype" w:cs="Palatino Linotype"/>
          <w:bCs/>
          <w:color w:val="000000"/>
        </w:rPr>
        <w:t xml:space="preserve"> la Dirección a </w:t>
      </w:r>
      <w:r w:rsidR="009B5FDD">
        <w:rPr>
          <w:rFonts w:eastAsia="Palatino Linotype" w:cs="Palatino Linotype"/>
          <w:bCs/>
          <w:color w:val="000000"/>
        </w:rPr>
        <w:t>su</w:t>
      </w:r>
      <w:r w:rsidR="00A76400" w:rsidRPr="00A76400">
        <w:rPr>
          <w:rFonts w:eastAsia="Palatino Linotype" w:cs="Palatino Linotype"/>
          <w:bCs/>
          <w:color w:val="000000"/>
        </w:rPr>
        <w:t xml:space="preserve"> cargo no cuenta con los elementos para dar contestación.</w:t>
      </w:r>
    </w:p>
    <w:p w14:paraId="5AD5CCBB" w14:textId="266C6272" w:rsidR="001C5086" w:rsidRDefault="00874E21" w:rsidP="001C5086">
      <w:pPr>
        <w:pStyle w:val="Prrafodelista"/>
        <w:numPr>
          <w:ilvl w:val="0"/>
          <w:numId w:val="22"/>
        </w:numPr>
        <w:rPr>
          <w:rFonts w:eastAsia="Palatino Linotype" w:cs="Palatino Linotype"/>
          <w:bCs/>
          <w:color w:val="000000"/>
        </w:rPr>
      </w:pPr>
      <w:r>
        <w:rPr>
          <w:rFonts w:eastAsia="Palatino Linotype" w:cs="Palatino Linotype"/>
          <w:bCs/>
          <w:color w:val="000000"/>
        </w:rPr>
        <w:t xml:space="preserve">Oficio OIC/SPH/208/2024 signado por </w:t>
      </w:r>
      <w:r w:rsidR="00D20E94">
        <w:rPr>
          <w:rFonts w:eastAsia="Palatino Linotype" w:cs="Palatino Linotype"/>
          <w:bCs/>
          <w:color w:val="000000"/>
        </w:rPr>
        <w:t xml:space="preserve">la </w:t>
      </w:r>
      <w:r w:rsidR="00BE5780">
        <w:rPr>
          <w:rFonts w:eastAsia="Palatino Linotype" w:cs="Palatino Linotype"/>
          <w:bCs/>
          <w:color w:val="000000"/>
        </w:rPr>
        <w:t xml:space="preserve">servidora pública habilitada del Órgano Interno de Control, </w:t>
      </w:r>
      <w:r w:rsidR="00FC5652">
        <w:rPr>
          <w:rFonts w:eastAsia="Palatino Linotype" w:cs="Palatino Linotype"/>
          <w:bCs/>
          <w:color w:val="000000"/>
        </w:rPr>
        <w:t>con el que se informó que, en vía de colaboración, se remite el nombramiento</w:t>
      </w:r>
      <w:r w:rsidR="00E82C1D">
        <w:rPr>
          <w:rFonts w:eastAsia="Palatino Linotype" w:cs="Palatino Linotype"/>
          <w:bCs/>
          <w:color w:val="000000"/>
        </w:rPr>
        <w:t xml:space="preserve"> que acredita a la persona referida en la solicitud como Profesor de Asignatura.</w:t>
      </w:r>
    </w:p>
    <w:p w14:paraId="2E7412E1" w14:textId="765C9241" w:rsidR="00E82C1D" w:rsidRDefault="00E82C1D" w:rsidP="001C5086">
      <w:pPr>
        <w:pStyle w:val="Prrafodelista"/>
        <w:numPr>
          <w:ilvl w:val="0"/>
          <w:numId w:val="22"/>
        </w:numPr>
        <w:rPr>
          <w:rFonts w:eastAsia="Palatino Linotype" w:cs="Palatino Linotype"/>
          <w:bCs/>
          <w:color w:val="000000"/>
        </w:rPr>
      </w:pPr>
      <w:r>
        <w:rPr>
          <w:rFonts w:eastAsia="Palatino Linotype" w:cs="Palatino Linotype"/>
          <w:bCs/>
          <w:color w:val="000000"/>
        </w:rPr>
        <w:t xml:space="preserve">Nombramiento otorgado al C. Victorino Barrios Dávalos como Profesor de Asignatura de fecha </w:t>
      </w:r>
      <w:r w:rsidR="00CC618D">
        <w:rPr>
          <w:rFonts w:eastAsia="Palatino Linotype" w:cs="Palatino Linotype"/>
          <w:bCs/>
          <w:color w:val="000000"/>
        </w:rPr>
        <w:t>veinte de marzo de dos mil catorce.</w:t>
      </w:r>
    </w:p>
    <w:p w14:paraId="036ED749" w14:textId="5E2DC7A6" w:rsidR="00CC618D" w:rsidRDefault="00CC618D" w:rsidP="001C5086">
      <w:pPr>
        <w:pStyle w:val="Prrafodelista"/>
        <w:numPr>
          <w:ilvl w:val="0"/>
          <w:numId w:val="22"/>
        </w:numPr>
        <w:rPr>
          <w:rFonts w:eastAsia="Palatino Linotype" w:cs="Palatino Linotype"/>
          <w:bCs/>
          <w:color w:val="000000"/>
        </w:rPr>
      </w:pPr>
      <w:r>
        <w:rPr>
          <w:rFonts w:eastAsia="Palatino Linotype" w:cs="Palatino Linotype"/>
          <w:bCs/>
          <w:color w:val="000000"/>
        </w:rPr>
        <w:t>Oficio DRH/</w:t>
      </w:r>
      <w:r w:rsidR="009E2F3C">
        <w:rPr>
          <w:rFonts w:eastAsia="Palatino Linotype" w:cs="Palatino Linotype"/>
          <w:bCs/>
          <w:color w:val="000000"/>
        </w:rPr>
        <w:t>REL/NÚM.1967/2024 emitido por la Directora de Recursos Humanos</w:t>
      </w:r>
      <w:r w:rsidR="005C324F">
        <w:rPr>
          <w:rFonts w:eastAsia="Palatino Linotype" w:cs="Palatino Linotype"/>
          <w:bCs/>
          <w:color w:val="000000"/>
        </w:rPr>
        <w:t>, quien informó que esa Dirección no emite los nombramientos del personal de la Institución.</w:t>
      </w:r>
    </w:p>
    <w:p w14:paraId="20F52E55" w14:textId="18269B40" w:rsidR="000E39FA" w:rsidRPr="001C5086" w:rsidRDefault="000E39FA" w:rsidP="001C5086">
      <w:pPr>
        <w:pStyle w:val="Prrafodelista"/>
        <w:numPr>
          <w:ilvl w:val="0"/>
          <w:numId w:val="22"/>
        </w:numPr>
        <w:rPr>
          <w:rFonts w:eastAsia="Palatino Linotype" w:cs="Palatino Linotype"/>
          <w:bCs/>
          <w:color w:val="000000"/>
        </w:rPr>
      </w:pPr>
      <w:r>
        <w:rPr>
          <w:rFonts w:eastAsia="Palatino Linotype" w:cs="Palatino Linotype"/>
          <w:bCs/>
          <w:color w:val="000000"/>
        </w:rPr>
        <w:t>Decreto número 185</w:t>
      </w:r>
      <w:r w:rsidR="0008778A">
        <w:rPr>
          <w:rFonts w:eastAsia="Palatino Linotype" w:cs="Palatino Linotype"/>
          <w:bCs/>
          <w:color w:val="000000"/>
        </w:rPr>
        <w:t xml:space="preserve"> </w:t>
      </w:r>
      <w:r w:rsidR="00356D66">
        <w:rPr>
          <w:rFonts w:eastAsia="Palatino Linotype" w:cs="Palatino Linotype"/>
          <w:bCs/>
          <w:color w:val="000000"/>
        </w:rPr>
        <w:t xml:space="preserve">publicado en el Periódico Oficial Gaceta del Gobierno el diez de septiembre de dos mil veinte, </w:t>
      </w:r>
      <w:r w:rsidR="0008778A">
        <w:rPr>
          <w:rFonts w:eastAsia="Palatino Linotype" w:cs="Palatino Linotype"/>
          <w:bCs/>
          <w:color w:val="000000"/>
        </w:rPr>
        <w:t xml:space="preserve">mediante el cual </w:t>
      </w:r>
      <w:r w:rsidR="00356D66">
        <w:rPr>
          <w:rFonts w:eastAsia="Palatino Linotype" w:cs="Palatino Linotype"/>
          <w:bCs/>
          <w:color w:val="000000"/>
        </w:rPr>
        <w:t>la LX Legislatura del Estado de México</w:t>
      </w:r>
      <w:r w:rsidR="0008778A">
        <w:rPr>
          <w:rFonts w:eastAsia="Palatino Linotype" w:cs="Palatino Linotype"/>
          <w:bCs/>
          <w:color w:val="000000"/>
        </w:rPr>
        <w:t xml:space="preserve"> designó Titular del Órgano Interno de Control de la Universidad Autónoma del Estado de México </w:t>
      </w:r>
      <w:r w:rsidR="00356D66">
        <w:rPr>
          <w:rFonts w:eastAsia="Palatino Linotype" w:cs="Palatino Linotype"/>
          <w:bCs/>
          <w:color w:val="000000"/>
        </w:rPr>
        <w:t>por un periodo de cuatro años al C. Victorino Barrios Dávalos.</w:t>
      </w:r>
    </w:p>
    <w:p w14:paraId="3160B941" w14:textId="77777777" w:rsidR="00E64613" w:rsidRDefault="00E64613" w:rsidP="00BD1211">
      <w:pPr>
        <w:rPr>
          <w:lang w:val="es-ES"/>
        </w:rPr>
      </w:pPr>
    </w:p>
    <w:p w14:paraId="54CE0537" w14:textId="15C21B4F" w:rsidR="006B7A23" w:rsidRDefault="006B7A23" w:rsidP="008F50E6">
      <w:r>
        <w:t xml:space="preserve">Por su parte, el Recurrente </w:t>
      </w:r>
      <w:r w:rsidR="00F9161F">
        <w:t>no emitió manifestaciones</w:t>
      </w:r>
      <w:r w:rsidR="005C7EF5">
        <w:t>, vertió alegatos ni presentó pruebas que a su derecho convinieran</w:t>
      </w:r>
      <w:r w:rsidR="00F503FC">
        <w:t>; así como tampoco se pronunció respecto del Informe Justificado rendido por el Sujeto Obligado.</w:t>
      </w:r>
    </w:p>
    <w:p w14:paraId="7EAAFFE5" w14:textId="77777777" w:rsidR="006B7A23" w:rsidRDefault="006B7A23"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6922F5">
        <w:t>A.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00FFD767"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58AECB9" w:rsidR="00C82268" w:rsidRPr="006922F5" w:rsidRDefault="0052655F" w:rsidP="006922F5">
      <w:pPr>
        <w:pStyle w:val="Fundamentos"/>
      </w:pPr>
      <w:r>
        <w:t>[…]</w:t>
      </w:r>
    </w:p>
    <w:p w14:paraId="79FD530B" w14:textId="2CC24757" w:rsidR="00C82268" w:rsidRPr="006922F5" w:rsidRDefault="00BA7C85" w:rsidP="006922F5">
      <w:pPr>
        <w:pStyle w:val="Fundamentos"/>
      </w:pPr>
      <w:r>
        <w:rPr>
          <w:b/>
          <w:bCs/>
        </w:rPr>
        <w:t>V</w:t>
      </w:r>
      <w:r w:rsidR="00C82268" w:rsidRPr="006922F5">
        <w:rPr>
          <w:b/>
          <w:bCs/>
        </w:rPr>
        <w:t>.</w:t>
      </w:r>
      <w:r>
        <w:rPr>
          <w:b/>
          <w:bCs/>
        </w:rPr>
        <w:t xml:space="preserve"> </w:t>
      </w:r>
      <w:r>
        <w:t>Los</w:t>
      </w:r>
      <w:r w:rsidR="001530E5" w:rsidRPr="006922F5">
        <w:t xml:space="preserve"> </w:t>
      </w:r>
      <w:r w:rsidR="00881FA8" w:rsidRPr="00881FA8">
        <w:t>órganos autónomos</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03B328E3" w14:textId="61536F5D" w:rsidR="006B7A23" w:rsidRDefault="006B7A23" w:rsidP="00177F85">
      <w:r>
        <w:t xml:space="preserve">Asimismo, </w:t>
      </w:r>
      <w:r w:rsidR="00881FA8">
        <w:t>de acuerdo con</w:t>
      </w:r>
      <w:r>
        <w:t xml:space="preserve"> las razones o motivos de inconformidad expresadas por el Recurrente en el sentido de que</w:t>
      </w:r>
      <w:r w:rsidR="00FB664A">
        <w:t xml:space="preserve"> la información proporcionada </w:t>
      </w:r>
      <w:r w:rsidR="00830FBF">
        <w:t xml:space="preserve">no acredita lo </w:t>
      </w:r>
      <w:r>
        <w:t>solicitad</w:t>
      </w:r>
      <w:r w:rsidR="00830FBF">
        <w:t>o</w:t>
      </w:r>
      <w:r>
        <w:t xml:space="preserve">, se estima que se actualizó la hipótesis prevista en el artículo 179 fracción </w:t>
      </w:r>
      <w:r w:rsidR="006E762A">
        <w:t>V</w:t>
      </w:r>
      <w:r w:rsidR="000B117C">
        <w:t>I</w:t>
      </w:r>
      <w:r>
        <w:t xml:space="preserve"> de la Ley de la materia en el que se establece lo siguiente:</w:t>
      </w:r>
    </w:p>
    <w:p w14:paraId="6AEA1077" w14:textId="77777777" w:rsidR="006B7A23" w:rsidRDefault="006B7A23" w:rsidP="00177F85"/>
    <w:p w14:paraId="54F8CB31" w14:textId="77777777" w:rsidR="006B7A23" w:rsidRDefault="006B7A23" w:rsidP="007F7871">
      <w:pPr>
        <w:pStyle w:val="Fundamentos"/>
      </w:pPr>
      <w:r w:rsidRPr="006B7A23">
        <w:rPr>
          <w:b/>
        </w:rPr>
        <w:t>Artículo 179.</w:t>
      </w:r>
      <w:r>
        <w:t xml:space="preserve"> El recurso de revisión es un medio de protección que la Ley otorga a los particulares, para hacer valer su derecho de acceso a la información pública, y procederá en contra de las siguientes causas:</w:t>
      </w:r>
    </w:p>
    <w:p w14:paraId="6798053E" w14:textId="65C289DA" w:rsidR="006B7A23" w:rsidRDefault="006E762A" w:rsidP="007F7871">
      <w:pPr>
        <w:pStyle w:val="Fundamentos"/>
      </w:pPr>
      <w:r>
        <w:t>[…]</w:t>
      </w:r>
    </w:p>
    <w:p w14:paraId="4E0E11AF" w14:textId="49635737" w:rsidR="006B7A23" w:rsidRDefault="007C26FB" w:rsidP="00303EE7">
      <w:pPr>
        <w:pStyle w:val="Fundamentos"/>
      </w:pPr>
      <w:r>
        <w:rPr>
          <w:b/>
          <w:bCs/>
        </w:rPr>
        <w:t>V</w:t>
      </w:r>
      <w:r w:rsidR="000B117C">
        <w:rPr>
          <w:b/>
          <w:bCs/>
        </w:rPr>
        <w:t>I</w:t>
      </w:r>
      <w:r w:rsidR="00303EE7" w:rsidRPr="00303EE7">
        <w:rPr>
          <w:b/>
          <w:bCs/>
        </w:rPr>
        <w:t>.</w:t>
      </w:r>
      <w:r w:rsidR="00303EE7">
        <w:t xml:space="preserve"> </w:t>
      </w:r>
      <w:r w:rsidR="006B7A23">
        <w:t xml:space="preserve">La </w:t>
      </w:r>
      <w:r w:rsidRPr="007C26FB">
        <w:t>entrega de información que no corresponda con lo solicitado</w:t>
      </w:r>
      <w:r w:rsidR="006B7A23">
        <w:t>;</w:t>
      </w:r>
    </w:p>
    <w:p w14:paraId="308699D2" w14:textId="29AD32BD" w:rsidR="006B7A23" w:rsidRDefault="006B7A23" w:rsidP="007F7871">
      <w:pPr>
        <w:pStyle w:val="Fundamentos"/>
      </w:pPr>
      <w:r>
        <w:t>[…]</w:t>
      </w:r>
    </w:p>
    <w:p w14:paraId="36C7D90B" w14:textId="77777777" w:rsidR="006B7A23" w:rsidRDefault="006B7A23" w:rsidP="00177F85"/>
    <w:p w14:paraId="052BE512" w14:textId="6859148C" w:rsidR="006D4B41" w:rsidRDefault="00A970D5" w:rsidP="00A729B0">
      <w:pPr>
        <w:rPr>
          <w:szCs w:val="24"/>
          <w:lang w:val="es-ES"/>
        </w:rPr>
      </w:pPr>
      <w:r w:rsidRPr="006922F5">
        <w:t xml:space="preserve">En segundo término, </w:t>
      </w:r>
      <w:r w:rsidR="00CD2649">
        <w:t>dado que</w:t>
      </w:r>
      <w:r w:rsidR="00041BD9">
        <w:t xml:space="preserve"> </w:t>
      </w:r>
      <w:r w:rsidR="00574907">
        <w:t xml:space="preserve">el </w:t>
      </w:r>
      <w:r w:rsidR="00A729B0" w:rsidRPr="00A729B0">
        <w:rPr>
          <w:szCs w:val="24"/>
          <w:lang w:val="es-ES"/>
        </w:rPr>
        <w:t xml:space="preserve">Recurrente </w:t>
      </w:r>
      <w:r w:rsidR="00CD2649">
        <w:rPr>
          <w:szCs w:val="24"/>
          <w:lang w:val="es-ES"/>
        </w:rPr>
        <w:t xml:space="preserve">solicitó el documento que acredite como docente </w:t>
      </w:r>
      <w:r w:rsidR="0099649F">
        <w:rPr>
          <w:szCs w:val="24"/>
          <w:lang w:val="es-ES"/>
        </w:rPr>
        <w:t>al servidor público referido</w:t>
      </w:r>
      <w:r w:rsidR="00BC74C9">
        <w:rPr>
          <w:szCs w:val="24"/>
          <w:lang w:val="es-ES"/>
        </w:rPr>
        <w:t xml:space="preserve">, a lo que el Sujeto Obligado respondió haciendo entrega </w:t>
      </w:r>
      <w:r w:rsidR="006D4B41">
        <w:rPr>
          <w:szCs w:val="24"/>
          <w:lang w:val="es-ES"/>
        </w:rPr>
        <w:t xml:space="preserve">del reporte </w:t>
      </w:r>
      <w:r w:rsidR="006D4B41" w:rsidRPr="006D4B41">
        <w:rPr>
          <w:szCs w:val="24"/>
          <w:lang w:val="es-ES"/>
        </w:rPr>
        <w:t>de horarios emitido por la Dirección de Control Escolar correspondiente al periodo de cursos Primavera 2024 relativo al profesor referido en la solicitud de información para la impartición de la materia de Teoría y Política Fiscal</w:t>
      </w:r>
      <w:r w:rsidR="006D4B41">
        <w:rPr>
          <w:szCs w:val="24"/>
          <w:lang w:val="es-ES"/>
        </w:rPr>
        <w:t>.</w:t>
      </w:r>
    </w:p>
    <w:p w14:paraId="1BB7E485" w14:textId="77777777" w:rsidR="006D4B41" w:rsidRDefault="006D4B41" w:rsidP="00A729B0">
      <w:pPr>
        <w:rPr>
          <w:szCs w:val="24"/>
          <w:lang w:val="es-ES"/>
        </w:rPr>
      </w:pPr>
    </w:p>
    <w:p w14:paraId="700F2503" w14:textId="63511C79" w:rsidR="006D4B41" w:rsidRDefault="00844F24" w:rsidP="00A729B0">
      <w:pPr>
        <w:rPr>
          <w:rFonts w:eastAsia="Palatino Linotype" w:cs="Palatino Linotype"/>
          <w:color w:val="000000" w:themeColor="text1"/>
          <w:lang w:val="es-ES"/>
        </w:rPr>
      </w:pPr>
      <w:r>
        <w:rPr>
          <w:szCs w:val="24"/>
          <w:lang w:val="es-ES"/>
        </w:rPr>
        <w:t xml:space="preserve">Así, en opinión del particular, dicho documento no acredita que el servidor público referido debido a que </w:t>
      </w:r>
      <w:r w:rsidR="001B6D73">
        <w:rPr>
          <w:szCs w:val="24"/>
          <w:lang w:val="es-ES"/>
        </w:rPr>
        <w:t xml:space="preserve">el Sujeto Obligado no acreditó </w:t>
      </w:r>
      <w:r w:rsidR="001B6D73">
        <w:rPr>
          <w:rFonts w:eastAsia="Palatino Linotype" w:cs="Palatino Linotype"/>
          <w:color w:val="000000" w:themeColor="text1"/>
          <w:lang w:val="es-ES"/>
        </w:rPr>
        <w:t>la búsqueda exhaustiva del nombramiento de hora clase, asignatura, definitividad o tiempo completo de dicho docente.</w:t>
      </w:r>
    </w:p>
    <w:p w14:paraId="531D16D7" w14:textId="77777777" w:rsidR="001B6D73" w:rsidRDefault="001B6D73" w:rsidP="00A729B0">
      <w:pPr>
        <w:rPr>
          <w:rFonts w:eastAsia="Palatino Linotype" w:cs="Palatino Linotype"/>
          <w:color w:val="000000" w:themeColor="text1"/>
          <w:lang w:val="es-ES"/>
        </w:rPr>
      </w:pPr>
    </w:p>
    <w:p w14:paraId="4EC6189F" w14:textId="5593BCAB" w:rsidR="001B6D73" w:rsidRDefault="001B6D73" w:rsidP="00A729B0">
      <w:pPr>
        <w:rPr>
          <w:rFonts w:eastAsia="Palatino Linotype" w:cs="Palatino Linotype"/>
          <w:color w:val="000000" w:themeColor="text1"/>
          <w:lang w:val="es-ES"/>
        </w:rPr>
      </w:pPr>
      <w:r>
        <w:rPr>
          <w:rFonts w:eastAsia="Palatino Linotype" w:cs="Palatino Linotype"/>
          <w:color w:val="000000" w:themeColor="text1"/>
          <w:lang w:val="es-ES"/>
        </w:rPr>
        <w:t xml:space="preserve">Cabe señalar que el Recurrente no </w:t>
      </w:r>
      <w:r w:rsidR="00E729AE">
        <w:rPr>
          <w:rFonts w:eastAsia="Palatino Linotype" w:cs="Palatino Linotype"/>
          <w:color w:val="000000" w:themeColor="text1"/>
          <w:lang w:val="es-ES"/>
        </w:rPr>
        <w:t xml:space="preserve">solicitó un documento que específicamente </w:t>
      </w:r>
      <w:r w:rsidR="00C0636E">
        <w:rPr>
          <w:rFonts w:eastAsia="Palatino Linotype" w:cs="Palatino Linotype"/>
          <w:color w:val="000000" w:themeColor="text1"/>
          <w:lang w:val="es-ES"/>
        </w:rPr>
        <w:t xml:space="preserve">contuviera todo lo referido </w:t>
      </w:r>
      <w:r w:rsidR="0033011A">
        <w:rPr>
          <w:rFonts w:eastAsia="Palatino Linotype" w:cs="Palatino Linotype"/>
          <w:color w:val="000000" w:themeColor="text1"/>
          <w:lang w:val="es-ES"/>
        </w:rPr>
        <w:t xml:space="preserve">en sus motivos de inconformidad, sino solo aquél que lo acreditara como docente; lo que </w:t>
      </w:r>
      <w:r w:rsidR="008B4544">
        <w:rPr>
          <w:rFonts w:eastAsia="Palatino Linotype" w:cs="Palatino Linotype"/>
          <w:color w:val="000000" w:themeColor="text1"/>
          <w:lang w:val="es-ES"/>
        </w:rPr>
        <w:t>se puede colegir al contar con el horario de la materia que tiene asignada para el periodo más actualizado a la fecha de la solicitud, es decir, el periodo de primavera 2024.</w:t>
      </w:r>
    </w:p>
    <w:p w14:paraId="38CBF36C" w14:textId="77777777" w:rsidR="008B4544" w:rsidRDefault="008B4544" w:rsidP="00A729B0">
      <w:pPr>
        <w:rPr>
          <w:rFonts w:eastAsia="Palatino Linotype" w:cs="Palatino Linotype"/>
          <w:color w:val="000000" w:themeColor="text1"/>
          <w:lang w:val="es-ES"/>
        </w:rPr>
      </w:pPr>
    </w:p>
    <w:p w14:paraId="3B105F5C" w14:textId="099795CF" w:rsidR="008B4544" w:rsidRDefault="008B4544" w:rsidP="00A729B0">
      <w:pPr>
        <w:rPr>
          <w:rFonts w:eastAsia="Palatino Linotype" w:cs="Palatino Linotype"/>
          <w:color w:val="000000" w:themeColor="text1"/>
          <w:lang w:val="es-ES"/>
        </w:rPr>
      </w:pPr>
      <w:r>
        <w:rPr>
          <w:rFonts w:eastAsia="Palatino Linotype" w:cs="Palatino Linotype"/>
          <w:color w:val="000000" w:themeColor="text1"/>
          <w:lang w:val="es-ES"/>
        </w:rPr>
        <w:t xml:space="preserve">No obstante, </w:t>
      </w:r>
      <w:r w:rsidR="00AD06A0">
        <w:rPr>
          <w:rFonts w:eastAsia="Palatino Linotype" w:cs="Palatino Linotype"/>
          <w:color w:val="000000" w:themeColor="text1"/>
          <w:lang w:val="es-ES"/>
        </w:rPr>
        <w:t xml:space="preserve">el particular impugnó la respuesta, por lo que en su Informe Justificado el Sujeto Obligado remitió el nombramiento </w:t>
      </w:r>
      <w:r w:rsidR="00487A64">
        <w:rPr>
          <w:rFonts w:eastAsia="Palatino Linotype" w:cs="Palatino Linotype"/>
          <w:color w:val="000000" w:themeColor="text1"/>
          <w:lang w:val="es-ES"/>
        </w:rPr>
        <w:t xml:space="preserve">del servidor público como Profesor de Asignatura emitido el veinte de marzo de dos mil catorce, con el que se acredita </w:t>
      </w:r>
      <w:r w:rsidR="007E7DB9">
        <w:rPr>
          <w:rFonts w:eastAsia="Palatino Linotype" w:cs="Palatino Linotype"/>
          <w:color w:val="000000" w:themeColor="text1"/>
          <w:lang w:val="es-ES"/>
        </w:rPr>
        <w:t xml:space="preserve">fehacientemente que </w:t>
      </w:r>
      <w:r w:rsidR="00D24BCD">
        <w:rPr>
          <w:rFonts w:eastAsia="Palatino Linotype" w:cs="Palatino Linotype"/>
          <w:color w:val="000000" w:themeColor="text1"/>
          <w:lang w:val="es-ES"/>
        </w:rPr>
        <w:t>es docente de la Institución.</w:t>
      </w:r>
    </w:p>
    <w:p w14:paraId="16713016" w14:textId="77777777" w:rsidR="00D24BCD" w:rsidRDefault="00D24BCD" w:rsidP="00A729B0">
      <w:pPr>
        <w:rPr>
          <w:rFonts w:eastAsia="Palatino Linotype" w:cs="Palatino Linotype"/>
          <w:color w:val="000000" w:themeColor="text1"/>
          <w:lang w:val="es-ES"/>
        </w:rPr>
      </w:pPr>
    </w:p>
    <w:p w14:paraId="2EB3AD80" w14:textId="77777777" w:rsidR="00DE3D35" w:rsidRDefault="00D24BCD" w:rsidP="00DE3D35">
      <w:pPr>
        <w:rPr>
          <w:rFonts w:eastAsia="Times New Roman" w:cs="Times New Roman"/>
          <w:color w:val="000000"/>
        </w:rPr>
      </w:pPr>
      <w:r>
        <w:rPr>
          <w:rFonts w:eastAsia="Palatino Linotype" w:cs="Palatino Linotype"/>
          <w:color w:val="000000" w:themeColor="text1"/>
          <w:lang w:val="es-ES"/>
        </w:rPr>
        <w:t xml:space="preserve">Cabe señalar que el nombramiento es </w:t>
      </w:r>
      <w:r w:rsidR="00DE3D35">
        <w:rPr>
          <w:rFonts w:eastAsia="Times New Roman" w:cs="Times New Roman"/>
          <w:color w:val="000000"/>
        </w:rPr>
        <w:t>es el documento idóneo para demostrar la relación de trabajo entre las instituciones públicas y sus servidores públicos, tal como se establece en el artículo 5 de la Ley del Trabajo de los Servidores Públicos del Estado y Municipios.</w:t>
      </w:r>
    </w:p>
    <w:p w14:paraId="7160D59C" w14:textId="77777777" w:rsidR="00BC6A7F" w:rsidRDefault="00BC6A7F" w:rsidP="00DE3D35">
      <w:pPr>
        <w:rPr>
          <w:rFonts w:eastAsia="Times New Roman" w:cs="Times New Roman"/>
          <w:color w:val="000000"/>
        </w:rPr>
      </w:pPr>
    </w:p>
    <w:p w14:paraId="0B193928" w14:textId="77777777" w:rsidR="00C47B50" w:rsidRPr="007879D9" w:rsidRDefault="00BC6A7F" w:rsidP="00C47B50">
      <w:pPr>
        <w:pBdr>
          <w:top w:val="nil"/>
          <w:left w:val="nil"/>
          <w:bottom w:val="nil"/>
          <w:right w:val="nil"/>
          <w:between w:val="nil"/>
        </w:pBdr>
        <w:contextualSpacing/>
        <w:rPr>
          <w:rFonts w:eastAsia="Palatino Linotype" w:cs="Palatino Linotype"/>
          <w:color w:val="000000"/>
        </w:rPr>
      </w:pPr>
      <w:r>
        <w:rPr>
          <w:rFonts w:eastAsia="Times New Roman" w:cs="Times New Roman"/>
          <w:color w:val="000000"/>
        </w:rPr>
        <w:t xml:space="preserve">Asimismo, </w:t>
      </w:r>
      <w:r w:rsidR="00C47B50" w:rsidRPr="007879D9">
        <w:rPr>
          <w:rFonts w:eastAsia="Palatino Linotype" w:cs="Palatino Linotype"/>
          <w:color w:val="000000"/>
        </w:rPr>
        <w:t xml:space="preserve">es de destacar que, al haber un pronunciamiento por parte del Sujeto Obligado dentro de sus atribuciones, este Instituto no está facultado para manifestarse sobre la veracidad de lo afirmado, pues no existe precepto legal alguno en la Ley de la materia que lo faculte para ello. </w:t>
      </w:r>
    </w:p>
    <w:p w14:paraId="61B25BC4" w14:textId="77777777" w:rsidR="00C47B50" w:rsidRPr="007879D9" w:rsidRDefault="00C47B50" w:rsidP="00C47B50">
      <w:pPr>
        <w:pBdr>
          <w:top w:val="nil"/>
          <w:left w:val="nil"/>
          <w:bottom w:val="nil"/>
          <w:right w:val="nil"/>
          <w:between w:val="nil"/>
        </w:pBdr>
        <w:contextualSpacing/>
        <w:rPr>
          <w:rFonts w:eastAsia="Palatino Linotype" w:cs="Palatino Linotype"/>
          <w:color w:val="000000"/>
        </w:rPr>
      </w:pPr>
    </w:p>
    <w:p w14:paraId="12775CCD" w14:textId="77777777" w:rsidR="00C47B50" w:rsidRPr="007879D9" w:rsidRDefault="00C47B50" w:rsidP="00C47B50">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Lo anterior se robustece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w:t>
      </w:r>
    </w:p>
    <w:p w14:paraId="082FDBD9" w14:textId="77777777" w:rsidR="00C47B50" w:rsidRPr="007879D9" w:rsidRDefault="00C47B50" w:rsidP="00C47B50">
      <w:pPr>
        <w:pBdr>
          <w:top w:val="nil"/>
          <w:left w:val="nil"/>
          <w:bottom w:val="nil"/>
          <w:right w:val="nil"/>
          <w:between w:val="nil"/>
        </w:pBdr>
        <w:contextualSpacing/>
        <w:rPr>
          <w:rFonts w:eastAsia="Palatino Linotype" w:cs="Palatino Linotype"/>
          <w:color w:val="000000"/>
        </w:rPr>
      </w:pPr>
    </w:p>
    <w:p w14:paraId="2F11D03A" w14:textId="77777777" w:rsidR="00C47B50" w:rsidRPr="007879D9" w:rsidRDefault="00C47B50" w:rsidP="00C47B50">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2CE7142E">
        <w:rPr>
          <w:rFonts w:eastAsia="Palatino Linotype"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2CE7142E">
        <w:rPr>
          <w:rFonts w:eastAsia="Palatino Linotype"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96E03FB" w14:textId="77777777" w:rsidR="00C47B50" w:rsidRDefault="00C47B50" w:rsidP="00C47B50"/>
    <w:p w14:paraId="06484436" w14:textId="2457EB48" w:rsidR="00F16E57" w:rsidRDefault="006E380C" w:rsidP="008A700E">
      <w:pPr>
        <w:rPr>
          <w:bCs/>
        </w:rPr>
      </w:pPr>
      <w:r>
        <w:rPr>
          <w:bCs/>
        </w:rPr>
        <w:t xml:space="preserve">Así, en virtud de que </w:t>
      </w:r>
      <w:r w:rsidR="00C47B50">
        <w:rPr>
          <w:bCs/>
        </w:rPr>
        <w:t xml:space="preserve">el nombramiento remitido </w:t>
      </w:r>
      <w:r>
        <w:rPr>
          <w:bCs/>
        </w:rPr>
        <w:t xml:space="preserve">por el Sujeto Obligado </w:t>
      </w:r>
      <w:r w:rsidR="003E494F">
        <w:rPr>
          <w:bCs/>
        </w:rPr>
        <w:t xml:space="preserve">en su Informe Justificado </w:t>
      </w:r>
      <w:r w:rsidR="00C47B50">
        <w:rPr>
          <w:bCs/>
        </w:rPr>
        <w:t xml:space="preserve">es el documento idóneo para acreditar </w:t>
      </w:r>
      <w:r w:rsidR="00E06ECF">
        <w:rPr>
          <w:bCs/>
        </w:rPr>
        <w:t>el</w:t>
      </w:r>
      <w:r w:rsidR="00C47B50">
        <w:rPr>
          <w:bCs/>
        </w:rPr>
        <w:t xml:space="preserve"> </w:t>
      </w:r>
      <w:r w:rsidR="00E06ECF">
        <w:rPr>
          <w:bCs/>
        </w:rPr>
        <w:t xml:space="preserve">cargo como Profesor de Asignatura de la persona referida en la solicitud, </w:t>
      </w:r>
      <w:r w:rsidR="00E12997">
        <w:rPr>
          <w:bCs/>
        </w:rPr>
        <w:t>se estima que</w:t>
      </w:r>
      <w:r w:rsidR="00FE6010">
        <w:rPr>
          <w:bCs/>
        </w:rPr>
        <w:t>,</w:t>
      </w:r>
      <w:r w:rsidR="00E12997">
        <w:rPr>
          <w:bCs/>
        </w:rPr>
        <w:t xml:space="preserve"> con la modificación a la respuesta</w:t>
      </w:r>
      <w:r w:rsidR="003E494F">
        <w:rPr>
          <w:bCs/>
        </w:rPr>
        <w:t>,</w:t>
      </w:r>
      <w:r w:rsidR="00E12997">
        <w:rPr>
          <w:bCs/>
        </w:rPr>
        <w:t xml:space="preserve"> </w:t>
      </w:r>
      <w:r w:rsidR="008F69A1">
        <w:rPr>
          <w:bCs/>
        </w:rPr>
        <w:t>la pretensión del Recurrente se encuentra colmada</w:t>
      </w:r>
      <w:r w:rsidR="003E494F">
        <w:rPr>
          <w:bCs/>
        </w:rPr>
        <w:t xml:space="preserve"> a plenitud</w:t>
      </w:r>
      <w:r w:rsidR="008F69A1">
        <w:rPr>
          <w:bCs/>
        </w:rPr>
        <w:t>.</w:t>
      </w:r>
    </w:p>
    <w:p w14:paraId="03C5456E" w14:textId="77777777" w:rsidR="008F69A1" w:rsidRDefault="008F69A1" w:rsidP="008A700E">
      <w:pPr>
        <w:rPr>
          <w:bCs/>
        </w:rPr>
      </w:pPr>
    </w:p>
    <w:p w14:paraId="7334B37E" w14:textId="3B3E2AE5" w:rsidR="001748CB" w:rsidRPr="00C82353" w:rsidRDefault="001748CB" w:rsidP="001748CB">
      <w:pPr>
        <w:rPr>
          <w:rFonts w:eastAsiaTheme="minorHAnsi" w:cstheme="minorBidi"/>
          <w:szCs w:val="24"/>
          <w:lang w:eastAsia="en-US"/>
        </w:rPr>
      </w:pPr>
      <w:r w:rsidRPr="00C82353">
        <w:rPr>
          <w:rFonts w:eastAsiaTheme="minorHAnsi" w:cstheme="minorBidi"/>
          <w:szCs w:val="24"/>
          <w:lang w:eastAsia="en-US"/>
        </w:rPr>
        <w:t>En conclusión, toda vez que el Sujeto Obligado modificó la respuesta otorgada a la solicitud de información</w:t>
      </w:r>
      <w:r w:rsidRPr="003E494F">
        <w:rPr>
          <w:rFonts w:eastAsia="Palatino Linotype" w:cs="Palatino Linotype"/>
          <w:color w:val="000000"/>
          <w:szCs w:val="24"/>
        </w:rPr>
        <w:t xml:space="preserve"> </w:t>
      </w:r>
      <w:r w:rsidR="00467FE9">
        <w:rPr>
          <w:rFonts w:eastAsia="Palatino Linotype" w:cs="Palatino Linotype"/>
          <w:b/>
          <w:bCs/>
          <w:color w:val="000000"/>
          <w:szCs w:val="24"/>
        </w:rPr>
        <w:t>00412/UAEM/IP/2024</w:t>
      </w:r>
      <w:r>
        <w:rPr>
          <w:rFonts w:eastAsia="Palatino Linotype" w:cs="Palatino Linotype"/>
          <w:color w:val="000000"/>
          <w:szCs w:val="24"/>
        </w:rPr>
        <w:t xml:space="preserve">, 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y Acceso a la Información Pública del Estado de México y Municipio, que a la letra establece:</w:t>
      </w:r>
    </w:p>
    <w:p w14:paraId="47D6DF03" w14:textId="77777777" w:rsidR="001748CB" w:rsidRPr="00FA7847" w:rsidRDefault="001748CB" w:rsidP="001748CB">
      <w:pPr>
        <w:rPr>
          <w:rFonts w:eastAsiaTheme="minorHAnsi" w:cstheme="minorBidi"/>
          <w:sz w:val="21"/>
          <w:szCs w:val="21"/>
          <w:lang w:eastAsia="en-US"/>
        </w:rPr>
      </w:pPr>
    </w:p>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2ACB6D84" w14:textId="77777777" w:rsidR="001748CB" w:rsidRPr="00C82353" w:rsidRDefault="001748CB" w:rsidP="001748CB">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593534B9"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693479E4" w14:textId="77777777" w:rsidR="001748CB" w:rsidRPr="00FA7847" w:rsidRDefault="001748CB" w:rsidP="001748CB">
      <w:pPr>
        <w:rPr>
          <w:rFonts w:eastAsiaTheme="minorHAnsi" w:cstheme="minorBidi"/>
          <w:sz w:val="21"/>
          <w:szCs w:val="21"/>
          <w:lang w:eastAsia="en-US"/>
        </w:rPr>
      </w:pPr>
    </w:p>
    <w:p w14:paraId="1D35141F" w14:textId="77777777" w:rsidR="001748CB" w:rsidRDefault="001748CB" w:rsidP="001748CB">
      <w:pPr>
        <w:rPr>
          <w:rFonts w:eastAsiaTheme="minorHAnsi" w:cstheme="minorBidi"/>
          <w:szCs w:val="24"/>
          <w:lang w:eastAsia="en-US"/>
        </w:rPr>
      </w:pPr>
      <w:r w:rsidRPr="00C82353">
        <w:rPr>
          <w:rFonts w:eastAsiaTheme="minorHAnsi" w:cstheme="minorBidi"/>
          <w:szCs w:val="24"/>
          <w:lang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18519925" w14:textId="77777777" w:rsidR="001748CB" w:rsidRPr="00FA7847" w:rsidRDefault="001748CB" w:rsidP="001748CB">
      <w:pPr>
        <w:rPr>
          <w:rFonts w:eastAsiaTheme="minorHAnsi" w:cstheme="minorBidi"/>
          <w:sz w:val="21"/>
          <w:szCs w:val="21"/>
          <w:lang w:eastAsia="en-US"/>
        </w:rPr>
      </w:pPr>
    </w:p>
    <w:p w14:paraId="0D6CD68B" w14:textId="77777777" w:rsidR="001748CB" w:rsidRPr="00C82353" w:rsidRDefault="001748CB" w:rsidP="001748CB">
      <w:pPr>
        <w:rPr>
          <w:rFonts w:eastAsiaTheme="minorHAnsi" w:cstheme="minorBidi"/>
          <w:szCs w:val="24"/>
          <w:lang w:eastAsia="en-US"/>
        </w:rPr>
      </w:pPr>
      <w:r w:rsidRPr="00C82353">
        <w:rPr>
          <w:rFonts w:eastAsiaTheme="minorHAnsi" w:cstheme="minorBidi"/>
          <w:szCs w:val="24"/>
          <w:lang w:eastAsia="en-US"/>
        </w:rPr>
        <w:t xml:space="preserve">Así, con fundamento en lo prescrito en los artículos 36 fracciones II y III, 186 </w:t>
      </w:r>
      <w:proofErr w:type="gramStart"/>
      <w:r w:rsidRPr="00C82353">
        <w:rPr>
          <w:rFonts w:eastAsiaTheme="minorHAnsi" w:cstheme="minorBidi"/>
          <w:szCs w:val="24"/>
          <w:lang w:eastAsia="en-US"/>
        </w:rPr>
        <w:t>fracción</w:t>
      </w:r>
      <w:proofErr w:type="gramEnd"/>
      <w:r w:rsidRPr="00C82353">
        <w:rPr>
          <w:rFonts w:eastAsiaTheme="minorHAnsi" w:cstheme="minorBidi"/>
          <w:szCs w:val="24"/>
          <w:lang w:eastAsia="en-US"/>
        </w:rPr>
        <w:t xml:space="preserve"> I y 192 fracción III de la Ley de Transparencia y Acceso a la Información Pública del Estado de México y Municipios el Pleno de este Órgano Garante:</w:t>
      </w:r>
    </w:p>
    <w:p w14:paraId="236F4B85" w14:textId="77777777" w:rsidR="001748CB" w:rsidRPr="00FA7847" w:rsidRDefault="001748CB" w:rsidP="001748CB">
      <w:pPr>
        <w:rPr>
          <w:rFonts w:eastAsiaTheme="minorHAnsi" w:cstheme="minorBidi"/>
          <w:sz w:val="21"/>
          <w:szCs w:val="21"/>
          <w:lang w:eastAsia="en-US"/>
        </w:rPr>
      </w:pPr>
    </w:p>
    <w:p w14:paraId="7FB0E98E" w14:textId="77777777" w:rsidR="001748CB" w:rsidRPr="00C82353" w:rsidRDefault="001748CB" w:rsidP="001748CB">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1485B56C"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4B7F23">
        <w:rPr>
          <w:rFonts w:eastAsiaTheme="minorHAnsi" w:cs="Arial"/>
          <w:b/>
          <w:szCs w:val="24"/>
          <w:lang w:eastAsia="en-US"/>
        </w:rPr>
        <w:t>02215/INFOEM/IP/RR/2024</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Considerando QUINT</w:t>
      </w:r>
      <w:r w:rsidRPr="00C82353">
        <w:rPr>
          <w:rFonts w:eastAsiaTheme="minorHAnsi" w:cs="Arial"/>
          <w:b/>
          <w:szCs w:val="24"/>
          <w:lang w:eastAsia="en-US"/>
        </w:rPr>
        <w: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3B232A2F" w:rsidR="001748CB" w:rsidRDefault="001748CB" w:rsidP="001748CB">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1748CB" w:rsidRDefault="00E77D38" w:rsidP="00171CF4">
      <w:pPr>
        <w:pBdr>
          <w:top w:val="nil"/>
          <w:left w:val="nil"/>
          <w:bottom w:val="nil"/>
          <w:right w:val="nil"/>
          <w:between w:val="nil"/>
        </w:pBdr>
        <w:rPr>
          <w:rFonts w:eastAsia="Palatino Linotype" w:cs="Palatino Linotype"/>
          <w:color w:val="000000"/>
          <w:szCs w:val="24"/>
          <w:lang w:val="es-ES"/>
        </w:rPr>
      </w:pPr>
    </w:p>
    <w:p w14:paraId="2898FA79" w14:textId="1682D118" w:rsidR="00FE6010" w:rsidRPr="006922F5" w:rsidRDefault="005A45B1" w:rsidP="00FE6010">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F90EFF">
        <w:rPr>
          <w:rFonts w:eastAsia="Palatino Linotype" w:cs="Palatino Linotype"/>
          <w:color w:val="000000"/>
          <w:szCs w:val="24"/>
        </w:rPr>
        <w:t>TRIGÉSIMA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90EFF">
        <w:rPr>
          <w:rFonts w:eastAsia="Palatino Linotype" w:cs="Palatino Linotype"/>
          <w:color w:val="000000"/>
          <w:szCs w:val="24"/>
        </w:rPr>
        <w:t>VEINTIOCHO DE 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6115F0">
        <w:rPr>
          <w:rFonts w:eastAsia="Palatino Linotype" w:cs="Palatino Linotype"/>
          <w:color w:val="000000"/>
          <w:szCs w:val="24"/>
        </w:rPr>
        <w:t>---------------------------------------------------------------------------</w:t>
      </w:r>
      <w:r w:rsidR="00A2751A">
        <w:rPr>
          <w:rFonts w:eastAsia="Palatino Linotype" w:cs="Palatino Linotype"/>
          <w:color w:val="000000"/>
          <w:szCs w:val="24"/>
        </w:rPr>
        <w:t>---------</w:t>
      </w:r>
      <w:r w:rsidR="006115F0">
        <w:rPr>
          <w:rFonts w:eastAsia="Palatino Linotype" w:cs="Palatino Linotype"/>
          <w:color w:val="000000"/>
          <w:szCs w:val="24"/>
        </w:rPr>
        <w:t>------</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20AF6" w14:textId="77777777" w:rsidR="00354FE3" w:rsidRDefault="00354FE3" w:rsidP="00F2498E">
      <w:pPr>
        <w:spacing w:line="240" w:lineRule="auto"/>
      </w:pPr>
      <w:r>
        <w:separator/>
      </w:r>
    </w:p>
  </w:endnote>
  <w:endnote w:type="continuationSeparator" w:id="0">
    <w:p w14:paraId="27AA243B" w14:textId="77777777" w:rsidR="00354FE3" w:rsidRDefault="00354FE3" w:rsidP="00F2498E">
      <w:pPr>
        <w:spacing w:line="240" w:lineRule="auto"/>
      </w:pPr>
      <w:r>
        <w:continuationSeparator/>
      </w:r>
    </w:p>
  </w:endnote>
  <w:endnote w:type="continuationNotice" w:id="1">
    <w:p w14:paraId="43C58A01" w14:textId="77777777" w:rsidR="00354FE3" w:rsidRDefault="00354F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4180A" w:rsidRPr="00871A91" w:rsidRDefault="0064180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497D">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497D">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4180A" w:rsidRPr="00871A91" w:rsidRDefault="0064180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497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497D">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1A5B0" w14:textId="77777777" w:rsidR="00354FE3" w:rsidRDefault="00354FE3" w:rsidP="00F2498E">
      <w:pPr>
        <w:spacing w:line="240" w:lineRule="auto"/>
      </w:pPr>
      <w:r>
        <w:separator/>
      </w:r>
    </w:p>
  </w:footnote>
  <w:footnote w:type="continuationSeparator" w:id="0">
    <w:p w14:paraId="314E1C1A" w14:textId="77777777" w:rsidR="00354FE3" w:rsidRDefault="00354FE3" w:rsidP="00F2498E">
      <w:pPr>
        <w:spacing w:line="240" w:lineRule="auto"/>
      </w:pPr>
      <w:r>
        <w:continuationSeparator/>
      </w:r>
    </w:p>
  </w:footnote>
  <w:footnote w:type="continuationNotice" w:id="1">
    <w:p w14:paraId="2ECF807D" w14:textId="77777777" w:rsidR="00354FE3" w:rsidRDefault="00354FE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4180A" w:rsidRDefault="0059497D">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180A" w:rsidRPr="00B17577" w14:paraId="37B9EBDE" w14:textId="77777777" w:rsidTr="003938ED">
      <w:trPr>
        <w:trHeight w:val="227"/>
      </w:trPr>
      <w:tc>
        <w:tcPr>
          <w:tcW w:w="5103" w:type="dxa"/>
          <w:hideMark/>
        </w:tcPr>
        <w:p w14:paraId="4964FBC5" w14:textId="54CDA645" w:rsidR="0064180A" w:rsidRPr="00096248" w:rsidRDefault="0064180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C049D90" w:rsidR="0064180A" w:rsidRPr="00096248" w:rsidRDefault="0064180A" w:rsidP="00011C4D">
          <w:pPr>
            <w:spacing w:after="120" w:line="240" w:lineRule="auto"/>
            <w:ind w:right="71"/>
            <w:jc w:val="right"/>
            <w:rPr>
              <w:rFonts w:cs="Arial"/>
              <w:b/>
              <w:szCs w:val="24"/>
            </w:rPr>
          </w:pPr>
          <w:r>
            <w:rPr>
              <w:rFonts w:cs="Arial"/>
              <w:b/>
              <w:bCs/>
              <w:szCs w:val="24"/>
            </w:rPr>
            <w:t>0</w:t>
          </w:r>
          <w:r w:rsidR="00DE0B38">
            <w:rPr>
              <w:rFonts w:cs="Arial"/>
              <w:b/>
              <w:bCs/>
              <w:szCs w:val="24"/>
            </w:rPr>
            <w:t>2215</w:t>
          </w:r>
          <w:r w:rsidRPr="00096248">
            <w:rPr>
              <w:rFonts w:cs="Arial"/>
              <w:b/>
              <w:bCs/>
              <w:szCs w:val="24"/>
            </w:rPr>
            <w:t>/INFOEM/IP/RR/202</w:t>
          </w:r>
          <w:r>
            <w:rPr>
              <w:rFonts w:cs="Arial"/>
              <w:b/>
              <w:bCs/>
              <w:szCs w:val="24"/>
            </w:rPr>
            <w:t>4</w:t>
          </w:r>
        </w:p>
      </w:tc>
    </w:tr>
    <w:tr w:rsidR="0064180A" w14:paraId="7591D3C9" w14:textId="77777777" w:rsidTr="003938ED">
      <w:trPr>
        <w:trHeight w:val="242"/>
      </w:trPr>
      <w:tc>
        <w:tcPr>
          <w:tcW w:w="5103" w:type="dxa"/>
          <w:hideMark/>
        </w:tcPr>
        <w:p w14:paraId="729A65A8" w14:textId="77777777" w:rsidR="0064180A" w:rsidRPr="00096248" w:rsidRDefault="0064180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9E776B4" w:rsidR="0064180A" w:rsidRPr="00096248" w:rsidRDefault="00DE0B38" w:rsidP="00011C4D">
          <w:pPr>
            <w:spacing w:after="120" w:line="240" w:lineRule="auto"/>
            <w:ind w:left="-81" w:right="71"/>
            <w:jc w:val="right"/>
            <w:rPr>
              <w:rFonts w:cs="Arial"/>
              <w:szCs w:val="24"/>
            </w:rPr>
          </w:pPr>
          <w:r w:rsidRPr="00DE0B38">
            <w:rPr>
              <w:rFonts w:cs="Arial"/>
              <w:szCs w:val="24"/>
            </w:rPr>
            <w:t>Universidad Autónoma del Estado de México</w:t>
          </w:r>
        </w:p>
      </w:tc>
    </w:tr>
    <w:tr w:rsidR="0064180A" w:rsidRPr="00F63239" w14:paraId="037E914D" w14:textId="77777777" w:rsidTr="003938ED">
      <w:trPr>
        <w:trHeight w:val="342"/>
      </w:trPr>
      <w:tc>
        <w:tcPr>
          <w:tcW w:w="5103" w:type="dxa"/>
          <w:hideMark/>
        </w:tcPr>
        <w:p w14:paraId="7676B68F" w14:textId="64D69EAF" w:rsidR="0064180A" w:rsidRPr="00096248" w:rsidRDefault="0064180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4180A" w:rsidRDefault="0064180A"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4180A" w:rsidRPr="00711916" w:rsidRDefault="0064180A" w:rsidP="00011C4D">
          <w:pPr>
            <w:spacing w:after="120" w:line="240" w:lineRule="auto"/>
            <w:ind w:left="-486" w:right="71" w:firstLine="567"/>
            <w:jc w:val="right"/>
            <w:rPr>
              <w:rFonts w:cs="Arial"/>
              <w:sz w:val="2"/>
              <w:szCs w:val="2"/>
            </w:rPr>
          </w:pPr>
        </w:p>
      </w:tc>
    </w:tr>
  </w:tbl>
  <w:p w14:paraId="2998DBFD" w14:textId="25A9F426" w:rsidR="0064180A" w:rsidRPr="00871A91" w:rsidRDefault="0059497D">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0.95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4180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180A" w14:paraId="0F9FE9B6" w14:textId="77777777" w:rsidTr="70652167">
      <w:trPr>
        <w:trHeight w:val="227"/>
      </w:trPr>
      <w:tc>
        <w:tcPr>
          <w:tcW w:w="5103" w:type="dxa"/>
          <w:hideMark/>
        </w:tcPr>
        <w:p w14:paraId="6D1D9D71" w14:textId="11150E5A" w:rsidR="0064180A" w:rsidRPr="00663A37" w:rsidRDefault="0064180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E6BC706" w:rsidR="0064180A" w:rsidRPr="00C81ECD" w:rsidRDefault="0064180A" w:rsidP="00011C4D">
          <w:pPr>
            <w:spacing w:after="120" w:line="240" w:lineRule="auto"/>
            <w:ind w:left="-486" w:right="68" w:firstLine="558"/>
            <w:jc w:val="right"/>
            <w:rPr>
              <w:rFonts w:cs="Arial"/>
              <w:b/>
              <w:szCs w:val="24"/>
            </w:rPr>
          </w:pPr>
          <w:r>
            <w:rPr>
              <w:rFonts w:cs="Arial"/>
              <w:b/>
              <w:bCs/>
              <w:szCs w:val="24"/>
            </w:rPr>
            <w:t>0</w:t>
          </w:r>
          <w:r w:rsidR="00DE0B38">
            <w:rPr>
              <w:rFonts w:cs="Arial"/>
              <w:b/>
              <w:bCs/>
              <w:szCs w:val="24"/>
            </w:rPr>
            <w:t>2215</w:t>
          </w:r>
          <w:r>
            <w:rPr>
              <w:rFonts w:cs="Arial"/>
              <w:b/>
              <w:bCs/>
              <w:szCs w:val="24"/>
            </w:rPr>
            <w:t>/INFOEM/IP/RR/2024</w:t>
          </w:r>
        </w:p>
      </w:tc>
    </w:tr>
    <w:tr w:rsidR="0064180A" w:rsidRPr="001F57CD" w14:paraId="1377D264" w14:textId="77777777" w:rsidTr="70652167">
      <w:trPr>
        <w:trHeight w:val="196"/>
      </w:trPr>
      <w:tc>
        <w:tcPr>
          <w:tcW w:w="5103" w:type="dxa"/>
          <w:hideMark/>
        </w:tcPr>
        <w:p w14:paraId="04D597A1" w14:textId="77777777" w:rsidR="0064180A" w:rsidRPr="00663A37" w:rsidRDefault="0064180A"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D5CCAE7" w:rsidR="0064180A" w:rsidRPr="00663A37" w:rsidRDefault="00393F33" w:rsidP="70652167">
          <w:pPr>
            <w:spacing w:after="120" w:line="240" w:lineRule="auto"/>
            <w:ind w:right="68"/>
            <w:jc w:val="right"/>
            <w:rPr>
              <w:rFonts w:cs="Arial"/>
              <w:lang w:val="es-ES"/>
            </w:rPr>
          </w:pPr>
          <w:r>
            <w:rPr>
              <w:rFonts w:cs="Arial"/>
              <w:lang w:val="es-ES"/>
            </w:rPr>
            <w:t>XXXX</w:t>
          </w:r>
        </w:p>
      </w:tc>
    </w:tr>
    <w:tr w:rsidR="0064180A" w14:paraId="4DC11993" w14:textId="77777777" w:rsidTr="70652167">
      <w:trPr>
        <w:trHeight w:val="242"/>
      </w:trPr>
      <w:tc>
        <w:tcPr>
          <w:tcW w:w="5103" w:type="dxa"/>
          <w:hideMark/>
        </w:tcPr>
        <w:p w14:paraId="76CEF1B5" w14:textId="77777777" w:rsidR="0064180A" w:rsidRPr="00663A37" w:rsidRDefault="0064180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CFD78E3" w:rsidR="0064180A" w:rsidRPr="00663A37" w:rsidRDefault="00DE0B38" w:rsidP="00011C4D">
          <w:pPr>
            <w:spacing w:after="120" w:line="240" w:lineRule="auto"/>
            <w:ind w:left="-70" w:right="68"/>
            <w:jc w:val="right"/>
            <w:rPr>
              <w:rFonts w:cs="Arial"/>
              <w:szCs w:val="24"/>
            </w:rPr>
          </w:pPr>
          <w:r>
            <w:rPr>
              <w:rFonts w:cs="Arial"/>
              <w:szCs w:val="24"/>
            </w:rPr>
            <w:t>Universidad Autónoma del Estado de México</w:t>
          </w:r>
        </w:p>
      </w:tc>
    </w:tr>
    <w:tr w:rsidR="0064180A" w14:paraId="5C2B511D" w14:textId="77777777" w:rsidTr="70652167">
      <w:trPr>
        <w:trHeight w:val="342"/>
      </w:trPr>
      <w:tc>
        <w:tcPr>
          <w:tcW w:w="5103" w:type="dxa"/>
          <w:hideMark/>
        </w:tcPr>
        <w:p w14:paraId="03FEF68C" w14:textId="45E91CF4" w:rsidR="0064180A" w:rsidRPr="00663A37" w:rsidRDefault="0064180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4180A" w:rsidRPr="00663A37" w:rsidRDefault="0064180A"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4180A" w:rsidRPr="00871A91" w:rsidRDefault="0059497D">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4180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7"/>
  </w:num>
  <w:num w:numId="4">
    <w:abstractNumId w:val="10"/>
  </w:num>
  <w:num w:numId="5">
    <w:abstractNumId w:val="36"/>
  </w:num>
  <w:num w:numId="6">
    <w:abstractNumId w:val="4"/>
  </w:num>
  <w:num w:numId="7">
    <w:abstractNumId w:val="29"/>
  </w:num>
  <w:num w:numId="8">
    <w:abstractNumId w:val="8"/>
  </w:num>
  <w:num w:numId="9">
    <w:abstractNumId w:val="3"/>
  </w:num>
  <w:num w:numId="10">
    <w:abstractNumId w:val="15"/>
  </w:num>
  <w:num w:numId="11">
    <w:abstractNumId w:val="16"/>
  </w:num>
  <w:num w:numId="12">
    <w:abstractNumId w:val="37"/>
  </w:num>
  <w:num w:numId="13">
    <w:abstractNumId w:val="34"/>
  </w:num>
  <w:num w:numId="14">
    <w:abstractNumId w:val="22"/>
  </w:num>
  <w:num w:numId="15">
    <w:abstractNumId w:val="26"/>
  </w:num>
  <w:num w:numId="16">
    <w:abstractNumId w:val="13"/>
  </w:num>
  <w:num w:numId="17">
    <w:abstractNumId w:val="20"/>
  </w:num>
  <w:num w:numId="18">
    <w:abstractNumId w:val="12"/>
  </w:num>
  <w:num w:numId="19">
    <w:abstractNumId w:val="17"/>
  </w:num>
  <w:num w:numId="20">
    <w:abstractNumId w:val="5"/>
  </w:num>
  <w:num w:numId="21">
    <w:abstractNumId w:val="6"/>
  </w:num>
  <w:num w:numId="22">
    <w:abstractNumId w:val="21"/>
  </w:num>
  <w:num w:numId="23">
    <w:abstractNumId w:val="11"/>
  </w:num>
  <w:num w:numId="24">
    <w:abstractNumId w:val="19"/>
  </w:num>
  <w:num w:numId="25">
    <w:abstractNumId w:val="1"/>
  </w:num>
  <w:num w:numId="26">
    <w:abstractNumId w:val="24"/>
  </w:num>
  <w:num w:numId="27">
    <w:abstractNumId w:val="28"/>
  </w:num>
  <w:num w:numId="28">
    <w:abstractNumId w:val="35"/>
  </w:num>
  <w:num w:numId="29">
    <w:abstractNumId w:val="14"/>
  </w:num>
  <w:num w:numId="30">
    <w:abstractNumId w:val="7"/>
  </w:num>
  <w:num w:numId="31">
    <w:abstractNumId w:val="31"/>
  </w:num>
  <w:num w:numId="32">
    <w:abstractNumId w:val="25"/>
  </w:num>
  <w:num w:numId="33">
    <w:abstractNumId w:val="0"/>
  </w:num>
  <w:num w:numId="34">
    <w:abstractNumId w:val="30"/>
  </w:num>
  <w:num w:numId="35">
    <w:abstractNumId w:val="33"/>
  </w:num>
  <w:num w:numId="36">
    <w:abstractNumId w:val="18"/>
  </w:num>
  <w:num w:numId="37">
    <w:abstractNumId w:val="32"/>
  </w:num>
  <w:num w:numId="38">
    <w:abstractNumId w:val="38"/>
  </w:num>
  <w:num w:numId="3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7231"/>
    <w:rsid w:val="00107256"/>
    <w:rsid w:val="0011071D"/>
    <w:rsid w:val="001107C4"/>
    <w:rsid w:val="0011108B"/>
    <w:rsid w:val="0011110C"/>
    <w:rsid w:val="001116B7"/>
    <w:rsid w:val="0011295F"/>
    <w:rsid w:val="001141AE"/>
    <w:rsid w:val="00114F1E"/>
    <w:rsid w:val="00115495"/>
    <w:rsid w:val="00116B11"/>
    <w:rsid w:val="00116E4B"/>
    <w:rsid w:val="00116F6B"/>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7C5F"/>
    <w:rsid w:val="00177F85"/>
    <w:rsid w:val="001809A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33"/>
    <w:rsid w:val="00393F5B"/>
    <w:rsid w:val="003960C8"/>
    <w:rsid w:val="00397677"/>
    <w:rsid w:val="003A0B24"/>
    <w:rsid w:val="003A0BF2"/>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D0AE2"/>
    <w:rsid w:val="003D17AF"/>
    <w:rsid w:val="003D1EBE"/>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3696"/>
    <w:rsid w:val="004257D6"/>
    <w:rsid w:val="00426124"/>
    <w:rsid w:val="00426222"/>
    <w:rsid w:val="00426D36"/>
    <w:rsid w:val="00426F24"/>
    <w:rsid w:val="00430888"/>
    <w:rsid w:val="00430C63"/>
    <w:rsid w:val="004310BB"/>
    <w:rsid w:val="004325EA"/>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9A4"/>
    <w:rsid w:val="00476D8E"/>
    <w:rsid w:val="0047712F"/>
    <w:rsid w:val="00480212"/>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E5B"/>
    <w:rsid w:val="004B3514"/>
    <w:rsid w:val="004B37E3"/>
    <w:rsid w:val="004B3867"/>
    <w:rsid w:val="004B3EDF"/>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4C51"/>
    <w:rsid w:val="005856B3"/>
    <w:rsid w:val="00587662"/>
    <w:rsid w:val="00587B1E"/>
    <w:rsid w:val="00587E84"/>
    <w:rsid w:val="005913E6"/>
    <w:rsid w:val="005944ED"/>
    <w:rsid w:val="0059497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5501"/>
    <w:rsid w:val="005C5AEA"/>
    <w:rsid w:val="005C629E"/>
    <w:rsid w:val="005C75AF"/>
    <w:rsid w:val="005C7AFE"/>
    <w:rsid w:val="005C7EF5"/>
    <w:rsid w:val="005D01B4"/>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129A"/>
    <w:rsid w:val="0060244C"/>
    <w:rsid w:val="00603988"/>
    <w:rsid w:val="0060429C"/>
    <w:rsid w:val="006055AB"/>
    <w:rsid w:val="00610274"/>
    <w:rsid w:val="00610A95"/>
    <w:rsid w:val="006115F0"/>
    <w:rsid w:val="00611CEF"/>
    <w:rsid w:val="00613401"/>
    <w:rsid w:val="0061516D"/>
    <w:rsid w:val="00615B10"/>
    <w:rsid w:val="006165FB"/>
    <w:rsid w:val="006168EB"/>
    <w:rsid w:val="00616DEB"/>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E61"/>
    <w:rsid w:val="0064180A"/>
    <w:rsid w:val="006424D3"/>
    <w:rsid w:val="00642A8B"/>
    <w:rsid w:val="006439D3"/>
    <w:rsid w:val="0064573B"/>
    <w:rsid w:val="00645DB2"/>
    <w:rsid w:val="006468ED"/>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363"/>
    <w:rsid w:val="006A7BEE"/>
    <w:rsid w:val="006A7CE2"/>
    <w:rsid w:val="006A7E3C"/>
    <w:rsid w:val="006B06F6"/>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B41"/>
    <w:rsid w:val="006D4CBD"/>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712C7"/>
    <w:rsid w:val="00772113"/>
    <w:rsid w:val="0077455A"/>
    <w:rsid w:val="00774FE6"/>
    <w:rsid w:val="00775B5A"/>
    <w:rsid w:val="00776581"/>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673"/>
    <w:rsid w:val="0084172B"/>
    <w:rsid w:val="00841963"/>
    <w:rsid w:val="00841F3F"/>
    <w:rsid w:val="00842EC4"/>
    <w:rsid w:val="00843BC7"/>
    <w:rsid w:val="00844F24"/>
    <w:rsid w:val="008455EF"/>
    <w:rsid w:val="008456E4"/>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90B"/>
    <w:rsid w:val="00866973"/>
    <w:rsid w:val="008677E2"/>
    <w:rsid w:val="00867A0C"/>
    <w:rsid w:val="008708AA"/>
    <w:rsid w:val="008710F8"/>
    <w:rsid w:val="0087167E"/>
    <w:rsid w:val="008716D7"/>
    <w:rsid w:val="00871A91"/>
    <w:rsid w:val="00871B94"/>
    <w:rsid w:val="00872B4A"/>
    <w:rsid w:val="00872F21"/>
    <w:rsid w:val="00873012"/>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E31"/>
    <w:rsid w:val="0091614B"/>
    <w:rsid w:val="00916A28"/>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5014"/>
    <w:rsid w:val="009752FA"/>
    <w:rsid w:val="009754C3"/>
    <w:rsid w:val="009755CD"/>
    <w:rsid w:val="009758B1"/>
    <w:rsid w:val="00977693"/>
    <w:rsid w:val="00977AC6"/>
    <w:rsid w:val="00977BB1"/>
    <w:rsid w:val="009818E4"/>
    <w:rsid w:val="00982494"/>
    <w:rsid w:val="009845F3"/>
    <w:rsid w:val="009845FD"/>
    <w:rsid w:val="00986E0B"/>
    <w:rsid w:val="00987692"/>
    <w:rsid w:val="00987C19"/>
    <w:rsid w:val="00990935"/>
    <w:rsid w:val="00990A99"/>
    <w:rsid w:val="00990AFD"/>
    <w:rsid w:val="00991001"/>
    <w:rsid w:val="00991069"/>
    <w:rsid w:val="0099397C"/>
    <w:rsid w:val="00994A07"/>
    <w:rsid w:val="00994A4C"/>
    <w:rsid w:val="00996257"/>
    <w:rsid w:val="0099649F"/>
    <w:rsid w:val="00996BC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6A2"/>
    <w:rsid w:val="009B59F0"/>
    <w:rsid w:val="009B5FDD"/>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BE0"/>
    <w:rsid w:val="00AE50C7"/>
    <w:rsid w:val="00AE5D09"/>
    <w:rsid w:val="00AE6037"/>
    <w:rsid w:val="00AE6B11"/>
    <w:rsid w:val="00AE6DCA"/>
    <w:rsid w:val="00AE762A"/>
    <w:rsid w:val="00AE7EBC"/>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307"/>
    <w:rsid w:val="00B1367C"/>
    <w:rsid w:val="00B13B7B"/>
    <w:rsid w:val="00B15202"/>
    <w:rsid w:val="00B1553A"/>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CAA"/>
    <w:rsid w:val="00BC219A"/>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47B50"/>
    <w:rsid w:val="00C5042D"/>
    <w:rsid w:val="00C510A7"/>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2BDC"/>
    <w:rsid w:val="00C72F35"/>
    <w:rsid w:val="00C73ED0"/>
    <w:rsid w:val="00C74ACA"/>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D52"/>
    <w:rsid w:val="00D20E94"/>
    <w:rsid w:val="00D20EF6"/>
    <w:rsid w:val="00D219AA"/>
    <w:rsid w:val="00D21D01"/>
    <w:rsid w:val="00D2237A"/>
    <w:rsid w:val="00D22D3F"/>
    <w:rsid w:val="00D23E73"/>
    <w:rsid w:val="00D240B5"/>
    <w:rsid w:val="00D24BCD"/>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6ECF"/>
    <w:rsid w:val="00E0706B"/>
    <w:rsid w:val="00E076EA"/>
    <w:rsid w:val="00E0787C"/>
    <w:rsid w:val="00E07E93"/>
    <w:rsid w:val="00E120FC"/>
    <w:rsid w:val="00E12997"/>
    <w:rsid w:val="00E12D07"/>
    <w:rsid w:val="00E145C0"/>
    <w:rsid w:val="00E14BA9"/>
    <w:rsid w:val="00E1701F"/>
    <w:rsid w:val="00E2095F"/>
    <w:rsid w:val="00E214DD"/>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916"/>
    <w:rsid w:val="00F44306"/>
    <w:rsid w:val="00F44F84"/>
    <w:rsid w:val="00F462E2"/>
    <w:rsid w:val="00F466E6"/>
    <w:rsid w:val="00F47508"/>
    <w:rsid w:val="00F4786D"/>
    <w:rsid w:val="00F503FC"/>
    <w:rsid w:val="00F508F3"/>
    <w:rsid w:val="00F51133"/>
    <w:rsid w:val="00F51165"/>
    <w:rsid w:val="00F51C42"/>
    <w:rsid w:val="00F51CC4"/>
    <w:rsid w:val="00F51EAB"/>
    <w:rsid w:val="00F528F0"/>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C5F"/>
    <w:rsid w:val="00F86D62"/>
    <w:rsid w:val="00F874BB"/>
    <w:rsid w:val="00F90DA5"/>
    <w:rsid w:val="00F90EFF"/>
    <w:rsid w:val="00F9118F"/>
    <w:rsid w:val="00F914C6"/>
    <w:rsid w:val="00F9161F"/>
    <w:rsid w:val="00F92B59"/>
    <w:rsid w:val="00F931A2"/>
    <w:rsid w:val="00F93236"/>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B1DEB"/>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B05"/>
    <w:rsid w:val="00FC6C30"/>
    <w:rsid w:val="00FC79E8"/>
    <w:rsid w:val="00FD0A58"/>
    <w:rsid w:val="00FD154B"/>
    <w:rsid w:val="00FD160B"/>
    <w:rsid w:val="00FD19B7"/>
    <w:rsid w:val="00FD295A"/>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A5CC-B519-4C38-A93E-84BC9FE9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7068</Words>
  <Characters>38875</Characters>
  <Application>Microsoft Office Word</Application>
  <DocSecurity>4</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cp:lastPrinted>2019-06-13T16:30:00Z</cp:lastPrinted>
  <dcterms:created xsi:type="dcterms:W3CDTF">2024-09-09T15:53:00Z</dcterms:created>
  <dcterms:modified xsi:type="dcterms:W3CDTF">2024-09-09T15:53:00Z</dcterms:modified>
</cp:coreProperties>
</file>