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59FB" w14:textId="3A42F461" w:rsidR="00B01F10" w:rsidRPr="009D2A7C" w:rsidRDefault="00EE7D75">
      <w:pPr>
        <w:tabs>
          <w:tab w:val="left" w:pos="3465"/>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Resolución del Pleno del Instituto de Transparencia, Acceso a la Información Pública y Protección de Datos Personales del Estado de México y Municipios, con domicilio en Metepec, Estado</w:t>
      </w:r>
      <w:r w:rsidR="00DB6589"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color w:val="000000"/>
          <w:lang w:val="es-ES_tradnl"/>
        </w:rPr>
        <w:t xml:space="preserve">de México; de </w:t>
      </w:r>
      <w:r w:rsidR="005E5B0A">
        <w:rPr>
          <w:rFonts w:ascii="Palatino Linotype" w:eastAsia="Palatino Linotype" w:hAnsi="Palatino Linotype" w:cs="Palatino Linotype"/>
          <w:color w:val="000000"/>
          <w:lang w:val="es-ES_tradnl"/>
        </w:rPr>
        <w:t>veintiuno (21</w:t>
      </w:r>
      <w:r w:rsidR="00D034A5">
        <w:rPr>
          <w:rFonts w:ascii="Palatino Linotype" w:eastAsia="Palatino Linotype" w:hAnsi="Palatino Linotype" w:cs="Palatino Linotype"/>
          <w:color w:val="000000"/>
          <w:lang w:val="es-ES_tradnl"/>
        </w:rPr>
        <w:t>) de agosto</w:t>
      </w:r>
      <w:r w:rsidRPr="009D2A7C">
        <w:rPr>
          <w:rFonts w:ascii="Palatino Linotype" w:eastAsia="Palatino Linotype" w:hAnsi="Palatino Linotype" w:cs="Palatino Linotype"/>
          <w:color w:val="000000"/>
          <w:lang w:val="es-ES_tradnl"/>
        </w:rPr>
        <w:t xml:space="preserve"> de dos mil veinticuatro.</w:t>
      </w:r>
    </w:p>
    <w:p w14:paraId="028759FC" w14:textId="77777777" w:rsidR="00B01F10" w:rsidRPr="009D2A7C" w:rsidRDefault="00B01F10">
      <w:pPr>
        <w:tabs>
          <w:tab w:val="left" w:pos="3465"/>
        </w:tabs>
        <w:spacing w:line="360" w:lineRule="auto"/>
        <w:jc w:val="both"/>
        <w:rPr>
          <w:rFonts w:ascii="Palatino Linotype" w:eastAsia="Palatino Linotype" w:hAnsi="Palatino Linotype" w:cs="Palatino Linotype"/>
          <w:color w:val="000000"/>
          <w:lang w:val="es-ES_tradnl"/>
        </w:rPr>
      </w:pPr>
    </w:p>
    <w:p w14:paraId="028759FD" w14:textId="5A0B41D4" w:rsidR="00B01F10" w:rsidRPr="009D2A7C" w:rsidRDefault="00EE7D75">
      <w:pPr>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b/>
          <w:color w:val="000000"/>
          <w:lang w:val="es-ES_tradnl"/>
        </w:rPr>
        <w:t>VISTO</w:t>
      </w:r>
      <w:r w:rsidRPr="009D2A7C">
        <w:rPr>
          <w:rFonts w:ascii="Palatino Linotype" w:eastAsia="Palatino Linotype" w:hAnsi="Palatino Linotype" w:cs="Palatino Linotype"/>
          <w:color w:val="000000"/>
          <w:lang w:val="es-ES_tradnl"/>
        </w:rPr>
        <w:t xml:space="preserve"> el expediente electrónico formado con motivo del recurso de revisión </w:t>
      </w:r>
      <w:r w:rsidR="00FA321B">
        <w:rPr>
          <w:rFonts w:ascii="Palatino Linotype" w:eastAsia="Palatino Linotype" w:hAnsi="Palatino Linotype" w:cs="Palatino Linotype"/>
          <w:b/>
          <w:color w:val="000000"/>
          <w:lang w:val="es-ES_tradnl"/>
        </w:rPr>
        <w:t>05733/INFOEM/IP/RR/2023</w:t>
      </w:r>
      <w:r w:rsidRPr="009D2A7C">
        <w:rPr>
          <w:rFonts w:ascii="Palatino Linotype" w:eastAsia="Palatino Linotype" w:hAnsi="Palatino Linotype" w:cs="Palatino Linotype"/>
          <w:color w:val="000000"/>
          <w:lang w:val="es-ES_tradnl"/>
        </w:rPr>
        <w:t xml:space="preserve">, interpuesto por </w:t>
      </w:r>
      <w:r w:rsidR="007712AA">
        <w:rPr>
          <w:rFonts w:ascii="Palatino Linotype" w:eastAsia="Palatino Linotype" w:hAnsi="Palatino Linotype" w:cs="Palatino Linotype"/>
          <w:color w:val="000000"/>
          <w:lang w:val="es-ES_tradnl"/>
        </w:rPr>
        <w:t>una o un usuario del Sistema de Acceso a la Información Mexiquense (SAIMEX), quien no señaló ningún nombre, seudónimo o carácter para ser identificada</w:t>
      </w:r>
      <w:r w:rsidRPr="009D2A7C">
        <w:rPr>
          <w:rFonts w:ascii="Palatino Linotype" w:eastAsia="Palatino Linotype" w:hAnsi="Palatino Linotype" w:cs="Palatino Linotype"/>
          <w:color w:val="000000"/>
          <w:lang w:val="es-ES_tradnl"/>
        </w:rPr>
        <w:t>,</w:t>
      </w:r>
      <w:r w:rsidR="007712AA">
        <w:rPr>
          <w:rFonts w:ascii="Palatino Linotype" w:eastAsia="Palatino Linotype" w:hAnsi="Palatino Linotype" w:cs="Palatino Linotype"/>
          <w:color w:val="000000"/>
          <w:lang w:val="es-ES_tradnl"/>
        </w:rPr>
        <w:t xml:space="preserve"> por lo que</w:t>
      </w:r>
      <w:r w:rsidRPr="009D2A7C">
        <w:rPr>
          <w:rFonts w:ascii="Palatino Linotype" w:eastAsia="Palatino Linotype" w:hAnsi="Palatino Linotype" w:cs="Palatino Linotype"/>
          <w:color w:val="000000"/>
          <w:lang w:val="es-ES_tradnl"/>
        </w:rPr>
        <w:t xml:space="preserve"> en lo sucesivo</w:t>
      </w:r>
      <w:r w:rsidR="007712AA">
        <w:rPr>
          <w:rFonts w:ascii="Palatino Linotype" w:eastAsia="Palatino Linotype" w:hAnsi="Palatino Linotype" w:cs="Palatino Linotype"/>
          <w:color w:val="000000"/>
          <w:lang w:val="es-ES_tradnl"/>
        </w:rPr>
        <w:t xml:space="preserve"> será identificada como</w:t>
      </w:r>
      <w:r w:rsidRPr="009D2A7C">
        <w:rPr>
          <w:rFonts w:ascii="Palatino Linotype" w:eastAsia="Palatino Linotype" w:hAnsi="Palatino Linotype" w:cs="Palatino Linotype"/>
          <w:color w:val="000000"/>
          <w:lang w:val="es-ES_tradnl"/>
        </w:rPr>
        <w:t xml:space="preserve"> </w:t>
      </w:r>
      <w:r w:rsidR="007712AA">
        <w:rPr>
          <w:rFonts w:ascii="Palatino Linotype" w:eastAsia="Palatino Linotype" w:hAnsi="Palatino Linotype" w:cs="Palatino Linotype"/>
          <w:b/>
          <w:color w:val="000000"/>
          <w:lang w:val="es-ES_tradnl"/>
        </w:rPr>
        <w:t>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lang w:val="es-ES_tradnl"/>
        </w:rPr>
        <w:t>,</w:t>
      </w:r>
      <w:r w:rsidRPr="009D2A7C">
        <w:rPr>
          <w:rFonts w:ascii="Palatino Linotype" w:eastAsia="Palatino Linotype" w:hAnsi="Palatino Linotype" w:cs="Palatino Linotype"/>
          <w:color w:val="000000"/>
          <w:lang w:val="es-ES_tradnl"/>
        </w:rPr>
        <w:t xml:space="preserve"> en contra de la respuesta del </w:t>
      </w:r>
      <w:r w:rsidR="007712AA">
        <w:rPr>
          <w:rFonts w:ascii="Palatino Linotype" w:eastAsia="Palatino Linotype" w:hAnsi="Palatino Linotype" w:cs="Palatino Linotype"/>
          <w:b/>
          <w:color w:val="000000"/>
          <w:lang w:val="es-ES_tradnl"/>
        </w:rPr>
        <w:t>Ayuntamiento de Zinacantepec</w:t>
      </w:r>
      <w:r w:rsidRPr="009D2A7C">
        <w:rPr>
          <w:rFonts w:ascii="Palatino Linotype" w:eastAsia="Palatino Linotype" w:hAnsi="Palatino Linotype" w:cs="Palatino Linotype"/>
          <w:color w:val="000000"/>
          <w:lang w:val="es-ES_tradnl"/>
        </w:rPr>
        <w:t>, en adelante el</w:t>
      </w:r>
      <w:r w:rsidRPr="009D2A7C">
        <w:rPr>
          <w:rFonts w:ascii="Palatino Linotype" w:eastAsia="Palatino Linotype" w:hAnsi="Palatino Linotype" w:cs="Palatino Linotype"/>
          <w:b/>
          <w:color w:val="000000"/>
          <w:lang w:val="es-ES_tradnl"/>
        </w:rPr>
        <w:t xml:space="preserve"> SUJETO OBLIGADO</w:t>
      </w:r>
      <w:r w:rsidRPr="009D2A7C">
        <w:rPr>
          <w:rFonts w:ascii="Palatino Linotype" w:eastAsia="Palatino Linotype" w:hAnsi="Palatino Linotype" w:cs="Palatino Linotype"/>
          <w:color w:val="000000"/>
          <w:lang w:val="es-ES_tradnl"/>
        </w:rPr>
        <w:t>,</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se procede a dictar la presente resolución, con base en los siguientes:</w:t>
      </w:r>
    </w:p>
    <w:p w14:paraId="028759FE" w14:textId="77777777" w:rsidR="00B01F10" w:rsidRPr="009D2A7C" w:rsidRDefault="00B01F10">
      <w:pPr>
        <w:spacing w:line="360" w:lineRule="auto"/>
        <w:jc w:val="both"/>
        <w:rPr>
          <w:rFonts w:ascii="Palatino Linotype" w:eastAsia="Palatino Linotype" w:hAnsi="Palatino Linotype" w:cs="Palatino Linotype"/>
          <w:b/>
          <w:color w:val="000000"/>
          <w:lang w:val="es-ES_tradnl"/>
        </w:rPr>
      </w:pPr>
    </w:p>
    <w:p w14:paraId="028759FF" w14:textId="77777777" w:rsidR="00B01F10" w:rsidRPr="009D2A7C" w:rsidRDefault="00EE7D75">
      <w:pPr>
        <w:pStyle w:val="Ttulo1"/>
        <w:spacing w:before="0" w:line="360" w:lineRule="auto"/>
        <w:jc w:val="center"/>
        <w:rPr>
          <w:b/>
          <w:color w:val="000000"/>
          <w:lang w:val="es-ES_tradnl"/>
        </w:rPr>
      </w:pPr>
      <w:bookmarkStart w:id="0" w:name="_heading=h.gjdgxs" w:colFirst="0" w:colLast="0"/>
      <w:bookmarkEnd w:id="0"/>
      <w:r w:rsidRPr="009D2A7C">
        <w:rPr>
          <w:b/>
          <w:color w:val="000000"/>
          <w:lang w:val="es-ES_tradnl"/>
        </w:rPr>
        <w:t>A N T E C E D E N T E S</w:t>
      </w:r>
    </w:p>
    <w:p w14:paraId="02875A0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1" w14:textId="2C264805"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FA321B">
        <w:rPr>
          <w:rFonts w:ascii="Palatino Linotype" w:eastAsia="Palatino Linotype" w:hAnsi="Palatino Linotype" w:cs="Palatino Linotype"/>
          <w:b/>
          <w:color w:val="000000"/>
          <w:lang w:val="es-ES_tradnl"/>
        </w:rPr>
        <w:t>dieciséis (16</w:t>
      </w:r>
      <w:r w:rsidR="00A31565">
        <w:rPr>
          <w:rFonts w:ascii="Palatino Linotype" w:eastAsia="Palatino Linotype" w:hAnsi="Palatino Linotype" w:cs="Palatino Linotype"/>
          <w:b/>
          <w:color w:val="000000"/>
          <w:lang w:val="es-ES_tradnl"/>
        </w:rPr>
        <w:t>) de agosto</w:t>
      </w:r>
      <w:r w:rsidR="00AC6258"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la particular presentó</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color w:val="000000"/>
          <w:lang w:val="es-ES_tradnl"/>
        </w:rPr>
        <w:t xml:space="preserve">a través del Sistema de Acceso a la Información Mexiquense (SAIMEX), la solicitud de información pública registrada con el número </w:t>
      </w:r>
      <w:r w:rsidR="00FA321B">
        <w:rPr>
          <w:rFonts w:ascii="Palatino Linotype" w:eastAsia="Palatino Linotype" w:hAnsi="Palatino Linotype" w:cs="Palatino Linotype"/>
          <w:b/>
          <w:color w:val="000000"/>
          <w:lang w:val="es-ES_tradnl"/>
        </w:rPr>
        <w:t>01387/ZINACANT/IP/2023</w:t>
      </w:r>
      <w:r w:rsidRPr="009D2A7C">
        <w:rPr>
          <w:rFonts w:ascii="Palatino Linotype" w:eastAsia="Palatino Linotype" w:hAnsi="Palatino Linotype" w:cs="Palatino Linotype"/>
          <w:b/>
          <w:color w:val="000000"/>
          <w:lang w:val="es-ES_tradnl"/>
        </w:rPr>
        <w:t>,</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 xml:space="preserve">en la que </w:t>
      </w:r>
      <w:r w:rsidRPr="009D2A7C">
        <w:rPr>
          <w:rFonts w:ascii="Palatino Linotype" w:eastAsia="Palatino Linotype" w:hAnsi="Palatino Linotype" w:cs="Palatino Linotype"/>
          <w:color w:val="000000"/>
          <w:lang w:val="es-ES_tradnl"/>
        </w:rPr>
        <w:t>requirió lo siguiente:</w:t>
      </w:r>
    </w:p>
    <w:p w14:paraId="02875A02"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lang w:val="es-ES_tradnl"/>
        </w:rPr>
      </w:pPr>
    </w:p>
    <w:p w14:paraId="02875A03" w14:textId="0311D6D2"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i/>
          <w:color w:val="000000"/>
          <w:lang w:val="es-ES_tradnl"/>
        </w:rPr>
        <w:t xml:space="preserve"> “</w:t>
      </w:r>
      <w:r w:rsidR="00FA321B" w:rsidRPr="00FA321B">
        <w:rPr>
          <w:rFonts w:ascii="Palatino Linotype" w:eastAsia="Palatino Linotype" w:hAnsi="Palatino Linotype" w:cs="Palatino Linotype"/>
          <w:i/>
          <w:color w:val="000000"/>
        </w:rPr>
        <w:t>SOLICITO TODAS LAS BAJAS DEL 2022 Y 2023</w:t>
      </w:r>
      <w:r w:rsidRPr="009D2A7C">
        <w:rPr>
          <w:rFonts w:ascii="Palatino Linotype" w:eastAsia="Palatino Linotype" w:hAnsi="Palatino Linotype" w:cs="Palatino Linotype"/>
          <w:i/>
          <w:color w:val="000000"/>
          <w:lang w:val="es-ES_tradnl"/>
        </w:rPr>
        <w:t xml:space="preserve">” </w:t>
      </w:r>
      <w:r w:rsidRPr="009D2A7C">
        <w:rPr>
          <w:rFonts w:ascii="Palatino Linotype" w:eastAsia="Palatino Linotype" w:hAnsi="Palatino Linotype" w:cs="Palatino Linotype"/>
          <w:color w:val="000000"/>
          <w:lang w:val="es-ES_tradnl"/>
        </w:rPr>
        <w:t>(Sic).</w:t>
      </w:r>
    </w:p>
    <w:p w14:paraId="02875A04" w14:textId="77777777" w:rsidR="00B01F10" w:rsidRPr="009D2A7C" w:rsidRDefault="00B01F10">
      <w:pPr>
        <w:spacing w:line="360" w:lineRule="auto"/>
        <w:ind w:right="333"/>
        <w:jc w:val="both"/>
        <w:rPr>
          <w:rFonts w:ascii="Palatino Linotype" w:eastAsia="Palatino Linotype" w:hAnsi="Palatino Linotype" w:cs="Palatino Linotype"/>
          <w:color w:val="000000"/>
          <w:lang w:val="es-ES_tradnl"/>
        </w:rPr>
      </w:pPr>
    </w:p>
    <w:p w14:paraId="02875A05" w14:textId="31073C53"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Se hace constar que </w:t>
      </w:r>
      <w:r w:rsidR="00FA321B">
        <w:rPr>
          <w:rFonts w:ascii="Palatino Linotype" w:eastAsia="Palatino Linotype" w:hAnsi="Palatino Linotype" w:cs="Palatino Linotype"/>
          <w:color w:val="000000"/>
          <w:lang w:val="es-ES_tradnl"/>
        </w:rPr>
        <w:t>la</w:t>
      </w:r>
      <w:r w:rsidRPr="009D2A7C">
        <w:rPr>
          <w:rFonts w:ascii="Palatino Linotype" w:eastAsia="Palatino Linotype" w:hAnsi="Palatino Linotype" w:cs="Palatino Linotype"/>
          <w:color w:val="000000"/>
          <w:lang w:val="es-ES_tradnl"/>
        </w:rPr>
        <w:t xml:space="preserve"> particular señaló como modalidad de entrega de la información:</w:t>
      </w:r>
      <w:r w:rsidRPr="009D2A7C">
        <w:rPr>
          <w:rFonts w:ascii="Palatino Linotype" w:eastAsia="Palatino Linotype" w:hAnsi="Palatino Linotype" w:cs="Palatino Linotype"/>
          <w:b/>
          <w:color w:val="000000"/>
          <w:lang w:val="es-ES_tradnl"/>
        </w:rPr>
        <w:t xml:space="preserve"> </w:t>
      </w:r>
      <w:r w:rsidRPr="009D2A7C">
        <w:rPr>
          <w:rFonts w:ascii="Palatino Linotype" w:eastAsia="Palatino Linotype" w:hAnsi="Palatino Linotype" w:cs="Palatino Linotype"/>
          <w:b/>
          <w:i/>
          <w:color w:val="000000"/>
          <w:lang w:val="es-ES_tradnl"/>
        </w:rPr>
        <w:t>A través del SAIMEX</w:t>
      </w:r>
      <w:r w:rsidRPr="009D2A7C">
        <w:rPr>
          <w:rFonts w:ascii="Palatino Linotype" w:eastAsia="Palatino Linotype" w:hAnsi="Palatino Linotype" w:cs="Palatino Linotype"/>
          <w:color w:val="000000"/>
          <w:lang w:val="es-ES_tradnl"/>
        </w:rPr>
        <w:t>.</w:t>
      </w:r>
    </w:p>
    <w:p w14:paraId="02875A06"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7DA1FAA4" w14:textId="46D73428" w:rsidR="00FA321B" w:rsidRDefault="007712AA">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E</w:t>
      </w:r>
      <w:r w:rsidR="00FA321B">
        <w:rPr>
          <w:rFonts w:ascii="Palatino Linotype" w:eastAsia="Palatino Linotype" w:hAnsi="Palatino Linotype" w:cs="Palatino Linotype"/>
          <w:color w:val="000000"/>
          <w:lang w:val="es-ES_tradnl"/>
        </w:rPr>
        <w:t xml:space="preserve">l </w:t>
      </w:r>
      <w:r w:rsidR="00FA321B">
        <w:rPr>
          <w:rFonts w:ascii="Palatino Linotype" w:eastAsia="Palatino Linotype" w:hAnsi="Palatino Linotype" w:cs="Palatino Linotype"/>
          <w:b/>
          <w:color w:val="000000"/>
          <w:lang w:val="es-ES_tradnl"/>
        </w:rPr>
        <w:t>seis (06) de septiembre de dos mil veintitrés</w:t>
      </w:r>
      <w:r w:rsidR="00FA321B">
        <w:rPr>
          <w:rFonts w:ascii="Palatino Linotype" w:eastAsia="Palatino Linotype" w:hAnsi="Palatino Linotype" w:cs="Palatino Linotype"/>
          <w:color w:val="000000"/>
          <w:lang w:val="es-ES_tradnl"/>
        </w:rPr>
        <w:t xml:space="preserve">, el </w:t>
      </w:r>
      <w:r w:rsidR="00FA321B">
        <w:rPr>
          <w:rFonts w:ascii="Palatino Linotype" w:eastAsia="Palatino Linotype" w:hAnsi="Palatino Linotype" w:cs="Palatino Linotype"/>
          <w:b/>
          <w:color w:val="000000"/>
          <w:lang w:val="es-ES_tradnl"/>
        </w:rPr>
        <w:t>SUJETO OBLIGADO</w:t>
      </w:r>
      <w:r w:rsidR="00FA321B">
        <w:rPr>
          <w:rFonts w:ascii="Palatino Linotype" w:eastAsia="Palatino Linotype" w:hAnsi="Palatino Linotype" w:cs="Palatino Linotype"/>
          <w:color w:val="000000"/>
          <w:lang w:val="es-ES_tradnl"/>
        </w:rPr>
        <w:t xml:space="preserve"> notificó a la entonces </w:t>
      </w:r>
      <w:r w:rsidR="00FA321B">
        <w:rPr>
          <w:rFonts w:ascii="Palatino Linotype" w:eastAsia="Palatino Linotype" w:hAnsi="Palatino Linotype" w:cs="Palatino Linotype"/>
          <w:b/>
          <w:color w:val="000000"/>
          <w:lang w:val="es-ES_tradnl"/>
        </w:rPr>
        <w:t>SOLICITANTE</w:t>
      </w:r>
      <w:r w:rsidR="00FA321B">
        <w:rPr>
          <w:rFonts w:ascii="Palatino Linotype" w:eastAsia="Palatino Linotype" w:hAnsi="Palatino Linotype" w:cs="Palatino Linotype"/>
          <w:color w:val="000000"/>
          <w:lang w:val="es-ES_tradnl"/>
        </w:rPr>
        <w:t xml:space="preserve"> sobre una prórroga para atender su solicitud de información, misma que no cumple con los elementos de procedencia establecidos en el segundo párrafo del artículo 163 de la Ley de Transparencia y Acceso a la Información Pública del Estado de México y Municipios</w:t>
      </w:r>
      <w:r w:rsidR="00FA321B">
        <w:rPr>
          <w:rStyle w:val="Refdenotaalpie"/>
          <w:rFonts w:ascii="Palatino Linotype" w:eastAsia="Palatino Linotype" w:hAnsi="Palatino Linotype" w:cs="Palatino Linotype"/>
          <w:color w:val="000000"/>
          <w:lang w:val="es-ES_tradnl"/>
        </w:rPr>
        <w:footnoteReference w:id="1"/>
      </w:r>
      <w:r w:rsidR="00FA321B">
        <w:rPr>
          <w:rFonts w:ascii="Palatino Linotype" w:eastAsia="Palatino Linotype" w:hAnsi="Palatino Linotype" w:cs="Palatino Linotype"/>
          <w:color w:val="000000"/>
          <w:lang w:val="es-ES_tradnl"/>
        </w:rPr>
        <w:t>.</w:t>
      </w:r>
    </w:p>
    <w:p w14:paraId="40149F6C" w14:textId="77777777" w:rsidR="00FA321B" w:rsidRDefault="00FA321B" w:rsidP="00FA321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07" w14:textId="76D72E7C" w:rsidR="00B01F10" w:rsidRDefault="00FA321B">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Pr>
          <w:rFonts w:ascii="Palatino Linotype" w:eastAsia="Palatino Linotype" w:hAnsi="Palatino Linotype" w:cs="Palatino Linotype"/>
          <w:b/>
          <w:color w:val="000000"/>
          <w:lang w:val="es-ES_tradnl"/>
        </w:rPr>
        <w:t>ocho (08</w:t>
      </w:r>
      <w:r w:rsidR="00A31565">
        <w:rPr>
          <w:rFonts w:ascii="Palatino Linotype" w:eastAsia="Palatino Linotype" w:hAnsi="Palatino Linotype" w:cs="Palatino Linotype"/>
          <w:b/>
          <w:color w:val="000000"/>
          <w:lang w:val="es-ES_tradnl"/>
        </w:rPr>
        <w:t>) de septiembre</w:t>
      </w:r>
      <w:r w:rsidR="006A01EA" w:rsidRPr="009D2A7C">
        <w:rPr>
          <w:rFonts w:ascii="Palatino Linotype" w:eastAsia="Palatino Linotype" w:hAnsi="Palatino Linotype" w:cs="Palatino Linotype"/>
          <w:b/>
          <w:color w:val="000000"/>
          <w:lang w:val="es-ES_tradnl"/>
        </w:rPr>
        <w:t xml:space="preserve"> de dos mil veintitrés</w:t>
      </w:r>
      <w:r w:rsidR="00EE7D75" w:rsidRPr="009D2A7C">
        <w:rPr>
          <w:rFonts w:ascii="Palatino Linotype" w:eastAsia="Palatino Linotype" w:hAnsi="Palatino Linotype" w:cs="Palatino Linotype"/>
          <w:color w:val="000000"/>
          <w:lang w:val="es-ES_tradnl"/>
        </w:rPr>
        <w:t xml:space="preserve">, 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dio respuesta a la solicitud de información en los siguientes términos:</w:t>
      </w:r>
    </w:p>
    <w:p w14:paraId="1AF78C51" w14:textId="77777777" w:rsidR="00E02FCB" w:rsidRPr="009D2A7C" w:rsidRDefault="00E02FCB" w:rsidP="00E02FC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6DE7831A" w14:textId="17A01A86" w:rsidR="00FA321B" w:rsidRDefault="00EE7D75" w:rsidP="00FA321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i/>
          <w:color w:val="000000"/>
          <w:sz w:val="22"/>
          <w:szCs w:val="22"/>
          <w:lang w:val="es-ES_tradnl"/>
        </w:rPr>
        <w:t xml:space="preserve"> “</w:t>
      </w:r>
      <w:r w:rsidR="00FA321B" w:rsidRPr="00FA321B">
        <w:rPr>
          <w:rFonts w:ascii="Palatino Linotype" w:eastAsia="Palatino Linotype" w:hAnsi="Palatino Linotype" w:cs="Palatino Linotype"/>
          <w:i/>
          <w:color w:val="000000"/>
          <w:sz w:val="22"/>
          <w:szCs w:val="22"/>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A7AD62" w14:textId="77777777" w:rsidR="00FA321B" w:rsidRPr="00FA321B" w:rsidRDefault="00FA321B" w:rsidP="00FA321B">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08" w14:textId="659D6139" w:rsidR="00B01F10" w:rsidRPr="009D2A7C" w:rsidRDefault="00FA321B" w:rsidP="00FA321B">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lang w:val="es-ES_tradnl"/>
        </w:rPr>
      </w:pPr>
      <w:r w:rsidRPr="00FA321B">
        <w:rPr>
          <w:rFonts w:ascii="Palatino Linotype" w:eastAsia="Palatino Linotype" w:hAnsi="Palatino Linotype" w:cs="Palatino Linotype"/>
          <w:i/>
          <w:color w:val="000000"/>
          <w:sz w:val="22"/>
          <w:szCs w:val="22"/>
          <w:lang w:val="es-ES_tradnl"/>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01387/ZINACANT/IP/2023, recibida a través del Sistema SAIMEX, en donde se solicita textualmente lo siguiente: “SOLICITO TODAS LAS BAJAS DEL 2022 Y 2023”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w:t>
      </w:r>
      <w:r w:rsidRPr="00FA321B">
        <w:rPr>
          <w:rFonts w:ascii="Palatino Linotype" w:eastAsia="Palatino Linotype" w:hAnsi="Palatino Linotype" w:cs="Palatino Linotype"/>
          <w:i/>
          <w:color w:val="000000"/>
          <w:sz w:val="22"/>
          <w:szCs w:val="22"/>
          <w:lang w:val="es-ES_tradnl"/>
        </w:rPr>
        <w:lastRenderedPageBreak/>
        <w:t>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00EE7D75" w:rsidRPr="009D2A7C">
        <w:rPr>
          <w:rFonts w:ascii="Palatino Linotype" w:eastAsia="Palatino Linotype" w:hAnsi="Palatino Linotype" w:cs="Palatino Linotype"/>
          <w:i/>
          <w:color w:val="000000"/>
          <w:sz w:val="22"/>
          <w:szCs w:val="22"/>
          <w:lang w:val="es-ES_tradnl"/>
        </w:rPr>
        <w:t>”</w:t>
      </w:r>
      <w:r w:rsidR="00EE7D75" w:rsidRPr="009D2A7C">
        <w:rPr>
          <w:rFonts w:ascii="Palatino Linotype" w:eastAsia="Palatino Linotype" w:hAnsi="Palatino Linotype" w:cs="Palatino Linotype"/>
          <w:color w:val="000000"/>
          <w:sz w:val="22"/>
          <w:szCs w:val="22"/>
          <w:lang w:val="es-ES_tradnl"/>
        </w:rPr>
        <w:t xml:space="preserve"> (Sic.)</w:t>
      </w:r>
    </w:p>
    <w:p w14:paraId="02875A09" w14:textId="77777777" w:rsidR="00B01F10" w:rsidRPr="009D2A7C" w:rsidRDefault="00B01F10">
      <w:pPr>
        <w:pBdr>
          <w:top w:val="nil"/>
          <w:left w:val="nil"/>
          <w:bottom w:val="nil"/>
          <w:right w:val="nil"/>
          <w:between w:val="nil"/>
        </w:pBdr>
        <w:ind w:right="567"/>
        <w:jc w:val="both"/>
        <w:rPr>
          <w:rFonts w:ascii="Palatino Linotype" w:eastAsia="Palatino Linotype" w:hAnsi="Palatino Linotype" w:cs="Palatino Linotype"/>
          <w:color w:val="000000"/>
          <w:lang w:val="es-ES_tradnl"/>
        </w:rPr>
      </w:pPr>
    </w:p>
    <w:p w14:paraId="02875A0A" w14:textId="5832483F" w:rsidR="00B01F10" w:rsidRPr="009D2A7C"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Adjunto al acuse de respuesta,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entregó a </w:t>
      </w:r>
      <w:r w:rsidR="004930C7" w:rsidRPr="009D2A7C">
        <w:rPr>
          <w:rFonts w:ascii="Palatino Linotype" w:eastAsia="Palatino Linotype" w:hAnsi="Palatino Linotype" w:cs="Palatino Linotype"/>
          <w:color w:val="000000"/>
          <w:lang w:val="es-ES_tradnl"/>
        </w:rPr>
        <w:t xml:space="preserve">la particular </w:t>
      </w:r>
      <w:r w:rsidR="00FA321B">
        <w:rPr>
          <w:rFonts w:ascii="Palatino Linotype" w:eastAsia="Palatino Linotype" w:hAnsi="Palatino Linotype" w:cs="Palatino Linotype"/>
          <w:color w:val="000000"/>
          <w:lang w:val="es-ES_tradnl"/>
        </w:rPr>
        <w:t>los</w:t>
      </w:r>
      <w:r w:rsidR="004930C7" w:rsidRPr="009D2A7C">
        <w:rPr>
          <w:rFonts w:ascii="Palatino Linotype" w:eastAsia="Palatino Linotype" w:hAnsi="Palatino Linotype" w:cs="Palatino Linotype"/>
          <w:color w:val="000000"/>
          <w:lang w:val="es-ES_tradnl"/>
        </w:rPr>
        <w:t xml:space="preserve"> siguiente</w:t>
      </w:r>
      <w:r w:rsidR="00FA321B">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archivo</w:t>
      </w:r>
      <w:r w:rsidR="00FA321B">
        <w:rPr>
          <w:rFonts w:ascii="Palatino Linotype" w:eastAsia="Palatino Linotype" w:hAnsi="Palatino Linotype" w:cs="Palatino Linotype"/>
          <w:color w:val="000000"/>
          <w:lang w:val="es-ES_tradnl"/>
        </w:rPr>
        <w:t>s</w:t>
      </w:r>
      <w:r w:rsidR="004930C7" w:rsidRPr="009D2A7C">
        <w:rPr>
          <w:rFonts w:ascii="Palatino Linotype" w:eastAsia="Palatino Linotype" w:hAnsi="Palatino Linotype" w:cs="Palatino Linotype"/>
          <w:color w:val="000000"/>
          <w:lang w:val="es-ES_tradnl"/>
        </w:rPr>
        <w:t xml:space="preserve"> electrónico</w:t>
      </w:r>
      <w:r w:rsidR="00FA321B">
        <w:rPr>
          <w:rFonts w:ascii="Palatino Linotype" w:eastAsia="Palatino Linotype" w:hAnsi="Palatino Linotype" w:cs="Palatino Linotype"/>
          <w:color w:val="000000"/>
          <w:lang w:val="es-ES_tradnl"/>
        </w:rPr>
        <w:t>s</w:t>
      </w:r>
      <w:r w:rsidRPr="009D2A7C">
        <w:rPr>
          <w:rFonts w:ascii="Palatino Linotype" w:eastAsia="Palatino Linotype" w:hAnsi="Palatino Linotype" w:cs="Palatino Linotype"/>
          <w:color w:val="000000"/>
          <w:lang w:val="es-ES_tradnl"/>
        </w:rPr>
        <w:t>:</w:t>
      </w:r>
    </w:p>
    <w:p w14:paraId="02875A0B" w14:textId="30D8111C" w:rsidR="00B01F10" w:rsidRPr="00FA321B" w:rsidRDefault="005E5B0A">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Cs w:val="22"/>
          <w:lang w:val="es-ES_tradnl"/>
        </w:rPr>
      </w:pPr>
      <w:r w:rsidRPr="003C20C5">
        <w:rPr>
          <w:rFonts w:ascii="Palatino Linotype" w:eastAsia="Palatino Linotype" w:hAnsi="Palatino Linotype" w:cs="Palatino Linotype"/>
          <w:b/>
          <w:i/>
          <w:color w:val="000000"/>
          <w:szCs w:val="22"/>
          <w:lang w:val="es-ES_tradnl"/>
        </w:rPr>
        <w:t xml:space="preserve"> </w:t>
      </w:r>
      <w:r w:rsidR="00EE7D75" w:rsidRPr="003C20C5">
        <w:rPr>
          <w:rFonts w:ascii="Palatino Linotype" w:eastAsia="Palatino Linotype" w:hAnsi="Palatino Linotype" w:cs="Palatino Linotype"/>
          <w:b/>
          <w:i/>
          <w:color w:val="000000"/>
          <w:szCs w:val="22"/>
          <w:lang w:val="es-ES_tradnl"/>
        </w:rPr>
        <w:t>“</w:t>
      </w:r>
      <w:r w:rsidR="00FA321B">
        <w:rPr>
          <w:rFonts w:ascii="Palatino Linotype" w:eastAsia="Palatino Linotype" w:hAnsi="Palatino Linotype" w:cs="Palatino Linotype"/>
          <w:b/>
          <w:i/>
          <w:color w:val="000000"/>
          <w:szCs w:val="22"/>
          <w:lang w:val="es-ES_tradnl"/>
        </w:rPr>
        <w:t>Oficio de Atención a Solicitud 01387 ZINACANT- 2023</w:t>
      </w:r>
      <w:r w:rsidR="00EE7D75" w:rsidRPr="003C20C5">
        <w:rPr>
          <w:rFonts w:ascii="Palatino Linotype" w:eastAsia="Palatino Linotype" w:hAnsi="Palatino Linotype" w:cs="Palatino Linotype"/>
          <w:b/>
          <w:i/>
          <w:color w:val="000000"/>
          <w:szCs w:val="22"/>
          <w:lang w:val="es-ES_tradnl"/>
        </w:rPr>
        <w:t>.pdf”</w:t>
      </w:r>
      <w:r w:rsidR="00EE7D75" w:rsidRPr="003C20C5">
        <w:rPr>
          <w:rFonts w:ascii="Palatino Linotype" w:eastAsia="Palatino Linotype" w:hAnsi="Palatino Linotype" w:cs="Palatino Linotype"/>
          <w:color w:val="000000"/>
          <w:szCs w:val="22"/>
          <w:lang w:val="es-ES_tradnl"/>
        </w:rPr>
        <w:t>: Documento</w:t>
      </w:r>
      <w:r w:rsidR="00625279" w:rsidRPr="003C20C5">
        <w:rPr>
          <w:rFonts w:ascii="Palatino Linotype" w:eastAsia="Palatino Linotype" w:hAnsi="Palatino Linotype" w:cs="Palatino Linotype"/>
          <w:color w:val="000000"/>
          <w:szCs w:val="22"/>
          <w:lang w:val="es-ES_tradnl"/>
        </w:rPr>
        <w:t xml:space="preserve"> </w:t>
      </w:r>
      <w:r w:rsidR="00FA321B">
        <w:rPr>
          <w:rFonts w:ascii="Palatino Linotype" w:eastAsia="Palatino Linotype" w:hAnsi="Palatino Linotype" w:cs="Palatino Linotype"/>
          <w:color w:val="000000"/>
          <w:szCs w:val="22"/>
          <w:lang w:val="es-ES_tradnl"/>
        </w:rPr>
        <w:t>de una foja consistente en el oficio número ZIN/DA/2620/2023, de cinco (05) de septiembre de dos mil veintitrés, emitido por la Directora de Administración, dirigido a la Titular</w:t>
      </w:r>
      <w:r w:rsidR="00F311EA">
        <w:rPr>
          <w:rFonts w:ascii="Palatino Linotype" w:eastAsia="Palatino Linotype" w:hAnsi="Palatino Linotype" w:cs="Palatino Linotype"/>
          <w:color w:val="000000"/>
          <w:szCs w:val="22"/>
          <w:lang w:val="es-ES_tradnl"/>
        </w:rPr>
        <w:t xml:space="preserve"> de la Unidad de Transparencia, por medio del cual, manifiesta adjuntar el reporte del personal que causó baja durante los ejercicios dos mil veintidós y dos mil veintitrés.</w:t>
      </w:r>
    </w:p>
    <w:p w14:paraId="3C5EE4DF" w14:textId="7D286FCE" w:rsidR="00FA321B" w:rsidRPr="003C20C5" w:rsidRDefault="00FA321B" w:rsidP="00FA321B">
      <w:pPr>
        <w:numPr>
          <w:ilvl w:val="1"/>
          <w:numId w:val="3"/>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Cs w:val="22"/>
          <w:lang w:val="es-ES_tradnl"/>
        </w:rPr>
      </w:pPr>
      <w:r w:rsidRPr="003C20C5">
        <w:rPr>
          <w:rFonts w:ascii="Palatino Linotype" w:eastAsia="Palatino Linotype" w:hAnsi="Palatino Linotype" w:cs="Palatino Linotype"/>
          <w:b/>
          <w:i/>
          <w:color w:val="000000"/>
          <w:szCs w:val="22"/>
          <w:lang w:val="es-ES_tradnl"/>
        </w:rPr>
        <w:t>“</w:t>
      </w:r>
      <w:r>
        <w:rPr>
          <w:rFonts w:ascii="Palatino Linotype" w:eastAsia="Palatino Linotype" w:hAnsi="Palatino Linotype" w:cs="Palatino Linotype"/>
          <w:b/>
          <w:i/>
          <w:color w:val="000000"/>
          <w:szCs w:val="22"/>
          <w:lang w:val="es-ES_tradnl"/>
        </w:rPr>
        <w:t>Reporte de Bajas de Personal – enero 2022 a julio 2023</w:t>
      </w:r>
      <w:r w:rsidRPr="003C20C5">
        <w:rPr>
          <w:rFonts w:ascii="Palatino Linotype" w:eastAsia="Palatino Linotype" w:hAnsi="Palatino Linotype" w:cs="Palatino Linotype"/>
          <w:b/>
          <w:i/>
          <w:color w:val="000000"/>
          <w:szCs w:val="22"/>
          <w:lang w:val="es-ES_tradnl"/>
        </w:rPr>
        <w:t>.pdf”</w:t>
      </w:r>
      <w:r w:rsidRPr="003C20C5">
        <w:rPr>
          <w:rFonts w:ascii="Palatino Linotype" w:eastAsia="Palatino Linotype" w:hAnsi="Palatino Linotype" w:cs="Palatino Linotype"/>
          <w:color w:val="000000"/>
          <w:szCs w:val="22"/>
          <w:lang w:val="es-ES_tradnl"/>
        </w:rPr>
        <w:t xml:space="preserve">: Documento </w:t>
      </w:r>
      <w:r w:rsidR="00F311EA">
        <w:rPr>
          <w:rFonts w:ascii="Palatino Linotype" w:eastAsia="Palatino Linotype" w:hAnsi="Palatino Linotype" w:cs="Palatino Linotype"/>
          <w:color w:val="000000"/>
          <w:szCs w:val="22"/>
          <w:lang w:val="es-ES_tradnl"/>
        </w:rPr>
        <w:t>de seis fojas consistente en un listado con los nombres del personal adscrito al ayuntamiento que causó baja durante el periodo comprendido del uno (01) de enero de dos mil veintidós al treinta y uno (31) de julio de dos mil veintitrés.</w:t>
      </w:r>
    </w:p>
    <w:p w14:paraId="02875A0C" w14:textId="77777777" w:rsidR="00B01F10" w:rsidRPr="009D2A7C" w:rsidRDefault="00B01F10">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D" w14:textId="495C69CF" w:rsidR="00B01F10" w:rsidRDefault="00EE7D75">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F311EA">
        <w:rPr>
          <w:rFonts w:ascii="Palatino Linotype" w:eastAsia="Palatino Linotype" w:hAnsi="Palatino Linotype" w:cs="Palatino Linotype"/>
          <w:b/>
          <w:color w:val="000000"/>
          <w:lang w:val="es-ES_tradnl"/>
        </w:rPr>
        <w:t>ocho (08</w:t>
      </w:r>
      <w:r w:rsidR="005E5B0A">
        <w:rPr>
          <w:rFonts w:ascii="Palatino Linotype" w:eastAsia="Palatino Linotype" w:hAnsi="Palatino Linotype" w:cs="Palatino Linotype"/>
          <w:b/>
          <w:color w:val="000000"/>
          <w:lang w:val="es-ES_tradnl"/>
        </w:rPr>
        <w:t>) de septiembre</w:t>
      </w:r>
      <w:r w:rsidR="00C74121"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la particular interpuso el recurso de revisión </w:t>
      </w:r>
      <w:r w:rsidR="00FA321B">
        <w:rPr>
          <w:rFonts w:ascii="Palatino Linotype" w:eastAsia="Palatino Linotype" w:hAnsi="Palatino Linotype" w:cs="Palatino Linotype"/>
          <w:b/>
          <w:color w:val="000000"/>
          <w:lang w:val="es-ES_tradnl"/>
        </w:rPr>
        <w:t>05733/INFOEM/IP/RR/2023</w:t>
      </w:r>
      <w:r w:rsidRPr="009D2A7C">
        <w:rPr>
          <w:rFonts w:ascii="Palatino Linotype" w:eastAsia="Palatino Linotype" w:hAnsi="Palatino Linotype" w:cs="Palatino Linotype"/>
          <w:color w:val="000000"/>
          <w:lang w:val="es-ES_tradnl"/>
        </w:rPr>
        <w:t>; impugnación en la que refirió lo siguiente:</w:t>
      </w:r>
    </w:p>
    <w:p w14:paraId="5D2362DA" w14:textId="77777777" w:rsidR="005E5B0A" w:rsidRPr="009D2A7C" w:rsidRDefault="005E5B0A" w:rsidP="005E5B0A">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lang w:val="es-ES_tradnl"/>
        </w:rPr>
      </w:pPr>
    </w:p>
    <w:p w14:paraId="02875A0E" w14:textId="55436404" w:rsidR="00B01F10" w:rsidRPr="009D2A7C" w:rsidRDefault="00EE7D75" w:rsidP="003C20C5">
      <w:pPr>
        <w:numPr>
          <w:ilvl w:val="0"/>
          <w:numId w:val="27"/>
        </w:numPr>
        <w:pBdr>
          <w:top w:val="nil"/>
          <w:left w:val="nil"/>
          <w:bottom w:val="nil"/>
          <w:right w:val="nil"/>
          <w:between w:val="nil"/>
        </w:pBdr>
        <w:tabs>
          <w:tab w:val="left" w:pos="851"/>
        </w:tabs>
        <w:spacing w:line="276" w:lineRule="auto"/>
        <w:ind w:left="1134" w:right="567"/>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lastRenderedPageBreak/>
        <w:t>Acto impugnado:</w:t>
      </w:r>
      <w:r w:rsidRPr="009D2A7C">
        <w:rPr>
          <w:rFonts w:ascii="Palatino Linotype" w:eastAsia="Palatino Linotype" w:hAnsi="Palatino Linotype" w:cs="Palatino Linotype"/>
          <w:color w:val="000000"/>
          <w:sz w:val="22"/>
          <w:szCs w:val="22"/>
          <w:lang w:val="es-ES_tradnl"/>
        </w:rPr>
        <w:t xml:space="preserve"> “</w:t>
      </w:r>
      <w:r w:rsidR="00F311EA">
        <w:rPr>
          <w:rFonts w:ascii="Palatino Linotype" w:eastAsia="Palatino Linotype" w:hAnsi="Palatino Linotype" w:cs="Palatino Linotype"/>
          <w:i/>
          <w:color w:val="000000"/>
          <w:sz w:val="22"/>
          <w:szCs w:val="22"/>
          <w:lang w:val="es-ES_tradnl"/>
        </w:rPr>
        <w:t>NO ENTREGA INFORMACIÓN</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7032322A" w14:textId="77777777" w:rsidR="002377F6" w:rsidRPr="009D2A7C" w:rsidRDefault="002377F6" w:rsidP="003C20C5">
      <w:pPr>
        <w:pBdr>
          <w:top w:val="nil"/>
          <w:left w:val="nil"/>
          <w:bottom w:val="nil"/>
          <w:right w:val="nil"/>
          <w:between w:val="nil"/>
        </w:pBdr>
        <w:tabs>
          <w:tab w:val="left" w:pos="851"/>
        </w:tabs>
        <w:spacing w:line="276" w:lineRule="auto"/>
        <w:ind w:left="1134" w:right="567" w:hanging="141"/>
        <w:jc w:val="both"/>
        <w:rPr>
          <w:rFonts w:ascii="Palatino Linotype" w:eastAsia="Palatino Linotype" w:hAnsi="Palatino Linotype" w:cs="Palatino Linotype"/>
          <w:color w:val="000000"/>
          <w:sz w:val="22"/>
          <w:szCs w:val="22"/>
          <w:lang w:val="es-ES_tradnl"/>
        </w:rPr>
      </w:pPr>
    </w:p>
    <w:p w14:paraId="02875A0F" w14:textId="3C4030E7" w:rsidR="00B01F10" w:rsidRPr="009D2A7C" w:rsidRDefault="00EE7D75" w:rsidP="003C20C5">
      <w:pPr>
        <w:numPr>
          <w:ilvl w:val="0"/>
          <w:numId w:val="27"/>
        </w:numPr>
        <w:pBdr>
          <w:top w:val="nil"/>
          <w:left w:val="nil"/>
          <w:bottom w:val="nil"/>
          <w:right w:val="nil"/>
          <w:between w:val="nil"/>
        </w:pBdr>
        <w:tabs>
          <w:tab w:val="left" w:pos="851"/>
        </w:tabs>
        <w:spacing w:line="276" w:lineRule="auto"/>
        <w:ind w:left="1134" w:right="567"/>
        <w:jc w:val="both"/>
        <w:rPr>
          <w:rFonts w:ascii="Palatino Linotype" w:eastAsia="Palatino Linotype" w:hAnsi="Palatino Linotype" w:cs="Palatino Linotype"/>
          <w:color w:val="000000"/>
          <w:sz w:val="22"/>
          <w:szCs w:val="22"/>
          <w:lang w:val="es-ES_tradnl"/>
        </w:rPr>
      </w:pPr>
      <w:r w:rsidRPr="009D2A7C">
        <w:rPr>
          <w:rFonts w:ascii="Palatino Linotype" w:eastAsia="Palatino Linotype" w:hAnsi="Palatino Linotype" w:cs="Palatino Linotype"/>
          <w:b/>
          <w:color w:val="000000"/>
          <w:sz w:val="22"/>
          <w:szCs w:val="22"/>
          <w:lang w:val="es-ES_tradnl"/>
        </w:rPr>
        <w:t>Razones o motivos de inconformidad:</w:t>
      </w:r>
      <w:r w:rsidRPr="009D2A7C">
        <w:rPr>
          <w:rFonts w:ascii="Palatino Linotype" w:eastAsia="Palatino Linotype" w:hAnsi="Palatino Linotype" w:cs="Palatino Linotype"/>
          <w:color w:val="000000"/>
          <w:sz w:val="22"/>
          <w:szCs w:val="22"/>
          <w:lang w:val="es-ES_tradnl"/>
        </w:rPr>
        <w:t xml:space="preserve"> </w:t>
      </w:r>
      <w:r w:rsidRPr="009D2A7C">
        <w:rPr>
          <w:rFonts w:ascii="Palatino Linotype" w:eastAsia="Palatino Linotype" w:hAnsi="Palatino Linotype" w:cs="Palatino Linotype"/>
          <w:i/>
          <w:color w:val="000000"/>
          <w:sz w:val="22"/>
          <w:szCs w:val="22"/>
          <w:lang w:val="es-ES_tradnl"/>
        </w:rPr>
        <w:t>“</w:t>
      </w:r>
      <w:r w:rsidR="00F311EA">
        <w:rPr>
          <w:rFonts w:ascii="Palatino Linotype" w:eastAsia="Palatino Linotype" w:hAnsi="Palatino Linotype" w:cs="Palatino Linotype"/>
          <w:i/>
          <w:color w:val="000000"/>
          <w:sz w:val="22"/>
          <w:szCs w:val="22"/>
          <w:lang w:val="es-ES_tradnl"/>
        </w:rPr>
        <w:t>NO ENTREGA INFORMACIÓN</w:t>
      </w:r>
      <w:r w:rsidRPr="009D2A7C">
        <w:rPr>
          <w:rFonts w:ascii="Palatino Linotype" w:eastAsia="Palatino Linotype" w:hAnsi="Palatino Linotype" w:cs="Palatino Linotype"/>
          <w:i/>
          <w:color w:val="000000"/>
          <w:sz w:val="22"/>
          <w:szCs w:val="22"/>
          <w:lang w:val="es-ES_tradnl"/>
        </w:rPr>
        <w:t>”</w:t>
      </w:r>
      <w:r w:rsidRPr="009D2A7C">
        <w:rPr>
          <w:rFonts w:ascii="Palatino Linotype" w:eastAsia="Palatino Linotype" w:hAnsi="Palatino Linotype" w:cs="Palatino Linotype"/>
          <w:color w:val="000000"/>
          <w:sz w:val="22"/>
          <w:szCs w:val="22"/>
          <w:lang w:val="es-ES_tradnl"/>
        </w:rPr>
        <w:t xml:space="preserve"> (Sic)</w:t>
      </w:r>
    </w:p>
    <w:p w14:paraId="02875A1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1" w14:textId="33DCAB44"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Se registró el recurso de revisión bajo el número de expediente </w:t>
      </w:r>
      <w:r w:rsidR="00FA321B">
        <w:rPr>
          <w:rFonts w:ascii="Palatino Linotype" w:eastAsia="Palatino Linotype" w:hAnsi="Palatino Linotype" w:cs="Palatino Linotype"/>
          <w:b/>
          <w:color w:val="000000"/>
          <w:lang w:val="es-ES_tradnl"/>
        </w:rPr>
        <w:t>05733/INFOEM/IP/RR/2023</w:t>
      </w:r>
      <w:r w:rsidRPr="009D2A7C">
        <w:rPr>
          <w:rFonts w:ascii="Palatino Linotype" w:eastAsia="Palatino Linotype" w:hAnsi="Palatino Linotype" w:cs="Palatino Linotype"/>
          <w:color w:val="000000"/>
          <w:lang w:val="es-ES_tradnl"/>
        </w:rPr>
        <w:t xml:space="preserve">; asimismo, con fundamento en lo dispuesto por el artículo 185, fracción I, de la Ley de Transparencia y Acceso a la Información Pública del Estado de México y Municipios se </w:t>
      </w:r>
      <w:r w:rsidRPr="009D2A7C">
        <w:rPr>
          <w:rFonts w:ascii="Palatino Linotype" w:eastAsia="Palatino Linotype" w:hAnsi="Palatino Linotype" w:cs="Palatino Linotype"/>
          <w:lang w:val="es-ES_tradnl"/>
        </w:rPr>
        <w:t>turn</w:t>
      </w:r>
      <w:r w:rsidR="007712AA">
        <w:rPr>
          <w:rFonts w:ascii="Palatino Linotype" w:eastAsia="Palatino Linotype" w:hAnsi="Palatino Linotype" w:cs="Palatino Linotype"/>
          <w:lang w:val="es-ES_tradnl"/>
        </w:rPr>
        <w:t>ó</w:t>
      </w:r>
      <w:r w:rsidRPr="009D2A7C">
        <w:rPr>
          <w:rFonts w:ascii="Palatino Linotype" w:eastAsia="Palatino Linotype" w:hAnsi="Palatino Linotype" w:cs="Palatino Linotype"/>
          <w:color w:val="000000"/>
          <w:lang w:val="es-ES_tradnl"/>
        </w:rPr>
        <w:t xml:space="preserve"> a la </w:t>
      </w:r>
      <w:r w:rsidRPr="009D2A7C">
        <w:rPr>
          <w:rFonts w:ascii="Palatino Linotype" w:eastAsia="Palatino Linotype" w:hAnsi="Palatino Linotype" w:cs="Palatino Linotype"/>
          <w:b/>
          <w:color w:val="000000"/>
          <w:lang w:val="es-ES_tradnl"/>
        </w:rPr>
        <w:t>Comisionada María del Rosario Mejía Ayala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para</w:t>
      </w:r>
      <w:r w:rsidRPr="009D2A7C">
        <w:rPr>
          <w:rFonts w:ascii="Palatino Linotype" w:eastAsia="Palatino Linotype" w:hAnsi="Palatino Linotype" w:cs="Palatino Linotype"/>
          <w:color w:val="000000"/>
          <w:lang w:val="es-ES_tradnl"/>
        </w:rPr>
        <w:t xml:space="preserve"> su análisis.</w:t>
      </w:r>
    </w:p>
    <w:p w14:paraId="02875A1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3" w14:textId="40444CCE"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1" w:name="_heading=h.30j0zll" w:colFirst="0" w:colLast="0"/>
      <w:bookmarkEnd w:id="1"/>
      <w:r w:rsidRPr="009D2A7C">
        <w:rPr>
          <w:rFonts w:ascii="Palatino Linotype" w:eastAsia="Palatino Linotype" w:hAnsi="Palatino Linotype" w:cs="Palatino Linotype"/>
          <w:color w:val="000000"/>
          <w:lang w:val="es-ES_tradnl"/>
        </w:rPr>
        <w:t xml:space="preserve">La Comisionada Ponente, con fundamento en lo dispuesto por el artículo 185, fracción II, de la Ley de la materia, a través del acuerdo de admisión de </w:t>
      </w:r>
      <w:r w:rsidR="00F311EA">
        <w:rPr>
          <w:rFonts w:ascii="Palatino Linotype" w:eastAsia="Palatino Linotype" w:hAnsi="Palatino Linotype" w:cs="Palatino Linotype"/>
          <w:b/>
          <w:color w:val="000000"/>
          <w:lang w:val="es-ES_tradnl"/>
        </w:rPr>
        <w:t>once (11</w:t>
      </w:r>
      <w:r w:rsidR="0009774D">
        <w:rPr>
          <w:rFonts w:ascii="Palatino Linotype" w:eastAsia="Palatino Linotype" w:hAnsi="Palatino Linotype" w:cs="Palatino Linotype"/>
          <w:b/>
          <w:color w:val="000000"/>
          <w:lang w:val="es-ES_tradnl"/>
        </w:rPr>
        <w:t>) de septiembre</w:t>
      </w:r>
      <w:r w:rsidR="005537FC" w:rsidRPr="009D2A7C">
        <w:rPr>
          <w:rFonts w:ascii="Palatino Linotype" w:eastAsia="Palatino Linotype" w:hAnsi="Palatino Linotype" w:cs="Palatino Linotype"/>
          <w:b/>
          <w:color w:val="000000"/>
          <w:lang w:val="es-ES_tradnl"/>
        </w:rPr>
        <w:t xml:space="preserve"> de dos mil veintitrés</w:t>
      </w:r>
      <w:r w:rsidRPr="009D2A7C">
        <w:rPr>
          <w:rFonts w:ascii="Palatino Linotype" w:eastAsia="Palatino Linotype" w:hAnsi="Palatino Linotype" w:cs="Palatino Linotype"/>
          <w:color w:val="000000"/>
          <w:lang w:val="es-ES_tradnl"/>
        </w:rPr>
        <w:t xml:space="preserve">, puso a disposición de las partes el expediente electrónico vía SAIMEX, a efecto de que en un plazo máximo de siete días </w:t>
      </w:r>
      <w:r w:rsidRPr="009D2A7C">
        <w:rPr>
          <w:rFonts w:ascii="Palatino Linotype" w:eastAsia="Palatino Linotype" w:hAnsi="Palatino Linotype" w:cs="Palatino Linotype"/>
          <w:lang w:val="es-ES_tradnl"/>
        </w:rPr>
        <w:t>manifestara</w:t>
      </w:r>
      <w:r w:rsidRPr="009D2A7C">
        <w:rPr>
          <w:rFonts w:ascii="Palatino Linotype" w:eastAsia="Palatino Linotype" w:hAnsi="Palatino Linotype" w:cs="Palatino Linotype"/>
          <w:color w:val="000000"/>
          <w:lang w:val="es-ES_tradnl"/>
        </w:rPr>
        <w:t xml:space="preserve"> lo que a derecho </w:t>
      </w:r>
      <w:r w:rsidRPr="009D2A7C">
        <w:rPr>
          <w:rFonts w:ascii="Palatino Linotype" w:eastAsia="Palatino Linotype" w:hAnsi="Palatino Linotype" w:cs="Palatino Linotype"/>
          <w:lang w:val="es-ES_tradnl"/>
        </w:rPr>
        <w:t>conviniera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lang w:val="es-ES_tradnl"/>
        </w:rPr>
        <w:t>ofreciera</w:t>
      </w:r>
      <w:r w:rsidRPr="009D2A7C">
        <w:rPr>
          <w:rFonts w:ascii="Palatino Linotype" w:eastAsia="Palatino Linotype" w:hAnsi="Palatino Linotype" w:cs="Palatino Linotype"/>
          <w:color w:val="000000"/>
          <w:lang w:val="es-ES_tradnl"/>
        </w:rPr>
        <w:t xml:space="preserve"> pruebas y alegatos según corresponda a los casos concretos, de esta forma para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w:t>
      </w:r>
      <w:r w:rsidR="009222DD">
        <w:rPr>
          <w:rFonts w:ascii="Palatino Linotype" w:eastAsia="Palatino Linotype" w:hAnsi="Palatino Linotype" w:cs="Palatino Linotype"/>
          <w:lang w:val="es-ES_tradnl"/>
        </w:rPr>
        <w:t>presentara</w:t>
      </w:r>
      <w:r w:rsidRPr="009D2A7C">
        <w:rPr>
          <w:rFonts w:ascii="Palatino Linotype" w:eastAsia="Palatino Linotype" w:hAnsi="Palatino Linotype" w:cs="Palatino Linotype"/>
          <w:color w:val="000000"/>
          <w:lang w:val="es-ES_tradnl"/>
        </w:rPr>
        <w:t xml:space="preserve"> su Informe Justificado procedente.</w:t>
      </w:r>
    </w:p>
    <w:p w14:paraId="02875A14"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5" w14:textId="5DFC2270"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De las constancias que obran dentro del expediente digital formado en el SAIMEX, se advierte que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presentó su informe justificado para confirmar, modificar o revocar su respuesta original; en el mismo sentido, </w:t>
      </w:r>
      <w:r w:rsidR="003466D1" w:rsidRPr="009D2A7C">
        <w:rPr>
          <w:rFonts w:ascii="Palatino Linotype" w:eastAsia="Palatino Linotype" w:hAnsi="Palatino Linotype" w:cs="Palatino Linotype"/>
          <w:color w:val="000000"/>
          <w:lang w:val="es-ES_tradnl"/>
        </w:rPr>
        <w:t>la</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omitió el presentar cualquier tipo de alegatos o manifestaciones. Se adjunta la captura del apartado de </w:t>
      </w:r>
      <w:r w:rsidRPr="009D2A7C">
        <w:rPr>
          <w:rFonts w:ascii="Palatino Linotype" w:eastAsia="Palatino Linotype" w:hAnsi="Palatino Linotype" w:cs="Palatino Linotype"/>
          <w:i/>
          <w:color w:val="000000"/>
          <w:lang w:val="es-ES_tradnl"/>
        </w:rPr>
        <w:t>Manifestaciones</w:t>
      </w:r>
      <w:r w:rsidRPr="009D2A7C">
        <w:rPr>
          <w:rFonts w:ascii="Palatino Linotype" w:eastAsia="Palatino Linotype" w:hAnsi="Palatino Linotype" w:cs="Palatino Linotype"/>
          <w:color w:val="000000"/>
          <w:lang w:val="es-ES_tradnl"/>
        </w:rPr>
        <w:t xml:space="preserve"> como referencia:</w:t>
      </w:r>
    </w:p>
    <w:p w14:paraId="146DA804" w14:textId="77777777" w:rsidR="003C20C5" w:rsidRPr="009D2A7C" w:rsidRDefault="003C20C5" w:rsidP="003C20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17435846" w14:textId="53651385" w:rsidR="00F311EA" w:rsidRPr="009D2A7C" w:rsidRDefault="00F311EA">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lang w:val="es-ES_tradnl"/>
        </w:rPr>
      </w:pPr>
      <w:r w:rsidRPr="00F311EA">
        <w:rPr>
          <w:rFonts w:ascii="Palatino Linotype" w:eastAsia="Palatino Linotype" w:hAnsi="Palatino Linotype" w:cs="Palatino Linotype"/>
          <w:noProof/>
          <w:color w:val="000000"/>
        </w:rPr>
        <w:lastRenderedPageBreak/>
        <w:drawing>
          <wp:inline distT="0" distB="0" distL="0" distR="0" wp14:anchorId="67AABBF7" wp14:editId="4B6B25F0">
            <wp:extent cx="4887925" cy="1135428"/>
            <wp:effectExtent l="19050" t="19050" r="27305" b="266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6596" cy="1151380"/>
                    </a:xfrm>
                    <a:prstGeom prst="rect">
                      <a:avLst/>
                    </a:prstGeom>
                    <a:ln w="12700">
                      <a:solidFill>
                        <a:srgbClr val="000000"/>
                      </a:solidFill>
                      <a:prstDash val="solid"/>
                    </a:ln>
                  </pic:spPr>
                </pic:pic>
              </a:graphicData>
            </a:graphic>
          </wp:inline>
        </w:drawing>
      </w:r>
    </w:p>
    <w:p w14:paraId="02875A18"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9" w14:textId="30C48272"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El </w:t>
      </w:r>
      <w:r w:rsidR="00F311EA">
        <w:rPr>
          <w:rFonts w:ascii="Palatino Linotype" w:eastAsia="Palatino Linotype" w:hAnsi="Palatino Linotype" w:cs="Palatino Linotype"/>
          <w:b/>
          <w:color w:val="000000"/>
          <w:lang w:val="es-ES_tradnl"/>
        </w:rPr>
        <w:t>quince (15</w:t>
      </w:r>
      <w:r w:rsidR="003C20C5">
        <w:rPr>
          <w:rFonts w:ascii="Palatino Linotype" w:eastAsia="Palatino Linotype" w:hAnsi="Palatino Linotype" w:cs="Palatino Linotype"/>
          <w:b/>
          <w:color w:val="000000"/>
          <w:lang w:val="es-ES_tradnl"/>
        </w:rPr>
        <w:t>)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02875A1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B" w14:textId="1EBA44CF"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Este Organismo Garante no pasa por alto explicar que, la dilación en la resolución del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2875A1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D" w14:textId="2F959E4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 menester precisar </w:t>
      </w:r>
      <w:r w:rsidR="00A6415D" w:rsidRPr="009D2A7C">
        <w:rPr>
          <w:rFonts w:ascii="Palatino Linotype" w:eastAsia="Palatino Linotype" w:hAnsi="Palatino Linotype" w:cs="Palatino Linotype"/>
          <w:color w:val="000000"/>
          <w:lang w:val="es-ES_tradnl"/>
        </w:rPr>
        <w:t>que,</w:t>
      </w:r>
      <w:r w:rsidRPr="009D2A7C">
        <w:rPr>
          <w:rFonts w:ascii="Palatino Linotype" w:eastAsia="Palatino Linotype" w:hAnsi="Palatino Linotype" w:cs="Palatino Linotype"/>
          <w:color w:val="000000"/>
          <w:lang w:val="es-ES_tradnl"/>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875A1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1F"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875A20"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1"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2875A22"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3"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Por ello, excepcionalmente, si un asunto es resuelto con posterioridad a los plazos señalados por la norma debe analizarse la razonabilidad de dicha dilación atendiendo a los siguientes criterios:</w:t>
      </w:r>
    </w:p>
    <w:p w14:paraId="02875A24"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 xml:space="preserve">Complejidad del </w:t>
      </w:r>
      <w:r w:rsidRPr="003C20C5">
        <w:rPr>
          <w:rFonts w:ascii="Palatino Linotype" w:eastAsia="Palatino Linotype" w:hAnsi="Palatino Linotype" w:cs="Palatino Linotype"/>
          <w:b/>
          <w:szCs w:val="22"/>
          <w:lang w:val="es-ES_tradnl"/>
        </w:rPr>
        <w:t>asunto</w:t>
      </w:r>
      <w:r w:rsidRPr="003C20C5">
        <w:rPr>
          <w:rFonts w:ascii="Palatino Linotype" w:eastAsia="Palatino Linotype" w:hAnsi="Palatino Linotype" w:cs="Palatino Linotype"/>
          <w:b/>
          <w:color w:val="000000"/>
          <w:szCs w:val="22"/>
          <w:lang w:val="es-ES_tradnl"/>
        </w:rPr>
        <w:t>:</w:t>
      </w:r>
      <w:r w:rsidRPr="003C20C5">
        <w:rPr>
          <w:rFonts w:ascii="Palatino Linotype" w:eastAsia="Palatino Linotype" w:hAnsi="Palatino Linotype" w:cs="Palatino Linotype"/>
          <w:color w:val="000000"/>
          <w:szCs w:val="22"/>
          <w:lang w:val="es-ES_tradnl"/>
        </w:rPr>
        <w:t xml:space="preserve"> La complejidad de la prueba, la pluralidad de sujetos procesales, el tiempo transcurrido, las características y contexto del recurso.</w:t>
      </w:r>
    </w:p>
    <w:p w14:paraId="02875A25"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Actividad Procesal del interesado:</w:t>
      </w:r>
      <w:r w:rsidRPr="003C20C5">
        <w:rPr>
          <w:rFonts w:ascii="Palatino Linotype" w:eastAsia="Palatino Linotype" w:hAnsi="Palatino Linotype" w:cs="Palatino Linotype"/>
          <w:color w:val="000000"/>
          <w:szCs w:val="22"/>
          <w:lang w:val="es-ES_tradnl"/>
        </w:rPr>
        <w:t xml:space="preserve"> Acciones u omisiones del interesado.</w:t>
      </w:r>
    </w:p>
    <w:p w14:paraId="02875A26"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Conducta de la Autoridad:</w:t>
      </w:r>
      <w:r w:rsidRPr="003C20C5">
        <w:rPr>
          <w:rFonts w:ascii="Palatino Linotype" w:eastAsia="Palatino Linotype" w:hAnsi="Palatino Linotype" w:cs="Palatino Linotype"/>
          <w:color w:val="000000"/>
          <w:szCs w:val="22"/>
          <w:lang w:val="es-ES_tradnl"/>
        </w:rPr>
        <w:t xml:space="preserve"> Las Acciones u omisiones realizadas en el procedimiento. Así como si la autoridad actuó con la debida diligencia.</w:t>
      </w:r>
    </w:p>
    <w:p w14:paraId="02875A27" w14:textId="77777777" w:rsidR="00B01F10" w:rsidRPr="003C20C5" w:rsidRDefault="00EE7D75">
      <w:pPr>
        <w:numPr>
          <w:ilvl w:val="1"/>
          <w:numId w:val="5"/>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Cs w:val="22"/>
          <w:lang w:val="es-ES_tradnl"/>
        </w:rPr>
      </w:pPr>
      <w:r w:rsidRPr="003C20C5">
        <w:rPr>
          <w:rFonts w:ascii="Palatino Linotype" w:eastAsia="Palatino Linotype" w:hAnsi="Palatino Linotype" w:cs="Palatino Linotype"/>
          <w:b/>
          <w:color w:val="000000"/>
          <w:szCs w:val="22"/>
          <w:lang w:val="es-ES_tradnl"/>
        </w:rPr>
        <w:t xml:space="preserve">La afectación generada en la situación jurídica de la persona involucrada en el proceso: </w:t>
      </w:r>
      <w:r w:rsidRPr="003C20C5">
        <w:rPr>
          <w:rFonts w:ascii="Palatino Linotype" w:eastAsia="Palatino Linotype" w:hAnsi="Palatino Linotype" w:cs="Palatino Linotype"/>
          <w:color w:val="000000"/>
          <w:szCs w:val="22"/>
          <w:lang w:val="es-ES_tradnl"/>
        </w:rPr>
        <w:t>Violación a sus derechos humanos.</w:t>
      </w:r>
    </w:p>
    <w:p w14:paraId="02875A28"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9"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9D2A7C">
        <w:rPr>
          <w:rFonts w:ascii="Palatino Linotype" w:eastAsia="Palatino Linotype" w:hAnsi="Palatino Linotype" w:cs="Palatino Linotype"/>
          <w:color w:val="000000"/>
          <w:lang w:val="es-ES_tradnl"/>
        </w:rPr>
        <w:lastRenderedPageBreak/>
        <w:t>considerarse normal, debe concluirse que es una excluyente de responsabilidad en relación con la actuación del funcionario, como ha acontecido en el caso que nos ocupa.</w:t>
      </w:r>
    </w:p>
    <w:p w14:paraId="02875A2A"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B"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Argumento que encuentra sustento en la jurisprudencia P./J. 32/92 emitida por el Pleno de la Suprema Corte de Justicia de la Nación </w:t>
      </w:r>
      <w:r w:rsidRPr="009D2A7C">
        <w:rPr>
          <w:rFonts w:ascii="Palatino Linotype" w:eastAsia="Palatino Linotype" w:hAnsi="Palatino Linotype" w:cs="Palatino Linotype"/>
          <w:lang w:val="es-ES_tradnl"/>
        </w:rPr>
        <w:t>del rubro</w:t>
      </w:r>
      <w:r w:rsidRPr="009D2A7C">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i/>
          <w:color w:val="000000"/>
          <w:lang w:val="es-ES_tradnl"/>
        </w:rPr>
        <w:t>“TÉRMINOS PROCESALES. PARA DETERMINAR SI UN FUNCIONARIO JUDICIAL ACTUÓ INDEBIDAMENTE POR NO RESPETARLOS SE DEBE ATENDER AL PRESUPUESTO QUE CONSIDERÓ EL LEGISLADOR AL FIJARLOS Y LAS CARACTERÍSTICAS DEL CASO.”</w:t>
      </w:r>
      <w:r w:rsidRPr="009D2A7C">
        <w:rPr>
          <w:rFonts w:ascii="Palatino Linotype" w:eastAsia="Palatino Linotype" w:hAnsi="Palatino Linotype" w:cs="Palatino Linotype"/>
          <w:i/>
          <w:color w:val="000000"/>
          <w:vertAlign w:val="superscript"/>
          <w:lang w:val="es-ES_tradnl"/>
        </w:rPr>
        <w:footnoteReference w:id="2"/>
      </w:r>
      <w:r w:rsidRPr="009D2A7C">
        <w:rPr>
          <w:rFonts w:ascii="Palatino Linotype" w:eastAsia="Palatino Linotype" w:hAnsi="Palatino Linotype" w:cs="Palatino Linotype"/>
          <w:color w:val="000000"/>
          <w:lang w:val="es-ES_tradnl"/>
        </w:rPr>
        <w:t xml:space="preserve">, visible en la Gaceta del </w:t>
      </w:r>
      <w:r w:rsidRPr="009D2A7C">
        <w:rPr>
          <w:rFonts w:ascii="Palatino Linotype" w:eastAsia="Palatino Linotype" w:hAnsi="Palatino Linotype" w:cs="Palatino Linotype"/>
          <w:lang w:val="es-ES_tradnl"/>
        </w:rPr>
        <w:t>Semanario</w:t>
      </w:r>
      <w:r w:rsidRPr="009D2A7C">
        <w:rPr>
          <w:rFonts w:ascii="Palatino Linotype" w:eastAsia="Palatino Linotype" w:hAnsi="Palatino Linotype" w:cs="Palatino Linotype"/>
          <w:color w:val="000000"/>
          <w:lang w:val="es-ES_tradnl"/>
        </w:rPr>
        <w:t xml:space="preserve"> Judicial de la Federación con el registro digital 205635.</w:t>
      </w:r>
    </w:p>
    <w:p w14:paraId="02875A2C"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D" w14:textId="77777777"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2875A2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2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Al respecto, también son de considerar los criterios sostenidos por el Cuarto Tribunal Colegiado en Materia Administrativa del Primer Circuito, cuyos rubros y datos de identificación son los siguientes:</w:t>
      </w:r>
    </w:p>
    <w:p w14:paraId="59362A39" w14:textId="77777777" w:rsidR="00A6415D" w:rsidRPr="009D2A7C"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0"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DIMENSIÓN Y EFECTOS DE ESTE CONCEPTO CUANDO SE ADUCE EXCESIVA CARGA DE TRABAJO.</w:t>
      </w:r>
      <w:r w:rsidRPr="009D2A7C">
        <w:rPr>
          <w:rFonts w:ascii="Palatino Linotype" w:eastAsia="Palatino Linotype" w:hAnsi="Palatino Linotype" w:cs="Palatino Linotype"/>
          <w:i/>
          <w:color w:val="000000"/>
          <w:sz w:val="22"/>
          <w:szCs w:val="22"/>
          <w:lang w:val="es-ES_tradnl"/>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w:t>
      </w:r>
      <w:r w:rsidRPr="009D2A7C">
        <w:rPr>
          <w:rFonts w:ascii="Palatino Linotype" w:eastAsia="Palatino Linotype" w:hAnsi="Palatino Linotype" w:cs="Palatino Linotype"/>
          <w:i/>
          <w:color w:val="000000"/>
          <w:sz w:val="22"/>
          <w:szCs w:val="22"/>
          <w:lang w:val="es-ES_tradnl"/>
        </w:rPr>
        <w:lastRenderedPageBreak/>
        <w:t>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9D2A7C">
        <w:rPr>
          <w:rFonts w:ascii="Palatino Linotype" w:eastAsia="Palatino Linotype" w:hAnsi="Palatino Linotype" w:cs="Palatino Linotype"/>
          <w:i/>
          <w:color w:val="000000"/>
          <w:sz w:val="22"/>
          <w:szCs w:val="22"/>
          <w:vertAlign w:val="superscript"/>
          <w:lang w:val="es-ES_tradnl"/>
        </w:rPr>
        <w:footnoteReference w:id="3"/>
      </w:r>
    </w:p>
    <w:p w14:paraId="02875A31" w14:textId="77777777" w:rsidR="00B01F10" w:rsidRPr="009D2A7C" w:rsidRDefault="00B01F10">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p>
    <w:p w14:paraId="02875A32" w14:textId="77777777" w:rsidR="00B01F10" w:rsidRPr="009D2A7C" w:rsidRDefault="00EE7D75">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lang w:val="es-ES_tradnl"/>
        </w:rPr>
      </w:pPr>
      <w:r w:rsidRPr="009D2A7C">
        <w:rPr>
          <w:rFonts w:ascii="Palatino Linotype" w:eastAsia="Palatino Linotype" w:hAnsi="Palatino Linotype" w:cs="Palatino Linotype"/>
          <w:b/>
          <w:i/>
          <w:color w:val="000000"/>
          <w:sz w:val="22"/>
          <w:szCs w:val="22"/>
          <w:lang w:val="es-ES_tradnl"/>
        </w:rPr>
        <w:t>PLAZO RAZONABLE PARA RESOLVER. CONCEPTO Y ELEMENTOS QUE LO INTEGRAN A LA LUZ DEL DERECHO INTERNACIONAL DE LOS DERECHOS HUMANOS.</w:t>
      </w:r>
      <w:r w:rsidRPr="009D2A7C">
        <w:rPr>
          <w:rFonts w:ascii="Palatino Linotype" w:eastAsia="Palatino Linotype" w:hAnsi="Palatino Linotype" w:cs="Palatino Linotype"/>
          <w:i/>
          <w:color w:val="000000"/>
          <w:sz w:val="22"/>
          <w:szCs w:val="22"/>
          <w:lang w:val="es-ES_tradnl"/>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w:t>
      </w:r>
      <w:r w:rsidRPr="009D2A7C">
        <w:rPr>
          <w:rFonts w:ascii="Palatino Linotype" w:eastAsia="Palatino Linotype" w:hAnsi="Palatino Linotype" w:cs="Palatino Linotype"/>
          <w:i/>
          <w:color w:val="000000"/>
          <w:sz w:val="22"/>
          <w:szCs w:val="22"/>
          <w:lang w:val="es-ES_tradnl"/>
        </w:rPr>
        <w:lastRenderedPageBreak/>
        <w:t>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9D2A7C">
        <w:rPr>
          <w:rFonts w:ascii="Palatino Linotype" w:eastAsia="Palatino Linotype" w:hAnsi="Palatino Linotype" w:cs="Palatino Linotype"/>
          <w:i/>
          <w:color w:val="000000"/>
          <w:sz w:val="22"/>
          <w:szCs w:val="22"/>
          <w:vertAlign w:val="superscript"/>
          <w:lang w:val="es-ES_tradnl"/>
        </w:rPr>
        <w:footnoteReference w:id="4"/>
      </w:r>
    </w:p>
    <w:p w14:paraId="02875A33"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4" w14:textId="7FE2FC86"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ello, este Organismo Garante, comprometido con la tutela de los derechos humanos confiados, señala que este exceso del plazo legal para resolver el presente </w:t>
      </w:r>
      <w:r w:rsidR="00A6415D" w:rsidRPr="009D2A7C">
        <w:rPr>
          <w:rFonts w:ascii="Palatino Linotype" w:eastAsia="Palatino Linotype" w:hAnsi="Palatino Linotype" w:cs="Palatino Linotype"/>
          <w:color w:val="000000"/>
          <w:lang w:val="es-ES_tradnl"/>
        </w:rPr>
        <w:t>asunto</w:t>
      </w:r>
      <w:r w:rsidRPr="009D2A7C">
        <w:rPr>
          <w:rFonts w:ascii="Palatino Linotype" w:eastAsia="Palatino Linotype" w:hAnsi="Palatino Linotype" w:cs="Palatino Linotype"/>
          <w:color w:val="000000"/>
          <w:lang w:val="es-ES_tradnl"/>
        </w:rPr>
        <w:t xml:space="preserve"> resulta de carácter excepcional. </w:t>
      </w:r>
    </w:p>
    <w:p w14:paraId="02875A35"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p>
    <w:p w14:paraId="02875A36" w14:textId="7C1BFC3D"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bookmarkStart w:id="2" w:name="_heading=h.1fob9te" w:colFirst="0" w:colLast="0"/>
      <w:bookmarkEnd w:id="2"/>
      <w:r w:rsidRPr="009D2A7C">
        <w:rPr>
          <w:rFonts w:ascii="Palatino Linotype" w:eastAsia="Palatino Linotype" w:hAnsi="Palatino Linotype" w:cs="Palatino Linotype"/>
          <w:color w:val="000000"/>
          <w:lang w:val="es-ES_tradnl"/>
        </w:rPr>
        <w:t xml:space="preserve">Finalmente, el </w:t>
      </w:r>
      <w:r w:rsidR="00F311EA">
        <w:rPr>
          <w:rFonts w:ascii="Palatino Linotype" w:eastAsia="Palatino Linotype" w:hAnsi="Palatino Linotype" w:cs="Palatino Linotype"/>
          <w:b/>
          <w:color w:val="000000"/>
          <w:lang w:val="es-ES_tradnl"/>
        </w:rPr>
        <w:t>quince (15</w:t>
      </w:r>
      <w:r w:rsidR="0009774D">
        <w:rPr>
          <w:rFonts w:ascii="Palatino Linotype" w:eastAsia="Palatino Linotype" w:hAnsi="Palatino Linotype" w:cs="Palatino Linotype"/>
          <w:b/>
          <w:color w:val="000000"/>
          <w:lang w:val="es-ES_tradnl"/>
        </w:rPr>
        <w:t>) de agosto</w:t>
      </w:r>
      <w:r w:rsidRPr="009D2A7C">
        <w:rPr>
          <w:rFonts w:ascii="Palatino Linotype" w:eastAsia="Palatino Linotype" w:hAnsi="Palatino Linotype" w:cs="Palatino Linotype"/>
          <w:b/>
          <w:color w:val="000000"/>
          <w:lang w:val="es-ES_tradnl"/>
        </w:rPr>
        <w:t xml:space="preserve"> de dos mil veinticuatro</w:t>
      </w:r>
      <w:r w:rsidRPr="009D2A7C">
        <w:rPr>
          <w:rFonts w:ascii="Palatino Linotype" w:eastAsia="Palatino Linotype" w:hAnsi="Palatino Linotype" w:cs="Palatino Linotype"/>
          <w:color w:val="000000"/>
          <w:lang w:val="es-ES_tradnl"/>
        </w:rPr>
        <w:t>, la Comisionada Ponente decretó el cierre del periodo de instrucción, por lo que ordenó turnar el expediente para su resolución, misma que ahora se pronuncia; y ------------------------</w:t>
      </w:r>
    </w:p>
    <w:p w14:paraId="02875A37" w14:textId="08F29861" w:rsidR="00B01F10" w:rsidRPr="009D2A7C" w:rsidRDefault="00F311EA">
      <w:pPr>
        <w:rPr>
          <w:rFonts w:ascii="Palatino Linotype" w:eastAsia="Palatino Linotype" w:hAnsi="Palatino Linotype" w:cs="Palatino Linotype"/>
          <w:color w:val="000000"/>
          <w:lang w:val="es-ES_tradnl"/>
        </w:rPr>
      </w:pPr>
      <w:r>
        <w:rPr>
          <w:rFonts w:ascii="Palatino Linotype" w:eastAsia="Palatino Linotype" w:hAnsi="Palatino Linotype" w:cs="Palatino Linotype"/>
          <w:noProof/>
          <w:color w:val="000000"/>
        </w:rPr>
        <mc:AlternateContent>
          <mc:Choice Requires="wps">
            <w:drawing>
              <wp:anchor distT="0" distB="0" distL="114300" distR="114300" simplePos="0" relativeHeight="251661312" behindDoc="0" locked="0" layoutInCell="1" allowOverlap="1" wp14:anchorId="5DCC7EFA" wp14:editId="75144C6B">
                <wp:simplePos x="0" y="0"/>
                <wp:positionH relativeFrom="margin">
                  <wp:align>right</wp:align>
                </wp:positionH>
                <wp:positionV relativeFrom="paragraph">
                  <wp:posOffset>43256</wp:posOffset>
                </wp:positionV>
                <wp:extent cx="5501030" cy="1660170"/>
                <wp:effectExtent l="38100" t="38100" r="61595" b="92710"/>
                <wp:wrapNone/>
                <wp:docPr id="4" name="Conector recto 4"/>
                <wp:cNvGraphicFramePr/>
                <a:graphic xmlns:a="http://schemas.openxmlformats.org/drawingml/2006/main">
                  <a:graphicData uri="http://schemas.microsoft.com/office/word/2010/wordprocessingShape">
                    <wps:wsp>
                      <wps:cNvCnPr/>
                      <wps:spPr>
                        <a:xfrm flipV="1">
                          <a:off x="0" y="0"/>
                          <a:ext cx="5501030" cy="166017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13C19E" id="Conector recto 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1.95pt,3.4pt" to="815.1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" strokecolor="black [3200]">
                <v:shadow on="t" color="black" opacity="24903f" origin=",.5" offset="0,.55556mm"/>
                <w10:wrap anchorx="margin"/>
              </v:line>
            </w:pict>
          </mc:Fallback>
        </mc:AlternateContent>
      </w:r>
    </w:p>
    <w:p w14:paraId="02875A38" w14:textId="58A8A1FA" w:rsidR="00F311EA" w:rsidRDefault="00F311EA">
      <w:pPr>
        <w:rPr>
          <w:b/>
          <w:lang w:val="es-ES_tradnl"/>
        </w:rPr>
      </w:pPr>
      <w:bookmarkStart w:id="3" w:name="_heading=h.wee2tkd1eq3l" w:colFirst="0" w:colLast="0"/>
      <w:bookmarkEnd w:id="3"/>
      <w:r>
        <w:rPr>
          <w:b/>
          <w:lang w:val="es-ES_tradnl"/>
        </w:rPr>
        <w:br w:type="page"/>
      </w:r>
    </w:p>
    <w:p w14:paraId="02875A39" w14:textId="77777777" w:rsidR="00B01F10" w:rsidRPr="009D2A7C" w:rsidRDefault="00EE7D75">
      <w:pPr>
        <w:pStyle w:val="Ttulo1"/>
        <w:spacing w:before="0"/>
        <w:jc w:val="center"/>
        <w:rPr>
          <w:b/>
          <w:color w:val="000000"/>
          <w:lang w:val="es-ES_tradnl"/>
        </w:rPr>
      </w:pPr>
      <w:bookmarkStart w:id="4" w:name="_heading=h.3znysh7" w:colFirst="0" w:colLast="0"/>
      <w:bookmarkEnd w:id="4"/>
      <w:r w:rsidRPr="009D2A7C">
        <w:rPr>
          <w:b/>
          <w:lang w:val="es-ES_tradnl"/>
        </w:rPr>
        <w:lastRenderedPageBreak/>
        <w:t>C</w:t>
      </w:r>
      <w:r w:rsidRPr="009D2A7C">
        <w:rPr>
          <w:b/>
          <w:color w:val="000000"/>
          <w:lang w:val="es-ES_tradnl"/>
        </w:rPr>
        <w:t xml:space="preserve"> O N S I D E R A N D O</w:t>
      </w:r>
    </w:p>
    <w:p w14:paraId="02875A3A" w14:textId="77777777" w:rsidR="00B01F10" w:rsidRPr="009D2A7C" w:rsidRDefault="00B01F10">
      <w:pPr>
        <w:rPr>
          <w:color w:val="000000"/>
          <w:lang w:val="es-ES_tradnl"/>
        </w:rPr>
      </w:pPr>
    </w:p>
    <w:p w14:paraId="02875A3B" w14:textId="77777777" w:rsidR="00B01F10" w:rsidRPr="009D2A7C" w:rsidRDefault="00B01F10">
      <w:pPr>
        <w:rPr>
          <w:color w:val="000000"/>
          <w:lang w:val="es-ES_tradnl"/>
        </w:rPr>
      </w:pPr>
    </w:p>
    <w:p w14:paraId="02875A3C" w14:textId="77777777" w:rsidR="00B01F10" w:rsidRPr="009D2A7C" w:rsidRDefault="00EE7D75">
      <w:pPr>
        <w:pStyle w:val="Ttulo2"/>
        <w:spacing w:before="0"/>
        <w:rPr>
          <w:rFonts w:ascii="Palatino Linotype" w:eastAsia="Palatino Linotype" w:hAnsi="Palatino Linotype" w:cs="Palatino Linotype"/>
          <w:b/>
          <w:color w:val="000000"/>
          <w:sz w:val="24"/>
          <w:szCs w:val="24"/>
          <w:lang w:val="es-ES_tradnl"/>
        </w:rPr>
      </w:pPr>
      <w:bookmarkStart w:id="5" w:name="_heading=h.2et92p0" w:colFirst="0" w:colLast="0"/>
      <w:bookmarkEnd w:id="5"/>
      <w:r w:rsidRPr="009D2A7C">
        <w:rPr>
          <w:rFonts w:ascii="Palatino Linotype" w:eastAsia="Palatino Linotype" w:hAnsi="Palatino Linotype" w:cs="Palatino Linotype"/>
          <w:b/>
          <w:color w:val="000000"/>
          <w:sz w:val="24"/>
          <w:szCs w:val="24"/>
          <w:lang w:val="es-ES_tradnl"/>
        </w:rPr>
        <w:t>PRIMERO. De la competencia</w:t>
      </w:r>
    </w:p>
    <w:p w14:paraId="60D08B73" w14:textId="77777777" w:rsidR="00A6415D" w:rsidRPr="00A6415D" w:rsidRDefault="00A6415D" w:rsidP="00A6415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D" w14:textId="41FEA36E" w:rsidR="00B01F10" w:rsidRPr="009D2A7C"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r w:rsidRPr="009D2A7C">
        <w:rPr>
          <w:rFonts w:ascii="Palatino Linotype" w:eastAsia="Palatino Linotype" w:hAnsi="Palatino Linotype" w:cs="Palatino Linotype"/>
          <w:color w:val="000000"/>
          <w:lang w:val="es-ES_tradnl"/>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2875A3E" w14:textId="77777777" w:rsidR="00B01F10" w:rsidRPr="009D2A7C" w:rsidRDefault="00B01F1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p>
    <w:p w14:paraId="02875A3F" w14:textId="77777777" w:rsidR="00B01F10" w:rsidRPr="009D2A7C" w:rsidRDefault="00EE7D75">
      <w:pPr>
        <w:pStyle w:val="Ttulo2"/>
        <w:tabs>
          <w:tab w:val="left" w:pos="426"/>
        </w:tabs>
        <w:spacing w:before="0"/>
        <w:rPr>
          <w:rFonts w:ascii="Palatino Linotype" w:eastAsia="Palatino Linotype" w:hAnsi="Palatino Linotype" w:cs="Palatino Linotype"/>
          <w:b/>
          <w:color w:val="000000"/>
          <w:sz w:val="24"/>
          <w:szCs w:val="24"/>
          <w:lang w:val="es-ES_tradnl"/>
        </w:rPr>
      </w:pPr>
      <w:bookmarkStart w:id="6" w:name="_heading=h.tyjcwt" w:colFirst="0" w:colLast="0"/>
      <w:bookmarkEnd w:id="6"/>
      <w:r w:rsidRPr="009D2A7C">
        <w:rPr>
          <w:rFonts w:ascii="Palatino Linotype" w:eastAsia="Palatino Linotype" w:hAnsi="Palatino Linotype" w:cs="Palatino Linotype"/>
          <w:b/>
          <w:color w:val="000000"/>
          <w:sz w:val="24"/>
          <w:szCs w:val="24"/>
          <w:lang w:val="es-ES_tradnl"/>
        </w:rPr>
        <w:t>SEGUNDO. De la oportunidad y procedencia.</w:t>
      </w:r>
    </w:p>
    <w:p w14:paraId="2EF3B3F0" w14:textId="0E1AEF91" w:rsidR="00910316" w:rsidRPr="009D2A7C" w:rsidRDefault="00910316" w:rsidP="00910316">
      <w:pPr>
        <w:tabs>
          <w:tab w:val="left" w:pos="426"/>
        </w:tabs>
        <w:spacing w:line="360" w:lineRule="auto"/>
        <w:ind w:right="49"/>
        <w:jc w:val="both"/>
        <w:rPr>
          <w:rFonts w:ascii="Palatino Linotype" w:eastAsia="Palatino Linotype" w:hAnsi="Palatino Linotype" w:cs="Palatino Linotype"/>
          <w:lang w:val="es-ES_tradnl"/>
        </w:rPr>
      </w:pPr>
    </w:p>
    <w:p w14:paraId="02875A40" w14:textId="10342CE6" w:rsidR="00B01F10" w:rsidRPr="009D2A7C" w:rsidRDefault="00910316">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sidRPr="009D2A7C">
        <w:rPr>
          <w:rFonts w:ascii="Palatino Linotype" w:eastAsia="Palatino Linotype" w:hAnsi="Palatino Linotype" w:cs="Palatino Linotype"/>
          <w:color w:val="000000"/>
          <w:lang w:val="es-ES_tradnl"/>
        </w:rPr>
        <w:t>E</w:t>
      </w:r>
      <w:r w:rsidR="00EE7D75" w:rsidRPr="009D2A7C">
        <w:rPr>
          <w:rFonts w:ascii="Palatino Linotype" w:eastAsia="Palatino Linotype" w:hAnsi="Palatino Linotype" w:cs="Palatino Linotype"/>
          <w:color w:val="000000"/>
          <w:lang w:val="es-ES_tradnl"/>
        </w:rPr>
        <w:t xml:space="preserve">l </w:t>
      </w:r>
      <w:r w:rsidR="00EE7D75" w:rsidRPr="009D2A7C">
        <w:rPr>
          <w:rFonts w:ascii="Palatino Linotype" w:eastAsia="Palatino Linotype" w:hAnsi="Palatino Linotype" w:cs="Palatino Linotype"/>
          <w:lang w:val="es-ES_tradnl"/>
        </w:rPr>
        <w:t>medio de impugnación fue presentado a través del SAIMEX</w:t>
      </w:r>
      <w:r w:rsidR="00EE7D75" w:rsidRPr="009D2A7C">
        <w:rPr>
          <w:rFonts w:ascii="Palatino Linotype" w:eastAsia="Palatino Linotype" w:hAnsi="Palatino Linotype" w:cs="Palatino Linotype"/>
          <w:b/>
          <w:lang w:val="es-ES_tradnl"/>
        </w:rPr>
        <w:t>,</w:t>
      </w:r>
      <w:r w:rsidR="00EE7D75" w:rsidRPr="009D2A7C">
        <w:rPr>
          <w:rFonts w:ascii="Palatino Linotype" w:eastAsia="Palatino Linotype" w:hAnsi="Palatino Linotype" w:cs="Palatino Linotype"/>
          <w:lang w:val="es-ES_tradnl"/>
        </w:rPr>
        <w:t xml:space="preserve"> en el formato previamente aprobado para tal efecto y dentro del plazo legal de quince días hábiles otorgados; para el caso en particular, es de señalar que si el </w:t>
      </w:r>
      <w:r w:rsidR="00EE7D75" w:rsidRPr="009D2A7C">
        <w:rPr>
          <w:rFonts w:ascii="Palatino Linotype" w:eastAsia="Palatino Linotype" w:hAnsi="Palatino Linotype" w:cs="Palatino Linotype"/>
          <w:b/>
          <w:lang w:val="es-ES_tradnl"/>
        </w:rPr>
        <w:t>SUJETO OBLIGADO</w:t>
      </w:r>
      <w:r w:rsidR="00EE7D75" w:rsidRPr="009D2A7C">
        <w:rPr>
          <w:rFonts w:ascii="Palatino Linotype" w:eastAsia="Palatino Linotype" w:hAnsi="Palatino Linotype" w:cs="Palatino Linotype"/>
          <w:lang w:val="es-ES_tradnl"/>
        </w:rPr>
        <w:t xml:space="preserve"> entregó respuesta el </w:t>
      </w:r>
      <w:r w:rsidR="00F311EA">
        <w:rPr>
          <w:rFonts w:ascii="Palatino Linotype" w:eastAsia="Palatino Linotype" w:hAnsi="Palatino Linotype" w:cs="Palatino Linotype"/>
          <w:b/>
          <w:lang w:val="es-ES_tradnl"/>
        </w:rPr>
        <w:t>ocho (08</w:t>
      </w:r>
      <w:r w:rsidR="009B04C7">
        <w:rPr>
          <w:rFonts w:ascii="Palatino Linotype" w:eastAsia="Palatino Linotype" w:hAnsi="Palatino Linotype" w:cs="Palatino Linotype"/>
          <w:b/>
          <w:lang w:val="es-ES_tradnl"/>
        </w:rPr>
        <w:t>) de septiembre</w:t>
      </w:r>
      <w:r w:rsidR="00311C37" w:rsidRPr="009D2A7C">
        <w:rPr>
          <w:rFonts w:ascii="Palatino Linotype" w:eastAsia="Palatino Linotype" w:hAnsi="Palatino Linotype" w:cs="Palatino Linotype"/>
          <w:b/>
          <w:lang w:val="es-ES_tradnl"/>
        </w:rPr>
        <w:t xml:space="preserve"> de dos mil veintitrés</w:t>
      </w:r>
      <w:r w:rsidR="00EE7D75" w:rsidRPr="009D2A7C">
        <w:rPr>
          <w:rFonts w:ascii="Palatino Linotype" w:eastAsia="Palatino Linotype" w:hAnsi="Palatino Linotype" w:cs="Palatino Linotype"/>
          <w:lang w:val="es-ES_tradnl"/>
        </w:rPr>
        <w:t xml:space="preserve">, el plazo para interponer el recurso de revisión transcurrió del </w:t>
      </w:r>
      <w:r w:rsidR="00F311EA">
        <w:rPr>
          <w:rFonts w:ascii="Palatino Linotype" w:eastAsia="Palatino Linotype" w:hAnsi="Palatino Linotype" w:cs="Palatino Linotype"/>
          <w:b/>
          <w:lang w:val="es-ES_tradnl"/>
        </w:rPr>
        <w:t>once (11</w:t>
      </w:r>
      <w:r w:rsidR="009B04C7">
        <w:rPr>
          <w:rFonts w:ascii="Palatino Linotype" w:eastAsia="Palatino Linotype" w:hAnsi="Palatino Linotype" w:cs="Palatino Linotype"/>
          <w:b/>
          <w:lang w:val="es-ES_tradnl"/>
        </w:rPr>
        <w:t>)</w:t>
      </w:r>
      <w:r w:rsidR="00EE7D75" w:rsidRPr="009D2A7C">
        <w:rPr>
          <w:rFonts w:ascii="Palatino Linotype" w:eastAsia="Palatino Linotype" w:hAnsi="Palatino Linotype" w:cs="Palatino Linotype"/>
          <w:b/>
          <w:lang w:val="es-ES_tradnl"/>
        </w:rPr>
        <w:t xml:space="preserve"> </w:t>
      </w:r>
      <w:r w:rsidR="00EE7D75" w:rsidRPr="009D2A7C">
        <w:rPr>
          <w:rFonts w:ascii="Palatino Linotype" w:eastAsia="Palatino Linotype" w:hAnsi="Palatino Linotype" w:cs="Palatino Linotype"/>
          <w:lang w:val="es-ES_tradnl"/>
        </w:rPr>
        <w:t>al</w:t>
      </w:r>
      <w:r w:rsidR="00EE7D75" w:rsidRPr="009D2A7C">
        <w:rPr>
          <w:rFonts w:ascii="Palatino Linotype" w:eastAsia="Palatino Linotype" w:hAnsi="Palatino Linotype" w:cs="Palatino Linotype"/>
          <w:b/>
          <w:lang w:val="es-ES_tradnl"/>
        </w:rPr>
        <w:t xml:space="preserve"> </w:t>
      </w:r>
      <w:r w:rsidR="00F311EA">
        <w:rPr>
          <w:rFonts w:ascii="Palatino Linotype" w:eastAsia="Palatino Linotype" w:hAnsi="Palatino Linotype" w:cs="Palatino Linotype"/>
          <w:b/>
          <w:lang w:val="es-ES_tradnl"/>
        </w:rPr>
        <w:t>veintinueve (29</w:t>
      </w:r>
      <w:r w:rsidR="0009774D">
        <w:rPr>
          <w:rFonts w:ascii="Palatino Linotype" w:eastAsia="Palatino Linotype" w:hAnsi="Palatino Linotype" w:cs="Palatino Linotype"/>
          <w:b/>
          <w:lang w:val="es-ES_tradnl"/>
        </w:rPr>
        <w:t>) de septiembre</w:t>
      </w:r>
      <w:r w:rsidR="00ED0AD4" w:rsidRPr="009D2A7C">
        <w:rPr>
          <w:rFonts w:ascii="Palatino Linotype" w:eastAsia="Palatino Linotype" w:hAnsi="Palatino Linotype" w:cs="Palatino Linotype"/>
          <w:b/>
          <w:lang w:val="es-ES_tradnl"/>
        </w:rPr>
        <w:t xml:space="preserve"> de dos mil veintitrés</w:t>
      </w:r>
      <w:r w:rsidR="00EE7D75" w:rsidRPr="009D2A7C">
        <w:rPr>
          <w:rFonts w:ascii="Palatino Linotype" w:eastAsia="Palatino Linotype" w:hAnsi="Palatino Linotype" w:cs="Palatino Linotype"/>
          <w:lang w:val="es-ES_tradnl"/>
        </w:rPr>
        <w:t>; sin contemplar en el cómputo los sábados</w:t>
      </w:r>
      <w:r w:rsidR="00F24FCF">
        <w:rPr>
          <w:rFonts w:ascii="Palatino Linotype" w:eastAsia="Palatino Linotype" w:hAnsi="Palatino Linotype" w:cs="Palatino Linotype"/>
          <w:lang w:val="es-ES_tradnl"/>
        </w:rPr>
        <w:t xml:space="preserve"> y</w:t>
      </w:r>
      <w:r w:rsidR="00EE7D75" w:rsidRPr="009D2A7C">
        <w:rPr>
          <w:rFonts w:ascii="Palatino Linotype" w:eastAsia="Palatino Linotype" w:hAnsi="Palatino Linotype" w:cs="Palatino Linotype"/>
          <w:lang w:val="es-ES_tradnl"/>
        </w:rPr>
        <w:t xml:space="preserve"> domingos, en términos del artículo 3, fracción X, de la Ley de Transparencia y Acceso a la Información Pública del Estado de México y Municipios.</w:t>
      </w:r>
    </w:p>
    <w:p w14:paraId="02875A41" w14:textId="77777777" w:rsidR="00B01F10" w:rsidRPr="009D2A7C" w:rsidRDefault="00B01F10">
      <w:pPr>
        <w:tabs>
          <w:tab w:val="left" w:pos="426"/>
        </w:tabs>
        <w:spacing w:line="360" w:lineRule="auto"/>
        <w:ind w:right="49"/>
        <w:jc w:val="both"/>
        <w:rPr>
          <w:rFonts w:ascii="Palatino Linotype" w:eastAsia="Palatino Linotype" w:hAnsi="Palatino Linotype" w:cs="Palatino Linotype"/>
          <w:lang w:val="es-ES_tradnl"/>
        </w:rPr>
      </w:pPr>
    </w:p>
    <w:p w14:paraId="0D7472A7" w14:textId="6D8C90CD" w:rsidR="00F24FCF"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De las </w:t>
      </w:r>
      <w:r>
        <w:rPr>
          <w:rFonts w:ascii="Palatino Linotype" w:eastAsia="Palatino Linotype" w:hAnsi="Palatino Linotype" w:cs="Palatino Linotype"/>
          <w:color w:val="000000"/>
        </w:rPr>
        <w:t xml:space="preserve">constancias que obran dentro del expediente digital, formado en el SAIMEX, se aprecia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w:t>
      </w:r>
      <w:r>
        <w:rPr>
          <w:rFonts w:ascii="Palatino Linotype" w:eastAsia="Palatino Linotype" w:hAnsi="Palatino Linotype" w:cs="Palatino Linotype"/>
          <w:b/>
          <w:lang w:val="es-ES_tradnl"/>
        </w:rPr>
        <w:t>ocho (08) de septiembre</w:t>
      </w:r>
      <w:r w:rsidRPr="009D2A7C">
        <w:rPr>
          <w:rFonts w:ascii="Palatino Linotype" w:eastAsia="Palatino Linotype" w:hAnsi="Palatino Linotype" w:cs="Palatino Linotype"/>
          <w:b/>
          <w:lang w:val="es-ES_tradnl"/>
        </w:rPr>
        <w:t xml:space="preserve"> de dos mil veintitrés</w:t>
      </w:r>
      <w:r>
        <w:rPr>
          <w:rFonts w:ascii="Palatino Linotype" w:eastAsia="Palatino Linotype" w:hAnsi="Palatino Linotype" w:cs="Palatino Linotype"/>
          <w:color w:val="000000"/>
        </w:rPr>
        <w:t xml:space="preserve">; esto es, un día antes de que iniciara el plazo precitado, </w:t>
      </w:r>
      <w:r>
        <w:rPr>
          <w:rFonts w:ascii="Palatino Linotype" w:eastAsia="Palatino Linotype" w:hAnsi="Palatino Linotype" w:cs="Palatino Linotype"/>
          <w:b/>
          <w:color w:val="000000"/>
        </w:rPr>
        <w:t>circunstancia que no es determinante para declarar extemporaneidad</w:t>
      </w:r>
      <w:r>
        <w:rPr>
          <w:rFonts w:ascii="Palatino Linotype" w:eastAsia="Palatino Linotype" w:hAnsi="Palatino Linotype" w:cs="Palatino Linotype"/>
          <w:color w:val="000000"/>
        </w:rPr>
        <w:t>, toda vez que el tiempo concedido es para delimitar el término en que se puede impugnar las respuestas, luego entonces, no impide que se presente antes de iniciado el plazo concedido.</w:t>
      </w:r>
    </w:p>
    <w:p w14:paraId="78562B2F"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475F236A" w14:textId="324D250F" w:rsidR="00F311EA"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Al </w:t>
      </w:r>
      <w:r>
        <w:rPr>
          <w:rFonts w:ascii="Palatino Linotype" w:eastAsia="Palatino Linotype" w:hAnsi="Palatino Linotype" w:cs="Palatino Linotype"/>
          <w:color w:val="000000"/>
        </w:rPr>
        <w:t>respecto, cabe señalar que cuando el medio de impugnación se haya interpuesto el mismo día en que se notificó la respuesta impugnada, resulta insuficiente para tener por extemporáneo el recurso de revisión de mérito, toda vez que la Ley de Transparencia y Acceso a la Información Pública del Estado de México y Municipios sólo establece que este medio de defensa se ha de promover dentro de los 15 días hábiles siguientes en que se tenga conocimiento de la respuesta impugnada; sin embargo, no prohíbe que el recurso de revisión se presente el mismo día en que ésta fue notificada. Por lo que es de señalar que, en aras de privilegiar el derecho de acceso a la información, se entrará al estudio del presente recurso de revisión sin que la fecha en que se presentó afecte la resolución.</w:t>
      </w:r>
    </w:p>
    <w:p w14:paraId="1CC39D04"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1E4654A0" w14:textId="5A62E1D1" w:rsidR="00F311EA"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Discernimiento </w:t>
      </w:r>
      <w:r>
        <w:rPr>
          <w:rFonts w:ascii="Palatino Linotype" w:eastAsia="Palatino Linotype" w:hAnsi="Palatino Linotype" w:cs="Palatino Linotype"/>
          <w:color w:val="000000"/>
        </w:rPr>
        <w:t>de este Órgano Garante que se robustece con la jurisprudencia número 1a./J. 41/2015 (10a.), Décima Época, sustentada por la Primera Sala de la Suprema Corte de Justicia de la Nación, visible en la página 569, libro 19, tomo I, de la Gaceta del Semanario Judicial de la Federación, del mes de junio de 2015, cuyo rubro y texto disponen:</w:t>
      </w:r>
    </w:p>
    <w:p w14:paraId="176B6E82"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4DA42C37" w14:textId="77777777" w:rsidR="00F311EA" w:rsidRDefault="00F311EA" w:rsidP="00F311E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RECURSO DE RECLAMACIÓN. SU INTERPOSICIÓN NO ES EXTEMPORÁNEA SI SE REALIZA ANTES DE QUE INICIE EL PLAZO PARA HACERLO. </w:t>
      </w:r>
      <w:r>
        <w:rPr>
          <w:rFonts w:ascii="Palatino Linotype" w:eastAsia="Palatino Linotype" w:hAnsi="Palatino Linotype" w:cs="Palatino Linotype"/>
          <w:i/>
          <w:color w:val="000000"/>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si dicho recurso se interpone antes de que inicie el plazo para hacerlo, su presentación no es extemporánea.”</w:t>
      </w:r>
    </w:p>
    <w:p w14:paraId="64034313"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53FD6B50" w14:textId="7BFF7EE9" w:rsidR="00F311EA"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Esto </w:t>
      </w:r>
      <w:r>
        <w:rPr>
          <w:rFonts w:ascii="Palatino Linotype" w:eastAsia="Palatino Linotype" w:hAnsi="Palatino Linotype" w:cs="Palatino Linotype"/>
          <w:color w:val="000000"/>
        </w:rPr>
        <w:t xml:space="preserve">es así porque, en primer lugar, es necesario que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ser notificada,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actúe, ya que, por el contrario, lo que demuestra es el interés de éste para ejercer su derecho bajo el principio constitucional de justicia expedita.</w:t>
      </w:r>
    </w:p>
    <w:p w14:paraId="0F7B32B8"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15F3701F" w14:textId="08CB3EFC" w:rsidR="00F311EA"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Pr>
          <w:rFonts w:ascii="Palatino Linotype" w:eastAsia="Palatino Linotype" w:hAnsi="Palatino Linotype" w:cs="Palatino Linotype"/>
          <w:color w:val="000000"/>
        </w:rPr>
        <w:t>lo que la presentación del recurso de revisión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045566E2"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31CBDD1E" w14:textId="2F2452A4" w:rsidR="00F311EA" w:rsidRDefault="00F311EA" w:rsidP="00BA68DD">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Así, </w:t>
      </w:r>
      <w:r>
        <w:rPr>
          <w:rFonts w:ascii="Palatino Linotype" w:eastAsia="Palatino Linotype" w:hAnsi="Palatino Linotype" w:cs="Palatino Linotype"/>
          <w:color w:val="000000"/>
        </w:rPr>
        <w:t xml:space="preserve">la interposición del recurso de revisión antes de que inicie el plazo para su presentación no es determinante para declararlo extemporáneo, siempre y cuando ello ocurra de manera posterior a que se haya notificado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-tal como ocurre en el presente asunto-.</w:t>
      </w:r>
    </w:p>
    <w:p w14:paraId="5B589BC1" w14:textId="77777777" w:rsidR="00F311EA" w:rsidRDefault="00F311EA" w:rsidP="00F311EA">
      <w:pPr>
        <w:tabs>
          <w:tab w:val="left" w:pos="426"/>
        </w:tabs>
        <w:spacing w:line="360" w:lineRule="auto"/>
        <w:ind w:right="49"/>
        <w:jc w:val="both"/>
        <w:rPr>
          <w:rFonts w:ascii="Palatino Linotype" w:eastAsia="Palatino Linotype" w:hAnsi="Palatino Linotype" w:cs="Palatino Linotype"/>
          <w:lang w:val="es-ES_tradnl"/>
        </w:rPr>
      </w:pPr>
    </w:p>
    <w:p w14:paraId="43021A40" w14:textId="3AAAA90B"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 xml:space="preserve">otro lado, de la revisión al  expediente electrónico contenido en el </w:t>
      </w:r>
      <w:r>
        <w:rPr>
          <w:rFonts w:ascii="Palatino Linotype" w:hAnsi="Palatino Linotype" w:cs="Arial"/>
          <w:bCs/>
        </w:rPr>
        <w:t xml:space="preserve">SAIMEX, </w:t>
      </w:r>
      <w:r w:rsidRPr="009B4B64">
        <w:rPr>
          <w:rFonts w:ascii="Palatino Linotype" w:hAnsi="Palatino Linotype" w:cs="Arial"/>
          <w:bCs/>
        </w:rPr>
        <w:t xml:space="preserve">se desprende que la parte solicitante, en ejercicio de su derecho de acceso a la información pública en </w:t>
      </w:r>
      <w:r>
        <w:rPr>
          <w:rFonts w:ascii="Palatino Linotype" w:hAnsi="Palatino Linotype" w:cs="Arial"/>
          <w:bCs/>
        </w:rPr>
        <w:t>el expediente que se revisa</w:t>
      </w:r>
      <w:r w:rsidRPr="009B4B64">
        <w:rPr>
          <w:rFonts w:ascii="Palatino Linotype" w:hAnsi="Palatino Linotype" w:cs="Arial"/>
          <w:bCs/>
        </w:rPr>
        <w:t xml:space="preserve">, tanto en la solicitud de información como en el recurso de revisión, </w:t>
      </w:r>
      <w:r w:rsidRPr="009B4B64">
        <w:rPr>
          <w:rFonts w:ascii="Palatino Linotype" w:hAnsi="Palatino Linotype" w:cs="Arial"/>
          <w:b/>
          <w:bCs/>
        </w:rPr>
        <w:t xml:space="preserve">no señaló </w:t>
      </w:r>
      <w:r>
        <w:rPr>
          <w:rFonts w:ascii="Palatino Linotype" w:hAnsi="Palatino Linotype" w:cs="Arial"/>
          <w:b/>
          <w:bCs/>
        </w:rPr>
        <w:t>ningún nombre, seudónimo o carácter para identificarse, ni se tiene certeza de su identidad</w:t>
      </w:r>
      <w:r w:rsidRPr="009B4B64">
        <w:rPr>
          <w:rFonts w:ascii="Palatino Linotype" w:hAnsi="Palatino Linotype" w:cs="Arial"/>
          <w:bCs/>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475F2D49"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60F63F3" w14:textId="2AA867D2"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Esto </w:t>
      </w:r>
      <w:r w:rsidRPr="009B4B64">
        <w:rPr>
          <w:rFonts w:ascii="Palatino Linotype" w:hAnsi="Palatino Linotype" w:cs="Arial"/>
          <w:bCs/>
        </w:rPr>
        <w:t xml:space="preserve">es así, ya que de conformidad </w:t>
      </w:r>
      <w:r w:rsidRPr="001E28AD">
        <w:rPr>
          <w:rFonts w:ascii="Palatino Linotype" w:hAnsi="Palatino Linotype" w:cs="Arial"/>
          <w:bCs/>
        </w:rPr>
        <w:t>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w:t>
      </w:r>
      <w:r w:rsidRPr="009B4B64">
        <w:rPr>
          <w:rFonts w:ascii="Palatino Linotype" w:hAnsi="Palatino Linotype" w:cs="Arial"/>
          <w:bCs/>
        </w:rPr>
        <w:t xml:space="preserve">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29592156"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5F960CC0" w14:textId="427498B8"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 xml:space="preserve">lo cual, de una interpretación sistemática, armónica y progresiva del derecho humano de acceso a la información pública se aprecia que toda persona, sin necesidad de acreditar interés alguno o justificar su utilización, deberá tener </w:t>
      </w:r>
      <w:r w:rsidRPr="009B4B64">
        <w:rPr>
          <w:rFonts w:ascii="Palatino Linotype" w:hAnsi="Palatino Linotype" w:cs="Arial"/>
          <w:bCs/>
        </w:rPr>
        <w:lastRenderedPageBreak/>
        <w:t>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B60B596"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47C2C241" w14:textId="40C8220B"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Asimismo, </w:t>
      </w:r>
      <w:r w:rsidRPr="009B4B64">
        <w:rPr>
          <w:rFonts w:ascii="Palatino Linotype" w:hAnsi="Palatino Linotype" w:cs="Arial"/>
          <w:bCs/>
        </w:rPr>
        <w:t>como lo establece la Convención Americana, en su artículo 13, el derecho de acceso a la información es un derecho humano universal y, en consecuencia, toda persona tiene derecho a solicitar acceso a la información.</w:t>
      </w:r>
    </w:p>
    <w:p w14:paraId="28231110"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1C61C578" w14:textId="7EB70AED"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De </w:t>
      </w:r>
      <w:r w:rsidRPr="009B4B64">
        <w:rPr>
          <w:rFonts w:ascii="Palatino Linotype" w:hAnsi="Palatino Linotype" w:cs="Arial"/>
          <w:bCs/>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45256EC" w14:textId="77777777" w:rsidR="00F24FCF" w:rsidRDefault="00F24FCF" w:rsidP="00F24FCF">
      <w:pPr>
        <w:tabs>
          <w:tab w:val="left" w:pos="426"/>
        </w:tabs>
        <w:spacing w:line="360" w:lineRule="auto"/>
        <w:ind w:right="49"/>
        <w:jc w:val="both"/>
        <w:rPr>
          <w:rFonts w:ascii="Palatino Linotype" w:eastAsia="Palatino Linotype" w:hAnsi="Palatino Linotype" w:cs="Palatino Linotype"/>
          <w:lang w:val="es-ES_tradnl"/>
        </w:rPr>
      </w:pPr>
    </w:p>
    <w:p w14:paraId="3CD55605" w14:textId="41B87795" w:rsidR="00F24FCF" w:rsidRDefault="00F24FCF">
      <w:pPr>
        <w:numPr>
          <w:ilvl w:val="0"/>
          <w:numId w:val="3"/>
        </w:numPr>
        <w:tabs>
          <w:tab w:val="left" w:pos="426"/>
        </w:tabs>
        <w:spacing w:line="360" w:lineRule="auto"/>
        <w:ind w:right="49"/>
        <w:jc w:val="both"/>
        <w:rPr>
          <w:rFonts w:ascii="Palatino Linotype" w:eastAsia="Palatino Linotype" w:hAnsi="Palatino Linotype" w:cs="Palatino Linotype"/>
          <w:lang w:val="es-ES_tradnl"/>
        </w:rPr>
      </w:pPr>
      <w:r>
        <w:rPr>
          <w:rFonts w:ascii="Palatino Linotype" w:eastAsia="Palatino Linotype" w:hAnsi="Palatino Linotype" w:cs="Palatino Linotype"/>
          <w:lang w:val="es-ES_tradnl"/>
        </w:rPr>
        <w:t xml:space="preserve">Por </w:t>
      </w:r>
      <w:r w:rsidRPr="009B4B64">
        <w:rPr>
          <w:rFonts w:ascii="Palatino Linotype" w:hAnsi="Palatino Linotype" w:cs="Arial"/>
          <w:bCs/>
        </w:rPr>
        <w:t>lo tanto, el nombre de</w:t>
      </w:r>
      <w:r>
        <w:rPr>
          <w:rFonts w:ascii="Palatino Linotype" w:hAnsi="Palatino Linotype" w:cs="Arial"/>
          <w:bCs/>
        </w:rPr>
        <w:t xml:space="preserve"> </w:t>
      </w:r>
      <w:r w:rsidRPr="009B4B64">
        <w:rPr>
          <w:rFonts w:ascii="Palatino Linotype" w:hAnsi="Palatino Linotype" w:cs="Arial"/>
          <w:bCs/>
        </w:rPr>
        <w:t>l</w:t>
      </w:r>
      <w:r>
        <w:rPr>
          <w:rFonts w:ascii="Palatino Linotype" w:hAnsi="Palatino Linotype" w:cs="Arial"/>
          <w:bCs/>
        </w:rPr>
        <w:t>a</w:t>
      </w:r>
      <w:r w:rsidRPr="009B4B64">
        <w:rPr>
          <w:rFonts w:ascii="Palatino Linotype" w:hAnsi="Palatino Linotype" w:cs="Arial"/>
          <w:bCs/>
        </w:rPr>
        <w:t xml:space="preserve"> </w:t>
      </w:r>
      <w:r w:rsidRPr="009B4B64">
        <w:rPr>
          <w:rFonts w:ascii="Palatino Linotype" w:hAnsi="Palatino Linotype" w:cs="Arial"/>
          <w:b/>
          <w:bCs/>
        </w:rPr>
        <w:t>SOLICITANTE</w:t>
      </w:r>
      <w:r w:rsidRPr="009B4B64">
        <w:rPr>
          <w:rFonts w:ascii="Palatino Linotype" w:hAnsi="Palatino Linotype" w:cs="Arial"/>
          <w:bCs/>
        </w:rPr>
        <w:t xml:space="preserve"> y subsecuente </w:t>
      </w:r>
      <w:r w:rsidRPr="009B4B64">
        <w:rPr>
          <w:rFonts w:ascii="Palatino Linotype" w:hAnsi="Palatino Linotype" w:cs="Arial"/>
          <w:b/>
          <w:bCs/>
        </w:rPr>
        <w:t>RECURRENTE</w:t>
      </w:r>
      <w:r w:rsidRPr="009B4B64">
        <w:rPr>
          <w:rFonts w:ascii="Palatino Linotype" w:hAnsi="Palatino Linotype" w:cs="Arial"/>
          <w:bCs/>
        </w:rPr>
        <w:t xml:space="preserve"> no puede ser considerado un requisito indispensable de procedencia del recurso de revisión que nos ocupa, ya que el acceso a la información no está condicionado a acreditar algún interés ya sea jurídico o legítimo, máxime que es un elemento subsanable por este Órgano Garante.</w:t>
      </w:r>
    </w:p>
    <w:p w14:paraId="02875A4E"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4F" w14:textId="77777777" w:rsidR="00B01F10" w:rsidRDefault="00EE7D75">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w:t>
      </w:r>
      <w:r w:rsidRPr="009D2A7C">
        <w:rPr>
          <w:rFonts w:ascii="Palatino Linotype" w:eastAsia="Palatino Linotype" w:hAnsi="Palatino Linotype" w:cs="Palatino Linotype"/>
          <w:color w:val="000000"/>
          <w:lang w:val="es-ES_tradnl"/>
        </w:rPr>
        <w:lastRenderedPageBreak/>
        <w:t>Información Pública y Protección de Datos Personales del Estado de México y Municipios, conozca y resuelva el presente recurso.</w:t>
      </w:r>
    </w:p>
    <w:p w14:paraId="1E8600CD" w14:textId="560987F1" w:rsidR="009B04C7" w:rsidRDefault="009B04C7">
      <w:pPr>
        <w:rPr>
          <w:rFonts w:ascii="Palatino Linotype" w:eastAsia="Palatino Linotype" w:hAnsi="Palatino Linotype" w:cs="Palatino Linotype"/>
          <w:color w:val="000000"/>
          <w:lang w:val="es-ES_tradnl"/>
        </w:rPr>
      </w:pPr>
    </w:p>
    <w:p w14:paraId="02875A51" w14:textId="77777777" w:rsidR="00B01F10" w:rsidRPr="009D2A7C" w:rsidRDefault="00EE7D7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lang w:val="es-ES_tradnl"/>
        </w:rPr>
      </w:pPr>
      <w:bookmarkStart w:id="7" w:name="_heading=h.3dy6vkm" w:colFirst="0" w:colLast="0"/>
      <w:bookmarkEnd w:id="7"/>
      <w:r w:rsidRPr="009D2A7C">
        <w:rPr>
          <w:rFonts w:ascii="Palatino Linotype" w:eastAsia="Palatino Linotype" w:hAnsi="Palatino Linotype" w:cs="Palatino Linotype"/>
          <w:b/>
          <w:color w:val="000000"/>
          <w:lang w:val="es-ES_tradnl"/>
        </w:rPr>
        <w:t xml:space="preserve">TERCERO. Del planteamiento de la </w:t>
      </w:r>
      <w:r w:rsidRPr="009D2A7C">
        <w:rPr>
          <w:rFonts w:ascii="Palatino Linotype" w:eastAsia="Palatino Linotype" w:hAnsi="Palatino Linotype" w:cs="Palatino Linotype"/>
          <w:b/>
          <w:i/>
          <w:color w:val="000000"/>
          <w:lang w:val="es-ES_tradnl"/>
        </w:rPr>
        <w:t>Litis</w:t>
      </w:r>
      <w:r w:rsidRPr="009D2A7C">
        <w:rPr>
          <w:rFonts w:ascii="Palatino Linotype" w:eastAsia="Palatino Linotype" w:hAnsi="Palatino Linotype" w:cs="Palatino Linotype"/>
          <w:b/>
          <w:color w:val="000000"/>
          <w:lang w:val="es-ES_tradnl"/>
        </w:rPr>
        <w:t>.</w:t>
      </w:r>
    </w:p>
    <w:p w14:paraId="5E428207" w14:textId="1B022FD1" w:rsidR="00461E47" w:rsidRPr="009D2A7C" w:rsidRDefault="00461E47" w:rsidP="00461E47">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bookmarkStart w:id="8" w:name="_heading=h.1t3h5sf" w:colFirst="0" w:colLast="0"/>
      <w:bookmarkEnd w:id="8"/>
    </w:p>
    <w:p w14:paraId="02875A52" w14:textId="0ED46FFD" w:rsidR="00B01F10" w:rsidRPr="00AB30A8" w:rsidRDefault="00AB30A8" w:rsidP="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AB30A8">
        <w:rPr>
          <w:rFonts w:ascii="Palatino Linotype" w:eastAsia="Palatino Linotype" w:hAnsi="Palatino Linotype" w:cs="Palatino Linotype"/>
          <w:color w:val="000000"/>
          <w:lang w:val="es-ES_tradnl"/>
        </w:rPr>
        <w:t xml:space="preserve">Se </w:t>
      </w:r>
      <w:r w:rsidR="0009774D">
        <w:rPr>
          <w:rFonts w:ascii="Palatino Linotype" w:eastAsia="Palatino Linotype" w:hAnsi="Palatino Linotype" w:cs="Palatino Linotype"/>
          <w:color w:val="000000"/>
          <w:lang w:val="es-ES_tradnl"/>
        </w:rPr>
        <w:t>requir</w:t>
      </w:r>
      <w:r w:rsidR="00F311EA">
        <w:rPr>
          <w:rFonts w:ascii="Palatino Linotype" w:eastAsia="Palatino Linotype" w:hAnsi="Palatino Linotype" w:cs="Palatino Linotype"/>
          <w:color w:val="000000"/>
          <w:lang w:val="es-ES_tradnl"/>
        </w:rPr>
        <w:t>ieron todas las bajas registradas en el dos mil veintidós y dos mil veintitrés</w:t>
      </w:r>
      <w:r w:rsidR="009B04C7">
        <w:rPr>
          <w:rFonts w:ascii="Palatino Linotype" w:eastAsia="Palatino Linotype" w:hAnsi="Palatino Linotype" w:cs="Palatino Linotype"/>
          <w:color w:val="000000"/>
          <w:lang w:val="es-ES_tradnl"/>
        </w:rPr>
        <w:t>.</w:t>
      </w:r>
      <w:r w:rsidR="00BA68DD">
        <w:rPr>
          <w:rFonts w:ascii="Palatino Linotype" w:eastAsia="Palatino Linotype" w:hAnsi="Palatino Linotype" w:cs="Palatino Linotype"/>
          <w:color w:val="000000"/>
          <w:lang w:val="es-ES_tradnl"/>
        </w:rPr>
        <w:t xml:space="preserve"> A través </w:t>
      </w:r>
      <w:r w:rsidR="009B04C7">
        <w:rPr>
          <w:rFonts w:ascii="Palatino Linotype" w:eastAsia="Palatino Linotype" w:hAnsi="Palatino Linotype" w:cs="Palatino Linotype"/>
          <w:color w:val="000000"/>
          <w:lang w:val="es-ES_tradnl"/>
        </w:rPr>
        <w:t>de la Directora de Administración</w:t>
      </w:r>
      <w:r w:rsidR="00BA68DD">
        <w:rPr>
          <w:rFonts w:ascii="Palatino Linotype" w:eastAsia="Palatino Linotype" w:hAnsi="Palatino Linotype" w:cs="Palatino Linotype"/>
          <w:color w:val="000000"/>
          <w:lang w:val="es-ES_tradnl"/>
        </w:rPr>
        <w:t xml:space="preserve">, el </w:t>
      </w:r>
      <w:r w:rsidR="00BA68DD">
        <w:rPr>
          <w:rFonts w:ascii="Palatino Linotype" w:eastAsia="Palatino Linotype" w:hAnsi="Palatino Linotype" w:cs="Palatino Linotype"/>
          <w:b/>
          <w:color w:val="000000"/>
          <w:lang w:val="es-ES_tradnl"/>
        </w:rPr>
        <w:t>SUJETO OBLIGADO</w:t>
      </w:r>
      <w:r w:rsidR="00BA68DD">
        <w:rPr>
          <w:rFonts w:ascii="Palatino Linotype" w:eastAsia="Palatino Linotype" w:hAnsi="Palatino Linotype" w:cs="Palatino Linotype"/>
          <w:color w:val="000000"/>
          <w:lang w:val="es-ES_tradnl"/>
        </w:rPr>
        <w:t xml:space="preserve"> </w:t>
      </w:r>
      <w:r w:rsidR="00F311EA">
        <w:rPr>
          <w:rFonts w:ascii="Palatino Linotype" w:eastAsia="Palatino Linotype" w:hAnsi="Palatino Linotype" w:cs="Palatino Linotype"/>
          <w:color w:val="000000"/>
          <w:lang w:val="es-ES_tradnl"/>
        </w:rPr>
        <w:t xml:space="preserve">un listado con </w:t>
      </w:r>
      <w:proofErr w:type="gramStart"/>
      <w:r w:rsidR="00F311EA">
        <w:rPr>
          <w:rFonts w:ascii="Palatino Linotype" w:eastAsia="Palatino Linotype" w:hAnsi="Palatino Linotype" w:cs="Palatino Linotype"/>
          <w:color w:val="000000"/>
          <w:lang w:val="es-ES_tradnl"/>
        </w:rPr>
        <w:t>los nombre</w:t>
      </w:r>
      <w:proofErr w:type="gramEnd"/>
      <w:r w:rsidR="00F311EA">
        <w:rPr>
          <w:rFonts w:ascii="Palatino Linotype" w:eastAsia="Palatino Linotype" w:hAnsi="Palatino Linotype" w:cs="Palatino Linotype"/>
          <w:color w:val="000000"/>
          <w:lang w:val="es-ES_tradnl"/>
        </w:rPr>
        <w:t xml:space="preserve"> del personal que causó baja del uno (01) de enero de dos mil veintidós al treinta y uno (31) de julio de dos mil veintitrés.</w:t>
      </w:r>
    </w:p>
    <w:p w14:paraId="02875A53"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4" w14:textId="58CEF73C" w:rsidR="00B01F10" w:rsidRPr="009D2A7C" w:rsidRDefault="00AB30A8">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La</w:t>
      </w:r>
      <w:r w:rsidR="00EE7D75" w:rsidRPr="009D2A7C">
        <w:rPr>
          <w:rFonts w:ascii="Palatino Linotype" w:eastAsia="Palatino Linotype" w:hAnsi="Palatino Linotype" w:cs="Palatino Linotype"/>
          <w:color w:val="000000"/>
          <w:lang w:val="es-ES_tradnl"/>
        </w:rPr>
        <w:t xml:space="preserve">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con número indicado al rubro, y en el que señaló por agravios, </w:t>
      </w:r>
      <w:r>
        <w:rPr>
          <w:rFonts w:ascii="Palatino Linotype" w:eastAsia="Palatino Linotype" w:hAnsi="Palatino Linotype" w:cs="Palatino Linotype"/>
          <w:color w:val="000000"/>
          <w:lang w:val="es-ES_tradnl"/>
        </w:rPr>
        <w:t>la negativa de la información</w:t>
      </w:r>
      <w:r w:rsidR="00156E44">
        <w:rPr>
          <w:rFonts w:ascii="Palatino Linotype" w:eastAsia="Palatino Linotype" w:hAnsi="Palatino Linotype" w:cs="Palatino Linotype"/>
          <w:color w:val="000000"/>
          <w:lang w:val="es-ES_tradnl"/>
        </w:rPr>
        <w:t>.</w:t>
      </w:r>
    </w:p>
    <w:p w14:paraId="57043951" w14:textId="77777777" w:rsidR="006A6FE1" w:rsidRPr="009D2A7C" w:rsidRDefault="006A6FE1" w:rsidP="006A6FE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5" w14:textId="738E85DC"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 ese sentido, este Órgano Garante advierte que las razones o motivos de inconformidad manifestados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sugieren que la respuesta proporcionada por 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no cumplió con los principios </w:t>
      </w:r>
      <w:r w:rsidRPr="009D2A7C">
        <w:rPr>
          <w:rFonts w:ascii="Palatino Linotype" w:eastAsia="Palatino Linotype" w:hAnsi="Palatino Linotype" w:cs="Palatino Linotype"/>
          <w:lang w:val="es-ES_tradnl"/>
        </w:rPr>
        <w:t>contenidos</w:t>
      </w:r>
      <w:r w:rsidRPr="009D2A7C">
        <w:rPr>
          <w:rFonts w:ascii="Palatino Linotype" w:eastAsia="Palatino Linotype" w:hAnsi="Palatino Linotype" w:cs="Palatino Linotype"/>
          <w:color w:val="000000"/>
          <w:lang w:val="es-ES_tradnl"/>
        </w:rPr>
        <w:t xml:space="preserve"> en el artículo 11 de la Ley de Transparencia y Acceso a la Información Pública del Estado de México y Municipios, los cuales señalan que en la generación, publicación y entrega de información se deberá garantizar que ésta sea </w:t>
      </w:r>
      <w:r w:rsidR="00AB30A8">
        <w:rPr>
          <w:rFonts w:ascii="Palatino Linotype" w:eastAsia="Palatino Linotype" w:hAnsi="Palatino Linotype" w:cs="Palatino Linotype"/>
          <w:b/>
          <w:color w:val="000000"/>
          <w:lang w:val="es-ES_tradnl"/>
        </w:rPr>
        <w:t>accesible</w:t>
      </w:r>
      <w:r w:rsidR="00156E44">
        <w:rPr>
          <w:rFonts w:ascii="Palatino Linotype" w:eastAsia="Palatino Linotype" w:hAnsi="Palatino Linotype" w:cs="Palatino Linotype"/>
          <w:color w:val="000000"/>
          <w:lang w:val="es-ES_tradnl"/>
        </w:rPr>
        <w:t>.</w:t>
      </w:r>
    </w:p>
    <w:p w14:paraId="02875A56" w14:textId="77777777" w:rsidR="00B01F10" w:rsidRPr="009D2A7C" w:rsidRDefault="00B01F10">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p>
    <w:p w14:paraId="02875A57" w14:textId="1005B538" w:rsidR="00B01F10" w:rsidRPr="009D2A7C" w:rsidRDefault="00EE7D75">
      <w:pPr>
        <w:numPr>
          <w:ilvl w:val="0"/>
          <w:numId w:val="3"/>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 la </w:t>
      </w:r>
      <w:r w:rsidRPr="009D2A7C">
        <w:rPr>
          <w:rFonts w:ascii="Palatino Linotype" w:eastAsia="Palatino Linotype" w:hAnsi="Palatino Linotype" w:cs="Palatino Linotype"/>
          <w:i/>
          <w:color w:val="000000"/>
          <w:lang w:val="es-ES_tradnl"/>
        </w:rPr>
        <w:t>Litis</w:t>
      </w:r>
      <w:r w:rsidRPr="009D2A7C">
        <w:rPr>
          <w:rFonts w:ascii="Palatino Linotype" w:eastAsia="Palatino Linotype" w:hAnsi="Palatino Linotype" w:cs="Palatino Linotype"/>
          <w:color w:val="000000"/>
          <w:lang w:val="es-ES_tradnl"/>
        </w:rPr>
        <w:t xml:space="preserve"> a resolver en el presente recurso se circunscribe en determinar si la respuesta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colma el derecho de acceso a la información ejercido por el </w:t>
      </w:r>
      <w:r w:rsidRPr="009D2A7C">
        <w:rPr>
          <w:rFonts w:ascii="Palatino Linotype" w:eastAsia="Palatino Linotype" w:hAnsi="Palatino Linotype" w:cs="Palatino Linotype"/>
          <w:b/>
          <w:color w:val="000000"/>
          <w:lang w:val="es-ES_tradnl"/>
        </w:rPr>
        <w:t>RECURRENTE</w:t>
      </w:r>
      <w:r w:rsidRPr="009D2A7C">
        <w:rPr>
          <w:rFonts w:ascii="Palatino Linotype" w:eastAsia="Palatino Linotype" w:hAnsi="Palatino Linotype" w:cs="Palatino Linotype"/>
          <w:color w:val="000000"/>
          <w:lang w:val="es-ES_tradnl"/>
        </w:rPr>
        <w:t xml:space="preserve"> o, si por el contrario, se actualizan las causales de procedencia del recurso de revisión establecidas en el artículo 179 </w:t>
      </w:r>
      <w:r w:rsidRPr="009D2A7C">
        <w:rPr>
          <w:rFonts w:ascii="Palatino Linotype" w:eastAsia="Palatino Linotype" w:hAnsi="Palatino Linotype" w:cs="Palatino Linotype"/>
          <w:color w:val="000000"/>
          <w:lang w:val="es-ES_tradnl"/>
        </w:rPr>
        <w:lastRenderedPageBreak/>
        <w:t xml:space="preserve">fracciones </w:t>
      </w:r>
      <w:r w:rsidR="00AB30A8">
        <w:rPr>
          <w:rFonts w:ascii="Palatino Linotype" w:eastAsia="Palatino Linotype" w:hAnsi="Palatino Linotype" w:cs="Palatino Linotype"/>
          <w:color w:val="000000"/>
          <w:lang w:val="es-ES_tradnl"/>
        </w:rPr>
        <w:t xml:space="preserve">I u </w:t>
      </w:r>
      <w:r w:rsidR="00BA68DD">
        <w:rPr>
          <w:rFonts w:ascii="Palatino Linotype" w:eastAsia="Palatino Linotype" w:hAnsi="Palatino Linotype" w:cs="Palatino Linotype"/>
          <w:color w:val="000000"/>
          <w:lang w:val="es-ES_tradnl"/>
        </w:rPr>
        <w:t>XI</w:t>
      </w:r>
      <w:r w:rsidR="00AB30A8">
        <w:rPr>
          <w:rFonts w:ascii="Palatino Linotype" w:eastAsia="Palatino Linotype" w:hAnsi="Palatino Linotype" w:cs="Palatino Linotype"/>
          <w:color w:val="000000"/>
          <w:lang w:val="es-ES_tradnl"/>
        </w:rPr>
        <w:t xml:space="preserve"> </w:t>
      </w:r>
      <w:r w:rsidRPr="009D2A7C">
        <w:rPr>
          <w:rFonts w:ascii="Palatino Linotype" w:eastAsia="Palatino Linotype" w:hAnsi="Palatino Linotype" w:cs="Palatino Linotype"/>
          <w:color w:val="000000"/>
          <w:lang w:val="es-ES_tradnl"/>
        </w:rPr>
        <w:t>de la 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5"/>
      </w:r>
      <w:r w:rsidRPr="009D2A7C">
        <w:rPr>
          <w:rFonts w:ascii="Palatino Linotype" w:eastAsia="Palatino Linotype" w:hAnsi="Palatino Linotype" w:cs="Palatino Linotype"/>
          <w:color w:val="000000"/>
          <w:lang w:val="es-ES_tradnl"/>
        </w:rPr>
        <w:t>.</w:t>
      </w:r>
    </w:p>
    <w:p w14:paraId="02875A58" w14:textId="77777777" w:rsidR="00B01F10" w:rsidRPr="009D2A7C" w:rsidRDefault="00B01F10">
      <w:pPr>
        <w:rPr>
          <w:rFonts w:ascii="Palatino Linotype" w:eastAsia="Palatino Linotype" w:hAnsi="Palatino Linotype" w:cs="Palatino Linotype"/>
          <w:color w:val="000000"/>
          <w:lang w:val="es-ES_tradnl"/>
        </w:rPr>
      </w:pPr>
    </w:p>
    <w:p w14:paraId="02875A5A" w14:textId="6A47355E" w:rsidR="00B01F10" w:rsidRDefault="00882BDA">
      <w:pPr>
        <w:pStyle w:val="Ttulo2"/>
        <w:tabs>
          <w:tab w:val="left" w:pos="426"/>
        </w:tabs>
        <w:rPr>
          <w:rFonts w:ascii="Palatino Linotype" w:eastAsia="Palatino Linotype" w:hAnsi="Palatino Linotype" w:cs="Palatino Linotype"/>
          <w:b/>
          <w:color w:val="000000"/>
          <w:sz w:val="24"/>
          <w:szCs w:val="24"/>
          <w:lang w:val="es-ES_tradnl"/>
        </w:rPr>
      </w:pPr>
      <w:bookmarkStart w:id="9" w:name="_heading=h.4d34og8" w:colFirst="0" w:colLast="0"/>
      <w:bookmarkEnd w:id="9"/>
      <w:r>
        <w:rPr>
          <w:rFonts w:ascii="Palatino Linotype" w:eastAsia="Palatino Linotype" w:hAnsi="Palatino Linotype" w:cs="Palatino Linotype"/>
          <w:b/>
          <w:color w:val="000000"/>
          <w:sz w:val="24"/>
          <w:szCs w:val="24"/>
          <w:lang w:val="es-ES_tradnl"/>
        </w:rPr>
        <w:t>CUARTO. Estudio y r</w:t>
      </w:r>
      <w:r w:rsidR="00EE7D75" w:rsidRPr="009D2A7C">
        <w:rPr>
          <w:rFonts w:ascii="Palatino Linotype" w:eastAsia="Palatino Linotype" w:hAnsi="Palatino Linotype" w:cs="Palatino Linotype"/>
          <w:b/>
          <w:color w:val="000000"/>
          <w:sz w:val="24"/>
          <w:szCs w:val="24"/>
          <w:lang w:val="es-ES_tradnl"/>
        </w:rPr>
        <w:t>esolución del asunto.</w:t>
      </w:r>
    </w:p>
    <w:p w14:paraId="3B1F5429" w14:textId="77777777" w:rsidR="008740A3" w:rsidRPr="008740A3" w:rsidRDefault="008740A3" w:rsidP="008740A3">
      <w:pPr>
        <w:rPr>
          <w:lang w:val="es-ES_tradnl" w:eastAsia="en-US"/>
        </w:rPr>
      </w:pPr>
    </w:p>
    <w:p w14:paraId="29A4D819" w14:textId="77777777" w:rsidR="008740A3" w:rsidRPr="009D2A7C" w:rsidRDefault="008740A3" w:rsidP="008740A3">
      <w:pPr>
        <w:pStyle w:val="Ttulo3"/>
        <w:spacing w:before="0" w:after="0" w:line="360" w:lineRule="auto"/>
        <w:rPr>
          <w:rFonts w:ascii="Palatino Linotype" w:eastAsia="Palatino Linotype" w:hAnsi="Palatino Linotype" w:cs="Palatino Linotype"/>
          <w:color w:val="000000"/>
          <w:sz w:val="24"/>
          <w:szCs w:val="24"/>
          <w:lang w:val="es-ES_tradnl"/>
        </w:rPr>
      </w:pPr>
      <w:bookmarkStart w:id="10" w:name="_heading=h.17dp8vu" w:colFirst="0" w:colLast="0"/>
      <w:bookmarkEnd w:id="10"/>
      <w:r w:rsidRPr="009D2A7C">
        <w:rPr>
          <w:rFonts w:ascii="Palatino Linotype" w:eastAsia="Palatino Linotype" w:hAnsi="Palatino Linotype" w:cs="Palatino Linotype"/>
          <w:color w:val="000000"/>
          <w:sz w:val="24"/>
          <w:szCs w:val="24"/>
          <w:lang w:val="es-ES_tradnl"/>
        </w:rPr>
        <w:t>I. De la atención a la solicitud de información.</w:t>
      </w:r>
    </w:p>
    <w:p w14:paraId="07E65057" w14:textId="77777777" w:rsidR="008740A3" w:rsidRDefault="008740A3" w:rsidP="00874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C" w14:textId="236E92D0" w:rsidR="00B01F10" w:rsidRPr="009D2A7C" w:rsidRDefault="008740A3">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L</w:t>
      </w:r>
      <w:r w:rsidR="00EE7D75" w:rsidRPr="009D2A7C">
        <w:rPr>
          <w:rFonts w:ascii="Palatino Linotype" w:eastAsia="Palatino Linotype" w:hAnsi="Palatino Linotype" w:cs="Palatino Linotype"/>
          <w:color w:val="000000"/>
          <w:lang w:val="es-ES_tradnl"/>
        </w:rPr>
        <w:t xml:space="preserve">a Ley de Transparencia y Acceso a la Información Pública del Estado de México y Municipios, en su artículo 150, establece que </w:t>
      </w:r>
      <w:r w:rsidR="00EE7D75" w:rsidRPr="009D2A7C">
        <w:rPr>
          <w:rFonts w:ascii="Palatino Linotype" w:eastAsia="Palatino Linotype" w:hAnsi="Palatino Linotype" w:cs="Palatino Linotype"/>
          <w:b/>
          <w:color w:val="000000"/>
          <w:lang w:val="es-ES_tradnl"/>
        </w:rPr>
        <w:t>el procedimiento de acceso a la información es la garantía primaria del derecho en cuestión y se rige por los principios de</w:t>
      </w:r>
      <w:r w:rsidR="00EE7D75" w:rsidRPr="009D2A7C">
        <w:rPr>
          <w:rFonts w:ascii="Palatino Linotype" w:eastAsia="Palatino Linotype" w:hAnsi="Palatino Linotype" w:cs="Palatino Linotype"/>
          <w:color w:val="000000"/>
          <w:lang w:val="es-ES_tradnl"/>
        </w:rPr>
        <w:t xml:space="preserve"> simplicidad, rapidez gratuidad del procedimiento, </w:t>
      </w:r>
      <w:r w:rsidR="00EE7D75" w:rsidRPr="009D2A7C">
        <w:rPr>
          <w:rFonts w:ascii="Palatino Linotype" w:eastAsia="Palatino Linotype" w:hAnsi="Palatino Linotype" w:cs="Palatino Linotype"/>
          <w:b/>
          <w:color w:val="000000"/>
          <w:lang w:val="es-ES_tradnl"/>
        </w:rPr>
        <w:t>auxilio y orientación a los particulares</w:t>
      </w:r>
      <w:r w:rsidR="00EE7D75" w:rsidRPr="009D2A7C">
        <w:rPr>
          <w:rFonts w:ascii="Palatino Linotype" w:eastAsia="Palatino Linotype" w:hAnsi="Palatino Linotype" w:cs="Palatino Linotype"/>
          <w:color w:val="000000"/>
          <w:lang w:val="es-ES_tradnl"/>
        </w:rPr>
        <w:t>, así como atención adecuada a las personas con discapacidad y a los hablantes de lengua indígena con el objeto de otorgar la protección más amplia del derecho de las personas.</w:t>
      </w:r>
    </w:p>
    <w:p w14:paraId="02875A5D"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5E"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Para atender las solicitudes de información, los Sujetos Obligados contarán con un área denominada </w:t>
      </w:r>
      <w:r w:rsidRPr="009D2A7C">
        <w:rPr>
          <w:rFonts w:ascii="Palatino Linotype" w:eastAsia="Palatino Linotype" w:hAnsi="Palatino Linotype" w:cs="Palatino Linotype"/>
          <w:b/>
          <w:color w:val="000000"/>
          <w:lang w:val="es-ES_tradnl"/>
        </w:rPr>
        <w:t>Unidad de Transparencia</w:t>
      </w:r>
      <w:r w:rsidRPr="009D2A7C">
        <w:rPr>
          <w:rFonts w:ascii="Palatino Linotype" w:eastAsia="Palatino Linotype" w:hAnsi="Palatino Linotype" w:cs="Palatino Linotype"/>
          <w:color w:val="000000"/>
          <w:vertAlign w:val="superscript"/>
          <w:lang w:val="es-ES_tradnl"/>
        </w:rPr>
        <w:footnoteReference w:id="6"/>
      </w:r>
      <w:r w:rsidRPr="009D2A7C">
        <w:rPr>
          <w:rFonts w:ascii="Palatino Linotype" w:eastAsia="Palatino Linotype" w:hAnsi="Palatino Linotype" w:cs="Palatino Linotype"/>
          <w:color w:val="000000"/>
          <w:lang w:val="es-ES_tradnl"/>
        </w:rPr>
        <w:t xml:space="preserve">, la cual será presidida por un Titular, quien fungirá como enlace entre éstos y los solicitantes. Dicha Unidad </w:t>
      </w:r>
      <w:r w:rsidRPr="009D2A7C">
        <w:rPr>
          <w:rFonts w:ascii="Palatino Linotype" w:eastAsia="Palatino Linotype" w:hAnsi="Palatino Linotype" w:cs="Palatino Linotype"/>
          <w:b/>
          <w:color w:val="000000"/>
          <w:lang w:val="es-ES_tradnl"/>
        </w:rPr>
        <w:t>será la encargada de tramitar internamente la solicitud de información</w:t>
      </w:r>
      <w:r w:rsidRPr="009D2A7C">
        <w:rPr>
          <w:rFonts w:ascii="Palatino Linotype" w:eastAsia="Palatino Linotype" w:hAnsi="Palatino Linotype" w:cs="Palatino Linotype"/>
          <w:color w:val="000000"/>
          <w:lang w:val="es-ES_tradnl"/>
        </w:rPr>
        <w:t xml:space="preserve"> y tendrá la alta responsabilidad de verificar, en cada caso, que la misma no sea confidencial o reservada. Asimismo, contará con las facultades internas necesarias para </w:t>
      </w:r>
      <w:r w:rsidRPr="009D2A7C">
        <w:rPr>
          <w:rFonts w:ascii="Palatino Linotype" w:eastAsia="Palatino Linotype" w:hAnsi="Palatino Linotype" w:cs="Palatino Linotype"/>
          <w:b/>
          <w:color w:val="000000"/>
          <w:lang w:val="es-ES_tradnl"/>
        </w:rPr>
        <w:t xml:space="preserve">gestionar la atención a las solicitudes de información </w:t>
      </w:r>
      <w:r w:rsidRPr="009D2A7C">
        <w:rPr>
          <w:rFonts w:ascii="Palatino Linotype" w:eastAsia="Palatino Linotype" w:hAnsi="Palatino Linotype" w:cs="Palatino Linotype"/>
          <w:color w:val="000000"/>
          <w:lang w:val="es-ES_tradnl"/>
        </w:rPr>
        <w:t xml:space="preserve">en los términos de la Ley General y la </w:t>
      </w:r>
      <w:r w:rsidRPr="009D2A7C">
        <w:rPr>
          <w:rFonts w:ascii="Palatino Linotype" w:eastAsia="Palatino Linotype" w:hAnsi="Palatino Linotype" w:cs="Palatino Linotype"/>
          <w:color w:val="000000"/>
          <w:lang w:val="es-ES_tradnl"/>
        </w:rPr>
        <w:lastRenderedPageBreak/>
        <w:t>Ley de Transparencia y Acceso a la Información Pública del Estado de México y Municipios</w:t>
      </w:r>
      <w:r w:rsidRPr="009D2A7C">
        <w:rPr>
          <w:rFonts w:ascii="Palatino Linotype" w:eastAsia="Palatino Linotype" w:hAnsi="Palatino Linotype" w:cs="Palatino Linotype"/>
          <w:color w:val="000000"/>
          <w:vertAlign w:val="superscript"/>
          <w:lang w:val="es-ES_tradnl"/>
        </w:rPr>
        <w:footnoteReference w:id="7"/>
      </w:r>
      <w:r w:rsidRPr="009D2A7C">
        <w:rPr>
          <w:rFonts w:ascii="Palatino Linotype" w:eastAsia="Palatino Linotype" w:hAnsi="Palatino Linotype" w:cs="Palatino Linotype"/>
          <w:color w:val="000000"/>
          <w:lang w:val="es-ES_tradnl"/>
        </w:rPr>
        <w:t>.</w:t>
      </w:r>
    </w:p>
    <w:p w14:paraId="02875A5F"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0"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De conformidad con lo dispuesto por el artículo 53 de la Ley de Transparencia y Acceso a la Información Pública del Estado de México y Municipios, las Unidades de Transparencia tendrán, entre sus atribuciones, las siguientes:</w:t>
      </w:r>
    </w:p>
    <w:p w14:paraId="02875A61"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Recibir, tramitar y dar respuesta a las solicitudes de acceso a la información;</w:t>
      </w:r>
    </w:p>
    <w:p w14:paraId="02875A62"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Realizar, con efectividad, los trámites internos necesarios para la atención de las solicitudes de acceso a la información; </w:t>
      </w:r>
    </w:p>
    <w:p w14:paraId="02875A63"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Entregar, en su caso, a los particulares la información solicitada; y </w:t>
      </w:r>
    </w:p>
    <w:p w14:paraId="02875A64" w14:textId="77777777" w:rsidR="00B01F10" w:rsidRPr="009D2A7C" w:rsidRDefault="00EE7D75">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Efectuar las notificaciones a los solicitantes.</w:t>
      </w:r>
    </w:p>
    <w:p w14:paraId="02875A65"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6"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Otros sujetos del proceso de atención a las solicitudes de información son los </w:t>
      </w:r>
      <w:r w:rsidRPr="009D2A7C">
        <w:rPr>
          <w:rFonts w:ascii="Palatino Linotype" w:eastAsia="Palatino Linotype" w:hAnsi="Palatino Linotype" w:cs="Palatino Linotype"/>
          <w:b/>
          <w:color w:val="000000"/>
          <w:lang w:val="es-ES_tradnl"/>
        </w:rPr>
        <w:t>servidores públicos habilitados</w:t>
      </w:r>
      <w:r w:rsidRPr="009D2A7C">
        <w:rPr>
          <w:rFonts w:ascii="Palatino Linotype" w:eastAsia="Palatino Linotype" w:hAnsi="Palatino Linotype" w:cs="Palatino Linotype"/>
          <w:color w:val="000000"/>
          <w:lang w:val="es-ES_tradnl"/>
        </w:rPr>
        <w:t xml:space="preserve">, quienes serán designados por el titular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a propuesta del responsable de la Unidad de Transparencia</w:t>
      </w:r>
      <w:r w:rsidRPr="009D2A7C">
        <w:rPr>
          <w:rFonts w:ascii="Palatino Linotype" w:eastAsia="Palatino Linotype" w:hAnsi="Palatino Linotype" w:cs="Palatino Linotype"/>
          <w:color w:val="000000"/>
          <w:vertAlign w:val="superscript"/>
          <w:lang w:val="es-ES_tradnl"/>
        </w:rPr>
        <w:footnoteReference w:id="8"/>
      </w:r>
      <w:r w:rsidRPr="009D2A7C">
        <w:rPr>
          <w:rFonts w:ascii="Palatino Linotype" w:eastAsia="Palatino Linotype" w:hAnsi="Palatino Linotype" w:cs="Palatino Linotype"/>
          <w:color w:val="000000"/>
          <w:lang w:val="es-ES_tradnl"/>
        </w:rPr>
        <w:t xml:space="preserve"> y tendrán, entre sus atribuciones, las siguientes</w:t>
      </w:r>
      <w:r w:rsidRPr="009D2A7C">
        <w:rPr>
          <w:rFonts w:ascii="Palatino Linotype" w:eastAsia="Palatino Linotype" w:hAnsi="Palatino Linotype" w:cs="Palatino Linotype"/>
          <w:color w:val="000000"/>
          <w:vertAlign w:val="superscript"/>
          <w:lang w:val="es-ES_tradnl"/>
        </w:rPr>
        <w:footnoteReference w:id="9"/>
      </w:r>
      <w:r w:rsidRPr="009D2A7C">
        <w:rPr>
          <w:rFonts w:ascii="Palatino Linotype" w:eastAsia="Palatino Linotype" w:hAnsi="Palatino Linotype" w:cs="Palatino Linotype"/>
          <w:color w:val="000000"/>
          <w:lang w:val="es-ES_tradnl"/>
        </w:rPr>
        <w:t>:</w:t>
      </w:r>
    </w:p>
    <w:p w14:paraId="02875A67"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Localizar la información que le solicite la Unidad de Transparencia; y</w:t>
      </w:r>
    </w:p>
    <w:p w14:paraId="02875A68" w14:textId="77777777" w:rsidR="00B01F10" w:rsidRPr="009D2A7C" w:rsidRDefault="00EE7D75">
      <w:pPr>
        <w:numPr>
          <w:ilvl w:val="1"/>
          <w:numId w:val="1"/>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Proporcionar la información que obre en los archivos y que le sea solicitada por la Unidad de Transparencia.</w:t>
      </w:r>
    </w:p>
    <w:p w14:paraId="02875A6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6A" w14:textId="77777777"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lastRenderedPageBreak/>
        <w:t xml:space="preserve">De tal manera que cada una de las áreas administrativas del </w:t>
      </w:r>
      <w:r w:rsidRPr="009D2A7C">
        <w:rPr>
          <w:rFonts w:ascii="Palatino Linotype" w:eastAsia="Palatino Linotype" w:hAnsi="Palatino Linotype" w:cs="Palatino Linotype"/>
          <w:b/>
          <w:color w:val="000000"/>
          <w:lang w:val="es-ES_tradnl"/>
        </w:rPr>
        <w:t>SUJETO OBLIGADO</w:t>
      </w:r>
      <w:r w:rsidRPr="009D2A7C">
        <w:rPr>
          <w:rFonts w:ascii="Palatino Linotype" w:eastAsia="Palatino Linotype" w:hAnsi="Palatino Linotype" w:cs="Palatino Linotype"/>
          <w:color w:val="000000"/>
          <w:lang w:val="es-ES_tradnl"/>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2875A6B"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7CBBD05" w14:textId="668BA981" w:rsidR="00156E44"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Una expuesto lo anterior, de la lectura a la solicitud de información </w:t>
      </w:r>
      <w:r w:rsidR="00FA321B">
        <w:rPr>
          <w:rFonts w:ascii="Palatino Linotype" w:eastAsia="Palatino Linotype" w:hAnsi="Palatino Linotype" w:cs="Palatino Linotype"/>
          <w:b/>
          <w:color w:val="000000"/>
          <w:lang w:val="es-ES_tradnl"/>
        </w:rPr>
        <w:t>01387/ZINACANT/IP/2023</w:t>
      </w:r>
      <w:r w:rsidRPr="009D2A7C">
        <w:rPr>
          <w:rFonts w:ascii="Palatino Linotype" w:eastAsia="Palatino Linotype" w:hAnsi="Palatino Linotype" w:cs="Palatino Linotype"/>
          <w:color w:val="000000"/>
          <w:lang w:val="es-ES_tradnl"/>
        </w:rPr>
        <w:t xml:space="preserve"> y, como fuera señalado en el </w:t>
      </w:r>
      <w:r w:rsidRPr="009D2A7C">
        <w:rPr>
          <w:rFonts w:ascii="Palatino Linotype" w:eastAsia="Palatino Linotype" w:hAnsi="Palatino Linotype" w:cs="Palatino Linotype"/>
          <w:i/>
          <w:color w:val="000000"/>
          <w:lang w:val="es-ES_tradnl"/>
        </w:rPr>
        <w:t>Planteamiento de la Litis</w:t>
      </w:r>
      <w:r w:rsidRPr="009D2A7C">
        <w:rPr>
          <w:rFonts w:ascii="Palatino Linotype" w:eastAsia="Palatino Linotype" w:hAnsi="Palatino Linotype" w:cs="Palatino Linotype"/>
          <w:color w:val="000000"/>
          <w:lang w:val="es-ES_tradnl"/>
        </w:rPr>
        <w:t xml:space="preserve"> de esta resolución, se advierte que la entonces </w:t>
      </w:r>
      <w:r w:rsidRPr="009D2A7C">
        <w:rPr>
          <w:rFonts w:ascii="Palatino Linotype" w:eastAsia="Palatino Linotype" w:hAnsi="Palatino Linotype" w:cs="Palatino Linotype"/>
          <w:b/>
          <w:color w:val="000000"/>
          <w:lang w:val="es-ES_tradnl"/>
        </w:rPr>
        <w:t>SOLICITANTE</w:t>
      </w:r>
      <w:r w:rsidRPr="009D2A7C">
        <w:rPr>
          <w:rFonts w:ascii="Palatino Linotype" w:eastAsia="Palatino Linotype" w:hAnsi="Palatino Linotype" w:cs="Palatino Linotype"/>
          <w:color w:val="000000"/>
          <w:lang w:val="es-ES_tradnl"/>
        </w:rPr>
        <w:t xml:space="preserve"> requirió acceder a la siguiente información</w:t>
      </w:r>
      <w:r w:rsidR="00156E44">
        <w:rPr>
          <w:rFonts w:ascii="Palatino Linotype" w:eastAsia="Palatino Linotype" w:hAnsi="Palatino Linotype" w:cs="Palatino Linotype"/>
          <w:color w:val="000000"/>
          <w:lang w:val="es-ES_tradnl"/>
        </w:rPr>
        <w:t xml:space="preserve">: </w:t>
      </w:r>
    </w:p>
    <w:p w14:paraId="02875A6C" w14:textId="0ABC510D" w:rsidR="00B01F10" w:rsidRPr="009D2A7C" w:rsidRDefault="00F311EA" w:rsidP="00156E44">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Bajas registradas desde el uno (01) de enero de dos mil veintidós al dieciséis (16) de agosto de dos mil veintitrés</w:t>
      </w:r>
      <w:r w:rsidR="00882BDA">
        <w:rPr>
          <w:rFonts w:ascii="Palatino Linotype" w:eastAsia="Palatino Linotype" w:hAnsi="Palatino Linotype" w:cs="Palatino Linotype"/>
          <w:color w:val="000000"/>
          <w:lang w:val="es-ES_tradnl"/>
        </w:rPr>
        <w:t>.</w:t>
      </w:r>
    </w:p>
    <w:p w14:paraId="02875A6E"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48290B" w14:textId="103B61C3" w:rsidR="008B7EA4" w:rsidRDefault="00F943B8" w:rsidP="00AB30A8">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respuesta a la solicitud de información,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entregó </w:t>
      </w:r>
      <w:r w:rsidR="00AB30A8">
        <w:rPr>
          <w:rFonts w:ascii="Palatino Linotype" w:eastAsia="Palatino Linotype" w:hAnsi="Palatino Linotype" w:cs="Palatino Linotype"/>
          <w:color w:val="000000"/>
          <w:lang w:val="es-ES_tradnl"/>
        </w:rPr>
        <w:t>la copia digitalizada del oficio número ZIN/</w:t>
      </w:r>
      <w:r w:rsidR="000D0473">
        <w:rPr>
          <w:rFonts w:ascii="Palatino Linotype" w:eastAsia="Palatino Linotype" w:hAnsi="Palatino Linotype" w:cs="Palatino Linotype"/>
          <w:color w:val="000000"/>
          <w:lang w:val="es-ES_tradnl"/>
        </w:rPr>
        <w:t>DA</w:t>
      </w:r>
      <w:r w:rsidR="00AB30A8">
        <w:rPr>
          <w:rFonts w:ascii="Palatino Linotype" w:eastAsia="Palatino Linotype" w:hAnsi="Palatino Linotype" w:cs="Palatino Linotype"/>
          <w:color w:val="000000"/>
          <w:lang w:val="es-ES_tradnl"/>
        </w:rPr>
        <w:t>/</w:t>
      </w:r>
      <w:r w:rsidR="0031093C">
        <w:rPr>
          <w:rFonts w:ascii="Palatino Linotype" w:eastAsia="Palatino Linotype" w:hAnsi="Palatino Linotype" w:cs="Palatino Linotype"/>
          <w:color w:val="000000"/>
          <w:lang w:val="es-ES_tradnl"/>
        </w:rPr>
        <w:t>02620</w:t>
      </w:r>
      <w:r w:rsidR="00AB30A8">
        <w:rPr>
          <w:rFonts w:ascii="Palatino Linotype" w:eastAsia="Palatino Linotype" w:hAnsi="Palatino Linotype" w:cs="Palatino Linotype"/>
          <w:color w:val="000000"/>
          <w:lang w:val="es-ES_tradnl"/>
        </w:rPr>
        <w:t xml:space="preserve">/2023, de </w:t>
      </w:r>
      <w:r w:rsidR="0031093C">
        <w:rPr>
          <w:rFonts w:ascii="Palatino Linotype" w:eastAsia="Palatino Linotype" w:hAnsi="Palatino Linotype" w:cs="Palatino Linotype"/>
          <w:color w:val="000000"/>
          <w:lang w:val="es-ES_tradnl"/>
        </w:rPr>
        <w:t>cinco (05) de septiembre</w:t>
      </w:r>
      <w:r w:rsidR="00AB30A8">
        <w:rPr>
          <w:rFonts w:ascii="Palatino Linotype" w:eastAsia="Palatino Linotype" w:hAnsi="Palatino Linotype" w:cs="Palatino Linotype"/>
          <w:color w:val="000000"/>
          <w:lang w:val="es-ES_tradnl"/>
        </w:rPr>
        <w:t xml:space="preserve"> de dos mil veintitrés, emitido por </w:t>
      </w:r>
      <w:r w:rsidR="000D0473">
        <w:rPr>
          <w:rFonts w:ascii="Palatino Linotype" w:eastAsia="Palatino Linotype" w:hAnsi="Palatino Linotype" w:cs="Palatino Linotype"/>
          <w:color w:val="000000"/>
          <w:lang w:val="es-ES_tradnl"/>
        </w:rPr>
        <w:t xml:space="preserve">la Directora de </w:t>
      </w:r>
      <w:r w:rsidR="0031093C">
        <w:rPr>
          <w:rFonts w:ascii="Palatino Linotype" w:eastAsia="Palatino Linotype" w:hAnsi="Palatino Linotype" w:cs="Palatino Linotype"/>
          <w:color w:val="000000"/>
          <w:lang w:val="es-ES_tradnl"/>
        </w:rPr>
        <w:t>Administración</w:t>
      </w:r>
      <w:r w:rsidR="00AB30A8">
        <w:rPr>
          <w:rFonts w:ascii="Palatino Linotype" w:eastAsia="Palatino Linotype" w:hAnsi="Palatino Linotype" w:cs="Palatino Linotype"/>
          <w:color w:val="000000"/>
          <w:lang w:val="es-ES_tradnl"/>
        </w:rPr>
        <w:t xml:space="preserve">, dirigido a la Titular de la Unidad de Transparencia, </w:t>
      </w:r>
      <w:r w:rsidR="00882BDA">
        <w:rPr>
          <w:rFonts w:ascii="Palatino Linotype" w:eastAsia="Palatino Linotype" w:hAnsi="Palatino Linotype" w:cs="Palatino Linotype"/>
          <w:color w:val="000000"/>
          <w:lang w:val="es-ES_tradnl"/>
        </w:rPr>
        <w:t>mediante el cual, vertió las siguientes manifestaciones</w:t>
      </w:r>
      <w:r w:rsidR="00AB30A8">
        <w:rPr>
          <w:rFonts w:ascii="Palatino Linotype" w:eastAsia="Palatino Linotype" w:hAnsi="Palatino Linotype" w:cs="Palatino Linotype"/>
          <w:color w:val="000000"/>
          <w:lang w:val="es-ES_tradnl"/>
        </w:rPr>
        <w:t>:</w:t>
      </w:r>
    </w:p>
    <w:p w14:paraId="72EDD6FD" w14:textId="77777777" w:rsidR="00AB30A8" w:rsidRDefault="00AB30A8" w:rsidP="00AB30A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AC5E262" w14:textId="5CFEC1A4" w:rsidR="00882BDA" w:rsidRPr="00882BDA" w:rsidRDefault="00882BDA" w:rsidP="00882BD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lang w:val="es-ES_tradnl"/>
        </w:rPr>
      </w:pPr>
      <w:r>
        <w:rPr>
          <w:rFonts w:ascii="Palatino Linotype" w:eastAsia="Palatino Linotype" w:hAnsi="Palatino Linotype" w:cs="Palatino Linotype"/>
          <w:i/>
          <w:color w:val="000000"/>
          <w:sz w:val="22"/>
          <w:lang w:val="es-ES_tradnl"/>
        </w:rPr>
        <w:t>“</w:t>
      </w:r>
      <w:r w:rsidR="0031093C">
        <w:rPr>
          <w:rFonts w:ascii="Palatino Linotype" w:eastAsia="Palatino Linotype" w:hAnsi="Palatino Linotype" w:cs="Palatino Linotype"/>
          <w:i/>
          <w:color w:val="000000"/>
          <w:sz w:val="22"/>
          <w:lang w:val="es-ES_tradnl"/>
        </w:rPr>
        <w:t xml:space="preserve">(…) con el objeto de garantizar el derecho humano respecto a la consulta de la documental y/o referentes informativos en posesión de los sujetos obligados; </w:t>
      </w:r>
      <w:r w:rsidR="0031093C">
        <w:rPr>
          <w:rFonts w:ascii="Palatino Linotype" w:eastAsia="Palatino Linotype" w:hAnsi="Palatino Linotype" w:cs="Palatino Linotype"/>
          <w:b/>
          <w:i/>
          <w:color w:val="000000"/>
          <w:sz w:val="22"/>
          <w:u w:val="single"/>
          <w:lang w:val="es-ES_tradnl"/>
        </w:rPr>
        <w:t>se adjunta archivo electrónico que contiene el “Reporte del personal que causó baja”, en los ejercicios fiscales 2022 y 2023.</w:t>
      </w:r>
      <w:r>
        <w:rPr>
          <w:rFonts w:ascii="Palatino Linotype" w:eastAsia="Palatino Linotype" w:hAnsi="Palatino Linotype" w:cs="Palatino Linotype"/>
          <w:i/>
          <w:color w:val="000000"/>
          <w:sz w:val="22"/>
          <w:lang w:val="es-ES_tradnl"/>
        </w:rPr>
        <w:t>”</w:t>
      </w:r>
      <w:r>
        <w:rPr>
          <w:rFonts w:ascii="Palatino Linotype" w:eastAsia="Palatino Linotype" w:hAnsi="Palatino Linotype" w:cs="Palatino Linotype"/>
          <w:color w:val="000000"/>
          <w:sz w:val="22"/>
          <w:lang w:val="es-ES_tradnl"/>
        </w:rPr>
        <w:t xml:space="preserve"> (Sic.)</w:t>
      </w:r>
    </w:p>
    <w:p w14:paraId="048A8972" w14:textId="77777777" w:rsidR="00882BDA" w:rsidRPr="009D2A7C" w:rsidRDefault="00882BDA" w:rsidP="00AB30A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7AC57D4" w14:textId="0489ABFA" w:rsidR="00AB30A8" w:rsidRDefault="0031093C" w:rsidP="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Adjunto al documento transcrito </w:t>
      </w:r>
      <w:r>
        <w:rPr>
          <w:rFonts w:ascii="Palatino Linotype" w:eastAsia="Palatino Linotype" w:hAnsi="Palatino Linotype" w:cs="Palatino Linotype"/>
          <w:i/>
          <w:color w:val="000000"/>
          <w:lang w:val="es-ES_tradnl"/>
        </w:rPr>
        <w:t>supra</w:t>
      </w:r>
      <w:r>
        <w:rPr>
          <w:rFonts w:ascii="Palatino Linotype" w:eastAsia="Palatino Linotype" w:hAnsi="Palatino Linotype" w:cs="Palatino Linotype"/>
          <w:color w:val="000000"/>
          <w:lang w:val="es-ES_tradnl"/>
        </w:rPr>
        <w:t xml:space="preserve">, el </w:t>
      </w:r>
      <w:r>
        <w:rPr>
          <w:rFonts w:ascii="Palatino Linotype" w:eastAsia="Palatino Linotype" w:hAnsi="Palatino Linotype" w:cs="Palatino Linotype"/>
          <w:b/>
          <w:color w:val="000000"/>
          <w:lang w:val="es-ES_tradnl"/>
        </w:rPr>
        <w:t>SUJETO OBIGADO</w:t>
      </w:r>
      <w:r>
        <w:rPr>
          <w:rFonts w:ascii="Palatino Linotype" w:eastAsia="Palatino Linotype" w:hAnsi="Palatino Linotype" w:cs="Palatino Linotype"/>
          <w:color w:val="000000"/>
          <w:lang w:val="es-ES_tradnl"/>
        </w:rPr>
        <w:t xml:space="preserve"> hizo entrega del archivo titulado </w:t>
      </w:r>
      <w:r>
        <w:rPr>
          <w:rFonts w:ascii="Palatino Linotype" w:eastAsia="Palatino Linotype" w:hAnsi="Palatino Linotype" w:cs="Palatino Linotype"/>
          <w:b/>
          <w:i/>
          <w:color w:val="000000"/>
          <w:lang w:val="es-ES_tradnl"/>
        </w:rPr>
        <w:t>“Reporte de Bajas de Personal – enero 2022 a julio 2023.pdf”</w:t>
      </w:r>
      <w:r>
        <w:rPr>
          <w:rFonts w:ascii="Palatino Linotype" w:eastAsia="Palatino Linotype" w:hAnsi="Palatino Linotype" w:cs="Palatino Linotype"/>
          <w:color w:val="000000"/>
          <w:lang w:val="es-ES_tradnl"/>
        </w:rPr>
        <w:t xml:space="preserve">, que </w:t>
      </w:r>
      <w:r>
        <w:rPr>
          <w:rFonts w:ascii="Palatino Linotype" w:eastAsia="Palatino Linotype" w:hAnsi="Palatino Linotype" w:cs="Palatino Linotype"/>
          <w:color w:val="000000"/>
          <w:lang w:val="es-ES_tradnl"/>
        </w:rPr>
        <w:lastRenderedPageBreak/>
        <w:t xml:space="preserve">contiene el Reporte de Bajas de Personal reportado del uno (01) de enero de dos mil veintidós al treinta y uno (31) de julio de dos mil veintitrés. A </w:t>
      </w:r>
      <w:proofErr w:type="gramStart"/>
      <w:r>
        <w:rPr>
          <w:rFonts w:ascii="Palatino Linotype" w:eastAsia="Palatino Linotype" w:hAnsi="Palatino Linotype" w:cs="Palatino Linotype"/>
          <w:color w:val="000000"/>
          <w:lang w:val="es-ES_tradnl"/>
        </w:rPr>
        <w:t>continuación</w:t>
      </w:r>
      <w:proofErr w:type="gramEnd"/>
      <w:r>
        <w:rPr>
          <w:rFonts w:ascii="Palatino Linotype" w:eastAsia="Palatino Linotype" w:hAnsi="Palatino Linotype" w:cs="Palatino Linotype"/>
          <w:color w:val="000000"/>
          <w:lang w:val="es-ES_tradnl"/>
        </w:rPr>
        <w:t xml:space="preserve"> se presenta un fragmento del documento para efectos de referencia:</w:t>
      </w:r>
    </w:p>
    <w:p w14:paraId="07DC71F8"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09751EA" w14:textId="6B410086" w:rsidR="0031093C" w:rsidRDefault="0031093C" w:rsidP="0031093C">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lang w:val="es-ES_tradnl"/>
        </w:rPr>
      </w:pPr>
      <w:r w:rsidRPr="0031093C">
        <w:rPr>
          <w:rFonts w:ascii="Palatino Linotype" w:eastAsia="Palatino Linotype" w:hAnsi="Palatino Linotype" w:cs="Palatino Linotype"/>
          <w:noProof/>
          <w:color w:val="000000"/>
        </w:rPr>
        <w:drawing>
          <wp:inline distT="0" distB="0" distL="0" distR="0" wp14:anchorId="37BE1748" wp14:editId="63ECAA28">
            <wp:extent cx="4769292" cy="2317731"/>
            <wp:effectExtent l="57150" t="57150" r="107950" b="1212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4284" cy="232987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2E4B69" w14:textId="77777777" w:rsidR="0031093C" w:rsidRDefault="0031093C"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C87C966" w14:textId="36764531" w:rsidR="008D7369" w:rsidRPr="008D7369" w:rsidRDefault="008D7369">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No </w:t>
      </w:r>
      <w:r>
        <w:rPr>
          <w:rFonts w:ascii="Palatino Linotype" w:eastAsia="Palatino Linotype" w:hAnsi="Palatino Linotype" w:cs="Palatino Linotype"/>
          <w:color w:val="000000"/>
        </w:rPr>
        <w:t xml:space="preserve">es ocioso mencionar que este Organismo Garante carece de facultades para dudar de la veracidad de la información proveída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pues no es parte del objeto que persigue el garantizar el derecho de acceso a la información.</w:t>
      </w:r>
    </w:p>
    <w:p w14:paraId="7F0ED034" w14:textId="77777777" w:rsidR="008D7369" w:rsidRPr="008D7369" w:rsidRDefault="008D7369" w:rsidP="008D736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24943B0" w14:textId="54728320" w:rsidR="008D7369" w:rsidRDefault="008D7369">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Sustenta lo anterior el Criterio de Interpretación Histórico 031/2010, publicado por el Organismo Garante Nacional, mismo que establece:</w:t>
      </w:r>
    </w:p>
    <w:p w14:paraId="172E0597" w14:textId="77777777" w:rsidR="008D7369" w:rsidRDefault="008D7369" w:rsidP="008D736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FA21033" w14:textId="77777777" w:rsidR="008D7369" w:rsidRDefault="008D7369" w:rsidP="008D73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w:t>
      </w:r>
      <w:r>
        <w:rPr>
          <w:rFonts w:ascii="Palatino Linotype" w:eastAsia="Palatino Linotype" w:hAnsi="Palatino Linotype" w:cs="Palatino Linotype"/>
          <w:i/>
          <w:color w:val="000000"/>
          <w:sz w:val="22"/>
          <w:szCs w:val="22"/>
        </w:rPr>
        <w:lastRenderedPageBreak/>
        <w:t>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86E2752" w14:textId="77777777" w:rsidR="008D7369" w:rsidRDefault="008D7369" w:rsidP="008D7369">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77" w14:textId="7001FC03" w:rsidR="00B01F10" w:rsidRDefault="008D7369">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P</w:t>
      </w:r>
      <w:r w:rsidR="00EE7D75" w:rsidRPr="009D2A7C">
        <w:rPr>
          <w:rFonts w:ascii="Palatino Linotype" w:eastAsia="Palatino Linotype" w:hAnsi="Palatino Linotype" w:cs="Palatino Linotype"/>
          <w:color w:val="000000"/>
          <w:lang w:val="es-ES_tradnl"/>
        </w:rPr>
        <w:t xml:space="preserve">or su parte, la particular impugnó la respuesta del </w:t>
      </w:r>
      <w:r w:rsidR="00EE7D75" w:rsidRPr="009D2A7C">
        <w:rPr>
          <w:rFonts w:ascii="Palatino Linotype" w:eastAsia="Palatino Linotype" w:hAnsi="Palatino Linotype" w:cs="Palatino Linotype"/>
          <w:b/>
          <w:color w:val="000000"/>
          <w:lang w:val="es-ES_tradnl"/>
        </w:rPr>
        <w:t>SUJETO OBLIGADO</w:t>
      </w:r>
      <w:r w:rsidR="00EE7D75" w:rsidRPr="009D2A7C">
        <w:rPr>
          <w:rFonts w:ascii="Palatino Linotype" w:eastAsia="Palatino Linotype" w:hAnsi="Palatino Linotype" w:cs="Palatino Linotype"/>
          <w:color w:val="000000"/>
          <w:lang w:val="es-ES_tradnl"/>
        </w:rPr>
        <w:t xml:space="preserve">, mediante el recurso de revisión </w:t>
      </w:r>
      <w:r w:rsidR="00FA321B">
        <w:rPr>
          <w:rFonts w:ascii="Palatino Linotype" w:eastAsia="Palatino Linotype" w:hAnsi="Palatino Linotype" w:cs="Palatino Linotype"/>
          <w:b/>
          <w:color w:val="000000"/>
          <w:lang w:val="es-ES_tradnl"/>
        </w:rPr>
        <w:t>05733/INFOEM/IP/RR/2023</w:t>
      </w:r>
      <w:r w:rsidR="00EE7D75" w:rsidRPr="009D2A7C">
        <w:rPr>
          <w:rFonts w:ascii="Palatino Linotype" w:eastAsia="Palatino Linotype" w:hAnsi="Palatino Linotype" w:cs="Palatino Linotype"/>
          <w:color w:val="000000"/>
          <w:lang w:val="es-ES_tradnl"/>
        </w:rPr>
        <w:t>, en el que seña</w:t>
      </w:r>
      <w:r w:rsidR="00A761D2">
        <w:rPr>
          <w:rFonts w:ascii="Palatino Linotype" w:eastAsia="Palatino Linotype" w:hAnsi="Palatino Linotype" w:cs="Palatino Linotype"/>
          <w:color w:val="000000"/>
          <w:lang w:val="es-ES_tradnl"/>
        </w:rPr>
        <w:t>ló por agravios, la negativa de la información.</w:t>
      </w:r>
    </w:p>
    <w:p w14:paraId="611BFB16"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97C65B2" w14:textId="549D1256" w:rsidR="00882BDA" w:rsidRPr="00882BDA" w:rsidRDefault="00882BDA" w:rsidP="00882BDA">
      <w:pPr>
        <w:pStyle w:val="Ttulo3"/>
        <w:spacing w:before="0" w:after="0" w:line="360" w:lineRule="auto"/>
        <w:rPr>
          <w:rFonts w:ascii="Palatino Linotype" w:eastAsia="Palatino Linotype" w:hAnsi="Palatino Linotype" w:cs="Palatino Linotype"/>
          <w:color w:val="000000"/>
          <w:sz w:val="24"/>
          <w:lang w:val="es-ES_tradnl"/>
        </w:rPr>
      </w:pPr>
      <w:r w:rsidRPr="00882BDA">
        <w:rPr>
          <w:rFonts w:ascii="Palatino Linotype" w:eastAsia="Palatino Linotype" w:hAnsi="Palatino Linotype" w:cs="Palatino Linotype"/>
          <w:color w:val="000000"/>
          <w:sz w:val="24"/>
          <w:lang w:val="es-ES_tradnl"/>
        </w:rPr>
        <w:t>II. Del derecho de acceso a la información.</w:t>
      </w:r>
    </w:p>
    <w:p w14:paraId="045603F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D9EDB08" w14:textId="45D8453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Previo </w:t>
      </w:r>
      <w:r w:rsidRPr="00461B3A">
        <w:rPr>
          <w:rFonts w:ascii="Palatino Linotype" w:hAnsi="Palatino Linotype"/>
        </w:rPr>
        <w:t xml:space="preserve">a iniciar el análisis de la información solicitada, se considera </w:t>
      </w:r>
      <w:r w:rsidRPr="00461B3A">
        <w:rPr>
          <w:rFonts w:ascii="Palatino Linotype" w:hAnsi="Palatino Linotype"/>
          <w:color w:val="000000" w:themeColor="text1"/>
        </w:rPr>
        <w:t>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29D1DCC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B5BF2B9"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461B3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461B3A">
        <w:rPr>
          <w:rFonts w:ascii="Palatino Linotype" w:eastAsia="Palatino Linotype" w:hAnsi="Palatino Linotype" w:cs="Palatino Linotype"/>
          <w:i/>
          <w:sz w:val="22"/>
          <w:szCs w:val="22"/>
        </w:rPr>
        <w:lastRenderedPageBreak/>
        <w:t>del ejercicio de sus funciones de derecho público, sin importar su fuente, soporte o fecha de elaboración.</w:t>
      </w:r>
    </w:p>
    <w:p w14:paraId="617B4DFD"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En </w:t>
      </w:r>
      <w:proofErr w:type="gramStart"/>
      <w:r w:rsidRPr="00461B3A">
        <w:rPr>
          <w:rFonts w:ascii="Palatino Linotype" w:eastAsia="Palatino Linotype" w:hAnsi="Palatino Linotype" w:cs="Palatino Linotype"/>
          <w:i/>
          <w:sz w:val="22"/>
          <w:szCs w:val="22"/>
        </w:rPr>
        <w:t>consecuencia</w:t>
      </w:r>
      <w:proofErr w:type="gramEnd"/>
      <w:r w:rsidRPr="00461B3A">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26BD83F"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generada por los Sujetos Obligados;</w:t>
      </w:r>
    </w:p>
    <w:p w14:paraId="0E53D3F6"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sea administrada por los Sujetos Obligados, y</w:t>
      </w:r>
    </w:p>
    <w:p w14:paraId="40F74D7F" w14:textId="77777777" w:rsidR="00882BDA" w:rsidRPr="00461B3A" w:rsidRDefault="00882BDA" w:rsidP="00882BDA">
      <w:pPr>
        <w:spacing w:line="276" w:lineRule="auto"/>
        <w:ind w:left="567" w:right="567"/>
        <w:jc w:val="both"/>
        <w:rPr>
          <w:rFonts w:ascii="Palatino Linotype" w:eastAsia="Palatino Linotype" w:hAnsi="Palatino Linotype" w:cs="Palatino Linotype"/>
        </w:rPr>
      </w:pPr>
      <w:r w:rsidRPr="00461B3A">
        <w:rPr>
          <w:rFonts w:ascii="Palatino Linotype" w:eastAsia="Palatino Linotype" w:hAnsi="Palatino Linotype" w:cs="Palatino Linotype"/>
          <w:i/>
          <w:sz w:val="22"/>
          <w:szCs w:val="22"/>
        </w:rPr>
        <w:t xml:space="preserve">Que se trate de información registrada en cualquier soporte documental, </w:t>
      </w:r>
      <w:proofErr w:type="gramStart"/>
      <w:r w:rsidRPr="00461B3A">
        <w:rPr>
          <w:rFonts w:ascii="Palatino Linotype" w:eastAsia="Palatino Linotype" w:hAnsi="Palatino Linotype" w:cs="Palatino Linotype"/>
          <w:i/>
          <w:sz w:val="22"/>
          <w:szCs w:val="22"/>
        </w:rPr>
        <w:t>que</w:t>
      </w:r>
      <w:proofErr w:type="gramEnd"/>
      <w:r w:rsidRPr="00461B3A">
        <w:rPr>
          <w:rFonts w:ascii="Palatino Linotype" w:eastAsia="Palatino Linotype" w:hAnsi="Palatino Linotype" w:cs="Palatino Linotype"/>
          <w:i/>
          <w:sz w:val="22"/>
          <w:szCs w:val="22"/>
        </w:rPr>
        <w:t xml:space="preserve"> en ejercicio de las atribuciones conferidas, se encuentre en posesión de los Sujetos Obligados.”</w:t>
      </w:r>
    </w:p>
    <w:p w14:paraId="7AB4C72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3B1F46" w14:textId="12E51EF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El </w:t>
      </w:r>
      <w:r w:rsidRPr="00461B3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461B3A">
        <w:rPr>
          <w:rFonts w:ascii="Palatino Linotype" w:eastAsia="Palatino Linotype" w:hAnsi="Palatino Linotype" w:cs="Palatino Linotype"/>
          <w:color w:val="000000"/>
          <w:vertAlign w:val="superscript"/>
        </w:rPr>
        <w:footnoteReference w:id="10"/>
      </w:r>
      <w:r w:rsidRPr="00461B3A">
        <w:rPr>
          <w:rFonts w:ascii="Palatino Linotype" w:eastAsia="Palatino Linotype" w:hAnsi="Palatino Linotype" w:cs="Palatino Linotype"/>
          <w:color w:val="000000"/>
        </w:rPr>
        <w:t>, para darnos un mejor panorama:</w:t>
      </w:r>
    </w:p>
    <w:p w14:paraId="730F062C"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C0534A"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 xml:space="preserve">“XI. Documento: </w:t>
      </w:r>
      <w:r w:rsidRPr="00461B3A">
        <w:rPr>
          <w:rFonts w:ascii="Palatino Linotype" w:eastAsia="Palatino Linotype" w:hAnsi="Palatino Linotype" w:cs="Palatino Linotype"/>
          <w:bCs/>
          <w:i/>
          <w:sz w:val="22"/>
          <w:szCs w:val="22"/>
        </w:rPr>
        <w:t xml:space="preserve">Los expedientes, </w:t>
      </w:r>
      <w:r w:rsidRPr="00771568">
        <w:rPr>
          <w:rFonts w:ascii="Palatino Linotype" w:eastAsia="Palatino Linotype" w:hAnsi="Palatino Linotype" w:cs="Palatino Linotype"/>
          <w:b/>
          <w:bCs/>
          <w:i/>
          <w:sz w:val="22"/>
          <w:szCs w:val="22"/>
          <w:u w:val="single"/>
        </w:rPr>
        <w:t>reportes</w:t>
      </w:r>
      <w:r w:rsidRPr="00461B3A">
        <w:rPr>
          <w:rFonts w:ascii="Palatino Linotype" w:eastAsia="Palatino Linotype" w:hAnsi="Palatino Linotype" w:cs="Palatino Linotype"/>
          <w:bCs/>
          <w:i/>
          <w:sz w:val="22"/>
          <w:szCs w:val="22"/>
        </w:rPr>
        <w:t>, estudios,</w:t>
      </w:r>
      <w:r w:rsidRPr="00461B3A">
        <w:rPr>
          <w:rFonts w:ascii="Palatino Linotype" w:eastAsia="Palatino Linotype" w:hAnsi="Palatino Linotype" w:cs="Palatino Linotype"/>
          <w:i/>
          <w:sz w:val="22"/>
          <w:szCs w:val="22"/>
        </w:rPr>
        <w:t xml:space="preserve"> actas, resoluciones, oficios, correspondencia, acuerdos, directivas, directrices, circulares, contratos, convenios, instructivos, notas, memorandos, estadísticas o bien, </w:t>
      </w:r>
      <w:r w:rsidRPr="00461B3A">
        <w:rPr>
          <w:rFonts w:ascii="Palatino Linotype" w:eastAsia="Palatino Linotype" w:hAnsi="Palatino Linotype" w:cs="Palatino Linotype"/>
          <w:b/>
          <w:bCs/>
          <w:i/>
          <w:sz w:val="22"/>
          <w:szCs w:val="22"/>
        </w:rPr>
        <w:t>cualquier</w:t>
      </w:r>
      <w:r w:rsidRPr="00461B3A">
        <w:rPr>
          <w:rFonts w:ascii="Palatino Linotype" w:eastAsia="Palatino Linotype" w:hAnsi="Palatino Linotype" w:cs="Palatino Linotype"/>
          <w:i/>
          <w:sz w:val="22"/>
          <w:szCs w:val="22"/>
        </w:rPr>
        <w:t xml:space="preserve"> otro </w:t>
      </w:r>
      <w:r w:rsidRPr="00461B3A">
        <w:rPr>
          <w:rFonts w:ascii="Palatino Linotype" w:eastAsia="Palatino Linotype" w:hAnsi="Palatino Linotype" w:cs="Palatino Linotype"/>
          <w:b/>
          <w:bCs/>
          <w:i/>
          <w:sz w:val="22"/>
          <w:szCs w:val="22"/>
        </w:rPr>
        <w:t>registro que documente el ejercicio de las facultades, funciones y competencias de los</w:t>
      </w:r>
      <w:r w:rsidRPr="00461B3A">
        <w:rPr>
          <w:rFonts w:ascii="Palatino Linotype" w:eastAsia="Palatino Linotype" w:hAnsi="Palatino Linotype" w:cs="Palatino Linotype"/>
          <w:i/>
          <w:sz w:val="22"/>
          <w:szCs w:val="22"/>
        </w:rPr>
        <w:t xml:space="preserve"> </w:t>
      </w:r>
      <w:r w:rsidRPr="00461B3A">
        <w:rPr>
          <w:rFonts w:ascii="Palatino Linotype" w:eastAsia="Palatino Linotype" w:hAnsi="Palatino Linotype" w:cs="Palatino Linotype"/>
          <w:b/>
          <w:i/>
          <w:sz w:val="22"/>
          <w:szCs w:val="22"/>
        </w:rPr>
        <w:t>sujetos obligados</w:t>
      </w:r>
      <w:r w:rsidRPr="00461B3A">
        <w:rPr>
          <w:rFonts w:ascii="Palatino Linotype" w:eastAsia="Palatino Linotype" w:hAnsi="Palatino Linotype" w:cs="Palatino Linotype"/>
          <w:i/>
          <w:sz w:val="22"/>
          <w:szCs w:val="22"/>
        </w:rPr>
        <w:t xml:space="preserve">, sus </w:t>
      </w:r>
      <w:r w:rsidRPr="00461B3A">
        <w:rPr>
          <w:rFonts w:ascii="Palatino Linotype" w:eastAsia="Palatino Linotype" w:hAnsi="Palatino Linotype" w:cs="Palatino Linotype"/>
          <w:bCs/>
          <w:i/>
          <w:sz w:val="22"/>
          <w:szCs w:val="22"/>
        </w:rPr>
        <w:t>servidores públicos</w:t>
      </w:r>
      <w:r w:rsidRPr="00461B3A">
        <w:rPr>
          <w:rFonts w:ascii="Palatino Linotype" w:eastAsia="Palatino Linotype" w:hAnsi="Palatino Linotype" w:cs="Palatino Linotype"/>
          <w:i/>
          <w:sz w:val="22"/>
          <w:szCs w:val="22"/>
        </w:rPr>
        <w:t xml:space="preserve"> e integrantes, sin importar su fuente o fecha de elaboración. Los documentos podrán estar en cualquier medio, sea escrito, </w:t>
      </w:r>
      <w:proofErr w:type="gramStart"/>
      <w:r w:rsidRPr="00461B3A">
        <w:rPr>
          <w:rFonts w:ascii="Palatino Linotype" w:eastAsia="Palatino Linotype" w:hAnsi="Palatino Linotype" w:cs="Palatino Linotype"/>
          <w:i/>
          <w:sz w:val="22"/>
          <w:szCs w:val="22"/>
        </w:rPr>
        <w:t>impreso,  sonoro</w:t>
      </w:r>
      <w:proofErr w:type="gramEnd"/>
      <w:r w:rsidRPr="00461B3A">
        <w:rPr>
          <w:rFonts w:ascii="Palatino Linotype" w:eastAsia="Palatino Linotype" w:hAnsi="Palatino Linotype" w:cs="Palatino Linotype"/>
          <w:i/>
          <w:sz w:val="22"/>
          <w:szCs w:val="22"/>
        </w:rPr>
        <w:t>, visual, electrónico, informático u holográfico;”</w:t>
      </w:r>
    </w:p>
    <w:p w14:paraId="674813F9" w14:textId="77777777" w:rsidR="00882BDA" w:rsidRPr="00461B3A" w:rsidRDefault="00882BDA" w:rsidP="00882BDA">
      <w:pPr>
        <w:spacing w:line="276" w:lineRule="auto"/>
        <w:ind w:left="567" w:right="567"/>
        <w:jc w:val="both"/>
        <w:rPr>
          <w:rFonts w:ascii="Palatino Linotype" w:eastAsia="Palatino Linotype" w:hAnsi="Palatino Linotype" w:cs="Palatino Linotype"/>
          <w:iCs/>
          <w:sz w:val="22"/>
          <w:szCs w:val="22"/>
        </w:rPr>
      </w:pPr>
      <w:r w:rsidRPr="00461B3A">
        <w:rPr>
          <w:rFonts w:ascii="Palatino Linotype" w:eastAsia="Palatino Linotype" w:hAnsi="Palatino Linotype" w:cs="Palatino Linotype"/>
          <w:sz w:val="22"/>
          <w:szCs w:val="22"/>
        </w:rPr>
        <w:t>(Énfasis añadido)</w:t>
      </w:r>
    </w:p>
    <w:p w14:paraId="6DD5A448"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61C8834" w14:textId="2D30BA82"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Correlativo </w:t>
      </w:r>
      <w:r w:rsidRPr="00461B3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226CA974"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6457E1AE"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lastRenderedPageBreak/>
        <w:t xml:space="preserve">“Artículo 4. </w:t>
      </w:r>
      <w:r w:rsidRPr="00461B3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1A79B405"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461B3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9FBD532" w14:textId="77777777" w:rsidR="00882BDA" w:rsidRPr="00461B3A" w:rsidRDefault="00882BDA" w:rsidP="00882BDA">
      <w:pPr>
        <w:spacing w:line="276" w:lineRule="auto"/>
        <w:ind w:left="567" w:right="567"/>
        <w:jc w:val="both"/>
        <w:rPr>
          <w:rFonts w:ascii="Palatino Linotype" w:eastAsia="Palatino Linotype" w:hAnsi="Palatino Linotype" w:cs="Palatino Linotype"/>
          <w:b/>
          <w:i/>
          <w:sz w:val="22"/>
          <w:szCs w:val="22"/>
        </w:rPr>
      </w:pPr>
      <w:r w:rsidRPr="00461B3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5D2EAD8A" w14:textId="77777777" w:rsidR="00882BDA" w:rsidRPr="00461B3A" w:rsidRDefault="00882BDA" w:rsidP="00882BDA">
      <w:pPr>
        <w:spacing w:line="276" w:lineRule="auto"/>
        <w:ind w:right="567"/>
        <w:jc w:val="both"/>
        <w:rPr>
          <w:rFonts w:ascii="Palatino Linotype" w:eastAsia="Palatino Linotype" w:hAnsi="Palatino Linotype" w:cs="Palatino Linotype"/>
          <w:i/>
          <w:color w:val="000000"/>
          <w:sz w:val="28"/>
          <w:szCs w:val="28"/>
        </w:rPr>
      </w:pPr>
    </w:p>
    <w:p w14:paraId="62C460D2"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461B3A">
        <w:rPr>
          <w:rFonts w:ascii="Palatino Linotype" w:eastAsia="Palatino Linotype" w:hAnsi="Palatino Linotype" w:cs="Palatino Linotype"/>
          <w:i/>
          <w:sz w:val="22"/>
          <w:szCs w:val="22"/>
        </w:rPr>
        <w:t xml:space="preserve">. </w:t>
      </w:r>
    </w:p>
    <w:p w14:paraId="22C34264" w14:textId="77777777" w:rsidR="00882BDA" w:rsidRPr="00461B3A" w:rsidRDefault="00882BDA" w:rsidP="00882BDA">
      <w:pPr>
        <w:spacing w:line="276" w:lineRule="auto"/>
        <w:ind w:left="567" w:right="567"/>
        <w:jc w:val="both"/>
        <w:rPr>
          <w:rFonts w:ascii="Palatino Linotype" w:eastAsia="Palatino Linotype" w:hAnsi="Palatino Linotype" w:cs="Palatino Linotype"/>
          <w:i/>
          <w:sz w:val="22"/>
          <w:szCs w:val="22"/>
        </w:rPr>
      </w:pPr>
      <w:r w:rsidRPr="00461B3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D6B199" w14:textId="77777777" w:rsidR="00882BDA" w:rsidRPr="00461B3A" w:rsidRDefault="00882BDA" w:rsidP="00882BDA">
      <w:pPr>
        <w:spacing w:line="276" w:lineRule="auto"/>
        <w:ind w:left="567" w:right="567"/>
        <w:jc w:val="both"/>
        <w:rPr>
          <w:rFonts w:ascii="Palatino Linotype" w:eastAsia="Palatino Linotype" w:hAnsi="Palatino Linotype" w:cs="Palatino Linotype"/>
          <w:sz w:val="22"/>
          <w:szCs w:val="22"/>
        </w:rPr>
      </w:pPr>
      <w:r w:rsidRPr="00461B3A">
        <w:rPr>
          <w:rFonts w:ascii="Palatino Linotype" w:eastAsia="Palatino Linotype" w:hAnsi="Palatino Linotype" w:cs="Palatino Linotype"/>
          <w:sz w:val="22"/>
          <w:szCs w:val="22"/>
        </w:rPr>
        <w:t>(Énfasis añadido)</w:t>
      </w:r>
    </w:p>
    <w:p w14:paraId="7C177352"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7F14B47" w14:textId="6A350D6D"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Es </w:t>
      </w:r>
      <w:r w:rsidRPr="00461B3A">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3DAD92BE"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DA13AA3" w14:textId="3AC72003"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w:t>
      </w:r>
      <w:r w:rsidRPr="00461B3A">
        <w:rPr>
          <w:rFonts w:ascii="Palatino Linotype" w:eastAsia="Palatino Linotype" w:hAnsi="Palatino Linotype" w:cs="Palatino Linotype"/>
          <w:color w:val="000000"/>
        </w:rPr>
        <w:t xml:space="preserve">otro lado, la Ley de Transparencia y Acceso a la Información Pública del Estado de México y Municipios, establece que en la generación, publicación y </w:t>
      </w:r>
      <w:r w:rsidRPr="00461B3A">
        <w:rPr>
          <w:rFonts w:ascii="Palatino Linotype" w:eastAsia="Palatino Linotype" w:hAnsi="Palatino Linotype" w:cs="Palatino Linotype"/>
          <w:color w:val="000000"/>
        </w:rPr>
        <w:lastRenderedPageBreak/>
        <w:t>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461B3A">
        <w:rPr>
          <w:rFonts w:ascii="Palatino Linotype" w:eastAsia="Palatino Linotype" w:hAnsi="Palatino Linotype" w:cs="Palatino Linotype"/>
          <w:color w:val="000000"/>
          <w:vertAlign w:val="superscript"/>
        </w:rPr>
        <w:footnoteReference w:id="11"/>
      </w:r>
      <w:r w:rsidRPr="00461B3A">
        <w:rPr>
          <w:rFonts w:ascii="Palatino Linotype" w:eastAsia="Palatino Linotype" w:hAnsi="Palatino Linotype" w:cs="Palatino Linotype"/>
          <w:color w:val="000000"/>
        </w:rPr>
        <w:t>.</w:t>
      </w:r>
    </w:p>
    <w:p w14:paraId="46E3676D"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2D202A2A" w14:textId="183683E7"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w:t>
      </w:r>
      <w:r w:rsidRPr="00461B3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461B3A">
        <w:rPr>
          <w:rFonts w:ascii="Palatino Linotype" w:eastAsia="Palatino Linotype" w:hAnsi="Palatino Linotype" w:cs="Palatino Linotype"/>
          <w:color w:val="000000"/>
          <w:vertAlign w:val="superscript"/>
        </w:rPr>
        <w:footnoteReference w:id="12"/>
      </w:r>
      <w:r w:rsidRPr="00461B3A">
        <w:rPr>
          <w:rFonts w:ascii="Palatino Linotype" w:eastAsia="Palatino Linotype" w:hAnsi="Palatino Linotype" w:cs="Palatino Linotype"/>
          <w:color w:val="000000"/>
        </w:rPr>
        <w:t xml:space="preserve"> y máxima publicidad; sobre éste último se debe poner mayor énfasis, puesto que establece que </w:t>
      </w:r>
      <w:r w:rsidRPr="00461B3A">
        <w:rPr>
          <w:rFonts w:ascii="Palatino Linotype" w:eastAsia="Palatino Linotype" w:hAnsi="Palatino Linotype" w:cs="Palatino Linotype"/>
          <w:b/>
          <w:color w:val="000000"/>
          <w:u w:val="single"/>
        </w:rPr>
        <w:t>toda la información en posesión de los Sujetos Obligados será</w:t>
      </w:r>
      <w:r w:rsidRPr="00461B3A">
        <w:rPr>
          <w:rFonts w:ascii="Palatino Linotype" w:eastAsia="Palatino Linotype" w:hAnsi="Palatino Linotype" w:cs="Palatino Linotype"/>
          <w:color w:val="000000"/>
        </w:rPr>
        <w:t xml:space="preserve"> pública, completa, </w:t>
      </w:r>
      <w:r w:rsidRPr="00461B3A">
        <w:rPr>
          <w:rFonts w:ascii="Palatino Linotype" w:eastAsia="Palatino Linotype" w:hAnsi="Palatino Linotype" w:cs="Palatino Linotype"/>
          <w:b/>
          <w:color w:val="000000"/>
          <w:u w:val="single"/>
        </w:rPr>
        <w:t>oportuna</w:t>
      </w:r>
      <w:r w:rsidRPr="00461B3A">
        <w:rPr>
          <w:rFonts w:ascii="Palatino Linotype" w:eastAsia="Palatino Linotype" w:hAnsi="Palatino Linotype" w:cs="Palatino Linotype"/>
          <w:color w:val="000000"/>
        </w:rPr>
        <w:t xml:space="preserve"> y </w:t>
      </w:r>
      <w:r w:rsidRPr="00461B3A">
        <w:rPr>
          <w:rFonts w:ascii="Palatino Linotype" w:eastAsia="Palatino Linotype" w:hAnsi="Palatino Linotype" w:cs="Palatino Linotype"/>
          <w:b/>
          <w:color w:val="000000"/>
          <w:u w:val="single"/>
        </w:rPr>
        <w:t>accesible</w:t>
      </w:r>
      <w:r w:rsidRPr="00461B3A">
        <w:rPr>
          <w:rFonts w:ascii="Palatino Linotype" w:eastAsia="Palatino Linotype" w:hAnsi="Palatino Linotype" w:cs="Palatino Linotype"/>
          <w:color w:val="000000"/>
        </w:rPr>
        <w:t xml:space="preserve">, </w:t>
      </w:r>
      <w:r w:rsidRPr="00461B3A">
        <w:rPr>
          <w:rFonts w:ascii="Palatino Linotype" w:eastAsia="Palatino Linotype" w:hAnsi="Palatino Linotype" w:cs="Palatino Linotype"/>
          <w:b/>
          <w:color w:val="000000"/>
        </w:rPr>
        <w:t>lo que permite que la ciudadanía tenga un amplio acceso sobre lo que es el actuar de las autoridades</w:t>
      </w:r>
      <w:r w:rsidRPr="00461B3A">
        <w:rPr>
          <w:rFonts w:ascii="Palatino Linotype" w:eastAsia="Palatino Linotype" w:hAnsi="Palatino Linotype" w:cs="Palatino Linotype"/>
          <w:color w:val="000000"/>
        </w:rPr>
        <w:t>.</w:t>
      </w:r>
    </w:p>
    <w:p w14:paraId="1D03A9B9"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132470E" w14:textId="198A3B9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Robustece </w:t>
      </w:r>
      <w:r w:rsidRPr="00461B3A">
        <w:rPr>
          <w:rFonts w:ascii="Palatino Linotype" w:eastAsia="Palatino Linotype" w:hAnsi="Palatino Linotype" w:cs="Palatino Linotype"/>
          <w:color w:val="000000"/>
        </w:rPr>
        <w:t>lo anterior la Tesis aislada identificada con la clave I.</w:t>
      </w:r>
      <w:proofErr w:type="gramStart"/>
      <w:r w:rsidRPr="00461B3A">
        <w:rPr>
          <w:rFonts w:ascii="Palatino Linotype" w:eastAsia="Palatino Linotype" w:hAnsi="Palatino Linotype" w:cs="Palatino Linotype"/>
          <w:color w:val="000000"/>
        </w:rPr>
        <w:t>4º.A.</w:t>
      </w:r>
      <w:proofErr w:type="gramEnd"/>
      <w:r w:rsidRPr="00461B3A">
        <w:rPr>
          <w:rFonts w:ascii="Palatino Linotype" w:eastAsia="Palatino Linotype" w:hAnsi="Palatino Linotype" w:cs="Palatino Linotype"/>
          <w:color w:val="000000"/>
        </w:rPr>
        <w:t>40 A del Cuarto Tribunal colegiado en Materia Administrativa del Primer Circuito, publicada en el Seminario Judicial de la Federación y su Gaceta en el libro XVIII, Marzo 2013, Página 1899:</w:t>
      </w:r>
    </w:p>
    <w:p w14:paraId="3092F1FA"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FCE64CC" w14:textId="77777777" w:rsidR="00882BDA" w:rsidRPr="00461B3A" w:rsidRDefault="00882BDA" w:rsidP="00882BDA">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461B3A">
        <w:rPr>
          <w:rFonts w:ascii="Palatino Linotype" w:eastAsia="Palatino Linotype" w:hAnsi="Palatino Linotype" w:cs="Palatino Linotype"/>
          <w:b/>
          <w:i/>
          <w:color w:val="000000"/>
          <w:sz w:val="22"/>
          <w:szCs w:val="22"/>
        </w:rPr>
        <w:lastRenderedPageBreak/>
        <w:t>ACCESO A LA INFORMACIÓN. IMPLICACIÓN DEL PRINCIPIO DE MÁXIMA PUBLICIDAD EN EL DERECHO FUNDAMENTAL RELATIVO.</w:t>
      </w:r>
      <w:r w:rsidRPr="00461B3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35221A45" w14:textId="77777777" w:rsidR="00882BDA" w:rsidRDefault="00882BDA" w:rsidP="00882BD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A0B4003" w14:textId="7A0EDD01" w:rsidR="00882BDA" w:rsidRDefault="00882BDA">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Tal </w:t>
      </w:r>
      <w:r w:rsidRPr="00461B3A">
        <w:rPr>
          <w:rFonts w:ascii="Palatino Linotype" w:hAnsi="Palatino Linotype"/>
          <w:color w:val="000000" w:themeColor="text1"/>
        </w:rPr>
        <w:t xml:space="preserve">y como se ha señalado, </w:t>
      </w:r>
      <w:r w:rsidRPr="00461B3A">
        <w:rPr>
          <w:rFonts w:ascii="Palatino Linotype" w:hAnsi="Palatino Linotype"/>
          <w:b/>
          <w:bCs/>
          <w:color w:val="000000" w:themeColor="text1"/>
        </w:rPr>
        <w:t>el derecho de acceso a la información se basa en permitir que la ciudadanía conozca de primera mano toda aquella información que se encuentra en posesión de los Sujetos Obligados</w:t>
      </w:r>
      <w:r w:rsidRPr="00461B3A">
        <w:rPr>
          <w:rFonts w:ascii="Palatino Linotype" w:hAnsi="Palatino Linotype"/>
          <w:color w:val="000000" w:themeColor="text1"/>
        </w:rPr>
        <w:t xml:space="preserve">, ya sea porque la genera, posee o administra; </w:t>
      </w:r>
      <w:r w:rsidRPr="00461B3A">
        <w:rPr>
          <w:rFonts w:ascii="Palatino Linotype" w:hAnsi="Palatino Linotype"/>
          <w:b/>
          <w:bCs/>
          <w:color w:val="000000" w:themeColor="text1"/>
        </w:rPr>
        <w:t>toda vez que</w:t>
      </w:r>
      <w:r w:rsidRPr="00461B3A">
        <w:rPr>
          <w:rFonts w:ascii="Palatino Linotype" w:hAnsi="Palatino Linotype"/>
          <w:color w:val="000000" w:themeColor="text1"/>
        </w:rPr>
        <w:t xml:space="preserve">, a través de dicha acción, </w:t>
      </w:r>
      <w:r w:rsidRPr="00461B3A">
        <w:rPr>
          <w:rFonts w:ascii="Palatino Linotype" w:hAnsi="Palatino Linotype"/>
          <w:b/>
          <w:color w:val="000000" w:themeColor="text1"/>
        </w:rPr>
        <w:t>permite que las personas ejerzan un medio de control sobre las acciones que se están ejerciendo y evaluar su desempeño</w:t>
      </w:r>
      <w:r w:rsidRPr="00461B3A">
        <w:rPr>
          <w:rFonts w:ascii="Palatino Linotype" w:hAnsi="Palatino Linotype"/>
          <w:color w:val="000000" w:themeColor="text1"/>
        </w:rPr>
        <w:t>.</w:t>
      </w:r>
    </w:p>
    <w:p w14:paraId="62E641F6" w14:textId="77777777" w:rsidR="009142B5" w:rsidRDefault="009142B5" w:rsidP="009142B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55A5AE08" w14:textId="5B65D47B" w:rsidR="00742B15" w:rsidRPr="009C03DB" w:rsidRDefault="0031093C" w:rsidP="009C03DB">
      <w:pPr>
        <w:pStyle w:val="Ttulo3"/>
        <w:spacing w:before="0" w:after="0" w:line="360" w:lineRule="auto"/>
        <w:rPr>
          <w:rFonts w:ascii="Palatino Linotype" w:eastAsia="Palatino Linotype" w:hAnsi="Palatino Linotype" w:cs="Palatino Linotype"/>
          <w:color w:val="000000"/>
          <w:sz w:val="24"/>
          <w:lang w:val="es-ES_tradnl"/>
        </w:rPr>
      </w:pPr>
      <w:r>
        <w:rPr>
          <w:rFonts w:ascii="Palatino Linotype" w:eastAsia="Palatino Linotype" w:hAnsi="Palatino Linotype" w:cs="Palatino Linotype"/>
          <w:color w:val="000000"/>
          <w:sz w:val="24"/>
          <w:lang w:val="es-ES_tradnl"/>
        </w:rPr>
        <w:lastRenderedPageBreak/>
        <w:t>III</w:t>
      </w:r>
      <w:r w:rsidR="00742B15" w:rsidRPr="009C03DB">
        <w:rPr>
          <w:rFonts w:ascii="Palatino Linotype" w:eastAsia="Palatino Linotype" w:hAnsi="Palatino Linotype" w:cs="Palatino Linotype"/>
          <w:color w:val="000000"/>
          <w:sz w:val="24"/>
          <w:lang w:val="es-ES_tradnl"/>
        </w:rPr>
        <w:t xml:space="preserve">. Del </w:t>
      </w:r>
      <w:r w:rsidR="009C03DB" w:rsidRPr="009C03DB">
        <w:rPr>
          <w:rFonts w:ascii="Palatino Linotype" w:eastAsia="Palatino Linotype" w:hAnsi="Palatino Linotype" w:cs="Palatino Linotype"/>
          <w:color w:val="000000"/>
          <w:sz w:val="24"/>
          <w:lang w:val="es-ES_tradnl"/>
        </w:rPr>
        <w:t>Ayuntamiento de Zinacantepec.</w:t>
      </w:r>
    </w:p>
    <w:p w14:paraId="501252C7" w14:textId="77777777" w:rsidR="00742B15" w:rsidRDefault="00742B15" w:rsidP="00742B1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0CDC174" w14:textId="7D4B0107" w:rsidR="00882BDA"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La </w:t>
      </w:r>
      <w:r>
        <w:rPr>
          <w:rFonts w:ascii="Palatino Linotype" w:eastAsia="Palatino Linotype" w:hAnsi="Palatino Linotype" w:cs="Palatino Linotype"/>
          <w:color w:val="000000"/>
        </w:rPr>
        <w:t xml:space="preserve">Constitución Política de los Estados Unidos Mexicanos establece que los estados que integran a nuestro país adoptarán, para su régimen interior, la forma de gobierno republicano, representativo, democrático, laico y popular, teniendo como base de su división territorial y de su organización política y administrativa, el </w:t>
      </w:r>
      <w:r>
        <w:rPr>
          <w:rFonts w:ascii="Palatino Linotype" w:eastAsia="Palatino Linotype" w:hAnsi="Palatino Linotype" w:cs="Palatino Linotype"/>
          <w:b/>
          <w:color w:val="000000"/>
        </w:rPr>
        <w:t>municipio libre</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 xml:space="preserve">. Al respecto,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integrado por un </w:t>
      </w:r>
      <w:r>
        <w:rPr>
          <w:rFonts w:ascii="Palatino Linotype" w:eastAsia="Palatino Linotype" w:hAnsi="Palatino Linotype" w:cs="Palatino Linotype"/>
          <w:b/>
          <w:color w:val="000000"/>
        </w:rPr>
        <w:t>Presidente o Presidenta Municipal</w:t>
      </w:r>
      <w:r>
        <w:rPr>
          <w:rFonts w:ascii="Palatino Linotype" w:eastAsia="Palatino Linotype" w:hAnsi="Palatino Linotype" w:cs="Palatino Linotype"/>
          <w:color w:val="000000"/>
        </w:rPr>
        <w:t xml:space="preserve"> y el número de </w:t>
      </w:r>
      <w:r>
        <w:rPr>
          <w:rFonts w:ascii="Palatino Linotype" w:eastAsia="Palatino Linotype" w:hAnsi="Palatino Linotype" w:cs="Palatino Linotype"/>
          <w:b/>
          <w:color w:val="000000"/>
        </w:rPr>
        <w:t>regidurías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sindicaturas</w:t>
      </w:r>
      <w:r>
        <w:rPr>
          <w:rFonts w:ascii="Palatino Linotype" w:eastAsia="Palatino Linotype" w:hAnsi="Palatino Linotype" w:cs="Palatino Linotype"/>
          <w:color w:val="000000"/>
        </w:rPr>
        <w:t xml:space="preserve"> que la ley determine, de conformidad con el principio de paridad</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4546755F"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F2D1C0E" w14:textId="337A78DC" w:rsidR="009C03DB"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En </w:t>
      </w:r>
      <w:r>
        <w:rPr>
          <w:rFonts w:ascii="Palatino Linotype" w:eastAsia="Palatino Linotype" w:hAnsi="Palatino Linotype" w:cs="Palatino Linotype"/>
          <w:color w:val="000000"/>
        </w:rPr>
        <w:t xml:space="preserve">seguimiento al mandato constitucional, la Ley Orgánica Municipal del Estado de México señala que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y no habrá ninguna autoridad intermedia entre éste y el Gobierno del Estado</w:t>
      </w:r>
      <w:r>
        <w:rPr>
          <w:rFonts w:ascii="Palatino Linotype" w:eastAsia="Palatino Linotype" w:hAnsi="Palatino Linotype" w:cs="Palatino Linotype"/>
          <w:color w:val="000000"/>
          <w:vertAlign w:val="superscript"/>
        </w:rPr>
        <w:footnoteReference w:id="15"/>
      </w:r>
      <w:r>
        <w:rPr>
          <w:rFonts w:ascii="Palatino Linotype" w:eastAsia="Palatino Linotype" w:hAnsi="Palatino Linotype" w:cs="Palatino Linotype"/>
          <w:color w:val="000000"/>
        </w:rPr>
        <w:t>.</w:t>
      </w:r>
    </w:p>
    <w:p w14:paraId="3B119075"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39A036C9" w14:textId="1B243230" w:rsidR="009C03DB" w:rsidRPr="009C03DB" w:rsidRDefault="009C03DB"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Pr>
          <w:rFonts w:ascii="Palatino Linotype" w:eastAsia="Palatino Linotype" w:hAnsi="Palatino Linotype" w:cs="Palatino Linotype"/>
          <w:color w:val="000000"/>
          <w:vertAlign w:val="superscript"/>
        </w:rPr>
        <w:footnoteReference w:id="16"/>
      </w:r>
      <w:r>
        <w:rPr>
          <w:rFonts w:ascii="Palatino Linotype" w:eastAsia="Palatino Linotype" w:hAnsi="Palatino Linotype" w:cs="Palatino Linotype"/>
          <w:color w:val="000000"/>
        </w:rPr>
        <w:t>:</w:t>
      </w:r>
    </w:p>
    <w:p w14:paraId="18CDA34C" w14:textId="77777777" w:rsidR="009C03DB" w:rsidRPr="00EF3BB2"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EF3BB2">
        <w:rPr>
          <w:rFonts w:ascii="Palatino Linotype" w:eastAsia="Palatino Linotype" w:hAnsi="Palatino Linotype" w:cs="Palatino Linotype"/>
          <w:color w:val="000000"/>
        </w:rPr>
        <w:t xml:space="preserve">Un presidente, un síndico y cuatro regidores, electos por planilla según el principio de mayoría relativa, y tres regidores designados según el </w:t>
      </w:r>
      <w:r w:rsidRPr="00EF3BB2">
        <w:rPr>
          <w:rFonts w:ascii="Palatino Linotype" w:eastAsia="Palatino Linotype" w:hAnsi="Palatino Linotype" w:cs="Palatino Linotype"/>
          <w:color w:val="000000"/>
        </w:rPr>
        <w:lastRenderedPageBreak/>
        <w:t>principio de representación proporcional, cuando se trate de municipios que tengan una población de menos de 150 mil habitantes.</w:t>
      </w:r>
    </w:p>
    <w:p w14:paraId="23FE6A43" w14:textId="77777777" w:rsidR="009C03DB" w:rsidRPr="00EF3BB2"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EF3BB2">
        <w:rPr>
          <w:rFonts w:ascii="Palatino Linotype" w:eastAsia="Palatino Linotype" w:hAnsi="Palatino Linotype" w:cs="Palatino Linotype"/>
          <w:color w:val="000000"/>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3E31DAAD" w14:textId="723F4309" w:rsidR="009C03DB" w:rsidRDefault="009C03DB" w:rsidP="009C03DB">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Un presidente, un síndico y siete regidores, electos por planilla según el principio de mayoría relativa</w:t>
      </w:r>
      <w:r w:rsidRPr="009C03DB">
        <w:rPr>
          <w:rFonts w:ascii="Palatino Linotype" w:eastAsia="Palatino Linotype" w:hAnsi="Palatino Linotype" w:cs="Palatino Linotype"/>
          <w:color w:val="000000"/>
        </w:rPr>
        <w:t>; un síndico y cinco regidores designados según el principio de representación proporcional, cuando se trate de municipios que tengan una población de más de 500 mil habitantes.</w:t>
      </w:r>
    </w:p>
    <w:p w14:paraId="2BDFB544" w14:textId="77777777" w:rsidR="009C03DB" w:rsidRDefault="009C03DB" w:rsidP="009C03D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E9EF1AB" w14:textId="52EBB595" w:rsidR="00EF3BB2" w:rsidRDefault="00EF3BB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Para </w:t>
      </w:r>
      <w:r w:rsidRPr="00EF3BB2">
        <w:rPr>
          <w:rFonts w:ascii="Palatino Linotype" w:eastAsia="Palatino Linotype" w:hAnsi="Palatino Linotype" w:cs="Palatino Linotype"/>
          <w:color w:val="000000"/>
        </w:rPr>
        <w:t>el ejercicio de sus atribuciones y responsabilidades ejecutivas, el ayuntamiento se auxiliará con las dependencias y entidades de la administración pública municipa</w:t>
      </w:r>
      <w:r>
        <w:rPr>
          <w:rFonts w:ascii="Palatino Linotype" w:eastAsia="Palatino Linotype" w:hAnsi="Palatino Linotype" w:cs="Palatino Linotype"/>
          <w:color w:val="000000"/>
        </w:rPr>
        <w:t>l, que en cada caso acuerde el C</w:t>
      </w:r>
      <w:r w:rsidRPr="00EF3BB2">
        <w:rPr>
          <w:rFonts w:ascii="Palatino Linotype" w:eastAsia="Palatino Linotype" w:hAnsi="Palatino Linotype" w:cs="Palatino Linotype"/>
          <w:color w:val="000000"/>
        </w:rPr>
        <w:t>abildo a propuesta de</w:t>
      </w:r>
      <w:r>
        <w:rPr>
          <w:rFonts w:ascii="Palatino Linotype" w:eastAsia="Palatino Linotype" w:hAnsi="Palatino Linotype" w:cs="Palatino Linotype"/>
          <w:color w:val="000000"/>
        </w:rPr>
        <w:t>l Presidente Municipal</w:t>
      </w:r>
      <w:r w:rsidRPr="00EF3BB2">
        <w:rPr>
          <w:rFonts w:ascii="Palatino Linotype" w:eastAsia="Palatino Linotype" w:hAnsi="Palatino Linotype" w:cs="Palatino Linotype"/>
          <w:color w:val="000000"/>
        </w:rPr>
        <w:t xml:space="preserve">, las que estarán subordinadas a </w:t>
      </w:r>
      <w:r>
        <w:rPr>
          <w:rFonts w:ascii="Palatino Linotype" w:eastAsia="Palatino Linotype" w:hAnsi="Palatino Linotype" w:cs="Palatino Linotype"/>
          <w:color w:val="000000"/>
        </w:rPr>
        <w:t>éste</w:t>
      </w:r>
      <w:r>
        <w:rPr>
          <w:rStyle w:val="Refdenotaalpie"/>
          <w:rFonts w:ascii="Palatino Linotype" w:eastAsia="Palatino Linotype" w:hAnsi="Palatino Linotype" w:cs="Palatino Linotype"/>
          <w:color w:val="000000"/>
        </w:rPr>
        <w:footnoteReference w:id="17"/>
      </w:r>
      <w:r w:rsidRPr="00EF3BB2">
        <w:rPr>
          <w:rFonts w:ascii="Palatino Linotype" w:eastAsia="Palatino Linotype" w:hAnsi="Palatino Linotype" w:cs="Palatino Linotype"/>
          <w:color w:val="000000"/>
        </w:rPr>
        <w:t>.</w:t>
      </w:r>
    </w:p>
    <w:p w14:paraId="0EA9EECD" w14:textId="77777777" w:rsidR="00EF3BB2"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2B64F7E" w14:textId="38F9E9C6" w:rsidR="00EF3BB2" w:rsidRPr="00EF3BB2" w:rsidRDefault="00EF3BB2"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Para el </w:t>
      </w:r>
      <w:r w:rsidRPr="00EF3BB2">
        <w:rPr>
          <w:rFonts w:ascii="Palatino Linotype" w:eastAsia="Palatino Linotype" w:hAnsi="Palatino Linotype" w:cs="Palatino Linotype"/>
          <w:color w:val="000000"/>
        </w:rPr>
        <w:t>despacho, estudio y planeación de los diversos asuntos de la administración municipal, el ayuntamiento contará</w:t>
      </w:r>
      <w:r>
        <w:rPr>
          <w:rFonts w:ascii="Palatino Linotype" w:eastAsia="Palatino Linotype" w:hAnsi="Palatino Linotype" w:cs="Palatino Linotype"/>
          <w:color w:val="000000"/>
        </w:rPr>
        <w:t>,</w:t>
      </w:r>
      <w:r w:rsidRPr="00EF3BB2">
        <w:rPr>
          <w:rFonts w:ascii="Palatino Linotype" w:eastAsia="Palatino Linotype" w:hAnsi="Palatino Linotype" w:cs="Palatino Linotype"/>
          <w:color w:val="000000"/>
        </w:rPr>
        <w:t xml:space="preserve"> por lo menos</w:t>
      </w:r>
      <w:r>
        <w:rPr>
          <w:rFonts w:ascii="Palatino Linotype" w:eastAsia="Palatino Linotype" w:hAnsi="Palatino Linotype" w:cs="Palatino Linotype"/>
          <w:color w:val="000000"/>
        </w:rPr>
        <w:t>, con las siguientes d</w:t>
      </w:r>
      <w:r w:rsidRPr="00EF3BB2">
        <w:rPr>
          <w:rFonts w:ascii="Palatino Linotype" w:eastAsia="Palatino Linotype" w:hAnsi="Palatino Linotype" w:cs="Palatino Linotype"/>
          <w:color w:val="000000"/>
        </w:rPr>
        <w:t>ependencias</w:t>
      </w:r>
      <w:r>
        <w:rPr>
          <w:rStyle w:val="Refdenotaalpie"/>
          <w:rFonts w:ascii="Palatino Linotype" w:eastAsia="Palatino Linotype" w:hAnsi="Palatino Linotype" w:cs="Palatino Linotype"/>
          <w:color w:val="000000"/>
        </w:rPr>
        <w:footnoteReference w:id="18"/>
      </w:r>
      <w:r w:rsidRPr="00EF3BB2">
        <w:rPr>
          <w:rFonts w:ascii="Palatino Linotype" w:eastAsia="Palatino Linotype" w:hAnsi="Palatino Linotype" w:cs="Palatino Linotype"/>
          <w:color w:val="000000"/>
        </w:rPr>
        <w:t>:</w:t>
      </w:r>
    </w:p>
    <w:p w14:paraId="0251A7CE"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La </w:t>
      </w:r>
      <w:r w:rsidRPr="00EF3BB2">
        <w:rPr>
          <w:rFonts w:ascii="Palatino Linotype" w:eastAsia="Palatino Linotype" w:hAnsi="Palatino Linotype" w:cs="Palatino Linotype"/>
          <w:color w:val="000000"/>
        </w:rPr>
        <w:t xml:space="preserve">secretaría del ayuntamiento; </w:t>
      </w:r>
    </w:p>
    <w:p w14:paraId="612B8ADA"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 xml:space="preserve">La tesorería municipal. </w:t>
      </w:r>
    </w:p>
    <w:p w14:paraId="1D36E5E9"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 xml:space="preserve">La Dirección de Obras Públicas o equivalente. </w:t>
      </w:r>
    </w:p>
    <w:p w14:paraId="21808006"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lastRenderedPageBreak/>
        <w:t xml:space="preserve">La Dirección de Desarrollo Económico o equivalente. </w:t>
      </w:r>
    </w:p>
    <w:p w14:paraId="675B5F77" w14:textId="59BC2558"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La Dirección de Desarrollo Urbano o equivalente;</w:t>
      </w:r>
    </w:p>
    <w:p w14:paraId="360FCAB3"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rPr>
        <w:t xml:space="preserve">La </w:t>
      </w:r>
      <w:r w:rsidRPr="00EF3BB2">
        <w:rPr>
          <w:rFonts w:ascii="Palatino Linotype" w:eastAsia="Palatino Linotype" w:hAnsi="Palatino Linotype" w:cs="Palatino Linotype"/>
          <w:color w:val="000000"/>
        </w:rPr>
        <w:t xml:space="preserve">Dirección de Ecología o equivalente. </w:t>
      </w:r>
    </w:p>
    <w:p w14:paraId="2A2FE87B"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 xml:space="preserve">La Dirección de Desarrollo Social o equivalente. </w:t>
      </w:r>
    </w:p>
    <w:p w14:paraId="37C5FD81"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 xml:space="preserve">La Coordinación Municipal de Protección Civil o equivalente. </w:t>
      </w:r>
    </w:p>
    <w:p w14:paraId="0248075A" w14:textId="77777777" w:rsidR="00EF3BB2" w:rsidRP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 xml:space="preserve">La Dirección de las Mujeres o equivalente. </w:t>
      </w:r>
    </w:p>
    <w:p w14:paraId="21F17F88" w14:textId="204EBFAB" w:rsidR="00EF3BB2" w:rsidRDefault="00EF3BB2" w:rsidP="00EF3BB2">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lang w:val="es-ES_tradnl"/>
        </w:rPr>
      </w:pPr>
      <w:r w:rsidRPr="00EF3BB2">
        <w:rPr>
          <w:rFonts w:ascii="Palatino Linotype" w:eastAsia="Palatino Linotype" w:hAnsi="Palatino Linotype" w:cs="Palatino Linotype"/>
          <w:color w:val="000000"/>
        </w:rPr>
        <w:t>Dirección del Campo o equivalente, preferentemente en los municipios cuyas características geográficas, territoriales, sociales, culturales, políticas y económicas sean predominantemente inherentes al ámbito rural.</w:t>
      </w:r>
    </w:p>
    <w:p w14:paraId="283AEF36" w14:textId="77777777" w:rsidR="00EF3BB2"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C304AF7" w14:textId="77777777" w:rsidR="003B2676" w:rsidRDefault="003B2676"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Lo anterior es replicado en el Bando Municipal 2023 de Zinacantepec, el cual establece que, el </w:t>
      </w:r>
      <w:r>
        <w:rPr>
          <w:rFonts w:ascii="Palatino Linotype" w:eastAsia="Palatino Linotype" w:hAnsi="Palatino Linotype" w:cs="Palatino Linotype"/>
          <w:color w:val="000000"/>
        </w:rPr>
        <w:t>gobierno del municipio,</w:t>
      </w:r>
      <w:r w:rsidRPr="003B2676">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estará</w:t>
      </w:r>
      <w:r w:rsidRPr="003B2676">
        <w:rPr>
          <w:rFonts w:ascii="Palatino Linotype" w:eastAsia="Palatino Linotype" w:hAnsi="Palatino Linotype" w:cs="Palatino Linotype"/>
          <w:color w:val="000000"/>
        </w:rPr>
        <w:t xml:space="preserve"> depositado en un cuerpo colegiado deliberativo denominado Ayuntamiento </w:t>
      </w:r>
      <w:r>
        <w:rPr>
          <w:rFonts w:ascii="Palatino Linotype" w:eastAsia="Palatino Linotype" w:hAnsi="Palatino Linotype" w:cs="Palatino Linotype"/>
          <w:color w:val="000000"/>
        </w:rPr>
        <w:t>cuya</w:t>
      </w:r>
      <w:r w:rsidRPr="003B2676">
        <w:rPr>
          <w:rFonts w:ascii="Palatino Linotype" w:eastAsia="Palatino Linotype" w:hAnsi="Palatino Linotype" w:cs="Palatino Linotype"/>
          <w:color w:val="000000"/>
        </w:rPr>
        <w:t xml:space="preserve"> e</w:t>
      </w:r>
      <w:r>
        <w:rPr>
          <w:rFonts w:ascii="Palatino Linotype" w:eastAsia="Palatino Linotype" w:hAnsi="Palatino Linotype" w:cs="Palatino Linotype"/>
          <w:color w:val="000000"/>
        </w:rPr>
        <w:t>jecución de sus determinaciones</w:t>
      </w:r>
      <w:r w:rsidRPr="003B2676">
        <w:rPr>
          <w:rFonts w:ascii="Palatino Linotype" w:eastAsia="Palatino Linotype" w:hAnsi="Palatino Linotype" w:cs="Palatino Linotype"/>
          <w:color w:val="000000"/>
        </w:rPr>
        <w:t xml:space="preserve"> corresponderá al Presidente Municipal, quien </w:t>
      </w:r>
      <w:r>
        <w:rPr>
          <w:rFonts w:ascii="Palatino Linotype" w:eastAsia="Palatino Linotype" w:hAnsi="Palatino Linotype" w:cs="Palatino Linotype"/>
          <w:color w:val="000000"/>
        </w:rPr>
        <w:t>presidirá</w:t>
      </w:r>
      <w:r w:rsidRPr="003B2676">
        <w:rPr>
          <w:rFonts w:ascii="Palatino Linotype" w:eastAsia="Palatino Linotype" w:hAnsi="Palatino Linotype" w:cs="Palatino Linotype"/>
          <w:color w:val="000000"/>
        </w:rPr>
        <w:t xml:space="preserve"> el mismo y </w:t>
      </w:r>
      <w:r>
        <w:rPr>
          <w:rFonts w:ascii="Palatino Linotype" w:eastAsia="Palatino Linotype" w:hAnsi="Palatino Linotype" w:cs="Palatino Linotype"/>
          <w:color w:val="000000"/>
        </w:rPr>
        <w:t>dirigirá</w:t>
      </w:r>
      <w:r w:rsidRPr="003B2676">
        <w:rPr>
          <w:rFonts w:ascii="Palatino Linotype" w:eastAsia="Palatino Linotype" w:hAnsi="Palatino Linotype" w:cs="Palatino Linotype"/>
          <w:color w:val="000000"/>
        </w:rPr>
        <w:t xml:space="preserve"> la administración pública municipal</w:t>
      </w:r>
      <w:r>
        <w:rPr>
          <w:rStyle w:val="Refdenotaalpie"/>
          <w:rFonts w:ascii="Palatino Linotype" w:eastAsia="Palatino Linotype" w:hAnsi="Palatino Linotype" w:cs="Palatino Linotype"/>
          <w:color w:val="000000"/>
        </w:rPr>
        <w:footnoteReference w:id="19"/>
      </w:r>
      <w:r w:rsidRPr="003B2676">
        <w:rPr>
          <w:rFonts w:ascii="Palatino Linotype" w:eastAsia="Palatino Linotype" w:hAnsi="Palatino Linotype" w:cs="Palatino Linotype"/>
          <w:color w:val="000000"/>
        </w:rPr>
        <w:t>.</w:t>
      </w:r>
      <w:r>
        <w:rPr>
          <w:rFonts w:ascii="Palatino Linotype" w:eastAsia="Palatino Linotype" w:hAnsi="Palatino Linotype" w:cs="Palatino Linotype"/>
          <w:color w:val="000000"/>
          <w:lang w:val="es-ES_tradnl"/>
        </w:rPr>
        <w:t xml:space="preserve"> </w:t>
      </w:r>
    </w:p>
    <w:p w14:paraId="0FF991FA" w14:textId="77777777" w:rsidR="00544D35" w:rsidRDefault="00544D35" w:rsidP="00544D3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6BC6721" w14:textId="3601113B" w:rsidR="00544D35" w:rsidRDefault="00544D35"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t xml:space="preserve">Por su parte, la administración pública municipal será </w:t>
      </w:r>
      <w:r w:rsidRPr="00544D35">
        <w:rPr>
          <w:rFonts w:ascii="Palatino Linotype" w:eastAsia="Palatino Linotype" w:hAnsi="Palatino Linotype" w:cs="Palatino Linotype"/>
          <w:color w:val="000000"/>
        </w:rPr>
        <w:t xml:space="preserve">la organización que </w:t>
      </w:r>
      <w:r>
        <w:rPr>
          <w:rFonts w:ascii="Palatino Linotype" w:eastAsia="Palatino Linotype" w:hAnsi="Palatino Linotype" w:cs="Palatino Linotype"/>
          <w:color w:val="000000"/>
        </w:rPr>
        <w:t>contenga</w:t>
      </w:r>
      <w:r w:rsidRPr="00544D35">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agrupe</w:t>
      </w:r>
      <w:r w:rsidRPr="00544D35">
        <w:rPr>
          <w:rFonts w:ascii="Palatino Linotype" w:eastAsia="Palatino Linotype" w:hAnsi="Palatino Linotype" w:cs="Palatino Linotype"/>
          <w:color w:val="000000"/>
        </w:rPr>
        <w:t>, organi</w:t>
      </w:r>
      <w:r>
        <w:rPr>
          <w:rFonts w:ascii="Palatino Linotype" w:eastAsia="Palatino Linotype" w:hAnsi="Palatino Linotype" w:cs="Palatino Linotype"/>
          <w:color w:val="000000"/>
        </w:rPr>
        <w:t>ce</w:t>
      </w:r>
      <w:r w:rsidRPr="00544D35">
        <w:rPr>
          <w:rFonts w:ascii="Palatino Linotype" w:eastAsia="Palatino Linotype" w:hAnsi="Palatino Linotype" w:cs="Palatino Linotype"/>
          <w:color w:val="000000"/>
        </w:rPr>
        <w:t xml:space="preserve"> y canali</w:t>
      </w:r>
      <w:r>
        <w:rPr>
          <w:rFonts w:ascii="Palatino Linotype" w:eastAsia="Palatino Linotype" w:hAnsi="Palatino Linotype" w:cs="Palatino Linotype"/>
          <w:color w:val="000000"/>
        </w:rPr>
        <w:t>ce</w:t>
      </w:r>
      <w:r w:rsidRPr="00544D35">
        <w:rPr>
          <w:rFonts w:ascii="Palatino Linotype" w:eastAsia="Palatino Linotype" w:hAnsi="Palatino Linotype" w:cs="Palatino Linotype"/>
          <w:color w:val="000000"/>
        </w:rPr>
        <w:t xml:space="preserve"> las demandas sociales a través de los recursos técnicos, financieros, materiales y humanos para el cumplimiento de los fine</w:t>
      </w:r>
      <w:r>
        <w:rPr>
          <w:rFonts w:ascii="Palatino Linotype" w:eastAsia="Palatino Linotype" w:hAnsi="Palatino Linotype" w:cs="Palatino Linotype"/>
          <w:color w:val="000000"/>
        </w:rPr>
        <w:t>s del Municipio de Zinacantepec</w:t>
      </w:r>
      <w:r>
        <w:rPr>
          <w:rStyle w:val="Refdenotaalpie"/>
          <w:rFonts w:ascii="Palatino Linotype" w:eastAsia="Palatino Linotype" w:hAnsi="Palatino Linotype" w:cs="Palatino Linotype"/>
          <w:color w:val="000000"/>
        </w:rPr>
        <w:footnoteReference w:id="20"/>
      </w:r>
      <w:r>
        <w:rPr>
          <w:rFonts w:ascii="Palatino Linotype" w:eastAsia="Palatino Linotype" w:hAnsi="Palatino Linotype" w:cs="Palatino Linotype"/>
          <w:color w:val="000000"/>
        </w:rPr>
        <w:t>.</w:t>
      </w:r>
    </w:p>
    <w:p w14:paraId="4EE554E1" w14:textId="77777777" w:rsidR="003B2676" w:rsidRDefault="003B2676" w:rsidP="003B267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16E14354" w14:textId="6351732D" w:rsidR="00EF3BB2" w:rsidRDefault="003B2676" w:rsidP="009C03DB">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Pr>
          <w:rFonts w:ascii="Palatino Linotype" w:eastAsia="Palatino Linotype" w:hAnsi="Palatino Linotype" w:cs="Palatino Linotype"/>
          <w:color w:val="000000"/>
          <w:lang w:val="es-ES_tradnl"/>
        </w:rPr>
        <w:lastRenderedPageBreak/>
        <w:t xml:space="preserve">Correlativo a lo anterior, a fin de </w:t>
      </w:r>
      <w:r w:rsidR="00544D35">
        <w:rPr>
          <w:rFonts w:ascii="Palatino Linotype" w:eastAsia="Palatino Linotype" w:hAnsi="Palatino Linotype" w:cs="Palatino Linotype"/>
          <w:color w:val="000000"/>
          <w:lang w:val="es-ES_tradnl"/>
        </w:rPr>
        <w:t>poder atender cada uno de los ejes de la administración pública municipal, el</w:t>
      </w:r>
      <w:r>
        <w:rPr>
          <w:rFonts w:ascii="Palatino Linotype" w:eastAsia="Palatino Linotype" w:hAnsi="Palatino Linotype" w:cs="Palatino Linotype"/>
          <w:color w:val="000000"/>
          <w:lang w:val="es-ES_tradnl"/>
        </w:rPr>
        <w:t xml:space="preserve"> artículo 21 </w:t>
      </w:r>
      <w:r w:rsidR="00544D35">
        <w:rPr>
          <w:rFonts w:ascii="Palatino Linotype" w:eastAsia="Palatino Linotype" w:hAnsi="Palatino Linotype" w:cs="Palatino Linotype"/>
          <w:color w:val="000000"/>
          <w:lang w:val="es-ES_tradnl"/>
        </w:rPr>
        <w:t xml:space="preserve">del Bando Municipal de mérito </w:t>
      </w:r>
      <w:r>
        <w:rPr>
          <w:rFonts w:ascii="Palatino Linotype" w:eastAsia="Palatino Linotype" w:hAnsi="Palatino Linotype" w:cs="Palatino Linotype"/>
          <w:color w:val="000000"/>
          <w:lang w:val="es-ES_tradnl"/>
        </w:rPr>
        <w:t>establece lo siguiente:</w:t>
      </w:r>
    </w:p>
    <w:p w14:paraId="77F7C20E" w14:textId="77777777" w:rsidR="00EF3BB2" w:rsidRDefault="00EF3BB2"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498BCC8B" w14:textId="77777777" w:rsid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lang w:val="es-ES_tradnl"/>
        </w:rPr>
        <w:t>“</w:t>
      </w:r>
      <w:r w:rsidRPr="003B2676">
        <w:rPr>
          <w:rFonts w:ascii="Palatino Linotype" w:eastAsia="Palatino Linotype" w:hAnsi="Palatino Linotype" w:cs="Palatino Linotype"/>
          <w:b/>
          <w:i/>
          <w:color w:val="000000"/>
          <w:sz w:val="22"/>
        </w:rPr>
        <w:t xml:space="preserve">Artículo 21. </w:t>
      </w:r>
      <w:r w:rsidRPr="003B2676">
        <w:rPr>
          <w:rFonts w:ascii="Palatino Linotype" w:eastAsia="Palatino Linotype" w:hAnsi="Palatino Linotype" w:cs="Palatino Linotype"/>
          <w:i/>
          <w:color w:val="000000"/>
          <w:sz w:val="22"/>
        </w:rPr>
        <w:t xml:space="preserve">El Presidente Municipal para el ejercicio de sus funciones, se auxiliará de las siguientes Unidades Administrativas: </w:t>
      </w:r>
    </w:p>
    <w:p w14:paraId="2168F5CF" w14:textId="6A407F7C" w:rsidR="003B2676" w:rsidRP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3B2676">
        <w:rPr>
          <w:rFonts w:ascii="Palatino Linotype" w:eastAsia="Palatino Linotype" w:hAnsi="Palatino Linotype" w:cs="Palatino Linotype"/>
          <w:i/>
          <w:color w:val="000000"/>
          <w:sz w:val="22"/>
        </w:rPr>
        <w:t>(…)</w:t>
      </w:r>
    </w:p>
    <w:p w14:paraId="52617EC4" w14:textId="77777777" w:rsid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014910A8" w14:textId="77777777" w:rsid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3B2676">
        <w:rPr>
          <w:rFonts w:ascii="Palatino Linotype" w:eastAsia="Palatino Linotype" w:hAnsi="Palatino Linotype" w:cs="Palatino Linotype"/>
          <w:i/>
          <w:color w:val="000000"/>
          <w:sz w:val="22"/>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77481FD1" w14:textId="77777777" w:rsid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24F97A02" w14:textId="77777777" w:rsidR="003B2676" w:rsidRPr="003B2676"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3B2676">
        <w:rPr>
          <w:rFonts w:ascii="Palatino Linotype" w:eastAsia="Palatino Linotype" w:hAnsi="Palatino Linotype" w:cs="Palatino Linotype"/>
          <w:b/>
          <w:i/>
          <w:color w:val="000000"/>
          <w:sz w:val="22"/>
        </w:rPr>
        <w:t xml:space="preserve">I. DEPENDENCIAS ADMINISTRATIVAS: </w:t>
      </w:r>
    </w:p>
    <w:p w14:paraId="08FFD308" w14:textId="77777777" w:rsidR="0031093C" w:rsidRDefault="003B2676"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5D48C1BF" w14:textId="0D3E240D" w:rsidR="0031093C" w:rsidRPr="0031093C" w:rsidRDefault="0031093C"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rPr>
      </w:pPr>
      <w:r w:rsidRPr="0031093C">
        <w:rPr>
          <w:rFonts w:ascii="Palatino Linotype" w:eastAsia="Palatino Linotype" w:hAnsi="Palatino Linotype" w:cs="Palatino Linotype"/>
          <w:b/>
          <w:i/>
          <w:color w:val="000000"/>
          <w:sz w:val="22"/>
        </w:rPr>
        <w:t>3. Dirección de Administración.</w:t>
      </w:r>
    </w:p>
    <w:p w14:paraId="4698FD51" w14:textId="453DCF85" w:rsidR="003B2676" w:rsidRPr="003B2676" w:rsidRDefault="0031093C" w:rsidP="003B267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Pr>
          <w:rFonts w:ascii="Palatino Linotype" w:eastAsia="Palatino Linotype" w:hAnsi="Palatino Linotype" w:cs="Palatino Linotype"/>
          <w:i/>
          <w:color w:val="000000"/>
          <w:sz w:val="22"/>
        </w:rPr>
        <w:t>(…)</w:t>
      </w:r>
      <w:r w:rsidR="003B2676">
        <w:rPr>
          <w:rFonts w:ascii="Palatino Linotype" w:eastAsia="Palatino Linotype" w:hAnsi="Palatino Linotype" w:cs="Palatino Linotype"/>
          <w:i/>
          <w:color w:val="000000"/>
          <w:sz w:val="22"/>
        </w:rPr>
        <w:t>”</w:t>
      </w:r>
    </w:p>
    <w:p w14:paraId="763AD94D" w14:textId="77777777" w:rsidR="003B2676" w:rsidRDefault="003B2676" w:rsidP="00EF3BB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7D0F8D6D" w14:textId="70E39FF5" w:rsidR="00EE766B" w:rsidRPr="0031093C" w:rsidRDefault="0031093C"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Siendo de especial interés para el presente asunto, la </w:t>
      </w:r>
      <w:r>
        <w:rPr>
          <w:rFonts w:ascii="Palatino Linotype" w:eastAsia="Palatino Linotype" w:hAnsi="Palatino Linotype" w:cs="Palatino Linotype"/>
          <w:b/>
          <w:color w:val="000000"/>
          <w:lang w:val="es-ES_tradnl"/>
        </w:rPr>
        <w:t>Dirección de Administración</w:t>
      </w:r>
      <w:r>
        <w:rPr>
          <w:rFonts w:ascii="Palatino Linotype" w:eastAsia="Palatino Linotype" w:hAnsi="Palatino Linotype" w:cs="Palatino Linotype"/>
          <w:color w:val="000000"/>
          <w:lang w:val="es-ES_tradnl"/>
        </w:rPr>
        <w:t xml:space="preserve">, al ser el área administrativa encargada de dar respuesta </w:t>
      </w:r>
      <w:r w:rsidR="00E90D12">
        <w:rPr>
          <w:rFonts w:ascii="Palatino Linotype" w:eastAsia="Palatino Linotype" w:hAnsi="Palatino Linotype" w:cs="Palatino Linotype"/>
          <w:color w:val="000000"/>
          <w:lang w:val="es-ES_tradnl"/>
        </w:rPr>
        <w:t xml:space="preserve">a la solicitud de información </w:t>
      </w:r>
      <w:r w:rsidR="00E90D12">
        <w:rPr>
          <w:rFonts w:ascii="Palatino Linotype" w:eastAsia="Palatino Linotype" w:hAnsi="Palatino Linotype" w:cs="Palatino Linotype"/>
          <w:b/>
          <w:color w:val="000000"/>
          <w:lang w:val="es-ES_tradnl"/>
        </w:rPr>
        <w:t>01387/ZINACANT/IP/2023</w:t>
      </w:r>
      <w:r w:rsidR="00E90D12">
        <w:rPr>
          <w:rFonts w:ascii="Palatino Linotype" w:eastAsia="Palatino Linotype" w:hAnsi="Palatino Linotype" w:cs="Palatino Linotype"/>
          <w:color w:val="000000"/>
          <w:lang w:val="es-ES_tradnl"/>
        </w:rPr>
        <w:t>; misma que, de acuerdo con el Reglamento Orgánico Municipal de Zinacantepec</w:t>
      </w:r>
      <w:r w:rsidR="00E05A5B">
        <w:rPr>
          <w:rFonts w:ascii="Palatino Linotype" w:eastAsia="Palatino Linotype" w:hAnsi="Palatino Linotype" w:cs="Palatino Linotype"/>
          <w:color w:val="000000"/>
          <w:lang w:val="es-ES_tradnl"/>
        </w:rPr>
        <w:t xml:space="preserve">, será el área administrativa encargada </w:t>
      </w:r>
      <w:r w:rsidR="00E05A5B" w:rsidRPr="00E05A5B">
        <w:rPr>
          <w:rFonts w:ascii="Palatino Linotype" w:eastAsia="Palatino Linotype" w:hAnsi="Palatino Linotype" w:cs="Palatino Linotype"/>
          <w:color w:val="000000"/>
        </w:rPr>
        <w:t>de brindar apoyo administrativo, técnico y humano, a los servidores públicos que conforman la Administración Pública Municipal, a fin de proporcionarles un espacio digno de trabajo y optimizar las funciones de cada Unidad Administrativa,</w:t>
      </w:r>
      <w:r w:rsidR="00E05A5B">
        <w:rPr>
          <w:rFonts w:ascii="Palatino Linotype" w:eastAsia="Palatino Linotype" w:hAnsi="Palatino Linotype" w:cs="Palatino Linotype"/>
          <w:color w:val="000000"/>
        </w:rPr>
        <w:t xml:space="preserve"> en beneficio de la ciudadanía</w:t>
      </w:r>
      <w:r w:rsidR="00E05A5B">
        <w:rPr>
          <w:rStyle w:val="Refdenotaalpie"/>
          <w:rFonts w:ascii="Palatino Linotype" w:eastAsia="Palatino Linotype" w:hAnsi="Palatino Linotype" w:cs="Palatino Linotype"/>
          <w:color w:val="000000"/>
        </w:rPr>
        <w:footnoteReference w:id="21"/>
      </w:r>
      <w:r w:rsidR="00E05A5B" w:rsidRPr="00E05A5B">
        <w:rPr>
          <w:rFonts w:ascii="Palatino Linotype" w:eastAsia="Palatino Linotype" w:hAnsi="Palatino Linotype" w:cs="Palatino Linotype"/>
          <w:color w:val="000000"/>
        </w:rPr>
        <w:t>.</w:t>
      </w:r>
    </w:p>
    <w:p w14:paraId="7FB648BD"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3C9A3D05" w14:textId="4F173B1B" w:rsidR="0031093C" w:rsidRPr="0031093C" w:rsidRDefault="00E05A5B"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lastRenderedPageBreak/>
        <w:t xml:space="preserve">A raíz de su objeto, la </w:t>
      </w:r>
      <w:r>
        <w:rPr>
          <w:rFonts w:ascii="Palatino Linotype" w:eastAsia="Palatino Linotype" w:hAnsi="Palatino Linotype" w:cs="Palatino Linotype"/>
          <w:b/>
          <w:color w:val="000000"/>
          <w:lang w:val="es-ES_tradnl"/>
        </w:rPr>
        <w:t>Dirección de Administración</w:t>
      </w:r>
      <w:r>
        <w:rPr>
          <w:rFonts w:ascii="Palatino Linotype" w:eastAsia="Palatino Linotype" w:hAnsi="Palatino Linotype" w:cs="Palatino Linotype"/>
          <w:color w:val="000000"/>
          <w:lang w:val="es-ES_tradnl"/>
        </w:rPr>
        <w:t xml:space="preserve"> contará entre sus funciones, el </w:t>
      </w:r>
      <w:r w:rsidRPr="00E05A5B">
        <w:rPr>
          <w:rFonts w:ascii="Palatino Linotype" w:eastAsia="Palatino Linotype" w:hAnsi="Palatino Linotype" w:cs="Palatino Linotype"/>
          <w:b/>
          <w:color w:val="000000"/>
          <w:lang w:val="es-ES_tradnl"/>
        </w:rPr>
        <w:t xml:space="preserve">desarrollar </w:t>
      </w:r>
      <w:r w:rsidRPr="00E05A5B">
        <w:rPr>
          <w:rFonts w:ascii="Palatino Linotype" w:eastAsia="Palatino Linotype" w:hAnsi="Palatino Linotype" w:cs="Palatino Linotype"/>
          <w:b/>
          <w:color w:val="000000"/>
        </w:rPr>
        <w:t>un registro para el control de</w:t>
      </w:r>
      <w:r w:rsidRPr="00E05A5B">
        <w:rPr>
          <w:rFonts w:ascii="Palatino Linotype" w:eastAsia="Palatino Linotype" w:hAnsi="Palatino Linotype" w:cs="Palatino Linotype"/>
          <w:color w:val="000000"/>
        </w:rPr>
        <w:t xml:space="preserve"> asistencias, nombramientos, </w:t>
      </w:r>
      <w:r w:rsidRPr="00E05A5B">
        <w:rPr>
          <w:rFonts w:ascii="Palatino Linotype" w:eastAsia="Palatino Linotype" w:hAnsi="Palatino Linotype" w:cs="Palatino Linotype"/>
          <w:b/>
          <w:color w:val="000000"/>
        </w:rPr>
        <w:t>remociones, renuncias</w:t>
      </w:r>
      <w:r w:rsidRPr="00E05A5B">
        <w:rPr>
          <w:rFonts w:ascii="Palatino Linotype" w:eastAsia="Palatino Linotype" w:hAnsi="Palatino Linotype" w:cs="Palatino Linotype"/>
          <w:color w:val="000000"/>
        </w:rPr>
        <w:t>, licencias, cambios de adscripción, promociones, incapacidades, vacaciones, días no laborables, y demás días de inconsistencia en los Servidores Públicos Municipales</w:t>
      </w:r>
      <w:r>
        <w:rPr>
          <w:rStyle w:val="Refdenotaalpie"/>
          <w:rFonts w:ascii="Palatino Linotype" w:eastAsia="Palatino Linotype" w:hAnsi="Palatino Linotype" w:cs="Palatino Linotype"/>
          <w:color w:val="000000"/>
        </w:rPr>
        <w:footnoteReference w:id="22"/>
      </w:r>
      <w:r>
        <w:rPr>
          <w:rFonts w:ascii="Palatino Linotype" w:eastAsia="Palatino Linotype" w:hAnsi="Palatino Linotype" w:cs="Palatino Linotype"/>
          <w:color w:val="000000"/>
        </w:rPr>
        <w:t>.</w:t>
      </w:r>
    </w:p>
    <w:p w14:paraId="0F1182A9"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6C9045F3" w14:textId="378BFA5E" w:rsidR="0031093C" w:rsidRPr="0044408A" w:rsidRDefault="00E05A5B"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No es ocioso mencionar que la Ley del Trabajo de los Servi</w:t>
      </w:r>
      <w:r w:rsidR="0044408A">
        <w:rPr>
          <w:rFonts w:ascii="Palatino Linotype" w:eastAsia="Palatino Linotype" w:hAnsi="Palatino Linotype" w:cs="Palatino Linotype"/>
          <w:color w:val="000000"/>
          <w:lang w:val="es-ES_tradnl"/>
        </w:rPr>
        <w:t xml:space="preserve">dores Públicos del Estado y Municipios, en su artículo 89, establece que serán </w:t>
      </w:r>
      <w:r w:rsidR="0044408A" w:rsidRPr="0044408A">
        <w:rPr>
          <w:rFonts w:ascii="Palatino Linotype" w:eastAsia="Palatino Linotype" w:hAnsi="Palatino Linotype" w:cs="Palatino Linotype"/>
          <w:color w:val="000000"/>
        </w:rPr>
        <w:t>causas de terminación de la relación laboral sin responsabilidad para las instituciones públicas:</w:t>
      </w:r>
    </w:p>
    <w:p w14:paraId="6B56D674" w14:textId="205ECBAE" w:rsidR="0044408A" w:rsidRPr="0044408A"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rPr>
        <w:t>La renuncia del servidor público;</w:t>
      </w:r>
    </w:p>
    <w:p w14:paraId="646F9B6C" w14:textId="77777777" w:rsidR="0044408A" w:rsidRPr="0044408A"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rPr>
        <w:t xml:space="preserve">El </w:t>
      </w:r>
      <w:r w:rsidRPr="0044408A">
        <w:rPr>
          <w:rFonts w:ascii="Palatino Linotype" w:eastAsia="Palatino Linotype" w:hAnsi="Palatino Linotype" w:cs="Palatino Linotype"/>
          <w:color w:val="000000"/>
        </w:rPr>
        <w:t xml:space="preserve">mutuo consentimiento de las partes; </w:t>
      </w:r>
    </w:p>
    <w:p w14:paraId="01D602E6" w14:textId="77777777" w:rsidR="0044408A" w:rsidRPr="0044408A"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sidRPr="0044408A">
        <w:rPr>
          <w:rFonts w:ascii="Palatino Linotype" w:eastAsia="Palatino Linotype" w:hAnsi="Palatino Linotype" w:cs="Palatino Linotype"/>
          <w:color w:val="000000"/>
        </w:rPr>
        <w:t xml:space="preserve">El vencimiento del término o conclusión de la obra determinantes de la contratación; </w:t>
      </w:r>
    </w:p>
    <w:p w14:paraId="73E2CC2A" w14:textId="77777777" w:rsidR="0044408A" w:rsidRPr="0044408A"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sidRPr="0044408A">
        <w:rPr>
          <w:rFonts w:ascii="Palatino Linotype" w:eastAsia="Palatino Linotype" w:hAnsi="Palatino Linotype" w:cs="Palatino Linotype"/>
          <w:color w:val="000000"/>
        </w:rPr>
        <w:t xml:space="preserve">El término o conclusión de la administración en la cual fue contratado el servidor público a que se refiere el artículo 8 de ésta Ley; </w:t>
      </w:r>
    </w:p>
    <w:p w14:paraId="445B1A8F" w14:textId="5EBF69A2" w:rsidR="0044408A" w:rsidRPr="0044408A"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sidRPr="0044408A">
        <w:rPr>
          <w:rFonts w:ascii="Palatino Linotype" w:eastAsia="Palatino Linotype" w:hAnsi="Palatino Linotype" w:cs="Palatino Linotype"/>
          <w:color w:val="000000"/>
        </w:rPr>
        <w:t xml:space="preserve">La muerte del servidor público; y </w:t>
      </w:r>
    </w:p>
    <w:p w14:paraId="6FB89C8A" w14:textId="7616CA7F" w:rsidR="0044408A" w:rsidRPr="0031093C" w:rsidRDefault="0044408A" w:rsidP="0044408A">
      <w:pPr>
        <w:numPr>
          <w:ilvl w:val="1"/>
          <w:numId w:val="3"/>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b/>
          <w:color w:val="000000"/>
          <w:lang w:val="es-ES_tradnl"/>
        </w:rPr>
      </w:pPr>
      <w:r w:rsidRPr="0044408A">
        <w:rPr>
          <w:rFonts w:ascii="Palatino Linotype" w:eastAsia="Palatino Linotype" w:hAnsi="Palatino Linotype" w:cs="Palatino Linotype"/>
          <w:color w:val="000000"/>
        </w:rPr>
        <w:t>La incapacidad permanente del servidor público que le impida el desempeño de sus labores.</w:t>
      </w:r>
    </w:p>
    <w:p w14:paraId="2DCE3495"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4A16239F" w14:textId="14567C26" w:rsidR="0031093C" w:rsidRPr="0031093C" w:rsidRDefault="0044408A"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Por otro lado, el </w:t>
      </w:r>
      <w:r w:rsidRPr="0044408A">
        <w:rPr>
          <w:rFonts w:ascii="Palatino Linotype" w:eastAsia="Palatino Linotype" w:hAnsi="Palatino Linotype" w:cs="Palatino Linotype"/>
          <w:color w:val="000000"/>
        </w:rPr>
        <w:t>servidor público o la institución pública podrán rescindir en cualquier tiempo, por causa justificada, la relación laboral</w:t>
      </w:r>
      <w:r>
        <w:rPr>
          <w:rStyle w:val="Refdenotaalpie"/>
          <w:rFonts w:ascii="Palatino Linotype" w:eastAsia="Palatino Linotype" w:hAnsi="Palatino Linotype" w:cs="Palatino Linotype"/>
          <w:color w:val="000000"/>
        </w:rPr>
        <w:footnoteReference w:id="23"/>
      </w:r>
      <w:r>
        <w:rPr>
          <w:rFonts w:ascii="Palatino Linotype" w:eastAsia="Palatino Linotype" w:hAnsi="Palatino Linotype" w:cs="Palatino Linotype"/>
          <w:color w:val="000000"/>
        </w:rPr>
        <w:t>, cuando se actualice alguno de los supuestos establecido en los numerales 93 o 94 de la Ley del Trabajo de los Servidores Públicos del Estado y Municipios.</w:t>
      </w:r>
    </w:p>
    <w:p w14:paraId="5AC411E4"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406EB4DB" w14:textId="65BDB347" w:rsidR="0031093C" w:rsidRPr="0031093C" w:rsidRDefault="0044408A"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Establecido lo anterior, de la lectura a la solicitud de información </w:t>
      </w:r>
      <w:r>
        <w:rPr>
          <w:rFonts w:ascii="Palatino Linotype" w:eastAsia="Palatino Linotype" w:hAnsi="Palatino Linotype" w:cs="Palatino Linotype"/>
          <w:b/>
          <w:color w:val="000000"/>
          <w:lang w:val="es-ES_tradnl"/>
        </w:rPr>
        <w:t>01387/ZINANT/IP/2023</w:t>
      </w:r>
      <w:r>
        <w:rPr>
          <w:rFonts w:ascii="Palatino Linotype" w:eastAsia="Palatino Linotype" w:hAnsi="Palatino Linotype" w:cs="Palatino Linotype"/>
          <w:color w:val="000000"/>
          <w:lang w:val="es-ES_tradnl"/>
        </w:rPr>
        <w:t xml:space="preserve">, se advierte que la </w:t>
      </w:r>
      <w:r>
        <w:rPr>
          <w:rFonts w:ascii="Palatino Linotype" w:eastAsia="Palatino Linotype" w:hAnsi="Palatino Linotype" w:cs="Palatino Linotype"/>
          <w:b/>
          <w:color w:val="000000"/>
          <w:lang w:val="es-ES_tradnl"/>
        </w:rPr>
        <w:t>RECURRENTE</w:t>
      </w:r>
      <w:r>
        <w:rPr>
          <w:rFonts w:ascii="Palatino Linotype" w:eastAsia="Palatino Linotype" w:hAnsi="Palatino Linotype" w:cs="Palatino Linotype"/>
          <w:color w:val="000000"/>
          <w:lang w:val="es-ES_tradnl"/>
        </w:rPr>
        <w:t xml:space="preserve"> sólo desea conocer las bajas registradas del uno (01) de enero de dos mil veintidós al dieciséis (16) de agosto de dos mil veintitrés (fecha en que se presentó la solicitud). </w:t>
      </w:r>
    </w:p>
    <w:p w14:paraId="2EEF48E5"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307BBF1F" w14:textId="6B37049B" w:rsidR="0031093C" w:rsidRPr="0031093C" w:rsidRDefault="0044408A"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En atención a lo anterior, si el </w:t>
      </w:r>
      <w:r>
        <w:rPr>
          <w:rFonts w:ascii="Palatino Linotype" w:eastAsia="Palatino Linotype" w:hAnsi="Palatino Linotype" w:cs="Palatino Linotype"/>
          <w:b/>
          <w:color w:val="000000"/>
          <w:lang w:val="es-ES_tradnl"/>
        </w:rPr>
        <w:t>SUJETO OBLIGADO</w:t>
      </w:r>
      <w:r>
        <w:rPr>
          <w:rFonts w:ascii="Palatino Linotype" w:eastAsia="Palatino Linotype" w:hAnsi="Palatino Linotype" w:cs="Palatino Linotype"/>
          <w:color w:val="000000"/>
          <w:lang w:val="es-ES_tradnl"/>
        </w:rPr>
        <w:t xml:space="preserve"> hizo entrega justamente del documento titulado </w:t>
      </w:r>
      <w:r>
        <w:rPr>
          <w:rFonts w:ascii="Palatino Linotype" w:eastAsia="Palatino Linotype" w:hAnsi="Palatino Linotype" w:cs="Palatino Linotype"/>
          <w:b/>
          <w:i/>
          <w:color w:val="000000"/>
          <w:lang w:val="es-ES_tradnl"/>
        </w:rPr>
        <w:t>Reporte de Bajas de Personal</w:t>
      </w:r>
      <w:r>
        <w:rPr>
          <w:rFonts w:ascii="Palatino Linotype" w:eastAsia="Palatino Linotype" w:hAnsi="Palatino Linotype" w:cs="Palatino Linotype"/>
          <w:color w:val="000000"/>
          <w:lang w:val="es-ES_tradnl"/>
        </w:rPr>
        <w:t>, el cual reporta las bajas registradas del uno (01) de enero de dos mil veintidós al treinta y uno (31) de julio de dos mil veintitrés, se advierte entonces que el Ayuntamiento de Zinacantepec entregó el documento idóneo que satisface el derecho de acceso a la información ejercido por el particular.</w:t>
      </w:r>
    </w:p>
    <w:p w14:paraId="2CCC56B4" w14:textId="77777777" w:rsidR="0031093C" w:rsidRP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6CB5423C" w14:textId="586C4D9F" w:rsidR="0031093C" w:rsidRPr="0031093C" w:rsidRDefault="0044408A"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Al respecto, tiene aplicabilidad el Criterio de Interpretación </w:t>
      </w:r>
      <w:r w:rsidR="008D7369">
        <w:rPr>
          <w:rFonts w:ascii="Palatino Linotype" w:eastAsia="Palatino Linotype" w:hAnsi="Palatino Linotype" w:cs="Palatino Linotype"/>
          <w:color w:val="000000"/>
          <w:lang w:val="es-ES_tradnl"/>
        </w:rPr>
        <w:t>016/2017, publicado por el Instituto Nacional de Transparencia, Acceso a la Información y Protección de Datos Personales, cuyo rubro y texto establecen:</w:t>
      </w:r>
    </w:p>
    <w:p w14:paraId="3627053E" w14:textId="77777777" w:rsid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4DEAAC12" w14:textId="529C2D6E" w:rsidR="008D7369" w:rsidRPr="008D7369" w:rsidRDefault="008D7369" w:rsidP="008D7369">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lang w:val="es-ES_tradnl"/>
        </w:rPr>
      </w:pPr>
      <w:r w:rsidRPr="008D7369">
        <w:rPr>
          <w:rFonts w:ascii="Palatino Linotype" w:eastAsia="Palatino Linotype" w:hAnsi="Palatino Linotype" w:cs="Palatino Linotype"/>
          <w:b/>
          <w:i/>
          <w:color w:val="000000"/>
          <w:sz w:val="22"/>
          <w:lang w:val="es-ES_tradnl"/>
        </w:rPr>
        <w:t xml:space="preserve">EXPRESIÓN DOCUMENTAL. </w:t>
      </w:r>
      <w:r>
        <w:rPr>
          <w:rFonts w:ascii="Palatino Linotype" w:eastAsia="Palatino Linotype" w:hAnsi="Palatino Linotype" w:cs="Palatino Linotype"/>
          <w:b/>
          <w:i/>
          <w:color w:val="000000"/>
          <w:sz w:val="22"/>
          <w:lang w:val="es-ES_tradnl"/>
        </w:rPr>
        <w:t>“</w:t>
      </w:r>
      <w:r w:rsidRPr="008D7369">
        <w:rPr>
          <w:rFonts w:ascii="Palatino Linotype" w:eastAsia="Palatino Linotype" w:hAnsi="Palatino Linotype" w:cs="Palatino Linotype"/>
          <w:i/>
          <w:color w:val="000000"/>
          <w:sz w:val="22"/>
          <w:lang w:val="es-ES_tradnl"/>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r>
        <w:rPr>
          <w:rFonts w:ascii="Palatino Linotype" w:eastAsia="Palatino Linotype" w:hAnsi="Palatino Linotype" w:cs="Palatino Linotype"/>
          <w:i/>
          <w:color w:val="000000"/>
          <w:sz w:val="22"/>
          <w:lang w:val="es-ES_tradnl"/>
        </w:rPr>
        <w:t>”</w:t>
      </w:r>
    </w:p>
    <w:p w14:paraId="3ED80A2D" w14:textId="77777777" w:rsidR="008D7369" w:rsidRPr="0031093C" w:rsidRDefault="008D7369"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7D67D006" w14:textId="61045C13" w:rsidR="0031093C" w:rsidRPr="0031093C" w:rsidRDefault="008D7369" w:rsidP="0031093C">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r>
        <w:rPr>
          <w:rFonts w:ascii="Palatino Linotype" w:eastAsia="Palatino Linotype" w:hAnsi="Palatino Linotype" w:cs="Palatino Linotype"/>
          <w:color w:val="000000"/>
          <w:lang w:val="es-ES_tradnl"/>
        </w:rPr>
        <w:t xml:space="preserve">Con base en lo anterior, toda vez que la Unidad de Transparencia turnó la solicitud primigenia al área administrativa competente para poseer, generar y administrar lo solicitado; y ésta, a su vez, entregó el documento que contiene las </w:t>
      </w:r>
      <w:r>
        <w:rPr>
          <w:rFonts w:ascii="Palatino Linotype" w:eastAsia="Palatino Linotype" w:hAnsi="Palatino Linotype" w:cs="Palatino Linotype"/>
          <w:color w:val="000000"/>
          <w:lang w:val="es-ES_tradnl"/>
        </w:rPr>
        <w:lastRenderedPageBreak/>
        <w:t xml:space="preserve">bajas registradas desde el uno (01) de enero de dos mil veintidós a la fecha de presentación de la solicitud, este Organismo Garante concluye conforme a derecho el </w:t>
      </w:r>
      <w:r>
        <w:rPr>
          <w:rFonts w:ascii="Palatino Linotype" w:eastAsia="Palatino Linotype" w:hAnsi="Palatino Linotype" w:cs="Palatino Linotype"/>
          <w:b/>
          <w:color w:val="000000"/>
          <w:lang w:val="es-ES_tradnl"/>
        </w:rPr>
        <w:t>confirmar</w:t>
      </w:r>
      <w:r>
        <w:rPr>
          <w:rFonts w:ascii="Palatino Linotype" w:eastAsia="Palatino Linotype" w:hAnsi="Palatino Linotype" w:cs="Palatino Linotype"/>
          <w:color w:val="000000"/>
          <w:lang w:val="es-ES_tradnl"/>
        </w:rPr>
        <w:t xml:space="preserve"> la respuesta del Ayuntamiento de Zinacantepec.</w:t>
      </w:r>
    </w:p>
    <w:p w14:paraId="7766A721" w14:textId="77777777" w:rsidR="0031093C" w:rsidRDefault="0031093C" w:rsidP="0031093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lang w:val="es-ES_tradnl"/>
        </w:rPr>
      </w:pPr>
    </w:p>
    <w:p w14:paraId="02875AD5" w14:textId="7C843809" w:rsidR="00B01F10" w:rsidRPr="009D2A7C" w:rsidRDefault="0031093C">
      <w:pPr>
        <w:pStyle w:val="Ttulo2"/>
        <w:spacing w:before="0" w:line="360" w:lineRule="auto"/>
        <w:rPr>
          <w:rFonts w:ascii="Palatino Linotype" w:eastAsia="Palatino Linotype" w:hAnsi="Palatino Linotype" w:cs="Palatino Linotype"/>
          <w:b/>
          <w:color w:val="000000"/>
          <w:sz w:val="24"/>
          <w:szCs w:val="24"/>
          <w:lang w:val="es-ES_tradnl"/>
        </w:rPr>
      </w:pPr>
      <w:r>
        <w:rPr>
          <w:rFonts w:ascii="Palatino Linotype" w:eastAsia="Palatino Linotype" w:hAnsi="Palatino Linotype" w:cs="Palatino Linotype"/>
          <w:b/>
          <w:color w:val="000000"/>
          <w:sz w:val="24"/>
          <w:szCs w:val="24"/>
          <w:lang w:val="es-ES_tradnl"/>
        </w:rPr>
        <w:t>QUINTO</w:t>
      </w:r>
      <w:r w:rsidR="00EE7D75" w:rsidRPr="009D2A7C">
        <w:rPr>
          <w:rFonts w:ascii="Palatino Linotype" w:eastAsia="Palatino Linotype" w:hAnsi="Palatino Linotype" w:cs="Palatino Linotype"/>
          <w:b/>
          <w:color w:val="000000"/>
          <w:sz w:val="24"/>
          <w:szCs w:val="24"/>
          <w:lang w:val="es-ES_tradnl"/>
        </w:rPr>
        <w:t>. Decisión.</w:t>
      </w:r>
    </w:p>
    <w:p w14:paraId="25416E81" w14:textId="77777777" w:rsidR="006C25F2" w:rsidRPr="009D2A7C" w:rsidRDefault="006C25F2" w:rsidP="006C25F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8" w14:textId="3B66C0FF" w:rsidR="00B01F10" w:rsidRPr="00120741"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bookmarkStart w:id="11" w:name="_heading=h.3rdcrjn" w:colFirst="0" w:colLast="0"/>
      <w:bookmarkEnd w:id="11"/>
      <w:r w:rsidRPr="009D2A7C">
        <w:rPr>
          <w:rFonts w:ascii="Palatino Linotype" w:eastAsia="Palatino Linotype" w:hAnsi="Palatino Linotype" w:cs="Palatino Linotype"/>
          <w:color w:val="000000"/>
          <w:lang w:val="es-ES_tradnl"/>
        </w:rPr>
        <w:t xml:space="preserve">Por </w:t>
      </w:r>
      <w:r w:rsidR="008D7369">
        <w:rPr>
          <w:rFonts w:ascii="Palatino Linotype" w:eastAsia="Palatino Linotype" w:hAnsi="Palatino Linotype" w:cs="Palatino Linotype"/>
        </w:rPr>
        <w:t xml:space="preserve">lo tanto, en consecuencia y en mérito de lo expuesto en líneas anteriores, resultan infundadas las razones o motivos de inconformidad hechos valer por la </w:t>
      </w:r>
      <w:r w:rsidR="008D7369">
        <w:rPr>
          <w:rFonts w:ascii="Palatino Linotype" w:eastAsia="Palatino Linotype" w:hAnsi="Palatino Linotype" w:cs="Palatino Linotype"/>
          <w:b/>
        </w:rPr>
        <w:t>RECURRENTE</w:t>
      </w:r>
      <w:r w:rsidR="008D7369">
        <w:rPr>
          <w:rFonts w:ascii="Palatino Linotype" w:eastAsia="Palatino Linotype" w:hAnsi="Palatino Linotype" w:cs="Palatino Linotype"/>
        </w:rPr>
        <w:t xml:space="preserve"> dentro del recurso de revisión </w:t>
      </w:r>
      <w:r w:rsidR="000C41A8" w:rsidRPr="0086029F">
        <w:rPr>
          <w:rFonts w:ascii="Palatino Linotype" w:eastAsia="Palatino Linotype" w:hAnsi="Palatino Linotype" w:cs="Palatino Linotype"/>
          <w:b/>
        </w:rPr>
        <w:t>05733</w:t>
      </w:r>
      <w:r w:rsidR="008D7369" w:rsidRPr="0086029F">
        <w:rPr>
          <w:rFonts w:ascii="Palatino Linotype" w:eastAsia="Palatino Linotype" w:hAnsi="Palatino Linotype" w:cs="Palatino Linotype"/>
          <w:b/>
        </w:rPr>
        <w:t>/INFOEM</w:t>
      </w:r>
      <w:r w:rsidR="008D7369">
        <w:rPr>
          <w:rFonts w:ascii="Palatino Linotype" w:eastAsia="Palatino Linotype" w:hAnsi="Palatino Linotype" w:cs="Palatino Linotype"/>
          <w:b/>
        </w:rPr>
        <w:t>/IP/RR/2023</w:t>
      </w:r>
      <w:r w:rsidR="008D7369">
        <w:rPr>
          <w:rFonts w:ascii="Palatino Linotype" w:eastAsia="Palatino Linotype" w:hAnsi="Palatino Linotype" w:cs="Palatino Linotype"/>
        </w:rPr>
        <w:t xml:space="preserve">; por ello, y con fundamento en la fracción II del numeral 186 de la Ley de Transparencia y Acceso a la Información Pública del Estado de México y Municipios, se </w:t>
      </w:r>
      <w:r w:rsidR="008D7369">
        <w:rPr>
          <w:rFonts w:ascii="Palatino Linotype" w:eastAsia="Palatino Linotype" w:hAnsi="Palatino Linotype" w:cs="Palatino Linotype"/>
          <w:b/>
        </w:rPr>
        <w:t>CONFIRMA</w:t>
      </w:r>
      <w:r w:rsidR="008D7369">
        <w:rPr>
          <w:rFonts w:ascii="Palatino Linotype" w:eastAsia="Palatino Linotype" w:hAnsi="Palatino Linotype" w:cs="Palatino Linotype"/>
        </w:rPr>
        <w:t xml:space="preserve"> la respuesta a la solicitud de información número </w:t>
      </w:r>
      <w:r w:rsidR="008D7369">
        <w:rPr>
          <w:rFonts w:ascii="Palatino Linotype" w:eastAsia="Palatino Linotype" w:hAnsi="Palatino Linotype" w:cs="Palatino Linotype"/>
          <w:b/>
        </w:rPr>
        <w:t>01387/ZINACANT/IP/2023</w:t>
      </w:r>
      <w:r w:rsidR="008D7369">
        <w:rPr>
          <w:rFonts w:ascii="Palatino Linotype" w:eastAsia="Palatino Linotype" w:hAnsi="Palatino Linotype" w:cs="Palatino Linotype"/>
        </w:rPr>
        <w:t>.</w:t>
      </w:r>
    </w:p>
    <w:p w14:paraId="02875AD9" w14:textId="77777777" w:rsidR="00B01F10" w:rsidRPr="009D2A7C" w:rsidRDefault="00B01F1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p>
    <w:p w14:paraId="02875ADA" w14:textId="4FD9BF30" w:rsidR="00B01F10" w:rsidRPr="009D2A7C" w:rsidRDefault="00EE7D75">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lang w:val="es-ES_tradnl"/>
        </w:rPr>
      </w:pPr>
      <w:r w:rsidRPr="009D2A7C">
        <w:rPr>
          <w:rFonts w:ascii="Palatino Linotype" w:eastAsia="Palatino Linotype" w:hAnsi="Palatino Linotype" w:cs="Palatino Linotype"/>
          <w:color w:val="000000"/>
          <w:lang w:val="es-ES_tradnl"/>
        </w:rPr>
        <w:t xml:space="preserve">Por lo anteriormente expuesto y fundado, este </w:t>
      </w:r>
      <w:r w:rsidRPr="009D2A7C">
        <w:rPr>
          <w:rFonts w:ascii="Palatino Linotype" w:eastAsia="Palatino Linotype" w:hAnsi="Palatino Linotype" w:cs="Palatino Linotype"/>
          <w:b/>
          <w:color w:val="000000"/>
          <w:lang w:val="es-ES_tradnl"/>
        </w:rPr>
        <w:t>ÓRGANO GARANTE</w:t>
      </w:r>
      <w:r w:rsidRPr="009D2A7C">
        <w:rPr>
          <w:rFonts w:ascii="Palatino Linotype" w:eastAsia="Palatino Linotype" w:hAnsi="Palatino Linotype" w:cs="Palatino Linotype"/>
          <w:color w:val="000000"/>
          <w:lang w:val="es-ES_tradnl"/>
        </w:rPr>
        <w:t xml:space="preserve"> emite los siguientes: -------------------</w:t>
      </w:r>
      <w:r w:rsidR="00E73469" w:rsidRPr="009D2A7C">
        <w:rPr>
          <w:rFonts w:ascii="Palatino Linotype" w:eastAsia="Palatino Linotype" w:hAnsi="Palatino Linotype" w:cs="Palatino Linotype"/>
          <w:color w:val="000000"/>
          <w:lang w:val="es-ES_tradnl"/>
        </w:rPr>
        <w:t>------------------------------------------------------------------------------------------------------------------------------------------------------------------------------------------------------</w:t>
      </w:r>
      <w:r w:rsidR="00E73469">
        <w:rPr>
          <w:rFonts w:ascii="Palatino Linotype" w:eastAsia="Palatino Linotype" w:hAnsi="Palatino Linotype" w:cs="Palatino Linotype"/>
          <w:color w:val="000000"/>
          <w:lang w:val="es-ES_tradnl"/>
        </w:rPr>
        <w:t>--------------------</w:t>
      </w:r>
      <w:r w:rsidRPr="009D2A7C">
        <w:rPr>
          <w:rFonts w:ascii="Palatino Linotype" w:eastAsia="Palatino Linotype" w:hAnsi="Palatino Linotype" w:cs="Palatino Linotype"/>
          <w:color w:val="000000"/>
          <w:lang w:val="es-ES_tradnl"/>
        </w:rPr>
        <w:t>------------------------------------</w:t>
      </w:r>
      <w:r w:rsidR="00F146D5" w:rsidRPr="009D2A7C">
        <w:rPr>
          <w:rFonts w:ascii="Palatino Linotype" w:eastAsia="Palatino Linotype" w:hAnsi="Palatino Linotype" w:cs="Palatino Linotype"/>
          <w:color w:val="000000"/>
          <w:lang w:val="es-ES_tradnl"/>
        </w:rPr>
        <w:t>----------------------------------------</w:t>
      </w:r>
    </w:p>
    <w:p w14:paraId="74E67568" w14:textId="0D7A6609" w:rsidR="009A79F5" w:rsidRDefault="009A79F5">
      <w:pPr>
        <w:rPr>
          <w:rFonts w:ascii="Palatino Linotype" w:eastAsia="Palatino Linotype" w:hAnsi="Palatino Linotype" w:cs="Palatino Linotype"/>
          <w:color w:val="000000"/>
          <w:lang w:val="es-ES_tradnl"/>
        </w:rPr>
      </w:pPr>
    </w:p>
    <w:p w14:paraId="31F3079A" w14:textId="2608EF3B" w:rsidR="001F2922" w:rsidRDefault="001F2922">
      <w:pPr>
        <w:rPr>
          <w:rFonts w:ascii="Palatino Linotype" w:eastAsia="Palatino Linotype" w:hAnsi="Palatino Linotype" w:cs="Palatino Linotype"/>
          <w:color w:val="000000"/>
          <w:lang w:val="es-ES_tradnl"/>
        </w:rPr>
      </w:pPr>
    </w:p>
    <w:p w14:paraId="02875ADB" w14:textId="77777777" w:rsidR="00B01F10" w:rsidRPr="009D2A7C" w:rsidRDefault="00EE7D75" w:rsidP="008A24B5">
      <w:pPr>
        <w:pStyle w:val="Ttulo1"/>
        <w:spacing w:before="0" w:line="360" w:lineRule="auto"/>
        <w:jc w:val="center"/>
        <w:rPr>
          <w:b/>
          <w:color w:val="000000"/>
          <w:lang w:val="es-ES_tradnl"/>
        </w:rPr>
      </w:pPr>
      <w:bookmarkStart w:id="12" w:name="_heading=h.26in1rg" w:colFirst="0" w:colLast="0"/>
      <w:bookmarkEnd w:id="12"/>
      <w:r w:rsidRPr="009D2A7C">
        <w:rPr>
          <w:b/>
          <w:color w:val="000000"/>
          <w:lang w:val="es-ES_tradnl"/>
        </w:rPr>
        <w:t>R E S O L U T I V O S</w:t>
      </w:r>
    </w:p>
    <w:p w14:paraId="02875ADC" w14:textId="77777777" w:rsidR="00B01F10" w:rsidRPr="009D2A7C" w:rsidRDefault="00B01F10">
      <w:pPr>
        <w:spacing w:line="360" w:lineRule="auto"/>
        <w:jc w:val="both"/>
        <w:rPr>
          <w:rFonts w:ascii="Palatino Linotype" w:eastAsia="Palatino Linotype" w:hAnsi="Palatino Linotype" w:cs="Palatino Linotype"/>
          <w:b/>
          <w:lang w:val="es-ES_tradnl"/>
        </w:rPr>
      </w:pPr>
    </w:p>
    <w:p w14:paraId="22950A62" w14:textId="4A3987F1" w:rsidR="008D7369" w:rsidRDefault="008D7369" w:rsidP="008D736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05733/INFOEM/IP/RR/2023,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CUARTO </w:t>
      </w:r>
      <w:r>
        <w:rPr>
          <w:rFonts w:ascii="Palatino Linotype" w:eastAsia="Palatino Linotype" w:hAnsi="Palatino Linotype" w:cs="Palatino Linotype"/>
        </w:rPr>
        <w:t>de la presente resolución.</w:t>
      </w:r>
    </w:p>
    <w:p w14:paraId="4ABC078D" w14:textId="77777777" w:rsidR="008D7369" w:rsidRDefault="008D7369" w:rsidP="008D7369">
      <w:pPr>
        <w:spacing w:line="360" w:lineRule="auto"/>
        <w:jc w:val="both"/>
        <w:rPr>
          <w:rFonts w:ascii="Palatino Linotype" w:eastAsia="Palatino Linotype" w:hAnsi="Palatino Linotype" w:cs="Palatino Linotype"/>
          <w:b/>
        </w:rPr>
      </w:pPr>
    </w:p>
    <w:p w14:paraId="2A7A7DAC" w14:textId="1EB46D83" w:rsidR="008D7369" w:rsidRDefault="008D7369" w:rsidP="008D7369">
      <w:pPr>
        <w:spacing w:line="360" w:lineRule="auto"/>
        <w:jc w:val="both"/>
        <w:rPr>
          <w:rFonts w:ascii="Palatino Linotype" w:eastAsia="Palatino Linotype" w:hAnsi="Palatino Linotype" w:cs="Palatino Linotype"/>
          <w:color w:val="000000"/>
        </w:rPr>
      </w:pPr>
      <w:bookmarkStart w:id="13" w:name="_heading=h.lnxbz9" w:colFirst="0" w:colLast="0"/>
      <w:bookmarkEnd w:id="13"/>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CONFIRMA </w:t>
      </w:r>
      <w:r>
        <w:rPr>
          <w:rFonts w:ascii="Palatino Linotype" w:eastAsia="Palatino Linotype" w:hAnsi="Palatino Linotype" w:cs="Palatino Linotype"/>
        </w:rPr>
        <w:t xml:space="preserve">la respuesta emitida por el </w:t>
      </w:r>
      <w:r>
        <w:rPr>
          <w:rFonts w:ascii="Palatino Linotype" w:eastAsia="Palatino Linotype" w:hAnsi="Palatino Linotype" w:cs="Palatino Linotype"/>
          <w:b/>
        </w:rPr>
        <w:t>Ayuntamiento de Zinacantepec</w:t>
      </w:r>
      <w:r>
        <w:rPr>
          <w:rFonts w:ascii="Palatino Linotype" w:eastAsia="Palatino Linotype" w:hAnsi="Palatino Linotype" w:cs="Palatino Linotype"/>
        </w:rPr>
        <w:t>, a la solicitud</w:t>
      </w:r>
      <w:r>
        <w:rPr>
          <w:rFonts w:ascii="Palatino Linotype" w:eastAsia="Palatino Linotype" w:hAnsi="Palatino Linotype" w:cs="Palatino Linotype"/>
          <w:b/>
        </w:rPr>
        <w:t xml:space="preserve"> 01387/ZINACANT/IP/2023.</w:t>
      </w:r>
    </w:p>
    <w:p w14:paraId="3833F3F8" w14:textId="77777777" w:rsidR="008D7369" w:rsidRDefault="008D7369" w:rsidP="008D7369">
      <w:pPr>
        <w:spacing w:line="360" w:lineRule="auto"/>
        <w:jc w:val="both"/>
        <w:rPr>
          <w:rFonts w:ascii="Palatino Linotype" w:eastAsia="Palatino Linotype" w:hAnsi="Palatino Linotype" w:cs="Palatino Linotype"/>
          <w:color w:val="000000"/>
        </w:rPr>
      </w:pPr>
    </w:p>
    <w:p w14:paraId="3C234BAF" w14:textId="77777777" w:rsidR="008D7369" w:rsidRDefault="008D7369" w:rsidP="008D736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REMÍTASE, </w:t>
      </w:r>
      <w:r>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SUJETO OBLIGADO.</w:t>
      </w:r>
    </w:p>
    <w:p w14:paraId="311B4334" w14:textId="77777777" w:rsidR="008D7369" w:rsidRDefault="008D7369" w:rsidP="008D7369">
      <w:pPr>
        <w:spacing w:line="360" w:lineRule="auto"/>
        <w:jc w:val="both"/>
        <w:rPr>
          <w:rFonts w:ascii="Palatino Linotype" w:eastAsia="Palatino Linotype" w:hAnsi="Palatino Linotype" w:cs="Palatino Linotype"/>
          <w:color w:val="000000"/>
        </w:rPr>
      </w:pPr>
    </w:p>
    <w:p w14:paraId="7DEDF86E" w14:textId="77777777" w:rsidR="008D7369" w:rsidRDefault="008D7369" w:rsidP="008D736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CUARTO. </w:t>
      </w:r>
      <w:r>
        <w:rPr>
          <w:rFonts w:ascii="Palatino Linotype" w:eastAsia="Palatino Linotype" w:hAnsi="Palatino Linotype" w:cs="Palatino Linotype"/>
          <w:color w:val="000000"/>
        </w:rPr>
        <w:t xml:space="preserve">Notifíquese a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14:paraId="2D608C4C" w14:textId="77777777" w:rsidR="008D7369" w:rsidRDefault="008D7369" w:rsidP="008D7369">
      <w:pPr>
        <w:spacing w:line="360" w:lineRule="auto"/>
        <w:jc w:val="both"/>
        <w:rPr>
          <w:rFonts w:ascii="Palatino Linotype" w:eastAsia="Palatino Linotype" w:hAnsi="Palatino Linotype" w:cs="Palatino Linotype"/>
          <w:b/>
        </w:rPr>
      </w:pPr>
    </w:p>
    <w:p w14:paraId="6BF30EA8" w14:textId="77777777" w:rsidR="008D7369" w:rsidRDefault="008D7369" w:rsidP="008D736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QUINTO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hace del conocimiento de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b/>
        </w:rPr>
        <w:t xml:space="preserv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Pr>
          <w:rFonts w:ascii="Palatino Linotype" w:eastAsia="Palatino Linotype" w:hAnsi="Palatino Linotype" w:cs="Palatino Linotype"/>
        </w:rPr>
        <w:t>impugnar vía</w:t>
      </w:r>
      <w:r>
        <w:rPr>
          <w:rFonts w:ascii="Palatino Linotype" w:eastAsia="Palatino Linotype" w:hAnsi="Palatino Linotype" w:cs="Palatino Linotype"/>
          <w:color w:val="000000"/>
        </w:rPr>
        <w:t xml:space="preserve"> juicio de amparo en los términos de las Leyes aplicables.</w:t>
      </w:r>
    </w:p>
    <w:p w14:paraId="2A707E4B" w14:textId="77777777" w:rsidR="00E73469" w:rsidRDefault="00E73469" w:rsidP="00E73469">
      <w:pPr>
        <w:spacing w:line="360" w:lineRule="auto"/>
        <w:jc w:val="both"/>
        <w:rPr>
          <w:rFonts w:ascii="Palatino Linotype" w:eastAsia="MS Mincho" w:hAnsi="Palatino Linotype"/>
          <w:color w:val="000000"/>
        </w:rPr>
      </w:pPr>
    </w:p>
    <w:p w14:paraId="02875AFB" w14:textId="4FFB48FC" w:rsidR="00B01F10" w:rsidRDefault="001B2372" w:rsidP="0086029F">
      <w:pPr>
        <w:spacing w:line="360" w:lineRule="auto"/>
        <w:ind w:firstLine="1"/>
        <w:jc w:val="both"/>
        <w:rPr>
          <w:rFonts w:ascii="Palatino Linotype" w:hAnsi="Palatino Linotype"/>
        </w:rPr>
      </w:pPr>
      <w:r w:rsidRPr="00E37AF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w:t>
      </w:r>
      <w:r>
        <w:rPr>
          <w:rFonts w:ascii="Palatino Linotype" w:hAnsi="Palatino Linotype"/>
        </w:rPr>
        <w:t>NOVENA</w:t>
      </w:r>
      <w:r w:rsidRPr="00E37AF3">
        <w:rPr>
          <w:rFonts w:ascii="Palatino Linotype" w:hAnsi="Palatino Linotype"/>
        </w:rPr>
        <w:t xml:space="preserve"> SESIÓN ORDINARIA CELEBRADA EL </w:t>
      </w:r>
      <w:r>
        <w:rPr>
          <w:rFonts w:ascii="Palatino Linotype" w:hAnsi="Palatino Linotype"/>
        </w:rPr>
        <w:t>VEINTIUNO</w:t>
      </w:r>
      <w:r w:rsidRPr="00E37AF3">
        <w:rPr>
          <w:rFonts w:ascii="Palatino Linotype" w:hAnsi="Palatino Linotype"/>
        </w:rPr>
        <w:t xml:space="preserve"> (</w:t>
      </w:r>
      <w:r>
        <w:rPr>
          <w:rFonts w:ascii="Palatino Linotype" w:hAnsi="Palatino Linotype"/>
        </w:rPr>
        <w:t>21</w:t>
      </w:r>
      <w:r w:rsidRPr="00E37AF3">
        <w:rPr>
          <w:rFonts w:ascii="Palatino Linotype" w:hAnsi="Palatino Linotype"/>
        </w:rPr>
        <w:t xml:space="preserve">) DE </w:t>
      </w:r>
      <w:r>
        <w:rPr>
          <w:rFonts w:ascii="Palatino Linotype" w:hAnsi="Palatino Linotype"/>
        </w:rPr>
        <w:t>AGOSTO</w:t>
      </w:r>
      <w:r w:rsidRPr="00E37AF3">
        <w:rPr>
          <w:rFonts w:ascii="Palatino Linotype" w:hAnsi="Palatino Linotype"/>
        </w:rPr>
        <w:t xml:space="preserve"> DE DOS MIL VEINTICUATRO, ANTE EL SECRETARIO TÉCNICO DEL PLENO ALEXIS TAPIA RAMÍREZ. </w:t>
      </w:r>
    </w:p>
    <w:p w14:paraId="762BC2AF" w14:textId="2D70976B" w:rsidR="0086029F" w:rsidRDefault="0086029F" w:rsidP="0086029F">
      <w:pPr>
        <w:spacing w:line="360" w:lineRule="auto"/>
        <w:ind w:firstLine="1"/>
        <w:jc w:val="both"/>
        <w:rPr>
          <w:rFonts w:ascii="Palatino Linotype" w:hAnsi="Palatino Linotype"/>
        </w:rPr>
      </w:pPr>
    </w:p>
    <w:p w14:paraId="536DA668" w14:textId="672E734E" w:rsidR="0086029F" w:rsidRDefault="0086029F" w:rsidP="0086029F">
      <w:pPr>
        <w:spacing w:line="360" w:lineRule="auto"/>
        <w:ind w:firstLine="1"/>
        <w:jc w:val="both"/>
        <w:rPr>
          <w:rFonts w:ascii="Palatino Linotype" w:hAnsi="Palatino Linotype"/>
        </w:rPr>
      </w:pPr>
    </w:p>
    <w:p w14:paraId="7C0A6062" w14:textId="59C370AC" w:rsidR="0086029F" w:rsidRDefault="0086029F" w:rsidP="0086029F">
      <w:pPr>
        <w:spacing w:line="360" w:lineRule="auto"/>
        <w:ind w:firstLine="1"/>
        <w:jc w:val="both"/>
        <w:rPr>
          <w:rFonts w:ascii="Palatino Linotype" w:hAnsi="Palatino Linotype"/>
        </w:rPr>
      </w:pPr>
    </w:p>
    <w:p w14:paraId="39C650EC" w14:textId="77777777" w:rsidR="0086029F" w:rsidRPr="0086029F" w:rsidRDefault="0086029F" w:rsidP="0086029F">
      <w:pPr>
        <w:spacing w:line="360" w:lineRule="auto"/>
        <w:ind w:firstLine="1"/>
        <w:jc w:val="both"/>
        <w:rPr>
          <w:rFonts w:ascii="Palatino Linotype" w:hAnsi="Palatino Linotype"/>
        </w:rPr>
      </w:pPr>
      <w:bookmarkStart w:id="14" w:name="_GoBack"/>
      <w:bookmarkEnd w:id="14"/>
    </w:p>
    <w:sectPr w:rsidR="0086029F" w:rsidRPr="0086029F">
      <w:headerReference w:type="default" r:id="rId11"/>
      <w:footerReference w:type="default" r:id="rId12"/>
      <w:headerReference w:type="first" r:id="rId13"/>
      <w:footerReference w:type="first" r:id="rId14"/>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3A9FC" w14:textId="77777777" w:rsidR="00605140" w:rsidRDefault="00605140">
      <w:r>
        <w:separator/>
      </w:r>
    </w:p>
  </w:endnote>
  <w:endnote w:type="continuationSeparator" w:id="0">
    <w:p w14:paraId="587EF1D7" w14:textId="77777777" w:rsidR="00605140" w:rsidRDefault="0060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0F" w14:textId="00DE8471" w:rsidR="0044408A" w:rsidRDefault="0044408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6029F">
      <w:rPr>
        <w:rFonts w:ascii="Palatino Linotype" w:eastAsia="Palatino Linotype" w:hAnsi="Palatino Linotype" w:cs="Palatino Linotype"/>
        <w:b/>
        <w:noProof/>
        <w:color w:val="000000"/>
        <w:sz w:val="22"/>
        <w:szCs w:val="22"/>
      </w:rPr>
      <w:t>33</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6029F">
      <w:rPr>
        <w:rFonts w:ascii="Palatino Linotype" w:eastAsia="Palatino Linotype" w:hAnsi="Palatino Linotype" w:cs="Palatino Linotype"/>
        <w:b/>
        <w:noProof/>
        <w:color w:val="000000"/>
        <w:sz w:val="22"/>
        <w:szCs w:val="22"/>
      </w:rPr>
      <w:t>34</w:t>
    </w:r>
    <w:r>
      <w:rPr>
        <w:rFonts w:ascii="Palatino Linotype" w:eastAsia="Palatino Linotype" w:hAnsi="Palatino Linotype" w:cs="Palatino Linotype"/>
        <w:b/>
        <w:color w:val="000000"/>
        <w:sz w:val="22"/>
        <w:szCs w:val="22"/>
      </w:rPr>
      <w:fldChar w:fldCharType="end"/>
    </w:r>
  </w:p>
  <w:p w14:paraId="02875B10" w14:textId="77777777" w:rsidR="0044408A" w:rsidRDefault="0044408A">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1F" w14:textId="4070E855" w:rsidR="0044408A" w:rsidRDefault="0044408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6029F">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6029F">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p w14:paraId="02875B20" w14:textId="77777777" w:rsidR="0044408A" w:rsidRDefault="0044408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C427" w14:textId="77777777" w:rsidR="00605140" w:rsidRDefault="00605140">
      <w:r>
        <w:separator/>
      </w:r>
    </w:p>
  </w:footnote>
  <w:footnote w:type="continuationSeparator" w:id="0">
    <w:p w14:paraId="0E492ACB" w14:textId="77777777" w:rsidR="00605140" w:rsidRDefault="00605140">
      <w:r>
        <w:continuationSeparator/>
      </w:r>
    </w:p>
  </w:footnote>
  <w:footnote w:id="1">
    <w:p w14:paraId="48F8AE35" w14:textId="537D47DA" w:rsidR="0044408A" w:rsidRDefault="0044408A" w:rsidP="00FA321B">
      <w:pPr>
        <w:pStyle w:val="Textonotapie"/>
        <w:jc w:val="both"/>
        <w:rPr>
          <w:i/>
        </w:rPr>
      </w:pPr>
      <w:r>
        <w:rPr>
          <w:rStyle w:val="Refdenotaalpie"/>
        </w:rPr>
        <w:footnoteRef/>
      </w:r>
      <w:r>
        <w:t xml:space="preserve"> </w:t>
      </w:r>
      <w:r>
        <w:rPr>
          <w:i/>
        </w:rPr>
        <w:t>“</w:t>
      </w:r>
      <w:r w:rsidRPr="00FA321B">
        <w:rPr>
          <w:b/>
          <w:i/>
        </w:rPr>
        <w:t>Artículo 163.</w:t>
      </w:r>
      <w:r>
        <w:rPr>
          <w:i/>
        </w:rPr>
        <w:t xml:space="preserve"> (…)</w:t>
      </w:r>
    </w:p>
    <w:p w14:paraId="083A5F8C" w14:textId="77777777" w:rsidR="0044408A" w:rsidRDefault="0044408A" w:rsidP="00FA321B">
      <w:pPr>
        <w:pStyle w:val="Textonotapie"/>
        <w:jc w:val="both"/>
        <w:rPr>
          <w:i/>
        </w:rPr>
      </w:pPr>
    </w:p>
    <w:p w14:paraId="4270402C" w14:textId="4D6E44C8" w:rsidR="0044408A" w:rsidRPr="00FA321B" w:rsidRDefault="0044408A" w:rsidP="00FA321B">
      <w:pPr>
        <w:pStyle w:val="Textonotapie"/>
        <w:jc w:val="both"/>
        <w:rPr>
          <w:i/>
        </w:rPr>
      </w:pPr>
      <w:r w:rsidRPr="00FA321B">
        <w:rPr>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r>
        <w:rPr>
          <w:i/>
        </w:rPr>
        <w:t>”</w:t>
      </w:r>
    </w:p>
  </w:footnote>
  <w:footnote w:id="2">
    <w:p w14:paraId="02875B24" w14:textId="77777777" w:rsidR="0044408A" w:rsidRDefault="0044408A">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3">
    <w:p w14:paraId="02875B25" w14:textId="6099FE24"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2002351.</w:t>
      </w:r>
    </w:p>
  </w:footnote>
  <w:footnote w:id="4">
    <w:p w14:paraId="02875B26" w14:textId="348F3938"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Semanario Judicial de la Federación y su gaceta, con el registro digital 2002350.</w:t>
      </w:r>
    </w:p>
  </w:footnote>
  <w:footnote w:id="5">
    <w:p w14:paraId="02875B27" w14:textId="77777777" w:rsidR="0044408A" w:rsidRDefault="0044408A">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7778FCFE" w14:textId="3CDB5933" w:rsidR="0044408A" w:rsidRDefault="0044408A">
      <w:pPr>
        <w:pBdr>
          <w:top w:val="nil"/>
          <w:left w:val="nil"/>
          <w:bottom w:val="nil"/>
          <w:right w:val="nil"/>
          <w:between w:val="nil"/>
        </w:pBdr>
        <w:jc w:val="both"/>
        <w:rPr>
          <w:i/>
          <w:color w:val="000000"/>
          <w:sz w:val="20"/>
          <w:szCs w:val="20"/>
        </w:rPr>
      </w:pPr>
      <w:r w:rsidRPr="00642B62">
        <w:rPr>
          <w:b/>
          <w:bCs/>
          <w:i/>
          <w:color w:val="000000"/>
          <w:sz w:val="20"/>
          <w:szCs w:val="20"/>
        </w:rPr>
        <w:t>I.</w:t>
      </w:r>
      <w:r w:rsidRPr="00642B62">
        <w:rPr>
          <w:i/>
          <w:color w:val="000000"/>
          <w:sz w:val="20"/>
          <w:szCs w:val="20"/>
        </w:rPr>
        <w:t xml:space="preserve"> La negativa a la información solicitada;</w:t>
      </w:r>
    </w:p>
    <w:p w14:paraId="02875B2C" w14:textId="4D59A2D1" w:rsidR="0044408A" w:rsidRDefault="0044408A">
      <w:pPr>
        <w:pBdr>
          <w:top w:val="nil"/>
          <w:left w:val="nil"/>
          <w:bottom w:val="nil"/>
          <w:right w:val="nil"/>
          <w:between w:val="nil"/>
        </w:pBdr>
        <w:jc w:val="both"/>
        <w:rPr>
          <w:color w:val="000000"/>
          <w:sz w:val="20"/>
          <w:szCs w:val="20"/>
        </w:rPr>
      </w:pPr>
      <w:r>
        <w:rPr>
          <w:i/>
          <w:color w:val="000000"/>
          <w:sz w:val="20"/>
          <w:szCs w:val="20"/>
        </w:rPr>
        <w:t>(…)”</w:t>
      </w:r>
    </w:p>
  </w:footnote>
  <w:footnote w:id="6">
    <w:p w14:paraId="02875B2D" w14:textId="77777777"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7">
    <w:p w14:paraId="02875B2E" w14:textId="77777777"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8">
    <w:p w14:paraId="02875B2F" w14:textId="77777777"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9">
    <w:p w14:paraId="02875B30" w14:textId="77777777" w:rsidR="0044408A" w:rsidRDefault="004440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0">
    <w:p w14:paraId="7AE0D299" w14:textId="77777777" w:rsidR="0044408A" w:rsidRDefault="0044408A"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1">
    <w:p w14:paraId="0423EC2F" w14:textId="77777777" w:rsidR="0044408A" w:rsidRDefault="0044408A" w:rsidP="00882B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2">
    <w:p w14:paraId="7E6EE205" w14:textId="77777777" w:rsidR="0044408A" w:rsidRDefault="0044408A" w:rsidP="00882BDA">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7EE1E75A" w14:textId="77777777" w:rsidR="0044408A" w:rsidRDefault="0044408A"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proofErr w:type="gramStart"/>
      <w:r>
        <w:rPr>
          <w:rFonts w:ascii="Palatino Linotype" w:eastAsia="Palatino Linotype" w:hAnsi="Palatino Linotype" w:cs="Palatino Linotype"/>
          <w:color w:val="000000"/>
          <w:sz w:val="18"/>
          <w:szCs w:val="18"/>
        </w:rPr>
        <w:t>9.(</w:t>
      </w:r>
      <w:proofErr w:type="gramEnd"/>
      <w:r>
        <w:rPr>
          <w:rFonts w:ascii="Palatino Linotype" w:eastAsia="Palatino Linotype" w:hAnsi="Palatino Linotype" w:cs="Palatino Linotype"/>
          <w:color w:val="000000"/>
          <w:sz w:val="18"/>
          <w:szCs w:val="18"/>
        </w:rPr>
        <w:t>…)</w:t>
      </w:r>
    </w:p>
    <w:p w14:paraId="3B756C8B" w14:textId="77777777" w:rsidR="0044408A" w:rsidRDefault="0044408A" w:rsidP="00882BDA">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22D1EC49" w14:textId="77777777" w:rsidR="0044408A" w:rsidRDefault="0044408A" w:rsidP="00882BDA">
      <w:pPr>
        <w:pBdr>
          <w:top w:val="nil"/>
          <w:left w:val="nil"/>
          <w:bottom w:val="nil"/>
          <w:right w:val="nil"/>
          <w:between w:val="nil"/>
        </w:pBdr>
        <w:rPr>
          <w:color w:val="000000"/>
          <w:sz w:val="20"/>
          <w:szCs w:val="20"/>
        </w:rPr>
      </w:pPr>
      <w:r>
        <w:rPr>
          <w:color w:val="000000"/>
          <w:sz w:val="20"/>
          <w:szCs w:val="20"/>
        </w:rPr>
        <w:t>(…)”</w:t>
      </w:r>
    </w:p>
  </w:footnote>
  <w:footnote w:id="13">
    <w:p w14:paraId="41735956" w14:textId="77777777" w:rsidR="0044408A" w:rsidRDefault="0044408A"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4">
    <w:p w14:paraId="01371263" w14:textId="77777777" w:rsidR="0044408A" w:rsidRDefault="0044408A"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 Ídem.</w:t>
      </w:r>
    </w:p>
  </w:footnote>
  <w:footnote w:id="15">
    <w:p w14:paraId="7C7B688F" w14:textId="77777777" w:rsidR="0044408A" w:rsidRDefault="0044408A"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16">
    <w:p w14:paraId="56A6204C" w14:textId="77777777" w:rsidR="0044408A" w:rsidRDefault="0044408A" w:rsidP="009C03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Ley Orgánica Municipal del Estado de México.</w:t>
      </w:r>
    </w:p>
  </w:footnote>
  <w:footnote w:id="17">
    <w:p w14:paraId="0288E930" w14:textId="10DDFDCB" w:rsidR="0044408A" w:rsidRDefault="0044408A">
      <w:pPr>
        <w:pStyle w:val="Textonotapie"/>
      </w:pPr>
      <w:r>
        <w:rPr>
          <w:rStyle w:val="Refdenotaalpie"/>
        </w:rPr>
        <w:footnoteRef/>
      </w:r>
      <w:r>
        <w:t xml:space="preserve"> Artículo 86, Ley Orgánica Municipal del Estado de México.</w:t>
      </w:r>
    </w:p>
  </w:footnote>
  <w:footnote w:id="18">
    <w:p w14:paraId="668A2B84" w14:textId="0CCB1E70" w:rsidR="0044408A" w:rsidRDefault="0044408A">
      <w:pPr>
        <w:pStyle w:val="Textonotapie"/>
      </w:pPr>
      <w:r>
        <w:rPr>
          <w:rStyle w:val="Refdenotaalpie"/>
        </w:rPr>
        <w:footnoteRef/>
      </w:r>
      <w:r>
        <w:t xml:space="preserve"> Artículo 87, Ídem.</w:t>
      </w:r>
    </w:p>
  </w:footnote>
  <w:footnote w:id="19">
    <w:p w14:paraId="50D43D5D" w14:textId="5FC7B9D0" w:rsidR="0044408A" w:rsidRDefault="0044408A">
      <w:pPr>
        <w:pStyle w:val="Textonotapie"/>
      </w:pPr>
      <w:r>
        <w:rPr>
          <w:rStyle w:val="Refdenotaalpie"/>
        </w:rPr>
        <w:footnoteRef/>
      </w:r>
      <w:r>
        <w:t xml:space="preserve"> Artículo 36, Bando Municipal 2023 de Zinacantepec.</w:t>
      </w:r>
    </w:p>
  </w:footnote>
  <w:footnote w:id="20">
    <w:p w14:paraId="61FECEB0" w14:textId="64FDC383" w:rsidR="0044408A" w:rsidRDefault="0044408A">
      <w:pPr>
        <w:pStyle w:val="Textonotapie"/>
      </w:pPr>
      <w:r>
        <w:rPr>
          <w:rStyle w:val="Refdenotaalpie"/>
        </w:rPr>
        <w:footnoteRef/>
      </w:r>
      <w:r>
        <w:t xml:space="preserve"> Artículo 48, Ídem.</w:t>
      </w:r>
    </w:p>
  </w:footnote>
  <w:footnote w:id="21">
    <w:p w14:paraId="35CEA0F3" w14:textId="5FA72928" w:rsidR="0044408A" w:rsidRDefault="0044408A">
      <w:pPr>
        <w:pStyle w:val="Textonotapie"/>
      </w:pPr>
      <w:r>
        <w:rPr>
          <w:rStyle w:val="Refdenotaalpie"/>
        </w:rPr>
        <w:footnoteRef/>
      </w:r>
      <w:r>
        <w:t xml:space="preserve"> Artículo 52, </w:t>
      </w:r>
      <w:r w:rsidRPr="00E05A5B">
        <w:rPr>
          <w:lang w:val="es-ES_tradnl"/>
        </w:rPr>
        <w:t>Reglamento Orgánico Municipal de Zinacantepec</w:t>
      </w:r>
      <w:r>
        <w:rPr>
          <w:lang w:val="es-ES_tradnl"/>
        </w:rPr>
        <w:t>.</w:t>
      </w:r>
    </w:p>
  </w:footnote>
  <w:footnote w:id="22">
    <w:p w14:paraId="49434CEE" w14:textId="418E3ADB" w:rsidR="0044408A" w:rsidRDefault="0044408A">
      <w:pPr>
        <w:pStyle w:val="Textonotapie"/>
      </w:pPr>
      <w:r>
        <w:rPr>
          <w:rStyle w:val="Refdenotaalpie"/>
        </w:rPr>
        <w:footnoteRef/>
      </w:r>
      <w:r>
        <w:t xml:space="preserve"> Artículo 53, Ídem.</w:t>
      </w:r>
    </w:p>
  </w:footnote>
  <w:footnote w:id="23">
    <w:p w14:paraId="0DF1A27E" w14:textId="11FBE304" w:rsidR="0044408A" w:rsidRDefault="0044408A" w:rsidP="0044408A">
      <w:pPr>
        <w:pStyle w:val="Textonotapie"/>
        <w:jc w:val="both"/>
      </w:pPr>
      <w:r>
        <w:rPr>
          <w:rStyle w:val="Refdenotaalpie"/>
        </w:rPr>
        <w:footnoteRef/>
      </w:r>
      <w:r>
        <w:t xml:space="preserve"> Artículo 92, </w:t>
      </w:r>
      <w:r>
        <w:rPr>
          <w:rFonts w:ascii="Palatino Linotype" w:eastAsia="Palatino Linotype" w:hAnsi="Palatino Linotype" w:cs="Palatino Linotype"/>
          <w:color w:val="000000"/>
          <w:lang w:val="es-ES_tradnl"/>
        </w:rPr>
        <w:t>Ley del Trabajo de los Servidores Públicos del Estado y Municipios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04" w14:textId="77777777" w:rsidR="0044408A" w:rsidRDefault="0044408A">
    <w:pPr>
      <w:widowControl w:val="0"/>
      <w:pBdr>
        <w:top w:val="nil"/>
        <w:left w:val="nil"/>
        <w:bottom w:val="nil"/>
        <w:right w:val="nil"/>
        <w:between w:val="nil"/>
      </w:pBdr>
      <w:spacing w:line="276" w:lineRule="auto"/>
      <w:rPr>
        <w:color w:val="000000"/>
      </w:rPr>
    </w:pPr>
    <w:r>
      <w:rPr>
        <w:noProof/>
      </w:rPr>
      <w:drawing>
        <wp:anchor distT="0" distB="0" distL="0" distR="0" simplePos="0" relativeHeight="251657216" behindDoc="1" locked="0" layoutInCell="1" hidden="0" allowOverlap="1" wp14:anchorId="02875B21" wp14:editId="02875B22">
          <wp:simplePos x="0" y="0"/>
          <wp:positionH relativeFrom="column">
            <wp:posOffset>-1115205</wp:posOffset>
          </wp:positionH>
          <wp:positionV relativeFrom="paragraph">
            <wp:posOffset>-448008</wp:posOffset>
          </wp:positionV>
          <wp:extent cx="7694930" cy="10020300"/>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5"/>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44408A" w14:paraId="02875B07" w14:textId="77777777">
      <w:trPr>
        <w:trHeight w:val="138"/>
      </w:trPr>
      <w:tc>
        <w:tcPr>
          <w:tcW w:w="3690" w:type="dxa"/>
          <w:vAlign w:val="center"/>
        </w:tcPr>
        <w:p w14:paraId="02875B05" w14:textId="77777777" w:rsidR="0044408A" w:rsidRDefault="0044408A" w:rsidP="005E5B0A">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02875B06" w14:textId="0CC5C59D" w:rsidR="0044408A" w:rsidRDefault="0044408A" w:rsidP="005E5B0A">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05733/INFOEM/IP/RR/2023</w:t>
          </w:r>
        </w:p>
      </w:tc>
    </w:tr>
    <w:tr w:rsidR="0044408A" w14:paraId="02875B0A" w14:textId="77777777">
      <w:trPr>
        <w:trHeight w:val="233"/>
      </w:trPr>
      <w:tc>
        <w:tcPr>
          <w:tcW w:w="3690" w:type="dxa"/>
          <w:vAlign w:val="center"/>
        </w:tcPr>
        <w:p w14:paraId="02875B08" w14:textId="77777777" w:rsidR="0044408A" w:rsidRDefault="0044408A" w:rsidP="007712AA">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2875B09" w14:textId="08113651" w:rsidR="0044408A" w:rsidRDefault="0044408A"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44408A" w14:paraId="02875B0D" w14:textId="77777777">
      <w:trPr>
        <w:trHeight w:val="321"/>
      </w:trPr>
      <w:tc>
        <w:tcPr>
          <w:tcW w:w="3690" w:type="dxa"/>
          <w:vAlign w:val="center"/>
        </w:tcPr>
        <w:p w14:paraId="02875B0B" w14:textId="77777777" w:rsidR="0044408A" w:rsidRDefault="0044408A">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02875B0C" w14:textId="77777777" w:rsidR="0044408A" w:rsidRDefault="0044408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0E" w14:textId="77777777" w:rsidR="0044408A" w:rsidRDefault="0044408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B11" w14:textId="77777777" w:rsidR="0044408A" w:rsidRDefault="0044408A">
    <w:pPr>
      <w:widowControl w:val="0"/>
      <w:pBdr>
        <w:top w:val="nil"/>
        <w:left w:val="nil"/>
        <w:bottom w:val="nil"/>
        <w:right w:val="nil"/>
        <w:between w:val="nil"/>
      </w:pBdr>
      <w:spacing w:line="276" w:lineRule="auto"/>
      <w:rPr>
        <w:color w:val="000000"/>
        <w:sz w:val="20"/>
        <w:szCs w:val="20"/>
      </w:rPr>
    </w:pPr>
  </w:p>
  <w:tbl>
    <w:tblPr>
      <w:tblStyle w:val="a6"/>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44408A" w14:paraId="02875B14" w14:textId="77777777">
      <w:trPr>
        <w:trHeight w:val="138"/>
      </w:trPr>
      <w:tc>
        <w:tcPr>
          <w:tcW w:w="3690" w:type="dxa"/>
          <w:vAlign w:val="center"/>
        </w:tcPr>
        <w:p w14:paraId="02875B12" w14:textId="77777777" w:rsidR="0044408A" w:rsidRDefault="0044408A">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02875B13" w14:textId="2CA0DB9A" w:rsidR="0044408A" w:rsidRDefault="0044408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05733/INFOEM/IP/RR/2023</w:t>
          </w:r>
        </w:p>
      </w:tc>
    </w:tr>
    <w:tr w:rsidR="0044408A" w14:paraId="02875B17" w14:textId="77777777">
      <w:trPr>
        <w:trHeight w:val="233"/>
      </w:trPr>
      <w:tc>
        <w:tcPr>
          <w:tcW w:w="3690" w:type="dxa"/>
          <w:vAlign w:val="center"/>
        </w:tcPr>
        <w:p w14:paraId="02875B15" w14:textId="77777777" w:rsidR="0044408A" w:rsidRDefault="0044408A">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02875B16" w14:textId="23B047DB" w:rsidR="0044408A" w:rsidRDefault="0044408A">
          <w:pPr>
            <w:pBdr>
              <w:top w:val="nil"/>
              <w:left w:val="nil"/>
              <w:bottom w:val="nil"/>
              <w:right w:val="nil"/>
              <w:between w:val="nil"/>
            </w:pBdr>
            <w:tabs>
              <w:tab w:val="center" w:pos="4252"/>
              <w:tab w:val="right" w:pos="8504"/>
            </w:tabs>
            <w:rPr>
              <w:rFonts w:ascii="Palatino Linotype" w:eastAsia="Palatino Linotype" w:hAnsi="Palatino Linotype" w:cs="Palatino Linotype"/>
            </w:rPr>
          </w:pPr>
        </w:p>
      </w:tc>
    </w:tr>
    <w:tr w:rsidR="0044408A" w14:paraId="02875B1A" w14:textId="77777777">
      <w:trPr>
        <w:trHeight w:val="321"/>
      </w:trPr>
      <w:tc>
        <w:tcPr>
          <w:tcW w:w="3690" w:type="dxa"/>
          <w:vAlign w:val="center"/>
        </w:tcPr>
        <w:p w14:paraId="02875B18" w14:textId="77777777" w:rsidR="0044408A" w:rsidRDefault="0044408A">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02875B19" w14:textId="389B780C" w:rsidR="0044408A" w:rsidRDefault="0044408A" w:rsidP="007712AA">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Zinacantepec</w:t>
          </w:r>
        </w:p>
      </w:tc>
    </w:tr>
    <w:tr w:rsidR="0044408A" w14:paraId="02875B1D" w14:textId="77777777">
      <w:trPr>
        <w:trHeight w:val="321"/>
      </w:trPr>
      <w:tc>
        <w:tcPr>
          <w:tcW w:w="3690" w:type="dxa"/>
          <w:vAlign w:val="center"/>
        </w:tcPr>
        <w:p w14:paraId="02875B1B" w14:textId="77777777" w:rsidR="0044408A" w:rsidRDefault="0044408A">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02875B1C" w14:textId="77777777" w:rsidR="0044408A" w:rsidRDefault="0044408A">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02875B1E" w14:textId="77777777" w:rsidR="0044408A" w:rsidRDefault="00605140">
    <w:pPr>
      <w:pBdr>
        <w:top w:val="nil"/>
        <w:left w:val="nil"/>
        <w:bottom w:val="nil"/>
        <w:right w:val="nil"/>
        <w:between w:val="nil"/>
      </w:pBdr>
      <w:tabs>
        <w:tab w:val="center" w:pos="4252"/>
        <w:tab w:val="right" w:pos="8504"/>
        <w:tab w:val="left" w:pos="3103"/>
      </w:tabs>
      <w:rPr>
        <w:color w:val="000000"/>
      </w:rPr>
    </w:pPr>
    <w:r>
      <w:rPr>
        <w:noProof/>
        <w:color w:val="000000"/>
      </w:rPr>
      <w:pict w14:anchorId="02875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00.1pt;margin-top:-124.35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186"/>
    <w:multiLevelType w:val="hybridMultilevel"/>
    <w:tmpl w:val="4DCAADE4"/>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80169"/>
    <w:multiLevelType w:val="hybridMultilevel"/>
    <w:tmpl w:val="A2760116"/>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B397D"/>
    <w:multiLevelType w:val="hybridMultilevel"/>
    <w:tmpl w:val="5E7060D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4D3F30"/>
    <w:multiLevelType w:val="multilevel"/>
    <w:tmpl w:val="9F2C061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F55319"/>
    <w:multiLevelType w:val="hybridMultilevel"/>
    <w:tmpl w:val="491AB8CC"/>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45708"/>
    <w:multiLevelType w:val="multilevel"/>
    <w:tmpl w:val="B9B86AD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C73B29"/>
    <w:multiLevelType w:val="multilevel"/>
    <w:tmpl w:val="81B80C8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C7D4F"/>
    <w:multiLevelType w:val="multilevel"/>
    <w:tmpl w:val="5130280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733871"/>
    <w:multiLevelType w:val="hybridMultilevel"/>
    <w:tmpl w:val="13CA95D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56554"/>
    <w:multiLevelType w:val="multilevel"/>
    <w:tmpl w:val="1D34DA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643160F"/>
    <w:multiLevelType w:val="multilevel"/>
    <w:tmpl w:val="FF04F114"/>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607FDC"/>
    <w:multiLevelType w:val="hybridMultilevel"/>
    <w:tmpl w:val="C3B2152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F2C9A"/>
    <w:multiLevelType w:val="hybridMultilevel"/>
    <w:tmpl w:val="A894A1D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C6B99"/>
    <w:multiLevelType w:val="multilevel"/>
    <w:tmpl w:val="53926C9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45191E"/>
    <w:multiLevelType w:val="multilevel"/>
    <w:tmpl w:val="A17C80E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480B3F"/>
    <w:multiLevelType w:val="multilevel"/>
    <w:tmpl w:val="486250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5241568E"/>
    <w:multiLevelType w:val="hybridMultilevel"/>
    <w:tmpl w:val="A846FE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70B2D85A">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BB0956"/>
    <w:multiLevelType w:val="hybridMultilevel"/>
    <w:tmpl w:val="92D6B9A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0D1BB7"/>
    <w:multiLevelType w:val="multilevel"/>
    <w:tmpl w:val="E564BB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741D77"/>
    <w:multiLevelType w:val="hybridMultilevel"/>
    <w:tmpl w:val="2CF2BC08"/>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35B2368A">
      <w:start w:val="1"/>
      <w:numFmt w:val="lowerRoman"/>
      <w:lvlText w:val="%3."/>
      <w:lvlJc w:val="righ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DA7B4A"/>
    <w:multiLevelType w:val="hybridMultilevel"/>
    <w:tmpl w:val="2668EF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8F44A0"/>
    <w:multiLevelType w:val="hybridMultilevel"/>
    <w:tmpl w:val="CCB24526"/>
    <w:lvl w:ilvl="0" w:tplc="70B2D85A">
      <w:start w:val="1"/>
      <w:numFmt w:val="lowerLetter"/>
      <w:lvlText w:val="%1)"/>
      <w:lvlJc w:val="lef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630539"/>
    <w:multiLevelType w:val="hybridMultilevel"/>
    <w:tmpl w:val="24AA0D5A"/>
    <w:lvl w:ilvl="0" w:tplc="3A646C4A">
      <w:start w:val="9"/>
      <w:numFmt w:val="decimal"/>
      <w:lvlText w:val="%1."/>
      <w:lvlJc w:val="left"/>
      <w:pPr>
        <w:ind w:left="3870" w:hanging="360"/>
      </w:pPr>
      <w:rPr>
        <w:rFonts w:hint="default"/>
        <w:b/>
        <w:i w:val="0"/>
      </w:rPr>
    </w:lvl>
    <w:lvl w:ilvl="1" w:tplc="080A0017">
      <w:start w:val="1"/>
      <w:numFmt w:val="lowerLetter"/>
      <w:lvlText w:val="%2)"/>
      <w:lvlJc w:val="left"/>
      <w:pPr>
        <w:ind w:left="1440" w:hanging="360"/>
      </w:pPr>
      <w:rPr>
        <w:b/>
        <w:bCs/>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EF6AE3"/>
    <w:multiLevelType w:val="multilevel"/>
    <w:tmpl w:val="95A8C49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0A4B13"/>
    <w:multiLevelType w:val="multilevel"/>
    <w:tmpl w:val="DDE4014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DF5DA2"/>
    <w:multiLevelType w:val="hybridMultilevel"/>
    <w:tmpl w:val="BE28B06A"/>
    <w:lvl w:ilvl="0" w:tplc="6ADA83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4F41BB"/>
    <w:multiLevelType w:val="hybridMultilevel"/>
    <w:tmpl w:val="BD70F8AA"/>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0"/>
  </w:num>
  <w:num w:numId="2">
    <w:abstractNumId w:val="13"/>
  </w:num>
  <w:num w:numId="3">
    <w:abstractNumId w:val="10"/>
  </w:num>
  <w:num w:numId="4">
    <w:abstractNumId w:val="9"/>
  </w:num>
  <w:num w:numId="5">
    <w:abstractNumId w:val="26"/>
  </w:num>
  <w:num w:numId="6">
    <w:abstractNumId w:val="3"/>
  </w:num>
  <w:num w:numId="7">
    <w:abstractNumId w:val="15"/>
  </w:num>
  <w:num w:numId="8">
    <w:abstractNumId w:val="7"/>
  </w:num>
  <w:num w:numId="9">
    <w:abstractNumId w:val="5"/>
  </w:num>
  <w:num w:numId="10">
    <w:abstractNumId w:val="22"/>
  </w:num>
  <w:num w:numId="11">
    <w:abstractNumId w:val="18"/>
  </w:num>
  <w:num w:numId="12">
    <w:abstractNumId w:val="0"/>
  </w:num>
  <w:num w:numId="13">
    <w:abstractNumId w:val="23"/>
  </w:num>
  <w:num w:numId="14">
    <w:abstractNumId w:val="8"/>
  </w:num>
  <w:num w:numId="15">
    <w:abstractNumId w:val="4"/>
  </w:num>
  <w:num w:numId="16">
    <w:abstractNumId w:val="28"/>
  </w:num>
  <w:num w:numId="17">
    <w:abstractNumId w:val="27"/>
  </w:num>
  <w:num w:numId="18">
    <w:abstractNumId w:val="16"/>
  </w:num>
  <w:num w:numId="19">
    <w:abstractNumId w:val="21"/>
  </w:num>
  <w:num w:numId="20">
    <w:abstractNumId w:val="19"/>
  </w:num>
  <w:num w:numId="21">
    <w:abstractNumId w:val="12"/>
  </w:num>
  <w:num w:numId="22">
    <w:abstractNumId w:val="2"/>
  </w:num>
  <w:num w:numId="23">
    <w:abstractNumId w:val="11"/>
  </w:num>
  <w:num w:numId="24">
    <w:abstractNumId w:val="1"/>
  </w:num>
  <w:num w:numId="25">
    <w:abstractNumId w:val="14"/>
  </w:num>
  <w:num w:numId="26">
    <w:abstractNumId w:val="25"/>
  </w:num>
  <w:num w:numId="27">
    <w:abstractNumId w:val="17"/>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0"/>
    <w:rsid w:val="00005315"/>
    <w:rsid w:val="0002038B"/>
    <w:rsid w:val="00021809"/>
    <w:rsid w:val="00023002"/>
    <w:rsid w:val="0004699D"/>
    <w:rsid w:val="00054432"/>
    <w:rsid w:val="00073370"/>
    <w:rsid w:val="000872A8"/>
    <w:rsid w:val="00095B72"/>
    <w:rsid w:val="0009774D"/>
    <w:rsid w:val="000A1445"/>
    <w:rsid w:val="000A5349"/>
    <w:rsid w:val="000B65FC"/>
    <w:rsid w:val="000C41A8"/>
    <w:rsid w:val="000D0473"/>
    <w:rsid w:val="000D5762"/>
    <w:rsid w:val="000F3D45"/>
    <w:rsid w:val="000F6F54"/>
    <w:rsid w:val="00100B00"/>
    <w:rsid w:val="00111EAC"/>
    <w:rsid w:val="00120741"/>
    <w:rsid w:val="00121713"/>
    <w:rsid w:val="001318DB"/>
    <w:rsid w:val="00153E8F"/>
    <w:rsid w:val="00156E44"/>
    <w:rsid w:val="001837A8"/>
    <w:rsid w:val="001B2372"/>
    <w:rsid w:val="001B7AE5"/>
    <w:rsid w:val="001E0AF3"/>
    <w:rsid w:val="001F2922"/>
    <w:rsid w:val="00201F2B"/>
    <w:rsid w:val="00206F31"/>
    <w:rsid w:val="0021415D"/>
    <w:rsid w:val="00215A0F"/>
    <w:rsid w:val="002377F6"/>
    <w:rsid w:val="0024118A"/>
    <w:rsid w:val="00264227"/>
    <w:rsid w:val="002838DC"/>
    <w:rsid w:val="00287507"/>
    <w:rsid w:val="00297A79"/>
    <w:rsid w:val="002B1445"/>
    <w:rsid w:val="002B57FD"/>
    <w:rsid w:val="002C061B"/>
    <w:rsid w:val="002C29B6"/>
    <w:rsid w:val="002E67EF"/>
    <w:rsid w:val="00300AEC"/>
    <w:rsid w:val="0031093C"/>
    <w:rsid w:val="00311C37"/>
    <w:rsid w:val="003466D1"/>
    <w:rsid w:val="00376D8F"/>
    <w:rsid w:val="003854D7"/>
    <w:rsid w:val="003B2676"/>
    <w:rsid w:val="003C00D1"/>
    <w:rsid w:val="003C0839"/>
    <w:rsid w:val="003C20C5"/>
    <w:rsid w:val="003F00E7"/>
    <w:rsid w:val="003F142F"/>
    <w:rsid w:val="00406A97"/>
    <w:rsid w:val="00406FA1"/>
    <w:rsid w:val="0041109E"/>
    <w:rsid w:val="00417DEA"/>
    <w:rsid w:val="00422CBC"/>
    <w:rsid w:val="0043075C"/>
    <w:rsid w:val="00437142"/>
    <w:rsid w:val="0044408A"/>
    <w:rsid w:val="00461E47"/>
    <w:rsid w:val="00471193"/>
    <w:rsid w:val="0047229E"/>
    <w:rsid w:val="00474D9A"/>
    <w:rsid w:val="004930C7"/>
    <w:rsid w:val="004C0E85"/>
    <w:rsid w:val="004C700B"/>
    <w:rsid w:val="004D7BBD"/>
    <w:rsid w:val="00507234"/>
    <w:rsid w:val="00542270"/>
    <w:rsid w:val="00544D35"/>
    <w:rsid w:val="005537FC"/>
    <w:rsid w:val="005A427F"/>
    <w:rsid w:val="005A5F0D"/>
    <w:rsid w:val="005C4218"/>
    <w:rsid w:val="005C77A3"/>
    <w:rsid w:val="005E5B0A"/>
    <w:rsid w:val="005F3C09"/>
    <w:rsid w:val="005F5EB4"/>
    <w:rsid w:val="00605140"/>
    <w:rsid w:val="0061118B"/>
    <w:rsid w:val="006176AC"/>
    <w:rsid w:val="00620E29"/>
    <w:rsid w:val="0062344F"/>
    <w:rsid w:val="00625279"/>
    <w:rsid w:val="00642B62"/>
    <w:rsid w:val="006447EF"/>
    <w:rsid w:val="00651E0E"/>
    <w:rsid w:val="006527A3"/>
    <w:rsid w:val="00684733"/>
    <w:rsid w:val="006913C0"/>
    <w:rsid w:val="00693B1E"/>
    <w:rsid w:val="006A01EA"/>
    <w:rsid w:val="006A6FE1"/>
    <w:rsid w:val="006B04E2"/>
    <w:rsid w:val="006B3C46"/>
    <w:rsid w:val="006C25F2"/>
    <w:rsid w:val="006C7B78"/>
    <w:rsid w:val="006D0A56"/>
    <w:rsid w:val="006D685E"/>
    <w:rsid w:val="006E692C"/>
    <w:rsid w:val="006F399C"/>
    <w:rsid w:val="00722CCA"/>
    <w:rsid w:val="0073193A"/>
    <w:rsid w:val="00737049"/>
    <w:rsid w:val="00742B15"/>
    <w:rsid w:val="00755858"/>
    <w:rsid w:val="007622AA"/>
    <w:rsid w:val="007677E5"/>
    <w:rsid w:val="007712AA"/>
    <w:rsid w:val="00771568"/>
    <w:rsid w:val="00790DDE"/>
    <w:rsid w:val="007A6394"/>
    <w:rsid w:val="007E3373"/>
    <w:rsid w:val="00804B10"/>
    <w:rsid w:val="00824358"/>
    <w:rsid w:val="0083668E"/>
    <w:rsid w:val="008512D5"/>
    <w:rsid w:val="0086029F"/>
    <w:rsid w:val="00866E39"/>
    <w:rsid w:val="008740A3"/>
    <w:rsid w:val="0088267F"/>
    <w:rsid w:val="00882BDA"/>
    <w:rsid w:val="008A0153"/>
    <w:rsid w:val="008A24B5"/>
    <w:rsid w:val="008A4BAC"/>
    <w:rsid w:val="008B7EA4"/>
    <w:rsid w:val="008D1FED"/>
    <w:rsid w:val="008D7369"/>
    <w:rsid w:val="008F51D7"/>
    <w:rsid w:val="00910316"/>
    <w:rsid w:val="009142B5"/>
    <w:rsid w:val="009222DD"/>
    <w:rsid w:val="00927960"/>
    <w:rsid w:val="009324F4"/>
    <w:rsid w:val="00932F29"/>
    <w:rsid w:val="009367BC"/>
    <w:rsid w:val="00970A04"/>
    <w:rsid w:val="0099088F"/>
    <w:rsid w:val="00993671"/>
    <w:rsid w:val="009A79F5"/>
    <w:rsid w:val="009B04C7"/>
    <w:rsid w:val="009B667A"/>
    <w:rsid w:val="009C03DB"/>
    <w:rsid w:val="009C2B0F"/>
    <w:rsid w:val="009D275F"/>
    <w:rsid w:val="009D2A7C"/>
    <w:rsid w:val="009F2BF6"/>
    <w:rsid w:val="00A3033D"/>
    <w:rsid w:val="00A31565"/>
    <w:rsid w:val="00A34D29"/>
    <w:rsid w:val="00A36A03"/>
    <w:rsid w:val="00A6415D"/>
    <w:rsid w:val="00A761D2"/>
    <w:rsid w:val="00A767BC"/>
    <w:rsid w:val="00A83CFF"/>
    <w:rsid w:val="00A87A8C"/>
    <w:rsid w:val="00A87ABD"/>
    <w:rsid w:val="00A92299"/>
    <w:rsid w:val="00AB30A8"/>
    <w:rsid w:val="00AC098A"/>
    <w:rsid w:val="00AC6258"/>
    <w:rsid w:val="00AE6E3A"/>
    <w:rsid w:val="00AF6ACF"/>
    <w:rsid w:val="00B01F10"/>
    <w:rsid w:val="00B14E9C"/>
    <w:rsid w:val="00B300F0"/>
    <w:rsid w:val="00B32F6E"/>
    <w:rsid w:val="00B3580A"/>
    <w:rsid w:val="00B44FF2"/>
    <w:rsid w:val="00BA2359"/>
    <w:rsid w:val="00BA68DD"/>
    <w:rsid w:val="00BB6E00"/>
    <w:rsid w:val="00C00D25"/>
    <w:rsid w:val="00C33C2D"/>
    <w:rsid w:val="00C631E0"/>
    <w:rsid w:val="00C74121"/>
    <w:rsid w:val="00C77456"/>
    <w:rsid w:val="00C9421D"/>
    <w:rsid w:val="00CC3C72"/>
    <w:rsid w:val="00CE2769"/>
    <w:rsid w:val="00CE74DE"/>
    <w:rsid w:val="00D0211B"/>
    <w:rsid w:val="00D034A5"/>
    <w:rsid w:val="00D11049"/>
    <w:rsid w:val="00D223A7"/>
    <w:rsid w:val="00D224F8"/>
    <w:rsid w:val="00D40BCD"/>
    <w:rsid w:val="00D626D1"/>
    <w:rsid w:val="00D62E5E"/>
    <w:rsid w:val="00DB6589"/>
    <w:rsid w:val="00DE550B"/>
    <w:rsid w:val="00E02FCB"/>
    <w:rsid w:val="00E05A5B"/>
    <w:rsid w:val="00E17EEB"/>
    <w:rsid w:val="00E71141"/>
    <w:rsid w:val="00E73469"/>
    <w:rsid w:val="00E76007"/>
    <w:rsid w:val="00E90D12"/>
    <w:rsid w:val="00EA4B97"/>
    <w:rsid w:val="00EB6611"/>
    <w:rsid w:val="00EC4D58"/>
    <w:rsid w:val="00ED0AD4"/>
    <w:rsid w:val="00EE766B"/>
    <w:rsid w:val="00EE7D75"/>
    <w:rsid w:val="00EF3BB2"/>
    <w:rsid w:val="00F143D8"/>
    <w:rsid w:val="00F146D5"/>
    <w:rsid w:val="00F24FCF"/>
    <w:rsid w:val="00F311EA"/>
    <w:rsid w:val="00F408A7"/>
    <w:rsid w:val="00F460D5"/>
    <w:rsid w:val="00F51F7F"/>
    <w:rsid w:val="00F52086"/>
    <w:rsid w:val="00F74C70"/>
    <w:rsid w:val="00F76A89"/>
    <w:rsid w:val="00F943B8"/>
    <w:rsid w:val="00FA321B"/>
    <w:rsid w:val="00FB0D60"/>
    <w:rsid w:val="00FC6876"/>
    <w:rsid w:val="00FE7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8759FA"/>
  <w15:docId w15:val="{A0CCA9DB-177E-4CB9-A678-38257B2C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rPr>
      <w:color w:val="000000"/>
      <w:sz w:val="22"/>
      <w:szCs w:val="22"/>
    </w:rPr>
    <w:tblPr>
      <w:tblStyleRowBandSize w:val="1"/>
      <w:tblStyleColBandSize w:val="1"/>
      <w:tblCellMar>
        <w:left w:w="108" w:type="dxa"/>
        <w:right w:w="108" w:type="dxa"/>
      </w:tblCellMar>
    </w:tblPr>
  </w:style>
  <w:style w:type="table" w:customStyle="1" w:styleId="a1">
    <w:basedOn w:val="TableNormal0"/>
    <w:rPr>
      <w:color w:val="000000"/>
      <w:sz w:val="22"/>
      <w:szCs w:val="22"/>
    </w:rPr>
    <w:tblPr>
      <w:tblStyleRowBandSize w:val="1"/>
      <w:tblStyleColBandSize w:val="1"/>
      <w:tblCellMar>
        <w:left w:w="108" w:type="dxa"/>
        <w:right w:w="108" w:type="dxa"/>
      </w:tblCellMar>
    </w:tblPr>
  </w:style>
  <w:style w:type="table" w:customStyle="1" w:styleId="a2">
    <w:basedOn w:val="TableNormal0"/>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0"/>
    <w:rPr>
      <w:color w:val="000000"/>
      <w:sz w:val="22"/>
      <w:szCs w:val="22"/>
    </w:rPr>
    <w:tblPr>
      <w:tblStyleRowBandSize w:val="1"/>
      <w:tblStyleColBandSize w:val="1"/>
      <w:tblCellMar>
        <w:left w:w="108" w:type="dxa"/>
        <w:right w:w="108" w:type="dxa"/>
      </w:tblCellMar>
    </w:tblPr>
  </w:style>
  <w:style w:type="table" w:customStyle="1" w:styleId="a4">
    <w:basedOn w:val="TableNormal0"/>
    <w:rPr>
      <w:color w:val="000000"/>
      <w:sz w:val="22"/>
      <w:szCs w:val="22"/>
    </w:rPr>
    <w:tblPr>
      <w:tblStyleRowBandSize w:val="1"/>
      <w:tblStyleColBandSize w:val="1"/>
      <w:tblCellMar>
        <w:left w:w="108" w:type="dxa"/>
        <w:right w:w="108" w:type="dxa"/>
      </w:tblCellMar>
    </w:tblPr>
  </w:style>
  <w:style w:type="table" w:customStyle="1" w:styleId="a5">
    <w:basedOn w:val="TableNormal0"/>
    <w:rPr>
      <w:color w:val="000000"/>
      <w:sz w:val="22"/>
      <w:szCs w:val="22"/>
    </w:rPr>
    <w:tblPr>
      <w:tblStyleRowBandSize w:val="1"/>
      <w:tblStyleColBandSize w:val="1"/>
      <w:tblCellMar>
        <w:left w:w="108" w:type="dxa"/>
        <w:right w:w="108" w:type="dxa"/>
      </w:tblCellMar>
    </w:tblPr>
  </w:style>
  <w:style w:type="table" w:customStyle="1" w:styleId="a6">
    <w:basedOn w:val="TableNormal0"/>
    <w:rPr>
      <w:color w:val="000000"/>
      <w:sz w:val="22"/>
      <w:szCs w:val="22"/>
    </w:rPr>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C00D25"/>
    <w:rPr>
      <w:sz w:val="20"/>
      <w:szCs w:val="20"/>
    </w:rPr>
  </w:style>
  <w:style w:type="character" w:customStyle="1" w:styleId="TextonotaalfinalCar">
    <w:name w:val="Texto nota al final Car"/>
    <w:basedOn w:val="Fuentedeprrafopredeter"/>
    <w:link w:val="Textonotaalfinal"/>
    <w:uiPriority w:val="99"/>
    <w:semiHidden/>
    <w:rsid w:val="00C00D25"/>
    <w:rPr>
      <w:sz w:val="20"/>
      <w:szCs w:val="20"/>
    </w:rPr>
  </w:style>
  <w:style w:type="character" w:styleId="Refdenotaalfinal">
    <w:name w:val="endnote reference"/>
    <w:basedOn w:val="Fuentedeprrafopredeter"/>
    <w:uiPriority w:val="99"/>
    <w:semiHidden/>
    <w:unhideWhenUsed/>
    <w:rsid w:val="00C00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105">
      <w:bodyDiv w:val="1"/>
      <w:marLeft w:val="0"/>
      <w:marRight w:val="0"/>
      <w:marTop w:val="0"/>
      <w:marBottom w:val="0"/>
      <w:divBdr>
        <w:top w:val="none" w:sz="0" w:space="0" w:color="auto"/>
        <w:left w:val="none" w:sz="0" w:space="0" w:color="auto"/>
        <w:bottom w:val="none" w:sz="0" w:space="0" w:color="auto"/>
        <w:right w:val="none" w:sz="0" w:space="0" w:color="auto"/>
      </w:divBdr>
    </w:div>
    <w:div w:id="317731321">
      <w:bodyDiv w:val="1"/>
      <w:marLeft w:val="0"/>
      <w:marRight w:val="0"/>
      <w:marTop w:val="0"/>
      <w:marBottom w:val="0"/>
      <w:divBdr>
        <w:top w:val="none" w:sz="0" w:space="0" w:color="auto"/>
        <w:left w:val="none" w:sz="0" w:space="0" w:color="auto"/>
        <w:bottom w:val="none" w:sz="0" w:space="0" w:color="auto"/>
        <w:right w:val="none" w:sz="0" w:space="0" w:color="auto"/>
      </w:divBdr>
      <w:divsChild>
        <w:div w:id="1940529364">
          <w:marLeft w:val="0"/>
          <w:marRight w:val="0"/>
          <w:marTop w:val="240"/>
          <w:marBottom w:val="0"/>
          <w:divBdr>
            <w:top w:val="none" w:sz="0" w:space="0" w:color="auto"/>
            <w:left w:val="none" w:sz="0" w:space="0" w:color="auto"/>
            <w:bottom w:val="none" w:sz="0" w:space="0" w:color="auto"/>
            <w:right w:val="none" w:sz="0" w:space="0" w:color="auto"/>
          </w:divBdr>
        </w:div>
        <w:div w:id="1732195902">
          <w:marLeft w:val="0"/>
          <w:marRight w:val="0"/>
          <w:marTop w:val="0"/>
          <w:marBottom w:val="450"/>
          <w:divBdr>
            <w:top w:val="none" w:sz="0" w:space="0" w:color="auto"/>
            <w:left w:val="none" w:sz="0" w:space="0" w:color="auto"/>
            <w:bottom w:val="none" w:sz="0" w:space="0" w:color="auto"/>
            <w:right w:val="none" w:sz="0" w:space="0" w:color="auto"/>
          </w:divBdr>
          <w:divsChild>
            <w:div w:id="19915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558">
      <w:bodyDiv w:val="1"/>
      <w:marLeft w:val="0"/>
      <w:marRight w:val="0"/>
      <w:marTop w:val="0"/>
      <w:marBottom w:val="0"/>
      <w:divBdr>
        <w:top w:val="none" w:sz="0" w:space="0" w:color="auto"/>
        <w:left w:val="none" w:sz="0" w:space="0" w:color="auto"/>
        <w:bottom w:val="none" w:sz="0" w:space="0" w:color="auto"/>
        <w:right w:val="none" w:sz="0" w:space="0" w:color="auto"/>
      </w:divBdr>
    </w:div>
    <w:div w:id="407728483">
      <w:bodyDiv w:val="1"/>
      <w:marLeft w:val="0"/>
      <w:marRight w:val="0"/>
      <w:marTop w:val="0"/>
      <w:marBottom w:val="0"/>
      <w:divBdr>
        <w:top w:val="none" w:sz="0" w:space="0" w:color="auto"/>
        <w:left w:val="none" w:sz="0" w:space="0" w:color="auto"/>
        <w:bottom w:val="none" w:sz="0" w:space="0" w:color="auto"/>
        <w:right w:val="none" w:sz="0" w:space="0" w:color="auto"/>
      </w:divBdr>
    </w:div>
    <w:div w:id="456876908">
      <w:bodyDiv w:val="1"/>
      <w:marLeft w:val="0"/>
      <w:marRight w:val="0"/>
      <w:marTop w:val="0"/>
      <w:marBottom w:val="0"/>
      <w:divBdr>
        <w:top w:val="none" w:sz="0" w:space="0" w:color="auto"/>
        <w:left w:val="none" w:sz="0" w:space="0" w:color="auto"/>
        <w:bottom w:val="none" w:sz="0" w:space="0" w:color="auto"/>
        <w:right w:val="none" w:sz="0" w:space="0" w:color="auto"/>
      </w:divBdr>
    </w:div>
    <w:div w:id="462046210">
      <w:bodyDiv w:val="1"/>
      <w:marLeft w:val="0"/>
      <w:marRight w:val="0"/>
      <w:marTop w:val="0"/>
      <w:marBottom w:val="0"/>
      <w:divBdr>
        <w:top w:val="none" w:sz="0" w:space="0" w:color="auto"/>
        <w:left w:val="none" w:sz="0" w:space="0" w:color="auto"/>
        <w:bottom w:val="none" w:sz="0" w:space="0" w:color="auto"/>
        <w:right w:val="none" w:sz="0" w:space="0" w:color="auto"/>
      </w:divBdr>
    </w:div>
    <w:div w:id="766730972">
      <w:bodyDiv w:val="1"/>
      <w:marLeft w:val="0"/>
      <w:marRight w:val="0"/>
      <w:marTop w:val="0"/>
      <w:marBottom w:val="0"/>
      <w:divBdr>
        <w:top w:val="none" w:sz="0" w:space="0" w:color="auto"/>
        <w:left w:val="none" w:sz="0" w:space="0" w:color="auto"/>
        <w:bottom w:val="none" w:sz="0" w:space="0" w:color="auto"/>
        <w:right w:val="none" w:sz="0" w:space="0" w:color="auto"/>
      </w:divBdr>
    </w:div>
    <w:div w:id="980577743">
      <w:bodyDiv w:val="1"/>
      <w:marLeft w:val="0"/>
      <w:marRight w:val="0"/>
      <w:marTop w:val="0"/>
      <w:marBottom w:val="0"/>
      <w:divBdr>
        <w:top w:val="none" w:sz="0" w:space="0" w:color="auto"/>
        <w:left w:val="none" w:sz="0" w:space="0" w:color="auto"/>
        <w:bottom w:val="none" w:sz="0" w:space="0" w:color="auto"/>
        <w:right w:val="none" w:sz="0" w:space="0" w:color="auto"/>
      </w:divBdr>
    </w:div>
    <w:div w:id="1000279593">
      <w:bodyDiv w:val="1"/>
      <w:marLeft w:val="0"/>
      <w:marRight w:val="0"/>
      <w:marTop w:val="0"/>
      <w:marBottom w:val="0"/>
      <w:divBdr>
        <w:top w:val="none" w:sz="0" w:space="0" w:color="auto"/>
        <w:left w:val="none" w:sz="0" w:space="0" w:color="auto"/>
        <w:bottom w:val="none" w:sz="0" w:space="0" w:color="auto"/>
        <w:right w:val="none" w:sz="0" w:space="0" w:color="auto"/>
      </w:divBdr>
    </w:div>
    <w:div w:id="1015380214">
      <w:bodyDiv w:val="1"/>
      <w:marLeft w:val="0"/>
      <w:marRight w:val="0"/>
      <w:marTop w:val="0"/>
      <w:marBottom w:val="0"/>
      <w:divBdr>
        <w:top w:val="none" w:sz="0" w:space="0" w:color="auto"/>
        <w:left w:val="none" w:sz="0" w:space="0" w:color="auto"/>
        <w:bottom w:val="none" w:sz="0" w:space="0" w:color="auto"/>
        <w:right w:val="none" w:sz="0" w:space="0" w:color="auto"/>
      </w:divBdr>
    </w:div>
    <w:div w:id="1059282566">
      <w:bodyDiv w:val="1"/>
      <w:marLeft w:val="0"/>
      <w:marRight w:val="0"/>
      <w:marTop w:val="0"/>
      <w:marBottom w:val="0"/>
      <w:divBdr>
        <w:top w:val="none" w:sz="0" w:space="0" w:color="auto"/>
        <w:left w:val="none" w:sz="0" w:space="0" w:color="auto"/>
        <w:bottom w:val="none" w:sz="0" w:space="0" w:color="auto"/>
        <w:right w:val="none" w:sz="0" w:space="0" w:color="auto"/>
      </w:divBdr>
    </w:div>
    <w:div w:id="1241253103">
      <w:bodyDiv w:val="1"/>
      <w:marLeft w:val="0"/>
      <w:marRight w:val="0"/>
      <w:marTop w:val="0"/>
      <w:marBottom w:val="0"/>
      <w:divBdr>
        <w:top w:val="none" w:sz="0" w:space="0" w:color="auto"/>
        <w:left w:val="none" w:sz="0" w:space="0" w:color="auto"/>
        <w:bottom w:val="none" w:sz="0" w:space="0" w:color="auto"/>
        <w:right w:val="none" w:sz="0" w:space="0" w:color="auto"/>
      </w:divBdr>
      <w:divsChild>
        <w:div w:id="1280181260">
          <w:marLeft w:val="0"/>
          <w:marRight w:val="0"/>
          <w:marTop w:val="240"/>
          <w:marBottom w:val="0"/>
          <w:divBdr>
            <w:top w:val="none" w:sz="0" w:space="0" w:color="auto"/>
            <w:left w:val="none" w:sz="0" w:space="0" w:color="auto"/>
            <w:bottom w:val="none" w:sz="0" w:space="0" w:color="auto"/>
            <w:right w:val="none" w:sz="0" w:space="0" w:color="auto"/>
          </w:divBdr>
        </w:div>
        <w:div w:id="1360471611">
          <w:marLeft w:val="0"/>
          <w:marRight w:val="0"/>
          <w:marTop w:val="0"/>
          <w:marBottom w:val="450"/>
          <w:divBdr>
            <w:top w:val="none" w:sz="0" w:space="0" w:color="auto"/>
            <w:left w:val="none" w:sz="0" w:space="0" w:color="auto"/>
            <w:bottom w:val="none" w:sz="0" w:space="0" w:color="auto"/>
            <w:right w:val="none" w:sz="0" w:space="0" w:color="auto"/>
          </w:divBdr>
          <w:divsChild>
            <w:div w:id="973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7918">
      <w:bodyDiv w:val="1"/>
      <w:marLeft w:val="0"/>
      <w:marRight w:val="0"/>
      <w:marTop w:val="0"/>
      <w:marBottom w:val="0"/>
      <w:divBdr>
        <w:top w:val="none" w:sz="0" w:space="0" w:color="auto"/>
        <w:left w:val="none" w:sz="0" w:space="0" w:color="auto"/>
        <w:bottom w:val="none" w:sz="0" w:space="0" w:color="auto"/>
        <w:right w:val="none" w:sz="0" w:space="0" w:color="auto"/>
      </w:divBdr>
    </w:div>
    <w:div w:id="1302417073">
      <w:bodyDiv w:val="1"/>
      <w:marLeft w:val="0"/>
      <w:marRight w:val="0"/>
      <w:marTop w:val="0"/>
      <w:marBottom w:val="0"/>
      <w:divBdr>
        <w:top w:val="none" w:sz="0" w:space="0" w:color="auto"/>
        <w:left w:val="none" w:sz="0" w:space="0" w:color="auto"/>
        <w:bottom w:val="none" w:sz="0" w:space="0" w:color="auto"/>
        <w:right w:val="none" w:sz="0" w:space="0" w:color="auto"/>
      </w:divBdr>
    </w:div>
    <w:div w:id="1491676578">
      <w:bodyDiv w:val="1"/>
      <w:marLeft w:val="0"/>
      <w:marRight w:val="0"/>
      <w:marTop w:val="0"/>
      <w:marBottom w:val="0"/>
      <w:divBdr>
        <w:top w:val="none" w:sz="0" w:space="0" w:color="auto"/>
        <w:left w:val="none" w:sz="0" w:space="0" w:color="auto"/>
        <w:bottom w:val="none" w:sz="0" w:space="0" w:color="auto"/>
        <w:right w:val="none" w:sz="0" w:space="0" w:color="auto"/>
      </w:divBdr>
    </w:div>
    <w:div w:id="1508859253">
      <w:bodyDiv w:val="1"/>
      <w:marLeft w:val="0"/>
      <w:marRight w:val="0"/>
      <w:marTop w:val="0"/>
      <w:marBottom w:val="0"/>
      <w:divBdr>
        <w:top w:val="none" w:sz="0" w:space="0" w:color="auto"/>
        <w:left w:val="none" w:sz="0" w:space="0" w:color="auto"/>
        <w:bottom w:val="none" w:sz="0" w:space="0" w:color="auto"/>
        <w:right w:val="none" w:sz="0" w:space="0" w:color="auto"/>
      </w:divBdr>
    </w:div>
    <w:div w:id="1850292348">
      <w:bodyDiv w:val="1"/>
      <w:marLeft w:val="0"/>
      <w:marRight w:val="0"/>
      <w:marTop w:val="0"/>
      <w:marBottom w:val="0"/>
      <w:divBdr>
        <w:top w:val="none" w:sz="0" w:space="0" w:color="auto"/>
        <w:left w:val="none" w:sz="0" w:space="0" w:color="auto"/>
        <w:bottom w:val="none" w:sz="0" w:space="0" w:color="auto"/>
        <w:right w:val="none" w:sz="0" w:space="0" w:color="auto"/>
      </w:divBdr>
    </w:div>
    <w:div w:id="1861384140">
      <w:bodyDiv w:val="1"/>
      <w:marLeft w:val="0"/>
      <w:marRight w:val="0"/>
      <w:marTop w:val="0"/>
      <w:marBottom w:val="0"/>
      <w:divBdr>
        <w:top w:val="none" w:sz="0" w:space="0" w:color="auto"/>
        <w:left w:val="none" w:sz="0" w:space="0" w:color="auto"/>
        <w:bottom w:val="none" w:sz="0" w:space="0" w:color="auto"/>
        <w:right w:val="none" w:sz="0" w:space="0" w:color="auto"/>
      </w:divBdr>
    </w:div>
    <w:div w:id="202994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uOCgBKoedhvLyTLGn1IeMimA==">CgMxLjAyCGguZ2pkZ3hzMgloLjMwajB6bGwyCWguMWZvYjl0ZTIOaC53ZWUydGtkMWVxM2wyCWguM3pueXNoNzIJaC4yZXQ5MnAwMghoLnR5amN3dDIJaC4zZHk2dmttMgloLjF0M2g1c2YyCWguNGQzNG9nODIJaC4xN2RwOHZ1MgloLjNyZGNyam4yCWguMjZpbjFyZzIIaC5sbnhiejk4AHIhMTBac3gyQkpRejNtV0E0QW5iY01jRVAxQTBudEhzeGQx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ED7747-9A32-4CE4-B08E-9CDDA914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34</Pages>
  <Words>7760</Words>
  <Characters>42682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luisa</cp:lastModifiedBy>
  <cp:revision>9</cp:revision>
  <cp:lastPrinted>2024-08-23T04:29:00Z</cp:lastPrinted>
  <dcterms:created xsi:type="dcterms:W3CDTF">2024-08-15T16:15:00Z</dcterms:created>
  <dcterms:modified xsi:type="dcterms:W3CDTF">2024-08-23T04:29:00Z</dcterms:modified>
</cp:coreProperties>
</file>