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E30E4" w14:textId="77777777" w:rsidR="002D6A2D" w:rsidRPr="00E03501" w:rsidRDefault="00354D75" w:rsidP="00E03501">
      <w:pPr>
        <w:keepNext/>
        <w:keepLines/>
        <w:pBdr>
          <w:top w:val="nil"/>
          <w:left w:val="nil"/>
          <w:bottom w:val="nil"/>
          <w:right w:val="nil"/>
          <w:between w:val="nil"/>
        </w:pBdr>
        <w:spacing w:before="240" w:line="259" w:lineRule="auto"/>
        <w:jc w:val="left"/>
        <w:rPr>
          <w:rFonts w:ascii="Play" w:eastAsia="Play" w:hAnsi="Play" w:cs="Play"/>
          <w:sz w:val="32"/>
          <w:szCs w:val="32"/>
        </w:rPr>
      </w:pPr>
      <w:r w:rsidRPr="00E03501">
        <w:rPr>
          <w:rFonts w:ascii="Play" w:eastAsia="Play" w:hAnsi="Play" w:cs="Play"/>
          <w:sz w:val="32"/>
          <w:szCs w:val="32"/>
        </w:rPr>
        <w:t>Contenido</w:t>
      </w:r>
    </w:p>
    <w:sdt>
      <w:sdtPr>
        <w:id w:val="72488405"/>
        <w:docPartObj>
          <w:docPartGallery w:val="Table of Contents"/>
          <w:docPartUnique/>
        </w:docPartObj>
      </w:sdtPr>
      <w:sdtEndPr/>
      <w:sdtContent>
        <w:p w14:paraId="77368958" w14:textId="77777777" w:rsidR="002D6A2D" w:rsidRPr="00E03501" w:rsidRDefault="00354D75" w:rsidP="00E03501">
          <w:pPr>
            <w:pBdr>
              <w:top w:val="nil"/>
              <w:left w:val="nil"/>
              <w:bottom w:val="nil"/>
              <w:right w:val="nil"/>
              <w:between w:val="nil"/>
            </w:pBdr>
            <w:tabs>
              <w:tab w:val="right" w:pos="9034"/>
            </w:tabs>
            <w:spacing w:after="100"/>
            <w:rPr>
              <w:rFonts w:ascii="Aptos" w:eastAsia="Aptos" w:hAnsi="Aptos" w:cs="Aptos"/>
              <w:szCs w:val="22"/>
            </w:rPr>
          </w:pPr>
          <w:r w:rsidRPr="00E03501">
            <w:fldChar w:fldCharType="begin"/>
          </w:r>
          <w:r w:rsidRPr="00E03501">
            <w:instrText xml:space="preserve"> TOC \h \u \z \t "Heading 1,1,Heading 2,2,Heading 3,3,"</w:instrText>
          </w:r>
          <w:r w:rsidRPr="00E03501">
            <w:fldChar w:fldCharType="separate"/>
          </w:r>
          <w:hyperlink w:anchor="_heading=h.3dy6vkm">
            <w:r w:rsidRPr="00E03501">
              <w:rPr>
                <w:rFonts w:eastAsia="Palatino Linotype" w:cs="Palatino Linotype"/>
                <w:szCs w:val="22"/>
              </w:rPr>
              <w:t>ANTECEDENTES</w:t>
            </w:r>
            <w:r w:rsidRPr="00E03501">
              <w:rPr>
                <w:rFonts w:eastAsia="Palatino Linotype" w:cs="Palatino Linotype"/>
                <w:szCs w:val="22"/>
              </w:rPr>
              <w:tab/>
              <w:t>1</w:t>
            </w:r>
          </w:hyperlink>
        </w:p>
        <w:p w14:paraId="023FF22E" w14:textId="77777777" w:rsidR="002D6A2D" w:rsidRPr="00E03501" w:rsidRDefault="00A13D7B" w:rsidP="00E03501">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t3h5sf">
            <w:r w:rsidR="00354D75" w:rsidRPr="00E03501">
              <w:rPr>
                <w:rFonts w:eastAsia="Palatino Linotype" w:cs="Palatino Linotype"/>
                <w:szCs w:val="22"/>
              </w:rPr>
              <w:t>DE LA SOLICITUD DE INFORMACIÓN</w:t>
            </w:r>
            <w:r w:rsidR="00354D75" w:rsidRPr="00E03501">
              <w:rPr>
                <w:rFonts w:eastAsia="Palatino Linotype" w:cs="Palatino Linotype"/>
                <w:szCs w:val="22"/>
              </w:rPr>
              <w:tab/>
              <w:t>1</w:t>
            </w:r>
          </w:hyperlink>
        </w:p>
        <w:p w14:paraId="6A3A6FE7" w14:textId="77777777" w:rsidR="002D6A2D" w:rsidRPr="00E03501" w:rsidRDefault="00A13D7B" w:rsidP="00E0350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lnxbz9">
            <w:r w:rsidR="00354D75" w:rsidRPr="00E03501">
              <w:rPr>
                <w:rFonts w:eastAsia="Palatino Linotype" w:cs="Palatino Linotype"/>
                <w:szCs w:val="22"/>
              </w:rPr>
              <w:t>a) Solicitud de información</w:t>
            </w:r>
            <w:r w:rsidR="00354D75" w:rsidRPr="00E03501">
              <w:rPr>
                <w:rFonts w:eastAsia="Palatino Linotype" w:cs="Palatino Linotype"/>
                <w:szCs w:val="22"/>
              </w:rPr>
              <w:tab/>
              <w:t>1</w:t>
            </w:r>
          </w:hyperlink>
        </w:p>
        <w:p w14:paraId="5EE3DCAA" w14:textId="77777777" w:rsidR="002D6A2D" w:rsidRPr="00E03501" w:rsidRDefault="00A13D7B" w:rsidP="00E0350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5nkun2">
            <w:r w:rsidR="00354D75" w:rsidRPr="00E03501">
              <w:rPr>
                <w:rFonts w:eastAsia="Palatino Linotype" w:cs="Palatino Linotype"/>
                <w:szCs w:val="22"/>
              </w:rPr>
              <w:t>b) Turno de la solicitud de información</w:t>
            </w:r>
            <w:r w:rsidR="00354D75" w:rsidRPr="00E03501">
              <w:rPr>
                <w:rFonts w:eastAsia="Palatino Linotype" w:cs="Palatino Linotype"/>
                <w:szCs w:val="22"/>
              </w:rPr>
              <w:tab/>
              <w:t>2</w:t>
            </w:r>
          </w:hyperlink>
        </w:p>
        <w:p w14:paraId="66955E3E" w14:textId="77777777" w:rsidR="002D6A2D" w:rsidRPr="00E03501" w:rsidRDefault="00A13D7B" w:rsidP="00E0350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as4poj">
            <w:r w:rsidR="00354D75" w:rsidRPr="00E03501">
              <w:rPr>
                <w:rFonts w:eastAsia="Palatino Linotype" w:cs="Palatino Linotype"/>
                <w:szCs w:val="22"/>
              </w:rPr>
              <w:t>c) Prórroga</w:t>
            </w:r>
            <w:r w:rsidR="00354D75" w:rsidRPr="00E03501">
              <w:rPr>
                <w:rFonts w:eastAsia="Palatino Linotype" w:cs="Palatino Linotype"/>
                <w:szCs w:val="22"/>
              </w:rPr>
              <w:tab/>
              <w:t>3</w:t>
            </w:r>
          </w:hyperlink>
        </w:p>
        <w:p w14:paraId="0B4D4D5D" w14:textId="77777777" w:rsidR="002D6A2D" w:rsidRPr="00E03501" w:rsidRDefault="00A13D7B" w:rsidP="00E0350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1mghml">
            <w:r w:rsidR="00354D75" w:rsidRPr="00E03501">
              <w:rPr>
                <w:rFonts w:eastAsia="Palatino Linotype" w:cs="Palatino Linotype"/>
                <w:szCs w:val="22"/>
              </w:rPr>
              <w:t>d) Respuesta del Sujeto Obligado</w:t>
            </w:r>
            <w:r w:rsidR="00354D75" w:rsidRPr="00E03501">
              <w:rPr>
                <w:rFonts w:eastAsia="Palatino Linotype" w:cs="Palatino Linotype"/>
                <w:szCs w:val="22"/>
              </w:rPr>
              <w:tab/>
              <w:t>3</w:t>
            </w:r>
          </w:hyperlink>
        </w:p>
        <w:p w14:paraId="2F9D9E49" w14:textId="77777777" w:rsidR="002D6A2D" w:rsidRPr="00E03501" w:rsidRDefault="00A13D7B" w:rsidP="00E03501">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grqrue">
            <w:r w:rsidR="00354D75" w:rsidRPr="00E03501">
              <w:rPr>
                <w:rFonts w:eastAsia="Palatino Linotype" w:cs="Palatino Linotype"/>
                <w:szCs w:val="22"/>
              </w:rPr>
              <w:t>DEL RECURSO DE REVISIÓN</w:t>
            </w:r>
            <w:r w:rsidR="00354D75" w:rsidRPr="00E03501">
              <w:rPr>
                <w:rFonts w:eastAsia="Palatino Linotype" w:cs="Palatino Linotype"/>
                <w:szCs w:val="22"/>
              </w:rPr>
              <w:tab/>
              <w:t>6</w:t>
            </w:r>
          </w:hyperlink>
        </w:p>
        <w:p w14:paraId="4CCE2485" w14:textId="77777777" w:rsidR="002D6A2D" w:rsidRPr="00E03501" w:rsidRDefault="00A13D7B" w:rsidP="00E0350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vx1227">
            <w:r w:rsidR="00354D75" w:rsidRPr="00E03501">
              <w:rPr>
                <w:rFonts w:eastAsia="Palatino Linotype" w:cs="Palatino Linotype"/>
                <w:szCs w:val="22"/>
              </w:rPr>
              <w:t>a) Interposición del Recurso de Revisión</w:t>
            </w:r>
            <w:r w:rsidR="00354D75" w:rsidRPr="00E03501">
              <w:rPr>
                <w:rFonts w:eastAsia="Palatino Linotype" w:cs="Palatino Linotype"/>
                <w:szCs w:val="22"/>
              </w:rPr>
              <w:tab/>
              <w:t>6</w:t>
            </w:r>
          </w:hyperlink>
        </w:p>
        <w:p w14:paraId="1B5BDF88" w14:textId="77777777" w:rsidR="002D6A2D" w:rsidRPr="00E03501" w:rsidRDefault="00A13D7B" w:rsidP="00E0350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fwokq0">
            <w:r w:rsidR="00354D75" w:rsidRPr="00E03501">
              <w:rPr>
                <w:rFonts w:eastAsia="Palatino Linotype" w:cs="Palatino Linotype"/>
                <w:szCs w:val="22"/>
              </w:rPr>
              <w:t>b) Turno del Recurso de Revisión</w:t>
            </w:r>
            <w:r w:rsidR="00354D75" w:rsidRPr="00E03501">
              <w:rPr>
                <w:rFonts w:eastAsia="Palatino Linotype" w:cs="Palatino Linotype"/>
                <w:szCs w:val="22"/>
              </w:rPr>
              <w:tab/>
              <w:t>7</w:t>
            </w:r>
          </w:hyperlink>
        </w:p>
        <w:p w14:paraId="2E9B1663" w14:textId="77777777" w:rsidR="002D6A2D" w:rsidRPr="00E03501" w:rsidRDefault="00A13D7B" w:rsidP="00E0350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v1yuxt">
            <w:r w:rsidR="00354D75" w:rsidRPr="00E03501">
              <w:rPr>
                <w:rFonts w:eastAsia="Palatino Linotype" w:cs="Palatino Linotype"/>
                <w:szCs w:val="22"/>
              </w:rPr>
              <w:t>c) Admisión del Recurso de Revisión</w:t>
            </w:r>
            <w:r w:rsidR="00354D75" w:rsidRPr="00E03501">
              <w:rPr>
                <w:rFonts w:eastAsia="Palatino Linotype" w:cs="Palatino Linotype"/>
                <w:szCs w:val="22"/>
              </w:rPr>
              <w:tab/>
              <w:t>7</w:t>
            </w:r>
          </w:hyperlink>
        </w:p>
        <w:p w14:paraId="0EB68D5D" w14:textId="77777777" w:rsidR="002D6A2D" w:rsidRPr="00E03501" w:rsidRDefault="00A13D7B" w:rsidP="00E0350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f1mdlm">
            <w:r w:rsidR="00354D75" w:rsidRPr="00E03501">
              <w:rPr>
                <w:rFonts w:eastAsia="Palatino Linotype" w:cs="Palatino Linotype"/>
                <w:szCs w:val="22"/>
              </w:rPr>
              <w:t>d) Informe Justificado del Sujeto Obligado</w:t>
            </w:r>
            <w:r w:rsidR="00354D75" w:rsidRPr="00E03501">
              <w:rPr>
                <w:rFonts w:eastAsia="Palatino Linotype" w:cs="Palatino Linotype"/>
                <w:szCs w:val="22"/>
              </w:rPr>
              <w:tab/>
              <w:t>8</w:t>
            </w:r>
          </w:hyperlink>
        </w:p>
        <w:p w14:paraId="0C59E182" w14:textId="77777777" w:rsidR="002D6A2D" w:rsidRPr="00E03501" w:rsidRDefault="00A13D7B" w:rsidP="00E0350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u6wntf">
            <w:r w:rsidR="00354D75" w:rsidRPr="00E03501">
              <w:rPr>
                <w:rFonts w:eastAsia="Palatino Linotype" w:cs="Palatino Linotype"/>
                <w:szCs w:val="22"/>
              </w:rPr>
              <w:t>e) Manifestaciones de la Parte Recurrente</w:t>
            </w:r>
            <w:r w:rsidR="00354D75" w:rsidRPr="00E03501">
              <w:rPr>
                <w:rFonts w:eastAsia="Palatino Linotype" w:cs="Palatino Linotype"/>
                <w:szCs w:val="22"/>
              </w:rPr>
              <w:tab/>
              <w:t>8</w:t>
            </w:r>
          </w:hyperlink>
        </w:p>
        <w:p w14:paraId="6F2CFEF5" w14:textId="77777777" w:rsidR="002D6A2D" w:rsidRPr="00E03501" w:rsidRDefault="00A13D7B" w:rsidP="00E0350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9c6y18">
            <w:r w:rsidR="00354D75" w:rsidRPr="00E03501">
              <w:rPr>
                <w:rFonts w:eastAsia="Palatino Linotype" w:cs="Palatino Linotype"/>
                <w:szCs w:val="22"/>
              </w:rPr>
              <w:t>f) Ampliación de plazo para resolver el Recurso de Revisión</w:t>
            </w:r>
            <w:r w:rsidR="00354D75" w:rsidRPr="00E03501">
              <w:rPr>
                <w:rFonts w:eastAsia="Palatino Linotype" w:cs="Palatino Linotype"/>
                <w:szCs w:val="22"/>
              </w:rPr>
              <w:tab/>
              <w:t>8</w:t>
            </w:r>
          </w:hyperlink>
        </w:p>
        <w:p w14:paraId="2C3DE8D4" w14:textId="77777777" w:rsidR="002D6A2D" w:rsidRPr="00E03501" w:rsidRDefault="00A13D7B" w:rsidP="00E0350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tbugp1">
            <w:r w:rsidR="00354D75" w:rsidRPr="00E03501">
              <w:rPr>
                <w:rFonts w:eastAsia="Palatino Linotype" w:cs="Palatino Linotype"/>
                <w:szCs w:val="22"/>
              </w:rPr>
              <w:t>g) Cierre de instrucción</w:t>
            </w:r>
            <w:r w:rsidR="00354D75" w:rsidRPr="00E03501">
              <w:rPr>
                <w:rFonts w:eastAsia="Palatino Linotype" w:cs="Palatino Linotype"/>
                <w:szCs w:val="22"/>
              </w:rPr>
              <w:tab/>
              <w:t>11</w:t>
            </w:r>
          </w:hyperlink>
        </w:p>
        <w:p w14:paraId="5E19CF2D" w14:textId="77777777" w:rsidR="002D6A2D" w:rsidRPr="00E03501" w:rsidRDefault="00A13D7B" w:rsidP="00E03501">
          <w:pPr>
            <w:pBdr>
              <w:top w:val="nil"/>
              <w:left w:val="nil"/>
              <w:bottom w:val="nil"/>
              <w:right w:val="nil"/>
              <w:between w:val="nil"/>
            </w:pBdr>
            <w:tabs>
              <w:tab w:val="right" w:pos="9034"/>
            </w:tabs>
            <w:spacing w:after="100"/>
            <w:rPr>
              <w:rFonts w:ascii="Aptos" w:eastAsia="Aptos" w:hAnsi="Aptos" w:cs="Aptos"/>
              <w:szCs w:val="22"/>
            </w:rPr>
          </w:pPr>
          <w:hyperlink w:anchor="_heading=h.28h4qwu">
            <w:r w:rsidR="00354D75" w:rsidRPr="00E03501">
              <w:rPr>
                <w:rFonts w:eastAsia="Palatino Linotype" w:cs="Palatino Linotype"/>
                <w:szCs w:val="22"/>
              </w:rPr>
              <w:t>CONSIDERANDOS</w:t>
            </w:r>
            <w:r w:rsidR="00354D75" w:rsidRPr="00E03501">
              <w:rPr>
                <w:rFonts w:eastAsia="Palatino Linotype" w:cs="Palatino Linotype"/>
                <w:szCs w:val="22"/>
              </w:rPr>
              <w:tab/>
              <w:t>12</w:t>
            </w:r>
          </w:hyperlink>
        </w:p>
        <w:p w14:paraId="1F2DDA1A" w14:textId="77777777" w:rsidR="002D6A2D" w:rsidRPr="00E03501" w:rsidRDefault="00A13D7B" w:rsidP="00E03501">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nmf14n">
            <w:r w:rsidR="00354D75" w:rsidRPr="00E03501">
              <w:rPr>
                <w:rFonts w:eastAsia="Palatino Linotype" w:cs="Palatino Linotype"/>
                <w:szCs w:val="22"/>
              </w:rPr>
              <w:t>PRIMERO. Procedibilidad</w:t>
            </w:r>
            <w:r w:rsidR="00354D75" w:rsidRPr="00E03501">
              <w:rPr>
                <w:rFonts w:eastAsia="Palatino Linotype" w:cs="Palatino Linotype"/>
                <w:szCs w:val="22"/>
              </w:rPr>
              <w:tab/>
              <w:t>12</w:t>
            </w:r>
          </w:hyperlink>
        </w:p>
        <w:p w14:paraId="3D14C860" w14:textId="77777777" w:rsidR="002D6A2D" w:rsidRPr="00E03501" w:rsidRDefault="00A13D7B" w:rsidP="00E0350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7m2jsg">
            <w:r w:rsidR="00354D75" w:rsidRPr="00E03501">
              <w:rPr>
                <w:rFonts w:eastAsia="Palatino Linotype" w:cs="Palatino Linotype"/>
                <w:szCs w:val="22"/>
              </w:rPr>
              <w:t>a) Competencia del Instituto</w:t>
            </w:r>
            <w:r w:rsidR="00354D75" w:rsidRPr="00E03501">
              <w:rPr>
                <w:rFonts w:eastAsia="Palatino Linotype" w:cs="Palatino Linotype"/>
                <w:szCs w:val="22"/>
              </w:rPr>
              <w:tab/>
              <w:t>12</w:t>
            </w:r>
          </w:hyperlink>
        </w:p>
        <w:p w14:paraId="6157D5CD" w14:textId="77777777" w:rsidR="002D6A2D" w:rsidRPr="00E03501" w:rsidRDefault="00A13D7B" w:rsidP="00E0350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mrcu09">
            <w:r w:rsidR="00354D75" w:rsidRPr="00E03501">
              <w:rPr>
                <w:rFonts w:eastAsia="Palatino Linotype" w:cs="Palatino Linotype"/>
                <w:szCs w:val="22"/>
              </w:rPr>
              <w:t>b) Legitimidad de la parte recurrente</w:t>
            </w:r>
            <w:r w:rsidR="00354D75" w:rsidRPr="00E03501">
              <w:rPr>
                <w:rFonts w:eastAsia="Palatino Linotype" w:cs="Palatino Linotype"/>
                <w:szCs w:val="22"/>
              </w:rPr>
              <w:tab/>
              <w:t>13</w:t>
            </w:r>
          </w:hyperlink>
        </w:p>
        <w:p w14:paraId="01B20BE4" w14:textId="77777777" w:rsidR="002D6A2D" w:rsidRPr="00E03501" w:rsidRDefault="00A13D7B" w:rsidP="00E0350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6r0co2">
            <w:r w:rsidR="00354D75" w:rsidRPr="00E03501">
              <w:rPr>
                <w:rFonts w:eastAsia="Palatino Linotype" w:cs="Palatino Linotype"/>
                <w:szCs w:val="22"/>
              </w:rPr>
              <w:t>c) Plazo para interponer el recurso</w:t>
            </w:r>
            <w:r w:rsidR="00354D75" w:rsidRPr="00E03501">
              <w:rPr>
                <w:rFonts w:eastAsia="Palatino Linotype" w:cs="Palatino Linotype"/>
                <w:szCs w:val="22"/>
              </w:rPr>
              <w:tab/>
              <w:t>13</w:t>
            </w:r>
          </w:hyperlink>
        </w:p>
        <w:p w14:paraId="267EEB51" w14:textId="77777777" w:rsidR="002D6A2D" w:rsidRPr="00E03501" w:rsidRDefault="00A13D7B" w:rsidP="00E0350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lwamvv">
            <w:r w:rsidR="00354D75" w:rsidRPr="00E03501">
              <w:rPr>
                <w:rFonts w:eastAsia="Palatino Linotype" w:cs="Palatino Linotype"/>
                <w:szCs w:val="22"/>
              </w:rPr>
              <w:t>d) Interés legítimo</w:t>
            </w:r>
            <w:r w:rsidR="00354D75" w:rsidRPr="00E03501">
              <w:rPr>
                <w:rFonts w:eastAsia="Palatino Linotype" w:cs="Palatino Linotype"/>
                <w:szCs w:val="22"/>
              </w:rPr>
              <w:tab/>
              <w:t>13</w:t>
            </w:r>
          </w:hyperlink>
        </w:p>
        <w:p w14:paraId="6E1652D3" w14:textId="77777777" w:rsidR="002D6A2D" w:rsidRPr="00E03501" w:rsidRDefault="00A13D7B" w:rsidP="00E0350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11kx3o">
            <w:r w:rsidR="00354D75" w:rsidRPr="00E03501">
              <w:rPr>
                <w:rFonts w:eastAsia="Palatino Linotype" w:cs="Palatino Linotype"/>
                <w:szCs w:val="22"/>
              </w:rPr>
              <w:t>e) Requisitos formales para la interposición del recurso</w:t>
            </w:r>
            <w:r w:rsidR="00354D75" w:rsidRPr="00E03501">
              <w:rPr>
                <w:rFonts w:eastAsia="Palatino Linotype" w:cs="Palatino Linotype"/>
                <w:szCs w:val="22"/>
              </w:rPr>
              <w:tab/>
              <w:t>14</w:t>
            </w:r>
          </w:hyperlink>
        </w:p>
        <w:p w14:paraId="697455AC" w14:textId="77777777" w:rsidR="002D6A2D" w:rsidRPr="00E03501" w:rsidRDefault="00A13D7B" w:rsidP="00E03501">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l18frh">
            <w:r w:rsidR="00354D75" w:rsidRPr="00E03501">
              <w:rPr>
                <w:rFonts w:eastAsia="Palatino Linotype" w:cs="Palatino Linotype"/>
                <w:szCs w:val="22"/>
              </w:rPr>
              <w:t>SEGUNDO. Estudio de Fondo</w:t>
            </w:r>
            <w:r w:rsidR="00354D75" w:rsidRPr="00E03501">
              <w:rPr>
                <w:rFonts w:eastAsia="Palatino Linotype" w:cs="Palatino Linotype"/>
                <w:szCs w:val="22"/>
              </w:rPr>
              <w:tab/>
              <w:t>14</w:t>
            </w:r>
          </w:hyperlink>
        </w:p>
        <w:p w14:paraId="2F078C6A" w14:textId="77777777" w:rsidR="002D6A2D" w:rsidRPr="00E03501" w:rsidRDefault="00A13D7B" w:rsidP="00E0350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06ipza">
            <w:r w:rsidR="00354D75" w:rsidRPr="00E03501">
              <w:rPr>
                <w:rFonts w:eastAsia="Palatino Linotype" w:cs="Palatino Linotype"/>
                <w:szCs w:val="22"/>
              </w:rPr>
              <w:t>a) Mandato de transparencia y responsabilidad del Sujeto Obligado</w:t>
            </w:r>
            <w:r w:rsidR="00354D75" w:rsidRPr="00E03501">
              <w:rPr>
                <w:rFonts w:eastAsia="Palatino Linotype" w:cs="Palatino Linotype"/>
                <w:szCs w:val="22"/>
              </w:rPr>
              <w:tab/>
              <w:t>14</w:t>
            </w:r>
          </w:hyperlink>
        </w:p>
        <w:bookmarkStart w:id="0" w:name="_heading=h.tyjcwt" w:colFirst="0" w:colLast="0"/>
        <w:bookmarkEnd w:id="0"/>
        <w:p w14:paraId="4FA28BAF" w14:textId="77777777" w:rsidR="002D6A2D" w:rsidRPr="00E03501" w:rsidRDefault="00354D75" w:rsidP="00E03501">
          <w:pPr>
            <w:pBdr>
              <w:top w:val="nil"/>
              <w:left w:val="nil"/>
              <w:bottom w:val="nil"/>
              <w:right w:val="nil"/>
              <w:between w:val="nil"/>
            </w:pBdr>
            <w:tabs>
              <w:tab w:val="right" w:pos="9034"/>
            </w:tabs>
            <w:spacing w:after="100" w:line="240" w:lineRule="auto"/>
            <w:ind w:left="440"/>
            <w:rPr>
              <w:rFonts w:ascii="Aptos" w:eastAsia="Aptos" w:hAnsi="Aptos" w:cs="Aptos"/>
              <w:szCs w:val="22"/>
            </w:rPr>
          </w:pPr>
          <w:r w:rsidRPr="00E03501">
            <w:rPr>
              <w:rFonts w:eastAsia="Palatino Linotype" w:cs="Palatino Linotype"/>
              <w:szCs w:val="22"/>
            </w:rPr>
            <w:lastRenderedPageBreak/>
            <w:fldChar w:fldCharType="begin"/>
          </w:r>
          <w:r w:rsidRPr="00E03501">
            <w:rPr>
              <w:rFonts w:eastAsia="Palatino Linotype" w:cs="Palatino Linotype"/>
              <w:szCs w:val="22"/>
            </w:rPr>
            <w:instrText xml:space="preserve"> HYPERLINK \l "_heading=h.4k668n3" \h </w:instrText>
          </w:r>
          <w:r w:rsidRPr="00E03501">
            <w:rPr>
              <w:rFonts w:eastAsia="Palatino Linotype" w:cs="Palatino Linotype"/>
              <w:szCs w:val="22"/>
            </w:rPr>
            <w:fldChar w:fldCharType="separate"/>
          </w:r>
          <w:r w:rsidRPr="00E03501">
            <w:rPr>
              <w:rFonts w:eastAsia="Palatino Linotype" w:cs="Palatino Linotype"/>
              <w:szCs w:val="22"/>
            </w:rPr>
            <w:t>b) Controversia a resolver</w:t>
          </w:r>
          <w:r w:rsidRPr="00E03501">
            <w:rPr>
              <w:rFonts w:eastAsia="Palatino Linotype" w:cs="Palatino Linotype"/>
              <w:szCs w:val="22"/>
            </w:rPr>
            <w:tab/>
            <w:t>17</w:t>
          </w:r>
          <w:r w:rsidRPr="00E03501">
            <w:rPr>
              <w:rFonts w:eastAsia="Palatino Linotype" w:cs="Palatino Linotype"/>
              <w:szCs w:val="22"/>
            </w:rPr>
            <w:fldChar w:fldCharType="end"/>
          </w:r>
        </w:p>
        <w:p w14:paraId="29D595DD" w14:textId="77777777" w:rsidR="002D6A2D" w:rsidRPr="00E03501" w:rsidRDefault="00A13D7B" w:rsidP="00E0350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zbgiuw">
            <w:r w:rsidR="00354D75" w:rsidRPr="00E03501">
              <w:rPr>
                <w:rFonts w:eastAsia="Palatino Linotype" w:cs="Palatino Linotype"/>
                <w:szCs w:val="22"/>
              </w:rPr>
              <w:t>c) Estudio de la controversia</w:t>
            </w:r>
            <w:r w:rsidR="00354D75" w:rsidRPr="00E03501">
              <w:rPr>
                <w:rFonts w:eastAsia="Palatino Linotype" w:cs="Palatino Linotype"/>
                <w:szCs w:val="22"/>
              </w:rPr>
              <w:tab/>
              <w:t>18</w:t>
            </w:r>
          </w:hyperlink>
        </w:p>
        <w:p w14:paraId="01E2F83C" w14:textId="77777777" w:rsidR="002D6A2D" w:rsidRPr="00E03501" w:rsidRDefault="00A13D7B" w:rsidP="00E0350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egqt2p">
            <w:r w:rsidR="00354D75" w:rsidRPr="00E03501">
              <w:rPr>
                <w:rFonts w:eastAsia="Palatino Linotype" w:cs="Palatino Linotype"/>
                <w:szCs w:val="22"/>
              </w:rPr>
              <w:t>d) Conclusión</w:t>
            </w:r>
            <w:r w:rsidR="00354D75" w:rsidRPr="00E03501">
              <w:rPr>
                <w:rFonts w:eastAsia="Palatino Linotype" w:cs="Palatino Linotype"/>
                <w:szCs w:val="22"/>
              </w:rPr>
              <w:tab/>
              <w:t>27</w:t>
            </w:r>
          </w:hyperlink>
        </w:p>
        <w:p w14:paraId="7B59CB11" w14:textId="77777777" w:rsidR="002D6A2D" w:rsidRPr="00E03501" w:rsidRDefault="00A13D7B" w:rsidP="00E03501">
          <w:pPr>
            <w:pBdr>
              <w:top w:val="nil"/>
              <w:left w:val="nil"/>
              <w:bottom w:val="nil"/>
              <w:right w:val="nil"/>
              <w:between w:val="nil"/>
            </w:pBdr>
            <w:tabs>
              <w:tab w:val="right" w:pos="9034"/>
            </w:tabs>
            <w:spacing w:after="100"/>
            <w:rPr>
              <w:rFonts w:ascii="Aptos" w:eastAsia="Aptos" w:hAnsi="Aptos" w:cs="Aptos"/>
              <w:szCs w:val="22"/>
            </w:rPr>
          </w:pPr>
          <w:hyperlink w:anchor="_heading=h.3ygebqi">
            <w:r w:rsidR="00354D75" w:rsidRPr="00E03501">
              <w:rPr>
                <w:rFonts w:eastAsia="Palatino Linotype" w:cs="Palatino Linotype"/>
                <w:szCs w:val="22"/>
              </w:rPr>
              <w:t>RESUELVE</w:t>
            </w:r>
            <w:r w:rsidR="00354D75" w:rsidRPr="00E03501">
              <w:rPr>
                <w:rFonts w:eastAsia="Palatino Linotype" w:cs="Palatino Linotype"/>
                <w:szCs w:val="22"/>
              </w:rPr>
              <w:tab/>
              <w:t>28</w:t>
            </w:r>
          </w:hyperlink>
        </w:p>
        <w:p w14:paraId="3ED05100" w14:textId="77777777" w:rsidR="002D6A2D" w:rsidRPr="00E03501" w:rsidRDefault="00354D75" w:rsidP="00E03501">
          <w:r w:rsidRPr="00E03501">
            <w:fldChar w:fldCharType="end"/>
          </w:r>
        </w:p>
      </w:sdtContent>
    </w:sdt>
    <w:p w14:paraId="58C0474A" w14:textId="77777777" w:rsidR="002D6A2D" w:rsidRPr="00E03501" w:rsidRDefault="002D6A2D" w:rsidP="00E03501">
      <w:pPr>
        <w:widowControl w:val="0"/>
        <w:tabs>
          <w:tab w:val="right" w:pos="12000"/>
        </w:tabs>
        <w:spacing w:before="60" w:line="240" w:lineRule="auto"/>
        <w:jc w:val="left"/>
        <w:rPr>
          <w:rFonts w:ascii="Arial" w:eastAsia="Arial" w:hAnsi="Arial" w:cs="Arial"/>
          <w:b/>
        </w:rPr>
        <w:sectPr w:rsidR="002D6A2D" w:rsidRPr="00E03501">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637BB700" w14:textId="74B2EDC0" w:rsidR="002D6A2D" w:rsidRPr="00E03501" w:rsidRDefault="00354D75" w:rsidP="00E03501">
      <w:pPr>
        <w:rPr>
          <w:b/>
        </w:rPr>
      </w:pPr>
      <w:r w:rsidRPr="00E03501">
        <w:lastRenderedPageBreak/>
        <w:t xml:space="preserve">Resolución del Pleno del Instituto de Transparencia, Acceso a la Información Pública y Protección de Datos Personales del Estado de México y Municipios, con domicilio en Metepec, Estado de México, de </w:t>
      </w:r>
      <w:r w:rsidRPr="00E03501">
        <w:rPr>
          <w:b/>
        </w:rPr>
        <w:t>veintiocho de agosto de dos mil veinticuatro.</w:t>
      </w:r>
    </w:p>
    <w:p w14:paraId="1C286207" w14:textId="77777777" w:rsidR="002D6A2D" w:rsidRPr="00E03501" w:rsidRDefault="002D6A2D" w:rsidP="00E03501"/>
    <w:p w14:paraId="54457704" w14:textId="4E243ACB" w:rsidR="002D6A2D" w:rsidRPr="00E03501" w:rsidRDefault="00354D75" w:rsidP="00E03501">
      <w:r w:rsidRPr="00E03501">
        <w:rPr>
          <w:b/>
        </w:rPr>
        <w:t xml:space="preserve">VISTO </w:t>
      </w:r>
      <w:r w:rsidRPr="00E03501">
        <w:t xml:space="preserve">el expediente formado con motivo del Recurso de Revisión </w:t>
      </w:r>
      <w:r w:rsidRPr="00E03501">
        <w:rPr>
          <w:b/>
        </w:rPr>
        <w:t>01812/INFOEM/IP/RR/2024</w:t>
      </w:r>
      <w:r w:rsidRPr="00E03501">
        <w:t xml:space="preserve"> interpuesto por </w:t>
      </w:r>
      <w:bookmarkStart w:id="3" w:name="_GoBack"/>
      <w:r w:rsidR="0046435C">
        <w:rPr>
          <w:b/>
        </w:rPr>
        <w:t>XXXX XXXXXXX XXXXX</w:t>
      </w:r>
      <w:bookmarkEnd w:id="3"/>
      <w:r w:rsidRPr="00E03501">
        <w:t xml:space="preserve">, a quien en lo subsecuente se le denominará </w:t>
      </w:r>
      <w:r w:rsidRPr="00E03501">
        <w:rPr>
          <w:b/>
        </w:rPr>
        <w:t>LA PARTE RECURRENTE</w:t>
      </w:r>
      <w:r w:rsidRPr="00E03501">
        <w:t xml:space="preserve">, en contra de la respuesta emitida por el </w:t>
      </w:r>
      <w:r w:rsidRPr="00E03501">
        <w:rPr>
          <w:b/>
        </w:rPr>
        <w:t>Organismo Público Descentralizado para la Prestación de Los Servicios de Agua Potable Alcantarillado y Saneamiento de Tenancingo</w:t>
      </w:r>
      <w:r w:rsidRPr="00E03501">
        <w:t xml:space="preserve">, en adelante </w:t>
      </w:r>
      <w:r w:rsidRPr="00E03501">
        <w:rPr>
          <w:b/>
        </w:rPr>
        <w:t>EL SUJETO OBLIGADO</w:t>
      </w:r>
      <w:r w:rsidRPr="00E03501">
        <w:t>, se emite la presente Resolución con base en los Antecedentes y Considerandos que se exponen a continuación:</w:t>
      </w:r>
    </w:p>
    <w:p w14:paraId="07F3B171" w14:textId="77777777" w:rsidR="002D6A2D" w:rsidRPr="00E03501" w:rsidRDefault="002D6A2D" w:rsidP="00E03501"/>
    <w:p w14:paraId="2AEAFF7D" w14:textId="77777777" w:rsidR="002D6A2D" w:rsidRPr="00E03501" w:rsidRDefault="00354D75" w:rsidP="00E03501">
      <w:pPr>
        <w:pStyle w:val="Ttulo1"/>
      </w:pPr>
      <w:bookmarkStart w:id="4" w:name="_heading=h.3dy6vkm" w:colFirst="0" w:colLast="0"/>
      <w:bookmarkEnd w:id="4"/>
      <w:r w:rsidRPr="00E03501">
        <w:t>ANTECEDENTES</w:t>
      </w:r>
    </w:p>
    <w:p w14:paraId="1458242C" w14:textId="77777777" w:rsidR="002D6A2D" w:rsidRPr="00E03501" w:rsidRDefault="002D6A2D" w:rsidP="00E03501"/>
    <w:p w14:paraId="14706396" w14:textId="77777777" w:rsidR="002D6A2D" w:rsidRPr="00E03501" w:rsidRDefault="002D6A2D" w:rsidP="00E03501"/>
    <w:p w14:paraId="36A91C6D" w14:textId="77777777" w:rsidR="002D6A2D" w:rsidRPr="00E03501" w:rsidRDefault="00354D75" w:rsidP="00E03501">
      <w:pPr>
        <w:pStyle w:val="Ttulo2"/>
        <w:jc w:val="left"/>
      </w:pPr>
      <w:bookmarkStart w:id="5" w:name="_heading=h.1t3h5sf" w:colFirst="0" w:colLast="0"/>
      <w:bookmarkEnd w:id="5"/>
      <w:r w:rsidRPr="00E03501">
        <w:t>DE LA SOLICITUD DE INFORMACIÓN</w:t>
      </w:r>
    </w:p>
    <w:p w14:paraId="10B45E83" w14:textId="77777777" w:rsidR="002D6A2D" w:rsidRPr="00E03501" w:rsidRDefault="002D6A2D" w:rsidP="00E03501"/>
    <w:p w14:paraId="729A840E" w14:textId="77777777" w:rsidR="002D6A2D" w:rsidRPr="00E03501" w:rsidRDefault="00354D75" w:rsidP="00E03501">
      <w:pPr>
        <w:pStyle w:val="Ttulo3"/>
      </w:pPr>
      <w:bookmarkStart w:id="6" w:name="_heading=h.lnxbz9" w:colFirst="0" w:colLast="0"/>
      <w:bookmarkEnd w:id="6"/>
      <w:r w:rsidRPr="00E03501">
        <w:t>a) Solicitud de información</w:t>
      </w:r>
    </w:p>
    <w:p w14:paraId="2CC8FD54" w14:textId="77777777" w:rsidR="002D6A2D" w:rsidRPr="00E03501" w:rsidRDefault="00354D75" w:rsidP="00E03501">
      <w:pPr>
        <w:pBdr>
          <w:top w:val="nil"/>
          <w:left w:val="nil"/>
          <w:bottom w:val="nil"/>
          <w:right w:val="nil"/>
          <w:between w:val="nil"/>
        </w:pBdr>
        <w:tabs>
          <w:tab w:val="left" w:pos="0"/>
        </w:tabs>
        <w:rPr>
          <w:b/>
        </w:rPr>
      </w:pPr>
      <w:r w:rsidRPr="00E03501">
        <w:t xml:space="preserve">El </w:t>
      </w:r>
      <w:r w:rsidRPr="00E03501">
        <w:rPr>
          <w:b/>
        </w:rPr>
        <w:t>nueve de febrero de dos mil veinticuatro</w:t>
      </w:r>
      <w:r w:rsidRPr="00E03501">
        <w:t xml:space="preserve"> </w:t>
      </w:r>
      <w:r w:rsidRPr="00E03501">
        <w:rPr>
          <w:b/>
        </w:rPr>
        <w:t>LA PARTE RECURRENTE</w:t>
      </w:r>
      <w:r w:rsidRPr="00E03501">
        <w:t xml:space="preserve"> presentó una solicitud de acceso a la información pública ante el </w:t>
      </w:r>
      <w:r w:rsidRPr="00E03501">
        <w:rPr>
          <w:b/>
        </w:rPr>
        <w:t>SUJETO OBLIGADO</w:t>
      </w:r>
      <w:r w:rsidRPr="00E03501">
        <w:t>, a través del Sistema de Acceso a la Información Mexiquense (SAIMEX). Dicha solicitud quedó registrada con el número de folio</w:t>
      </w:r>
      <w:r w:rsidRPr="00E03501">
        <w:rPr>
          <w:b/>
        </w:rPr>
        <w:t xml:space="preserve"> 00004/OASTENANCI/IP/2024</w:t>
      </w:r>
      <w:r w:rsidRPr="00E03501">
        <w:t xml:space="preserve"> y en ella se requirió la siguiente información:</w:t>
      </w:r>
    </w:p>
    <w:p w14:paraId="35AB5D40" w14:textId="77777777" w:rsidR="002D6A2D" w:rsidRPr="00E03501" w:rsidRDefault="002D6A2D" w:rsidP="00E03501">
      <w:pPr>
        <w:pStyle w:val="Puesto"/>
        <w:ind w:firstLine="567"/>
      </w:pPr>
    </w:p>
    <w:p w14:paraId="0A254302" w14:textId="77777777" w:rsidR="002D6A2D" w:rsidRPr="00E03501" w:rsidRDefault="00354D75" w:rsidP="00E03501">
      <w:pPr>
        <w:pStyle w:val="Puesto"/>
        <w:ind w:firstLine="567"/>
      </w:pPr>
      <w:r w:rsidRPr="00E03501">
        <w:lastRenderedPageBreak/>
        <w:t>“Sobre el desglose de los conceptos y costos de una toma de agua potable (Anexo desglose enviado). Se indica que la mano de obra lo realiza una cuadrilla No. 20 (1 Fontanero y 2 peones) y tiene un costo de $2,815.75. Y el costo del equipo de corte con cortadora de carrito y rotomartillo eléctrico tiene un costo de $ 3,814.53, sumando estos dos valores resultan $ 6,630. 28 (65% del total). Solicito la siguiente información oficial: Cuánto se le paga a un fontanero y un peón por día en el OPDAPAS, desglose de cómo se obtuvo el costo del equipo (Cortadora de carrito y rotomartillo), se aclare o que signifique el término equipo y herramienta menor, y que significa o que incluye lo que mencionan como indirectos y cargos adicionales.” (Sic)</w:t>
      </w:r>
    </w:p>
    <w:p w14:paraId="528866A3" w14:textId="77777777" w:rsidR="002D6A2D" w:rsidRPr="00E03501" w:rsidRDefault="002D6A2D" w:rsidP="00E03501">
      <w:pPr>
        <w:tabs>
          <w:tab w:val="left" w:pos="4667"/>
        </w:tabs>
        <w:ind w:left="567" w:right="567"/>
        <w:rPr>
          <w:i/>
        </w:rPr>
      </w:pPr>
    </w:p>
    <w:p w14:paraId="55D65CEC" w14:textId="77777777" w:rsidR="002D6A2D" w:rsidRPr="00E03501" w:rsidRDefault="00354D75" w:rsidP="00E03501">
      <w:pPr>
        <w:tabs>
          <w:tab w:val="left" w:pos="4667"/>
        </w:tabs>
        <w:ind w:left="567" w:right="567"/>
      </w:pPr>
      <w:r w:rsidRPr="00E03501">
        <w:rPr>
          <w:b/>
        </w:rPr>
        <w:t>Modalidad de entrega</w:t>
      </w:r>
      <w:r w:rsidRPr="00E03501">
        <w:t>: a</w:t>
      </w:r>
      <w:r w:rsidRPr="00E03501">
        <w:rPr>
          <w:i/>
        </w:rPr>
        <w:t xml:space="preserve"> través del </w:t>
      </w:r>
      <w:r w:rsidRPr="00E03501">
        <w:rPr>
          <w:b/>
          <w:i/>
        </w:rPr>
        <w:t>SAIMEX</w:t>
      </w:r>
      <w:r w:rsidRPr="00E03501">
        <w:rPr>
          <w:i/>
        </w:rPr>
        <w:t>.</w:t>
      </w:r>
    </w:p>
    <w:p w14:paraId="1BB79E2E" w14:textId="77777777" w:rsidR="002D6A2D" w:rsidRPr="00E03501" w:rsidRDefault="002D6A2D" w:rsidP="00E03501">
      <w:pPr>
        <w:ind w:right="-28"/>
        <w:rPr>
          <w:i/>
        </w:rPr>
      </w:pPr>
    </w:p>
    <w:p w14:paraId="6E3C1962" w14:textId="77777777" w:rsidR="002D6A2D" w:rsidRPr="00E03501" w:rsidRDefault="00354D75" w:rsidP="00E03501">
      <w:pPr>
        <w:pStyle w:val="Ttulo3"/>
      </w:pPr>
      <w:bookmarkStart w:id="7" w:name="_heading=h.35nkun2" w:colFirst="0" w:colLast="0"/>
      <w:bookmarkEnd w:id="7"/>
      <w:r w:rsidRPr="00E03501">
        <w:t>b) Turno de la solicitud de información</w:t>
      </w:r>
    </w:p>
    <w:p w14:paraId="12A6BA2B" w14:textId="5FBDDD97" w:rsidR="002D6A2D" w:rsidRPr="00E03501" w:rsidRDefault="00354D75" w:rsidP="00E03501">
      <w:r w:rsidRPr="00E03501">
        <w:t xml:space="preserve">En cumplimiento al artículo 162 de la Ley de Transparencia y Acceso a la Información Pública del Estado de México y Municipios, el </w:t>
      </w:r>
      <w:r w:rsidRPr="00E03501">
        <w:rPr>
          <w:b/>
        </w:rPr>
        <w:t>cuatro de marzo de dos mil veinticuatro</w:t>
      </w:r>
      <w:r w:rsidRPr="00E03501">
        <w:t xml:space="preserve"> el Titular de la Unidad de Transparencia del </w:t>
      </w:r>
      <w:r w:rsidRPr="00E03501">
        <w:rPr>
          <w:b/>
        </w:rPr>
        <w:t>SUJETO OBLIGADO</w:t>
      </w:r>
      <w:r w:rsidRPr="00E03501">
        <w:t xml:space="preserve"> turnó la solicitud de información al servidor </w:t>
      </w:r>
      <w:r w:rsidR="007456BB" w:rsidRPr="00E03501">
        <w:t>público habilitado que</w:t>
      </w:r>
      <w:r w:rsidRPr="00E03501">
        <w:t xml:space="preserve"> estimó pertinente.</w:t>
      </w:r>
    </w:p>
    <w:p w14:paraId="2140B6F3" w14:textId="77777777" w:rsidR="002D6A2D" w:rsidRPr="00E03501" w:rsidRDefault="002D6A2D" w:rsidP="00E03501"/>
    <w:p w14:paraId="4AB74C03" w14:textId="77777777" w:rsidR="002D6A2D" w:rsidRPr="00E03501" w:rsidRDefault="00354D75" w:rsidP="00E03501">
      <w:pPr>
        <w:pStyle w:val="Ttulo3"/>
      </w:pPr>
      <w:bookmarkStart w:id="8" w:name="_heading=h.3as4poj" w:colFirst="0" w:colLast="0"/>
      <w:bookmarkEnd w:id="8"/>
      <w:r w:rsidRPr="00E03501">
        <w:t xml:space="preserve">c) Prórroga </w:t>
      </w:r>
    </w:p>
    <w:p w14:paraId="74EBF0B8" w14:textId="77777777" w:rsidR="002D6A2D" w:rsidRPr="00E03501" w:rsidRDefault="00354D75" w:rsidP="00E03501">
      <w:pPr>
        <w:pBdr>
          <w:top w:val="nil"/>
          <w:left w:val="nil"/>
          <w:bottom w:val="nil"/>
          <w:right w:val="nil"/>
          <w:between w:val="nil"/>
        </w:pBdr>
        <w:rPr>
          <w:b/>
        </w:rPr>
      </w:pPr>
      <w:bookmarkStart w:id="9" w:name="_heading=h.v64md7ujeh5i" w:colFirst="0" w:colLast="0"/>
      <w:bookmarkEnd w:id="9"/>
      <w:r w:rsidRPr="00E03501">
        <w:t>El cuatro de marzo de dos mil veinticuatro, el</w:t>
      </w:r>
      <w:r w:rsidRPr="00E03501">
        <w:rPr>
          <w:b/>
        </w:rPr>
        <w:t xml:space="preserve"> SUJETO OBLIGADO </w:t>
      </w:r>
      <w:r w:rsidRPr="00E03501">
        <w:t xml:space="preserve">notificó al particular la prórroga de </w:t>
      </w:r>
      <w:r w:rsidR="000E21F7" w:rsidRPr="00E03501">
        <w:rPr>
          <w:b/>
        </w:rPr>
        <w:t xml:space="preserve">quince </w:t>
      </w:r>
      <w:r w:rsidRPr="00E03501">
        <w:rPr>
          <w:b/>
        </w:rPr>
        <w:t>días hábiles</w:t>
      </w:r>
      <w:r w:rsidRPr="00E03501">
        <w:t xml:space="preserve"> para dar respuesta, sin que se advierta el Acta por medio del cual el Comité de Transparencia haya aproado dicha prórroga. </w:t>
      </w:r>
      <w:bookmarkStart w:id="10" w:name="_heading=h.al9ky319an5l" w:colFirst="0" w:colLast="0"/>
      <w:bookmarkEnd w:id="10"/>
    </w:p>
    <w:p w14:paraId="1A7EB6AF" w14:textId="77777777" w:rsidR="000E21F7" w:rsidRPr="00E03501" w:rsidRDefault="000E21F7" w:rsidP="00E03501">
      <w:pPr>
        <w:pBdr>
          <w:top w:val="nil"/>
          <w:left w:val="nil"/>
          <w:bottom w:val="nil"/>
          <w:right w:val="nil"/>
          <w:between w:val="nil"/>
        </w:pBdr>
        <w:ind w:right="-93"/>
      </w:pPr>
    </w:p>
    <w:p w14:paraId="0A332A86" w14:textId="77777777" w:rsidR="003707C5" w:rsidRPr="00E03501" w:rsidRDefault="000E21F7" w:rsidP="00E03501">
      <w:pPr>
        <w:pBdr>
          <w:top w:val="nil"/>
          <w:left w:val="nil"/>
          <w:bottom w:val="nil"/>
          <w:right w:val="nil"/>
          <w:between w:val="nil"/>
        </w:pBdr>
        <w:ind w:right="-93"/>
      </w:pPr>
      <w:r w:rsidRPr="00E03501">
        <w:t>Derivado de lo anterior, este Órgano Garante no omite comentar que</w:t>
      </w:r>
      <w:r w:rsidR="003707C5" w:rsidRPr="00E03501">
        <w:t xml:space="preserve"> conforme al artículo 163 de la Ley de Transparencia y Acceso a la Información Pública del Estado de México y </w:t>
      </w:r>
      <w:r w:rsidR="003707C5" w:rsidRPr="00E03501">
        <w:lastRenderedPageBreak/>
        <w:t xml:space="preserve">Municipios, el plazo para dar respuesta puede ampliarse </w:t>
      </w:r>
      <w:r w:rsidR="003707C5" w:rsidRPr="00E03501">
        <w:rPr>
          <w:b/>
        </w:rPr>
        <w:t>sólo por siete días</w:t>
      </w:r>
      <w:r w:rsidR="003707C5" w:rsidRPr="00E03501">
        <w:t xml:space="preserve"> no así por quince días como lo notificó </w:t>
      </w:r>
      <w:r w:rsidR="003707C5" w:rsidRPr="00E03501">
        <w:rPr>
          <w:b/>
        </w:rPr>
        <w:t xml:space="preserve">EL SUJET OBLIGADO </w:t>
      </w:r>
      <w:r w:rsidR="003707C5" w:rsidRPr="00E03501">
        <w:t xml:space="preserve">en el presente asunto. </w:t>
      </w:r>
    </w:p>
    <w:p w14:paraId="67F30D13" w14:textId="77777777" w:rsidR="003707C5" w:rsidRPr="00E03501" w:rsidRDefault="003707C5" w:rsidP="00E03501">
      <w:pPr>
        <w:pBdr>
          <w:top w:val="nil"/>
          <w:left w:val="nil"/>
          <w:bottom w:val="nil"/>
          <w:right w:val="nil"/>
          <w:between w:val="nil"/>
        </w:pBdr>
        <w:ind w:right="-93"/>
      </w:pPr>
    </w:p>
    <w:p w14:paraId="72498D28" w14:textId="77777777" w:rsidR="002D6A2D" w:rsidRPr="00E03501" w:rsidRDefault="00354D75" w:rsidP="00E03501">
      <w:pPr>
        <w:pStyle w:val="Ttulo3"/>
      </w:pPr>
      <w:bookmarkStart w:id="11" w:name="_heading=h.41mghml" w:colFirst="0" w:colLast="0"/>
      <w:bookmarkEnd w:id="11"/>
      <w:r w:rsidRPr="00E03501">
        <w:t>d) Respuesta del Sujeto Obligado</w:t>
      </w:r>
    </w:p>
    <w:p w14:paraId="0AB93005" w14:textId="77777777" w:rsidR="002D6A2D" w:rsidRPr="00E03501" w:rsidRDefault="00354D75" w:rsidP="00E03501">
      <w:pPr>
        <w:pBdr>
          <w:top w:val="nil"/>
          <w:left w:val="nil"/>
          <w:bottom w:val="nil"/>
          <w:right w:val="nil"/>
          <w:between w:val="nil"/>
        </w:pBdr>
      </w:pPr>
      <w:r w:rsidRPr="00E03501">
        <w:t xml:space="preserve">El </w:t>
      </w:r>
      <w:r w:rsidRPr="00E03501">
        <w:rPr>
          <w:b/>
        </w:rPr>
        <w:t>veintiséis de marzo de dos mil veinticuatro</w:t>
      </w:r>
      <w:r w:rsidRPr="00E03501">
        <w:t xml:space="preserve">, el Titular de la Unidad de Transparencia del </w:t>
      </w:r>
      <w:r w:rsidRPr="00E03501">
        <w:rPr>
          <w:b/>
        </w:rPr>
        <w:t>SUJETO OBLIGADO,</w:t>
      </w:r>
      <w:r w:rsidRPr="00E03501">
        <w:t xml:space="preserve"> notificó la siguiente respuesta a través del SAIMEX:</w:t>
      </w:r>
    </w:p>
    <w:p w14:paraId="7D73E649" w14:textId="77777777" w:rsidR="002D6A2D" w:rsidRPr="00E03501" w:rsidRDefault="002D6A2D" w:rsidP="00E03501">
      <w:pPr>
        <w:pBdr>
          <w:top w:val="nil"/>
          <w:left w:val="nil"/>
          <w:bottom w:val="nil"/>
          <w:right w:val="nil"/>
          <w:between w:val="nil"/>
        </w:pBdr>
      </w:pPr>
    </w:p>
    <w:p w14:paraId="625680BE" w14:textId="77777777" w:rsidR="002D6A2D" w:rsidRPr="00E03501" w:rsidRDefault="00354D75" w:rsidP="00E03501">
      <w:pPr>
        <w:pStyle w:val="Puesto"/>
        <w:ind w:firstLine="567"/>
      </w:pPr>
      <w:r w:rsidRPr="00E03501">
        <w:t>“En respuesta a la solicitud recibida, nos permitimos hacer de su conocimiento que con fundamento en el artículo 53, Fracciones: II, V y VI de la Ley de Transparencia y Acceso a la Información Pública del Estado de México y Municipios, le contestamos que:</w:t>
      </w:r>
    </w:p>
    <w:p w14:paraId="2B95ED8A" w14:textId="77777777" w:rsidR="002D6A2D" w:rsidRPr="00E03501" w:rsidRDefault="00354D75" w:rsidP="00E03501">
      <w:pPr>
        <w:pStyle w:val="Puesto"/>
        <w:ind w:firstLine="567"/>
      </w:pPr>
      <w:r w:rsidRPr="00E03501">
        <w:t xml:space="preserve">De acuerdo a lo señalado en el Artículo 1, 12, 152, 153 de la Ley de Transparencia y Acceso a la Información Pública del Estado de México y Municipios, se procede a dar respuesta a la solicitud de información número de folio 00004/OASTENANCI/IP/2024. Descripción clara y precisa de la información solicitada: Sobre el desglose de los conceptos y costos de una toma de agua potable (Anexo desglose enviado). Se indica que la mano de obra lo realiza una cuadrilla No. 20 (1 Fontanero y 2 peones) y tiene un costo de $2,815.75. Y el costo del equipo de corte con cortadora de carrito y rotomartillo eléctrico tiene un costo de $ 3,814.53, sumando estos dos valores resultan $ 6,630. 28 (65% del total). Solicito la siguiente información oficial: Cuánto se le paga a un fontanero y un peón por día en el OPDAPAS, desglose de cómo se obtuvo el costo del equipo (Cortadora de carrito y rotomartillo), se aclare o que signifique el término equipo y herramienta menor, y que significa o que incluye lo que mencionan como indirectos y cargos adicionales. Respuesta. Se envía el archivo denominado 04OASTENCIIP2024 en formato PDF con la información solicitada. Artículo 1. La presente Ley es de orden público e interés general, es reglamentaria de los párrafos décimo séptimo, décimo octavo y décimo noveno del artículo 5 de la Constitución Política del Estado Libre y Soberano de México. Tiene por objeto establecer los principios, bases generales y procedimientos para tutelar y garantizar la transparencia y el derecho humano de acceso a la información pública en posesión de los sujetos obligados. Asimismo, armonizar las disposiciones legales del Estado de México, con lo señalado por el artículo 6, apartado A, de la Constitución Política de los Estados Unidos Mexicanos en la materia y con lo establecido por la Ley General de Transparencia y Acceso a la Información Pública. Artículo 12. Quienes generen, recopilen, administren, manejen, </w:t>
      </w:r>
      <w:r w:rsidRPr="00E03501">
        <w:lastRenderedPageBreak/>
        <w:t>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Artículo 152. Cualquier persona por sí misma o a través de su representante, podrá presentar solicitud de acceso a información ante la Unidad de Transparencia, a través del sistema electrónico o de la Plataforma Nacional, en la oficina u oficinas designadas para ello, vía correo electrónico, correo postal, mensajería, telégrafo, verbalmente o cualquier medio aprobado por el Instituto o por el Sistema Nacional. Cuando se realice una consulta verbal deberá ser resuelta por la Unidad de Transparencia en el momento, de no ser posible se invitará al particular a iniciar el procedimiento de acceso, las consultas verbales no podrán ser recurribles conforme lo establece la presente Ley. Artículo 153. Tratándose de solicitudes de acceso a información formuladas mediante la Plataforma Nacional, se asignará automáticamente un número de folio, con el que los solicitantes podrán dar seguimiento a sus requerimientos. En los demás casos, la Unidad de Trasparencia tendrá que registrar y capturar la solicitud de acceso en la Plataforma Nacional y deberá enviar el acuse de recibo al solicitante, en el que se indique la fecha de recepción, el folio que corresponda y los plazos de respuesta aplicables.”</w:t>
      </w:r>
    </w:p>
    <w:p w14:paraId="31C68BEB" w14:textId="77777777" w:rsidR="002D6A2D" w:rsidRPr="00E03501" w:rsidRDefault="002D6A2D" w:rsidP="00E03501">
      <w:pPr>
        <w:ind w:right="-28"/>
      </w:pPr>
    </w:p>
    <w:p w14:paraId="28F28679" w14:textId="77777777" w:rsidR="002D6A2D" w:rsidRPr="00E03501" w:rsidRDefault="00354D75" w:rsidP="00E03501">
      <w:pPr>
        <w:ind w:right="-28"/>
      </w:pPr>
      <w:r w:rsidRPr="00E03501">
        <w:t xml:space="preserve">Asimismo, </w:t>
      </w:r>
      <w:r w:rsidRPr="00E03501">
        <w:rPr>
          <w:b/>
        </w:rPr>
        <w:t xml:space="preserve">EL SUJETO OBLIGADO </w:t>
      </w:r>
      <w:r w:rsidRPr="00E03501">
        <w:t>adjuntó a su respuesta los archivos electrónicos que se describen a continuación:</w:t>
      </w:r>
    </w:p>
    <w:p w14:paraId="7B1D8A19" w14:textId="77777777" w:rsidR="002D6A2D" w:rsidRPr="00E03501" w:rsidRDefault="00354D75" w:rsidP="00E03501">
      <w:pPr>
        <w:numPr>
          <w:ilvl w:val="0"/>
          <w:numId w:val="1"/>
        </w:numPr>
        <w:ind w:right="-28"/>
        <w:rPr>
          <w:b/>
          <w:i/>
        </w:rPr>
      </w:pPr>
      <w:r w:rsidRPr="00E03501">
        <w:rPr>
          <w:b/>
          <w:i/>
        </w:rPr>
        <w:t xml:space="preserve">RESPUESTA A SOLICITUD SAIMEX 00004 OASTENANCIIP2024.pdf: </w:t>
      </w:r>
      <w:r w:rsidRPr="00E03501">
        <w:t xml:space="preserve">Archivo sin número que refiere lo siguiente: </w:t>
      </w:r>
    </w:p>
    <w:p w14:paraId="3747DF7D" w14:textId="77777777" w:rsidR="002D6A2D" w:rsidRPr="00E03501" w:rsidRDefault="00354D75" w:rsidP="00E03501">
      <w:pPr>
        <w:pStyle w:val="Puesto"/>
        <w:ind w:firstLine="567"/>
      </w:pPr>
      <w:r w:rsidRPr="00E03501">
        <w:t xml:space="preserve">“Respuesta. Se envía el archivo denominado 04OASTENCIIP2024 en formato PDF con la información solicitada. </w:t>
      </w:r>
    </w:p>
    <w:p w14:paraId="5B55825E" w14:textId="77777777" w:rsidR="002D6A2D" w:rsidRPr="00E03501" w:rsidRDefault="00354D75" w:rsidP="00E03501">
      <w:pPr>
        <w:pStyle w:val="Puesto"/>
        <w:ind w:firstLine="567"/>
      </w:pPr>
      <w:r w:rsidRPr="00E03501">
        <w:t xml:space="preserve">Artículo 1. La presente Ley es de orden público e interés general, es reglamentaria de los párrafos décimo séptimo, décimo octavo y décimo noveno del artículo 5 de la Constitución Política del Estado Libre y Soberano de México. Tiene por objeto establecer los principios, bases generales y procedimientos para tutelar y garantizar la transparencia y el derecho humano de acceso a la información pública en posesión de los sujetos obligados. Asimismo, armonizar las disposiciones legales del Estado de México, con lo señalado por </w:t>
      </w:r>
      <w:r w:rsidRPr="00E03501">
        <w:lastRenderedPageBreak/>
        <w:t xml:space="preserve">el artículo 6, apartado A, de la Constitución Política de los Estados Unidos Mexicanos en la materia y con lo establecido por la Ley General de Transparencia y Acceso a la Información Pública. </w:t>
      </w:r>
    </w:p>
    <w:p w14:paraId="7A7746AF" w14:textId="77777777" w:rsidR="002D6A2D" w:rsidRPr="00E03501" w:rsidRDefault="00354D75" w:rsidP="00E03501">
      <w:pPr>
        <w:pStyle w:val="Puesto"/>
        <w:ind w:firstLine="567"/>
      </w:pPr>
      <w:r w:rsidRPr="00E03501">
        <w:t xml:space="preserve">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CDF8F0D" w14:textId="77777777" w:rsidR="002D6A2D" w:rsidRPr="00E03501" w:rsidRDefault="00354D75" w:rsidP="00E03501">
      <w:pPr>
        <w:pStyle w:val="Puesto"/>
        <w:ind w:firstLine="567"/>
      </w:pPr>
      <w:r w:rsidRPr="00E03501">
        <w:t xml:space="preserve">Artículo 152. Cualquier persona por sí misma o a través de su representante, podrá presentar solicitud de acceso a información ante la Unidad de Transparencia, a través del sistema electrónico o de la Plataforma Nacional, en la oficina u oficinas designadas para ello, vía correo electrónico, correo postal, mensajería, telégrafo, verbalmente o cualquier medio aprobado por el Instituto o por el Sistema Nacional. Cuando se realice una consulta verbal deberá ser resuelta por la Unidad de Transparencia en el momento, de no ser posible se invitará al particular a iniciar el procedimiento de acceso, las consultas verbales no podrán ser recurribles conforme lo establece la presente Ley. </w:t>
      </w:r>
    </w:p>
    <w:p w14:paraId="377FB9B8" w14:textId="77777777" w:rsidR="002D6A2D" w:rsidRPr="00E03501" w:rsidRDefault="00354D75" w:rsidP="00E03501">
      <w:pPr>
        <w:pStyle w:val="Puesto"/>
        <w:ind w:firstLine="567"/>
      </w:pPr>
      <w:r w:rsidRPr="00E03501">
        <w:t>Artículo 153. Tratándose de solicitudes de acceso a información formuladas mediante la Plataforma Nacional, se asignará automáticamente un número de folio, con el que los solicitantes podrán dar seguimiento a sus requerimientos. En los demás casos, la Unidad de Trasparencia tendrá que registrar y capturar la solicitud de acceso en la Plataforma Nacional y deberá enviar el acuse de recibo al solicitante, en el que se indique la fecha de recepción, el folio que corresponda y los plazos de respuesta aplicables”</w:t>
      </w:r>
    </w:p>
    <w:p w14:paraId="3A049313" w14:textId="77777777" w:rsidR="002D6A2D" w:rsidRPr="00E03501" w:rsidRDefault="002D6A2D" w:rsidP="00E03501">
      <w:pPr>
        <w:spacing w:line="276" w:lineRule="auto"/>
        <w:ind w:right="824"/>
        <w:rPr>
          <w:i/>
        </w:rPr>
      </w:pPr>
    </w:p>
    <w:p w14:paraId="5C8B0177" w14:textId="77777777" w:rsidR="002D6A2D" w:rsidRPr="00E03501" w:rsidRDefault="00354D75" w:rsidP="00E03501">
      <w:pPr>
        <w:numPr>
          <w:ilvl w:val="0"/>
          <w:numId w:val="1"/>
        </w:numPr>
        <w:ind w:right="-28"/>
        <w:rPr>
          <w:b/>
          <w:i/>
        </w:rPr>
      </w:pPr>
      <w:r w:rsidRPr="00E03501">
        <w:rPr>
          <w:b/>
          <w:i/>
        </w:rPr>
        <w:t xml:space="preserve">04OASTENANCIIP2024.PDF: </w:t>
      </w:r>
      <w:r w:rsidRPr="00E03501">
        <w:t>Documento sin título ni número de folio que contiene la respuesta del ente recurrido a los diversos requerimientos.</w:t>
      </w:r>
    </w:p>
    <w:p w14:paraId="5BC40998" w14:textId="77777777" w:rsidR="002D6A2D" w:rsidRPr="00E03501" w:rsidRDefault="002D6A2D" w:rsidP="00E03501">
      <w:pPr>
        <w:ind w:right="-28"/>
      </w:pPr>
    </w:p>
    <w:p w14:paraId="0AB1047B" w14:textId="77777777" w:rsidR="002D6A2D" w:rsidRPr="00E03501" w:rsidRDefault="00354D75" w:rsidP="00E03501">
      <w:pPr>
        <w:pStyle w:val="Ttulo2"/>
        <w:jc w:val="left"/>
      </w:pPr>
      <w:bookmarkStart w:id="12" w:name="_heading=h.2grqrue" w:colFirst="0" w:colLast="0"/>
      <w:bookmarkEnd w:id="12"/>
      <w:r w:rsidRPr="00E03501">
        <w:t>DEL RECURSO DE REVISIÓN</w:t>
      </w:r>
    </w:p>
    <w:p w14:paraId="4405AA9D" w14:textId="77777777" w:rsidR="002D6A2D" w:rsidRPr="00E03501" w:rsidRDefault="002D6A2D" w:rsidP="00E03501">
      <w:pPr>
        <w:ind w:right="-28"/>
      </w:pPr>
    </w:p>
    <w:p w14:paraId="286F3143" w14:textId="77777777" w:rsidR="002D6A2D" w:rsidRPr="00E03501" w:rsidRDefault="00354D75" w:rsidP="00E03501">
      <w:pPr>
        <w:pStyle w:val="Ttulo3"/>
      </w:pPr>
      <w:bookmarkStart w:id="13" w:name="_heading=h.vx1227" w:colFirst="0" w:colLast="0"/>
      <w:bookmarkEnd w:id="13"/>
      <w:r w:rsidRPr="00E03501">
        <w:lastRenderedPageBreak/>
        <w:t>a) Interposición del Recurso de Revisión</w:t>
      </w:r>
    </w:p>
    <w:p w14:paraId="4CC1A437" w14:textId="77777777" w:rsidR="002D6A2D" w:rsidRPr="00E03501" w:rsidRDefault="00354D75" w:rsidP="00E03501">
      <w:pPr>
        <w:ind w:right="-28"/>
      </w:pPr>
      <w:r w:rsidRPr="00E03501">
        <w:t xml:space="preserve">El </w:t>
      </w:r>
      <w:r w:rsidRPr="00E03501">
        <w:rPr>
          <w:b/>
        </w:rPr>
        <w:t>nueve de abril de dos mil veinticuatro,</w:t>
      </w:r>
      <w:r w:rsidRPr="00E03501">
        <w:t xml:space="preserve"> </w:t>
      </w:r>
      <w:r w:rsidRPr="00E03501">
        <w:rPr>
          <w:b/>
        </w:rPr>
        <w:t>LA PARTE RECURRENTE</w:t>
      </w:r>
      <w:r w:rsidRPr="00E03501">
        <w:t xml:space="preserve"> interpuso el recurso de revisión en contra de la respuesta emitida por el </w:t>
      </w:r>
      <w:r w:rsidRPr="00E03501">
        <w:rPr>
          <w:b/>
        </w:rPr>
        <w:t>SUJETO OBLIGADO</w:t>
      </w:r>
      <w:r w:rsidRPr="00E03501">
        <w:t xml:space="preserve">, mismo que fue registrado en el SAIMEX con el número de expediente </w:t>
      </w:r>
      <w:r w:rsidRPr="00E03501">
        <w:rPr>
          <w:b/>
        </w:rPr>
        <w:t>01812/INFOEM/IP/RR/2024</w:t>
      </w:r>
      <w:r w:rsidRPr="00E03501">
        <w:t>, y en el cual manifiesta lo siguiente:</w:t>
      </w:r>
    </w:p>
    <w:p w14:paraId="3BC5B9C2" w14:textId="77777777" w:rsidR="002D6A2D" w:rsidRPr="00E03501" w:rsidRDefault="002D6A2D" w:rsidP="00E03501">
      <w:pPr>
        <w:tabs>
          <w:tab w:val="left" w:pos="4667"/>
        </w:tabs>
        <w:ind w:right="539"/>
      </w:pPr>
    </w:p>
    <w:p w14:paraId="2B7410E8" w14:textId="77777777" w:rsidR="002D6A2D" w:rsidRPr="00E03501" w:rsidRDefault="00354D75" w:rsidP="00E03501">
      <w:pPr>
        <w:tabs>
          <w:tab w:val="left" w:pos="4667"/>
        </w:tabs>
        <w:ind w:left="567" w:right="539"/>
        <w:rPr>
          <w:b/>
        </w:rPr>
      </w:pPr>
      <w:r w:rsidRPr="00E03501">
        <w:rPr>
          <w:b/>
        </w:rPr>
        <w:t>ACTO IMPUGNADO</w:t>
      </w:r>
      <w:r w:rsidRPr="00E03501">
        <w:rPr>
          <w:b/>
        </w:rPr>
        <w:tab/>
      </w:r>
    </w:p>
    <w:p w14:paraId="1EB96E6C" w14:textId="77777777" w:rsidR="002D6A2D" w:rsidRPr="00E03501" w:rsidRDefault="00354D75" w:rsidP="00E03501">
      <w:pPr>
        <w:pStyle w:val="Puesto"/>
        <w:ind w:firstLine="567"/>
      </w:pPr>
      <w:r w:rsidRPr="00E03501">
        <w:t>“Solicito la siguiente información oficial: Cuánto se le paga a un fontanero y un peón por día en el OPDAPAS, desglose de cómo se obtuvo el costo del equipo (Cortadora de carrito y rotomartillo), se aclare o que signifique el término equipo y herramienta menor, y que significa o que incluye lo que mencionan como indirectos y cargos adicionales. Y el costo del equipo de corte con cortadora de carrito y rotomartillo eléctrico tiene un costo de $ 3,814.53” (Sic)</w:t>
      </w:r>
    </w:p>
    <w:p w14:paraId="4ACDEC6A" w14:textId="77777777" w:rsidR="002D6A2D" w:rsidRPr="00E03501" w:rsidRDefault="002D6A2D" w:rsidP="00E03501">
      <w:pPr>
        <w:pStyle w:val="Puesto"/>
        <w:ind w:firstLine="567"/>
      </w:pPr>
    </w:p>
    <w:p w14:paraId="58F38DC6" w14:textId="77777777" w:rsidR="002D6A2D" w:rsidRPr="00E03501" w:rsidRDefault="00354D75" w:rsidP="00E03501">
      <w:pPr>
        <w:tabs>
          <w:tab w:val="left" w:pos="4667"/>
        </w:tabs>
        <w:ind w:left="567" w:right="539"/>
        <w:rPr>
          <w:b/>
        </w:rPr>
      </w:pPr>
      <w:r w:rsidRPr="00E03501">
        <w:rPr>
          <w:b/>
        </w:rPr>
        <w:t>RAZONES O MOTIVOS DE LA INCONFORMIDAD</w:t>
      </w:r>
      <w:r w:rsidRPr="00E03501">
        <w:rPr>
          <w:b/>
        </w:rPr>
        <w:tab/>
      </w:r>
    </w:p>
    <w:p w14:paraId="1292DB05" w14:textId="77777777" w:rsidR="002D6A2D" w:rsidRPr="00E03501" w:rsidRDefault="00354D75" w:rsidP="00E03501">
      <w:pPr>
        <w:pStyle w:val="Puesto"/>
        <w:ind w:firstLine="567"/>
      </w:pPr>
      <w:r w:rsidRPr="00E03501">
        <w:t xml:space="preserve">“No se entregó cuanto se le paga a un fontanero y a un peón en el OPDAPAS. Solo se </w:t>
      </w:r>
      <w:proofErr w:type="spellStart"/>
      <w:r w:rsidRPr="00E03501">
        <w:t>envío</w:t>
      </w:r>
      <w:proofErr w:type="spellEnd"/>
      <w:r w:rsidRPr="00E03501">
        <w:t xml:space="preserve"> un desglose de una tabla que dice análisis de cuadrilla, donde se entiende que el fontanero gana $1,202.47 y el peón $710.18 por </w:t>
      </w:r>
      <w:proofErr w:type="spellStart"/>
      <w:r w:rsidRPr="00E03501">
        <w:t>jor</w:t>
      </w:r>
      <w:proofErr w:type="spellEnd"/>
      <w:r w:rsidRPr="00E03501">
        <w:t xml:space="preserve"> (Que tal vez sea jornalero). Eso es lo que oficialmente a fontanero y un peón les paga OPDAPAS diariamente</w:t>
      </w:r>
      <w:proofErr w:type="gramStart"/>
      <w:r w:rsidRPr="00E03501">
        <w:t>?</w:t>
      </w:r>
      <w:proofErr w:type="gramEnd"/>
      <w:r w:rsidRPr="00E03501">
        <w:t xml:space="preserve"> Solicito el monto oficial (Vía nomina o contrato) que se les paga al fontanero y peón de manera diaria. Y en costo del equipo de corte con cortadora y </w:t>
      </w:r>
      <w:proofErr w:type="spellStart"/>
      <w:r w:rsidRPr="00E03501">
        <w:t>rotomartillo</w:t>
      </w:r>
      <w:proofErr w:type="spellEnd"/>
      <w:r w:rsidRPr="00E03501">
        <w:t xml:space="preserve">, </w:t>
      </w:r>
      <w:proofErr w:type="spellStart"/>
      <w:r w:rsidRPr="00E03501">
        <w:t>envian</w:t>
      </w:r>
      <w:proofErr w:type="spellEnd"/>
      <w:r w:rsidRPr="00E03501">
        <w:t xml:space="preserve"> unas tablas de análisis de P.U (Qué significa P.U?), y obtienen en esas tablas los siguientes valores: Cortadora: $194.04 costo directo hora - maquinaria y Demoledor: $153.84 Costo directo hora -maquinaria. Cuantas horas trabajan los equipos para que se cobren los $ 3,814.53. Solicito se indique cuantas horas se necesita el equipo para colocar una toma domiciliaria,” (Sic)</w:t>
      </w:r>
    </w:p>
    <w:p w14:paraId="26E90C7C" w14:textId="77777777" w:rsidR="002D6A2D" w:rsidRPr="00E03501" w:rsidRDefault="002D6A2D" w:rsidP="00E03501">
      <w:pPr>
        <w:tabs>
          <w:tab w:val="left" w:pos="4667"/>
        </w:tabs>
        <w:ind w:right="567"/>
        <w:rPr>
          <w:b/>
        </w:rPr>
      </w:pPr>
    </w:p>
    <w:p w14:paraId="5590B754" w14:textId="77777777" w:rsidR="002D6A2D" w:rsidRPr="00E03501" w:rsidRDefault="00354D75" w:rsidP="00E03501">
      <w:pPr>
        <w:pStyle w:val="Ttulo3"/>
      </w:pPr>
      <w:bookmarkStart w:id="14" w:name="_heading=h.3fwokq0" w:colFirst="0" w:colLast="0"/>
      <w:bookmarkEnd w:id="14"/>
      <w:r w:rsidRPr="00E03501">
        <w:t>b) Turno del Recurso de Revisión</w:t>
      </w:r>
    </w:p>
    <w:p w14:paraId="2BD5F9E4" w14:textId="77777777" w:rsidR="002D6A2D" w:rsidRPr="00E03501" w:rsidRDefault="00354D75" w:rsidP="00E03501">
      <w:r w:rsidRPr="00E03501">
        <w:t>Con fundamento en el artículo 185, fracción I de la Ley de Transparencia y Acceso a la Información Pública del Estado de México y Municipios, el</w:t>
      </w:r>
      <w:r w:rsidRPr="00E03501">
        <w:rPr>
          <w:b/>
        </w:rPr>
        <w:t xml:space="preserve"> nueve de abril de dos mil </w:t>
      </w:r>
      <w:r w:rsidRPr="00E03501">
        <w:rPr>
          <w:b/>
        </w:rPr>
        <w:lastRenderedPageBreak/>
        <w:t xml:space="preserve">veinticuatro </w:t>
      </w:r>
      <w:r w:rsidRPr="00E03501">
        <w:t xml:space="preserve">se turnó el recurso de revisión a través del SAIMEX a la </w:t>
      </w:r>
      <w:r w:rsidRPr="00E03501">
        <w:rPr>
          <w:b/>
        </w:rPr>
        <w:t>Comisionada Sharon Cristina Morales Martínez</w:t>
      </w:r>
      <w:r w:rsidRPr="00E03501">
        <w:t xml:space="preserve">, a efecto de decretar su admisión o desechamiento. </w:t>
      </w:r>
    </w:p>
    <w:p w14:paraId="4AE07AA4" w14:textId="77777777" w:rsidR="002D6A2D" w:rsidRPr="00E03501" w:rsidRDefault="002D6A2D" w:rsidP="00E03501"/>
    <w:p w14:paraId="20CDC51D" w14:textId="77777777" w:rsidR="002D6A2D" w:rsidRPr="00E03501" w:rsidRDefault="00354D75" w:rsidP="00E03501">
      <w:pPr>
        <w:pStyle w:val="Ttulo3"/>
      </w:pPr>
      <w:bookmarkStart w:id="15" w:name="_heading=h.1v1yuxt" w:colFirst="0" w:colLast="0"/>
      <w:bookmarkEnd w:id="15"/>
      <w:r w:rsidRPr="00E03501">
        <w:t>c) Admisión del Recurso de Revisión</w:t>
      </w:r>
    </w:p>
    <w:p w14:paraId="110FB3B8" w14:textId="77777777" w:rsidR="002D6A2D" w:rsidRPr="00E03501" w:rsidRDefault="00354D75" w:rsidP="00E03501">
      <w:r w:rsidRPr="00E03501">
        <w:t xml:space="preserve">El </w:t>
      </w:r>
      <w:r w:rsidRPr="00E03501">
        <w:rPr>
          <w:b/>
        </w:rPr>
        <w:t>doce de abril de dos mil veinticuatro</w:t>
      </w:r>
      <w:r w:rsidRPr="00E03501">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26E4694" w14:textId="77777777" w:rsidR="002D6A2D" w:rsidRPr="00E03501" w:rsidRDefault="002D6A2D" w:rsidP="00E03501"/>
    <w:p w14:paraId="7B966019" w14:textId="77777777" w:rsidR="002D6A2D" w:rsidRPr="00E03501" w:rsidRDefault="00354D75" w:rsidP="00E03501">
      <w:pPr>
        <w:pStyle w:val="Ttulo3"/>
      </w:pPr>
      <w:bookmarkStart w:id="16" w:name="_heading=h.4f1mdlm" w:colFirst="0" w:colLast="0"/>
      <w:bookmarkEnd w:id="16"/>
      <w:r w:rsidRPr="00E03501">
        <w:t>d) Informe Justificado del Sujeto Obligado</w:t>
      </w:r>
    </w:p>
    <w:p w14:paraId="52F19219" w14:textId="77777777" w:rsidR="002D6A2D" w:rsidRPr="00E03501" w:rsidRDefault="00354D75" w:rsidP="00E03501">
      <w:r w:rsidRPr="00E03501">
        <w:t xml:space="preserve">Una vez transcurrido el plazo previsto, </w:t>
      </w:r>
      <w:r w:rsidRPr="00E03501">
        <w:rPr>
          <w:b/>
        </w:rPr>
        <w:t>EL SUJETO OBLIGADO</w:t>
      </w:r>
      <w:r w:rsidRPr="00E03501">
        <w:t xml:space="preserve"> fue omiso en rendir el Informe Justificado correspondiente. </w:t>
      </w:r>
    </w:p>
    <w:p w14:paraId="187E9C08" w14:textId="77777777" w:rsidR="002D6A2D" w:rsidRPr="00E03501" w:rsidRDefault="002D6A2D" w:rsidP="00E03501">
      <w:pPr>
        <w:ind w:right="539"/>
      </w:pPr>
    </w:p>
    <w:p w14:paraId="4C34954E" w14:textId="77777777" w:rsidR="002D6A2D" w:rsidRPr="00E03501" w:rsidRDefault="00354D75" w:rsidP="00E03501">
      <w:pPr>
        <w:pStyle w:val="Ttulo3"/>
      </w:pPr>
      <w:bookmarkStart w:id="17" w:name="_heading=h.2u6wntf" w:colFirst="0" w:colLast="0"/>
      <w:bookmarkEnd w:id="17"/>
      <w:r w:rsidRPr="00E03501">
        <w:t>e) Manifestaciones de la Parte Recurrente</w:t>
      </w:r>
    </w:p>
    <w:p w14:paraId="1850A63C" w14:textId="77777777" w:rsidR="002D6A2D" w:rsidRPr="00E03501" w:rsidRDefault="00354D75" w:rsidP="00E03501">
      <w:r w:rsidRPr="00E03501">
        <w:rPr>
          <w:b/>
        </w:rPr>
        <w:t xml:space="preserve">LA PARTE RECURRENTE </w:t>
      </w:r>
      <w:r w:rsidRPr="00E03501">
        <w:t>no realizó manifestación alguna dentro del término legalmente concedido para tal efecto, ni presentó pruebas o alegatos.</w:t>
      </w:r>
    </w:p>
    <w:p w14:paraId="6905F78E" w14:textId="77777777" w:rsidR="002D6A2D" w:rsidRPr="00E03501" w:rsidRDefault="002D6A2D" w:rsidP="00E03501">
      <w:pPr>
        <w:pStyle w:val="Ttulo3"/>
      </w:pPr>
      <w:bookmarkStart w:id="18" w:name="_heading=h.jbv663emqwei" w:colFirst="0" w:colLast="0"/>
      <w:bookmarkEnd w:id="18"/>
    </w:p>
    <w:p w14:paraId="24F6DF6D" w14:textId="77777777" w:rsidR="002D6A2D" w:rsidRPr="00E03501" w:rsidRDefault="00354D75" w:rsidP="00E03501">
      <w:pPr>
        <w:pStyle w:val="Ttulo3"/>
      </w:pPr>
      <w:bookmarkStart w:id="19" w:name="_heading=h.19c6y18" w:colFirst="0" w:colLast="0"/>
      <w:bookmarkEnd w:id="19"/>
      <w:r w:rsidRPr="00E03501">
        <w:t>f) Ampliación de plazo para resolver el Recurso de Revisión</w:t>
      </w:r>
    </w:p>
    <w:p w14:paraId="2DE60E19" w14:textId="77777777" w:rsidR="002D6A2D" w:rsidRPr="00E03501" w:rsidRDefault="00354D75" w:rsidP="00E03501">
      <w:pPr>
        <w:tabs>
          <w:tab w:val="left" w:pos="3261"/>
        </w:tabs>
      </w:pPr>
      <w:r w:rsidRPr="00E03501">
        <w:t xml:space="preserve">Con fundamento en lo dispuesto en el artículo 181, párrafo tercero, de la Ley de Transparencia y Acceso a la Información Pública del Estado de México y Municipios, </w:t>
      </w:r>
      <w:r w:rsidRPr="00E03501">
        <w:rPr>
          <w:b/>
        </w:rPr>
        <w:t xml:space="preserve">el veintidós de agosto de dos mil veinticuatro </w:t>
      </w:r>
      <w:r w:rsidRPr="00E03501">
        <w:t xml:space="preserve">se acordó ampliar por un periodo razonable el plazo para resolver el </w:t>
      </w:r>
      <w:r w:rsidRPr="00E03501">
        <w:lastRenderedPageBreak/>
        <w:t>presente Recurso de Revisión; acuerdo que fue notificado a las partes a través del SAIMEX el mismo día.</w:t>
      </w:r>
    </w:p>
    <w:p w14:paraId="6DB7A314" w14:textId="77777777" w:rsidR="002D6A2D" w:rsidRPr="00E03501" w:rsidRDefault="002D6A2D" w:rsidP="00E03501">
      <w:pPr>
        <w:tabs>
          <w:tab w:val="left" w:pos="3261"/>
        </w:tabs>
      </w:pPr>
    </w:p>
    <w:p w14:paraId="38F839D7" w14:textId="77777777" w:rsidR="002D6A2D" w:rsidRPr="00E03501" w:rsidRDefault="00354D75" w:rsidP="00E03501">
      <w:pPr>
        <w:pBdr>
          <w:top w:val="nil"/>
          <w:left w:val="nil"/>
          <w:bottom w:val="nil"/>
          <w:right w:val="nil"/>
          <w:between w:val="nil"/>
        </w:pBdr>
        <w:rPr>
          <w:rFonts w:eastAsia="Palatino Linotype" w:cs="Palatino Linotype"/>
          <w:szCs w:val="22"/>
        </w:rPr>
      </w:pPr>
      <w:r w:rsidRPr="00E03501">
        <w:rPr>
          <w:rFonts w:eastAsia="Palatino Linotype" w:cs="Palatino Linotype"/>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25CFC573" w14:textId="77777777" w:rsidR="002D6A2D" w:rsidRPr="00E03501" w:rsidRDefault="002D6A2D" w:rsidP="00E03501">
      <w:pPr>
        <w:pBdr>
          <w:top w:val="nil"/>
          <w:left w:val="nil"/>
          <w:bottom w:val="nil"/>
          <w:right w:val="nil"/>
          <w:between w:val="nil"/>
        </w:pBdr>
        <w:rPr>
          <w:rFonts w:eastAsia="Palatino Linotype" w:cs="Palatino Linotype"/>
          <w:szCs w:val="22"/>
        </w:rPr>
      </w:pPr>
    </w:p>
    <w:p w14:paraId="2ED6862C" w14:textId="77777777" w:rsidR="002D6A2D" w:rsidRPr="00E03501" w:rsidRDefault="00354D75" w:rsidP="00E03501">
      <w:pPr>
        <w:pBdr>
          <w:top w:val="nil"/>
          <w:left w:val="nil"/>
          <w:bottom w:val="nil"/>
          <w:right w:val="nil"/>
          <w:between w:val="nil"/>
        </w:pBdr>
        <w:rPr>
          <w:rFonts w:eastAsia="Palatino Linotype" w:cs="Palatino Linotype"/>
          <w:szCs w:val="22"/>
        </w:rPr>
      </w:pPr>
      <w:r w:rsidRPr="00E03501">
        <w:rPr>
          <w:rFonts w:eastAsia="Palatino Linotype" w:cs="Palatino Linotype"/>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76E62511" w14:textId="77777777" w:rsidR="002D6A2D" w:rsidRPr="00E03501" w:rsidRDefault="002D6A2D" w:rsidP="00E03501">
      <w:pPr>
        <w:pBdr>
          <w:top w:val="nil"/>
          <w:left w:val="nil"/>
          <w:bottom w:val="nil"/>
          <w:right w:val="nil"/>
          <w:between w:val="nil"/>
        </w:pBdr>
        <w:rPr>
          <w:rFonts w:eastAsia="Palatino Linotype" w:cs="Palatino Linotype"/>
          <w:szCs w:val="22"/>
        </w:rPr>
      </w:pPr>
    </w:p>
    <w:p w14:paraId="7628EA45" w14:textId="77777777" w:rsidR="002D6A2D" w:rsidRPr="00E03501" w:rsidRDefault="00354D75" w:rsidP="00E03501">
      <w:pPr>
        <w:pBdr>
          <w:top w:val="nil"/>
          <w:left w:val="nil"/>
          <w:bottom w:val="nil"/>
          <w:right w:val="nil"/>
          <w:between w:val="nil"/>
        </w:pBdr>
        <w:rPr>
          <w:rFonts w:eastAsia="Palatino Linotype" w:cs="Palatino Linotype"/>
          <w:szCs w:val="22"/>
        </w:rPr>
      </w:pPr>
      <w:r w:rsidRPr="00E03501">
        <w:rPr>
          <w:rFonts w:eastAsia="Palatino Linotype" w:cs="Palatino Linotype"/>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1AB044E4" w14:textId="77777777" w:rsidR="002D6A2D" w:rsidRPr="00E03501" w:rsidRDefault="002D6A2D" w:rsidP="00E03501">
      <w:pPr>
        <w:pBdr>
          <w:top w:val="nil"/>
          <w:left w:val="nil"/>
          <w:bottom w:val="nil"/>
          <w:right w:val="nil"/>
          <w:between w:val="nil"/>
        </w:pBdr>
        <w:rPr>
          <w:rFonts w:eastAsia="Palatino Linotype" w:cs="Palatino Linotype"/>
          <w:szCs w:val="22"/>
        </w:rPr>
      </w:pPr>
    </w:p>
    <w:p w14:paraId="774FA0FD" w14:textId="77777777" w:rsidR="002D6A2D" w:rsidRPr="00E03501" w:rsidRDefault="00354D75" w:rsidP="00E03501">
      <w:pPr>
        <w:pBdr>
          <w:top w:val="nil"/>
          <w:left w:val="nil"/>
          <w:bottom w:val="nil"/>
          <w:right w:val="nil"/>
          <w:between w:val="nil"/>
        </w:pBdr>
        <w:rPr>
          <w:rFonts w:eastAsia="Palatino Linotype" w:cs="Palatino Linotype"/>
          <w:szCs w:val="22"/>
        </w:rPr>
      </w:pPr>
      <w:r w:rsidRPr="00E03501">
        <w:rPr>
          <w:rFonts w:eastAsia="Palatino Linotype" w:cs="Palatino Linotype"/>
          <w:szCs w:val="22"/>
        </w:rPr>
        <w:t>Por ello, excepcionalmente, si un asunto es resuelto con posterioridad a los plazos señalados por la norma, debe analizarse la razonabilidad del tiempo necesario para su resolución, atentos a los siguientes criterios:</w:t>
      </w:r>
    </w:p>
    <w:p w14:paraId="44DFF2A9" w14:textId="77777777" w:rsidR="002D6A2D" w:rsidRPr="00E03501" w:rsidRDefault="002D6A2D" w:rsidP="00E03501">
      <w:pPr>
        <w:pBdr>
          <w:top w:val="nil"/>
          <w:left w:val="nil"/>
          <w:bottom w:val="nil"/>
          <w:right w:val="nil"/>
          <w:between w:val="nil"/>
        </w:pBdr>
        <w:rPr>
          <w:rFonts w:eastAsia="Palatino Linotype" w:cs="Palatino Linotype"/>
          <w:szCs w:val="22"/>
        </w:rPr>
      </w:pPr>
    </w:p>
    <w:p w14:paraId="5E6D14D6" w14:textId="77777777" w:rsidR="002D6A2D" w:rsidRPr="00E03501" w:rsidRDefault="00354D75" w:rsidP="00E03501">
      <w:pPr>
        <w:pBdr>
          <w:top w:val="nil"/>
          <w:left w:val="nil"/>
          <w:bottom w:val="nil"/>
          <w:right w:val="nil"/>
          <w:between w:val="nil"/>
        </w:pBdr>
        <w:ind w:left="567" w:right="539"/>
        <w:rPr>
          <w:rFonts w:eastAsia="Palatino Linotype" w:cs="Palatino Linotype"/>
          <w:szCs w:val="22"/>
        </w:rPr>
      </w:pPr>
      <w:r w:rsidRPr="00E03501">
        <w:rPr>
          <w:rFonts w:eastAsia="Palatino Linotype" w:cs="Palatino Linotype"/>
          <w:b/>
          <w:szCs w:val="22"/>
        </w:rPr>
        <w:t>Complejidad del asunto:</w:t>
      </w:r>
      <w:r w:rsidRPr="00E03501">
        <w:rPr>
          <w:rFonts w:eastAsia="Palatino Linotype" w:cs="Palatino Linotype"/>
          <w:szCs w:val="22"/>
        </w:rPr>
        <w:t xml:space="preserve"> La complejidad de la prueba, la pluralidad de sujetos procesales, el tiempo transcurrido, las características y contexto del recurso.</w:t>
      </w:r>
    </w:p>
    <w:p w14:paraId="19C52E9C" w14:textId="77777777" w:rsidR="002D6A2D" w:rsidRPr="00E03501" w:rsidRDefault="00354D75" w:rsidP="00E03501">
      <w:pPr>
        <w:pBdr>
          <w:top w:val="nil"/>
          <w:left w:val="nil"/>
          <w:bottom w:val="nil"/>
          <w:right w:val="nil"/>
          <w:between w:val="nil"/>
        </w:pBdr>
        <w:ind w:left="567" w:right="539"/>
        <w:rPr>
          <w:rFonts w:eastAsia="Palatino Linotype" w:cs="Palatino Linotype"/>
          <w:szCs w:val="22"/>
        </w:rPr>
      </w:pPr>
      <w:r w:rsidRPr="00E03501">
        <w:rPr>
          <w:rFonts w:eastAsia="Palatino Linotype" w:cs="Palatino Linotype"/>
          <w:b/>
          <w:szCs w:val="22"/>
        </w:rPr>
        <w:t>Actividad Procesal del interesado:</w:t>
      </w:r>
      <w:r w:rsidRPr="00E03501">
        <w:rPr>
          <w:rFonts w:eastAsia="Palatino Linotype" w:cs="Palatino Linotype"/>
          <w:szCs w:val="22"/>
        </w:rPr>
        <w:t xml:space="preserve"> Acciones u omisiones del interesado.</w:t>
      </w:r>
    </w:p>
    <w:p w14:paraId="3C99DA7C" w14:textId="77777777" w:rsidR="002D6A2D" w:rsidRPr="00E03501" w:rsidRDefault="00354D75" w:rsidP="00E03501">
      <w:pPr>
        <w:pBdr>
          <w:top w:val="nil"/>
          <w:left w:val="nil"/>
          <w:bottom w:val="nil"/>
          <w:right w:val="nil"/>
          <w:between w:val="nil"/>
        </w:pBdr>
        <w:ind w:left="567" w:right="539"/>
        <w:rPr>
          <w:rFonts w:eastAsia="Palatino Linotype" w:cs="Palatino Linotype"/>
          <w:szCs w:val="22"/>
        </w:rPr>
      </w:pPr>
      <w:r w:rsidRPr="00E03501">
        <w:rPr>
          <w:rFonts w:eastAsia="Palatino Linotype" w:cs="Palatino Linotype"/>
          <w:b/>
          <w:szCs w:val="22"/>
        </w:rPr>
        <w:t>Conducta de la Autoridad:</w:t>
      </w:r>
      <w:r w:rsidRPr="00E03501">
        <w:rPr>
          <w:rFonts w:eastAsia="Palatino Linotype" w:cs="Palatino Linotype"/>
          <w:szCs w:val="22"/>
        </w:rPr>
        <w:t xml:space="preserve"> Las Acciones u omisiones realizadas en el procedimiento. Así como si la autoridad actuó con la debida diligencia.</w:t>
      </w:r>
    </w:p>
    <w:p w14:paraId="755F8948" w14:textId="77777777" w:rsidR="002D6A2D" w:rsidRPr="00E03501" w:rsidRDefault="00354D75" w:rsidP="00E03501">
      <w:pPr>
        <w:pBdr>
          <w:top w:val="nil"/>
          <w:left w:val="nil"/>
          <w:bottom w:val="nil"/>
          <w:right w:val="nil"/>
          <w:between w:val="nil"/>
        </w:pBdr>
        <w:ind w:left="567" w:right="539"/>
        <w:rPr>
          <w:rFonts w:eastAsia="Palatino Linotype" w:cs="Palatino Linotype"/>
          <w:szCs w:val="22"/>
        </w:rPr>
      </w:pPr>
      <w:r w:rsidRPr="00E03501">
        <w:rPr>
          <w:rFonts w:eastAsia="Palatino Linotype" w:cs="Palatino Linotype"/>
          <w:b/>
          <w:szCs w:val="22"/>
        </w:rPr>
        <w:t>La afectación generada en la situación jurídica de la persona involucrada en el proceso:</w:t>
      </w:r>
      <w:r w:rsidRPr="00E03501">
        <w:rPr>
          <w:rFonts w:eastAsia="Palatino Linotype" w:cs="Palatino Linotype"/>
          <w:szCs w:val="22"/>
        </w:rPr>
        <w:t xml:space="preserve"> Violación a sus derechos humanos.</w:t>
      </w:r>
    </w:p>
    <w:p w14:paraId="6D227EDF" w14:textId="77777777" w:rsidR="002D6A2D" w:rsidRPr="00E03501" w:rsidRDefault="002D6A2D" w:rsidP="00E03501">
      <w:pPr>
        <w:pBdr>
          <w:top w:val="nil"/>
          <w:left w:val="nil"/>
          <w:bottom w:val="nil"/>
          <w:right w:val="nil"/>
          <w:between w:val="nil"/>
        </w:pBdr>
        <w:ind w:left="567" w:right="539"/>
        <w:rPr>
          <w:rFonts w:eastAsia="Palatino Linotype" w:cs="Palatino Linotype"/>
          <w:szCs w:val="22"/>
        </w:rPr>
      </w:pPr>
    </w:p>
    <w:p w14:paraId="5F6A2A9E" w14:textId="77777777" w:rsidR="002D6A2D" w:rsidRPr="00E03501" w:rsidRDefault="00354D75" w:rsidP="00E03501">
      <w:pPr>
        <w:pBdr>
          <w:top w:val="nil"/>
          <w:left w:val="nil"/>
          <w:bottom w:val="nil"/>
          <w:right w:val="nil"/>
          <w:between w:val="nil"/>
        </w:pBdr>
        <w:rPr>
          <w:rFonts w:eastAsia="Palatino Linotype" w:cs="Palatino Linotype"/>
          <w:szCs w:val="22"/>
        </w:rPr>
      </w:pPr>
      <w:r w:rsidRPr="00E03501">
        <w:rPr>
          <w:rFonts w:eastAsia="Palatino Linotype" w:cs="Palatino Linotype"/>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6F1E81D" w14:textId="77777777" w:rsidR="002D6A2D" w:rsidRPr="00E03501" w:rsidRDefault="002D6A2D" w:rsidP="00E03501">
      <w:pPr>
        <w:pBdr>
          <w:top w:val="nil"/>
          <w:left w:val="nil"/>
          <w:bottom w:val="nil"/>
          <w:right w:val="nil"/>
          <w:between w:val="nil"/>
        </w:pBdr>
        <w:rPr>
          <w:rFonts w:eastAsia="Palatino Linotype" w:cs="Palatino Linotype"/>
          <w:szCs w:val="22"/>
        </w:rPr>
      </w:pPr>
    </w:p>
    <w:p w14:paraId="0962458E" w14:textId="77777777" w:rsidR="002D6A2D" w:rsidRPr="00E03501" w:rsidRDefault="00354D75" w:rsidP="00E03501">
      <w:pPr>
        <w:pBdr>
          <w:top w:val="nil"/>
          <w:left w:val="nil"/>
          <w:bottom w:val="nil"/>
          <w:right w:val="nil"/>
          <w:between w:val="nil"/>
        </w:pBdr>
        <w:rPr>
          <w:rFonts w:eastAsia="Palatino Linotype" w:cs="Palatino Linotype"/>
          <w:szCs w:val="22"/>
        </w:rPr>
      </w:pPr>
      <w:r w:rsidRPr="00E03501">
        <w:rPr>
          <w:rFonts w:eastAsia="Palatino Linotype" w:cs="Palatino Linotype"/>
          <w:szCs w:val="22"/>
        </w:rPr>
        <w:t>Argumento que encuentra sustento en la jurisprudencia P./J. 32/92 emitida por el Pleno de la Suprema Corte de Justicia de la Nación de rubro “</w:t>
      </w:r>
      <w:r w:rsidRPr="00E03501">
        <w:rPr>
          <w:rFonts w:eastAsia="Palatino Linotype" w:cs="Palatino Linotype"/>
          <w:b/>
          <w:szCs w:val="22"/>
        </w:rPr>
        <w:t>TÉRMINOS PROCESALES. PARA DETERMINAR SI UN FUNCIONARIO JUDICIAL ACTUÓ INDEBIDAMENTE POR NO RESPETARLOS SE DEBE ATENDER AL PRESUPUESTO QUE CONSIDERÓ EL LEGISLADOR AL FIJARLOS Y LAS CARACTERÍSTICAS DEL CASO</w:t>
      </w:r>
      <w:r w:rsidRPr="00E03501">
        <w:rPr>
          <w:rFonts w:eastAsia="Palatino Linotype" w:cs="Palatino Linotype"/>
          <w:szCs w:val="22"/>
        </w:rPr>
        <w:t>.”, visible en la Gaceta del Seminario Judicial de la Federación con el registro digital 205635.</w:t>
      </w:r>
    </w:p>
    <w:p w14:paraId="1A1301B9" w14:textId="77777777" w:rsidR="002D6A2D" w:rsidRPr="00E03501" w:rsidRDefault="002D6A2D" w:rsidP="00E03501">
      <w:pPr>
        <w:pBdr>
          <w:top w:val="nil"/>
          <w:left w:val="nil"/>
          <w:bottom w:val="nil"/>
          <w:right w:val="nil"/>
          <w:between w:val="nil"/>
        </w:pBdr>
        <w:rPr>
          <w:rFonts w:eastAsia="Palatino Linotype" w:cs="Palatino Linotype"/>
          <w:szCs w:val="22"/>
        </w:rPr>
      </w:pPr>
    </w:p>
    <w:p w14:paraId="6635E554" w14:textId="77777777" w:rsidR="002D6A2D" w:rsidRPr="00E03501" w:rsidRDefault="00354D75" w:rsidP="00E03501">
      <w:pPr>
        <w:pBdr>
          <w:top w:val="nil"/>
          <w:left w:val="nil"/>
          <w:bottom w:val="nil"/>
          <w:right w:val="nil"/>
          <w:between w:val="nil"/>
        </w:pBdr>
        <w:rPr>
          <w:rFonts w:eastAsia="Palatino Linotype" w:cs="Palatino Linotype"/>
          <w:szCs w:val="22"/>
        </w:rPr>
      </w:pPr>
      <w:r w:rsidRPr="00E03501">
        <w:rPr>
          <w:rFonts w:eastAsia="Palatino Linotype" w:cs="Palatino Linotype"/>
          <w:szCs w:val="22"/>
        </w:rPr>
        <w:t xml:space="preserve">Razones por las cuales cabe concluir que la resolución al recurso de revisión se solventa hasta esta fecha, debido a que existe una excesiva carga de trabajo en desproporción a la capacidad </w:t>
      </w:r>
      <w:r w:rsidRPr="00E03501">
        <w:rPr>
          <w:rFonts w:eastAsia="Palatino Linotype" w:cs="Palatino Linotype"/>
          <w:szCs w:val="22"/>
        </w:rPr>
        <w:lastRenderedPageBreak/>
        <w:t>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CABC086" w14:textId="77777777" w:rsidR="002D6A2D" w:rsidRPr="00E03501" w:rsidRDefault="002D6A2D" w:rsidP="00E03501">
      <w:pPr>
        <w:pBdr>
          <w:top w:val="nil"/>
          <w:left w:val="nil"/>
          <w:bottom w:val="nil"/>
          <w:right w:val="nil"/>
          <w:between w:val="nil"/>
        </w:pBdr>
        <w:rPr>
          <w:rFonts w:eastAsia="Palatino Linotype" w:cs="Palatino Linotype"/>
          <w:szCs w:val="22"/>
        </w:rPr>
      </w:pPr>
    </w:p>
    <w:p w14:paraId="2405BBEF" w14:textId="77777777" w:rsidR="002D6A2D" w:rsidRPr="00E03501" w:rsidRDefault="00354D75" w:rsidP="00E03501">
      <w:pPr>
        <w:pBdr>
          <w:top w:val="nil"/>
          <w:left w:val="nil"/>
          <w:bottom w:val="nil"/>
          <w:right w:val="nil"/>
          <w:between w:val="nil"/>
        </w:pBdr>
        <w:rPr>
          <w:rFonts w:eastAsia="Palatino Linotype" w:cs="Palatino Linotype"/>
          <w:szCs w:val="22"/>
        </w:rPr>
      </w:pPr>
      <w:r w:rsidRPr="00E03501">
        <w:rPr>
          <w:rFonts w:eastAsia="Palatino Linotype" w:cs="Palatino Linotype"/>
          <w:szCs w:val="22"/>
        </w:rPr>
        <w:t>Al respecto, también son de considerar los criterios sostenidos por el Cuarto Tribunal Colegiado en Materia Administrativa del Primer Circuito, cuyos rubros y datos de identificación son los siguientes:</w:t>
      </w:r>
    </w:p>
    <w:p w14:paraId="0B077ED8" w14:textId="77777777" w:rsidR="002D6A2D" w:rsidRPr="00E03501" w:rsidRDefault="002D6A2D" w:rsidP="00E03501">
      <w:pPr>
        <w:pBdr>
          <w:top w:val="nil"/>
          <w:left w:val="nil"/>
          <w:bottom w:val="nil"/>
          <w:right w:val="nil"/>
          <w:between w:val="nil"/>
        </w:pBdr>
        <w:rPr>
          <w:rFonts w:eastAsia="Palatino Linotype" w:cs="Palatino Linotype"/>
          <w:szCs w:val="22"/>
        </w:rPr>
      </w:pPr>
    </w:p>
    <w:p w14:paraId="3999CEBB" w14:textId="77777777" w:rsidR="002D6A2D" w:rsidRPr="00E03501" w:rsidRDefault="00354D75" w:rsidP="00E03501">
      <w:pPr>
        <w:pStyle w:val="Puesto"/>
        <w:ind w:firstLine="567"/>
        <w:rPr>
          <w:sz w:val="20"/>
          <w:szCs w:val="20"/>
        </w:rPr>
      </w:pPr>
      <w:r w:rsidRPr="00E03501">
        <w:rPr>
          <w:b/>
          <w:sz w:val="20"/>
          <w:szCs w:val="20"/>
        </w:rPr>
        <w:t>“PLAZO RAZONABLE PARA RESOLVER. DIMENSIÓN Y EFECTOS DE ESTE CONCEPTO CUANDO SE ADUCE EXCESIVA CARGA DE TRABAJO.”</w:t>
      </w:r>
      <w:r w:rsidRPr="00E03501">
        <w:rPr>
          <w:sz w:val="20"/>
          <w:szCs w:val="20"/>
        </w:rPr>
        <w:t xml:space="preserve"> consultable en el Seminario Judicial de la Federación y su gaceta, con el registro digital 2002351.</w:t>
      </w:r>
    </w:p>
    <w:p w14:paraId="5C9CA07E" w14:textId="77777777" w:rsidR="002D6A2D" w:rsidRPr="00E03501" w:rsidRDefault="002D6A2D" w:rsidP="00E03501">
      <w:pPr>
        <w:pStyle w:val="Puesto"/>
        <w:ind w:firstLine="567"/>
        <w:rPr>
          <w:sz w:val="20"/>
          <w:szCs w:val="20"/>
        </w:rPr>
      </w:pPr>
    </w:p>
    <w:p w14:paraId="7FC5E354" w14:textId="77777777" w:rsidR="002D6A2D" w:rsidRPr="00E03501" w:rsidRDefault="00354D75" w:rsidP="00E03501">
      <w:pPr>
        <w:pStyle w:val="Puesto"/>
        <w:ind w:firstLine="567"/>
        <w:rPr>
          <w:sz w:val="20"/>
          <w:szCs w:val="20"/>
        </w:rPr>
      </w:pPr>
      <w:r w:rsidRPr="00E03501">
        <w:rPr>
          <w:b/>
          <w:sz w:val="20"/>
          <w:szCs w:val="20"/>
        </w:rPr>
        <w:t>“PLAZO RAZONABLE PARA RESOLVER. CONCEPTO Y ELEMENTOS QUE LO INTEGRAN A LA LUZ DEL DERECHO INTERNACIONAL DE LOS DERECHOS HUMANOS</w:t>
      </w:r>
      <w:r w:rsidRPr="00E03501">
        <w:rPr>
          <w:sz w:val="20"/>
          <w:szCs w:val="20"/>
        </w:rPr>
        <w:t>.”, visible en el Seminario Judicial de la Federación y su gaceta, con el registro digital 2002350.</w:t>
      </w:r>
    </w:p>
    <w:p w14:paraId="65AEFA62" w14:textId="77777777" w:rsidR="002D6A2D" w:rsidRPr="00E03501" w:rsidRDefault="002D6A2D" w:rsidP="00E03501">
      <w:pPr>
        <w:pBdr>
          <w:top w:val="nil"/>
          <w:left w:val="nil"/>
          <w:bottom w:val="nil"/>
          <w:right w:val="nil"/>
          <w:between w:val="nil"/>
        </w:pBdr>
        <w:rPr>
          <w:rFonts w:eastAsia="Palatino Linotype" w:cs="Palatino Linotype"/>
          <w:szCs w:val="22"/>
        </w:rPr>
      </w:pPr>
    </w:p>
    <w:p w14:paraId="04C87EF6" w14:textId="77777777" w:rsidR="002D6A2D" w:rsidRPr="00E03501" w:rsidRDefault="00354D75" w:rsidP="00E03501">
      <w:pPr>
        <w:pBdr>
          <w:top w:val="nil"/>
          <w:left w:val="nil"/>
          <w:bottom w:val="nil"/>
          <w:right w:val="nil"/>
          <w:between w:val="nil"/>
        </w:pBdr>
        <w:rPr>
          <w:rFonts w:eastAsia="Palatino Linotype" w:cs="Palatino Linotype"/>
          <w:szCs w:val="22"/>
        </w:rPr>
      </w:pPr>
      <w:r w:rsidRPr="00E03501">
        <w:rPr>
          <w:rFonts w:eastAsia="Palatino Linotype" w:cs="Palatino Linotype"/>
          <w:szCs w:val="22"/>
        </w:rPr>
        <w:t>Por ello, este organismo garante comprometido con la tutela de los derechos humanos confiados señala que este exceso del plazo legal para resolver el asunto resulta de carácter excepcional.</w:t>
      </w:r>
    </w:p>
    <w:p w14:paraId="1ABB526D" w14:textId="77777777" w:rsidR="002D6A2D" w:rsidRPr="00E03501" w:rsidRDefault="002D6A2D" w:rsidP="00E03501">
      <w:pPr>
        <w:pBdr>
          <w:top w:val="nil"/>
          <w:left w:val="nil"/>
          <w:bottom w:val="nil"/>
          <w:right w:val="nil"/>
          <w:between w:val="nil"/>
        </w:pBdr>
        <w:rPr>
          <w:rFonts w:eastAsia="Palatino Linotype" w:cs="Palatino Linotype"/>
          <w:szCs w:val="22"/>
        </w:rPr>
      </w:pPr>
    </w:p>
    <w:p w14:paraId="1F55D5C6" w14:textId="77777777" w:rsidR="002D6A2D" w:rsidRPr="00E03501" w:rsidRDefault="00354D75" w:rsidP="00E03501">
      <w:pPr>
        <w:pStyle w:val="Ttulo3"/>
      </w:pPr>
      <w:bookmarkStart w:id="20" w:name="_heading=h.3tbugp1" w:colFirst="0" w:colLast="0"/>
      <w:bookmarkEnd w:id="20"/>
      <w:r w:rsidRPr="00E03501">
        <w:lastRenderedPageBreak/>
        <w:t>g) Cierre de instrucción</w:t>
      </w:r>
    </w:p>
    <w:p w14:paraId="3AF6CCEB" w14:textId="77777777" w:rsidR="002D6A2D" w:rsidRPr="00E03501" w:rsidRDefault="00354D75" w:rsidP="00E03501">
      <w:bookmarkStart w:id="21" w:name="_heading=h.z337ya" w:colFirst="0" w:colLast="0"/>
      <w:bookmarkEnd w:id="21"/>
      <w:r w:rsidRPr="00E03501">
        <w:t xml:space="preserve">Al no existir diligencias pendientes por desahogar, el </w:t>
      </w:r>
      <w:r w:rsidRPr="00E03501">
        <w:rPr>
          <w:b/>
        </w:rPr>
        <w:t xml:space="preserve">veintisiete de agosto de dos mil veinticuatro </w:t>
      </w:r>
      <w:r w:rsidRPr="00E03501">
        <w:t xml:space="preserve">la </w:t>
      </w:r>
      <w:r w:rsidRPr="00E03501">
        <w:rPr>
          <w:b/>
        </w:rPr>
        <w:t xml:space="preserve">Comisionada Sharon Cristina Morales Martínez </w:t>
      </w:r>
      <w:r w:rsidRPr="00E03501">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292031DB" w14:textId="77777777" w:rsidR="002D6A2D" w:rsidRPr="00E03501" w:rsidRDefault="002D6A2D" w:rsidP="00E03501"/>
    <w:p w14:paraId="53257A45" w14:textId="77777777" w:rsidR="002D6A2D" w:rsidRPr="00E03501" w:rsidRDefault="00354D75" w:rsidP="00E03501">
      <w:pPr>
        <w:pStyle w:val="Ttulo1"/>
      </w:pPr>
      <w:bookmarkStart w:id="22" w:name="_heading=h.28h4qwu" w:colFirst="0" w:colLast="0"/>
      <w:bookmarkEnd w:id="22"/>
      <w:r w:rsidRPr="00E03501">
        <w:t>CONSIDERANDOS</w:t>
      </w:r>
    </w:p>
    <w:p w14:paraId="5FD08F7E" w14:textId="77777777" w:rsidR="002D6A2D" w:rsidRPr="00E03501" w:rsidRDefault="002D6A2D" w:rsidP="00E03501">
      <w:pPr>
        <w:jc w:val="center"/>
        <w:rPr>
          <w:b/>
        </w:rPr>
      </w:pPr>
    </w:p>
    <w:p w14:paraId="5F1DBA3A" w14:textId="77777777" w:rsidR="002D6A2D" w:rsidRPr="00E03501" w:rsidRDefault="00354D75" w:rsidP="00E03501">
      <w:pPr>
        <w:pStyle w:val="Ttulo2"/>
      </w:pPr>
      <w:bookmarkStart w:id="23" w:name="_heading=h.nmf14n" w:colFirst="0" w:colLast="0"/>
      <w:bookmarkEnd w:id="23"/>
      <w:r w:rsidRPr="00E03501">
        <w:t>PRIMERO. Procedibilidad</w:t>
      </w:r>
    </w:p>
    <w:p w14:paraId="127E1AAA" w14:textId="77777777" w:rsidR="002D6A2D" w:rsidRPr="00E03501" w:rsidRDefault="00354D75" w:rsidP="00E03501">
      <w:pPr>
        <w:pStyle w:val="Ttulo3"/>
      </w:pPr>
      <w:bookmarkStart w:id="24" w:name="_heading=h.37m2jsg" w:colFirst="0" w:colLast="0"/>
      <w:bookmarkEnd w:id="24"/>
      <w:r w:rsidRPr="00E03501">
        <w:t>a) Competencia del Instituto</w:t>
      </w:r>
    </w:p>
    <w:p w14:paraId="0AD1AC33" w14:textId="77777777" w:rsidR="002D6A2D" w:rsidRPr="00E03501" w:rsidRDefault="00354D75" w:rsidP="00E03501">
      <w:r w:rsidRPr="00E03501">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8C7DC19" w14:textId="77777777" w:rsidR="002D6A2D" w:rsidRPr="00E03501" w:rsidRDefault="002D6A2D" w:rsidP="00E03501"/>
    <w:p w14:paraId="16536E12" w14:textId="77777777" w:rsidR="002D6A2D" w:rsidRPr="00E03501" w:rsidRDefault="00354D75" w:rsidP="00E03501">
      <w:pPr>
        <w:pStyle w:val="Ttulo3"/>
      </w:pPr>
      <w:bookmarkStart w:id="25" w:name="_heading=h.1mrcu09" w:colFirst="0" w:colLast="0"/>
      <w:bookmarkEnd w:id="25"/>
      <w:r w:rsidRPr="00E03501">
        <w:lastRenderedPageBreak/>
        <w:t>b) Legitimidad de la parte recurrente</w:t>
      </w:r>
    </w:p>
    <w:p w14:paraId="19B26ADA" w14:textId="77777777" w:rsidR="002D6A2D" w:rsidRPr="00E03501" w:rsidRDefault="00354D75" w:rsidP="00E03501">
      <w:r w:rsidRPr="00E03501">
        <w:t>El recurso de revisión fue interpuesto por parte legítima, ya que se presentó por la misma persona que formuló la solicitud de acceso a la Información Pública,</w:t>
      </w:r>
      <w:r w:rsidRPr="00E03501">
        <w:rPr>
          <w:b/>
        </w:rPr>
        <w:t xml:space="preserve"> </w:t>
      </w:r>
      <w:r w:rsidRPr="00E03501">
        <w:t>debido a que los datos de acceso</w:t>
      </w:r>
      <w:r w:rsidRPr="00E03501">
        <w:rPr>
          <w:b/>
        </w:rPr>
        <w:t xml:space="preserve"> </w:t>
      </w:r>
      <w:r w:rsidRPr="00E03501">
        <w:t>SAIMEX son personales e irrepetibles.</w:t>
      </w:r>
    </w:p>
    <w:p w14:paraId="6CB9FD84" w14:textId="77777777" w:rsidR="002D6A2D" w:rsidRPr="00E03501" w:rsidRDefault="002D6A2D" w:rsidP="00E03501"/>
    <w:p w14:paraId="363FA65E" w14:textId="77777777" w:rsidR="002D6A2D" w:rsidRPr="00E03501" w:rsidRDefault="00354D75" w:rsidP="00E03501">
      <w:pPr>
        <w:pStyle w:val="Ttulo3"/>
      </w:pPr>
      <w:bookmarkStart w:id="26" w:name="_heading=h.46r0co2" w:colFirst="0" w:colLast="0"/>
      <w:bookmarkEnd w:id="26"/>
      <w:r w:rsidRPr="00E03501">
        <w:t>c) Plazo para interponer el recurso</w:t>
      </w:r>
    </w:p>
    <w:p w14:paraId="42DE2FE7" w14:textId="77777777" w:rsidR="002D6A2D" w:rsidRPr="00E03501" w:rsidRDefault="00354D75" w:rsidP="00E03501">
      <w:bookmarkStart w:id="27" w:name="_heading=h.3whwml4" w:colFirst="0" w:colLast="0"/>
      <w:bookmarkEnd w:id="27"/>
      <w:r w:rsidRPr="00E03501">
        <w:rPr>
          <w:b/>
        </w:rPr>
        <w:t>EL SUJETO OBLIGADO</w:t>
      </w:r>
      <w:r w:rsidRPr="00E03501">
        <w:t xml:space="preserve"> notificó la respuesta a la solicitud de acceso a la Información Pública el </w:t>
      </w:r>
      <w:r w:rsidRPr="00E03501">
        <w:rPr>
          <w:b/>
        </w:rPr>
        <w:t xml:space="preserve">veintiséis de marzo de dos mil veinticuatro </w:t>
      </w:r>
      <w:r w:rsidRPr="00E03501">
        <w:t xml:space="preserve">y el recurso que nos ocupa se interpuso el </w:t>
      </w:r>
      <w:r w:rsidRPr="00E03501">
        <w:rPr>
          <w:b/>
        </w:rPr>
        <w:t>nueve de abril de dos mil veinticuatro</w:t>
      </w:r>
      <w:r w:rsidRPr="00E03501">
        <w:t xml:space="preserve">; por lo tanto, éste se encuentra dentro del margen temporal previsto en el artículo 178 de la Ley de Transparencia y Acceso a la Información Pública del Estado de México y Municipios, el cual transcurrió del </w:t>
      </w:r>
      <w:r w:rsidRPr="00E03501">
        <w:rPr>
          <w:b/>
        </w:rPr>
        <w:t>dos al veintidós de abril de dos mil veinticuatro</w:t>
      </w:r>
      <w:r w:rsidRPr="00E03501">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60E07CE5" w14:textId="77777777" w:rsidR="002D6A2D" w:rsidRPr="00E03501" w:rsidRDefault="002D6A2D" w:rsidP="00E03501"/>
    <w:p w14:paraId="1F243E13" w14:textId="77777777" w:rsidR="002D6A2D" w:rsidRPr="00E03501" w:rsidRDefault="00354D75" w:rsidP="00E03501">
      <w:pPr>
        <w:pStyle w:val="Ttulo3"/>
      </w:pPr>
      <w:bookmarkStart w:id="28" w:name="_heading=h.2lwamvv" w:colFirst="0" w:colLast="0"/>
      <w:bookmarkEnd w:id="28"/>
      <w:r w:rsidRPr="00E03501">
        <w:t>d) Interés legítimo</w:t>
      </w:r>
    </w:p>
    <w:p w14:paraId="4C6E336C" w14:textId="77777777" w:rsidR="002D6A2D" w:rsidRPr="00E03501" w:rsidRDefault="00354D75" w:rsidP="00E03501">
      <w:r w:rsidRPr="00E03501">
        <w:t>Resulta procedente la interposición del recurso de revisión, ya que se actualiza la causal de procedencia señalada en el artículo 179, fracción V de la Ley de Transparencia y Acceso a la Información Pública del Estado de México y Municipios.</w:t>
      </w:r>
    </w:p>
    <w:p w14:paraId="3AB78BE1" w14:textId="77777777" w:rsidR="002D6A2D" w:rsidRPr="00E03501" w:rsidRDefault="002D6A2D" w:rsidP="00E03501"/>
    <w:p w14:paraId="2E7E01D1" w14:textId="77777777" w:rsidR="002D6A2D" w:rsidRPr="00E03501" w:rsidRDefault="00354D75" w:rsidP="00E03501">
      <w:pPr>
        <w:pStyle w:val="Ttulo3"/>
      </w:pPr>
      <w:bookmarkStart w:id="29" w:name="_heading=h.111kx3o" w:colFirst="0" w:colLast="0"/>
      <w:bookmarkEnd w:id="29"/>
      <w:r w:rsidRPr="00E03501">
        <w:lastRenderedPageBreak/>
        <w:t>e) Requisitos formales para la interposición del recurso</w:t>
      </w:r>
    </w:p>
    <w:p w14:paraId="331888EA" w14:textId="77777777" w:rsidR="002D6A2D" w:rsidRPr="00E03501" w:rsidRDefault="00354D75" w:rsidP="00E03501">
      <w:pPr>
        <w:rPr>
          <w:sz w:val="24"/>
          <w:szCs w:val="24"/>
        </w:rPr>
      </w:pPr>
      <w:r w:rsidRPr="00E03501">
        <w:rPr>
          <w:b/>
        </w:rPr>
        <w:t xml:space="preserve">LA PARTE RECURRENTE </w:t>
      </w:r>
      <w:r w:rsidRPr="00E03501">
        <w:t>acreditó todos y cada uno de los elementos formales exigidos por el artículo 180 de la misma normatividad.</w:t>
      </w:r>
    </w:p>
    <w:p w14:paraId="4F49589E" w14:textId="77777777" w:rsidR="002D6A2D" w:rsidRPr="00E03501" w:rsidRDefault="002D6A2D" w:rsidP="00E03501">
      <w:pPr>
        <w:ind w:left="-57"/>
      </w:pPr>
    </w:p>
    <w:p w14:paraId="4BD9768C" w14:textId="77777777" w:rsidR="002D6A2D" w:rsidRPr="00E03501" w:rsidRDefault="00354D75" w:rsidP="00E03501">
      <w:pPr>
        <w:pStyle w:val="Ttulo2"/>
      </w:pPr>
      <w:bookmarkStart w:id="30" w:name="_heading=h.3l18frh" w:colFirst="0" w:colLast="0"/>
      <w:bookmarkEnd w:id="30"/>
      <w:r w:rsidRPr="00E03501">
        <w:t>SEGUNDO. Estudio de Fondo</w:t>
      </w:r>
    </w:p>
    <w:p w14:paraId="70A5A7D5" w14:textId="77777777" w:rsidR="002D6A2D" w:rsidRPr="00E03501" w:rsidRDefault="00354D75" w:rsidP="00E03501">
      <w:pPr>
        <w:pStyle w:val="Ttulo3"/>
      </w:pPr>
      <w:bookmarkStart w:id="31" w:name="_heading=h.206ipza" w:colFirst="0" w:colLast="0"/>
      <w:bookmarkEnd w:id="31"/>
      <w:r w:rsidRPr="00E03501">
        <w:t>a) Mandato de transparencia y responsabilidad del Sujeto Obligado</w:t>
      </w:r>
    </w:p>
    <w:p w14:paraId="1E248174" w14:textId="77777777" w:rsidR="002D6A2D" w:rsidRPr="00E03501" w:rsidRDefault="00354D75" w:rsidP="00E03501">
      <w:r w:rsidRPr="00E03501">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79870858" w14:textId="77777777" w:rsidR="002D6A2D" w:rsidRPr="00E03501" w:rsidRDefault="002D6A2D" w:rsidP="00E03501"/>
    <w:p w14:paraId="4C580391" w14:textId="77777777" w:rsidR="002D6A2D" w:rsidRPr="00E03501" w:rsidRDefault="00354D75" w:rsidP="00E03501">
      <w:pPr>
        <w:spacing w:line="240" w:lineRule="auto"/>
        <w:ind w:left="567" w:right="539"/>
        <w:rPr>
          <w:b/>
          <w:i/>
        </w:rPr>
      </w:pPr>
      <w:r w:rsidRPr="00E03501">
        <w:rPr>
          <w:b/>
          <w:i/>
        </w:rPr>
        <w:t>Constitución Política de los Estados Unidos Mexicanos</w:t>
      </w:r>
    </w:p>
    <w:p w14:paraId="678DA538" w14:textId="77777777" w:rsidR="002D6A2D" w:rsidRPr="00E03501" w:rsidRDefault="00354D75" w:rsidP="00E03501">
      <w:pPr>
        <w:spacing w:line="240" w:lineRule="auto"/>
        <w:ind w:left="567" w:right="539"/>
        <w:rPr>
          <w:b/>
          <w:i/>
        </w:rPr>
      </w:pPr>
      <w:r w:rsidRPr="00E03501">
        <w:rPr>
          <w:b/>
          <w:i/>
        </w:rPr>
        <w:t>“Artículo 6.</w:t>
      </w:r>
    </w:p>
    <w:p w14:paraId="4008437D" w14:textId="77777777" w:rsidR="002D6A2D" w:rsidRPr="00E03501" w:rsidRDefault="00354D75" w:rsidP="00E03501">
      <w:pPr>
        <w:spacing w:line="240" w:lineRule="auto"/>
        <w:ind w:left="567" w:right="539"/>
        <w:rPr>
          <w:i/>
        </w:rPr>
      </w:pPr>
      <w:r w:rsidRPr="00E03501">
        <w:rPr>
          <w:i/>
        </w:rPr>
        <w:t>(…)</w:t>
      </w:r>
    </w:p>
    <w:p w14:paraId="1811ECB4" w14:textId="77777777" w:rsidR="002D6A2D" w:rsidRPr="00E03501" w:rsidRDefault="00354D75" w:rsidP="00E03501">
      <w:pPr>
        <w:spacing w:line="240" w:lineRule="auto"/>
        <w:ind w:left="567" w:right="539"/>
        <w:rPr>
          <w:i/>
        </w:rPr>
      </w:pPr>
      <w:r w:rsidRPr="00E03501">
        <w:rPr>
          <w:i/>
        </w:rPr>
        <w:t>Para efectos de lo dispuesto en el presente artículo se observará lo siguiente:</w:t>
      </w:r>
    </w:p>
    <w:p w14:paraId="02B26426" w14:textId="77777777" w:rsidR="002D6A2D" w:rsidRPr="00E03501" w:rsidRDefault="00354D75" w:rsidP="00E03501">
      <w:pPr>
        <w:spacing w:line="240" w:lineRule="auto"/>
        <w:ind w:left="567" w:right="539"/>
        <w:rPr>
          <w:b/>
          <w:i/>
        </w:rPr>
      </w:pPr>
      <w:r w:rsidRPr="00E03501">
        <w:rPr>
          <w:b/>
          <w:i/>
        </w:rPr>
        <w:t>A</w:t>
      </w:r>
      <w:r w:rsidRPr="00E03501">
        <w:rPr>
          <w:i/>
        </w:rPr>
        <w:t xml:space="preserve">. </w:t>
      </w:r>
      <w:r w:rsidRPr="00E03501">
        <w:rPr>
          <w:b/>
          <w:i/>
        </w:rPr>
        <w:t>Para el ejercicio del derecho de acceso a la información</w:t>
      </w:r>
      <w:r w:rsidRPr="00E03501">
        <w:rPr>
          <w:i/>
        </w:rPr>
        <w:t xml:space="preserve">, la Federación y </w:t>
      </w:r>
      <w:r w:rsidRPr="00E03501">
        <w:rPr>
          <w:b/>
          <w:i/>
        </w:rPr>
        <w:t>las entidades federativas, en el ámbito de sus respectivas competencias, se regirán por los siguientes principios y bases:</w:t>
      </w:r>
    </w:p>
    <w:p w14:paraId="10B8C679" w14:textId="77777777" w:rsidR="002D6A2D" w:rsidRPr="00E03501" w:rsidRDefault="00354D75" w:rsidP="00E03501">
      <w:pPr>
        <w:spacing w:line="240" w:lineRule="auto"/>
        <w:ind w:left="567" w:right="539"/>
        <w:rPr>
          <w:i/>
        </w:rPr>
      </w:pPr>
      <w:r w:rsidRPr="00E03501">
        <w:rPr>
          <w:b/>
          <w:i/>
        </w:rPr>
        <w:t xml:space="preserve">I. </w:t>
      </w:r>
      <w:r w:rsidRPr="00E03501">
        <w:rPr>
          <w:b/>
          <w:i/>
        </w:rPr>
        <w:tab/>
        <w:t>Toda la información en posesión de cualquier</w:t>
      </w:r>
      <w:r w:rsidRPr="00E03501">
        <w:rPr>
          <w:i/>
        </w:rPr>
        <w:t xml:space="preserve"> </w:t>
      </w:r>
      <w:r w:rsidRPr="00E03501">
        <w:rPr>
          <w:b/>
          <w:i/>
        </w:rPr>
        <w:t>autoridad</w:t>
      </w:r>
      <w:r w:rsidRPr="00E03501">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03501">
        <w:rPr>
          <w:b/>
          <w:i/>
        </w:rPr>
        <w:t>municipal</w:t>
      </w:r>
      <w:r w:rsidRPr="00E03501">
        <w:rPr>
          <w:i/>
        </w:rPr>
        <w:t xml:space="preserve">, </w:t>
      </w:r>
      <w:r w:rsidRPr="00E03501">
        <w:rPr>
          <w:b/>
          <w:i/>
        </w:rPr>
        <w:t>es pública</w:t>
      </w:r>
      <w:r w:rsidRPr="00E03501">
        <w:rPr>
          <w:i/>
        </w:rPr>
        <w:t xml:space="preserve"> y sólo podrá ser reservada temporalmente por razones de interés público y seguridad nacional, en los términos que fijen las leyes. </w:t>
      </w:r>
      <w:r w:rsidRPr="00E03501">
        <w:rPr>
          <w:b/>
          <w:i/>
        </w:rPr>
        <w:t>En la interpretación de este derecho deberá prevalecer el principio de máxima publicidad. Los sujetos obligados deberán documentar todo acto que derive del ejercicio de sus facultades, competencias o funciones</w:t>
      </w:r>
      <w:r w:rsidRPr="00E03501">
        <w:rPr>
          <w:i/>
        </w:rPr>
        <w:t>, la ley determinará los supuestos específicos bajo los cuales procederá la declaración de inexistencia de la información.”</w:t>
      </w:r>
    </w:p>
    <w:p w14:paraId="1BA2BA12" w14:textId="77777777" w:rsidR="002D6A2D" w:rsidRPr="00E03501" w:rsidRDefault="002D6A2D" w:rsidP="00E03501">
      <w:pPr>
        <w:spacing w:line="240" w:lineRule="auto"/>
        <w:ind w:left="567" w:right="539"/>
        <w:rPr>
          <w:b/>
          <w:i/>
        </w:rPr>
      </w:pPr>
    </w:p>
    <w:p w14:paraId="4CC9122A" w14:textId="77777777" w:rsidR="002D6A2D" w:rsidRPr="00E03501" w:rsidRDefault="00354D75" w:rsidP="00E03501">
      <w:pPr>
        <w:spacing w:line="240" w:lineRule="auto"/>
        <w:ind w:left="567" w:right="539"/>
        <w:rPr>
          <w:b/>
          <w:i/>
        </w:rPr>
      </w:pPr>
      <w:r w:rsidRPr="00E03501">
        <w:rPr>
          <w:b/>
          <w:i/>
        </w:rPr>
        <w:t>Constitución Política del Estado Libre y Soberano de México</w:t>
      </w:r>
    </w:p>
    <w:p w14:paraId="58CAB5FD" w14:textId="77777777" w:rsidR="002D6A2D" w:rsidRPr="00E03501" w:rsidRDefault="00354D75" w:rsidP="00E03501">
      <w:pPr>
        <w:spacing w:line="240" w:lineRule="auto"/>
        <w:ind w:left="567" w:right="539"/>
        <w:rPr>
          <w:i/>
        </w:rPr>
      </w:pPr>
      <w:r w:rsidRPr="00E03501">
        <w:rPr>
          <w:b/>
          <w:i/>
        </w:rPr>
        <w:t>“Artículo 5</w:t>
      </w:r>
      <w:r w:rsidRPr="00E03501">
        <w:rPr>
          <w:i/>
        </w:rPr>
        <w:t xml:space="preserve">.- </w:t>
      </w:r>
    </w:p>
    <w:p w14:paraId="73B497DA" w14:textId="77777777" w:rsidR="002D6A2D" w:rsidRPr="00E03501" w:rsidRDefault="00354D75" w:rsidP="00E03501">
      <w:pPr>
        <w:spacing w:line="240" w:lineRule="auto"/>
        <w:ind w:left="567" w:right="539"/>
        <w:rPr>
          <w:i/>
        </w:rPr>
      </w:pPr>
      <w:r w:rsidRPr="00E03501">
        <w:rPr>
          <w:i/>
        </w:rPr>
        <w:lastRenderedPageBreak/>
        <w:t>(…)</w:t>
      </w:r>
    </w:p>
    <w:p w14:paraId="72328A71" w14:textId="77777777" w:rsidR="002D6A2D" w:rsidRPr="00E03501" w:rsidRDefault="00354D75" w:rsidP="00E03501">
      <w:pPr>
        <w:spacing w:line="240" w:lineRule="auto"/>
        <w:ind w:left="567" w:right="539"/>
        <w:rPr>
          <w:i/>
        </w:rPr>
      </w:pPr>
      <w:r w:rsidRPr="00E03501">
        <w:rPr>
          <w:b/>
          <w:i/>
        </w:rPr>
        <w:t>El derecho a la información será garantizado por el Estado. La ley establecerá las previsiones que permitan asegurar la protección, el respeto y la difusión de este derecho</w:t>
      </w:r>
      <w:r w:rsidRPr="00E03501">
        <w:rPr>
          <w:i/>
        </w:rPr>
        <w:t>.</w:t>
      </w:r>
    </w:p>
    <w:p w14:paraId="17F601D2" w14:textId="77777777" w:rsidR="002D6A2D" w:rsidRPr="00E03501" w:rsidRDefault="00354D75" w:rsidP="00E03501">
      <w:pPr>
        <w:spacing w:line="240" w:lineRule="auto"/>
        <w:ind w:left="567" w:right="539"/>
        <w:rPr>
          <w:i/>
        </w:rPr>
      </w:pPr>
      <w:r w:rsidRPr="00E03501">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3B09700" w14:textId="77777777" w:rsidR="002D6A2D" w:rsidRPr="00E03501" w:rsidRDefault="00354D75" w:rsidP="00E03501">
      <w:pPr>
        <w:spacing w:line="240" w:lineRule="auto"/>
        <w:ind w:left="567" w:right="539"/>
        <w:rPr>
          <w:i/>
        </w:rPr>
      </w:pPr>
      <w:r w:rsidRPr="00E03501">
        <w:rPr>
          <w:b/>
          <w:i/>
        </w:rPr>
        <w:t>Este derecho se regirá por los principios y bases siguientes</w:t>
      </w:r>
      <w:r w:rsidRPr="00E03501">
        <w:rPr>
          <w:i/>
        </w:rPr>
        <w:t>:</w:t>
      </w:r>
    </w:p>
    <w:p w14:paraId="389DC04E" w14:textId="77777777" w:rsidR="002D6A2D" w:rsidRPr="00E03501" w:rsidRDefault="00354D75" w:rsidP="00E03501">
      <w:pPr>
        <w:spacing w:line="240" w:lineRule="auto"/>
        <w:ind w:left="567" w:right="539"/>
        <w:rPr>
          <w:i/>
        </w:rPr>
      </w:pPr>
      <w:r w:rsidRPr="00E03501">
        <w:rPr>
          <w:b/>
          <w:i/>
        </w:rPr>
        <w:t>I. Toda la información en posesión de cualquier autoridad, entidad, órgano y organismos de los</w:t>
      </w:r>
      <w:r w:rsidRPr="00E03501">
        <w:rPr>
          <w:i/>
        </w:rPr>
        <w:t xml:space="preserve"> Poderes Ejecutivo, Legislativo y Judicial, órganos autónomos, partidos políticos, fideicomisos y fondos públicos estatales y </w:t>
      </w:r>
      <w:r w:rsidRPr="00E03501">
        <w:rPr>
          <w:b/>
          <w:i/>
        </w:rPr>
        <w:t>municipales</w:t>
      </w:r>
      <w:r w:rsidRPr="00E03501">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03501">
        <w:rPr>
          <w:b/>
          <w:i/>
        </w:rPr>
        <w:t>es pública</w:t>
      </w:r>
      <w:r w:rsidRPr="00E03501">
        <w:rPr>
          <w:i/>
        </w:rPr>
        <w:t xml:space="preserve"> y sólo podrá ser reservada temporalmente por razones previstas en la Constitución Política de los Estados Unidos Mexicanos de interés público y seguridad, en los términos que fijen las leyes. </w:t>
      </w:r>
      <w:r w:rsidRPr="00E03501">
        <w:rPr>
          <w:b/>
          <w:i/>
        </w:rPr>
        <w:t>En la interpretación de este derecho deberá prevalecer el principio de máxima publicidad</w:t>
      </w:r>
      <w:r w:rsidRPr="00E03501">
        <w:rPr>
          <w:i/>
        </w:rPr>
        <w:t xml:space="preserve">. </w:t>
      </w:r>
      <w:r w:rsidRPr="00E03501">
        <w:rPr>
          <w:b/>
          <w:i/>
        </w:rPr>
        <w:t>Los sujetos obligados deberán documentar todo acto que derive del ejercicio de sus facultades, competencias o funciones</w:t>
      </w:r>
      <w:r w:rsidRPr="00E03501">
        <w:rPr>
          <w:i/>
        </w:rPr>
        <w:t>, la ley determinará los supuestos específicos bajo los cuales procederá la declaración de inexistencia de la información.”</w:t>
      </w:r>
    </w:p>
    <w:p w14:paraId="16E739FE" w14:textId="77777777" w:rsidR="002D6A2D" w:rsidRPr="00E03501" w:rsidRDefault="002D6A2D" w:rsidP="00E03501">
      <w:pPr>
        <w:rPr>
          <w:b/>
          <w:i/>
        </w:rPr>
      </w:pPr>
    </w:p>
    <w:p w14:paraId="3FA88DF4" w14:textId="77777777" w:rsidR="002D6A2D" w:rsidRPr="00E03501" w:rsidRDefault="00354D75" w:rsidP="00E03501">
      <w:pPr>
        <w:rPr>
          <w:i/>
        </w:rPr>
      </w:pPr>
      <w:r w:rsidRPr="00E03501">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E03501">
        <w:rPr>
          <w:i/>
        </w:rPr>
        <w:t>por los principios de simplicidad, rapidez, gratuidad del procedimiento, auxilio y orientación a los particulares.</w:t>
      </w:r>
    </w:p>
    <w:p w14:paraId="405AAAD3" w14:textId="77777777" w:rsidR="002D6A2D" w:rsidRPr="00E03501" w:rsidRDefault="002D6A2D" w:rsidP="00E03501">
      <w:pPr>
        <w:rPr>
          <w:i/>
        </w:rPr>
      </w:pPr>
    </w:p>
    <w:p w14:paraId="71582AAE" w14:textId="77777777" w:rsidR="002D6A2D" w:rsidRPr="00E03501" w:rsidRDefault="00354D75" w:rsidP="00E03501">
      <w:pPr>
        <w:rPr>
          <w:i/>
        </w:rPr>
      </w:pPr>
      <w:r w:rsidRPr="00E03501">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5E6A40BB" w14:textId="77777777" w:rsidR="002D6A2D" w:rsidRPr="00E03501" w:rsidRDefault="002D6A2D" w:rsidP="00E03501"/>
    <w:p w14:paraId="2D4238F3" w14:textId="77777777" w:rsidR="002D6A2D" w:rsidRPr="00E03501" w:rsidRDefault="00354D75" w:rsidP="00E03501">
      <w:r w:rsidRPr="00E03501">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08F9525" w14:textId="77777777" w:rsidR="002D6A2D" w:rsidRPr="00E03501" w:rsidRDefault="002D6A2D" w:rsidP="00E03501"/>
    <w:p w14:paraId="7F59A898" w14:textId="77777777" w:rsidR="002D6A2D" w:rsidRPr="00E03501" w:rsidRDefault="00354D75" w:rsidP="00E03501">
      <w:r w:rsidRPr="00E03501">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DA5CE99" w14:textId="77777777" w:rsidR="002D6A2D" w:rsidRPr="00E03501" w:rsidRDefault="002D6A2D" w:rsidP="00E03501"/>
    <w:p w14:paraId="4CF39554" w14:textId="77777777" w:rsidR="002D6A2D" w:rsidRPr="00E03501" w:rsidRDefault="00354D75" w:rsidP="00E03501">
      <w:r w:rsidRPr="00E03501">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37B497E0" w14:textId="77777777" w:rsidR="002D6A2D" w:rsidRPr="00E03501" w:rsidRDefault="002D6A2D" w:rsidP="00E03501"/>
    <w:p w14:paraId="2633367B" w14:textId="77777777" w:rsidR="002D6A2D" w:rsidRPr="00E03501" w:rsidRDefault="00354D75" w:rsidP="00E03501">
      <w:bookmarkStart w:id="32" w:name="_heading=h.2p2csry" w:colFirst="0" w:colLast="0"/>
      <w:bookmarkEnd w:id="32"/>
      <w:r w:rsidRPr="00E03501">
        <w:t xml:space="preserve">Con base en lo anterior, se considera que </w:t>
      </w:r>
      <w:r w:rsidRPr="00E03501">
        <w:rPr>
          <w:b/>
        </w:rPr>
        <w:t>EL</w:t>
      </w:r>
      <w:r w:rsidRPr="00E03501">
        <w:t xml:space="preserve"> </w:t>
      </w:r>
      <w:r w:rsidRPr="00E03501">
        <w:rPr>
          <w:b/>
        </w:rPr>
        <w:t>SUJETO OBLIGADO</w:t>
      </w:r>
      <w:r w:rsidRPr="00E03501">
        <w:t xml:space="preserve"> se encontraba compelido a atender la solicitud de acceso a la información realizada por </w:t>
      </w:r>
      <w:r w:rsidRPr="00E03501">
        <w:rPr>
          <w:b/>
        </w:rPr>
        <w:t>LA PARTE RECURRENTE</w:t>
      </w:r>
      <w:r w:rsidRPr="00E03501">
        <w:t>.</w:t>
      </w:r>
    </w:p>
    <w:p w14:paraId="15BDD8D0" w14:textId="77777777" w:rsidR="002D6A2D" w:rsidRPr="00E03501" w:rsidRDefault="002D6A2D" w:rsidP="00E03501"/>
    <w:p w14:paraId="2F336C05" w14:textId="77777777" w:rsidR="002D6A2D" w:rsidRPr="00E03501" w:rsidRDefault="00354D75" w:rsidP="00E03501">
      <w:pPr>
        <w:pStyle w:val="Ttulo3"/>
      </w:pPr>
      <w:bookmarkStart w:id="33" w:name="_heading=h.4k668n3" w:colFirst="0" w:colLast="0"/>
      <w:bookmarkEnd w:id="33"/>
      <w:r w:rsidRPr="00E03501">
        <w:t>b) Controversia a resolver</w:t>
      </w:r>
    </w:p>
    <w:p w14:paraId="62C3C817" w14:textId="77777777" w:rsidR="002D6A2D" w:rsidRPr="00E03501" w:rsidRDefault="00354D75" w:rsidP="00E03501">
      <w:r w:rsidRPr="00E03501">
        <w:t xml:space="preserve">Con el objeto de ilustrar la controversia planteada, resulta conveniente precisar que, una vez realizado el estudio de las constancias que integran el expediente en que se actúa, se desprende que </w:t>
      </w:r>
      <w:r w:rsidRPr="00E03501">
        <w:rPr>
          <w:b/>
        </w:rPr>
        <w:t>LA PARTE RECURRENTE</w:t>
      </w:r>
      <w:r w:rsidRPr="00E03501">
        <w:t xml:space="preserve"> solicitó, lo siguiente:</w:t>
      </w:r>
    </w:p>
    <w:p w14:paraId="0BE0171D" w14:textId="77777777" w:rsidR="002D6A2D" w:rsidRPr="00E03501" w:rsidRDefault="002D6A2D" w:rsidP="00E03501">
      <w:pPr>
        <w:tabs>
          <w:tab w:val="left" w:pos="4962"/>
        </w:tabs>
      </w:pPr>
    </w:p>
    <w:p w14:paraId="2EE37792" w14:textId="77777777" w:rsidR="002D6A2D" w:rsidRPr="00E03501" w:rsidRDefault="00354D75" w:rsidP="00E03501">
      <w:pPr>
        <w:numPr>
          <w:ilvl w:val="0"/>
          <w:numId w:val="2"/>
        </w:numPr>
        <w:pBdr>
          <w:top w:val="nil"/>
          <w:left w:val="nil"/>
          <w:bottom w:val="nil"/>
          <w:right w:val="nil"/>
          <w:between w:val="nil"/>
        </w:pBdr>
        <w:tabs>
          <w:tab w:val="left" w:pos="4962"/>
        </w:tabs>
      </w:pPr>
      <w:r w:rsidRPr="00E03501">
        <w:t>Cuánto se le paga a un fontanero y un peón por día.</w:t>
      </w:r>
    </w:p>
    <w:p w14:paraId="676EF32E" w14:textId="77777777" w:rsidR="002D6A2D" w:rsidRPr="00E03501" w:rsidRDefault="00354D75" w:rsidP="00E03501">
      <w:pPr>
        <w:numPr>
          <w:ilvl w:val="0"/>
          <w:numId w:val="2"/>
        </w:numPr>
        <w:pBdr>
          <w:top w:val="nil"/>
          <w:left w:val="nil"/>
          <w:bottom w:val="nil"/>
          <w:right w:val="nil"/>
          <w:between w:val="nil"/>
        </w:pBdr>
        <w:tabs>
          <w:tab w:val="left" w:pos="4962"/>
        </w:tabs>
      </w:pPr>
      <w:r w:rsidRPr="00E03501">
        <w:t>Desglose de cómo se obtuvo el costo del equipo (Cortadora de carrito y rotomartillo)</w:t>
      </w:r>
    </w:p>
    <w:p w14:paraId="26740F11" w14:textId="77777777" w:rsidR="002D6A2D" w:rsidRPr="00E03501" w:rsidRDefault="00354D75" w:rsidP="00E03501">
      <w:pPr>
        <w:numPr>
          <w:ilvl w:val="0"/>
          <w:numId w:val="2"/>
        </w:numPr>
        <w:pBdr>
          <w:top w:val="nil"/>
          <w:left w:val="nil"/>
          <w:bottom w:val="nil"/>
          <w:right w:val="nil"/>
          <w:between w:val="nil"/>
        </w:pBdr>
        <w:tabs>
          <w:tab w:val="left" w:pos="4962"/>
        </w:tabs>
      </w:pPr>
      <w:r w:rsidRPr="00E03501">
        <w:t xml:space="preserve">Que significa el término equipo y herramienta menor, y que significan o que incluyen los términos  cargos  indirectos y cargos adicionales. </w:t>
      </w:r>
    </w:p>
    <w:p w14:paraId="4D72D378" w14:textId="77777777" w:rsidR="002D6A2D" w:rsidRPr="00E03501" w:rsidRDefault="002D6A2D" w:rsidP="00E03501">
      <w:pPr>
        <w:pBdr>
          <w:top w:val="nil"/>
          <w:left w:val="nil"/>
          <w:bottom w:val="nil"/>
          <w:right w:val="nil"/>
          <w:between w:val="nil"/>
        </w:pBdr>
        <w:tabs>
          <w:tab w:val="left" w:pos="4962"/>
        </w:tabs>
        <w:ind w:left="720"/>
      </w:pPr>
    </w:p>
    <w:p w14:paraId="492789B2" w14:textId="77777777" w:rsidR="002D6A2D" w:rsidRPr="00E03501" w:rsidRDefault="00354D75" w:rsidP="00E03501">
      <w:pPr>
        <w:tabs>
          <w:tab w:val="left" w:pos="4962"/>
        </w:tabs>
      </w:pPr>
      <w:r w:rsidRPr="00E03501">
        <w:t xml:space="preserve">En respuesta, </w:t>
      </w:r>
      <w:r w:rsidRPr="00E03501">
        <w:rPr>
          <w:b/>
        </w:rPr>
        <w:t>EL SUJETO OBLIGADO</w:t>
      </w:r>
      <w:r w:rsidRPr="00E03501">
        <w:t xml:space="preserve"> se pronunció por conducto del servidor público habilitado del área de finanzas, quien abordó los requerimientos del particular en el documento denominado </w:t>
      </w:r>
      <w:r w:rsidRPr="00E03501">
        <w:rPr>
          <w:b/>
        </w:rPr>
        <w:t>0</w:t>
      </w:r>
      <w:r w:rsidRPr="00E03501">
        <w:rPr>
          <w:b/>
          <w:i/>
        </w:rPr>
        <w:t>4OASTENANCIIP2024.PDF.</w:t>
      </w:r>
    </w:p>
    <w:p w14:paraId="0CDA491C" w14:textId="77777777" w:rsidR="002D6A2D" w:rsidRPr="00E03501" w:rsidRDefault="002D6A2D" w:rsidP="00E03501">
      <w:pPr>
        <w:tabs>
          <w:tab w:val="left" w:pos="4962"/>
        </w:tabs>
      </w:pPr>
    </w:p>
    <w:p w14:paraId="2D3369AD" w14:textId="77777777" w:rsidR="002D6A2D" w:rsidRPr="00E03501" w:rsidRDefault="00354D75" w:rsidP="00E03501">
      <w:pPr>
        <w:tabs>
          <w:tab w:val="left" w:pos="4962"/>
        </w:tabs>
      </w:pPr>
      <w:r w:rsidRPr="00E03501">
        <w:t xml:space="preserve">Ahora bien, en la interposición del presente recurso </w:t>
      </w:r>
      <w:r w:rsidRPr="00E03501">
        <w:rPr>
          <w:b/>
        </w:rPr>
        <w:t>LA PARTE RECURRENTE</w:t>
      </w:r>
      <w:r w:rsidRPr="00E03501">
        <w:t xml:space="preserve"> se inconformó de que la información se encuentra incompleta, por lo cual, el estudio se centrará en determinar si con la información entregada se puede satisfacer el derecho de acceso a la información pública del particular. </w:t>
      </w:r>
    </w:p>
    <w:p w14:paraId="2869D5A9" w14:textId="77777777" w:rsidR="002D6A2D" w:rsidRPr="00E03501" w:rsidRDefault="002D6A2D" w:rsidP="00E03501">
      <w:pPr>
        <w:tabs>
          <w:tab w:val="left" w:pos="4962"/>
        </w:tabs>
      </w:pPr>
    </w:p>
    <w:p w14:paraId="7F3676A1" w14:textId="77777777" w:rsidR="002D6A2D" w:rsidRPr="00E03501" w:rsidRDefault="00354D75" w:rsidP="00E03501">
      <w:pPr>
        <w:pStyle w:val="Ttulo3"/>
      </w:pPr>
      <w:bookmarkStart w:id="34" w:name="_heading=h.2zbgiuw" w:colFirst="0" w:colLast="0"/>
      <w:bookmarkEnd w:id="34"/>
      <w:r w:rsidRPr="00E03501">
        <w:t>c) Estudio de la controversia</w:t>
      </w:r>
    </w:p>
    <w:p w14:paraId="6771EE34" w14:textId="77777777" w:rsidR="002D6A2D" w:rsidRPr="00E03501" w:rsidRDefault="00354D75" w:rsidP="00E03501">
      <w:pPr>
        <w:ind w:right="-93"/>
      </w:pPr>
      <w:r w:rsidRPr="00E03501">
        <w:t xml:space="preserve">Una vez determinada la controversia a resolver, cabe recordar que el Titular de la Unidad de Transparencia turnó la solicitud al servidor público habilitado de la Dirección de Finanzas, área </w:t>
      </w:r>
      <w:r w:rsidRPr="00E03501">
        <w:lastRenderedPageBreak/>
        <w:t>que según el Manual de Organización de la Dirección General del Organismo encargado de la prestación de Servicios de Agua Potable, por sus siglas OPDAPAS, es la encargada de administrar los recursos humanos y materiales del organismo, como se puede observar a continuación:</w:t>
      </w:r>
    </w:p>
    <w:p w14:paraId="18CC3A81" w14:textId="77777777" w:rsidR="002D6A2D" w:rsidRPr="00E03501" w:rsidRDefault="002D6A2D" w:rsidP="00E03501">
      <w:pPr>
        <w:ind w:right="-93"/>
      </w:pPr>
    </w:p>
    <w:p w14:paraId="6DED12C5" w14:textId="77777777" w:rsidR="002D6A2D" w:rsidRPr="00E03501" w:rsidRDefault="00354D75" w:rsidP="00E03501">
      <w:pPr>
        <w:pStyle w:val="Puesto"/>
        <w:ind w:firstLine="567"/>
        <w:rPr>
          <w:b/>
        </w:rPr>
      </w:pPr>
      <w:r w:rsidRPr="00E03501">
        <w:rPr>
          <w:b/>
        </w:rPr>
        <w:t xml:space="preserve">“Dirección de Finanzas </w:t>
      </w:r>
    </w:p>
    <w:p w14:paraId="3AF5FA57" w14:textId="77777777" w:rsidR="002D6A2D" w:rsidRPr="00E03501" w:rsidRDefault="00354D75" w:rsidP="00E03501">
      <w:pPr>
        <w:pStyle w:val="Puesto"/>
        <w:ind w:firstLine="567"/>
      </w:pPr>
      <w:r w:rsidRPr="00E03501">
        <w:rPr>
          <w:b/>
        </w:rPr>
        <w:t>Objetivo</w:t>
      </w:r>
      <w:r w:rsidRPr="00E03501">
        <w:t>. Coordinar y dirigir la administración oportuna, eficiente y eficaz, de los recursos humanos, materiales y financieros, asignados en las unidades administrativas del organismo, buscando como consecuencia que el resultado del esfuerzo de la gestión administrativa y financiera en conjunto sea la mejora.</w:t>
      </w:r>
    </w:p>
    <w:p w14:paraId="0991AF4E" w14:textId="77777777" w:rsidR="002D6A2D" w:rsidRPr="00E03501" w:rsidRDefault="002D6A2D" w:rsidP="00E03501">
      <w:pPr>
        <w:spacing w:line="276" w:lineRule="auto"/>
        <w:ind w:left="850" w:right="824"/>
        <w:rPr>
          <w:b/>
          <w:i/>
        </w:rPr>
      </w:pPr>
    </w:p>
    <w:p w14:paraId="34FEF2B1" w14:textId="77777777" w:rsidR="002D6A2D" w:rsidRPr="00E03501" w:rsidRDefault="00354D75" w:rsidP="00E03501">
      <w:pPr>
        <w:pStyle w:val="Puesto"/>
        <w:ind w:firstLine="567"/>
        <w:rPr>
          <w:b/>
        </w:rPr>
      </w:pPr>
      <w:r w:rsidRPr="00E03501">
        <w:rPr>
          <w:b/>
        </w:rPr>
        <w:t>Funciones.</w:t>
      </w:r>
    </w:p>
    <w:p w14:paraId="33B14259" w14:textId="77777777" w:rsidR="002D6A2D" w:rsidRPr="00E03501" w:rsidRDefault="00354D75" w:rsidP="00E03501">
      <w:pPr>
        <w:pStyle w:val="Puesto"/>
        <w:ind w:firstLine="567"/>
      </w:pPr>
      <w:r w:rsidRPr="00E03501">
        <w:rPr>
          <w:b/>
        </w:rPr>
        <w:t>1.</w:t>
      </w:r>
      <w:r w:rsidRPr="00E03501">
        <w:t xml:space="preserve"> Dirigir y coordinar la administración de personal, recursos financieros y materiales; así como la prestación de los servicios generales, conforme a las normas establecidas;</w:t>
      </w:r>
    </w:p>
    <w:p w14:paraId="324B2633" w14:textId="77777777" w:rsidR="002D6A2D" w:rsidRPr="00E03501" w:rsidRDefault="00354D75" w:rsidP="00E03501">
      <w:pPr>
        <w:pStyle w:val="Puesto"/>
        <w:ind w:firstLine="567"/>
      </w:pPr>
      <w:r w:rsidRPr="00E03501">
        <w:t>(...)</w:t>
      </w:r>
    </w:p>
    <w:p w14:paraId="08055284" w14:textId="77777777" w:rsidR="002D6A2D" w:rsidRPr="00E03501" w:rsidRDefault="00354D75" w:rsidP="00E03501">
      <w:pPr>
        <w:pStyle w:val="Puesto"/>
        <w:ind w:firstLine="567"/>
      </w:pPr>
      <w:r w:rsidRPr="00E03501">
        <w:rPr>
          <w:b/>
        </w:rPr>
        <w:t>3.</w:t>
      </w:r>
      <w:r w:rsidRPr="00E03501">
        <w:t xml:space="preserve"> Presentar al Órgano Superior de Fiscalización del Estado de México la cuenta pública anual, del ejercicio fiscal inmediato anterior, dentro de los quince primeros días del mes de marzo de cada año; asimismo, los informes mensuales los deberá presentar dentro de los veinte días posteriores al término del mes correspondiente;</w:t>
      </w:r>
    </w:p>
    <w:p w14:paraId="4F3B3937" w14:textId="77777777" w:rsidR="002D6A2D" w:rsidRPr="00E03501" w:rsidRDefault="00354D75" w:rsidP="00E03501">
      <w:pPr>
        <w:pStyle w:val="Puesto"/>
        <w:ind w:firstLine="567"/>
      </w:pPr>
      <w:r w:rsidRPr="00E03501">
        <w:t>(...)</w:t>
      </w:r>
    </w:p>
    <w:p w14:paraId="2E0ED3B7" w14:textId="77777777" w:rsidR="002D6A2D" w:rsidRPr="00E03501" w:rsidRDefault="00354D75" w:rsidP="00E03501">
      <w:pPr>
        <w:pStyle w:val="Puesto"/>
        <w:ind w:firstLine="567"/>
      </w:pPr>
      <w:r w:rsidRPr="00E03501">
        <w:rPr>
          <w:b/>
        </w:rPr>
        <w:t>10.</w:t>
      </w:r>
      <w:r w:rsidRPr="00E03501">
        <w:t xml:space="preserve"> Fungir como vocal con derecho a voz y voto, en el comité de bienes muebles e inmuebles del organismo; y supervisar que los levantamientos físicos de los inventarios de bienes muebles e inmuebles; del organismo, así como el registro y control del inventario y la conciliación y desincorporación de bienes muebles e inmuebles se realicen de acuerdo con lo que se señala en los Lineamientos para el Registro y Control del Inventario y la Conciliación y Desincorporación de Bienes Muebles e Inmuebles para las Entidades Fiscalizables Municipales del Estado de México vigentes;</w:t>
      </w:r>
    </w:p>
    <w:p w14:paraId="09DCDA11" w14:textId="77777777" w:rsidR="002D6A2D" w:rsidRPr="00E03501" w:rsidRDefault="00354D75" w:rsidP="00E03501">
      <w:pPr>
        <w:pStyle w:val="Puesto"/>
        <w:ind w:firstLine="567"/>
      </w:pPr>
      <w:r w:rsidRPr="00E03501">
        <w:rPr>
          <w:b/>
        </w:rPr>
        <w:t>11.</w:t>
      </w:r>
      <w:r w:rsidRPr="00E03501">
        <w:t xml:space="preserve"> Verificar que se dé cumplimiento a las normas en materia de control financiero y administrativo en la obtención, administración y aplicación de los recursos públicos en el organismo, de acuerdo con lo establecido en los Lineamientos de Control Financiero y Administrativo para las Entidades Fiscalizables Municipales del Estado de México, y al ámbito de competencia que en tal ordenamiento le confieren;</w:t>
      </w:r>
    </w:p>
    <w:p w14:paraId="78A675B2" w14:textId="77777777" w:rsidR="002D6A2D" w:rsidRPr="00E03501" w:rsidRDefault="00354D75" w:rsidP="00E03501">
      <w:pPr>
        <w:pStyle w:val="Puesto"/>
        <w:ind w:firstLine="567"/>
      </w:pPr>
      <w:r w:rsidRPr="00E03501">
        <w:lastRenderedPageBreak/>
        <w:t>(...)”</w:t>
      </w:r>
    </w:p>
    <w:p w14:paraId="24FE1E5C" w14:textId="77777777" w:rsidR="002D6A2D" w:rsidRPr="00E03501" w:rsidRDefault="002D6A2D" w:rsidP="00E03501">
      <w:pPr>
        <w:ind w:right="-93"/>
      </w:pPr>
    </w:p>
    <w:p w14:paraId="43DF6A17" w14:textId="77777777" w:rsidR="002D6A2D" w:rsidRPr="00E03501" w:rsidRDefault="00354D75" w:rsidP="00E03501">
      <w:pPr>
        <w:ind w:right="-93"/>
      </w:pPr>
      <w:r w:rsidRPr="00E03501">
        <w:t xml:space="preserve">De las funciones antes listadas se puede advertir que el área que se pronunció en respuesta, es la competente para conocer de la información solicitada por el particular. </w:t>
      </w:r>
    </w:p>
    <w:p w14:paraId="6CF5D6CF" w14:textId="77777777" w:rsidR="002D6A2D" w:rsidRPr="00E03501" w:rsidRDefault="002D6A2D" w:rsidP="00E03501">
      <w:pPr>
        <w:ind w:right="-93"/>
      </w:pPr>
    </w:p>
    <w:p w14:paraId="2E3EB6F7" w14:textId="77777777" w:rsidR="002D6A2D" w:rsidRPr="00E03501" w:rsidRDefault="00354D75" w:rsidP="00E03501">
      <w:pPr>
        <w:ind w:right="-93"/>
      </w:pPr>
      <w:r w:rsidRPr="00E03501">
        <w:t xml:space="preserve">Una vez referido lo anterior, del contenido del documento denominado </w:t>
      </w:r>
      <w:r w:rsidRPr="00E03501">
        <w:rPr>
          <w:b/>
          <w:i/>
        </w:rPr>
        <w:t xml:space="preserve">04OASTENANCIIP2024.PDF, </w:t>
      </w:r>
      <w:r w:rsidRPr="00E03501">
        <w:t xml:space="preserve">remitido en respuesta se observa que el ente recurrido se pronunció respecto de los rubros de la solicitud, por lo que se procede a su análisis. </w:t>
      </w:r>
    </w:p>
    <w:p w14:paraId="36FDEDA2" w14:textId="77777777" w:rsidR="002D6A2D" w:rsidRPr="00E03501" w:rsidRDefault="002D6A2D" w:rsidP="00E03501">
      <w:pPr>
        <w:ind w:right="-93"/>
      </w:pPr>
    </w:p>
    <w:p w14:paraId="469239C4" w14:textId="77777777" w:rsidR="002D6A2D" w:rsidRPr="00E03501" w:rsidRDefault="00354D75" w:rsidP="00E03501">
      <w:pPr>
        <w:ind w:right="-93"/>
      </w:pPr>
      <w:r w:rsidRPr="00E03501">
        <w:t xml:space="preserve">En atención al punto en donde el particular desea conocer </w:t>
      </w:r>
      <w:r w:rsidRPr="00E03501">
        <w:rPr>
          <w:i/>
        </w:rPr>
        <w:t>“Cuánto se le paga a un fontanero y un peón por día en el OPDAPAS.</w:t>
      </w:r>
      <w:r w:rsidRPr="00E03501">
        <w:t xml:space="preserve">” </w:t>
      </w:r>
      <w:r w:rsidRPr="00E03501">
        <w:rPr>
          <w:b/>
        </w:rPr>
        <w:t>EL SUJETO OBLIGADO</w:t>
      </w:r>
      <w:r w:rsidRPr="00E03501">
        <w:t xml:space="preserve"> anexó la tabla denominada análisis de cuadrilla, donde se puede observar el precio unitario por jornada pagado al fontanero y peón. Así también entregó la tabla denominada FASARF Desglosado, donde se advierte el desglose del pago al trabajador, incluyendo el salario base, salario nominal, entre otros. Se inserta captura de pantalla, para mayor referencia: </w:t>
      </w:r>
    </w:p>
    <w:p w14:paraId="72BEECD7" w14:textId="77777777" w:rsidR="002D6A2D" w:rsidRPr="00E03501" w:rsidRDefault="00354D75" w:rsidP="00E03501">
      <w:pPr>
        <w:ind w:right="-93"/>
        <w:jc w:val="center"/>
      </w:pPr>
      <w:r w:rsidRPr="00E03501">
        <w:lastRenderedPageBreak/>
        <w:t xml:space="preserve"> </w:t>
      </w:r>
      <w:r w:rsidRPr="00E03501">
        <w:rPr>
          <w:noProof/>
          <w:lang w:eastAsia="es-MX"/>
        </w:rPr>
        <w:drawing>
          <wp:inline distT="114300" distB="114300" distL="114300" distR="114300" wp14:anchorId="79AAEB26" wp14:editId="2D0C0D90">
            <wp:extent cx="4860933" cy="3636279"/>
            <wp:effectExtent l="0" t="0" r="0" b="0"/>
            <wp:docPr id="2159644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b="3079"/>
                    <a:stretch>
                      <a:fillRect/>
                    </a:stretch>
                  </pic:blipFill>
                  <pic:spPr>
                    <a:xfrm>
                      <a:off x="0" y="0"/>
                      <a:ext cx="4860933" cy="3636279"/>
                    </a:xfrm>
                    <a:prstGeom prst="rect">
                      <a:avLst/>
                    </a:prstGeom>
                    <a:ln/>
                  </pic:spPr>
                </pic:pic>
              </a:graphicData>
            </a:graphic>
          </wp:inline>
        </w:drawing>
      </w:r>
    </w:p>
    <w:p w14:paraId="2190EFBD" w14:textId="77777777" w:rsidR="002D6A2D" w:rsidRPr="00E03501" w:rsidRDefault="002D6A2D" w:rsidP="00E03501">
      <w:pPr>
        <w:ind w:right="-93"/>
      </w:pPr>
    </w:p>
    <w:p w14:paraId="5049F469" w14:textId="77777777" w:rsidR="002D6A2D" w:rsidRPr="00E03501" w:rsidRDefault="00354D75" w:rsidP="00E03501">
      <w:pPr>
        <w:ind w:right="824"/>
      </w:pPr>
      <w:r w:rsidRPr="00E03501">
        <w:t xml:space="preserve">Respecto al requerimiento relacionado con </w:t>
      </w:r>
      <w:r w:rsidRPr="00E03501">
        <w:rPr>
          <w:i/>
        </w:rPr>
        <w:t>“Desglose de cómo se obtuvo el costo del equipo (Cortadora de carrito y rotomartillo)</w:t>
      </w:r>
      <w:r w:rsidRPr="00E03501">
        <w:t xml:space="preserve">” el ente recurrido refirió que el costo horario de la cortadora y el demoledor de concreto se calcula en el análisis adjunto que justifica el cobro durante los trabajos de instalación de una toma, indicando además que el cálculo del valor estimado promedio en tiempo es considerando la experiencia de los operadores y el análisis del responsable del área. </w:t>
      </w:r>
    </w:p>
    <w:p w14:paraId="40323650" w14:textId="77777777" w:rsidR="002D6A2D" w:rsidRPr="00E03501" w:rsidRDefault="002D6A2D" w:rsidP="00E03501">
      <w:pPr>
        <w:ind w:right="824"/>
      </w:pPr>
    </w:p>
    <w:p w14:paraId="615A708E" w14:textId="77777777" w:rsidR="002D6A2D" w:rsidRPr="00E03501" w:rsidRDefault="00354D75" w:rsidP="00E03501">
      <w:pPr>
        <w:ind w:right="824"/>
      </w:pPr>
      <w:r w:rsidRPr="00E03501">
        <w:t xml:space="preserve">Así también adjunto dos cuadros denominados “análisis del P.U. de Cortadora de Concreto”, de los cuales uno  se observa a continuación: </w:t>
      </w:r>
    </w:p>
    <w:p w14:paraId="659CDB17" w14:textId="77777777" w:rsidR="002D6A2D" w:rsidRPr="00E03501" w:rsidRDefault="002D6A2D" w:rsidP="00E03501">
      <w:pPr>
        <w:spacing w:line="240" w:lineRule="auto"/>
        <w:ind w:right="824"/>
      </w:pPr>
    </w:p>
    <w:p w14:paraId="4D8DE396" w14:textId="77777777" w:rsidR="002D6A2D" w:rsidRPr="00E03501" w:rsidRDefault="00354D75" w:rsidP="00E03501">
      <w:pPr>
        <w:spacing w:line="240" w:lineRule="auto"/>
        <w:ind w:right="824"/>
        <w:jc w:val="center"/>
      </w:pPr>
      <w:r w:rsidRPr="00E03501">
        <w:rPr>
          <w:noProof/>
          <w:lang w:eastAsia="es-MX"/>
        </w:rPr>
        <w:lastRenderedPageBreak/>
        <w:drawing>
          <wp:inline distT="114300" distB="114300" distL="114300" distR="114300" wp14:anchorId="4271116C" wp14:editId="06B63A59">
            <wp:extent cx="3932964" cy="2931105"/>
            <wp:effectExtent l="0" t="0" r="0" b="0"/>
            <wp:docPr id="2159644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b="11778"/>
                    <a:stretch>
                      <a:fillRect/>
                    </a:stretch>
                  </pic:blipFill>
                  <pic:spPr>
                    <a:xfrm>
                      <a:off x="0" y="0"/>
                      <a:ext cx="3932964" cy="2931105"/>
                    </a:xfrm>
                    <a:prstGeom prst="rect">
                      <a:avLst/>
                    </a:prstGeom>
                    <a:ln/>
                  </pic:spPr>
                </pic:pic>
              </a:graphicData>
            </a:graphic>
          </wp:inline>
        </w:drawing>
      </w:r>
    </w:p>
    <w:p w14:paraId="5760D05A" w14:textId="77777777" w:rsidR="002D6A2D" w:rsidRPr="00E03501" w:rsidRDefault="002D6A2D" w:rsidP="00E03501">
      <w:pPr>
        <w:spacing w:line="240" w:lineRule="auto"/>
        <w:ind w:right="824"/>
        <w:jc w:val="left"/>
      </w:pPr>
    </w:p>
    <w:p w14:paraId="3825E4E3" w14:textId="77777777" w:rsidR="002D6A2D" w:rsidRPr="00E03501" w:rsidRDefault="00354D75" w:rsidP="00E03501">
      <w:pPr>
        <w:ind w:right="824"/>
      </w:pPr>
      <w:r w:rsidRPr="00E03501">
        <w:t xml:space="preserve">Del cuadro anterior se observa que contiene el análisis, cálculo e integración de los costos horarios de la maquinaria y equipo de construcción, en específico de la cortadora de concreto y del martillo demoledor, información que colma aquello solicitado por el particular. </w:t>
      </w:r>
    </w:p>
    <w:p w14:paraId="20CAAA4A" w14:textId="77777777" w:rsidR="002D6A2D" w:rsidRPr="00E03501" w:rsidRDefault="002D6A2D" w:rsidP="00E03501">
      <w:pPr>
        <w:ind w:right="824"/>
      </w:pPr>
    </w:p>
    <w:p w14:paraId="19F399D9" w14:textId="77777777" w:rsidR="002D6A2D" w:rsidRPr="00E03501" w:rsidRDefault="00354D75" w:rsidP="00E03501">
      <w:pPr>
        <w:ind w:right="824"/>
        <w:rPr>
          <w:i/>
        </w:rPr>
      </w:pPr>
      <w:r w:rsidRPr="00E03501">
        <w:t xml:space="preserve">Para la parte de la solicitud relativa a </w:t>
      </w:r>
      <w:r w:rsidRPr="00E03501">
        <w:rPr>
          <w:i/>
        </w:rPr>
        <w:t xml:space="preserve">“Que significa el término equipo y herramienta menor, y que significa o que incluye cargos  indirectos y cargos adicionales.” </w:t>
      </w:r>
      <w:r w:rsidRPr="00E03501">
        <w:rPr>
          <w:b/>
        </w:rPr>
        <w:t xml:space="preserve">EL SUJETO OBLIGADO </w:t>
      </w:r>
      <w:r w:rsidRPr="00E03501">
        <w:t>en su respuesta indicó lo siguiente:</w:t>
      </w:r>
    </w:p>
    <w:p w14:paraId="3161DFD1" w14:textId="77777777" w:rsidR="002D6A2D" w:rsidRPr="00E03501" w:rsidRDefault="00354D75" w:rsidP="00E03501">
      <w:pPr>
        <w:ind w:right="824"/>
        <w:jc w:val="center"/>
        <w:rPr>
          <w:i/>
        </w:rPr>
      </w:pPr>
      <w:r w:rsidRPr="00E03501">
        <w:rPr>
          <w:i/>
          <w:noProof/>
          <w:lang w:eastAsia="es-MX"/>
        </w:rPr>
        <w:lastRenderedPageBreak/>
        <w:drawing>
          <wp:inline distT="114300" distB="114300" distL="114300" distR="114300" wp14:anchorId="17E92135" wp14:editId="65AB9C8F">
            <wp:extent cx="5585945" cy="2186207"/>
            <wp:effectExtent l="0" t="0" r="0" b="0"/>
            <wp:docPr id="21596445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r="-3417"/>
                    <a:stretch>
                      <a:fillRect/>
                    </a:stretch>
                  </pic:blipFill>
                  <pic:spPr>
                    <a:xfrm>
                      <a:off x="0" y="0"/>
                      <a:ext cx="5585945" cy="2186207"/>
                    </a:xfrm>
                    <a:prstGeom prst="rect">
                      <a:avLst/>
                    </a:prstGeom>
                    <a:ln/>
                  </pic:spPr>
                </pic:pic>
              </a:graphicData>
            </a:graphic>
          </wp:inline>
        </w:drawing>
      </w:r>
    </w:p>
    <w:p w14:paraId="12D4216E" w14:textId="77777777" w:rsidR="002D6A2D" w:rsidRPr="00E03501" w:rsidRDefault="002D6A2D" w:rsidP="00E03501">
      <w:pPr>
        <w:spacing w:line="240" w:lineRule="auto"/>
        <w:ind w:right="824"/>
      </w:pPr>
    </w:p>
    <w:p w14:paraId="6F133DE4" w14:textId="77777777" w:rsidR="002D6A2D" w:rsidRPr="00E03501" w:rsidRDefault="00354D75" w:rsidP="00E03501">
      <w:pPr>
        <w:ind w:right="824"/>
        <w:rPr>
          <w:b/>
          <w:i/>
        </w:rPr>
      </w:pPr>
      <w:r w:rsidRPr="00E03501">
        <w:t>De la información anterior se desprende que el servidor público habilitado indicó el significado del término equipo y herramienta, así como de indirectos y cargos adicionales.</w:t>
      </w:r>
    </w:p>
    <w:p w14:paraId="503A583A" w14:textId="77777777" w:rsidR="002D6A2D" w:rsidRPr="00E03501" w:rsidRDefault="002D6A2D" w:rsidP="00E03501">
      <w:pPr>
        <w:pBdr>
          <w:top w:val="nil"/>
          <w:left w:val="nil"/>
          <w:bottom w:val="nil"/>
          <w:right w:val="nil"/>
          <w:between w:val="nil"/>
        </w:pBdr>
        <w:ind w:right="-93"/>
      </w:pPr>
    </w:p>
    <w:p w14:paraId="69578169" w14:textId="77777777" w:rsidR="002D6A2D" w:rsidRPr="00E03501" w:rsidRDefault="00354D75" w:rsidP="00E03501">
      <w:r w:rsidRPr="00E03501">
        <w:t xml:space="preserve">Por lo que  se puede apreciar que </w:t>
      </w:r>
      <w:r w:rsidRPr="00E03501">
        <w:rPr>
          <w:b/>
        </w:rPr>
        <w:t>EL SUJETO OBLIGADO</w:t>
      </w:r>
      <w:r w:rsidRPr="00E03501">
        <w:t xml:space="preserve"> se pronunció respecto de los puntos solicitados por el particular y en el grado de desagregación requerido, por lo que, conviene citar el criterio orientador 002/2017 del INAI, y la tesis 1a. CCCXXVII/2014 (10a.) emitida por la Primera Sala de la Suprema Corte de Justicia de la Nación, cuyo tenor es el siguiente:</w:t>
      </w:r>
    </w:p>
    <w:p w14:paraId="5D0C78E7" w14:textId="77777777" w:rsidR="002D6A2D" w:rsidRPr="00E03501" w:rsidRDefault="002D6A2D" w:rsidP="00E03501">
      <w:pPr>
        <w:spacing w:line="240" w:lineRule="auto"/>
        <w:ind w:right="902"/>
        <w:rPr>
          <w:sz w:val="24"/>
          <w:szCs w:val="24"/>
        </w:rPr>
      </w:pPr>
    </w:p>
    <w:p w14:paraId="42871501" w14:textId="77777777" w:rsidR="002D6A2D" w:rsidRPr="00E03501" w:rsidRDefault="00354D75" w:rsidP="00E03501">
      <w:pPr>
        <w:pStyle w:val="Puesto"/>
        <w:ind w:firstLine="567"/>
      </w:pPr>
      <w:r w:rsidRPr="00E03501">
        <w:t>“</w:t>
      </w:r>
      <w:r w:rsidRPr="00E03501">
        <w:rPr>
          <w:b/>
        </w:rPr>
        <w:t>Congruencia y exhaustividad</w:t>
      </w:r>
      <w:r w:rsidRPr="00E03501">
        <w:t>.</w:t>
      </w:r>
      <w:r w:rsidRPr="00E03501">
        <w:rPr>
          <w:b/>
        </w:rPr>
        <w:t xml:space="preserve"> Sus alcances para garantizar el derecho de acceso a la información.</w:t>
      </w:r>
      <w:r w:rsidRPr="00E03501">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w:t>
      </w:r>
      <w:r w:rsidRPr="00E03501">
        <w:lastRenderedPageBreak/>
        <w:t>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información.”(Sic)</w:t>
      </w:r>
    </w:p>
    <w:p w14:paraId="533D8E18" w14:textId="77777777" w:rsidR="002D6A2D" w:rsidRPr="00E03501" w:rsidRDefault="002D6A2D" w:rsidP="00E03501">
      <w:pPr>
        <w:widowControl w:val="0"/>
        <w:tabs>
          <w:tab w:val="left" w:pos="1701"/>
          <w:tab w:val="left" w:pos="1843"/>
        </w:tabs>
        <w:ind w:right="49"/>
        <w:rPr>
          <w:sz w:val="24"/>
          <w:szCs w:val="24"/>
        </w:rPr>
      </w:pPr>
      <w:bookmarkStart w:id="35" w:name="_heading=h.h5f6uylknmte" w:colFirst="0" w:colLast="0"/>
      <w:bookmarkEnd w:id="35"/>
    </w:p>
    <w:p w14:paraId="7B811A8A" w14:textId="79B80EEC" w:rsidR="002D6A2D" w:rsidRPr="00E03501" w:rsidRDefault="00354D75" w:rsidP="00E03501">
      <w:pPr>
        <w:widowControl w:val="0"/>
        <w:tabs>
          <w:tab w:val="left" w:pos="1701"/>
          <w:tab w:val="left" w:pos="1843"/>
        </w:tabs>
        <w:ind w:right="49"/>
      </w:pPr>
      <w:r w:rsidRPr="00E03501">
        <w:t xml:space="preserve">Del criterio citado se desprende que las respuestas de los sujetos obligados deberán contar con dos elementos; la congruencia y la exhaustividad. Entendiendo </w:t>
      </w:r>
      <w:r w:rsidR="007456BB" w:rsidRPr="00E03501">
        <w:t>el primero</w:t>
      </w:r>
      <w:r w:rsidRPr="00E03501">
        <w:t xml:space="preserve"> como una relación entre el requerimiento formulado y la respuesta propiciada y el segundo como atender de manera puntual a cada uno de los pronunciamientos en la solicitud. </w:t>
      </w:r>
    </w:p>
    <w:p w14:paraId="22E40896" w14:textId="77777777" w:rsidR="002D6A2D" w:rsidRPr="00E03501" w:rsidRDefault="002D6A2D" w:rsidP="00E03501">
      <w:pPr>
        <w:widowControl w:val="0"/>
        <w:tabs>
          <w:tab w:val="left" w:pos="1701"/>
          <w:tab w:val="left" w:pos="1843"/>
        </w:tabs>
        <w:ind w:right="49"/>
      </w:pPr>
    </w:p>
    <w:p w14:paraId="212A1E10" w14:textId="77777777" w:rsidR="002D6A2D" w:rsidRPr="00E03501" w:rsidRDefault="00354D75" w:rsidP="00E03501">
      <w:pPr>
        <w:widowControl w:val="0"/>
        <w:tabs>
          <w:tab w:val="left" w:pos="1701"/>
          <w:tab w:val="left" w:pos="1843"/>
        </w:tabs>
        <w:ind w:right="49"/>
      </w:pPr>
      <w:r w:rsidRPr="00E03501">
        <w:t xml:space="preserve">Situación que aconteció en el caso que nos ocupa, ya que </w:t>
      </w:r>
      <w:r w:rsidRPr="00E03501">
        <w:rPr>
          <w:b/>
        </w:rPr>
        <w:t>EL SUJETO OBLIGADO</w:t>
      </w:r>
      <w:r w:rsidRPr="00E03501">
        <w:t xml:space="preserve"> se pronunció respecto de cada una de las preguntas del particular, en atención a la información que posee, genera o administra.  </w:t>
      </w:r>
    </w:p>
    <w:p w14:paraId="67D00ECC" w14:textId="77777777" w:rsidR="002D6A2D" w:rsidRPr="00E03501" w:rsidRDefault="002D6A2D" w:rsidP="00E03501">
      <w:pPr>
        <w:ind w:right="49"/>
      </w:pPr>
    </w:p>
    <w:p w14:paraId="33D490C9" w14:textId="77777777" w:rsidR="002D6A2D" w:rsidRPr="00E03501" w:rsidRDefault="00354D75" w:rsidP="00E03501">
      <w:pPr>
        <w:ind w:right="49"/>
      </w:pPr>
      <w:r w:rsidRPr="00E03501">
        <w:t xml:space="preserve">Siendo relevante indicar además que, ante el pronunciamiento de los servidores públicos habilitados competentes, este Órgano Garante no cuenta con las facultades para dudar de la veracidad de la información que manifiesta el Sujeto Obligado, sirve de analogía a lo antes expuesto el criterio </w:t>
      </w:r>
      <w:r w:rsidRPr="00E03501">
        <w:rPr>
          <w:b/>
        </w:rPr>
        <w:t>31/10</w:t>
      </w:r>
      <w:r w:rsidRPr="00E03501">
        <w:t xml:space="preserve"> emitido por el entonces Instituto Federal de Acceso a la Información y Protección de Datos ahora Instituto Nacional de Transparencia, Acceso a la Información y Protección de Datos Personales que establece:</w:t>
      </w:r>
    </w:p>
    <w:p w14:paraId="7CC33F57" w14:textId="77777777" w:rsidR="002D6A2D" w:rsidRPr="00E03501" w:rsidRDefault="002D6A2D" w:rsidP="00E03501">
      <w:pPr>
        <w:ind w:right="49"/>
      </w:pPr>
    </w:p>
    <w:p w14:paraId="6961E204" w14:textId="77777777" w:rsidR="002D6A2D" w:rsidRPr="00E03501" w:rsidRDefault="00354D75" w:rsidP="00E03501">
      <w:pPr>
        <w:pStyle w:val="Puesto"/>
        <w:ind w:firstLine="567"/>
      </w:pPr>
      <w:r w:rsidRPr="00E03501">
        <w:t>“</w:t>
      </w:r>
      <w:r w:rsidRPr="00E03501">
        <w:rPr>
          <w:b/>
        </w:rPr>
        <w:t>El Instituto Federal de Acceso a la Información y Protección de Datos no cuenta con facultades para pronunciarse respecto de la veracidad de los documentos proporcionados por los sujetos obligados.</w:t>
      </w:r>
      <w:r w:rsidRPr="00E03501">
        <w:t xml:space="preserve"> El Instituto Federal de Acceso a la Información y Protección de Datos es un órgano de la Administración Pública Federal con autonomía operativa, presupu</w:t>
      </w:r>
      <w:r w:rsidRPr="00E03501">
        <w:rPr>
          <w:rFonts w:eastAsia="Palatino Linotype" w:cs="Palatino Linotype"/>
        </w:rPr>
        <w:t>estaria y de decisión, encargado de promover y difundir el ejercicio del derecho de</w:t>
      </w:r>
      <w:r w:rsidRPr="00E03501">
        <w:t xml:space="preserve"> acceso a la información; resolver sobre la negativa de las </w:t>
      </w:r>
      <w:r w:rsidRPr="00E03501">
        <w:lastRenderedPageBreak/>
        <w:t xml:space="preserve">solicitudes de acceso a la información; y proteger los datos personales en poder de las dependencias y entidades. Sin embargo, </w:t>
      </w:r>
      <w:r w:rsidRPr="00E03501">
        <w:rPr>
          <w:u w:val="single"/>
        </w:rPr>
        <w:t>no está facultado para pronunciarse sobre la veracidad de la información proporcionada por las autoridades</w:t>
      </w:r>
      <w:r w:rsidRPr="00E03501">
        <w:t xml:space="preserve">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B28A591" w14:textId="77777777" w:rsidR="002D6A2D" w:rsidRPr="00E03501" w:rsidRDefault="00354D75" w:rsidP="00E03501">
      <w:pPr>
        <w:widowControl w:val="0"/>
        <w:tabs>
          <w:tab w:val="left" w:pos="1701"/>
          <w:tab w:val="left" w:pos="1843"/>
        </w:tabs>
        <w:spacing w:line="240" w:lineRule="auto"/>
        <w:ind w:left="851" w:right="902"/>
      </w:pPr>
      <w:r w:rsidRPr="00E03501">
        <w:rPr>
          <w:i/>
        </w:rPr>
        <w:t>(énfasis añadido)</w:t>
      </w:r>
    </w:p>
    <w:p w14:paraId="11649E05" w14:textId="77777777" w:rsidR="002D6A2D" w:rsidRPr="00E03501" w:rsidRDefault="002D6A2D" w:rsidP="00E03501">
      <w:pPr>
        <w:pBdr>
          <w:top w:val="nil"/>
          <w:left w:val="nil"/>
          <w:bottom w:val="nil"/>
          <w:right w:val="nil"/>
          <w:between w:val="nil"/>
        </w:pBdr>
        <w:ind w:right="-93"/>
      </w:pPr>
    </w:p>
    <w:p w14:paraId="5C0EE07C" w14:textId="77777777" w:rsidR="002D6A2D" w:rsidRPr="00E03501" w:rsidRDefault="00354D75" w:rsidP="00E03501">
      <w:pPr>
        <w:pBdr>
          <w:top w:val="nil"/>
          <w:left w:val="nil"/>
          <w:bottom w:val="nil"/>
          <w:right w:val="nil"/>
          <w:between w:val="nil"/>
        </w:pBdr>
        <w:ind w:right="-93"/>
      </w:pPr>
      <w:r w:rsidRPr="00E03501">
        <w:t xml:space="preserve">Por último, no escapa de la óptica de este Órgano Garante que dentro de las manifestaciones vertidas por </w:t>
      </w:r>
      <w:r w:rsidRPr="00E03501">
        <w:rPr>
          <w:b/>
        </w:rPr>
        <w:t>LA PARTE RECURRENTE</w:t>
      </w:r>
      <w:r w:rsidRPr="00E03501">
        <w:t xml:space="preserve"> en su recurso de revisión se encuentran solicitudes o requerimientos que no se advierten en la solicitud primigenia como se observa de las partes resaltadas en la siguiente cita:</w:t>
      </w:r>
    </w:p>
    <w:p w14:paraId="41C6D781" w14:textId="77777777" w:rsidR="002D6A2D" w:rsidRPr="00E03501" w:rsidRDefault="002D6A2D" w:rsidP="00E03501">
      <w:pPr>
        <w:pBdr>
          <w:top w:val="nil"/>
          <w:left w:val="nil"/>
          <w:bottom w:val="nil"/>
          <w:right w:val="nil"/>
          <w:between w:val="nil"/>
        </w:pBdr>
        <w:ind w:right="-93"/>
      </w:pPr>
    </w:p>
    <w:p w14:paraId="04463D45" w14:textId="77777777" w:rsidR="002D6A2D" w:rsidRPr="00E03501" w:rsidRDefault="00354D75" w:rsidP="00E03501">
      <w:pPr>
        <w:pStyle w:val="Puesto"/>
        <w:ind w:firstLine="567"/>
      </w:pPr>
      <w:r w:rsidRPr="00E03501">
        <w:t xml:space="preserve">“Eso es lo que oficialmente a fontanero y un peón les paga OPDAPAS diariamente? </w:t>
      </w:r>
      <w:r w:rsidRPr="00E03501">
        <w:rPr>
          <w:b/>
        </w:rPr>
        <w:t>Solicito el monto oficial (Vía nomina o contrato) que se les paga al fontanero y peón de manera diaria</w:t>
      </w:r>
      <w:r w:rsidRPr="00E03501">
        <w:t xml:space="preserve">. Y en costo del equipo de corte con cortadora y </w:t>
      </w:r>
      <w:proofErr w:type="spellStart"/>
      <w:r w:rsidRPr="00E03501">
        <w:t>rotomartillo</w:t>
      </w:r>
      <w:proofErr w:type="spellEnd"/>
      <w:r w:rsidRPr="00E03501">
        <w:t xml:space="preserve">, </w:t>
      </w:r>
      <w:proofErr w:type="spellStart"/>
      <w:r w:rsidRPr="00E03501">
        <w:t>envian</w:t>
      </w:r>
      <w:proofErr w:type="spellEnd"/>
      <w:r w:rsidRPr="00E03501">
        <w:t xml:space="preserve"> unas tablas de análisis de P.U (</w:t>
      </w:r>
      <w:r w:rsidRPr="00E03501">
        <w:rPr>
          <w:b/>
        </w:rPr>
        <w:t>Qué significa P.U?)</w:t>
      </w:r>
      <w:r w:rsidRPr="00E03501">
        <w:t>, y obtienen en esas tablas los siguiente</w:t>
      </w:r>
      <w:r w:rsidRPr="00E03501">
        <w:rPr>
          <w:rFonts w:eastAsia="Palatino Linotype" w:cs="Palatino Linotype"/>
        </w:rPr>
        <w:t>s</w:t>
      </w:r>
      <w:r w:rsidRPr="00E03501">
        <w:t xml:space="preserve"> valores: Cortadora: $194.04 costo directo hora - maquinaria y Demoledor: $153.84 Costo directo hora -maquinaria. </w:t>
      </w:r>
      <w:r w:rsidRPr="00E03501">
        <w:rPr>
          <w:b/>
        </w:rPr>
        <w:t>Cuantas horas trabajan los equipos para que se cobren los $ 3,814.53.</w:t>
      </w:r>
      <w:r w:rsidRPr="00E03501">
        <w:t xml:space="preserve"> </w:t>
      </w:r>
      <w:r w:rsidRPr="00E03501">
        <w:rPr>
          <w:b/>
        </w:rPr>
        <w:t>Solicito se indique cuantas horas se necesita el equipo para colocar una toma domiciliaria”</w:t>
      </w:r>
      <w:r w:rsidRPr="00E03501">
        <w:t xml:space="preserve"> (Sic)</w:t>
      </w:r>
    </w:p>
    <w:p w14:paraId="15A92589" w14:textId="77777777" w:rsidR="002D6A2D" w:rsidRPr="00E03501" w:rsidRDefault="002D6A2D" w:rsidP="00E03501">
      <w:pPr>
        <w:pBdr>
          <w:top w:val="nil"/>
          <w:left w:val="nil"/>
          <w:bottom w:val="nil"/>
          <w:right w:val="nil"/>
          <w:between w:val="nil"/>
        </w:pBdr>
        <w:ind w:right="-93"/>
      </w:pPr>
    </w:p>
    <w:p w14:paraId="1511A55B" w14:textId="77777777" w:rsidR="002D6A2D" w:rsidRPr="00E03501" w:rsidRDefault="00354D75" w:rsidP="00E03501">
      <w:pPr>
        <w:pBdr>
          <w:top w:val="nil"/>
          <w:left w:val="nil"/>
          <w:bottom w:val="nil"/>
          <w:right w:val="nil"/>
          <w:between w:val="nil"/>
        </w:pBdr>
        <w:ind w:right="-93"/>
      </w:pPr>
      <w:r w:rsidRPr="00E03501">
        <w:t xml:space="preserve">Los requerimientos anteriores, como preguntas y solicitudes </w:t>
      </w:r>
      <w:r w:rsidRPr="00E03501">
        <w:rPr>
          <w:sz w:val="24"/>
          <w:szCs w:val="24"/>
        </w:rPr>
        <w:t>son c</w:t>
      </w:r>
      <w:r w:rsidRPr="00E03501">
        <w:t xml:space="preserve">onsiderados </w:t>
      </w:r>
      <w:r w:rsidRPr="00E03501">
        <w:rPr>
          <w:b/>
          <w:i/>
        </w:rPr>
        <w:t xml:space="preserve">plus </w:t>
      </w:r>
      <w:proofErr w:type="spellStart"/>
      <w:r w:rsidRPr="00E03501">
        <w:rPr>
          <w:b/>
          <w:i/>
        </w:rPr>
        <w:t>petitio</w:t>
      </w:r>
      <w:proofErr w:type="spellEnd"/>
      <w:r w:rsidRPr="00E03501">
        <w:rPr>
          <w:b/>
        </w:rPr>
        <w:t xml:space="preserve">, </w:t>
      </w:r>
      <w:r w:rsidRPr="00E03501">
        <w:t xml:space="preserve">es decir, actos relativos a nuevos requerimientos, empero que no se encuentran relacionados con la pretensión inicial al momento de confrontar la ampliación de la solicitud, operando de esta manera el principio de preclusión, es decir, la pérdida de una oportunidad procesal por no haber observado el orden o tiempo establecido en algún precepto normativo para la consumación de un acto determinado; sirva de apoyo el artículo 155, fracción III de la Ley de </w:t>
      </w:r>
      <w:r w:rsidRPr="00E03501">
        <w:lastRenderedPageBreak/>
        <w:t xml:space="preserve">Transparencia Local y criterio 01/2017 de la segunda época, establecido por el Instituto Nacional de Transparencia, Acceso a la Información y Protección de Datos Personales: </w:t>
      </w:r>
    </w:p>
    <w:p w14:paraId="61014A74" w14:textId="77777777" w:rsidR="002D6A2D" w:rsidRPr="00E03501" w:rsidRDefault="002D6A2D" w:rsidP="00E03501">
      <w:pPr>
        <w:pBdr>
          <w:top w:val="nil"/>
          <w:left w:val="nil"/>
          <w:bottom w:val="nil"/>
          <w:right w:val="nil"/>
          <w:between w:val="nil"/>
        </w:pBdr>
        <w:ind w:right="-93"/>
      </w:pPr>
    </w:p>
    <w:p w14:paraId="09923F67" w14:textId="77777777" w:rsidR="002D6A2D" w:rsidRPr="00E03501" w:rsidRDefault="00354D75" w:rsidP="00E03501">
      <w:pPr>
        <w:pStyle w:val="Puesto"/>
        <w:ind w:firstLine="567"/>
      </w:pPr>
      <w:r w:rsidRPr="00E03501">
        <w:rPr>
          <w:b/>
        </w:rPr>
        <w:t>Artículo 155</w:t>
      </w:r>
      <w:r w:rsidRPr="00E03501">
        <w:t xml:space="preserve">. Para presentar una solicitud por escrito, no se podrán exigir mayores requisitos que los siguientes: </w:t>
      </w:r>
    </w:p>
    <w:p w14:paraId="4A96FE2D" w14:textId="77777777" w:rsidR="002D6A2D" w:rsidRPr="00E03501" w:rsidRDefault="00354D75" w:rsidP="00E03501">
      <w:pPr>
        <w:pStyle w:val="Puesto"/>
        <w:ind w:firstLine="567"/>
      </w:pPr>
      <w:r w:rsidRPr="00E03501">
        <w:rPr>
          <w:b/>
        </w:rPr>
        <w:t>I.</w:t>
      </w:r>
      <w:r w:rsidRPr="00E03501">
        <w:t xml:space="preserve"> Nombre del solicitante, o en su caso, los datos generales de su representante; </w:t>
      </w:r>
    </w:p>
    <w:p w14:paraId="1DA1E130" w14:textId="77777777" w:rsidR="002D6A2D" w:rsidRPr="00E03501" w:rsidRDefault="00354D75" w:rsidP="00E03501">
      <w:pPr>
        <w:pStyle w:val="Puesto"/>
        <w:ind w:firstLine="567"/>
      </w:pPr>
      <w:r w:rsidRPr="00E03501">
        <w:rPr>
          <w:b/>
        </w:rPr>
        <w:t>II.</w:t>
      </w:r>
      <w:r w:rsidRPr="00E03501">
        <w:t xml:space="preserve"> Domicilio o en su caso correo electrónico para recibir notificaciones; </w:t>
      </w:r>
    </w:p>
    <w:p w14:paraId="6648A3EF" w14:textId="77777777" w:rsidR="002D6A2D" w:rsidRPr="00E03501" w:rsidRDefault="00354D75" w:rsidP="00E03501">
      <w:pPr>
        <w:pStyle w:val="Puesto"/>
        <w:ind w:firstLine="567"/>
        <w:rPr>
          <w:b/>
        </w:rPr>
      </w:pPr>
      <w:r w:rsidRPr="00E03501">
        <w:rPr>
          <w:b/>
        </w:rPr>
        <w:t xml:space="preserve">III. La descripción de la información solicitada; </w:t>
      </w:r>
    </w:p>
    <w:p w14:paraId="0BC5FC31" w14:textId="77777777" w:rsidR="002D6A2D" w:rsidRPr="00E03501" w:rsidRDefault="00354D75" w:rsidP="00E03501">
      <w:pPr>
        <w:pStyle w:val="Puesto"/>
        <w:ind w:firstLine="567"/>
      </w:pPr>
      <w:r w:rsidRPr="00E03501">
        <w:rPr>
          <w:b/>
        </w:rPr>
        <w:t>IV</w:t>
      </w:r>
      <w:r w:rsidRPr="00E03501">
        <w:t xml:space="preserve">. Cualquier otro dato que facilite la búsqueda y eventual localización de la información; y </w:t>
      </w:r>
    </w:p>
    <w:p w14:paraId="45689AA6" w14:textId="77777777" w:rsidR="002D6A2D" w:rsidRPr="00E03501" w:rsidRDefault="00354D75" w:rsidP="00E03501">
      <w:pPr>
        <w:pStyle w:val="Puesto"/>
        <w:ind w:firstLine="567"/>
      </w:pPr>
      <w:r w:rsidRPr="00E03501">
        <w:rPr>
          <w:b/>
        </w:rPr>
        <w:t>V</w:t>
      </w:r>
      <w:r w:rsidRPr="00E03501">
        <w:t>.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5901AAA5" w14:textId="77777777" w:rsidR="002D6A2D" w:rsidRPr="00E03501" w:rsidRDefault="00354D75" w:rsidP="00E03501">
      <w:pPr>
        <w:pStyle w:val="Puesto"/>
        <w:ind w:firstLine="567"/>
      </w:pPr>
      <w:r w:rsidRPr="00E03501">
        <w:t xml:space="preserve">Queda prohibido para los sujetos obligados recabar datos que den lugar a indagatorias sobre las motivaciones de la solicitud de información y su uso posterior. </w:t>
      </w:r>
    </w:p>
    <w:p w14:paraId="2FFC5BB3" w14:textId="77777777" w:rsidR="002D6A2D" w:rsidRPr="00E03501" w:rsidRDefault="00354D75" w:rsidP="00E03501">
      <w:pPr>
        <w:pStyle w:val="Puesto"/>
        <w:ind w:firstLine="567"/>
      </w:pPr>
      <w:r w:rsidRPr="00E03501">
        <w:t xml:space="preserve">Las solicitudes anónimas, con nombre incompleto o seudónimo serán procedentes para su trámite por parte del sujeto obligado ante quien se presente. No podrá requerirse información adicional con motivo del nombre proporcionado por el solicitante. </w:t>
      </w:r>
    </w:p>
    <w:p w14:paraId="7F56C11C" w14:textId="77777777" w:rsidR="002D6A2D" w:rsidRPr="00E03501" w:rsidRDefault="00354D75" w:rsidP="00E03501">
      <w:pPr>
        <w:pStyle w:val="Puesto"/>
        <w:ind w:firstLine="567"/>
      </w:pPr>
      <w:r w:rsidRPr="00E03501">
        <w:t>La información de las fracciones I y IV será proporcionada por el solicitante de manera opcional y, en ningún caso, podrá ser un requisito indispensable para la procedencia de la solicitud.</w:t>
      </w:r>
    </w:p>
    <w:p w14:paraId="3E3B3C45" w14:textId="77777777" w:rsidR="002D6A2D" w:rsidRPr="00E03501" w:rsidRDefault="002D6A2D" w:rsidP="00E03501">
      <w:pPr>
        <w:pStyle w:val="Puesto"/>
        <w:ind w:firstLine="567"/>
      </w:pPr>
    </w:p>
    <w:p w14:paraId="0183E887" w14:textId="77777777" w:rsidR="002D6A2D" w:rsidRPr="00E03501" w:rsidRDefault="00354D75" w:rsidP="00E03501">
      <w:pPr>
        <w:pStyle w:val="Puesto"/>
        <w:ind w:firstLine="567"/>
        <w:rPr>
          <w:b/>
        </w:rPr>
      </w:pPr>
      <w:r w:rsidRPr="00E03501">
        <w:rPr>
          <w:b/>
        </w:rPr>
        <w:t>“Criterio 01/2017</w:t>
      </w:r>
    </w:p>
    <w:p w14:paraId="3C7C4521" w14:textId="77777777" w:rsidR="002D6A2D" w:rsidRPr="00E03501" w:rsidRDefault="00354D75" w:rsidP="00E03501">
      <w:pPr>
        <w:pStyle w:val="Puesto"/>
        <w:ind w:firstLine="567"/>
      </w:pPr>
      <w:r w:rsidRPr="00E03501">
        <w:rPr>
          <w:b/>
        </w:rPr>
        <w:t>Es improcedente ampliar las solicitudes de acceso a información</w:t>
      </w:r>
      <w:r w:rsidRPr="00E03501">
        <w:t xml:space="preserve">, a través de la interposición del recurso de revisión.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w:t>
      </w:r>
      <w:r w:rsidRPr="00E03501">
        <w:rPr>
          <w:b/>
        </w:rPr>
        <w:t>amplíen los alcances de la solicitud de información inicial</w:t>
      </w:r>
      <w:r w:rsidRPr="00E03501">
        <w:t>, los nuevos contenidos no podrán constituir materia del procedimiento a sustanciarse por el Instituto Nacional de Transparencia, Acceso a la Información y Protección de Datos Personales; actualizándose la hipótesis de improcedencia respectiva.”</w:t>
      </w:r>
    </w:p>
    <w:p w14:paraId="0674E4C6" w14:textId="77777777" w:rsidR="002D6A2D" w:rsidRPr="00E03501" w:rsidRDefault="002D6A2D" w:rsidP="00E03501"/>
    <w:p w14:paraId="4D794071" w14:textId="77777777" w:rsidR="002D6A2D" w:rsidRPr="00E03501" w:rsidRDefault="00354D75" w:rsidP="00E03501">
      <w:pPr>
        <w:pBdr>
          <w:top w:val="nil"/>
          <w:left w:val="nil"/>
          <w:bottom w:val="nil"/>
          <w:right w:val="nil"/>
          <w:between w:val="nil"/>
        </w:pBdr>
        <w:ind w:right="-93"/>
      </w:pPr>
      <w:r w:rsidRPr="00E03501">
        <w:lastRenderedPageBreak/>
        <w:t xml:space="preserve">De forma que resulta imposible para este Instituto pronunciarse respecto de dichas solicitudes nuevas, ya que no hay una respuesta del </w:t>
      </w:r>
      <w:r w:rsidRPr="00E03501">
        <w:rPr>
          <w:b/>
        </w:rPr>
        <w:t>SUJETO OBLIGADO</w:t>
      </w:r>
      <w:r w:rsidRPr="00E03501">
        <w:t xml:space="preserve"> que permita revocar, modificar o confirmar, siendo este el propósito del recurso de revisión. </w:t>
      </w:r>
    </w:p>
    <w:p w14:paraId="3FAA17F3" w14:textId="77777777" w:rsidR="002D6A2D" w:rsidRPr="00E03501" w:rsidRDefault="002D6A2D" w:rsidP="00E03501">
      <w:pPr>
        <w:pBdr>
          <w:top w:val="nil"/>
          <w:left w:val="nil"/>
          <w:bottom w:val="nil"/>
          <w:right w:val="nil"/>
          <w:between w:val="nil"/>
        </w:pBdr>
        <w:ind w:right="-93"/>
      </w:pPr>
    </w:p>
    <w:p w14:paraId="7B65AA81" w14:textId="77777777" w:rsidR="002D6A2D" w:rsidRPr="00E03501" w:rsidRDefault="00354D75" w:rsidP="00E03501">
      <w:pPr>
        <w:pBdr>
          <w:top w:val="nil"/>
          <w:left w:val="nil"/>
          <w:bottom w:val="nil"/>
          <w:right w:val="nil"/>
          <w:between w:val="nil"/>
        </w:pBdr>
        <w:ind w:right="-93"/>
        <w:rPr>
          <w:sz w:val="20"/>
        </w:rPr>
      </w:pPr>
      <w:r w:rsidRPr="00E03501">
        <w:t xml:space="preserve">Por tanto, este Instituto determina </w:t>
      </w:r>
      <w:r w:rsidRPr="00E03501">
        <w:rPr>
          <w:b/>
        </w:rPr>
        <w:t xml:space="preserve">CONFIRMAR </w:t>
      </w:r>
      <w:r w:rsidRPr="00E03501">
        <w:t xml:space="preserve">la respuesta del </w:t>
      </w:r>
      <w:r w:rsidRPr="00E03501">
        <w:rPr>
          <w:b/>
        </w:rPr>
        <w:t>SUJETO OBLIGADO</w:t>
      </w:r>
      <w:r w:rsidRPr="00E03501">
        <w:t xml:space="preserve"> a la solicitud de información que dio origen al Recurso de Revisión número </w:t>
      </w:r>
      <w:r w:rsidRPr="00E03501">
        <w:rPr>
          <w:b/>
        </w:rPr>
        <w:t>01812/INFOEM/IP/RR/2023,</w:t>
      </w:r>
      <w:r w:rsidRPr="00E03501">
        <w:t xml:space="preserve"> por resultar infundadas las manifestaciones vertidas por </w:t>
      </w:r>
      <w:r w:rsidRPr="00E03501">
        <w:rPr>
          <w:b/>
        </w:rPr>
        <w:t>EL</w:t>
      </w:r>
      <w:r w:rsidRPr="00E03501">
        <w:t xml:space="preserve"> </w:t>
      </w:r>
      <w:r w:rsidRPr="00E03501">
        <w:rPr>
          <w:b/>
        </w:rPr>
        <w:t>RECURRENTE</w:t>
      </w:r>
      <w:r w:rsidRPr="00E03501">
        <w:t xml:space="preserve"> en el presente Recurso de Revisión. </w:t>
      </w:r>
    </w:p>
    <w:p w14:paraId="064AFFEB" w14:textId="77777777" w:rsidR="002D6A2D" w:rsidRPr="00E03501" w:rsidRDefault="002D6A2D" w:rsidP="00E03501">
      <w:pPr>
        <w:pBdr>
          <w:top w:val="nil"/>
          <w:left w:val="nil"/>
          <w:bottom w:val="nil"/>
          <w:right w:val="nil"/>
          <w:between w:val="nil"/>
        </w:pBdr>
        <w:ind w:left="720" w:right="-93"/>
      </w:pPr>
    </w:p>
    <w:p w14:paraId="064880F7" w14:textId="77777777" w:rsidR="002D6A2D" w:rsidRPr="00E03501" w:rsidRDefault="00354D75" w:rsidP="00E03501">
      <w:pPr>
        <w:pStyle w:val="Ttulo3"/>
      </w:pPr>
      <w:bookmarkStart w:id="36" w:name="_heading=h.1egqt2p" w:colFirst="0" w:colLast="0"/>
      <w:bookmarkEnd w:id="36"/>
      <w:r w:rsidRPr="00E03501">
        <w:t>d) Conclusión</w:t>
      </w:r>
    </w:p>
    <w:p w14:paraId="268825C0" w14:textId="77777777" w:rsidR="002D6A2D" w:rsidRPr="00E03501" w:rsidRDefault="00354D75" w:rsidP="00E03501">
      <w:r w:rsidRPr="00E03501">
        <w:t xml:space="preserve">En atención a los argumentos antes expuestos, se puede arribar a las siguientes conclusiones: </w:t>
      </w:r>
    </w:p>
    <w:p w14:paraId="501CFC0F" w14:textId="77777777" w:rsidR="002D6A2D" w:rsidRPr="00E03501" w:rsidRDefault="00354D75" w:rsidP="00E03501">
      <w:pPr>
        <w:numPr>
          <w:ilvl w:val="0"/>
          <w:numId w:val="3"/>
        </w:numPr>
        <w:ind w:right="-93"/>
      </w:pPr>
      <w:r w:rsidRPr="00E03501">
        <w:rPr>
          <w:b/>
        </w:rPr>
        <w:t>El SUJETO OBLIGADO</w:t>
      </w:r>
      <w:r w:rsidRPr="00E03501">
        <w:t xml:space="preserve"> es competente para poseer y  administrar la información solicitada, situación que se puede constatar tanto de la fuente obligacional que lo faculta como por su respuesta.</w:t>
      </w:r>
    </w:p>
    <w:p w14:paraId="02FEA5F7" w14:textId="77777777" w:rsidR="002D6A2D" w:rsidRPr="00E03501" w:rsidRDefault="00354D75" w:rsidP="00E03501">
      <w:pPr>
        <w:numPr>
          <w:ilvl w:val="0"/>
          <w:numId w:val="3"/>
        </w:numPr>
        <w:ind w:right="-93"/>
      </w:pPr>
      <w:r w:rsidRPr="00E03501">
        <w:t xml:space="preserve">Para tal efecto dio respuesta por medio del servidor público habilitado competente, quien se pronunció respecto de cada uno de los requerimientos en atención a la información que se encuentra dentro de sus archivos. </w:t>
      </w:r>
    </w:p>
    <w:p w14:paraId="7E31B863" w14:textId="77777777" w:rsidR="002D6A2D" w:rsidRPr="00E03501" w:rsidRDefault="00354D75" w:rsidP="00E03501">
      <w:pPr>
        <w:numPr>
          <w:ilvl w:val="0"/>
          <w:numId w:val="3"/>
        </w:numPr>
        <w:ind w:right="-93"/>
      </w:pPr>
      <w:r w:rsidRPr="00E03501">
        <w:t xml:space="preserve">Por lo que hace a la información adicional solicitada en el recurso de revisión, este Instituto está impedido para pronunciarse sobre dichas solicitudes. </w:t>
      </w:r>
    </w:p>
    <w:p w14:paraId="547BAEFE" w14:textId="77777777" w:rsidR="002D6A2D" w:rsidRPr="00E03501" w:rsidRDefault="00354D75" w:rsidP="00E03501">
      <w:pPr>
        <w:ind w:right="-93"/>
      </w:pPr>
      <w:r w:rsidRPr="00E03501">
        <w:t xml:space="preserve"> </w:t>
      </w:r>
    </w:p>
    <w:p w14:paraId="27F52EF3" w14:textId="77777777" w:rsidR="002D6A2D" w:rsidRPr="00E03501" w:rsidRDefault="00354D75" w:rsidP="00E03501">
      <w:pPr>
        <w:ind w:right="-93"/>
      </w:pPr>
      <w:r w:rsidRPr="00E03501">
        <w:t xml:space="preserve">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w:t>
      </w:r>
      <w:r w:rsidRPr="00E03501">
        <w:lastRenderedPageBreak/>
        <w:t>y 188 de la Ley de Transparencia y Acceso a la Información Pública del Estado de México y Municipios, este Pleno:</w:t>
      </w:r>
    </w:p>
    <w:p w14:paraId="0416F09B" w14:textId="77777777" w:rsidR="002D6A2D" w:rsidRPr="00E03501" w:rsidRDefault="002D6A2D" w:rsidP="00E03501">
      <w:pPr>
        <w:ind w:right="-93"/>
      </w:pPr>
    </w:p>
    <w:p w14:paraId="7F1912FE" w14:textId="77777777" w:rsidR="002D6A2D" w:rsidRPr="00E03501" w:rsidRDefault="00354D75" w:rsidP="00E03501">
      <w:pPr>
        <w:pStyle w:val="Ttulo1"/>
      </w:pPr>
      <w:bookmarkStart w:id="37" w:name="_heading=h.3ygebqi" w:colFirst="0" w:colLast="0"/>
      <w:bookmarkEnd w:id="37"/>
      <w:r w:rsidRPr="00E03501">
        <w:t>RESUELVE</w:t>
      </w:r>
    </w:p>
    <w:p w14:paraId="7FFA8C50" w14:textId="77777777" w:rsidR="002D6A2D" w:rsidRPr="00E03501" w:rsidRDefault="00354D75" w:rsidP="00E03501">
      <w:pPr>
        <w:widowControl w:val="0"/>
      </w:pPr>
      <w:r w:rsidRPr="00E03501">
        <w:rPr>
          <w:b/>
        </w:rPr>
        <w:t>PRIMERO.</w:t>
      </w:r>
      <w:r w:rsidRPr="00E03501">
        <w:t xml:space="preserve"> Se </w:t>
      </w:r>
      <w:r w:rsidRPr="00E03501">
        <w:rPr>
          <w:b/>
        </w:rPr>
        <w:t>CONFIRMA</w:t>
      </w:r>
      <w:r w:rsidRPr="00E03501">
        <w:t xml:space="preserve"> la respuesta entregada por el </w:t>
      </w:r>
      <w:r w:rsidRPr="00E03501">
        <w:rPr>
          <w:b/>
        </w:rPr>
        <w:t>SUJETO OBLIGADO</w:t>
      </w:r>
      <w:r w:rsidRPr="00E03501">
        <w:t xml:space="preserve"> en la solicitud de información</w:t>
      </w:r>
      <w:r w:rsidRPr="00E03501">
        <w:rPr>
          <w:b/>
        </w:rPr>
        <w:t xml:space="preserve"> 00004/OASTENANCI/IP/2024</w:t>
      </w:r>
      <w:r w:rsidRPr="00E03501">
        <w:t xml:space="preserve">, por resultar </w:t>
      </w:r>
      <w:r w:rsidRPr="00E03501">
        <w:rPr>
          <w:b/>
        </w:rPr>
        <w:t>INFUNDADAS</w:t>
      </w:r>
      <w:r w:rsidRPr="00E03501">
        <w:t xml:space="preserve"> las razones o motivos de inconformidad hechos valer por </w:t>
      </w:r>
      <w:r w:rsidRPr="00E03501">
        <w:rPr>
          <w:b/>
        </w:rPr>
        <w:t>LA PARTE RECURRENTE</w:t>
      </w:r>
      <w:r w:rsidRPr="00E03501">
        <w:t xml:space="preserve"> en el Recurso de Revisión </w:t>
      </w:r>
      <w:r w:rsidRPr="00E03501">
        <w:rPr>
          <w:b/>
        </w:rPr>
        <w:t>01812/INFOEM/IP/RR/2024</w:t>
      </w:r>
      <w:r w:rsidRPr="00E03501">
        <w:t>,</w:t>
      </w:r>
      <w:r w:rsidRPr="00E03501">
        <w:rPr>
          <w:b/>
        </w:rPr>
        <w:t xml:space="preserve"> </w:t>
      </w:r>
      <w:r w:rsidRPr="00E03501">
        <w:t xml:space="preserve">en términos del considerando </w:t>
      </w:r>
      <w:r w:rsidRPr="00E03501">
        <w:rPr>
          <w:b/>
        </w:rPr>
        <w:t>SEGUNDO</w:t>
      </w:r>
      <w:r w:rsidRPr="00E03501">
        <w:t xml:space="preserve"> de la presente Resolución.</w:t>
      </w:r>
    </w:p>
    <w:p w14:paraId="49E5C496" w14:textId="77777777" w:rsidR="002D6A2D" w:rsidRPr="00E03501" w:rsidRDefault="002D6A2D" w:rsidP="00E03501">
      <w:pPr>
        <w:widowControl w:val="0"/>
      </w:pPr>
    </w:p>
    <w:p w14:paraId="0EB37B26" w14:textId="77777777" w:rsidR="002D6A2D" w:rsidRPr="00E03501" w:rsidRDefault="00354D75" w:rsidP="00E03501">
      <w:pPr>
        <w:ind w:right="-93"/>
      </w:pPr>
      <w:r w:rsidRPr="00E03501">
        <w:rPr>
          <w:b/>
        </w:rPr>
        <w:t>SEGUNDO.</w:t>
      </w:r>
      <w:r w:rsidRPr="00E03501">
        <w:t xml:space="preserve"> Notifíquese la presente resolución mediante Sistema de Acceso a la Información Mexiquense al Titular de la Unidad de Transparencia del </w:t>
      </w:r>
      <w:r w:rsidRPr="00E03501">
        <w:rPr>
          <w:b/>
        </w:rPr>
        <w:t>SUJETO OBLIGADO</w:t>
      </w:r>
      <w:r w:rsidRPr="00E03501">
        <w:t>, para su conocimiento.</w:t>
      </w:r>
    </w:p>
    <w:p w14:paraId="16880D51" w14:textId="77777777" w:rsidR="002D6A2D" w:rsidRPr="00E03501" w:rsidRDefault="002D6A2D" w:rsidP="00E03501">
      <w:pPr>
        <w:rPr>
          <w:b/>
        </w:rPr>
      </w:pPr>
    </w:p>
    <w:p w14:paraId="7C738BDA" w14:textId="77777777" w:rsidR="002D6A2D" w:rsidRPr="00E03501" w:rsidRDefault="00354D75" w:rsidP="00E03501">
      <w:r w:rsidRPr="00E03501">
        <w:rPr>
          <w:b/>
        </w:rPr>
        <w:t>TERCERO.</w:t>
      </w:r>
      <w:r w:rsidRPr="00E03501">
        <w:t xml:space="preserve"> Notifíquese a </w:t>
      </w:r>
      <w:r w:rsidRPr="00E03501">
        <w:rPr>
          <w:b/>
        </w:rPr>
        <w:t>LA PARTE RECURRENTE</w:t>
      </w:r>
      <w:r w:rsidRPr="00E03501">
        <w:t xml:space="preserve"> la presente resolución vía Sistema de Acceso a la Información Mexiquense (SAIMEX).</w:t>
      </w:r>
    </w:p>
    <w:p w14:paraId="77C92992" w14:textId="77777777" w:rsidR="002D6A2D" w:rsidRPr="00E03501" w:rsidRDefault="002D6A2D" w:rsidP="00E03501"/>
    <w:p w14:paraId="7B4CBE25" w14:textId="77777777" w:rsidR="002D6A2D" w:rsidRPr="00E03501" w:rsidRDefault="00354D75" w:rsidP="00E03501">
      <w:r w:rsidRPr="00E03501">
        <w:rPr>
          <w:b/>
        </w:rPr>
        <w:t>CUARTO</w:t>
      </w:r>
      <w:r w:rsidRPr="00E03501">
        <w:t xml:space="preserve">. Hágase del conocimiento a </w:t>
      </w:r>
      <w:r w:rsidRPr="00E03501">
        <w:rPr>
          <w:b/>
        </w:rPr>
        <w:t>LA PARTE RECURRENTE</w:t>
      </w:r>
      <w:r w:rsidRPr="00E03501">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A27983D" w14:textId="3950458B" w:rsidR="002D6A2D" w:rsidRDefault="002D6A2D" w:rsidP="00E03501">
      <w:pPr>
        <w:ind w:right="113"/>
        <w:rPr>
          <w:b/>
        </w:rPr>
      </w:pPr>
    </w:p>
    <w:p w14:paraId="5788B7EB" w14:textId="77777777" w:rsidR="00E03501" w:rsidRPr="00E03501" w:rsidRDefault="00E03501" w:rsidP="00E03501">
      <w:pPr>
        <w:ind w:right="113"/>
        <w:rPr>
          <w:b/>
        </w:rPr>
      </w:pPr>
    </w:p>
    <w:p w14:paraId="6C082D4E" w14:textId="77777777" w:rsidR="002D6A2D" w:rsidRPr="00E03501" w:rsidRDefault="00354D75" w:rsidP="00E03501">
      <w:r w:rsidRPr="00E03501">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VEINTIOCHO DE AGOSTO  DE DOS MIL VEINTICUATRO ANTE EL SECRETARIO TÉCNICO DEL PLENO, ALEXIS TAPIA RAMÍREZ.</w:t>
      </w:r>
    </w:p>
    <w:p w14:paraId="10BEFEAD" w14:textId="77777777" w:rsidR="002D6A2D" w:rsidRPr="00E03501" w:rsidRDefault="00354D75" w:rsidP="00E03501">
      <w:pPr>
        <w:ind w:right="-93"/>
        <w:rPr>
          <w:sz w:val="18"/>
          <w:szCs w:val="18"/>
        </w:rPr>
      </w:pPr>
      <w:r w:rsidRPr="00E03501">
        <w:rPr>
          <w:sz w:val="18"/>
          <w:szCs w:val="18"/>
        </w:rPr>
        <w:t>SCMM/AGZ/DEMF/PMRE</w:t>
      </w:r>
    </w:p>
    <w:p w14:paraId="0A3CF7B6" w14:textId="77777777" w:rsidR="002D6A2D" w:rsidRPr="00E03501" w:rsidRDefault="002D6A2D" w:rsidP="00E03501">
      <w:pPr>
        <w:ind w:right="-93"/>
      </w:pPr>
    </w:p>
    <w:p w14:paraId="5FF7B1D2" w14:textId="77777777" w:rsidR="002D6A2D" w:rsidRPr="00E03501" w:rsidRDefault="002D6A2D" w:rsidP="00E03501">
      <w:pPr>
        <w:ind w:right="-93"/>
      </w:pPr>
    </w:p>
    <w:p w14:paraId="3C6DA1AD" w14:textId="77777777" w:rsidR="002D6A2D" w:rsidRPr="00E03501" w:rsidRDefault="002D6A2D" w:rsidP="00E03501">
      <w:pPr>
        <w:ind w:right="-93"/>
      </w:pPr>
    </w:p>
    <w:p w14:paraId="54E04243" w14:textId="77777777" w:rsidR="002D6A2D" w:rsidRPr="00E03501" w:rsidRDefault="002D6A2D" w:rsidP="00E03501">
      <w:pPr>
        <w:ind w:right="-93"/>
      </w:pPr>
    </w:p>
    <w:p w14:paraId="3A5AEB11" w14:textId="77777777" w:rsidR="002D6A2D" w:rsidRPr="00E03501" w:rsidRDefault="002D6A2D" w:rsidP="00E03501">
      <w:pPr>
        <w:ind w:right="-93"/>
      </w:pPr>
    </w:p>
    <w:p w14:paraId="4CF8C623" w14:textId="77777777" w:rsidR="002D6A2D" w:rsidRPr="00E03501" w:rsidRDefault="002D6A2D" w:rsidP="00E03501">
      <w:pPr>
        <w:ind w:right="-93"/>
      </w:pPr>
    </w:p>
    <w:p w14:paraId="7ED61A2E" w14:textId="77777777" w:rsidR="002D6A2D" w:rsidRPr="00E03501" w:rsidRDefault="002D6A2D" w:rsidP="00E03501">
      <w:pPr>
        <w:ind w:right="-93"/>
      </w:pPr>
    </w:p>
    <w:p w14:paraId="76B7655F" w14:textId="77777777" w:rsidR="002D6A2D" w:rsidRPr="00E03501" w:rsidRDefault="002D6A2D" w:rsidP="00E03501">
      <w:pPr>
        <w:tabs>
          <w:tab w:val="center" w:pos="4568"/>
        </w:tabs>
        <w:ind w:right="-93"/>
      </w:pPr>
    </w:p>
    <w:p w14:paraId="74B8E7B8" w14:textId="77777777" w:rsidR="002D6A2D" w:rsidRPr="00E03501" w:rsidRDefault="002D6A2D" w:rsidP="00E03501">
      <w:pPr>
        <w:tabs>
          <w:tab w:val="center" w:pos="4568"/>
        </w:tabs>
        <w:ind w:right="-93"/>
      </w:pPr>
    </w:p>
    <w:p w14:paraId="749E6192" w14:textId="77777777" w:rsidR="002D6A2D" w:rsidRPr="00E03501" w:rsidRDefault="002D6A2D" w:rsidP="00E03501">
      <w:pPr>
        <w:tabs>
          <w:tab w:val="center" w:pos="4568"/>
        </w:tabs>
        <w:ind w:right="-93"/>
      </w:pPr>
    </w:p>
    <w:p w14:paraId="7B12153F" w14:textId="77777777" w:rsidR="002D6A2D" w:rsidRPr="00E03501" w:rsidRDefault="002D6A2D" w:rsidP="00E03501">
      <w:pPr>
        <w:tabs>
          <w:tab w:val="center" w:pos="4568"/>
        </w:tabs>
        <w:ind w:right="-93"/>
      </w:pPr>
    </w:p>
    <w:p w14:paraId="7FC611C9" w14:textId="77777777" w:rsidR="002D6A2D" w:rsidRPr="00E03501" w:rsidRDefault="002D6A2D" w:rsidP="00E03501">
      <w:pPr>
        <w:tabs>
          <w:tab w:val="center" w:pos="4568"/>
        </w:tabs>
        <w:ind w:right="-93"/>
      </w:pPr>
    </w:p>
    <w:p w14:paraId="6CA54E9E" w14:textId="77777777" w:rsidR="002D6A2D" w:rsidRPr="00E03501" w:rsidRDefault="002D6A2D" w:rsidP="00E03501">
      <w:pPr>
        <w:tabs>
          <w:tab w:val="center" w:pos="4568"/>
        </w:tabs>
        <w:ind w:right="-93"/>
      </w:pPr>
    </w:p>
    <w:p w14:paraId="1CC5F451" w14:textId="77777777" w:rsidR="002D6A2D" w:rsidRPr="00E03501" w:rsidRDefault="002D6A2D" w:rsidP="00E03501">
      <w:pPr>
        <w:tabs>
          <w:tab w:val="center" w:pos="4568"/>
        </w:tabs>
        <w:ind w:right="-93"/>
      </w:pPr>
    </w:p>
    <w:p w14:paraId="713A9712" w14:textId="77777777" w:rsidR="002D6A2D" w:rsidRPr="00E03501" w:rsidRDefault="002D6A2D" w:rsidP="00E03501">
      <w:pPr>
        <w:tabs>
          <w:tab w:val="center" w:pos="4568"/>
        </w:tabs>
        <w:ind w:right="-93"/>
      </w:pPr>
    </w:p>
    <w:p w14:paraId="6FC290F6" w14:textId="77777777" w:rsidR="002D6A2D" w:rsidRPr="00E03501" w:rsidRDefault="002D6A2D" w:rsidP="00E03501">
      <w:pPr>
        <w:tabs>
          <w:tab w:val="center" w:pos="4568"/>
        </w:tabs>
        <w:ind w:right="-93"/>
      </w:pPr>
    </w:p>
    <w:p w14:paraId="16401E49" w14:textId="77777777" w:rsidR="002D6A2D" w:rsidRPr="00E03501" w:rsidRDefault="002D6A2D" w:rsidP="00E03501">
      <w:pPr>
        <w:tabs>
          <w:tab w:val="center" w:pos="4568"/>
        </w:tabs>
        <w:ind w:right="-93"/>
      </w:pPr>
    </w:p>
    <w:p w14:paraId="34D6A62B" w14:textId="77777777" w:rsidR="002D6A2D" w:rsidRPr="00E03501" w:rsidRDefault="002D6A2D" w:rsidP="00E03501">
      <w:pPr>
        <w:tabs>
          <w:tab w:val="center" w:pos="4568"/>
        </w:tabs>
        <w:ind w:right="-93"/>
      </w:pPr>
    </w:p>
    <w:p w14:paraId="29B19CAF" w14:textId="77777777" w:rsidR="002D6A2D" w:rsidRPr="00E03501" w:rsidRDefault="002D6A2D" w:rsidP="00E03501">
      <w:pPr>
        <w:tabs>
          <w:tab w:val="center" w:pos="4568"/>
        </w:tabs>
        <w:ind w:right="-93"/>
      </w:pPr>
    </w:p>
    <w:p w14:paraId="1DD4AFFB" w14:textId="77777777" w:rsidR="002D6A2D" w:rsidRPr="00E03501" w:rsidRDefault="002D6A2D" w:rsidP="00E03501">
      <w:pPr>
        <w:tabs>
          <w:tab w:val="center" w:pos="4568"/>
        </w:tabs>
        <w:ind w:right="-93"/>
      </w:pPr>
    </w:p>
    <w:p w14:paraId="036FF1D3" w14:textId="77777777" w:rsidR="002D6A2D" w:rsidRPr="00E03501" w:rsidRDefault="002D6A2D" w:rsidP="00E03501">
      <w:pPr>
        <w:tabs>
          <w:tab w:val="center" w:pos="4568"/>
        </w:tabs>
        <w:ind w:right="-93"/>
      </w:pPr>
    </w:p>
    <w:p w14:paraId="789CE39F" w14:textId="77777777" w:rsidR="002D6A2D" w:rsidRPr="00E03501" w:rsidRDefault="002D6A2D" w:rsidP="00E03501">
      <w:pPr>
        <w:tabs>
          <w:tab w:val="center" w:pos="4568"/>
        </w:tabs>
        <w:ind w:right="-93"/>
      </w:pPr>
    </w:p>
    <w:p w14:paraId="35D53EE7" w14:textId="77777777" w:rsidR="002D6A2D" w:rsidRPr="00E03501" w:rsidRDefault="002D6A2D" w:rsidP="00E03501">
      <w:pPr>
        <w:tabs>
          <w:tab w:val="center" w:pos="4568"/>
        </w:tabs>
        <w:ind w:right="-93"/>
      </w:pPr>
    </w:p>
    <w:p w14:paraId="50DAEC5F" w14:textId="77777777" w:rsidR="002D6A2D" w:rsidRPr="00E03501" w:rsidRDefault="002D6A2D" w:rsidP="00E03501"/>
    <w:sectPr w:rsidR="002D6A2D" w:rsidRPr="00E03501">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3991E" w14:textId="77777777" w:rsidR="00A13D7B" w:rsidRDefault="00A13D7B">
      <w:pPr>
        <w:spacing w:line="240" w:lineRule="auto"/>
      </w:pPr>
      <w:r>
        <w:separator/>
      </w:r>
    </w:p>
  </w:endnote>
  <w:endnote w:type="continuationSeparator" w:id="0">
    <w:p w14:paraId="19F2C401" w14:textId="77777777" w:rsidR="00A13D7B" w:rsidRDefault="00A13D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Play">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4CB18" w14:textId="77777777" w:rsidR="002D6A2D" w:rsidRDefault="002D6A2D">
    <w:pPr>
      <w:tabs>
        <w:tab w:val="center" w:pos="4550"/>
        <w:tab w:val="left" w:pos="5818"/>
      </w:tabs>
      <w:ind w:right="260"/>
      <w:jc w:val="right"/>
      <w:rPr>
        <w:color w:val="071320"/>
        <w:sz w:val="24"/>
        <w:szCs w:val="24"/>
      </w:rPr>
    </w:pPr>
  </w:p>
  <w:p w14:paraId="01D03E4D" w14:textId="77777777" w:rsidR="002D6A2D" w:rsidRDefault="002D6A2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DCC0B" w14:textId="77777777" w:rsidR="002D6A2D" w:rsidRDefault="00354D75">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46435C">
      <w:rPr>
        <w:noProof/>
        <w:color w:val="0A1D30"/>
        <w:sz w:val="24"/>
        <w:szCs w:val="24"/>
      </w:rPr>
      <w:t>28</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46435C">
      <w:rPr>
        <w:noProof/>
        <w:color w:val="0A1D30"/>
        <w:sz w:val="24"/>
        <w:szCs w:val="24"/>
      </w:rPr>
      <w:t>30</w:t>
    </w:r>
    <w:r>
      <w:rPr>
        <w:color w:val="0A1D30"/>
        <w:sz w:val="24"/>
        <w:szCs w:val="24"/>
      </w:rPr>
      <w:fldChar w:fldCharType="end"/>
    </w:r>
  </w:p>
  <w:p w14:paraId="1CC9A8A6" w14:textId="77777777" w:rsidR="002D6A2D" w:rsidRDefault="002D6A2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05C67" w14:textId="77777777" w:rsidR="00A13D7B" w:rsidRDefault="00A13D7B">
      <w:pPr>
        <w:spacing w:line="240" w:lineRule="auto"/>
      </w:pPr>
      <w:r>
        <w:separator/>
      </w:r>
    </w:p>
  </w:footnote>
  <w:footnote w:type="continuationSeparator" w:id="0">
    <w:p w14:paraId="4FD25ECC" w14:textId="77777777" w:rsidR="00A13D7B" w:rsidRDefault="00A13D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57785" w14:textId="77777777" w:rsidR="002D6A2D" w:rsidRDefault="002D6A2D">
    <w:pPr>
      <w:widowControl w:val="0"/>
      <w:pBdr>
        <w:top w:val="nil"/>
        <w:left w:val="nil"/>
        <w:bottom w:val="nil"/>
        <w:right w:val="nil"/>
        <w:between w:val="nil"/>
      </w:pBdr>
      <w:spacing w:line="276" w:lineRule="auto"/>
      <w:jc w:val="left"/>
    </w:pPr>
  </w:p>
  <w:tbl>
    <w:tblPr>
      <w:tblStyle w:val="a2"/>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2D6A2D" w14:paraId="7DB55ADD" w14:textId="77777777">
      <w:trPr>
        <w:trHeight w:val="144"/>
        <w:jc w:val="right"/>
      </w:trPr>
      <w:tc>
        <w:tcPr>
          <w:tcW w:w="2727" w:type="dxa"/>
        </w:tcPr>
        <w:p w14:paraId="0D571285" w14:textId="77777777" w:rsidR="002D6A2D" w:rsidRDefault="00354D75">
          <w:pPr>
            <w:tabs>
              <w:tab w:val="right" w:pos="8838"/>
            </w:tabs>
            <w:ind w:left="-74" w:right="-105"/>
            <w:rPr>
              <w:b/>
            </w:rPr>
          </w:pPr>
          <w:r>
            <w:rPr>
              <w:b/>
            </w:rPr>
            <w:t>Recurso de Revisión:</w:t>
          </w:r>
        </w:p>
      </w:tc>
      <w:tc>
        <w:tcPr>
          <w:tcW w:w="3402" w:type="dxa"/>
        </w:tcPr>
        <w:p w14:paraId="606E2CB1" w14:textId="77777777" w:rsidR="002D6A2D" w:rsidRDefault="00354D75">
          <w:pPr>
            <w:tabs>
              <w:tab w:val="right" w:pos="8838"/>
            </w:tabs>
            <w:ind w:left="-74" w:right="-105"/>
          </w:pPr>
          <w:r>
            <w:t xml:space="preserve">01812/INFOEM/IP/RR/2024 </w:t>
          </w:r>
        </w:p>
      </w:tc>
    </w:tr>
    <w:tr w:rsidR="002D6A2D" w14:paraId="6451B4BA" w14:textId="77777777">
      <w:trPr>
        <w:trHeight w:val="283"/>
        <w:jc w:val="right"/>
      </w:trPr>
      <w:tc>
        <w:tcPr>
          <w:tcW w:w="2727" w:type="dxa"/>
        </w:tcPr>
        <w:p w14:paraId="316BC4F3" w14:textId="77777777" w:rsidR="002D6A2D" w:rsidRDefault="00354D75">
          <w:pPr>
            <w:tabs>
              <w:tab w:val="right" w:pos="8838"/>
            </w:tabs>
            <w:ind w:left="-74" w:right="-105"/>
            <w:rPr>
              <w:b/>
            </w:rPr>
          </w:pPr>
          <w:r>
            <w:rPr>
              <w:b/>
            </w:rPr>
            <w:t>Sujeto Obligado:</w:t>
          </w:r>
        </w:p>
      </w:tc>
      <w:tc>
        <w:tcPr>
          <w:tcW w:w="3402" w:type="dxa"/>
        </w:tcPr>
        <w:p w14:paraId="0E6F7114" w14:textId="77777777" w:rsidR="002D6A2D" w:rsidRDefault="00354D75">
          <w:pPr>
            <w:tabs>
              <w:tab w:val="left" w:pos="2834"/>
              <w:tab w:val="right" w:pos="8838"/>
            </w:tabs>
            <w:ind w:left="-108" w:right="-105"/>
          </w:pPr>
          <w:r>
            <w:t>Organismo Público Descentralizado para la Prestación de Los Servicios de Agua Potable Alcantarillado y Saneamiento de Tenancingo</w:t>
          </w:r>
        </w:p>
      </w:tc>
    </w:tr>
    <w:tr w:rsidR="002D6A2D" w14:paraId="365A5C81" w14:textId="77777777">
      <w:trPr>
        <w:trHeight w:val="283"/>
        <w:jc w:val="right"/>
      </w:trPr>
      <w:tc>
        <w:tcPr>
          <w:tcW w:w="2727" w:type="dxa"/>
        </w:tcPr>
        <w:p w14:paraId="2D8F20B5" w14:textId="77777777" w:rsidR="002D6A2D" w:rsidRDefault="00354D75">
          <w:pPr>
            <w:tabs>
              <w:tab w:val="right" w:pos="8838"/>
            </w:tabs>
            <w:ind w:left="-74" w:right="-105"/>
            <w:rPr>
              <w:b/>
            </w:rPr>
          </w:pPr>
          <w:r>
            <w:rPr>
              <w:b/>
            </w:rPr>
            <w:t>Comisionada Ponente:</w:t>
          </w:r>
        </w:p>
      </w:tc>
      <w:tc>
        <w:tcPr>
          <w:tcW w:w="3402" w:type="dxa"/>
        </w:tcPr>
        <w:p w14:paraId="66E69120" w14:textId="77777777" w:rsidR="002D6A2D" w:rsidRDefault="00354D75">
          <w:pPr>
            <w:tabs>
              <w:tab w:val="right" w:pos="8838"/>
            </w:tabs>
            <w:ind w:left="-108" w:right="-105"/>
          </w:pPr>
          <w:r>
            <w:t>Sharon Cristina Morales Martínez</w:t>
          </w:r>
        </w:p>
      </w:tc>
    </w:tr>
  </w:tbl>
  <w:p w14:paraId="439B9F93" w14:textId="77777777" w:rsidR="002D6A2D" w:rsidRDefault="00354D75">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15380975" wp14:editId="21CF7E82">
          <wp:simplePos x="0" y="0"/>
          <wp:positionH relativeFrom="margin">
            <wp:posOffset>-995043</wp:posOffset>
          </wp:positionH>
          <wp:positionV relativeFrom="margin">
            <wp:posOffset>-1782443</wp:posOffset>
          </wp:positionV>
          <wp:extent cx="8426450" cy="10972800"/>
          <wp:effectExtent l="0" t="0" r="0" b="0"/>
          <wp:wrapNone/>
          <wp:docPr id="21596445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55A90" w14:textId="77777777" w:rsidR="002D6A2D" w:rsidRDefault="002D6A2D">
    <w:pPr>
      <w:widowControl w:val="0"/>
      <w:pBdr>
        <w:top w:val="nil"/>
        <w:left w:val="nil"/>
        <w:bottom w:val="nil"/>
        <w:right w:val="nil"/>
        <w:between w:val="nil"/>
      </w:pBdr>
      <w:spacing w:line="276" w:lineRule="auto"/>
      <w:jc w:val="left"/>
      <w:rPr>
        <w:color w:val="000000"/>
        <w:sz w:val="14"/>
        <w:szCs w:val="14"/>
      </w:rPr>
    </w:pPr>
  </w:p>
  <w:tbl>
    <w:tblPr>
      <w:tblStyle w:val="a3"/>
      <w:tblW w:w="6660" w:type="dxa"/>
      <w:tblInd w:w="2552" w:type="dxa"/>
      <w:tblLayout w:type="fixed"/>
      <w:tblLook w:val="0400" w:firstRow="0" w:lastRow="0" w:firstColumn="0" w:lastColumn="0" w:noHBand="0" w:noVBand="1"/>
    </w:tblPr>
    <w:tblGrid>
      <w:gridCol w:w="283"/>
      <w:gridCol w:w="6377"/>
    </w:tblGrid>
    <w:tr w:rsidR="002D6A2D" w14:paraId="4E7B4BFA" w14:textId="77777777">
      <w:trPr>
        <w:trHeight w:val="1435"/>
      </w:trPr>
      <w:tc>
        <w:tcPr>
          <w:tcW w:w="283" w:type="dxa"/>
          <w:shd w:val="clear" w:color="auto" w:fill="auto"/>
        </w:tcPr>
        <w:p w14:paraId="438044DE" w14:textId="77777777" w:rsidR="002D6A2D" w:rsidRDefault="002D6A2D">
          <w:pPr>
            <w:tabs>
              <w:tab w:val="right" w:pos="4273"/>
            </w:tabs>
            <w:rPr>
              <w:rFonts w:ascii="Garamond" w:eastAsia="Garamond" w:hAnsi="Garamond" w:cs="Garamond"/>
            </w:rPr>
          </w:pPr>
        </w:p>
      </w:tc>
      <w:tc>
        <w:tcPr>
          <w:tcW w:w="6378" w:type="dxa"/>
          <w:shd w:val="clear" w:color="auto" w:fill="auto"/>
        </w:tcPr>
        <w:p w14:paraId="2ADECA8C" w14:textId="77777777" w:rsidR="002D6A2D" w:rsidRDefault="002D6A2D">
          <w:pPr>
            <w:widowControl w:val="0"/>
            <w:pBdr>
              <w:top w:val="nil"/>
              <w:left w:val="nil"/>
              <w:bottom w:val="nil"/>
              <w:right w:val="nil"/>
              <w:between w:val="nil"/>
            </w:pBdr>
            <w:spacing w:line="276" w:lineRule="auto"/>
            <w:jc w:val="left"/>
            <w:rPr>
              <w:rFonts w:ascii="Garamond" w:eastAsia="Garamond" w:hAnsi="Garamond" w:cs="Garamond"/>
            </w:rPr>
          </w:pPr>
        </w:p>
        <w:tbl>
          <w:tblPr>
            <w:tblStyle w:val="a4"/>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2D6A2D" w14:paraId="4E7544A2" w14:textId="77777777">
            <w:trPr>
              <w:trHeight w:val="144"/>
            </w:trPr>
            <w:tc>
              <w:tcPr>
                <w:tcW w:w="2727" w:type="dxa"/>
              </w:tcPr>
              <w:p w14:paraId="400D24CA" w14:textId="77777777" w:rsidR="002D6A2D" w:rsidRDefault="00354D75">
                <w:pPr>
                  <w:tabs>
                    <w:tab w:val="right" w:pos="8838"/>
                  </w:tabs>
                  <w:ind w:left="-74" w:right="-105"/>
                  <w:rPr>
                    <w:b/>
                  </w:rPr>
                </w:pPr>
                <w:bookmarkStart w:id="1" w:name="_heading=h.32hioqz" w:colFirst="0" w:colLast="0"/>
                <w:bookmarkEnd w:id="1"/>
                <w:r>
                  <w:rPr>
                    <w:b/>
                  </w:rPr>
                  <w:t>Recurso de Revisión:</w:t>
                </w:r>
              </w:p>
            </w:tc>
            <w:tc>
              <w:tcPr>
                <w:tcW w:w="3402" w:type="dxa"/>
              </w:tcPr>
              <w:p w14:paraId="5349419B" w14:textId="77777777" w:rsidR="002D6A2D" w:rsidRDefault="00354D75">
                <w:pPr>
                  <w:tabs>
                    <w:tab w:val="right" w:pos="8838"/>
                  </w:tabs>
                  <w:ind w:left="-74" w:right="-105"/>
                </w:pPr>
                <w:r>
                  <w:t xml:space="preserve">01812/INFOEM/IP/RR/2024 </w:t>
                </w:r>
              </w:p>
            </w:tc>
            <w:tc>
              <w:tcPr>
                <w:tcW w:w="3402" w:type="dxa"/>
              </w:tcPr>
              <w:p w14:paraId="3C66CA8D" w14:textId="77777777" w:rsidR="002D6A2D" w:rsidRDefault="002D6A2D">
                <w:pPr>
                  <w:tabs>
                    <w:tab w:val="right" w:pos="8838"/>
                  </w:tabs>
                  <w:ind w:left="-74" w:right="-105"/>
                </w:pPr>
              </w:p>
            </w:tc>
          </w:tr>
          <w:tr w:rsidR="002D6A2D" w14:paraId="1FC47678" w14:textId="77777777">
            <w:trPr>
              <w:trHeight w:val="281"/>
            </w:trPr>
            <w:tc>
              <w:tcPr>
                <w:tcW w:w="2727" w:type="dxa"/>
              </w:tcPr>
              <w:p w14:paraId="03D6EAA6" w14:textId="77777777" w:rsidR="002D6A2D" w:rsidRDefault="00354D75">
                <w:pPr>
                  <w:tabs>
                    <w:tab w:val="right" w:pos="8838"/>
                  </w:tabs>
                  <w:ind w:left="-74" w:right="-105"/>
                  <w:rPr>
                    <w:b/>
                  </w:rPr>
                </w:pPr>
                <w:bookmarkStart w:id="2" w:name="_heading=h.1hmsyys" w:colFirst="0" w:colLast="0"/>
                <w:bookmarkEnd w:id="2"/>
                <w:r>
                  <w:rPr>
                    <w:b/>
                  </w:rPr>
                  <w:t>Recurrente:</w:t>
                </w:r>
              </w:p>
            </w:tc>
            <w:tc>
              <w:tcPr>
                <w:tcW w:w="3402" w:type="dxa"/>
              </w:tcPr>
              <w:p w14:paraId="66F49614" w14:textId="10784A9D" w:rsidR="002D6A2D" w:rsidRDefault="0046435C">
                <w:pPr>
                  <w:tabs>
                    <w:tab w:val="left" w:pos="3122"/>
                    <w:tab w:val="right" w:pos="8838"/>
                  </w:tabs>
                  <w:ind w:left="-105" w:right="-105"/>
                </w:pPr>
                <w:r>
                  <w:t>XXXX XXXXXXX XXXXX</w:t>
                </w:r>
              </w:p>
            </w:tc>
            <w:tc>
              <w:tcPr>
                <w:tcW w:w="3402" w:type="dxa"/>
              </w:tcPr>
              <w:p w14:paraId="502E6ACF" w14:textId="77777777" w:rsidR="002D6A2D" w:rsidRDefault="002D6A2D">
                <w:pPr>
                  <w:tabs>
                    <w:tab w:val="left" w:pos="3122"/>
                    <w:tab w:val="right" w:pos="8838"/>
                  </w:tabs>
                  <w:ind w:left="-105" w:right="-105"/>
                </w:pPr>
              </w:p>
            </w:tc>
          </w:tr>
          <w:tr w:rsidR="002D6A2D" w14:paraId="10A32966" w14:textId="77777777">
            <w:trPr>
              <w:trHeight w:val="283"/>
            </w:trPr>
            <w:tc>
              <w:tcPr>
                <w:tcW w:w="2727" w:type="dxa"/>
              </w:tcPr>
              <w:p w14:paraId="4F01A951" w14:textId="77777777" w:rsidR="002D6A2D" w:rsidRDefault="00354D75">
                <w:pPr>
                  <w:tabs>
                    <w:tab w:val="right" w:pos="8838"/>
                  </w:tabs>
                  <w:ind w:left="-74" w:right="-105"/>
                  <w:rPr>
                    <w:b/>
                  </w:rPr>
                </w:pPr>
                <w:r>
                  <w:rPr>
                    <w:b/>
                  </w:rPr>
                  <w:t>Sujeto Obligado:</w:t>
                </w:r>
              </w:p>
            </w:tc>
            <w:tc>
              <w:tcPr>
                <w:tcW w:w="3402" w:type="dxa"/>
              </w:tcPr>
              <w:p w14:paraId="0DC96C75" w14:textId="77777777" w:rsidR="002D6A2D" w:rsidRDefault="00354D75">
                <w:pPr>
                  <w:tabs>
                    <w:tab w:val="left" w:pos="2834"/>
                    <w:tab w:val="right" w:pos="8838"/>
                  </w:tabs>
                  <w:ind w:left="-108" w:right="-105"/>
                </w:pPr>
                <w:r>
                  <w:t>Organismo Público Descentralizado para la Prestación de Los Servicios de Agua Potable Alcantarillado y Saneamiento de Tenancingo</w:t>
                </w:r>
              </w:p>
            </w:tc>
            <w:tc>
              <w:tcPr>
                <w:tcW w:w="3402" w:type="dxa"/>
              </w:tcPr>
              <w:p w14:paraId="03528ACA" w14:textId="77777777" w:rsidR="002D6A2D" w:rsidRDefault="002D6A2D">
                <w:pPr>
                  <w:tabs>
                    <w:tab w:val="left" w:pos="2834"/>
                    <w:tab w:val="right" w:pos="8838"/>
                  </w:tabs>
                  <w:ind w:left="-108" w:right="-105"/>
                </w:pPr>
              </w:p>
            </w:tc>
          </w:tr>
          <w:tr w:rsidR="002D6A2D" w14:paraId="031FF254" w14:textId="77777777">
            <w:trPr>
              <w:trHeight w:val="283"/>
            </w:trPr>
            <w:tc>
              <w:tcPr>
                <w:tcW w:w="2727" w:type="dxa"/>
              </w:tcPr>
              <w:p w14:paraId="5E77E281" w14:textId="77777777" w:rsidR="002D6A2D" w:rsidRDefault="00354D75">
                <w:pPr>
                  <w:tabs>
                    <w:tab w:val="right" w:pos="8838"/>
                  </w:tabs>
                  <w:ind w:left="-74" w:right="-105"/>
                  <w:rPr>
                    <w:b/>
                  </w:rPr>
                </w:pPr>
                <w:r>
                  <w:rPr>
                    <w:b/>
                  </w:rPr>
                  <w:t>Comisionada Ponente:</w:t>
                </w:r>
              </w:p>
            </w:tc>
            <w:tc>
              <w:tcPr>
                <w:tcW w:w="3402" w:type="dxa"/>
              </w:tcPr>
              <w:p w14:paraId="38396567" w14:textId="77777777" w:rsidR="002D6A2D" w:rsidRDefault="00354D75">
                <w:pPr>
                  <w:tabs>
                    <w:tab w:val="right" w:pos="8838"/>
                  </w:tabs>
                  <w:ind w:left="-108" w:right="-105"/>
                </w:pPr>
                <w:r>
                  <w:t>Sharon Cristina Morales Martínez</w:t>
                </w:r>
              </w:p>
            </w:tc>
            <w:tc>
              <w:tcPr>
                <w:tcW w:w="3402" w:type="dxa"/>
              </w:tcPr>
              <w:p w14:paraId="0CF3E189" w14:textId="77777777" w:rsidR="002D6A2D" w:rsidRDefault="002D6A2D">
                <w:pPr>
                  <w:tabs>
                    <w:tab w:val="right" w:pos="8838"/>
                  </w:tabs>
                  <w:ind w:left="-108" w:right="-105"/>
                </w:pPr>
              </w:p>
            </w:tc>
          </w:tr>
        </w:tbl>
        <w:p w14:paraId="7BA044C6" w14:textId="77777777" w:rsidR="002D6A2D" w:rsidRDefault="002D6A2D">
          <w:pPr>
            <w:tabs>
              <w:tab w:val="right" w:pos="8838"/>
            </w:tabs>
            <w:ind w:left="-28"/>
            <w:rPr>
              <w:rFonts w:ascii="Arial" w:eastAsia="Arial" w:hAnsi="Arial" w:cs="Arial"/>
              <w:b/>
            </w:rPr>
          </w:pPr>
        </w:p>
      </w:tc>
    </w:tr>
  </w:tbl>
  <w:p w14:paraId="6B1EA3E3" w14:textId="77777777" w:rsidR="002D6A2D" w:rsidRDefault="00A13D7B">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3035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B063F"/>
    <w:multiLevelType w:val="multilevel"/>
    <w:tmpl w:val="9E9A1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B93964"/>
    <w:multiLevelType w:val="multilevel"/>
    <w:tmpl w:val="BDAAC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FAD1670"/>
    <w:multiLevelType w:val="multilevel"/>
    <w:tmpl w:val="049409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A2D"/>
    <w:rsid w:val="000E21F7"/>
    <w:rsid w:val="002D6A2D"/>
    <w:rsid w:val="00354D75"/>
    <w:rsid w:val="003707C5"/>
    <w:rsid w:val="0046435C"/>
    <w:rsid w:val="004A6D6D"/>
    <w:rsid w:val="007456BB"/>
    <w:rsid w:val="00826DAD"/>
    <w:rsid w:val="00A13D7B"/>
    <w:rsid w:val="00BD4640"/>
    <w:rsid w:val="00CB559B"/>
    <w:rsid w:val="00E02E90"/>
    <w:rsid w:val="00E035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0981D0"/>
  <w15:docId w15:val="{583DFB00-FD01-4E1E-9980-9DC93C94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pPr>
      <w:spacing w:line="240" w:lineRule="auto"/>
    </w:pPr>
    <w:tblPr>
      <w:tblStyleRowBandSize w:val="1"/>
      <w:tblStyleColBandSize w:val="1"/>
      <w:tblCellMar>
        <w:left w:w="108" w:type="dxa"/>
        <w:right w:w="108"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z3LcbzWYXyWfT2/PMTyt53vEw==">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6834</Words>
  <Characters>37588</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7</cp:revision>
  <cp:lastPrinted>2024-08-30T01:07:00Z</cp:lastPrinted>
  <dcterms:created xsi:type="dcterms:W3CDTF">2024-08-26T23:36:00Z</dcterms:created>
  <dcterms:modified xsi:type="dcterms:W3CDTF">2024-09-20T00:11:00Z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