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2E" w:rsidRPr="002E1992" w:rsidRDefault="00A50D32" w:rsidP="002E1992">
      <w:pPr>
        <w:keepNext/>
        <w:keepLines/>
        <w:pBdr>
          <w:top w:val="nil"/>
          <w:left w:val="nil"/>
          <w:bottom w:val="nil"/>
          <w:right w:val="nil"/>
          <w:between w:val="nil"/>
        </w:pBdr>
        <w:spacing w:line="240" w:lineRule="auto"/>
        <w:jc w:val="left"/>
      </w:pPr>
      <w:r w:rsidRPr="002E1992">
        <w:rPr>
          <w:sz w:val="24"/>
          <w:szCs w:val="24"/>
        </w:rPr>
        <w:t>Contenido</w:t>
      </w:r>
    </w:p>
    <w:p w:rsidR="002E672E" w:rsidRPr="002E1992" w:rsidRDefault="002E672E" w:rsidP="002E1992">
      <w:pPr>
        <w:spacing w:line="240" w:lineRule="auto"/>
      </w:pPr>
    </w:p>
    <w:sdt>
      <w:sdtPr>
        <w:id w:val="608856630"/>
        <w:docPartObj>
          <w:docPartGallery w:val="Table of Contents"/>
          <w:docPartUnique/>
        </w:docPartObj>
      </w:sdtPr>
      <w:sdtEndPr/>
      <w:sdtContent>
        <w:p w:rsidR="002E672E" w:rsidRPr="002E1992" w:rsidRDefault="00A50D32" w:rsidP="002E1992">
          <w:pPr>
            <w:pBdr>
              <w:top w:val="nil"/>
              <w:left w:val="nil"/>
              <w:bottom w:val="nil"/>
              <w:right w:val="nil"/>
              <w:between w:val="nil"/>
            </w:pBdr>
            <w:tabs>
              <w:tab w:val="right" w:pos="9034"/>
            </w:tabs>
            <w:spacing w:before="120"/>
            <w:jc w:val="left"/>
            <w:rPr>
              <w:rFonts w:eastAsia="Palatino Linotype" w:cs="Palatino Linotype"/>
              <w:szCs w:val="22"/>
            </w:rPr>
          </w:pPr>
          <w:r w:rsidRPr="002E1992">
            <w:fldChar w:fldCharType="begin"/>
          </w:r>
          <w:r w:rsidRPr="002E1992">
            <w:instrText xml:space="preserve"> TOC \h \u \z \t "Heading 1,1,Heading 2,2,Heading 3,3,Heading 4,4,Heading 5,5,Heading 6,6,"</w:instrText>
          </w:r>
          <w:r w:rsidRPr="002E1992">
            <w:fldChar w:fldCharType="separate"/>
          </w:r>
          <w:hyperlink w:anchor="_heading=h.1pxezwc">
            <w:r w:rsidRPr="002E1992">
              <w:rPr>
                <w:rFonts w:eastAsia="Palatino Linotype" w:cs="Palatino Linotype"/>
                <w:b/>
                <w:i/>
                <w:szCs w:val="22"/>
              </w:rPr>
              <w:t>ANTECEDENTES</w:t>
            </w:r>
            <w:r w:rsidRPr="002E1992">
              <w:rPr>
                <w:rFonts w:eastAsia="Palatino Linotype" w:cs="Palatino Linotype"/>
                <w:b/>
                <w:i/>
                <w:szCs w:val="22"/>
              </w:rPr>
              <w:tab/>
              <w:t>1</w:t>
            </w:r>
          </w:hyperlink>
        </w:p>
        <w:p w:rsidR="002E672E" w:rsidRPr="002E1992" w:rsidRDefault="00EC7772" w:rsidP="002E1992">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32hioqz">
            <w:r w:rsidR="00A50D32" w:rsidRPr="002E1992">
              <w:rPr>
                <w:rFonts w:eastAsia="Palatino Linotype" w:cs="Palatino Linotype"/>
                <w:b/>
                <w:szCs w:val="22"/>
              </w:rPr>
              <w:t>DE LA SOLICITUD DE INFORMACIÓN</w:t>
            </w:r>
            <w:r w:rsidR="00A50D32" w:rsidRPr="002E1992">
              <w:rPr>
                <w:rFonts w:eastAsia="Palatino Linotype" w:cs="Palatino Linotype"/>
                <w:b/>
                <w:szCs w:val="22"/>
              </w:rPr>
              <w:tab/>
              <w:t>1</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1hmsyys">
            <w:r w:rsidR="00A50D32" w:rsidRPr="002E1992">
              <w:rPr>
                <w:rFonts w:eastAsia="Palatino Linotype" w:cs="Palatino Linotype"/>
                <w:szCs w:val="22"/>
              </w:rPr>
              <w:t>a) Solicitud de información</w:t>
            </w:r>
            <w:r w:rsidR="00A50D32" w:rsidRPr="002E1992">
              <w:rPr>
                <w:rFonts w:eastAsia="Palatino Linotype" w:cs="Palatino Linotype"/>
                <w:szCs w:val="22"/>
              </w:rPr>
              <w:tab/>
              <w:t>1</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41mghml">
            <w:r w:rsidR="00A50D32" w:rsidRPr="002E1992">
              <w:rPr>
                <w:rFonts w:eastAsia="Palatino Linotype" w:cs="Palatino Linotype"/>
                <w:szCs w:val="22"/>
              </w:rPr>
              <w:t>b) Turno de la solicitud de información</w:t>
            </w:r>
            <w:r w:rsidR="00A50D32" w:rsidRPr="002E1992">
              <w:rPr>
                <w:rFonts w:eastAsia="Palatino Linotype" w:cs="Palatino Linotype"/>
                <w:szCs w:val="22"/>
              </w:rPr>
              <w:tab/>
              <w:t>2</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2grqrue">
            <w:r w:rsidR="00A50D32" w:rsidRPr="002E1992">
              <w:rPr>
                <w:rFonts w:eastAsia="Palatino Linotype" w:cs="Palatino Linotype"/>
                <w:szCs w:val="22"/>
              </w:rPr>
              <w:t>c) Respuesta del Sujeto Obligado</w:t>
            </w:r>
            <w:r w:rsidR="00A50D32" w:rsidRPr="002E1992">
              <w:rPr>
                <w:rFonts w:eastAsia="Palatino Linotype" w:cs="Palatino Linotype"/>
                <w:szCs w:val="22"/>
              </w:rPr>
              <w:tab/>
              <w:t>2</w:t>
            </w:r>
          </w:hyperlink>
        </w:p>
        <w:p w:rsidR="002E672E" w:rsidRPr="002E1992" w:rsidRDefault="00EC7772" w:rsidP="002E1992">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vx1227">
            <w:r w:rsidR="00A50D32" w:rsidRPr="002E1992">
              <w:rPr>
                <w:rFonts w:eastAsia="Palatino Linotype" w:cs="Palatino Linotype"/>
                <w:b/>
                <w:szCs w:val="22"/>
              </w:rPr>
              <w:t>DEL RECURSO DE REVISIÓN</w:t>
            </w:r>
            <w:r w:rsidR="00A50D32" w:rsidRPr="002E1992">
              <w:rPr>
                <w:rFonts w:eastAsia="Palatino Linotype" w:cs="Palatino Linotype"/>
                <w:b/>
                <w:szCs w:val="22"/>
              </w:rPr>
              <w:tab/>
              <w:t>3</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3fwokq0">
            <w:r w:rsidR="00A50D32" w:rsidRPr="002E1992">
              <w:rPr>
                <w:rFonts w:eastAsia="Palatino Linotype" w:cs="Palatino Linotype"/>
                <w:szCs w:val="22"/>
              </w:rPr>
              <w:t>a) Interposición del Recurso de Revisión</w:t>
            </w:r>
            <w:r w:rsidR="00A50D32" w:rsidRPr="002E1992">
              <w:rPr>
                <w:rFonts w:eastAsia="Palatino Linotype" w:cs="Palatino Linotype"/>
                <w:szCs w:val="22"/>
              </w:rPr>
              <w:tab/>
              <w:t>3</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1v1yuxt">
            <w:r w:rsidR="00A50D32" w:rsidRPr="002E1992">
              <w:rPr>
                <w:rFonts w:eastAsia="Palatino Linotype" w:cs="Palatino Linotype"/>
                <w:szCs w:val="22"/>
              </w:rPr>
              <w:t>b) Turno del Recurso de Revisión</w:t>
            </w:r>
            <w:r w:rsidR="00A50D32" w:rsidRPr="002E1992">
              <w:rPr>
                <w:rFonts w:eastAsia="Palatino Linotype" w:cs="Palatino Linotype"/>
                <w:szCs w:val="22"/>
              </w:rPr>
              <w:tab/>
              <w:t>4</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4f1mdlm">
            <w:r w:rsidR="00A50D32" w:rsidRPr="002E1992">
              <w:rPr>
                <w:rFonts w:eastAsia="Palatino Linotype" w:cs="Palatino Linotype"/>
                <w:szCs w:val="22"/>
              </w:rPr>
              <w:t>c) Admisión del Recurso de Revisión</w:t>
            </w:r>
            <w:r w:rsidR="00A50D32" w:rsidRPr="002E1992">
              <w:rPr>
                <w:rFonts w:eastAsia="Palatino Linotype" w:cs="Palatino Linotype"/>
                <w:szCs w:val="22"/>
              </w:rPr>
              <w:tab/>
              <w:t>4</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2u6wntf">
            <w:r w:rsidR="00A50D32" w:rsidRPr="002E1992">
              <w:rPr>
                <w:rFonts w:eastAsia="Palatino Linotype" w:cs="Palatino Linotype"/>
                <w:szCs w:val="22"/>
              </w:rPr>
              <w:t>d) Informe Justificado del Sujeto Obligado</w:t>
            </w:r>
            <w:r w:rsidR="00A50D32" w:rsidRPr="002E1992">
              <w:rPr>
                <w:rFonts w:eastAsia="Palatino Linotype" w:cs="Palatino Linotype"/>
                <w:szCs w:val="22"/>
              </w:rPr>
              <w:tab/>
              <w:t>4</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19c6y18">
            <w:r w:rsidR="00A50D32" w:rsidRPr="002E1992">
              <w:rPr>
                <w:rFonts w:eastAsia="Palatino Linotype" w:cs="Palatino Linotype"/>
                <w:szCs w:val="22"/>
              </w:rPr>
              <w:t>e) Manifestaciones de la Parte Recurrente</w:t>
            </w:r>
            <w:r w:rsidR="00A50D32" w:rsidRPr="002E1992">
              <w:rPr>
                <w:rFonts w:eastAsia="Palatino Linotype" w:cs="Palatino Linotype"/>
                <w:szCs w:val="22"/>
              </w:rPr>
              <w:tab/>
              <w:t>5</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3tbugp1">
            <w:r w:rsidR="00A50D32" w:rsidRPr="002E1992">
              <w:rPr>
                <w:rFonts w:eastAsia="Palatino Linotype" w:cs="Palatino Linotype"/>
                <w:szCs w:val="22"/>
              </w:rPr>
              <w:t>f) Ampliación del Recurso de Revisión</w:t>
            </w:r>
            <w:r w:rsidR="00A50D32" w:rsidRPr="002E1992">
              <w:rPr>
                <w:rFonts w:eastAsia="Palatino Linotype" w:cs="Palatino Linotype"/>
                <w:szCs w:val="22"/>
              </w:rPr>
              <w:tab/>
              <w:t>5</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28h4qwu">
            <w:r w:rsidR="00A50D32" w:rsidRPr="002E1992">
              <w:rPr>
                <w:rFonts w:eastAsia="Palatino Linotype" w:cs="Palatino Linotype"/>
                <w:szCs w:val="22"/>
              </w:rPr>
              <w:t>g) Cierre de instrucción</w:t>
            </w:r>
            <w:r w:rsidR="00A50D32" w:rsidRPr="002E1992">
              <w:rPr>
                <w:rFonts w:eastAsia="Palatino Linotype" w:cs="Palatino Linotype"/>
                <w:szCs w:val="22"/>
              </w:rPr>
              <w:tab/>
              <w:t>5</w:t>
            </w:r>
          </w:hyperlink>
        </w:p>
        <w:p w:rsidR="002E672E" w:rsidRPr="002E1992" w:rsidRDefault="00EC7772" w:rsidP="002E1992">
          <w:pPr>
            <w:pBdr>
              <w:top w:val="nil"/>
              <w:left w:val="nil"/>
              <w:bottom w:val="nil"/>
              <w:right w:val="nil"/>
              <w:between w:val="nil"/>
            </w:pBdr>
            <w:tabs>
              <w:tab w:val="right" w:pos="9034"/>
            </w:tabs>
            <w:spacing w:before="120"/>
            <w:jc w:val="left"/>
            <w:rPr>
              <w:rFonts w:eastAsia="Palatino Linotype" w:cs="Palatino Linotype"/>
              <w:szCs w:val="22"/>
            </w:rPr>
          </w:pPr>
          <w:hyperlink w:anchor="_heading=h.nmf14n">
            <w:r w:rsidR="00A50D32" w:rsidRPr="002E1992">
              <w:rPr>
                <w:rFonts w:eastAsia="Palatino Linotype" w:cs="Palatino Linotype"/>
                <w:b/>
                <w:i/>
                <w:szCs w:val="22"/>
              </w:rPr>
              <w:t>CONSIDERANDOS</w:t>
            </w:r>
            <w:r w:rsidR="00A50D32" w:rsidRPr="002E1992">
              <w:rPr>
                <w:rFonts w:eastAsia="Palatino Linotype" w:cs="Palatino Linotype"/>
                <w:b/>
                <w:i/>
                <w:szCs w:val="22"/>
              </w:rPr>
              <w:tab/>
              <w:t>6</w:t>
            </w:r>
          </w:hyperlink>
        </w:p>
        <w:p w:rsidR="002E672E" w:rsidRPr="002E1992" w:rsidRDefault="00EC7772" w:rsidP="002E1992">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37m2jsg">
            <w:r w:rsidR="00A50D32" w:rsidRPr="002E1992">
              <w:rPr>
                <w:rFonts w:eastAsia="Palatino Linotype" w:cs="Palatino Linotype"/>
                <w:b/>
                <w:szCs w:val="22"/>
              </w:rPr>
              <w:t>PRIMERO. Procedibilidad</w:t>
            </w:r>
            <w:r w:rsidR="00A50D32" w:rsidRPr="002E1992">
              <w:rPr>
                <w:rFonts w:eastAsia="Palatino Linotype" w:cs="Palatino Linotype"/>
                <w:b/>
                <w:szCs w:val="22"/>
              </w:rPr>
              <w:tab/>
              <w:t>6</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1mrcu09">
            <w:r w:rsidR="00A50D32" w:rsidRPr="002E1992">
              <w:rPr>
                <w:rFonts w:eastAsia="Palatino Linotype" w:cs="Palatino Linotype"/>
                <w:szCs w:val="22"/>
              </w:rPr>
              <w:t>a) Competencia del Instituto</w:t>
            </w:r>
            <w:r w:rsidR="00A50D32" w:rsidRPr="002E1992">
              <w:rPr>
                <w:rFonts w:eastAsia="Palatino Linotype" w:cs="Palatino Linotype"/>
                <w:szCs w:val="22"/>
              </w:rPr>
              <w:tab/>
              <w:t>6</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46r0co2">
            <w:r w:rsidR="00A50D32" w:rsidRPr="002E1992">
              <w:rPr>
                <w:rFonts w:eastAsia="Palatino Linotype" w:cs="Palatino Linotype"/>
                <w:szCs w:val="22"/>
              </w:rPr>
              <w:t>b) Legitimidad de la parte recurrente</w:t>
            </w:r>
            <w:r w:rsidR="00A50D32" w:rsidRPr="002E1992">
              <w:rPr>
                <w:rFonts w:eastAsia="Palatino Linotype" w:cs="Palatino Linotype"/>
                <w:szCs w:val="22"/>
              </w:rPr>
              <w:tab/>
              <w:t>6</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2lwamvv">
            <w:r w:rsidR="00A50D32" w:rsidRPr="002E1992">
              <w:rPr>
                <w:rFonts w:eastAsia="Palatino Linotype" w:cs="Palatino Linotype"/>
                <w:szCs w:val="22"/>
              </w:rPr>
              <w:t>c) Plazo para interponer el recurso</w:t>
            </w:r>
            <w:r w:rsidR="00A50D32" w:rsidRPr="002E1992">
              <w:rPr>
                <w:rFonts w:eastAsia="Palatino Linotype" w:cs="Palatino Linotype"/>
                <w:szCs w:val="22"/>
              </w:rPr>
              <w:tab/>
              <w:t>6</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111kx3o">
            <w:r w:rsidR="00A50D32" w:rsidRPr="002E1992">
              <w:rPr>
                <w:rFonts w:eastAsia="Palatino Linotype" w:cs="Palatino Linotype"/>
                <w:szCs w:val="22"/>
              </w:rPr>
              <w:t>d) Causal de procedencia</w:t>
            </w:r>
            <w:r w:rsidR="00A50D32" w:rsidRPr="002E1992">
              <w:rPr>
                <w:rFonts w:eastAsia="Palatino Linotype" w:cs="Palatino Linotype"/>
                <w:szCs w:val="22"/>
              </w:rPr>
              <w:tab/>
              <w:t>7</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3l18frh">
            <w:r w:rsidR="00A50D32" w:rsidRPr="002E1992">
              <w:rPr>
                <w:rFonts w:eastAsia="Palatino Linotype" w:cs="Palatino Linotype"/>
                <w:szCs w:val="22"/>
              </w:rPr>
              <w:t>e) Requisitos formales para la interposición del recurso</w:t>
            </w:r>
            <w:r w:rsidR="00A50D32" w:rsidRPr="002E1992">
              <w:rPr>
                <w:rFonts w:eastAsia="Palatino Linotype" w:cs="Palatino Linotype"/>
                <w:szCs w:val="22"/>
              </w:rPr>
              <w:tab/>
              <w:t>7</w:t>
            </w:r>
          </w:hyperlink>
        </w:p>
        <w:p w:rsidR="002E672E" w:rsidRPr="002E1992" w:rsidRDefault="00EC7772" w:rsidP="002E1992">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206ipza">
            <w:r w:rsidR="00A50D32" w:rsidRPr="002E1992">
              <w:rPr>
                <w:rFonts w:eastAsia="Palatino Linotype" w:cs="Palatino Linotype"/>
                <w:b/>
                <w:szCs w:val="22"/>
              </w:rPr>
              <w:t>SEGUNDO. Estudio de Fondo</w:t>
            </w:r>
            <w:r w:rsidR="00A50D32" w:rsidRPr="002E1992">
              <w:rPr>
                <w:rFonts w:eastAsia="Palatino Linotype" w:cs="Palatino Linotype"/>
                <w:b/>
                <w:szCs w:val="22"/>
              </w:rPr>
              <w:tab/>
              <w:t>7</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4k668n3">
            <w:r w:rsidR="00A50D32" w:rsidRPr="002E1992">
              <w:rPr>
                <w:rFonts w:eastAsia="Palatino Linotype" w:cs="Palatino Linotype"/>
                <w:szCs w:val="22"/>
              </w:rPr>
              <w:t>a) Mandato de transparencia y responsabilidad del Sujeto Obligado</w:t>
            </w:r>
            <w:r w:rsidR="00A50D32" w:rsidRPr="002E1992">
              <w:rPr>
                <w:rFonts w:eastAsia="Palatino Linotype" w:cs="Palatino Linotype"/>
                <w:szCs w:val="22"/>
              </w:rPr>
              <w:tab/>
              <w:t>7</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2zbgiuw">
            <w:r w:rsidR="00A50D32" w:rsidRPr="002E1992">
              <w:rPr>
                <w:rFonts w:eastAsia="Palatino Linotype" w:cs="Palatino Linotype"/>
                <w:szCs w:val="22"/>
              </w:rPr>
              <w:t>b) Controversia a resolver</w:t>
            </w:r>
            <w:r w:rsidR="00A50D32" w:rsidRPr="002E1992">
              <w:rPr>
                <w:rFonts w:eastAsia="Palatino Linotype" w:cs="Palatino Linotype"/>
                <w:szCs w:val="22"/>
              </w:rPr>
              <w:tab/>
              <w:t>10</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1egqt2p">
            <w:r w:rsidR="00A50D32" w:rsidRPr="002E1992">
              <w:rPr>
                <w:rFonts w:eastAsia="Palatino Linotype" w:cs="Palatino Linotype"/>
                <w:szCs w:val="22"/>
              </w:rPr>
              <w:t>c) Estudio de la controversia</w:t>
            </w:r>
            <w:r w:rsidR="00A50D32" w:rsidRPr="002E1992">
              <w:rPr>
                <w:rFonts w:eastAsia="Palatino Linotype" w:cs="Palatino Linotype"/>
                <w:szCs w:val="22"/>
              </w:rPr>
              <w:tab/>
              <w:t>11</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3ygebqi">
            <w:r w:rsidR="00A50D32" w:rsidRPr="002E1992">
              <w:rPr>
                <w:rFonts w:eastAsia="Palatino Linotype" w:cs="Palatino Linotype"/>
                <w:szCs w:val="22"/>
              </w:rPr>
              <w:t>d) Versión pública</w:t>
            </w:r>
            <w:r w:rsidR="00A50D32" w:rsidRPr="002E1992">
              <w:rPr>
                <w:rFonts w:eastAsia="Palatino Linotype" w:cs="Palatino Linotype"/>
                <w:szCs w:val="22"/>
              </w:rPr>
              <w:tab/>
              <w:t>19</w:t>
            </w:r>
          </w:hyperlink>
        </w:p>
        <w:p w:rsidR="002E672E" w:rsidRPr="002E1992" w:rsidRDefault="00EC7772" w:rsidP="002E1992">
          <w:pPr>
            <w:pBdr>
              <w:top w:val="nil"/>
              <w:left w:val="nil"/>
              <w:bottom w:val="nil"/>
              <w:right w:val="nil"/>
              <w:between w:val="nil"/>
            </w:pBdr>
            <w:tabs>
              <w:tab w:val="right" w:pos="9034"/>
            </w:tabs>
            <w:ind w:left="440"/>
            <w:jc w:val="left"/>
            <w:rPr>
              <w:rFonts w:eastAsia="Palatino Linotype" w:cs="Palatino Linotype"/>
              <w:szCs w:val="22"/>
            </w:rPr>
          </w:pPr>
          <w:hyperlink w:anchor="_heading=h.2dlolyb">
            <w:r w:rsidR="00A50D32" w:rsidRPr="002E1992">
              <w:rPr>
                <w:rFonts w:eastAsia="Palatino Linotype" w:cs="Palatino Linotype"/>
                <w:szCs w:val="22"/>
              </w:rPr>
              <w:t>e) Conclusión</w:t>
            </w:r>
            <w:r w:rsidR="00A50D32" w:rsidRPr="002E1992">
              <w:rPr>
                <w:rFonts w:eastAsia="Palatino Linotype" w:cs="Palatino Linotype"/>
                <w:szCs w:val="22"/>
              </w:rPr>
              <w:tab/>
              <w:t>25</w:t>
            </w:r>
          </w:hyperlink>
        </w:p>
        <w:p w:rsidR="002E672E" w:rsidRPr="002E1992" w:rsidRDefault="00EC7772" w:rsidP="002E1992">
          <w:pPr>
            <w:pBdr>
              <w:top w:val="nil"/>
              <w:left w:val="nil"/>
              <w:bottom w:val="nil"/>
              <w:right w:val="nil"/>
              <w:between w:val="nil"/>
            </w:pBdr>
            <w:tabs>
              <w:tab w:val="right" w:pos="9034"/>
            </w:tabs>
            <w:spacing w:before="120"/>
            <w:jc w:val="left"/>
            <w:rPr>
              <w:rFonts w:eastAsia="Palatino Linotype" w:cs="Palatino Linotype"/>
              <w:szCs w:val="22"/>
            </w:rPr>
          </w:pPr>
          <w:hyperlink w:anchor="_heading=h.sqyw64">
            <w:r w:rsidR="00A50D32" w:rsidRPr="002E1992">
              <w:rPr>
                <w:rFonts w:eastAsia="Palatino Linotype" w:cs="Palatino Linotype"/>
                <w:b/>
                <w:i/>
                <w:szCs w:val="22"/>
              </w:rPr>
              <w:t>RESUELVE</w:t>
            </w:r>
            <w:r w:rsidR="00A50D32" w:rsidRPr="002E1992">
              <w:rPr>
                <w:rFonts w:eastAsia="Palatino Linotype" w:cs="Palatino Linotype"/>
                <w:b/>
                <w:i/>
                <w:szCs w:val="22"/>
              </w:rPr>
              <w:tab/>
              <w:t>26</w:t>
            </w:r>
          </w:hyperlink>
        </w:p>
        <w:p w:rsidR="002E672E" w:rsidRPr="002E1992" w:rsidRDefault="00A50D32" w:rsidP="002E1992">
          <w:pPr>
            <w:widowControl w:val="0"/>
            <w:tabs>
              <w:tab w:val="right" w:pos="12000"/>
            </w:tabs>
            <w:spacing w:before="60" w:line="240" w:lineRule="auto"/>
            <w:jc w:val="left"/>
            <w:rPr>
              <w:rFonts w:ascii="Arial" w:eastAsia="Arial" w:hAnsi="Arial" w:cs="Arial"/>
              <w:b/>
            </w:rPr>
          </w:pPr>
          <w:r w:rsidRPr="002E1992">
            <w:fldChar w:fldCharType="end"/>
          </w:r>
        </w:p>
      </w:sdtContent>
    </w:sdt>
    <w:p w:rsidR="002E672E" w:rsidRPr="002E1992" w:rsidRDefault="002E672E" w:rsidP="002E1992">
      <w:pPr>
        <w:sectPr w:rsidR="002E672E" w:rsidRPr="002E1992">
          <w:headerReference w:type="even" r:id="rId9"/>
          <w:headerReference w:type="default" r:id="rId10"/>
          <w:footerReference w:type="even" r:id="rId11"/>
          <w:footerReference w:type="default" r:id="rId12"/>
          <w:headerReference w:type="first" r:id="rId13"/>
          <w:footerReference w:type="first" r:id="rId14"/>
          <w:pgSz w:w="12240" w:h="15840"/>
          <w:pgMar w:top="2552" w:right="1608" w:bottom="1701" w:left="1588" w:header="709" w:footer="737" w:gutter="0"/>
          <w:pgNumType w:start="1"/>
          <w:cols w:space="720"/>
          <w:titlePg/>
        </w:sectPr>
      </w:pPr>
    </w:p>
    <w:p w:rsidR="002E672E" w:rsidRPr="002E1992" w:rsidRDefault="00A50D32" w:rsidP="002E1992">
      <w:pPr>
        <w:rPr>
          <w:b/>
        </w:rPr>
      </w:pPr>
      <w:r w:rsidRPr="002E1992">
        <w:lastRenderedPageBreak/>
        <w:t xml:space="preserve">Resolución del Pleno del Instituto de Transparencia, Acceso a la Información Pública y Protección de Datos Personales del Estado de México y Municipios, con domicilio en Metepec, Estado de México, de </w:t>
      </w:r>
      <w:r w:rsidRPr="002E1992">
        <w:rPr>
          <w:b/>
        </w:rPr>
        <w:t>once de septiembre de dos mil veinticuatro.</w:t>
      </w:r>
    </w:p>
    <w:p w:rsidR="002E672E" w:rsidRPr="002E1992" w:rsidRDefault="002E672E" w:rsidP="002E1992"/>
    <w:p w:rsidR="002E672E" w:rsidRPr="002E1992" w:rsidRDefault="00A50D32" w:rsidP="002E1992">
      <w:r w:rsidRPr="002E1992">
        <w:rPr>
          <w:b/>
        </w:rPr>
        <w:t xml:space="preserve">VISTO </w:t>
      </w:r>
      <w:r w:rsidRPr="002E1992">
        <w:t xml:space="preserve">el expediente formado con motivo del Recurso de Revisión </w:t>
      </w:r>
      <w:r w:rsidRPr="002E1992">
        <w:rPr>
          <w:b/>
        </w:rPr>
        <w:t xml:space="preserve">00402/INFOEM/IP/RR/2024 </w:t>
      </w:r>
      <w:r w:rsidRPr="002E1992">
        <w:t>interpuesto por</w:t>
      </w:r>
      <w:r w:rsidRPr="002E1992">
        <w:rPr>
          <w:b/>
        </w:rPr>
        <w:t xml:space="preserve"> </w:t>
      </w:r>
      <w:bookmarkStart w:id="2" w:name="_GoBack"/>
      <w:r w:rsidR="00DF208F">
        <w:rPr>
          <w:b/>
        </w:rPr>
        <w:t>XXXXX XXXXXX XXXX</w:t>
      </w:r>
      <w:bookmarkEnd w:id="2"/>
      <w:r w:rsidRPr="002E1992">
        <w:t xml:space="preserve">, a quien en lo subsecuente se le denominará </w:t>
      </w:r>
      <w:r w:rsidRPr="002E1992">
        <w:rPr>
          <w:b/>
        </w:rPr>
        <w:t>LA PARTE RECURRENTE</w:t>
      </w:r>
      <w:r w:rsidRPr="002E1992">
        <w:t xml:space="preserve">, en contra de la respuesta emitida por el </w:t>
      </w:r>
      <w:r w:rsidRPr="002E1992">
        <w:rPr>
          <w:b/>
        </w:rPr>
        <w:t>Ayuntamiento de Villa de Allende</w:t>
      </w:r>
      <w:r w:rsidRPr="002E1992">
        <w:t xml:space="preserve">, en adelante </w:t>
      </w:r>
      <w:r w:rsidRPr="002E1992">
        <w:rPr>
          <w:b/>
        </w:rPr>
        <w:t>EL SUJETO OBLIGADO</w:t>
      </w:r>
      <w:r w:rsidRPr="002E1992">
        <w:t>, se emite la presente Resolución con base en los Antecedentes y Considerandos que se exponen a continuación:</w:t>
      </w:r>
    </w:p>
    <w:p w:rsidR="002E672E" w:rsidRPr="002E1992" w:rsidRDefault="002E672E" w:rsidP="002E1992"/>
    <w:p w:rsidR="00EC4365" w:rsidRPr="002E1992" w:rsidRDefault="00EC4365" w:rsidP="002E1992">
      <w:pPr>
        <w:pStyle w:val="Ttulo1"/>
      </w:pPr>
      <w:bookmarkStart w:id="3" w:name="_heading=h.1pxezwc" w:colFirst="0" w:colLast="0"/>
      <w:bookmarkStart w:id="4" w:name="_Toc176352529"/>
      <w:bookmarkEnd w:id="3"/>
      <w:r w:rsidRPr="002E1992">
        <w:t>ANTECEDENTES</w:t>
      </w:r>
      <w:bookmarkEnd w:id="4"/>
    </w:p>
    <w:p w:rsidR="002E672E" w:rsidRPr="002E1992" w:rsidRDefault="002E672E" w:rsidP="002E1992"/>
    <w:p w:rsidR="00EC4365" w:rsidRPr="002E1992" w:rsidRDefault="00EC4365" w:rsidP="002E1992">
      <w:pPr>
        <w:pStyle w:val="Ttulo2"/>
      </w:pPr>
      <w:bookmarkStart w:id="5" w:name="_heading=h.32hioqz" w:colFirst="0" w:colLast="0"/>
      <w:bookmarkStart w:id="6" w:name="_Toc176352530"/>
      <w:bookmarkEnd w:id="5"/>
      <w:r w:rsidRPr="002E1992">
        <w:t>DE LA SOLICITUD DE INFORMACIÓN</w:t>
      </w:r>
      <w:bookmarkEnd w:id="6"/>
    </w:p>
    <w:p w:rsidR="00EC4365" w:rsidRPr="002E1992" w:rsidRDefault="00EC4365" w:rsidP="002E1992">
      <w:pPr>
        <w:pStyle w:val="Ttulo3"/>
      </w:pPr>
      <w:bookmarkStart w:id="7" w:name="_Toc176352531"/>
      <w:r w:rsidRPr="002E1992">
        <w:t>a) Solicitud de información</w:t>
      </w:r>
      <w:bookmarkEnd w:id="7"/>
    </w:p>
    <w:p w:rsidR="002E672E" w:rsidRPr="002E1992" w:rsidRDefault="00A50D32" w:rsidP="002E1992">
      <w:pPr>
        <w:pBdr>
          <w:top w:val="nil"/>
          <w:left w:val="nil"/>
          <w:bottom w:val="nil"/>
          <w:right w:val="nil"/>
          <w:between w:val="nil"/>
        </w:pBdr>
        <w:tabs>
          <w:tab w:val="left" w:pos="0"/>
        </w:tabs>
      </w:pPr>
      <w:r w:rsidRPr="002E1992">
        <w:t xml:space="preserve">El </w:t>
      </w:r>
      <w:r w:rsidRPr="002E1992">
        <w:rPr>
          <w:b/>
        </w:rPr>
        <w:t>once de enero de dos mil veinticuatro</w:t>
      </w:r>
      <w:r w:rsidRPr="002E1992">
        <w:t xml:space="preserve"> </w:t>
      </w:r>
      <w:r w:rsidRPr="002E1992">
        <w:rPr>
          <w:b/>
        </w:rPr>
        <w:t>LA PARTE RECURRENTE</w:t>
      </w:r>
      <w:r w:rsidRPr="002E1992">
        <w:t xml:space="preserve"> presentó una solicitud de acceso a la información pública ante el </w:t>
      </w:r>
      <w:r w:rsidRPr="002E1992">
        <w:rPr>
          <w:b/>
        </w:rPr>
        <w:t>SUJETO OBLIGADO</w:t>
      </w:r>
      <w:r w:rsidRPr="002E1992">
        <w:t>, a través del Sistema de Acceso a la Información Mexiquense (SAIMEX). Dicha solicitud quedó registrada con el número de folio</w:t>
      </w:r>
      <w:r w:rsidRPr="002E1992">
        <w:rPr>
          <w:b/>
        </w:rPr>
        <w:t xml:space="preserve"> 00003/VIALLEN/IP/2024 </w:t>
      </w:r>
      <w:r w:rsidRPr="002E1992">
        <w:t>y en ella se requirió la siguiente información:</w:t>
      </w:r>
    </w:p>
    <w:p w:rsidR="002E672E" w:rsidRPr="002E1992" w:rsidRDefault="00A50D32" w:rsidP="002E1992">
      <w:pPr>
        <w:pBdr>
          <w:top w:val="nil"/>
          <w:left w:val="nil"/>
          <w:bottom w:val="nil"/>
          <w:right w:val="nil"/>
          <w:between w:val="nil"/>
        </w:pBdr>
        <w:spacing w:line="240" w:lineRule="auto"/>
        <w:ind w:right="567"/>
        <w:rPr>
          <w:i/>
        </w:rPr>
      </w:pPr>
      <w:r w:rsidRPr="002E1992">
        <w:rPr>
          <w:i/>
        </w:rPr>
        <w:tab/>
      </w:r>
    </w:p>
    <w:p w:rsidR="002E672E" w:rsidRPr="002E1992" w:rsidRDefault="00A50D32" w:rsidP="002E1992">
      <w:pPr>
        <w:pBdr>
          <w:top w:val="nil"/>
          <w:left w:val="nil"/>
          <w:bottom w:val="nil"/>
          <w:right w:val="nil"/>
          <w:between w:val="nil"/>
        </w:pBdr>
        <w:spacing w:line="240" w:lineRule="auto"/>
        <w:ind w:left="567" w:right="567"/>
        <w:rPr>
          <w:i/>
        </w:rPr>
      </w:pPr>
      <w:r w:rsidRPr="002E1992">
        <w:rPr>
          <w:i/>
        </w:rPr>
        <w:t>“Cuantas auditorias a realizado la contraloría en materia de obras así mismo solicito las actas. copia de todos los pases de salida de todo el personal que labora en puestos directivos, coordinaciones, etc… de acuerdo a su organigrama, la gasolina otorgada y también adjunte comprobante de que salieron de comisión o a tratar asuntos de la oficina de enero 2022 a la fecha de la solicitud.”</w:t>
      </w:r>
    </w:p>
    <w:p w:rsidR="002E672E" w:rsidRPr="002E1992" w:rsidRDefault="002E672E" w:rsidP="002E1992">
      <w:pPr>
        <w:tabs>
          <w:tab w:val="left" w:pos="4667"/>
        </w:tabs>
        <w:ind w:left="567" w:right="567"/>
        <w:rPr>
          <w:i/>
        </w:rPr>
      </w:pPr>
    </w:p>
    <w:p w:rsidR="002E672E" w:rsidRPr="002E1992" w:rsidRDefault="00A50D32" w:rsidP="002E1992">
      <w:pPr>
        <w:tabs>
          <w:tab w:val="left" w:pos="4667"/>
        </w:tabs>
        <w:ind w:left="567" w:right="567"/>
      </w:pPr>
      <w:r w:rsidRPr="002E1992">
        <w:rPr>
          <w:b/>
        </w:rPr>
        <w:t>Modalidad de entrega</w:t>
      </w:r>
      <w:r w:rsidRPr="002E1992">
        <w:t>: a</w:t>
      </w:r>
      <w:r w:rsidRPr="002E1992">
        <w:rPr>
          <w:i/>
        </w:rPr>
        <w:t xml:space="preserve"> través del </w:t>
      </w:r>
      <w:r w:rsidRPr="002E1992">
        <w:rPr>
          <w:b/>
          <w:i/>
        </w:rPr>
        <w:t>SAIMEX</w:t>
      </w:r>
      <w:r w:rsidRPr="002E1992">
        <w:rPr>
          <w:i/>
        </w:rPr>
        <w:t xml:space="preserve"> </w:t>
      </w:r>
    </w:p>
    <w:p w:rsidR="00EC4365" w:rsidRPr="002E1992" w:rsidRDefault="00EC4365" w:rsidP="002E1992">
      <w:pPr>
        <w:pStyle w:val="Ttulo3"/>
      </w:pPr>
      <w:bookmarkStart w:id="8" w:name="_heading=h.cvlyqu9sload" w:colFirst="0" w:colLast="0"/>
      <w:bookmarkStart w:id="9" w:name="_heading=h.41mghml" w:colFirst="0" w:colLast="0"/>
      <w:bookmarkStart w:id="10" w:name="_Toc171527278"/>
      <w:bookmarkStart w:id="11" w:name="_Toc176352532"/>
      <w:bookmarkEnd w:id="8"/>
      <w:bookmarkEnd w:id="9"/>
      <w:r w:rsidRPr="002E1992">
        <w:lastRenderedPageBreak/>
        <w:t>b) Turno de la solicitud de información</w:t>
      </w:r>
      <w:bookmarkEnd w:id="10"/>
      <w:bookmarkEnd w:id="11"/>
    </w:p>
    <w:p w:rsidR="002E672E" w:rsidRPr="002E1992" w:rsidRDefault="00A50D32" w:rsidP="002E1992">
      <w:r w:rsidRPr="002E1992">
        <w:t xml:space="preserve">De las constancias que obran en el expediente electrónico del SAIMEX no se advierte que el Titular de la Unidad de Transparencia del </w:t>
      </w:r>
      <w:r w:rsidRPr="002E1992">
        <w:rPr>
          <w:b/>
        </w:rPr>
        <w:t xml:space="preserve">SUJETO OBLIGADO </w:t>
      </w:r>
      <w:r w:rsidRPr="002E1992">
        <w:t>haya</w:t>
      </w:r>
      <w:r w:rsidRPr="002E1992">
        <w:rPr>
          <w:b/>
        </w:rPr>
        <w:t xml:space="preserve"> </w:t>
      </w:r>
      <w:r w:rsidRPr="002E1992">
        <w:t>turnado la solicitud de información a los servidores públicos habilitados que estimara pertinentes, en cumplimiento al artículo 162 de la Ley de Transparencia y Acceso a la Información Pública del Estado de México y Municipios.</w:t>
      </w:r>
    </w:p>
    <w:p w:rsidR="002E672E" w:rsidRPr="002E1992" w:rsidRDefault="002E672E" w:rsidP="002E1992">
      <w:pPr>
        <w:keepNext/>
        <w:keepLines/>
        <w:pBdr>
          <w:top w:val="nil"/>
          <w:left w:val="nil"/>
          <w:bottom w:val="nil"/>
          <w:right w:val="nil"/>
          <w:between w:val="nil"/>
        </w:pBdr>
        <w:spacing w:line="480" w:lineRule="auto"/>
        <w:jc w:val="left"/>
        <w:rPr>
          <w:b/>
        </w:rPr>
      </w:pPr>
    </w:p>
    <w:p w:rsidR="002E672E" w:rsidRPr="002E1992" w:rsidRDefault="00A50D32" w:rsidP="002E1992">
      <w:pPr>
        <w:pStyle w:val="Ttulo3"/>
      </w:pPr>
      <w:bookmarkStart w:id="12" w:name="_heading=h.2grqrue" w:colFirst="0" w:colLast="0"/>
      <w:bookmarkEnd w:id="12"/>
      <w:r w:rsidRPr="002E1992">
        <w:t>c) Respuesta del Sujeto Obligado</w:t>
      </w:r>
    </w:p>
    <w:p w:rsidR="002E672E" w:rsidRPr="002E1992" w:rsidRDefault="00A50D32" w:rsidP="002E1992">
      <w:pPr>
        <w:pBdr>
          <w:top w:val="nil"/>
          <w:left w:val="nil"/>
          <w:bottom w:val="nil"/>
          <w:right w:val="nil"/>
          <w:between w:val="nil"/>
        </w:pBdr>
      </w:pPr>
      <w:r w:rsidRPr="002E1992">
        <w:t xml:space="preserve">El </w:t>
      </w:r>
      <w:r w:rsidR="00F75D09" w:rsidRPr="002E1992">
        <w:rPr>
          <w:b/>
        </w:rPr>
        <w:t>veintinueve</w:t>
      </w:r>
      <w:r w:rsidRPr="002E1992">
        <w:rPr>
          <w:b/>
        </w:rPr>
        <w:t xml:space="preserve"> de enero de dos mil veinticuatro</w:t>
      </w:r>
      <w:r w:rsidRPr="002E1992">
        <w:t xml:space="preserve">, el Titular de la Unidad de Transparencia del </w:t>
      </w:r>
      <w:r w:rsidRPr="002E1992">
        <w:rPr>
          <w:b/>
        </w:rPr>
        <w:t>SUJETO OBLIGADO</w:t>
      </w:r>
      <w:r w:rsidRPr="002E1992">
        <w:t xml:space="preserve"> notificó la siguiente respuesta a través del SAIMEX:</w:t>
      </w:r>
    </w:p>
    <w:p w:rsidR="002E672E" w:rsidRPr="002E1992" w:rsidRDefault="002E672E" w:rsidP="002E1992">
      <w:pPr>
        <w:tabs>
          <w:tab w:val="left" w:pos="4667"/>
        </w:tabs>
        <w:ind w:left="567" w:right="567"/>
        <w:rPr>
          <w:b/>
        </w:rPr>
      </w:pPr>
    </w:p>
    <w:p w:rsidR="002E672E" w:rsidRPr="002E1992" w:rsidRDefault="00A50D32" w:rsidP="002E1992">
      <w:pPr>
        <w:pBdr>
          <w:top w:val="nil"/>
          <w:left w:val="nil"/>
          <w:bottom w:val="nil"/>
          <w:right w:val="nil"/>
          <w:between w:val="nil"/>
        </w:pBdr>
        <w:spacing w:line="240" w:lineRule="auto"/>
        <w:ind w:left="567" w:right="567" w:firstLine="567"/>
        <w:rPr>
          <w:i/>
        </w:rPr>
      </w:pPr>
      <w:r w:rsidRPr="002E1992">
        <w:rPr>
          <w:i/>
        </w:rPr>
        <w:t>“sea este el medio para enviarte la información</w:t>
      </w:r>
    </w:p>
    <w:p w:rsidR="00EC4365" w:rsidRPr="002E1992" w:rsidRDefault="00EC4365" w:rsidP="002E1992">
      <w:pPr>
        <w:pBdr>
          <w:top w:val="nil"/>
          <w:left w:val="nil"/>
          <w:bottom w:val="nil"/>
          <w:right w:val="nil"/>
          <w:between w:val="nil"/>
        </w:pBdr>
        <w:spacing w:line="240" w:lineRule="auto"/>
        <w:ind w:left="567" w:right="567" w:firstLine="567"/>
        <w:rPr>
          <w:i/>
        </w:rPr>
      </w:pPr>
    </w:p>
    <w:p w:rsidR="002E672E" w:rsidRPr="002E1992" w:rsidRDefault="00A50D32" w:rsidP="002E1992">
      <w:pPr>
        <w:pBdr>
          <w:top w:val="nil"/>
          <w:left w:val="nil"/>
          <w:bottom w:val="nil"/>
          <w:right w:val="nil"/>
          <w:between w:val="nil"/>
        </w:pBdr>
        <w:spacing w:line="240" w:lineRule="auto"/>
        <w:ind w:left="567" w:right="567" w:firstLine="567"/>
        <w:rPr>
          <w:i/>
        </w:rPr>
      </w:pPr>
      <w:r w:rsidRPr="002E1992">
        <w:rPr>
          <w:i/>
        </w:rPr>
        <w:t>ATENTAMENTE</w:t>
      </w:r>
    </w:p>
    <w:p w:rsidR="00EC4365" w:rsidRPr="002E1992" w:rsidRDefault="00EC4365" w:rsidP="002E1992">
      <w:pPr>
        <w:pBdr>
          <w:top w:val="nil"/>
          <w:left w:val="nil"/>
          <w:bottom w:val="nil"/>
          <w:right w:val="nil"/>
          <w:between w:val="nil"/>
        </w:pBdr>
        <w:spacing w:line="240" w:lineRule="auto"/>
        <w:ind w:left="567" w:right="567" w:firstLine="567"/>
        <w:rPr>
          <w:i/>
        </w:rPr>
      </w:pPr>
    </w:p>
    <w:p w:rsidR="002E672E" w:rsidRPr="002E1992" w:rsidRDefault="00A50D32" w:rsidP="002E1992">
      <w:pPr>
        <w:pBdr>
          <w:top w:val="nil"/>
          <w:left w:val="nil"/>
          <w:bottom w:val="nil"/>
          <w:right w:val="nil"/>
          <w:between w:val="nil"/>
        </w:pBdr>
        <w:spacing w:line="240" w:lineRule="auto"/>
        <w:ind w:left="567" w:right="567" w:firstLine="567"/>
        <w:rPr>
          <w:i/>
        </w:rPr>
      </w:pPr>
      <w:r w:rsidRPr="002E1992">
        <w:rPr>
          <w:i/>
        </w:rPr>
        <w:t>Lic. en D. Norma Judith Garduño Gonzàlez”</w:t>
      </w:r>
    </w:p>
    <w:p w:rsidR="002E672E" w:rsidRPr="002E1992" w:rsidRDefault="002E672E" w:rsidP="002E1992">
      <w:pPr>
        <w:ind w:right="-28"/>
      </w:pPr>
    </w:p>
    <w:p w:rsidR="002E672E" w:rsidRPr="002E1992" w:rsidRDefault="00A50D32" w:rsidP="002E1992">
      <w:pPr>
        <w:ind w:right="-28"/>
      </w:pPr>
      <w:r w:rsidRPr="002E1992">
        <w:t xml:space="preserve">Asimismo, </w:t>
      </w:r>
      <w:r w:rsidRPr="002E1992">
        <w:rPr>
          <w:b/>
        </w:rPr>
        <w:t xml:space="preserve">EL SUJETO OBLIGADO </w:t>
      </w:r>
      <w:r w:rsidRPr="002E1992">
        <w:t xml:space="preserve">adjuntó a su respuesta los archivos electrónicos que se describen a continuación: </w:t>
      </w:r>
    </w:p>
    <w:p w:rsidR="002E672E" w:rsidRPr="002E1992" w:rsidRDefault="002E672E" w:rsidP="002E1992">
      <w:pPr>
        <w:ind w:right="-28"/>
      </w:pPr>
    </w:p>
    <w:p w:rsidR="002E672E" w:rsidRPr="002E1992" w:rsidRDefault="00A50D32" w:rsidP="002E1992">
      <w:pPr>
        <w:numPr>
          <w:ilvl w:val="0"/>
          <w:numId w:val="5"/>
        </w:numPr>
        <w:ind w:right="-28"/>
      </w:pPr>
      <w:r w:rsidRPr="002E1992">
        <w:rPr>
          <w:b/>
          <w:i/>
        </w:rPr>
        <w:t xml:space="preserve">AUDITORIAS INTERNAS A OBRAS.pdf: </w:t>
      </w:r>
      <w:r w:rsidRPr="002E1992">
        <w:t xml:space="preserve">Archivo con veinte fojas de las que se observa lo siguiente: </w:t>
      </w:r>
    </w:p>
    <w:p w:rsidR="002E672E" w:rsidRPr="002E1992" w:rsidRDefault="00A50D32" w:rsidP="002E1992">
      <w:pPr>
        <w:numPr>
          <w:ilvl w:val="1"/>
          <w:numId w:val="5"/>
        </w:numPr>
        <w:ind w:right="-28"/>
      </w:pPr>
      <w:r w:rsidRPr="002E1992">
        <w:t>Página 1: Requerimiento de información realizado por la Titular de la Unidad de Transparencia al Contralor Interno.</w:t>
      </w:r>
    </w:p>
    <w:p w:rsidR="002E672E" w:rsidRPr="002E1992" w:rsidRDefault="00A50D32" w:rsidP="002E1992">
      <w:pPr>
        <w:numPr>
          <w:ilvl w:val="1"/>
          <w:numId w:val="5"/>
        </w:numPr>
        <w:ind w:right="-28"/>
      </w:pPr>
      <w:r w:rsidRPr="002E1992">
        <w:t xml:space="preserve">Página 2: Respuesta del Contralor Interno Municipal, quien refirió que se llevaron a cabo 4 auditorías, de las cuales se adjuntan las actas. </w:t>
      </w:r>
    </w:p>
    <w:p w:rsidR="002E672E" w:rsidRPr="002E1992" w:rsidRDefault="00A50D32" w:rsidP="002E1992">
      <w:pPr>
        <w:numPr>
          <w:ilvl w:val="1"/>
          <w:numId w:val="5"/>
        </w:numPr>
        <w:ind w:right="-28"/>
      </w:pPr>
      <w:r w:rsidRPr="002E1992">
        <w:lastRenderedPageBreak/>
        <w:t>Página 3 en adelante: Las actas de las auditorías realizadas, así como los anexos a las mismas.</w:t>
      </w:r>
    </w:p>
    <w:p w:rsidR="002E672E" w:rsidRPr="002E1992" w:rsidRDefault="00A50D32" w:rsidP="002E1992">
      <w:pPr>
        <w:numPr>
          <w:ilvl w:val="0"/>
          <w:numId w:val="5"/>
        </w:numPr>
        <w:ind w:right="-28"/>
      </w:pPr>
      <w:r w:rsidRPr="002E1992">
        <w:rPr>
          <w:b/>
          <w:i/>
        </w:rPr>
        <w:t xml:space="preserve">OFICIOS EMITIDOS ADMI 2.PDF: </w:t>
      </w:r>
      <w:r w:rsidRPr="002E1992">
        <w:t xml:space="preserve">Diez fojas con los oficios firmados por el Director de Administración. </w:t>
      </w:r>
      <w:r w:rsidRPr="002E1992">
        <w:rPr>
          <w:b/>
          <w:i/>
        </w:rPr>
        <w:t xml:space="preserve"> </w:t>
      </w:r>
    </w:p>
    <w:p w:rsidR="002E672E" w:rsidRPr="002E1992" w:rsidRDefault="00A50D32" w:rsidP="002E1992">
      <w:pPr>
        <w:numPr>
          <w:ilvl w:val="0"/>
          <w:numId w:val="5"/>
        </w:numPr>
        <w:ind w:right="-28"/>
      </w:pPr>
      <w:r w:rsidRPr="002E1992">
        <w:rPr>
          <w:b/>
          <w:i/>
        </w:rPr>
        <w:t xml:space="preserve">PASES DE SALIDA PERSONAL.pdf: </w:t>
      </w:r>
      <w:r w:rsidRPr="002E1992">
        <w:t>Documento que consta de dos oficios, del primero de ellos  se observa el turno de requerimiento realizado por el Titular de la Unidad de Transparencia al Director de Recursos Humanos.</w:t>
      </w:r>
    </w:p>
    <w:p w:rsidR="002E672E" w:rsidRPr="002E1992" w:rsidRDefault="00A50D32" w:rsidP="002E1992">
      <w:pPr>
        <w:numPr>
          <w:ilvl w:val="0"/>
          <w:numId w:val="5"/>
        </w:numPr>
        <w:ind w:right="-28"/>
      </w:pPr>
      <w:r w:rsidRPr="002E1992">
        <w:rPr>
          <w:b/>
          <w:i/>
        </w:rPr>
        <w:t xml:space="preserve">OFICIOS RECURSOS HUMANOS 2022-2023.pdf: </w:t>
      </w:r>
      <w:r w:rsidRPr="002E1992">
        <w:t xml:space="preserve">Archivo con 93 fojas de las que se advierten diversos oficios firmados por el Director de Recursos Humanos. </w:t>
      </w:r>
    </w:p>
    <w:p w:rsidR="002E672E" w:rsidRPr="002E1992" w:rsidRDefault="00A50D32" w:rsidP="002E1992">
      <w:pPr>
        <w:numPr>
          <w:ilvl w:val="0"/>
          <w:numId w:val="5"/>
        </w:numPr>
        <w:ind w:right="-28"/>
      </w:pPr>
      <w:r w:rsidRPr="002E1992">
        <w:rPr>
          <w:b/>
          <w:i/>
        </w:rPr>
        <w:t xml:space="preserve">OFICIOS EMITIDOS ADMINISTRACION 1.PDF: </w:t>
      </w:r>
      <w:r w:rsidRPr="002E1992">
        <w:t>Archivo con 100 fojas de las que se advierten diversos oficios firmados por el Director de Administración.</w:t>
      </w:r>
    </w:p>
    <w:p w:rsidR="002E672E" w:rsidRPr="002E1992" w:rsidRDefault="002E672E" w:rsidP="002E1992">
      <w:pPr>
        <w:ind w:left="720" w:right="-28"/>
      </w:pPr>
    </w:p>
    <w:p w:rsidR="00EC4365" w:rsidRPr="002E1992" w:rsidRDefault="00EC4365" w:rsidP="002E1992">
      <w:pPr>
        <w:pStyle w:val="Ttulo2"/>
        <w:jc w:val="left"/>
      </w:pPr>
      <w:bookmarkStart w:id="13" w:name="_heading=h.vx1227" w:colFirst="0" w:colLast="0"/>
      <w:bookmarkStart w:id="14" w:name="_Toc171527280"/>
      <w:bookmarkStart w:id="15" w:name="_Toc176352535"/>
      <w:bookmarkEnd w:id="13"/>
      <w:r w:rsidRPr="002E1992">
        <w:t>DEL RECURSO DE REVISIÓN</w:t>
      </w:r>
      <w:bookmarkEnd w:id="14"/>
      <w:bookmarkEnd w:id="15"/>
    </w:p>
    <w:p w:rsidR="00EC4365" w:rsidRPr="002E1992" w:rsidRDefault="00EC4365" w:rsidP="002E1992">
      <w:pPr>
        <w:pStyle w:val="Ttulo3"/>
      </w:pPr>
      <w:bookmarkStart w:id="16" w:name="_Toc176352536"/>
      <w:r w:rsidRPr="002E1992">
        <w:rPr>
          <w:szCs w:val="32"/>
        </w:rPr>
        <w:t>a)</w:t>
      </w:r>
      <w:r w:rsidRPr="002E1992">
        <w:t xml:space="preserve"> Interposición del Recurso de Revisión</w:t>
      </w:r>
      <w:bookmarkEnd w:id="16"/>
    </w:p>
    <w:p w:rsidR="002E672E" w:rsidRPr="002E1992" w:rsidRDefault="00A50D32" w:rsidP="002E1992">
      <w:pPr>
        <w:ind w:right="-28"/>
      </w:pPr>
      <w:r w:rsidRPr="002E1992">
        <w:t xml:space="preserve">El </w:t>
      </w:r>
      <w:r w:rsidRPr="002E1992">
        <w:rPr>
          <w:b/>
        </w:rPr>
        <w:t>treinta de enero de dos mil veinticuatro, LA PARTE RECURRENTE</w:t>
      </w:r>
      <w:r w:rsidRPr="002E1992">
        <w:t xml:space="preserve"> interpuso el recurso de revisión en contra de la respuesta emitida por el </w:t>
      </w:r>
      <w:r w:rsidRPr="002E1992">
        <w:rPr>
          <w:b/>
        </w:rPr>
        <w:t>SUJETO OBLIGADO</w:t>
      </w:r>
      <w:r w:rsidRPr="002E1992">
        <w:t xml:space="preserve">, mismo que fue registrado en el SAIMEX con el número de expediente </w:t>
      </w:r>
      <w:r w:rsidRPr="002E1992">
        <w:rPr>
          <w:b/>
        </w:rPr>
        <w:t>00402/INFOEM/IP/RR/2024</w:t>
      </w:r>
      <w:r w:rsidRPr="002E1992">
        <w:t>, y en el cual manifiesta lo siguiente:</w:t>
      </w:r>
    </w:p>
    <w:p w:rsidR="002E672E" w:rsidRPr="002E1992" w:rsidRDefault="002E672E" w:rsidP="002E1992">
      <w:pPr>
        <w:tabs>
          <w:tab w:val="left" w:pos="4667"/>
        </w:tabs>
        <w:ind w:right="539"/>
      </w:pPr>
    </w:p>
    <w:p w:rsidR="002E672E" w:rsidRPr="002E1992" w:rsidRDefault="00A50D32" w:rsidP="002E1992">
      <w:pPr>
        <w:tabs>
          <w:tab w:val="left" w:pos="4667"/>
        </w:tabs>
        <w:ind w:left="567" w:right="539"/>
        <w:rPr>
          <w:b/>
        </w:rPr>
      </w:pPr>
      <w:r w:rsidRPr="002E1992">
        <w:rPr>
          <w:b/>
        </w:rPr>
        <w:t xml:space="preserve">ACTO IMPUGNADO </w:t>
      </w:r>
    </w:p>
    <w:p w:rsidR="002E672E" w:rsidRPr="002E1992" w:rsidRDefault="00A50D32" w:rsidP="002E1992">
      <w:pPr>
        <w:pStyle w:val="Puesto"/>
      </w:pPr>
      <w:r w:rsidRPr="002E1992">
        <w:t>“no entregaron todo lo solicitado”</w:t>
      </w:r>
    </w:p>
    <w:p w:rsidR="002E672E" w:rsidRPr="002E1992" w:rsidRDefault="002E672E" w:rsidP="002E1992">
      <w:pPr>
        <w:tabs>
          <w:tab w:val="left" w:pos="4667"/>
        </w:tabs>
        <w:ind w:left="567" w:right="539"/>
        <w:rPr>
          <w:i/>
        </w:rPr>
      </w:pPr>
    </w:p>
    <w:p w:rsidR="002E672E" w:rsidRPr="002E1992" w:rsidRDefault="00A50D32" w:rsidP="002E1992">
      <w:pPr>
        <w:tabs>
          <w:tab w:val="left" w:pos="4667"/>
        </w:tabs>
        <w:ind w:left="567" w:right="539"/>
        <w:rPr>
          <w:b/>
        </w:rPr>
      </w:pPr>
      <w:r w:rsidRPr="002E1992">
        <w:rPr>
          <w:b/>
        </w:rPr>
        <w:t>RAZONES O MOTIVOS DE LA INCONFORMIDAD</w:t>
      </w:r>
    </w:p>
    <w:p w:rsidR="002E672E" w:rsidRPr="002E1992" w:rsidRDefault="00A50D32" w:rsidP="002E1992">
      <w:pPr>
        <w:pStyle w:val="Puesto"/>
      </w:pPr>
      <w:r w:rsidRPr="002E1992">
        <w:t>“no entregaron todo lo solicitado”</w:t>
      </w:r>
    </w:p>
    <w:p w:rsidR="002E672E" w:rsidRPr="002E1992" w:rsidRDefault="002E672E" w:rsidP="002E1992">
      <w:pPr>
        <w:tabs>
          <w:tab w:val="left" w:pos="4667"/>
        </w:tabs>
        <w:ind w:left="567" w:right="539"/>
      </w:pPr>
    </w:p>
    <w:p w:rsidR="00EC4365" w:rsidRPr="002E1992" w:rsidRDefault="00EC4365" w:rsidP="002E1992">
      <w:pPr>
        <w:pStyle w:val="Ttulo3"/>
      </w:pPr>
      <w:bookmarkStart w:id="17" w:name="_heading=h.1v1yuxt" w:colFirst="0" w:colLast="0"/>
      <w:bookmarkStart w:id="18" w:name="_Toc176352537"/>
      <w:bookmarkEnd w:id="17"/>
      <w:r w:rsidRPr="002E1992">
        <w:lastRenderedPageBreak/>
        <w:t>b) Turno del Recurso de Revisión</w:t>
      </w:r>
      <w:bookmarkEnd w:id="18"/>
    </w:p>
    <w:p w:rsidR="002E672E" w:rsidRPr="002E1992" w:rsidRDefault="00A50D32" w:rsidP="002E1992">
      <w:r w:rsidRPr="002E1992">
        <w:t>Con fundamento en el artículo 185, fracción I de la Ley de Transparencia y Acceso a la Información Pública del Estado de México y Municipios, el</w:t>
      </w:r>
      <w:r w:rsidRPr="002E1992">
        <w:rPr>
          <w:b/>
        </w:rPr>
        <w:t xml:space="preserve"> treinta de enero de dos mil veinticuatro </w:t>
      </w:r>
      <w:r w:rsidRPr="002E1992">
        <w:t xml:space="preserve">se turnó el recurso de revisión a través del SAIMEX a la </w:t>
      </w:r>
      <w:r w:rsidRPr="002E1992">
        <w:rPr>
          <w:b/>
        </w:rPr>
        <w:t>Comisionada Sharon Cristina Morales Martínez</w:t>
      </w:r>
      <w:r w:rsidRPr="002E1992">
        <w:t xml:space="preserve">, a efecto de decretar su admisión o desechamiento. </w:t>
      </w:r>
    </w:p>
    <w:p w:rsidR="002E672E" w:rsidRPr="002E1992" w:rsidRDefault="00A50D32" w:rsidP="002E1992">
      <w:r w:rsidRPr="002E1992">
        <w:t xml:space="preserve"> </w:t>
      </w:r>
    </w:p>
    <w:p w:rsidR="00EC4365" w:rsidRPr="002E1992" w:rsidRDefault="00EC4365" w:rsidP="002E1992">
      <w:pPr>
        <w:pStyle w:val="Ttulo3"/>
      </w:pPr>
      <w:bookmarkStart w:id="19" w:name="_heading=h.4f1mdlm" w:colFirst="0" w:colLast="0"/>
      <w:bookmarkStart w:id="20" w:name="_Toc176352538"/>
      <w:bookmarkEnd w:id="19"/>
      <w:r w:rsidRPr="002E1992">
        <w:t>c) Admisión del Recurso de Revisión</w:t>
      </w:r>
      <w:bookmarkEnd w:id="20"/>
    </w:p>
    <w:p w:rsidR="002E672E" w:rsidRPr="002E1992" w:rsidRDefault="00A50D32" w:rsidP="002E1992">
      <w:r w:rsidRPr="002E1992">
        <w:t xml:space="preserve">El </w:t>
      </w:r>
      <w:r w:rsidRPr="002E1992">
        <w:rPr>
          <w:b/>
        </w:rPr>
        <w:t>dos de febrero de dos mil veinticuatro</w:t>
      </w:r>
      <w:r w:rsidRPr="002E199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2E672E" w:rsidRPr="002E1992" w:rsidRDefault="002E672E" w:rsidP="002E1992"/>
    <w:p w:rsidR="00EC4365" w:rsidRPr="002E1992" w:rsidRDefault="00EC4365" w:rsidP="002E1992">
      <w:pPr>
        <w:pStyle w:val="Ttulo3"/>
      </w:pPr>
      <w:bookmarkStart w:id="21" w:name="_heading=h.2u6wntf" w:colFirst="0" w:colLast="0"/>
      <w:bookmarkStart w:id="22" w:name="_Toc176352539"/>
      <w:bookmarkEnd w:id="21"/>
      <w:r w:rsidRPr="002E1992">
        <w:t>d) Informe Justificado del Sujeto Obligado</w:t>
      </w:r>
      <w:bookmarkEnd w:id="22"/>
    </w:p>
    <w:p w:rsidR="002E672E" w:rsidRPr="002E1992" w:rsidRDefault="00A50D32" w:rsidP="002E1992">
      <w:r w:rsidRPr="002E1992">
        <w:t xml:space="preserve">En fechas </w:t>
      </w:r>
      <w:r w:rsidRPr="002E1992">
        <w:rPr>
          <w:b/>
        </w:rPr>
        <w:t>doce de febrero y seis de marzo</w:t>
      </w:r>
      <w:r w:rsidRPr="002E1992">
        <w:t>,</w:t>
      </w:r>
      <w:r w:rsidRPr="002E1992">
        <w:rPr>
          <w:b/>
        </w:rPr>
        <w:t xml:space="preserve"> El SUJETO OBLIGADO</w:t>
      </w:r>
      <w:r w:rsidRPr="002E1992">
        <w:t xml:space="preserve"> presentó su informe justificado adjuntando los archivos que se describen a continuación:</w:t>
      </w:r>
    </w:p>
    <w:p w:rsidR="002E672E" w:rsidRPr="002E1992" w:rsidRDefault="00A50D32" w:rsidP="002E1992">
      <w:pPr>
        <w:numPr>
          <w:ilvl w:val="0"/>
          <w:numId w:val="4"/>
        </w:numPr>
        <w:rPr>
          <w:b/>
          <w:i/>
        </w:rPr>
      </w:pPr>
      <w:r w:rsidRPr="002E1992">
        <w:rPr>
          <w:b/>
          <w:i/>
        </w:rPr>
        <w:t xml:space="preserve">AUDITORIAS INTERNAS A OBRAS 1.pdf: </w:t>
      </w:r>
      <w:r w:rsidRPr="002E1992">
        <w:rPr>
          <w:b/>
          <w:i/>
        </w:rPr>
        <w:tab/>
      </w:r>
      <w:r w:rsidRPr="002E1992">
        <w:t xml:space="preserve">Documento entregado en respuesta del que se observan las actas de las auditorías a obras, el cual no fue puesto a disposición del particular, toda vez que contiene información confidencial visible. </w:t>
      </w:r>
    </w:p>
    <w:p w:rsidR="002E672E" w:rsidRPr="002E1992" w:rsidRDefault="00A50D32" w:rsidP="002E1992">
      <w:pPr>
        <w:numPr>
          <w:ilvl w:val="0"/>
          <w:numId w:val="4"/>
        </w:numPr>
        <w:rPr>
          <w:b/>
          <w:i/>
        </w:rPr>
      </w:pPr>
      <w:r w:rsidRPr="002E1992">
        <w:rPr>
          <w:b/>
          <w:i/>
        </w:rPr>
        <w:t xml:space="preserve">1Sesion Extr.2024.pdf: </w:t>
      </w:r>
      <w:r w:rsidRPr="002E1992">
        <w:t xml:space="preserve">Acta de a primera Sesión Extraordinaria del Comité de Transparencia del Comité de Transparencia, donde se  aprobó la clasificación de la información confidencial. </w:t>
      </w:r>
    </w:p>
    <w:p w:rsidR="002E672E" w:rsidRPr="002E1992" w:rsidRDefault="00A50D32" w:rsidP="002E1992">
      <w:pPr>
        <w:numPr>
          <w:ilvl w:val="0"/>
          <w:numId w:val="4"/>
        </w:numPr>
        <w:rPr>
          <w:b/>
          <w:i/>
        </w:rPr>
      </w:pPr>
      <w:r w:rsidRPr="002E1992">
        <w:rPr>
          <w:b/>
          <w:i/>
        </w:rPr>
        <w:t xml:space="preserve">PASES DE SALIDA PERSONAL.pdf: </w:t>
      </w:r>
      <w:r w:rsidRPr="002E1992">
        <w:t xml:space="preserve">Archivo de dos fojas, donde se advierte el turno de requerimiento de la Titular de la Unidad de Transparencia y la respuesta del </w:t>
      </w:r>
      <w:r w:rsidRPr="002E1992">
        <w:lastRenderedPageBreak/>
        <w:t xml:space="preserve">Director de Recursos Humanos, quien refirió adjuntar la información  solicitada en tres archivos  </w:t>
      </w:r>
      <w:r w:rsidRPr="002E1992">
        <w:rPr>
          <w:b/>
          <w:i/>
        </w:rPr>
        <w:tab/>
      </w:r>
    </w:p>
    <w:p w:rsidR="002E672E" w:rsidRPr="002E1992" w:rsidRDefault="00A50D32" w:rsidP="002E1992">
      <w:pPr>
        <w:numPr>
          <w:ilvl w:val="0"/>
          <w:numId w:val="4"/>
        </w:numPr>
        <w:rPr>
          <w:b/>
          <w:i/>
        </w:rPr>
      </w:pPr>
      <w:r w:rsidRPr="002E1992">
        <w:rPr>
          <w:b/>
          <w:i/>
        </w:rPr>
        <w:t xml:space="preserve">GASOLINA OTORGADA tesoreria.pdf: </w:t>
      </w:r>
      <w:r w:rsidRPr="002E1992">
        <w:t xml:space="preserve">Archivo con trece fojas de las cuales se observa la respuesta de la Tesorería quien indica anexar la balanza de comprobación detallada donde se observa la cantidad erogada por concepto de combustibles, lubricantes y aditivos. </w:t>
      </w:r>
    </w:p>
    <w:p w:rsidR="002E672E" w:rsidRPr="002E1992" w:rsidRDefault="002E672E" w:rsidP="002E1992">
      <w:pPr>
        <w:ind w:right="539"/>
      </w:pPr>
    </w:p>
    <w:p w:rsidR="00EC4365" w:rsidRPr="002E1992" w:rsidRDefault="00EC4365" w:rsidP="002E1992">
      <w:pPr>
        <w:pStyle w:val="Ttulo3"/>
        <w:rPr>
          <w:lang w:val="es-ES"/>
        </w:rPr>
      </w:pPr>
      <w:bookmarkStart w:id="23" w:name="_heading=h.19c6y18" w:colFirst="0" w:colLast="0"/>
      <w:bookmarkStart w:id="24" w:name="_Toc176352540"/>
      <w:bookmarkEnd w:id="23"/>
      <w:r w:rsidRPr="002E1992">
        <w:rPr>
          <w:rFonts w:eastAsia="Calibri"/>
          <w:bCs/>
          <w:lang w:eastAsia="en-US"/>
        </w:rPr>
        <w:t>e)</w:t>
      </w:r>
      <w:r w:rsidRPr="002E1992">
        <w:t xml:space="preserve"> </w:t>
      </w:r>
      <w:r w:rsidRPr="002E1992">
        <w:rPr>
          <w:lang w:val="es-ES"/>
        </w:rPr>
        <w:t>Manifestaciones de la Parte Recurrente</w:t>
      </w:r>
      <w:bookmarkEnd w:id="24"/>
    </w:p>
    <w:p w:rsidR="002E672E" w:rsidRPr="002E1992" w:rsidRDefault="00A50D32" w:rsidP="002E1992">
      <w:r w:rsidRPr="002E1992">
        <w:t>Por su lado,</w:t>
      </w:r>
      <w:r w:rsidRPr="002E1992">
        <w:rPr>
          <w:b/>
        </w:rPr>
        <w:t xml:space="preserve"> LA PARTE RECURRENTE</w:t>
      </w:r>
      <w:r w:rsidRPr="002E1992">
        <w:t xml:space="preserve"> no presentó manifestaciones ni alegatos que su derecho convinieran. </w:t>
      </w:r>
    </w:p>
    <w:p w:rsidR="002E672E" w:rsidRPr="002E1992" w:rsidRDefault="002E672E" w:rsidP="002E1992"/>
    <w:p w:rsidR="002E672E" w:rsidRPr="002E1992" w:rsidRDefault="00A50D32" w:rsidP="002E1992">
      <w:pPr>
        <w:pStyle w:val="Ttulo3"/>
        <w:rPr>
          <w:lang w:val="es-ES"/>
        </w:rPr>
      </w:pPr>
      <w:bookmarkStart w:id="25" w:name="_heading=h.3tbugp1" w:colFirst="0" w:colLast="0"/>
      <w:bookmarkEnd w:id="25"/>
      <w:r w:rsidRPr="002E1992">
        <w:rPr>
          <w:lang w:val="es-ES"/>
        </w:rPr>
        <w:t xml:space="preserve">f) Ampliación del Recurso de Revisión </w:t>
      </w:r>
    </w:p>
    <w:p w:rsidR="002E672E" w:rsidRPr="002E1992" w:rsidRDefault="00A50D32" w:rsidP="002E1992">
      <w:r w:rsidRPr="002E1992">
        <w:t xml:space="preserve">El </w:t>
      </w:r>
      <w:r w:rsidR="00F75D09" w:rsidRPr="002E1992">
        <w:rPr>
          <w:b/>
        </w:rPr>
        <w:t>nueve de abril</w:t>
      </w:r>
      <w:r w:rsidRPr="002E1992">
        <w:rPr>
          <w:b/>
        </w:rPr>
        <w:t xml:space="preserve"> de dos mil veinticuatro,</w:t>
      </w:r>
      <w:r w:rsidRPr="002E1992">
        <w:t xml:space="preserve"> se notificó el acuerdo de ampliación de plazo para resolver el presente Recurso de Revisión, previsto en el artículo 181, tercer párrafo de la Ley de Transparencia y Acceso a la Información Pública del Estado de México y Municipios.</w:t>
      </w:r>
    </w:p>
    <w:p w:rsidR="002E672E" w:rsidRPr="002E1992" w:rsidRDefault="002E672E" w:rsidP="002E1992"/>
    <w:p w:rsidR="002E672E" w:rsidRPr="002E1992" w:rsidRDefault="00A50D32" w:rsidP="002E1992">
      <w:pPr>
        <w:pStyle w:val="Ttulo3"/>
        <w:rPr>
          <w:lang w:val="es-ES"/>
        </w:rPr>
      </w:pPr>
      <w:bookmarkStart w:id="26" w:name="_heading=h.28h4qwu" w:colFirst="0" w:colLast="0"/>
      <w:bookmarkEnd w:id="26"/>
      <w:r w:rsidRPr="002E1992">
        <w:rPr>
          <w:lang w:val="es-ES"/>
        </w:rPr>
        <w:t>g) Cierre de instrucción</w:t>
      </w:r>
    </w:p>
    <w:p w:rsidR="002E672E" w:rsidRPr="002E1992" w:rsidRDefault="00A50D32" w:rsidP="002E1992">
      <w:bookmarkStart w:id="27" w:name="_heading=h.lnxbz9" w:colFirst="0" w:colLast="0"/>
      <w:bookmarkEnd w:id="27"/>
      <w:r w:rsidRPr="002E1992">
        <w:t xml:space="preserve">Al no existir diligencias pendientes por desahogar, el </w:t>
      </w:r>
      <w:r w:rsidRPr="002E1992">
        <w:rPr>
          <w:b/>
        </w:rPr>
        <w:t>diez de septiembre de dos mil veinticuatro</w:t>
      </w:r>
      <w:r w:rsidRPr="002E1992">
        <w:t xml:space="preserve"> la </w:t>
      </w:r>
      <w:r w:rsidRPr="002E1992">
        <w:rPr>
          <w:b/>
        </w:rPr>
        <w:t xml:space="preserve">Comisionada Sharon Cristina Morales Martínez </w:t>
      </w:r>
      <w:r w:rsidRPr="002E199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2E672E" w:rsidRPr="002E1992" w:rsidRDefault="002E672E" w:rsidP="002E1992">
      <w:bookmarkStart w:id="28" w:name="_heading=h.rp9m82g7nb70" w:colFirst="0" w:colLast="0"/>
      <w:bookmarkEnd w:id="28"/>
    </w:p>
    <w:p w:rsidR="00EC4365" w:rsidRPr="002E1992" w:rsidRDefault="00EC4365" w:rsidP="002E1992">
      <w:pPr>
        <w:pStyle w:val="Ttulo1"/>
        <w:rPr>
          <w:rFonts w:eastAsiaTheme="minorHAnsi"/>
          <w:lang w:eastAsia="en-US"/>
        </w:rPr>
      </w:pPr>
      <w:bookmarkStart w:id="29" w:name="_heading=h.nmf14n" w:colFirst="0" w:colLast="0"/>
      <w:bookmarkStart w:id="30" w:name="_Toc176352542"/>
      <w:bookmarkEnd w:id="29"/>
      <w:r w:rsidRPr="002E1992">
        <w:rPr>
          <w:rFonts w:eastAsiaTheme="minorHAnsi"/>
          <w:lang w:eastAsia="en-US"/>
        </w:rPr>
        <w:lastRenderedPageBreak/>
        <w:t>CONSIDERANDOS</w:t>
      </w:r>
      <w:bookmarkEnd w:id="30"/>
    </w:p>
    <w:p w:rsidR="00EC4365" w:rsidRPr="002E1992" w:rsidRDefault="00EC4365" w:rsidP="002E1992">
      <w:pPr>
        <w:contextualSpacing/>
        <w:jc w:val="center"/>
        <w:rPr>
          <w:rFonts w:eastAsiaTheme="minorHAnsi" w:cs="Tahoma"/>
          <w:b/>
          <w:szCs w:val="22"/>
          <w:lang w:eastAsia="en-US"/>
        </w:rPr>
      </w:pPr>
    </w:p>
    <w:p w:rsidR="00EC4365" w:rsidRPr="002E1992" w:rsidRDefault="00EC4365" w:rsidP="002E1992">
      <w:pPr>
        <w:pStyle w:val="Ttulo2"/>
        <w:rPr>
          <w:rFonts w:eastAsia="Batang"/>
        </w:rPr>
      </w:pPr>
      <w:bookmarkStart w:id="31" w:name="_Toc176352543"/>
      <w:r w:rsidRPr="002E1992">
        <w:rPr>
          <w:rFonts w:eastAsia="Batang"/>
        </w:rPr>
        <w:t>PRIMERO. Procedibilidad</w:t>
      </w:r>
      <w:bookmarkEnd w:id="31"/>
    </w:p>
    <w:p w:rsidR="00EC4365" w:rsidRPr="002E1992" w:rsidRDefault="00EC4365" w:rsidP="002E1992">
      <w:pPr>
        <w:pStyle w:val="Ttulo3"/>
      </w:pPr>
      <w:bookmarkStart w:id="32" w:name="_Toc176352544"/>
      <w:r w:rsidRPr="002E1992">
        <w:t>a) Competencia del Instituto</w:t>
      </w:r>
      <w:bookmarkEnd w:id="32"/>
    </w:p>
    <w:p w:rsidR="002E672E" w:rsidRPr="002E1992" w:rsidRDefault="00A50D32" w:rsidP="002E1992">
      <w:r w:rsidRPr="002E199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párrafos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2E672E" w:rsidRPr="002E1992" w:rsidRDefault="002E672E" w:rsidP="002E1992"/>
    <w:p w:rsidR="002E672E" w:rsidRPr="002E1992" w:rsidRDefault="00A50D32" w:rsidP="002E1992">
      <w:pPr>
        <w:pStyle w:val="Ttulo3"/>
      </w:pPr>
      <w:bookmarkStart w:id="33" w:name="_heading=h.46r0co2" w:colFirst="0" w:colLast="0"/>
      <w:bookmarkEnd w:id="33"/>
      <w:r w:rsidRPr="002E1992">
        <w:t>b) Legitimidad de la parte recurrente</w:t>
      </w:r>
    </w:p>
    <w:p w:rsidR="002E672E" w:rsidRPr="002E1992" w:rsidRDefault="00A50D32" w:rsidP="002E1992">
      <w:r w:rsidRPr="002E1992">
        <w:t>El recurso de revisión fue interpuesto por parte legítima, ya que se presentó por la misma persona que formuló la solicitud de acceso a la Información Pública,</w:t>
      </w:r>
      <w:r w:rsidRPr="002E1992">
        <w:rPr>
          <w:b/>
        </w:rPr>
        <w:t xml:space="preserve"> </w:t>
      </w:r>
      <w:r w:rsidRPr="002E1992">
        <w:t>debido a que los datos de acceso</w:t>
      </w:r>
      <w:r w:rsidRPr="002E1992">
        <w:rPr>
          <w:b/>
        </w:rPr>
        <w:t xml:space="preserve"> SAIMEX</w:t>
      </w:r>
      <w:r w:rsidRPr="002E1992">
        <w:t xml:space="preserve"> son personales e irrepetibles.</w:t>
      </w:r>
    </w:p>
    <w:p w:rsidR="002E672E" w:rsidRPr="002E1992" w:rsidRDefault="002E672E" w:rsidP="002E1992"/>
    <w:p w:rsidR="002E672E" w:rsidRPr="002E1992" w:rsidRDefault="00A50D32" w:rsidP="002E1992">
      <w:pPr>
        <w:pStyle w:val="Ttulo3"/>
      </w:pPr>
      <w:bookmarkStart w:id="34" w:name="_heading=h.2lwamvv" w:colFirst="0" w:colLast="0"/>
      <w:bookmarkEnd w:id="34"/>
      <w:r w:rsidRPr="002E1992">
        <w:t>c) Plazo para interponer el recurso</w:t>
      </w:r>
    </w:p>
    <w:p w:rsidR="002E672E" w:rsidRPr="002E1992" w:rsidRDefault="00A50D32" w:rsidP="002E1992">
      <w:bookmarkStart w:id="35" w:name="_heading=h.3j2qqm3" w:colFirst="0" w:colLast="0"/>
      <w:bookmarkEnd w:id="35"/>
      <w:r w:rsidRPr="002E1992">
        <w:rPr>
          <w:b/>
        </w:rPr>
        <w:t>EL SUJETO OBLIGADO</w:t>
      </w:r>
      <w:r w:rsidRPr="002E1992">
        <w:t xml:space="preserve"> notificó la respuesta a la solicitud de acceso a la Información Pública el </w:t>
      </w:r>
      <w:r w:rsidRPr="002E1992">
        <w:rPr>
          <w:b/>
        </w:rPr>
        <w:t>dos de abril de dos mil veinticuatro</w:t>
      </w:r>
      <w:r w:rsidRPr="002E1992">
        <w:t xml:space="preserve"> y el recurso que nos ocupa se interpuso el </w:t>
      </w:r>
      <w:r w:rsidRPr="002E1992">
        <w:rPr>
          <w:b/>
        </w:rPr>
        <w:t>tres de abril de dos mil veinticuatro</w:t>
      </w:r>
      <w:r w:rsidRPr="002E1992">
        <w:t xml:space="preserve">; por lo tanto, éste se encuentra dentro del margen temporal previsto en el artículo 178 de la Ley de Transparencia y Acceso a la Información Pública del Estado de </w:t>
      </w:r>
      <w:r w:rsidRPr="002E1992">
        <w:lastRenderedPageBreak/>
        <w:t xml:space="preserve">México y Municipios, el cual transcurrió del </w:t>
      </w:r>
      <w:r w:rsidRPr="002E1992">
        <w:rPr>
          <w:b/>
        </w:rPr>
        <w:t>tres al veintitrés de abril de dos mil veinticuatro</w:t>
      </w:r>
      <w:r w:rsidRPr="002E199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2E672E" w:rsidRPr="002E1992" w:rsidRDefault="002E672E" w:rsidP="002E1992"/>
    <w:p w:rsidR="002E672E" w:rsidRPr="002E1992" w:rsidRDefault="00A50D32" w:rsidP="002E1992">
      <w:pPr>
        <w:pStyle w:val="Ttulo3"/>
      </w:pPr>
      <w:bookmarkStart w:id="36" w:name="_heading=h.111kx3o" w:colFirst="0" w:colLast="0"/>
      <w:bookmarkEnd w:id="36"/>
      <w:r w:rsidRPr="002E1992">
        <w:t xml:space="preserve">d) Causal de procedencia </w:t>
      </w:r>
    </w:p>
    <w:p w:rsidR="002E672E" w:rsidRPr="002E1992" w:rsidRDefault="00A50D32" w:rsidP="002E1992">
      <w:r w:rsidRPr="002E1992">
        <w:t>Resulta procedente la interposición del recurso de revisión, ya que se actualiza la causal de procedencia señalada en el artículo 179, fracción V de la Ley de Transparencia y Acceso a la Información Pública del Estado de México y Municipios.</w:t>
      </w:r>
    </w:p>
    <w:p w:rsidR="002E672E" w:rsidRPr="002E1992" w:rsidRDefault="002E672E" w:rsidP="002E1992"/>
    <w:p w:rsidR="002E672E" w:rsidRPr="002E1992" w:rsidRDefault="00A50D32" w:rsidP="002E1992">
      <w:pPr>
        <w:pStyle w:val="Ttulo3"/>
      </w:pPr>
      <w:bookmarkStart w:id="37" w:name="_heading=h.3l18frh" w:colFirst="0" w:colLast="0"/>
      <w:bookmarkEnd w:id="37"/>
      <w:r w:rsidRPr="002E1992">
        <w:t>e) Requisitos formales para la interposición del recurso</w:t>
      </w:r>
    </w:p>
    <w:p w:rsidR="002E672E" w:rsidRPr="002E1992" w:rsidRDefault="00A50D32" w:rsidP="002E1992">
      <w:r w:rsidRPr="002E1992">
        <w:t>Es importante mencionar que, de la revisión del expediente electrónico del SAIMEX, se observa que el recurso de revisión que nos ocupa cumple con todos</w:t>
      </w:r>
      <w:r w:rsidRPr="002E1992">
        <w:rPr>
          <w:b/>
        </w:rPr>
        <w:t xml:space="preserve"> </w:t>
      </w:r>
      <w:r w:rsidRPr="002E1992">
        <w:t xml:space="preserve">los requisitos establecidos en el artículo 180 de la Ley de Transparencia. </w:t>
      </w:r>
    </w:p>
    <w:p w:rsidR="002E672E" w:rsidRPr="002E1992" w:rsidRDefault="002E672E" w:rsidP="002E1992"/>
    <w:p w:rsidR="00EC4365" w:rsidRPr="002E1992" w:rsidRDefault="00EC4365" w:rsidP="002E1992">
      <w:pPr>
        <w:pStyle w:val="Ttulo2"/>
      </w:pPr>
      <w:bookmarkStart w:id="38" w:name="_heading=h.206ipza" w:colFirst="0" w:colLast="0"/>
      <w:bookmarkStart w:id="39" w:name="_Toc176352549"/>
      <w:bookmarkEnd w:id="38"/>
      <w:r w:rsidRPr="002E1992">
        <w:t>SEGUNDO. Estudio de Fondo</w:t>
      </w:r>
      <w:bookmarkEnd w:id="39"/>
    </w:p>
    <w:p w:rsidR="00EC4365" w:rsidRPr="002E1992" w:rsidRDefault="00EC4365" w:rsidP="002E1992">
      <w:pPr>
        <w:pStyle w:val="Ttulo3"/>
      </w:pPr>
      <w:bookmarkStart w:id="40" w:name="_Toc176352550"/>
      <w:r w:rsidRPr="002E1992">
        <w:t>a) Mandato de transparencia y responsabilidad del Sujeto Obligado</w:t>
      </w:r>
      <w:bookmarkEnd w:id="40"/>
    </w:p>
    <w:p w:rsidR="002E672E" w:rsidRPr="002E1992" w:rsidRDefault="00A50D32" w:rsidP="002E1992">
      <w:r w:rsidRPr="002E1992">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2E672E" w:rsidRPr="002E1992" w:rsidRDefault="002E672E" w:rsidP="002E1992"/>
    <w:p w:rsidR="002E672E" w:rsidRPr="002E1992" w:rsidRDefault="00A50D32" w:rsidP="002E1992">
      <w:pPr>
        <w:spacing w:line="240" w:lineRule="auto"/>
        <w:ind w:left="567" w:right="539"/>
        <w:rPr>
          <w:b/>
          <w:i/>
        </w:rPr>
      </w:pPr>
      <w:r w:rsidRPr="002E1992">
        <w:rPr>
          <w:b/>
          <w:i/>
        </w:rPr>
        <w:t>Constitución Política de los Estados Unidos Mexicanos</w:t>
      </w:r>
    </w:p>
    <w:p w:rsidR="002E672E" w:rsidRPr="002E1992" w:rsidRDefault="00A50D32" w:rsidP="002E1992">
      <w:pPr>
        <w:spacing w:line="240" w:lineRule="auto"/>
        <w:ind w:left="567" w:right="539"/>
        <w:rPr>
          <w:b/>
          <w:i/>
        </w:rPr>
      </w:pPr>
      <w:r w:rsidRPr="002E1992">
        <w:rPr>
          <w:b/>
          <w:i/>
        </w:rPr>
        <w:t>“Artículo 6.</w:t>
      </w:r>
    </w:p>
    <w:p w:rsidR="002E672E" w:rsidRPr="002E1992" w:rsidRDefault="00A50D32" w:rsidP="002E1992">
      <w:pPr>
        <w:spacing w:line="240" w:lineRule="auto"/>
        <w:ind w:left="567" w:right="539"/>
        <w:rPr>
          <w:i/>
        </w:rPr>
      </w:pPr>
      <w:r w:rsidRPr="002E1992">
        <w:rPr>
          <w:i/>
        </w:rPr>
        <w:t>(…)</w:t>
      </w:r>
    </w:p>
    <w:p w:rsidR="002E672E" w:rsidRPr="002E1992" w:rsidRDefault="00A50D32" w:rsidP="002E1992">
      <w:pPr>
        <w:spacing w:line="240" w:lineRule="auto"/>
        <w:ind w:left="567" w:right="539"/>
        <w:rPr>
          <w:i/>
        </w:rPr>
      </w:pPr>
      <w:r w:rsidRPr="002E1992">
        <w:rPr>
          <w:i/>
        </w:rPr>
        <w:t>Para efectos de lo dispuesto en el presente artículo se observará lo siguiente:</w:t>
      </w:r>
    </w:p>
    <w:p w:rsidR="002E672E" w:rsidRPr="002E1992" w:rsidRDefault="00A50D32" w:rsidP="002E1992">
      <w:pPr>
        <w:spacing w:line="240" w:lineRule="auto"/>
        <w:ind w:left="567" w:right="539"/>
        <w:rPr>
          <w:b/>
          <w:i/>
        </w:rPr>
      </w:pPr>
      <w:r w:rsidRPr="002E1992">
        <w:rPr>
          <w:b/>
          <w:i/>
        </w:rPr>
        <w:lastRenderedPageBreak/>
        <w:t>A</w:t>
      </w:r>
      <w:r w:rsidRPr="002E1992">
        <w:rPr>
          <w:i/>
        </w:rPr>
        <w:t xml:space="preserve">. </w:t>
      </w:r>
      <w:r w:rsidRPr="002E1992">
        <w:rPr>
          <w:b/>
          <w:i/>
        </w:rPr>
        <w:t>Para el ejercicio del derecho de acceso a la información</w:t>
      </w:r>
      <w:r w:rsidRPr="002E1992">
        <w:rPr>
          <w:i/>
        </w:rPr>
        <w:t xml:space="preserve">, la Federación y </w:t>
      </w:r>
      <w:r w:rsidRPr="002E1992">
        <w:rPr>
          <w:b/>
          <w:i/>
        </w:rPr>
        <w:t>las entidades federativas, en el ámbito de sus respectivas competencias, se regirán por los siguientes principios y bases:</w:t>
      </w:r>
    </w:p>
    <w:p w:rsidR="002E672E" w:rsidRPr="002E1992" w:rsidRDefault="00A50D32" w:rsidP="002E1992">
      <w:pPr>
        <w:spacing w:line="240" w:lineRule="auto"/>
        <w:ind w:left="567" w:right="539"/>
        <w:rPr>
          <w:i/>
        </w:rPr>
      </w:pPr>
      <w:r w:rsidRPr="002E1992">
        <w:rPr>
          <w:b/>
          <w:i/>
        </w:rPr>
        <w:t xml:space="preserve">I. </w:t>
      </w:r>
      <w:r w:rsidRPr="002E1992">
        <w:rPr>
          <w:b/>
          <w:i/>
        </w:rPr>
        <w:tab/>
        <w:t>Toda la información en posesión de cualquier</w:t>
      </w:r>
      <w:r w:rsidRPr="002E1992">
        <w:rPr>
          <w:i/>
        </w:rPr>
        <w:t xml:space="preserve"> </w:t>
      </w:r>
      <w:r w:rsidRPr="002E1992">
        <w:rPr>
          <w:b/>
          <w:i/>
        </w:rPr>
        <w:t>autoridad</w:t>
      </w:r>
      <w:r w:rsidRPr="002E199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E1992">
        <w:rPr>
          <w:b/>
          <w:i/>
        </w:rPr>
        <w:t>municipal</w:t>
      </w:r>
      <w:r w:rsidRPr="002E1992">
        <w:rPr>
          <w:i/>
        </w:rPr>
        <w:t xml:space="preserve">, </w:t>
      </w:r>
      <w:r w:rsidRPr="002E1992">
        <w:rPr>
          <w:b/>
          <w:i/>
        </w:rPr>
        <w:t>es pública</w:t>
      </w:r>
      <w:r w:rsidRPr="002E1992">
        <w:rPr>
          <w:i/>
        </w:rPr>
        <w:t xml:space="preserve"> y solo podrá ser reservada temporalmente por razones de interés público y seguridad nacional, en los términos que fijen las leyes. </w:t>
      </w:r>
      <w:r w:rsidRPr="002E1992">
        <w:rPr>
          <w:b/>
          <w:i/>
        </w:rPr>
        <w:t>En la interpretación de este derecho deberá prevalecer el principio de máxima publicidad. Los sujetos obligados deberán documentar todo acto que derive del ejercicio de sus facultades, competencias o funciones</w:t>
      </w:r>
      <w:r w:rsidRPr="002E1992">
        <w:rPr>
          <w:i/>
        </w:rPr>
        <w:t>, la ley determinará los supuestos específicos bajo los cuales procederá la declaración de inexistencia de la información.”</w:t>
      </w:r>
    </w:p>
    <w:p w:rsidR="002E672E" w:rsidRPr="002E1992" w:rsidRDefault="002E672E" w:rsidP="002E1992">
      <w:pPr>
        <w:spacing w:line="240" w:lineRule="auto"/>
        <w:ind w:left="567" w:right="539"/>
        <w:rPr>
          <w:b/>
          <w:i/>
        </w:rPr>
      </w:pPr>
    </w:p>
    <w:p w:rsidR="002E672E" w:rsidRPr="002E1992" w:rsidRDefault="00A50D32" w:rsidP="002E1992">
      <w:pPr>
        <w:spacing w:line="240" w:lineRule="auto"/>
        <w:ind w:left="567" w:right="539"/>
        <w:rPr>
          <w:b/>
          <w:i/>
        </w:rPr>
      </w:pPr>
      <w:r w:rsidRPr="002E1992">
        <w:rPr>
          <w:b/>
          <w:i/>
        </w:rPr>
        <w:t>Constitución Política del Estado Libre y Soberano de México</w:t>
      </w:r>
    </w:p>
    <w:p w:rsidR="002E672E" w:rsidRPr="002E1992" w:rsidRDefault="00A50D32" w:rsidP="002E1992">
      <w:pPr>
        <w:spacing w:line="240" w:lineRule="auto"/>
        <w:ind w:left="567" w:right="539"/>
        <w:rPr>
          <w:i/>
        </w:rPr>
      </w:pPr>
      <w:r w:rsidRPr="002E1992">
        <w:rPr>
          <w:b/>
          <w:i/>
        </w:rPr>
        <w:t>“Artículo 5</w:t>
      </w:r>
      <w:r w:rsidRPr="002E1992">
        <w:rPr>
          <w:i/>
        </w:rPr>
        <w:t xml:space="preserve">.- </w:t>
      </w:r>
    </w:p>
    <w:p w:rsidR="002E672E" w:rsidRPr="002E1992" w:rsidRDefault="00A50D32" w:rsidP="002E1992">
      <w:pPr>
        <w:spacing w:line="240" w:lineRule="auto"/>
        <w:ind w:left="567" w:right="539"/>
        <w:rPr>
          <w:i/>
        </w:rPr>
      </w:pPr>
      <w:r w:rsidRPr="002E1992">
        <w:rPr>
          <w:i/>
        </w:rPr>
        <w:t>(…)</w:t>
      </w:r>
    </w:p>
    <w:p w:rsidR="002E672E" w:rsidRPr="002E1992" w:rsidRDefault="00A50D32" w:rsidP="002E1992">
      <w:pPr>
        <w:spacing w:line="240" w:lineRule="auto"/>
        <w:ind w:left="567" w:right="539"/>
        <w:rPr>
          <w:i/>
        </w:rPr>
      </w:pPr>
      <w:r w:rsidRPr="002E1992">
        <w:rPr>
          <w:b/>
          <w:i/>
        </w:rPr>
        <w:t>El derecho a la información será garantizado por el Estado. La ley establecerá las previsiones que permitan asegurar la protección, el respeto y la difusión de este derecho</w:t>
      </w:r>
      <w:r w:rsidRPr="002E1992">
        <w:rPr>
          <w:i/>
        </w:rPr>
        <w:t>.</w:t>
      </w:r>
    </w:p>
    <w:p w:rsidR="002E672E" w:rsidRPr="002E1992" w:rsidRDefault="00A50D32" w:rsidP="002E1992">
      <w:pPr>
        <w:spacing w:line="240" w:lineRule="auto"/>
        <w:ind w:left="567" w:right="539"/>
        <w:rPr>
          <w:i/>
        </w:rPr>
      </w:pPr>
      <w:r w:rsidRPr="002E199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E672E" w:rsidRPr="002E1992" w:rsidRDefault="00A50D32" w:rsidP="002E1992">
      <w:pPr>
        <w:spacing w:line="240" w:lineRule="auto"/>
        <w:ind w:left="567" w:right="539"/>
        <w:rPr>
          <w:i/>
        </w:rPr>
      </w:pPr>
      <w:r w:rsidRPr="002E1992">
        <w:rPr>
          <w:b/>
          <w:i/>
        </w:rPr>
        <w:t>Este derecho se regirá por los principios y bases siguientes</w:t>
      </w:r>
      <w:r w:rsidRPr="002E1992">
        <w:rPr>
          <w:i/>
        </w:rPr>
        <w:t>:</w:t>
      </w:r>
    </w:p>
    <w:p w:rsidR="002E672E" w:rsidRPr="002E1992" w:rsidRDefault="00A50D32" w:rsidP="002E1992">
      <w:pPr>
        <w:spacing w:line="240" w:lineRule="auto"/>
        <w:ind w:left="567" w:right="539"/>
        <w:rPr>
          <w:i/>
        </w:rPr>
      </w:pPr>
      <w:r w:rsidRPr="002E1992">
        <w:rPr>
          <w:b/>
          <w:i/>
        </w:rPr>
        <w:t>I. Toda la información en posesión de cualquier autoridad, entidad, órgano y organismos de los</w:t>
      </w:r>
      <w:r w:rsidRPr="002E1992">
        <w:rPr>
          <w:i/>
        </w:rPr>
        <w:t xml:space="preserve"> Poderes Ejecutivo, Legislativo y Judicial, órganos autónomos, partidos políticos, fideicomisos y fondos públicos estatales y </w:t>
      </w:r>
      <w:r w:rsidRPr="002E1992">
        <w:rPr>
          <w:b/>
          <w:i/>
        </w:rPr>
        <w:t>municipales</w:t>
      </w:r>
      <w:r w:rsidRPr="002E199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E1992">
        <w:rPr>
          <w:b/>
          <w:i/>
        </w:rPr>
        <w:t>es pública</w:t>
      </w:r>
      <w:r w:rsidRPr="002E1992">
        <w:rPr>
          <w:i/>
        </w:rPr>
        <w:t xml:space="preserve"> y solo podrá ser reservada temporalmente por razones previstas en la Constitución Política de los Estados Unidos Mexicanos de interés público y seguridad, en los términos que fijen las leyes. </w:t>
      </w:r>
      <w:r w:rsidRPr="002E1992">
        <w:rPr>
          <w:b/>
          <w:i/>
        </w:rPr>
        <w:t>En la interpretación de este derecho deberá prevalecer el principio de máxima publicidad</w:t>
      </w:r>
      <w:r w:rsidRPr="002E1992">
        <w:rPr>
          <w:i/>
        </w:rPr>
        <w:t xml:space="preserve">. </w:t>
      </w:r>
      <w:r w:rsidRPr="002E1992">
        <w:rPr>
          <w:b/>
          <w:i/>
        </w:rPr>
        <w:t>Los sujetos obligados deberán documentar todo acto que derive del ejercicio de sus facultades, competencias o funciones</w:t>
      </w:r>
      <w:r w:rsidRPr="002E1992">
        <w:rPr>
          <w:i/>
        </w:rPr>
        <w:t>, la ley determinará los supuestos específicos bajo los cuales procederá la declaración de inexistencia de la información.”</w:t>
      </w:r>
    </w:p>
    <w:p w:rsidR="002E672E" w:rsidRPr="002E1992" w:rsidRDefault="002E672E" w:rsidP="002E1992">
      <w:pPr>
        <w:rPr>
          <w:b/>
          <w:i/>
        </w:rPr>
      </w:pPr>
    </w:p>
    <w:p w:rsidR="002E672E" w:rsidRPr="002E1992" w:rsidRDefault="00A50D32" w:rsidP="002E1992">
      <w:pPr>
        <w:rPr>
          <w:i/>
        </w:rPr>
      </w:pPr>
      <w:r w:rsidRPr="002E1992">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E1992">
        <w:rPr>
          <w:i/>
        </w:rPr>
        <w:t>por los principios de simplicidad, rapidez, gratuidad del procedimiento, auxilio y orientación a los particulares.</w:t>
      </w:r>
    </w:p>
    <w:p w:rsidR="002E672E" w:rsidRPr="002E1992" w:rsidRDefault="002E672E" w:rsidP="002E1992">
      <w:pPr>
        <w:rPr>
          <w:i/>
        </w:rPr>
      </w:pPr>
    </w:p>
    <w:p w:rsidR="002E672E" w:rsidRPr="002E1992" w:rsidRDefault="00A50D32" w:rsidP="002E1992">
      <w:pPr>
        <w:rPr>
          <w:i/>
        </w:rPr>
      </w:pPr>
      <w:r w:rsidRPr="002E199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2E672E" w:rsidRPr="002E1992" w:rsidRDefault="002E672E" w:rsidP="002E1992"/>
    <w:p w:rsidR="002E672E" w:rsidRPr="002E1992" w:rsidRDefault="00A50D32" w:rsidP="002E1992">
      <w:r w:rsidRPr="002E199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2E672E" w:rsidRPr="002E1992" w:rsidRDefault="002E672E" w:rsidP="002E1992"/>
    <w:p w:rsidR="002E672E" w:rsidRPr="002E1992" w:rsidRDefault="00A50D32" w:rsidP="002E1992">
      <w:r w:rsidRPr="002E199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rsidR="002E672E" w:rsidRPr="002E1992" w:rsidRDefault="002E672E" w:rsidP="002E1992"/>
    <w:p w:rsidR="002E672E" w:rsidRPr="002E1992" w:rsidRDefault="00A50D32" w:rsidP="002E1992">
      <w:r w:rsidRPr="002E1992">
        <w:t xml:space="preserve">En esa tesitura, el artículo 24 último párrafo de la Ley de la Materia dispone que los Sujetos Obligados solo proporcionarán la información pública que generen, administren o posean en </w:t>
      </w:r>
      <w:r w:rsidRPr="002E1992">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2E672E" w:rsidRPr="002E1992" w:rsidRDefault="002E672E" w:rsidP="002E1992"/>
    <w:p w:rsidR="002E672E" w:rsidRPr="002E1992" w:rsidRDefault="00A50D32" w:rsidP="002E1992">
      <w:bookmarkStart w:id="41" w:name="_heading=h.3whwml4" w:colFirst="0" w:colLast="0"/>
      <w:bookmarkEnd w:id="41"/>
      <w:r w:rsidRPr="002E1992">
        <w:t xml:space="preserve">Con base en lo anterior, se considera que </w:t>
      </w:r>
      <w:r w:rsidRPr="002E1992">
        <w:rPr>
          <w:b/>
        </w:rPr>
        <w:t>EL</w:t>
      </w:r>
      <w:r w:rsidRPr="002E1992">
        <w:t xml:space="preserve"> </w:t>
      </w:r>
      <w:r w:rsidRPr="002E1992">
        <w:rPr>
          <w:b/>
        </w:rPr>
        <w:t>SUJETO OBLIGADO</w:t>
      </w:r>
      <w:r w:rsidRPr="002E1992">
        <w:t xml:space="preserve"> se encontraba compelido a atender la solicitud de acceso a la información realizada por </w:t>
      </w:r>
      <w:r w:rsidRPr="002E1992">
        <w:rPr>
          <w:b/>
        </w:rPr>
        <w:t>LA PARTE RECURRENTE</w:t>
      </w:r>
      <w:r w:rsidRPr="002E1992">
        <w:t>.</w:t>
      </w:r>
    </w:p>
    <w:p w:rsidR="002E672E" w:rsidRPr="002E1992" w:rsidRDefault="002E672E" w:rsidP="002E1992"/>
    <w:p w:rsidR="00EC4365" w:rsidRPr="002E1992" w:rsidRDefault="00EC4365" w:rsidP="002E1992">
      <w:pPr>
        <w:pStyle w:val="Ttulo3"/>
        <w:rPr>
          <w:rFonts w:eastAsia="Calibri"/>
          <w:lang w:eastAsia="es-ES_tradnl"/>
        </w:rPr>
      </w:pPr>
      <w:bookmarkStart w:id="42" w:name="_heading=h.2zbgiuw" w:colFirst="0" w:colLast="0"/>
      <w:bookmarkStart w:id="43" w:name="_Toc176352551"/>
      <w:bookmarkEnd w:id="42"/>
      <w:r w:rsidRPr="002E1992">
        <w:rPr>
          <w:rFonts w:eastAsia="Calibri"/>
          <w:lang w:eastAsia="es-ES_tradnl"/>
        </w:rPr>
        <w:t>b) Controversia a resolver</w:t>
      </w:r>
      <w:bookmarkEnd w:id="43"/>
    </w:p>
    <w:p w:rsidR="002E672E" w:rsidRPr="002E1992" w:rsidRDefault="00A50D32" w:rsidP="002E1992">
      <w:r w:rsidRPr="002E1992">
        <w:t xml:space="preserve">Con el objeto de ilustrar la controversia planteada, resulta conveniente precisar que, una vez realizado el estudio de las constancias que integran el expediente en que se actúa, se desprende que </w:t>
      </w:r>
      <w:r w:rsidRPr="002E1992">
        <w:rPr>
          <w:b/>
        </w:rPr>
        <w:t>LA PARTE RECURRENTE</w:t>
      </w:r>
      <w:r w:rsidRPr="002E1992">
        <w:t xml:space="preserve"> solicitó lo siguiente del primero de enero de dos mil veintidós al once de enero de dos mil veinticuatro. </w:t>
      </w:r>
    </w:p>
    <w:p w:rsidR="002E672E" w:rsidRPr="002E1992" w:rsidRDefault="00A50D32" w:rsidP="002E1992">
      <w:pPr>
        <w:numPr>
          <w:ilvl w:val="0"/>
          <w:numId w:val="1"/>
        </w:numPr>
      </w:pPr>
      <w:r w:rsidRPr="002E1992">
        <w:t>Número de auditorias a obras realizadas por la contraloría y sus actas.</w:t>
      </w:r>
    </w:p>
    <w:p w:rsidR="002E672E" w:rsidRPr="002E1992" w:rsidRDefault="00A50D32" w:rsidP="002E1992">
      <w:pPr>
        <w:numPr>
          <w:ilvl w:val="0"/>
          <w:numId w:val="1"/>
        </w:numPr>
      </w:pPr>
      <w:r w:rsidRPr="002E1992">
        <w:t xml:space="preserve">Los pases de salida de todo el personal que labora en puestos directivos, coordinaciones, o similares. </w:t>
      </w:r>
    </w:p>
    <w:p w:rsidR="002E672E" w:rsidRPr="002E1992" w:rsidRDefault="00A50D32" w:rsidP="002E1992">
      <w:pPr>
        <w:numPr>
          <w:ilvl w:val="0"/>
          <w:numId w:val="1"/>
        </w:numPr>
      </w:pPr>
      <w:r w:rsidRPr="002E1992">
        <w:t xml:space="preserve">La gasolina otorgada. </w:t>
      </w:r>
    </w:p>
    <w:p w:rsidR="002E672E" w:rsidRPr="002E1992" w:rsidRDefault="00A50D32" w:rsidP="002E1992">
      <w:pPr>
        <w:numPr>
          <w:ilvl w:val="0"/>
          <w:numId w:val="1"/>
        </w:numPr>
      </w:pPr>
      <w:r w:rsidRPr="002E1992">
        <w:t xml:space="preserve">Comprobante de las salidas de comisión o asuntos relativos a la oficina  </w:t>
      </w:r>
    </w:p>
    <w:p w:rsidR="002E672E" w:rsidRPr="002E1992" w:rsidRDefault="002E672E" w:rsidP="002E1992">
      <w:pPr>
        <w:tabs>
          <w:tab w:val="left" w:pos="4962"/>
        </w:tabs>
      </w:pPr>
    </w:p>
    <w:p w:rsidR="002E672E" w:rsidRPr="002E1992" w:rsidRDefault="00A50D32" w:rsidP="002E1992">
      <w:pPr>
        <w:tabs>
          <w:tab w:val="left" w:pos="4962"/>
        </w:tabs>
      </w:pPr>
      <w:r w:rsidRPr="002E1992">
        <w:t xml:space="preserve">En respuesta, </w:t>
      </w:r>
      <w:r w:rsidRPr="002E1992">
        <w:rPr>
          <w:b/>
        </w:rPr>
        <w:t>EL SUJETO OBLIGADO</w:t>
      </w:r>
      <w:r w:rsidRPr="002E1992">
        <w:t xml:space="preserve"> se pronunció por conducto de  la Contraloría, quien refirió que se habían llevado a cabo cuatro auditorías y  anexó cuatro actas, así como por medio de Recursos Humanos, quien señaló adjuntar los pases de salida, sin que se adviertan dichos documentos. </w:t>
      </w:r>
    </w:p>
    <w:p w:rsidR="002E672E" w:rsidRPr="002E1992" w:rsidRDefault="002E672E" w:rsidP="002E1992">
      <w:pPr>
        <w:tabs>
          <w:tab w:val="left" w:pos="4962"/>
        </w:tabs>
      </w:pPr>
    </w:p>
    <w:p w:rsidR="002E672E" w:rsidRPr="002E1992" w:rsidRDefault="00A50D32" w:rsidP="002E1992">
      <w:pPr>
        <w:pStyle w:val="Ttulo3"/>
        <w:rPr>
          <w:rFonts w:eastAsia="Calibri"/>
          <w:lang w:eastAsia="es-ES_tradnl"/>
        </w:rPr>
      </w:pPr>
      <w:bookmarkStart w:id="44" w:name="_heading=h.1egqt2p" w:colFirst="0" w:colLast="0"/>
      <w:bookmarkEnd w:id="44"/>
      <w:r w:rsidRPr="002E1992">
        <w:rPr>
          <w:rFonts w:eastAsia="Calibri"/>
          <w:lang w:eastAsia="es-ES_tradnl"/>
        </w:rPr>
        <w:lastRenderedPageBreak/>
        <w:t>c) Estudio de la controversia</w:t>
      </w:r>
    </w:p>
    <w:p w:rsidR="002E672E" w:rsidRPr="002E1992" w:rsidRDefault="00A50D32" w:rsidP="002E1992">
      <w:pPr>
        <w:ind w:right="-93"/>
      </w:pPr>
      <w:r w:rsidRPr="002E1992">
        <w:t>Una vez determinada la controversia a resolver, para delimitar la naturaleza de la información,  debe señalarse que el Manual para la Planeación, Programación y Presupuesto de Egresos Municipal para el Ejercicio Fiscal, tiene el propósito de apoyar a los Ayuntamientos y entidades públicas municipales, para integrar el Anteproyecto y Proyecto de Presupuesto de Egresos Municipal, en cumplimiento a lo dispuesto en los artículos 134 de la Constitución Política de los Estados Unidos Mexicanos; 128 fracción IX y 129 de la Constitución Política del Estado Libre y Soberano de México; 31 fracción XIX, 98, 99, 100 y 101 de la Ley Orgánica Municipal del Estado de México y 285, 290, 293, 294 y 295 del Código Financiero del Estado de México y Municipios.</w:t>
      </w:r>
    </w:p>
    <w:p w:rsidR="002E672E" w:rsidRPr="002E1992" w:rsidRDefault="002E672E" w:rsidP="002E1992">
      <w:pPr>
        <w:ind w:right="-93"/>
      </w:pPr>
    </w:p>
    <w:p w:rsidR="002E672E" w:rsidRPr="002E1992" w:rsidRDefault="00A50D32" w:rsidP="002E1992">
      <w:pPr>
        <w:ind w:right="-93"/>
      </w:pPr>
      <w:r w:rsidRPr="002E1992">
        <w:t>Según lo refiere el manual y el artículo 285 del Código Financiero del Estado de México y Municipios, el Presupuesto de Egresos Municipal es el instrumento jurídico, aprobado por el Cabildo, en el cual se establece el ejercicio, control y evaluación del gasto público de las Dependencias Administrativas y Organismos Municipales Descentralizados, durante el ejercicio fiscal correspondiente.</w:t>
      </w:r>
    </w:p>
    <w:p w:rsidR="002E672E" w:rsidRPr="002E1992" w:rsidRDefault="002E672E" w:rsidP="002E1992">
      <w:pPr>
        <w:ind w:right="-28"/>
      </w:pPr>
    </w:p>
    <w:p w:rsidR="002E672E" w:rsidRPr="002E1992" w:rsidRDefault="00A50D32" w:rsidP="002E1992">
      <w:pPr>
        <w:ind w:right="-28"/>
      </w:pPr>
      <w:r w:rsidRPr="002E1992">
        <w:t xml:space="preserve">El presupuesto está confirmado por capítulos, sub capítulos, partidas genéricas y específicas de gasto, que se deben establecer en el Presupuesto de Egresos Municipal, entre las cuales, se encuentran las </w:t>
      </w:r>
      <w:r w:rsidRPr="002E1992">
        <w:rPr>
          <w:b/>
        </w:rPr>
        <w:t>2600 y 2610</w:t>
      </w:r>
      <w:r w:rsidRPr="002E1992">
        <w:t xml:space="preserve">,  ambas denominadas </w:t>
      </w:r>
      <w:r w:rsidRPr="002E1992">
        <w:rPr>
          <w:b/>
        </w:rPr>
        <w:t>Combustibles, Lubricantes y Aditivos</w:t>
      </w:r>
      <w:r w:rsidRPr="002E1992">
        <w:t>, que contemplan las asignaciones destinadas a la adquisición, entre otras cosas, de combustibles necesarios para el funcionamiento de vehículos de transporte terrestre, tal como es, la gasolina y el diésel.</w:t>
      </w:r>
    </w:p>
    <w:p w:rsidR="002E672E" w:rsidRPr="002E1992" w:rsidRDefault="002E672E" w:rsidP="002E1992">
      <w:pPr>
        <w:ind w:right="-28"/>
      </w:pPr>
    </w:p>
    <w:p w:rsidR="002E672E" w:rsidRPr="002E1992" w:rsidRDefault="00A50D32" w:rsidP="002E1992">
      <w:pPr>
        <w:ind w:right="-28"/>
      </w:pPr>
      <w:r w:rsidRPr="002E1992">
        <w:t>Recordando que dentro de la información entregada en el Informe Justificado,</w:t>
      </w:r>
      <w:r w:rsidRPr="002E1992">
        <w:rPr>
          <w:b/>
        </w:rPr>
        <w:t xml:space="preserve"> EL SUJETO OBLIGADO</w:t>
      </w:r>
      <w:r w:rsidRPr="002E1992">
        <w:t xml:space="preserve"> remitió por medio de la Tesorería Municipal la Balanza Detallada donde se </w:t>
      </w:r>
      <w:r w:rsidRPr="002E1992">
        <w:lastRenderedPageBreak/>
        <w:t xml:space="preserve">puede apreciar el capítulo 2611 denominados Combustibles, lubricantes y aditivos, señalando además que el presupuesto de egresos pagado se asigna directamente a las áreas, no a los individuos, por lo que si alguno solicita combustible para cumplir con alguna comisión, se contabiliza en dicho rubro. </w:t>
      </w:r>
    </w:p>
    <w:p w:rsidR="002E672E" w:rsidRPr="002E1992" w:rsidRDefault="002E672E" w:rsidP="002E1992">
      <w:pPr>
        <w:ind w:right="-28"/>
      </w:pPr>
    </w:p>
    <w:p w:rsidR="002E672E" w:rsidRPr="002E1992" w:rsidRDefault="00A50D32" w:rsidP="002E1992">
      <w:pPr>
        <w:ind w:right="-28"/>
      </w:pPr>
      <w:r w:rsidRPr="002E1992">
        <w:t xml:space="preserve">Así, en las imágenes aportadas se observa el rubro de combustibles, lubricantes y aditivos para diversas áreas en los años 2022 y 2023, como se aprecia de la captura de pantalla que se inserta a continuación:   </w:t>
      </w:r>
    </w:p>
    <w:p w:rsidR="002E672E" w:rsidRPr="002E1992" w:rsidRDefault="00A50D32" w:rsidP="002E1992">
      <w:pPr>
        <w:ind w:right="-28"/>
      </w:pPr>
      <w:r w:rsidRPr="002E1992">
        <w:t xml:space="preserve"> </w:t>
      </w:r>
    </w:p>
    <w:p w:rsidR="002E672E" w:rsidRPr="002E1992" w:rsidRDefault="00A50D32" w:rsidP="002E1992">
      <w:pPr>
        <w:ind w:right="-28"/>
      </w:pPr>
      <w:r w:rsidRPr="002E1992">
        <w:rPr>
          <w:noProof/>
          <w:lang w:eastAsia="es-MX"/>
        </w:rPr>
        <w:drawing>
          <wp:inline distT="114300" distB="114300" distL="114300" distR="114300">
            <wp:extent cx="5742940" cy="1244600"/>
            <wp:effectExtent l="0" t="0" r="0" b="0"/>
            <wp:docPr id="3502156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42940" cy="1244600"/>
                    </a:xfrm>
                    <a:prstGeom prst="rect">
                      <a:avLst/>
                    </a:prstGeom>
                    <a:ln/>
                  </pic:spPr>
                </pic:pic>
              </a:graphicData>
            </a:graphic>
          </wp:inline>
        </w:drawing>
      </w:r>
    </w:p>
    <w:p w:rsidR="002E672E" w:rsidRPr="002E1992" w:rsidRDefault="002E672E" w:rsidP="002E1992">
      <w:pPr>
        <w:ind w:right="-28"/>
      </w:pPr>
    </w:p>
    <w:p w:rsidR="002E672E" w:rsidRPr="002E1992" w:rsidRDefault="00A50D32" w:rsidP="002E1992">
      <w:r w:rsidRPr="002E1992">
        <w:t xml:space="preserve">Para la información del año 2024, toda vez que la solicitud de información fue presentada el 11 de enero del 2024, el ente recurrido no estaba obligado a generar aún la información, por lo que el requerimiento del combustible se puede colmar con la información entregada mediante el Informe Justificado. </w:t>
      </w:r>
    </w:p>
    <w:p w:rsidR="002E672E" w:rsidRPr="002E1992" w:rsidRDefault="002E672E" w:rsidP="002E1992"/>
    <w:p w:rsidR="002E672E" w:rsidRPr="002E1992" w:rsidRDefault="00A50D32" w:rsidP="002E1992">
      <w:r w:rsidRPr="002E1992">
        <w:t>Por lo que respecta a la parte de la solicitud relacionada con las auditorias llevaba a cabo por la contraloría municipal,  la  Ley Orgánica Municipal del Estado de México, le brinda la facultad a la Contraloría Municipal de llevar a cabo auditorías e inspecciones, como se aprecia del contenido del artículo 112 fracciones V y VI que son del tenor siguiente:</w:t>
      </w:r>
    </w:p>
    <w:p w:rsidR="00EC4365" w:rsidRPr="002E1992" w:rsidRDefault="00EC4365" w:rsidP="002E1992"/>
    <w:p w:rsidR="002E672E" w:rsidRPr="002E1992" w:rsidRDefault="00A50D32" w:rsidP="002E1992">
      <w:pPr>
        <w:pStyle w:val="Puesto"/>
      </w:pPr>
      <w:r w:rsidRPr="002E1992">
        <w:rPr>
          <w:b/>
        </w:rPr>
        <w:lastRenderedPageBreak/>
        <w:t xml:space="preserve">Artículo 112. </w:t>
      </w:r>
      <w:r w:rsidRPr="002E1992">
        <w:t xml:space="preserve">El órgano interno de control municipal tendrá a su cargo las funciones siguientes: </w:t>
      </w:r>
    </w:p>
    <w:p w:rsidR="002E672E" w:rsidRPr="002E1992" w:rsidRDefault="00A50D32" w:rsidP="002E1992">
      <w:pPr>
        <w:pStyle w:val="Puesto"/>
      </w:pPr>
      <w:r w:rsidRPr="002E1992">
        <w:t>I. Planear, programar, organizar y coordinar el sistema de control y evaluación municipal;</w:t>
      </w:r>
    </w:p>
    <w:p w:rsidR="002E672E" w:rsidRPr="002E1992" w:rsidRDefault="00A50D32" w:rsidP="002E1992">
      <w:pPr>
        <w:pStyle w:val="Puesto"/>
      </w:pPr>
      <w:r w:rsidRPr="002E1992">
        <w:t xml:space="preserve">II. Fiscalizar el ingreso y ejercicio del gasto público municipal y su congruencia con el presupuesto de egresos; </w:t>
      </w:r>
    </w:p>
    <w:p w:rsidR="002E672E" w:rsidRPr="002E1992" w:rsidRDefault="00A50D32" w:rsidP="002E1992">
      <w:pPr>
        <w:pStyle w:val="Puesto"/>
      </w:pPr>
      <w:r w:rsidRPr="002E1992">
        <w:t xml:space="preserve">III. Aplicar las normas y criterios en materia de control y evaluación; </w:t>
      </w:r>
    </w:p>
    <w:p w:rsidR="002E672E" w:rsidRPr="002E1992" w:rsidRDefault="00A50D32" w:rsidP="002E1992">
      <w:pPr>
        <w:pStyle w:val="Puesto"/>
      </w:pPr>
      <w:r w:rsidRPr="002E1992">
        <w:t xml:space="preserve">IV. Asesorar a los órganos de control interno de los organismos auxiliares y fideicomisos de la administración pública municipal; </w:t>
      </w:r>
    </w:p>
    <w:p w:rsidR="002E672E" w:rsidRPr="002E1992" w:rsidRDefault="00A50D32" w:rsidP="002E1992">
      <w:pPr>
        <w:pStyle w:val="Puesto"/>
        <w:rPr>
          <w:b/>
        </w:rPr>
      </w:pPr>
      <w:r w:rsidRPr="002E1992">
        <w:rPr>
          <w:b/>
        </w:rPr>
        <w:t>V. Establecer las bases generales para la realización de auditorías e inspecciones;</w:t>
      </w:r>
    </w:p>
    <w:p w:rsidR="002E672E" w:rsidRPr="002E1992" w:rsidRDefault="00A50D32" w:rsidP="002E1992">
      <w:pPr>
        <w:pStyle w:val="Puesto"/>
      </w:pPr>
      <w:r w:rsidRPr="002E1992">
        <w:t>(...)</w:t>
      </w:r>
    </w:p>
    <w:p w:rsidR="002E672E" w:rsidRPr="002E1992" w:rsidRDefault="00A50D32" w:rsidP="002E1992">
      <w:pPr>
        <w:pStyle w:val="Puesto"/>
        <w:rPr>
          <w:b/>
        </w:rPr>
      </w:pPr>
      <w:r w:rsidRPr="002E1992">
        <w:rPr>
          <w:b/>
        </w:rPr>
        <w:t xml:space="preserve">XI. Realizar auditorías y evaluaciones e informar del resultado de las mismas al ayuntamiento; </w:t>
      </w:r>
    </w:p>
    <w:p w:rsidR="002E672E" w:rsidRPr="002E1992" w:rsidRDefault="002E672E" w:rsidP="002E1992">
      <w:pPr>
        <w:ind w:right="-93"/>
      </w:pPr>
    </w:p>
    <w:p w:rsidR="002E672E" w:rsidRPr="002E1992" w:rsidRDefault="00A50D32" w:rsidP="002E1992">
      <w:pPr>
        <w:ind w:right="-93"/>
      </w:pPr>
      <w:r w:rsidRPr="002E1992">
        <w:t>Con lo anterior en mente, de los documentos entregados en respuesta, se observa que la Contraloría Municipal indicó que en el periodo solicitado por el particular, se llevaron a cabo cuatro auditorías de obra y adjuntó 4 actas de supervisión de los años 2022 y 2023 como se observa a continuación:</w:t>
      </w:r>
    </w:p>
    <w:p w:rsidR="002E672E" w:rsidRPr="002E1992" w:rsidRDefault="00A50D32" w:rsidP="002E1992">
      <w:pPr>
        <w:ind w:right="-93"/>
        <w:jc w:val="center"/>
      </w:pPr>
      <w:r w:rsidRPr="002E1992">
        <w:rPr>
          <w:noProof/>
          <w:lang w:eastAsia="es-MX"/>
        </w:rPr>
        <w:drawing>
          <wp:inline distT="114300" distB="114300" distL="114300" distR="114300">
            <wp:extent cx="5233660" cy="3491230"/>
            <wp:effectExtent l="0" t="0" r="5715" b="0"/>
            <wp:docPr id="3502156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t="9536" b="28366"/>
                    <a:stretch>
                      <a:fillRect/>
                    </a:stretch>
                  </pic:blipFill>
                  <pic:spPr>
                    <a:xfrm>
                      <a:off x="0" y="0"/>
                      <a:ext cx="5271601" cy="3516539"/>
                    </a:xfrm>
                    <a:prstGeom prst="rect">
                      <a:avLst/>
                    </a:prstGeom>
                    <a:ln/>
                  </pic:spPr>
                </pic:pic>
              </a:graphicData>
            </a:graphic>
          </wp:inline>
        </w:drawing>
      </w:r>
    </w:p>
    <w:p w:rsidR="002E672E" w:rsidRPr="002E1992" w:rsidRDefault="002E672E" w:rsidP="002E1992"/>
    <w:p w:rsidR="002E672E" w:rsidRPr="002E1992" w:rsidRDefault="00A50D32" w:rsidP="002E1992">
      <w:r w:rsidRPr="002E1992">
        <w:t xml:space="preserve">De la imagen anterior se puede verificar que </w:t>
      </w:r>
      <w:r w:rsidRPr="002E1992">
        <w:rPr>
          <w:b/>
        </w:rPr>
        <w:t xml:space="preserve">EL SUJETO OBLIGADO </w:t>
      </w:r>
      <w:r w:rsidRPr="002E1992">
        <w:t xml:space="preserve">hizo entrega de la información solicitada y respecto del periodo indicado por el particular, por lo que el requerimiento relacionado con las </w:t>
      </w:r>
      <w:r w:rsidR="00EC4365" w:rsidRPr="002E1992">
        <w:t>auditorías</w:t>
      </w:r>
      <w:r w:rsidRPr="002E1992">
        <w:t xml:space="preserve"> a obras se estima colmado con la respuesta.</w:t>
      </w:r>
    </w:p>
    <w:p w:rsidR="002E672E" w:rsidRPr="002E1992" w:rsidRDefault="002E672E" w:rsidP="002E1992"/>
    <w:p w:rsidR="002E672E" w:rsidRPr="002E1992" w:rsidRDefault="00A50D32" w:rsidP="002E1992">
      <w:r w:rsidRPr="002E1992">
        <w:t xml:space="preserve">Por lo que hace a los pases de salida de todo el personal que labora en puestos directivos, coordinaciones, o similares y los comprobantes de las salidas de comisión o asuntos relativos a la oficina. </w:t>
      </w:r>
    </w:p>
    <w:p w:rsidR="002E672E" w:rsidRPr="002E1992" w:rsidRDefault="002E672E" w:rsidP="002E1992"/>
    <w:p w:rsidR="002E672E" w:rsidRPr="002E1992" w:rsidRDefault="00A50D32" w:rsidP="002E1992">
      <w:r w:rsidRPr="002E1992">
        <w:t xml:space="preserve">En su respuesta, </w:t>
      </w:r>
      <w:r w:rsidRPr="002E1992">
        <w:rPr>
          <w:b/>
        </w:rPr>
        <w:t xml:space="preserve">EL SUJETO OBLIGADO, </w:t>
      </w:r>
      <w:r w:rsidRPr="002E1992">
        <w:t>por medio de la Dirección de Recursos Humanos,  refirió enviar  los pases de salida en digital con  tres archivos, como se observa a continuación:</w:t>
      </w:r>
    </w:p>
    <w:p w:rsidR="002E672E" w:rsidRPr="002E1992" w:rsidRDefault="00A50D32" w:rsidP="002E1992">
      <w:pPr>
        <w:jc w:val="center"/>
      </w:pPr>
      <w:r w:rsidRPr="002E1992">
        <w:rPr>
          <w:noProof/>
          <w:lang w:eastAsia="es-MX"/>
        </w:rPr>
        <w:drawing>
          <wp:inline distT="114300" distB="114300" distL="114300" distR="114300">
            <wp:extent cx="4739958" cy="3935858"/>
            <wp:effectExtent l="0" t="0" r="0" b="0"/>
            <wp:docPr id="3502156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4739958" cy="3935858"/>
                    </a:xfrm>
                    <a:prstGeom prst="rect">
                      <a:avLst/>
                    </a:prstGeom>
                    <a:ln/>
                  </pic:spPr>
                </pic:pic>
              </a:graphicData>
            </a:graphic>
          </wp:inline>
        </w:drawing>
      </w:r>
    </w:p>
    <w:p w:rsidR="002E672E" w:rsidRPr="002E1992" w:rsidRDefault="002E672E" w:rsidP="002E1992"/>
    <w:p w:rsidR="002E672E" w:rsidRPr="002E1992" w:rsidRDefault="00A50D32" w:rsidP="002E1992">
      <w:r w:rsidRPr="002E1992">
        <w:lastRenderedPageBreak/>
        <w:t>Del documento se advierte que el Director de Recursos Humanos aceptó contar con la información relacionada con los pases de salida de los servidores públicos,  no obstante, de los documentos entregados no se advierten dichos pases. Así tampoco se aprecia pronunciamiento alguno relativo a los comprobantes de las salidas de comisión o asuntos relativos a la oficina.</w:t>
      </w:r>
    </w:p>
    <w:p w:rsidR="002E672E" w:rsidRPr="002E1992" w:rsidRDefault="002E672E" w:rsidP="002E1992"/>
    <w:p w:rsidR="002E672E" w:rsidRPr="002E1992" w:rsidRDefault="00A50D32" w:rsidP="002E1992">
      <w:r w:rsidRPr="002E1992">
        <w:t xml:space="preserve">Por lo que conviene traer a colación el contenido del artículo 49 de la Ley del Trabajo de los Servidores Públicos del Estado de México y Municipios, el cual determina los requisitos para tener por formalizada una relación de trabajo entre el servidor y las entidades públicas, los cuales se enlistan a continuación: </w:t>
      </w:r>
    </w:p>
    <w:p w:rsidR="002E672E" w:rsidRPr="002E1992" w:rsidRDefault="002E672E" w:rsidP="002E1992">
      <w:pPr>
        <w:rPr>
          <w:sz w:val="24"/>
          <w:szCs w:val="24"/>
        </w:rPr>
      </w:pPr>
    </w:p>
    <w:p w:rsidR="002E672E" w:rsidRPr="002E1992" w:rsidRDefault="00A50D32" w:rsidP="002E1992">
      <w:pPr>
        <w:pStyle w:val="Puesto"/>
      </w:pPr>
      <w:r w:rsidRPr="002E1992">
        <w:rPr>
          <w:b/>
        </w:rPr>
        <w:t>“ARTÍCULO 49.-</w:t>
      </w:r>
      <w:r w:rsidRPr="002E1992">
        <w:t xml:space="preserve"> Los nombramientos, contratos o formato único de Movimientos de Personal de los servidores públicos deberán contener:</w:t>
      </w:r>
    </w:p>
    <w:p w:rsidR="002E672E" w:rsidRPr="002E1992" w:rsidRDefault="00A50D32" w:rsidP="002E1992">
      <w:pPr>
        <w:pStyle w:val="Puesto"/>
      </w:pPr>
      <w:r w:rsidRPr="002E1992">
        <w:rPr>
          <w:b/>
        </w:rPr>
        <w:t xml:space="preserve">I. </w:t>
      </w:r>
      <w:r w:rsidRPr="002E1992">
        <w:t xml:space="preserve">Nombre completo del servidor público; </w:t>
      </w:r>
    </w:p>
    <w:p w:rsidR="002E672E" w:rsidRPr="002E1992" w:rsidRDefault="00A50D32" w:rsidP="002E1992">
      <w:pPr>
        <w:pStyle w:val="Puesto"/>
      </w:pPr>
      <w:r w:rsidRPr="002E1992">
        <w:rPr>
          <w:b/>
        </w:rPr>
        <w:t>II</w:t>
      </w:r>
      <w:r w:rsidRPr="002E1992">
        <w:t xml:space="preserve">. Cargo para el que es designado, fecha de inicio de sus servicios y lugar de adscripción; </w:t>
      </w:r>
    </w:p>
    <w:p w:rsidR="002E672E" w:rsidRPr="002E1992" w:rsidRDefault="00A50D32" w:rsidP="002E1992">
      <w:pPr>
        <w:pStyle w:val="Puesto"/>
      </w:pPr>
      <w:r w:rsidRPr="002E1992">
        <w:rPr>
          <w:b/>
        </w:rPr>
        <w:t>III.</w:t>
      </w:r>
      <w:r w:rsidRPr="002E1992">
        <w:t xml:space="preserve"> Carácter del nombramiento, ya sea de servidores públicos generales o de confianza, así como la temporalidad del mismo; </w:t>
      </w:r>
    </w:p>
    <w:p w:rsidR="002E672E" w:rsidRPr="002E1992" w:rsidRDefault="00A50D32" w:rsidP="002E1992">
      <w:pPr>
        <w:pStyle w:val="Puesto"/>
      </w:pPr>
      <w:r w:rsidRPr="002E1992">
        <w:rPr>
          <w:b/>
        </w:rPr>
        <w:t>IV</w:t>
      </w:r>
      <w:r w:rsidRPr="002E1992">
        <w:t xml:space="preserve">. Remuneración correspondiente al puesto; </w:t>
      </w:r>
    </w:p>
    <w:p w:rsidR="002E672E" w:rsidRPr="002E1992" w:rsidRDefault="00A50D32" w:rsidP="002E1992">
      <w:pPr>
        <w:pStyle w:val="Puesto"/>
        <w:rPr>
          <w:b/>
        </w:rPr>
      </w:pPr>
      <w:r w:rsidRPr="002E1992">
        <w:rPr>
          <w:b/>
        </w:rPr>
        <w:t xml:space="preserve">V. Jornada de trabajo; </w:t>
      </w:r>
      <w:r w:rsidRPr="002E1992">
        <w:rPr>
          <w:b/>
        </w:rPr>
        <w:tab/>
      </w:r>
    </w:p>
    <w:p w:rsidR="002E672E" w:rsidRPr="002E1992" w:rsidRDefault="00A50D32" w:rsidP="002E1992">
      <w:pPr>
        <w:pStyle w:val="Puesto"/>
      </w:pPr>
      <w:r w:rsidRPr="002E1992">
        <w:rPr>
          <w:b/>
        </w:rPr>
        <w:t>VI.</w:t>
      </w:r>
      <w:r w:rsidRPr="002E1992">
        <w:t xml:space="preserve"> Derogada; </w:t>
      </w:r>
    </w:p>
    <w:p w:rsidR="002E672E" w:rsidRPr="002E1992" w:rsidRDefault="00A50D32" w:rsidP="002E1992">
      <w:pPr>
        <w:pStyle w:val="Puesto"/>
      </w:pPr>
      <w:r w:rsidRPr="002E1992">
        <w:rPr>
          <w:b/>
        </w:rPr>
        <w:t>VII.</w:t>
      </w:r>
      <w:r w:rsidRPr="002E1992">
        <w:t xml:space="preserve"> Firma del servidor público autorizado para emitir el nombramiento, contrato o formato único de Movimientos de Personal, así como el fundamento legal de esa atribución.”</w:t>
      </w:r>
    </w:p>
    <w:p w:rsidR="002E672E" w:rsidRPr="002E1992" w:rsidRDefault="002E672E" w:rsidP="002E1992">
      <w:pPr>
        <w:rPr>
          <w:sz w:val="24"/>
          <w:szCs w:val="24"/>
        </w:rPr>
      </w:pPr>
    </w:p>
    <w:p w:rsidR="002E672E" w:rsidRPr="002E1992" w:rsidRDefault="00A50D32" w:rsidP="002E1992">
      <w:r w:rsidRPr="002E1992">
        <w:t xml:space="preserve">Del citado ordenamiento legal, se advierte que, en los nombramientos, contratos o formatos únicos de movimientos de personal, deben contener, entre otros requisitos, la jornada de trabajo; </w:t>
      </w:r>
      <w:r w:rsidRPr="002E1992">
        <w:rPr>
          <w:b/>
        </w:rPr>
        <w:t>es decir el periodo o espacio de tiempo por el cual el servidor público prestará su servicio al ente público del que se trate</w:t>
      </w:r>
      <w:r w:rsidRPr="002E1992">
        <w:t xml:space="preserve">, lo que se robustece con lo establecido en los artículos 56 y 59 del mismo ordenamiento legal, que dispone lo siguiente: </w:t>
      </w:r>
    </w:p>
    <w:p w:rsidR="002E672E" w:rsidRPr="002E1992" w:rsidRDefault="002E672E" w:rsidP="002E1992"/>
    <w:p w:rsidR="002E672E" w:rsidRPr="002E1992" w:rsidRDefault="00A50D32" w:rsidP="002E1992">
      <w:pPr>
        <w:pStyle w:val="Puesto"/>
      </w:pPr>
      <w:r w:rsidRPr="002E1992">
        <w:lastRenderedPageBreak/>
        <w:t>“</w:t>
      </w:r>
      <w:r w:rsidRPr="002E1992">
        <w:rPr>
          <w:b/>
        </w:rPr>
        <w:t>ARTÍCULO 56</w:t>
      </w:r>
      <w:r w:rsidRPr="002E1992">
        <w:t>. Las condiciones generales de trabajo, establecerán como mínimo:</w:t>
      </w:r>
    </w:p>
    <w:p w:rsidR="002E672E" w:rsidRPr="002E1992" w:rsidRDefault="00A50D32" w:rsidP="002E1992">
      <w:pPr>
        <w:pStyle w:val="Puesto"/>
      </w:pPr>
      <w:r w:rsidRPr="002E1992">
        <w:rPr>
          <w:b/>
        </w:rPr>
        <w:t>I.</w:t>
      </w:r>
      <w:r w:rsidRPr="002E1992">
        <w:t xml:space="preserve"> Duración de la jornada de trabajo;</w:t>
      </w:r>
    </w:p>
    <w:p w:rsidR="002E672E" w:rsidRPr="002E1992" w:rsidRDefault="00A50D32" w:rsidP="002E1992">
      <w:pPr>
        <w:pStyle w:val="Puesto"/>
      </w:pPr>
      <w:r w:rsidRPr="002E1992">
        <w:t xml:space="preserve">… </w:t>
      </w:r>
    </w:p>
    <w:p w:rsidR="002E672E" w:rsidRPr="002E1992" w:rsidRDefault="00A50D32" w:rsidP="002E1992">
      <w:pPr>
        <w:pStyle w:val="Puesto"/>
      </w:pPr>
      <w:r w:rsidRPr="002E1992">
        <w:rPr>
          <w:b/>
        </w:rPr>
        <w:t>ARTÍCULO 59.</w:t>
      </w:r>
      <w:r w:rsidRPr="002E1992">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rsidR="002E672E" w:rsidRPr="002E1992" w:rsidRDefault="002E672E" w:rsidP="002E1992">
      <w:pPr>
        <w:spacing w:after="120" w:line="240" w:lineRule="auto"/>
        <w:ind w:left="851" w:right="902"/>
        <w:rPr>
          <w:i/>
          <w:sz w:val="24"/>
          <w:szCs w:val="24"/>
        </w:rPr>
      </w:pPr>
    </w:p>
    <w:p w:rsidR="002E672E" w:rsidRPr="002E1992" w:rsidRDefault="00A50D32" w:rsidP="002E1992">
      <w:pPr>
        <w:spacing w:before="120" w:after="240"/>
      </w:pPr>
      <w:r w:rsidRPr="002E1992">
        <w:t>Aunado a ello, la Ley de Trabajo de los Servidores Públicos del Estado de México y Municipios, en su artículo 88, fracción III y VI,  establece la obligación de cumplir cabalmente con la jornada de trabajo, como se observa a continuación:</w:t>
      </w:r>
    </w:p>
    <w:p w:rsidR="002E672E" w:rsidRPr="002E1992" w:rsidRDefault="00A50D32" w:rsidP="002E1992">
      <w:pPr>
        <w:pStyle w:val="Puesto"/>
      </w:pPr>
      <w:r w:rsidRPr="002E1992">
        <w:rPr>
          <w:b/>
        </w:rPr>
        <w:t>“ARTÍCULO 88.</w:t>
      </w:r>
      <w:r w:rsidRPr="002E1992">
        <w:t xml:space="preserve"> Son obligaciones de los servidores públicos: </w:t>
      </w:r>
    </w:p>
    <w:p w:rsidR="002E672E" w:rsidRPr="002E1992" w:rsidRDefault="00A50D32" w:rsidP="002E1992">
      <w:pPr>
        <w:pStyle w:val="Puesto"/>
      </w:pPr>
      <w:r w:rsidRPr="002E1992">
        <w:t>…</w:t>
      </w:r>
    </w:p>
    <w:p w:rsidR="002E672E" w:rsidRPr="002E1992" w:rsidRDefault="00A50D32" w:rsidP="002E1992">
      <w:pPr>
        <w:pStyle w:val="Puesto"/>
      </w:pPr>
      <w:r w:rsidRPr="002E1992">
        <w:rPr>
          <w:b/>
        </w:rPr>
        <w:t>III.</w:t>
      </w:r>
      <w:r w:rsidRPr="002E1992">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rsidR="002E672E" w:rsidRPr="002E1992" w:rsidRDefault="00A50D32" w:rsidP="002E1992">
      <w:pPr>
        <w:pStyle w:val="Puesto"/>
      </w:pPr>
      <w:r w:rsidRPr="002E1992">
        <w:t>…</w:t>
      </w:r>
    </w:p>
    <w:p w:rsidR="002E672E" w:rsidRPr="002E1992" w:rsidRDefault="00A50D32" w:rsidP="002E1992">
      <w:pPr>
        <w:pStyle w:val="Puesto"/>
      </w:pPr>
      <w:r w:rsidRPr="002E1992">
        <w:rPr>
          <w:b/>
        </w:rPr>
        <w:t>VI.</w:t>
      </w:r>
      <w:r w:rsidRPr="002E1992">
        <w:t xml:space="preserve"> Cumplir con las obligaciones que señalan las condiciones generales de trabajo;”</w:t>
      </w:r>
    </w:p>
    <w:p w:rsidR="002E672E" w:rsidRPr="002E1992" w:rsidRDefault="002E672E" w:rsidP="002E1992">
      <w:pPr>
        <w:pStyle w:val="Puesto"/>
      </w:pPr>
    </w:p>
    <w:p w:rsidR="002E672E" w:rsidRPr="002E1992" w:rsidRDefault="00A50D32" w:rsidP="002E1992">
      <w:r w:rsidRPr="002E1992">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rsidR="002E672E" w:rsidRPr="002E1992" w:rsidRDefault="002E672E" w:rsidP="002E1992">
      <w:pPr>
        <w:rPr>
          <w:sz w:val="24"/>
          <w:szCs w:val="24"/>
        </w:rPr>
      </w:pPr>
    </w:p>
    <w:p w:rsidR="002E672E" w:rsidRPr="002E1992" w:rsidRDefault="00A50D32" w:rsidP="002E1992">
      <w:pPr>
        <w:pStyle w:val="Puesto"/>
      </w:pPr>
      <w:r w:rsidRPr="002E1992">
        <w:rPr>
          <w:b/>
        </w:rPr>
        <w:t>“ARTÍCULO 93.</w:t>
      </w:r>
      <w:r w:rsidRPr="002E1992">
        <w:t xml:space="preserve"> Son causas de rescisión de la relación laboral, sin responsabilidad para las instituciones públicas:</w:t>
      </w:r>
    </w:p>
    <w:p w:rsidR="002E672E" w:rsidRPr="002E1992" w:rsidRDefault="00A50D32" w:rsidP="002E1992">
      <w:pPr>
        <w:pStyle w:val="Puesto"/>
      </w:pPr>
      <w:r w:rsidRPr="002E1992">
        <w:t>…</w:t>
      </w:r>
    </w:p>
    <w:p w:rsidR="002E672E" w:rsidRPr="002E1992" w:rsidRDefault="00A50D32" w:rsidP="002E1992">
      <w:pPr>
        <w:pStyle w:val="Puesto"/>
      </w:pPr>
      <w:r w:rsidRPr="002E1992">
        <w:rPr>
          <w:b/>
        </w:rPr>
        <w:t>V.</w:t>
      </w:r>
      <w:r w:rsidRPr="002E1992">
        <w:t xml:space="preserve"> Incurrir en cuatro o más faltas de asistencia a sus labores sin causa justificada, dentro de un lapso de treinta días;</w:t>
      </w:r>
    </w:p>
    <w:p w:rsidR="002E672E" w:rsidRPr="002E1992" w:rsidRDefault="00A50D32" w:rsidP="002E1992">
      <w:pPr>
        <w:pStyle w:val="Puesto"/>
      </w:pPr>
      <w:r w:rsidRPr="002E1992">
        <w:rPr>
          <w:b/>
        </w:rPr>
        <w:lastRenderedPageBreak/>
        <w:t>V</w:t>
      </w:r>
      <w:r w:rsidRPr="002E1992">
        <w:t>. Abandonar las labores sin autorización previa o razón plenamente justificada, en contravención a lo establecido en las condiciones generales de trabajo;</w:t>
      </w:r>
    </w:p>
    <w:p w:rsidR="002E672E" w:rsidRPr="002E1992" w:rsidRDefault="00A50D32" w:rsidP="002E1992">
      <w:pPr>
        <w:pStyle w:val="Puesto"/>
      </w:pPr>
      <w:r w:rsidRPr="002E1992">
        <w:t>…</w:t>
      </w:r>
    </w:p>
    <w:p w:rsidR="002E672E" w:rsidRPr="002E1992" w:rsidRDefault="00A50D32" w:rsidP="002E1992">
      <w:pPr>
        <w:pStyle w:val="Puesto"/>
      </w:pPr>
      <w:r w:rsidRPr="002E1992">
        <w:rPr>
          <w:b/>
        </w:rPr>
        <w:t>XVII</w:t>
      </w:r>
      <w:r w:rsidRPr="002E1992">
        <w:t>.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rsidR="002E672E" w:rsidRPr="002E1992" w:rsidRDefault="002E672E" w:rsidP="002E1992">
      <w:pPr>
        <w:spacing w:after="120" w:line="240" w:lineRule="auto"/>
        <w:ind w:left="1134" w:right="902"/>
        <w:rPr>
          <w:i/>
          <w:sz w:val="24"/>
          <w:szCs w:val="24"/>
        </w:rPr>
      </w:pPr>
    </w:p>
    <w:p w:rsidR="002E672E" w:rsidRPr="002E1992" w:rsidRDefault="00A50D32" w:rsidP="002E1992">
      <w:pPr>
        <w:spacing w:before="120" w:after="240"/>
      </w:pPr>
      <w:r w:rsidRPr="002E1992">
        <w:t xml:space="preserve">Ahora bien, para comprobar el cumplimiento de la jornada de trabajo del Servidor Público, de conformidad con lo que establecen la fracción III y el penúltimo párrafo del artículo 220-K de la Ley en cita, precisa que: </w:t>
      </w:r>
    </w:p>
    <w:p w:rsidR="002E672E" w:rsidRPr="002E1992" w:rsidRDefault="00A50D32" w:rsidP="002E1992">
      <w:pPr>
        <w:pStyle w:val="Puesto"/>
      </w:pPr>
      <w:r w:rsidRPr="002E1992">
        <w:rPr>
          <w:b/>
        </w:rPr>
        <w:t>“ARTÍCULO 220 K.-</w:t>
      </w:r>
      <w:r w:rsidRPr="002E1992">
        <w:t xml:space="preserve"> La institución o dependencia pública tiene la obligación de conservar y exhibir en el proceso los documentos que a continuación se precisan: </w:t>
      </w:r>
    </w:p>
    <w:p w:rsidR="002E672E" w:rsidRPr="002E1992" w:rsidRDefault="00A50D32" w:rsidP="002E1992">
      <w:pPr>
        <w:pStyle w:val="Puesto"/>
      </w:pPr>
      <w:r w:rsidRPr="002E1992">
        <w:t>…</w:t>
      </w:r>
    </w:p>
    <w:p w:rsidR="002E672E" w:rsidRPr="002E1992" w:rsidRDefault="00A50D32" w:rsidP="002E1992">
      <w:pPr>
        <w:pStyle w:val="Puesto"/>
        <w:rPr>
          <w:u w:val="single"/>
        </w:rPr>
      </w:pPr>
      <w:r w:rsidRPr="002E1992">
        <w:rPr>
          <w:b/>
        </w:rPr>
        <w:t xml:space="preserve">III. </w:t>
      </w:r>
      <w:r w:rsidRPr="002E1992">
        <w:rPr>
          <w:b/>
          <w:u w:val="single"/>
        </w:rPr>
        <w:t>Controles de asistencia</w:t>
      </w:r>
      <w:r w:rsidRPr="002E1992">
        <w:rPr>
          <w:b/>
        </w:rPr>
        <w:t xml:space="preserve"> </w:t>
      </w:r>
      <w:r w:rsidRPr="002E1992">
        <w:rPr>
          <w:b/>
          <w:u w:val="single"/>
        </w:rPr>
        <w:t>o la información magnética o electrónica de asistencia de los servidores públicos</w:t>
      </w:r>
      <w:r w:rsidRPr="002E1992">
        <w:rPr>
          <w:u w:val="single"/>
        </w:rPr>
        <w:t xml:space="preserve">; </w:t>
      </w:r>
    </w:p>
    <w:p w:rsidR="002E672E" w:rsidRPr="002E1992" w:rsidRDefault="00A50D32" w:rsidP="002E1992">
      <w:pPr>
        <w:pStyle w:val="Puesto"/>
      </w:pPr>
      <w:r w:rsidRPr="002E1992">
        <w:t>…</w:t>
      </w:r>
    </w:p>
    <w:p w:rsidR="002E672E" w:rsidRPr="002E1992" w:rsidRDefault="00A50D32" w:rsidP="002E1992">
      <w:pPr>
        <w:pStyle w:val="Puesto"/>
      </w:pPr>
      <w:r w:rsidRPr="002E1992">
        <w:t xml:space="preserve">Los documentos señalados en la fracción I de este artículo, deberán conservarse mientras dure la relación laboral y hasta un año después; </w:t>
      </w:r>
      <w:r w:rsidRPr="002E1992">
        <w:rPr>
          <w:b/>
        </w:rPr>
        <w:t>los señalados por las fracciones</w:t>
      </w:r>
      <w:r w:rsidRPr="002E1992">
        <w:t xml:space="preserve"> II, </w:t>
      </w:r>
      <w:r w:rsidRPr="002E1992">
        <w:rPr>
          <w:b/>
        </w:rPr>
        <w:t>III,</w:t>
      </w:r>
      <w:r w:rsidRPr="002E1992">
        <w:t xml:space="preserve"> IV </w:t>
      </w:r>
      <w:r w:rsidRPr="002E1992">
        <w:rPr>
          <w:b/>
        </w:rPr>
        <w:t>durante el último año y un año después de que se extinga la relación laboral</w:t>
      </w:r>
      <w:r w:rsidRPr="002E1992">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rsidR="002E672E" w:rsidRPr="002E1992" w:rsidRDefault="002E672E" w:rsidP="002E1992">
      <w:pPr>
        <w:rPr>
          <w:sz w:val="24"/>
          <w:szCs w:val="24"/>
        </w:rPr>
      </w:pPr>
    </w:p>
    <w:p w:rsidR="002E672E" w:rsidRPr="002E1992" w:rsidRDefault="00A50D32" w:rsidP="002E1992">
      <w:pPr>
        <w:rPr>
          <w:i/>
        </w:rPr>
      </w:pPr>
      <w:r w:rsidRPr="002E1992">
        <w:t xml:space="preserve">Por lo que, para poder corroborar el cumplimiento de la jornada laboral por parte del servidor público, la Institución deberá llevar el control de asistencia y de la duración de su jornada, con lo que también deberá tener registro de las salidas de los servidores públicos. </w:t>
      </w:r>
    </w:p>
    <w:p w:rsidR="002E672E" w:rsidRPr="002E1992" w:rsidRDefault="002E672E" w:rsidP="002E1992"/>
    <w:p w:rsidR="002E672E" w:rsidRPr="002E1992" w:rsidRDefault="00A50D32" w:rsidP="002E1992">
      <w:r w:rsidRPr="002E1992">
        <w:lastRenderedPageBreak/>
        <w:t xml:space="preserve">Por lo que, al haber reconocido </w:t>
      </w:r>
      <w:r w:rsidRPr="002E1992">
        <w:rPr>
          <w:b/>
        </w:rPr>
        <w:t>EL SUJETO OBLIGADO</w:t>
      </w:r>
      <w:r w:rsidRPr="002E1992">
        <w:t xml:space="preserve"> la existencia de la información  dentro de sus archivos, toda vez que no hizo entrega de la misma en su respuesta, como refirió que lo haría, se considera procedente ordenarle la entrega de la misma. </w:t>
      </w:r>
    </w:p>
    <w:p w:rsidR="002E672E" w:rsidRPr="002E1992" w:rsidRDefault="002E672E" w:rsidP="002E1992"/>
    <w:p w:rsidR="002E672E" w:rsidRPr="002E1992" w:rsidRDefault="00A50D32" w:rsidP="002E1992">
      <w:r w:rsidRPr="002E1992">
        <w:t>En tal sentido, este Instituto determina</w:t>
      </w:r>
      <w:r w:rsidRPr="002E1992">
        <w:rPr>
          <w:b/>
        </w:rPr>
        <w:t xml:space="preserve"> MODIFICAR </w:t>
      </w:r>
      <w:r w:rsidRPr="002E1992">
        <w:t xml:space="preserve">la respuesta del </w:t>
      </w:r>
      <w:r w:rsidRPr="002E1992">
        <w:rPr>
          <w:b/>
        </w:rPr>
        <w:t xml:space="preserve">SUJETO OBLIGADO </w:t>
      </w:r>
      <w:r w:rsidRPr="002E1992">
        <w:t xml:space="preserve">a la solicitud </w:t>
      </w:r>
      <w:r w:rsidRPr="002E1992">
        <w:rPr>
          <w:b/>
        </w:rPr>
        <w:t xml:space="preserve"> 00003/VIALLEN/IP/2024 </w:t>
      </w:r>
      <w:r w:rsidRPr="002E1992">
        <w:t xml:space="preserve">por resultar </w:t>
      </w:r>
      <w:r w:rsidRPr="002E1992">
        <w:rPr>
          <w:b/>
        </w:rPr>
        <w:t xml:space="preserve">FUNDADAS </w:t>
      </w:r>
      <w:r w:rsidRPr="002E1992">
        <w:t xml:space="preserve">las razones o motivos de la </w:t>
      </w:r>
      <w:r w:rsidRPr="002E1992">
        <w:rPr>
          <w:b/>
        </w:rPr>
        <w:t>PARTE RECURRENTE</w:t>
      </w:r>
      <w:r w:rsidRPr="002E1992">
        <w:t xml:space="preserve"> en el recurso de revisión </w:t>
      </w:r>
      <w:r w:rsidRPr="002E1992">
        <w:rPr>
          <w:b/>
        </w:rPr>
        <w:t xml:space="preserve">00402/INFOEM/IP/RR/2024 </w:t>
      </w:r>
      <w:r w:rsidRPr="002E1992">
        <w:t xml:space="preserve">y ordenarle entrega, en versión pública de ser necesario, de lo siguiente: </w:t>
      </w:r>
    </w:p>
    <w:p w:rsidR="002E672E" w:rsidRPr="002E1992" w:rsidRDefault="002E672E" w:rsidP="002E1992"/>
    <w:p w:rsidR="002E672E" w:rsidRPr="002E1992" w:rsidRDefault="00A50D32" w:rsidP="002E1992">
      <w:pPr>
        <w:numPr>
          <w:ilvl w:val="0"/>
          <w:numId w:val="2"/>
        </w:numPr>
      </w:pPr>
      <w:r w:rsidRPr="002E1992">
        <w:t>Los documentos donde consten los pases de salida de todo el personal que labora en puestos directivos, coordinaciones, o similares del primero de enero de dos mil veintidós al once de enero del dos mil veinticuatro.</w:t>
      </w:r>
    </w:p>
    <w:p w:rsidR="002E672E" w:rsidRPr="002E1992" w:rsidRDefault="00A50D32" w:rsidP="002E1992">
      <w:pPr>
        <w:numPr>
          <w:ilvl w:val="0"/>
          <w:numId w:val="2"/>
        </w:numPr>
      </w:pPr>
      <w:r w:rsidRPr="002E1992">
        <w:t>Los documentes donde consten los comprobantes de las salidas de comisión de todo el personal, del primero de enero de dos mil veintidós al once de enero del dos mil veinticuatro.</w:t>
      </w:r>
    </w:p>
    <w:p w:rsidR="002E672E" w:rsidRPr="002E1992" w:rsidRDefault="002E672E" w:rsidP="002E1992">
      <w:pPr>
        <w:tabs>
          <w:tab w:val="left" w:pos="4962"/>
        </w:tabs>
      </w:pPr>
    </w:p>
    <w:p w:rsidR="002E672E" w:rsidRPr="002E1992" w:rsidRDefault="00A50D32" w:rsidP="002E1992">
      <w:pPr>
        <w:keepNext/>
        <w:keepLines/>
        <w:pBdr>
          <w:top w:val="nil"/>
          <w:left w:val="nil"/>
          <w:bottom w:val="nil"/>
          <w:right w:val="nil"/>
          <w:between w:val="nil"/>
        </w:pBdr>
        <w:spacing w:line="480" w:lineRule="auto"/>
        <w:jc w:val="left"/>
        <w:rPr>
          <w:rFonts w:eastAsia="Palatino Linotype" w:cs="Palatino Linotype"/>
          <w:b/>
          <w:szCs w:val="22"/>
        </w:rPr>
      </w:pPr>
      <w:bookmarkStart w:id="45" w:name="_heading=h.3ygebqi" w:colFirst="0" w:colLast="0"/>
      <w:bookmarkEnd w:id="45"/>
      <w:r w:rsidRPr="002E1992">
        <w:rPr>
          <w:rFonts w:eastAsia="Palatino Linotype" w:cs="Palatino Linotype"/>
          <w:b/>
          <w:szCs w:val="22"/>
        </w:rPr>
        <w:t>d) Versión pública</w:t>
      </w:r>
    </w:p>
    <w:p w:rsidR="002E672E" w:rsidRPr="002E1992" w:rsidRDefault="00A50D32" w:rsidP="002E1992">
      <w:r w:rsidRPr="002E1992">
        <w:t xml:space="preserve">Para el caso de que el o los documentos de los cuales se ordena su entrega contengan datos personales susceptibles de ser testados, deberán ser entregados en </w:t>
      </w:r>
      <w:r w:rsidRPr="002E1992">
        <w:rPr>
          <w:b/>
        </w:rPr>
        <w:t>versión pública</w:t>
      </w:r>
      <w:r w:rsidRPr="002E1992">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2E1992">
        <w:lastRenderedPageBreak/>
        <w:t>elaboración de versiones públicas en las que se suprima aquella información relacionada con la vida privada de los particulares.</w:t>
      </w:r>
    </w:p>
    <w:p w:rsidR="002E672E" w:rsidRPr="002E1992" w:rsidRDefault="002E672E" w:rsidP="002E1992"/>
    <w:p w:rsidR="002E672E" w:rsidRPr="002E1992" w:rsidRDefault="00A50D32" w:rsidP="002E1992">
      <w:r w:rsidRPr="002E1992">
        <w:t>A este respecto, los artículos 3, fracciones IX, XX, XXI y XLV; 51 y 52 de la Ley de Transparencia y Acceso a la Información Pública del Estado de México y Municipios establecen:</w:t>
      </w:r>
    </w:p>
    <w:p w:rsidR="002E672E" w:rsidRPr="002E1992" w:rsidRDefault="002E672E" w:rsidP="002E1992"/>
    <w:p w:rsidR="002E672E" w:rsidRPr="002E1992" w:rsidRDefault="00A50D32" w:rsidP="002E1992">
      <w:pPr>
        <w:pStyle w:val="Puesto"/>
      </w:pPr>
      <w:r w:rsidRPr="002E1992">
        <w:rPr>
          <w:b/>
        </w:rPr>
        <w:t xml:space="preserve">“Artículo 3. </w:t>
      </w:r>
      <w:r w:rsidRPr="002E1992">
        <w:t xml:space="preserve">Para los efectos de la presente Ley se entenderá por: </w:t>
      </w:r>
    </w:p>
    <w:p w:rsidR="002E672E" w:rsidRPr="002E1992" w:rsidRDefault="00A50D32" w:rsidP="002E1992">
      <w:pPr>
        <w:pStyle w:val="Puesto"/>
      </w:pPr>
      <w:r w:rsidRPr="002E1992">
        <w:rPr>
          <w:b/>
        </w:rPr>
        <w:t>IX.</w:t>
      </w:r>
      <w:r w:rsidRPr="002E1992">
        <w:t xml:space="preserve"> </w:t>
      </w:r>
      <w:r w:rsidRPr="002E1992">
        <w:rPr>
          <w:b/>
        </w:rPr>
        <w:t xml:space="preserve">Datos personales: </w:t>
      </w:r>
      <w:r w:rsidRPr="002E1992">
        <w:t xml:space="preserve">La información concerniente a una persona, identificada o identificable según lo dispuesto por la Ley de Protección de Datos Personales del Estado de México; </w:t>
      </w:r>
    </w:p>
    <w:p w:rsidR="002E672E" w:rsidRPr="002E1992" w:rsidRDefault="002E672E" w:rsidP="002E1992">
      <w:pPr>
        <w:pStyle w:val="Puesto"/>
      </w:pPr>
    </w:p>
    <w:p w:rsidR="002E672E" w:rsidRPr="002E1992" w:rsidRDefault="00A50D32" w:rsidP="002E1992">
      <w:pPr>
        <w:pStyle w:val="Puesto"/>
      </w:pPr>
      <w:r w:rsidRPr="002E1992">
        <w:rPr>
          <w:b/>
        </w:rPr>
        <w:t>XX.</w:t>
      </w:r>
      <w:r w:rsidRPr="002E1992">
        <w:t xml:space="preserve"> </w:t>
      </w:r>
      <w:r w:rsidRPr="002E1992">
        <w:rPr>
          <w:b/>
        </w:rPr>
        <w:t>Información clasificada:</w:t>
      </w:r>
      <w:r w:rsidRPr="002E1992">
        <w:t xml:space="preserve"> Aquella considerada por la presente Ley como reservada o confidencial; </w:t>
      </w:r>
    </w:p>
    <w:p w:rsidR="002E672E" w:rsidRPr="002E1992" w:rsidRDefault="002E672E" w:rsidP="002E1992">
      <w:pPr>
        <w:pStyle w:val="Puesto"/>
      </w:pPr>
    </w:p>
    <w:p w:rsidR="002E672E" w:rsidRPr="002E1992" w:rsidRDefault="00A50D32" w:rsidP="002E1992">
      <w:pPr>
        <w:pStyle w:val="Puesto"/>
      </w:pPr>
      <w:r w:rsidRPr="002E1992">
        <w:rPr>
          <w:b/>
        </w:rPr>
        <w:t>XXI.</w:t>
      </w:r>
      <w:r w:rsidRPr="002E1992">
        <w:t xml:space="preserve"> </w:t>
      </w:r>
      <w:r w:rsidRPr="002E1992">
        <w:rPr>
          <w:b/>
        </w:rPr>
        <w:t>Información confidencial</w:t>
      </w:r>
      <w:r w:rsidRPr="002E199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2E672E" w:rsidRPr="002E1992" w:rsidRDefault="002E672E" w:rsidP="002E1992">
      <w:pPr>
        <w:pStyle w:val="Puesto"/>
      </w:pPr>
    </w:p>
    <w:p w:rsidR="002E672E" w:rsidRPr="002E1992" w:rsidRDefault="00A50D32" w:rsidP="002E1992">
      <w:pPr>
        <w:pStyle w:val="Puesto"/>
      </w:pPr>
      <w:r w:rsidRPr="002E1992">
        <w:rPr>
          <w:b/>
        </w:rPr>
        <w:t>XLV. Versión pública:</w:t>
      </w:r>
      <w:r w:rsidRPr="002E1992">
        <w:t xml:space="preserve"> Documento en el que se elimine, suprime o borra la información clasificada como reservada o confidencial para permitir su acceso. </w:t>
      </w:r>
    </w:p>
    <w:p w:rsidR="002E672E" w:rsidRPr="002E1992" w:rsidRDefault="002E672E" w:rsidP="002E1992">
      <w:pPr>
        <w:pStyle w:val="Puesto"/>
      </w:pPr>
    </w:p>
    <w:p w:rsidR="002E672E" w:rsidRPr="002E1992" w:rsidRDefault="00A50D32" w:rsidP="002E1992">
      <w:pPr>
        <w:pStyle w:val="Puesto"/>
      </w:pPr>
      <w:r w:rsidRPr="002E1992">
        <w:rPr>
          <w:b/>
        </w:rPr>
        <w:t>Artículo 51.</w:t>
      </w:r>
      <w:r w:rsidRPr="002E1992">
        <w:t xml:space="preserve"> Los sujetos obligados designaran a un responsable para atender la Unidad de Transparencia, quien fungirá como enlace entre éstos y los solicitantes. Dicha Unidad será la encargada de tramitar internamente la solicitud de información </w:t>
      </w:r>
      <w:r w:rsidRPr="002E1992">
        <w:rPr>
          <w:b/>
        </w:rPr>
        <w:t xml:space="preserve">y tendrá la responsabilidad de verificar en cada caso que la misma no sea confidencial o reservada. </w:t>
      </w:r>
      <w:r w:rsidRPr="002E1992">
        <w:t>Dicha Unidad contará con las facultades internas necesarias para gestionar la atención a las solicitudes de información en los términos de la Ley General y la presente Ley.</w:t>
      </w:r>
    </w:p>
    <w:p w:rsidR="002E672E" w:rsidRPr="002E1992" w:rsidRDefault="002E672E" w:rsidP="002E1992">
      <w:pPr>
        <w:pStyle w:val="Puesto"/>
      </w:pPr>
    </w:p>
    <w:p w:rsidR="002E672E" w:rsidRPr="002E1992" w:rsidRDefault="00A50D32" w:rsidP="002E1992">
      <w:pPr>
        <w:pStyle w:val="Puesto"/>
      </w:pPr>
      <w:r w:rsidRPr="002E1992">
        <w:rPr>
          <w:b/>
        </w:rPr>
        <w:t>Artículo 52.</w:t>
      </w:r>
      <w:r w:rsidRPr="002E1992">
        <w:t xml:space="preserve"> Las solicitudes de acceso a la información y las respuestas que se les dé, incluyendo, en su caso, </w:t>
      </w:r>
      <w:r w:rsidRPr="002E1992">
        <w:rPr>
          <w:u w:val="single"/>
        </w:rPr>
        <w:t>la información entregada, así como las resoluciones a los recursos que en su caso se promuevan serán públicas, y de ser el caso que contenga datos personales que deban ser protegidos se podrá dar su acceso en su versión pública</w:t>
      </w:r>
      <w:r w:rsidRPr="002E1992">
        <w:t>, siempre y cuando la resolución de referencia se someta a un proceso de disociación, es decir, no haga identificable al titular de tales datos personales.” (Énfasis añadido)</w:t>
      </w:r>
    </w:p>
    <w:p w:rsidR="002E672E" w:rsidRPr="002E1992" w:rsidRDefault="002E672E" w:rsidP="002E1992"/>
    <w:p w:rsidR="002E672E" w:rsidRPr="002E1992" w:rsidRDefault="00A50D32" w:rsidP="002E1992">
      <w:r w:rsidRPr="002E199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2E672E" w:rsidRPr="002E1992" w:rsidRDefault="002E672E" w:rsidP="002E1992"/>
    <w:p w:rsidR="002E672E" w:rsidRPr="002E1992" w:rsidRDefault="00A50D32" w:rsidP="002E1992">
      <w:pPr>
        <w:pStyle w:val="Puesto"/>
      </w:pPr>
      <w:r w:rsidRPr="002E1992">
        <w:rPr>
          <w:b/>
        </w:rPr>
        <w:t>“Artículo 22.</w:t>
      </w:r>
      <w:r w:rsidRPr="002E1992">
        <w:t xml:space="preserve"> Todo tratamiento de datos personales que efectúe el responsable deberá estar justificado por finalidades concretas, lícitas, explícitas y legítimas, relacionadas con las atribuciones que la normatividad aplicable les confiera. </w:t>
      </w:r>
    </w:p>
    <w:p w:rsidR="002E672E" w:rsidRPr="002E1992" w:rsidRDefault="002E672E" w:rsidP="002E1992"/>
    <w:p w:rsidR="002E672E" w:rsidRPr="002E1992" w:rsidRDefault="00A50D32" w:rsidP="002E1992">
      <w:pPr>
        <w:pStyle w:val="Puesto"/>
      </w:pPr>
      <w:r w:rsidRPr="002E1992">
        <w:rPr>
          <w:b/>
        </w:rPr>
        <w:t>Artículo 38.</w:t>
      </w:r>
      <w:r w:rsidRPr="002E1992">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E1992">
        <w:rPr>
          <w:b/>
        </w:rPr>
        <w:t>”</w:t>
      </w:r>
      <w:r w:rsidRPr="002E1992">
        <w:t xml:space="preserve"> </w:t>
      </w:r>
    </w:p>
    <w:p w:rsidR="002E672E" w:rsidRPr="002E1992" w:rsidRDefault="002E672E" w:rsidP="002E1992">
      <w:pPr>
        <w:rPr>
          <w:i/>
        </w:rPr>
      </w:pPr>
    </w:p>
    <w:p w:rsidR="002E672E" w:rsidRPr="002E1992" w:rsidRDefault="00A50D32" w:rsidP="002E1992">
      <w:r w:rsidRPr="002E199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2E672E" w:rsidRPr="002E1992" w:rsidRDefault="002E672E" w:rsidP="002E1992"/>
    <w:p w:rsidR="002E672E" w:rsidRPr="002E1992" w:rsidRDefault="00A50D32" w:rsidP="002E1992">
      <w:r w:rsidRPr="002E1992">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E1992">
        <w:rPr>
          <w:b/>
        </w:rPr>
        <w:t>EL SUJETO OBLIGADO,</w:t>
      </w:r>
      <w:r w:rsidRPr="002E1992">
        <w:t xml:space="preserve"> por lo que, todo dato personal susceptible de clasificación debe ser protegido.</w:t>
      </w:r>
    </w:p>
    <w:p w:rsidR="002E672E" w:rsidRPr="002E1992" w:rsidRDefault="002E672E" w:rsidP="002E1992"/>
    <w:p w:rsidR="002E672E" w:rsidRPr="002E1992" w:rsidRDefault="00A50D32" w:rsidP="002E1992">
      <w:r w:rsidRPr="002E199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2E672E" w:rsidRPr="002E1992" w:rsidRDefault="002E672E" w:rsidP="002E1992"/>
    <w:p w:rsidR="002E672E" w:rsidRPr="002E1992" w:rsidRDefault="00A50D32" w:rsidP="002E1992">
      <w:r w:rsidRPr="002E199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2E672E" w:rsidRPr="002E1992" w:rsidRDefault="002E672E" w:rsidP="002E1992">
      <w:pPr>
        <w:jc w:val="center"/>
        <w:rPr>
          <w:b/>
        </w:rPr>
      </w:pPr>
    </w:p>
    <w:p w:rsidR="002E672E" w:rsidRPr="002E1992" w:rsidRDefault="00A50D32" w:rsidP="002E1992">
      <w:pPr>
        <w:pStyle w:val="Puesto"/>
        <w:jc w:val="center"/>
        <w:rPr>
          <w:b/>
        </w:rPr>
      </w:pPr>
      <w:r w:rsidRPr="002E1992">
        <w:rPr>
          <w:b/>
        </w:rPr>
        <w:t>Ley de Transparencia y Acceso a la Información Pública del Estado de México y Municipios</w:t>
      </w:r>
    </w:p>
    <w:p w:rsidR="002E672E" w:rsidRPr="002E1992" w:rsidRDefault="002E672E" w:rsidP="002E1992"/>
    <w:p w:rsidR="002E672E" w:rsidRPr="002E1992" w:rsidRDefault="00A50D32" w:rsidP="002E1992">
      <w:pPr>
        <w:pStyle w:val="Puesto"/>
      </w:pPr>
      <w:r w:rsidRPr="002E1992">
        <w:rPr>
          <w:b/>
        </w:rPr>
        <w:t xml:space="preserve">“Artículo 49. </w:t>
      </w:r>
      <w:r w:rsidRPr="002E1992">
        <w:t>Los Comités de Transparencia tendrán las siguientes atribuciones:</w:t>
      </w:r>
    </w:p>
    <w:p w:rsidR="002E672E" w:rsidRPr="002E1992" w:rsidRDefault="00A50D32" w:rsidP="002E1992">
      <w:pPr>
        <w:pStyle w:val="Puesto"/>
      </w:pPr>
      <w:r w:rsidRPr="002E1992">
        <w:rPr>
          <w:b/>
        </w:rPr>
        <w:t>VIII.</w:t>
      </w:r>
      <w:r w:rsidRPr="002E1992">
        <w:t xml:space="preserve"> Aprobar, modificar o revocar la clasificación de la información;</w:t>
      </w:r>
    </w:p>
    <w:p w:rsidR="002E672E" w:rsidRPr="002E1992" w:rsidRDefault="002E672E" w:rsidP="002E1992"/>
    <w:p w:rsidR="002E672E" w:rsidRPr="002E1992" w:rsidRDefault="00A50D32" w:rsidP="002E1992">
      <w:pPr>
        <w:pStyle w:val="Puesto"/>
      </w:pPr>
      <w:r w:rsidRPr="002E1992">
        <w:rPr>
          <w:b/>
        </w:rPr>
        <w:lastRenderedPageBreak/>
        <w:t>Artículo 132.</w:t>
      </w:r>
      <w:r w:rsidRPr="002E1992">
        <w:t xml:space="preserve"> La clasificación de la información se llevará a cabo en el momento en que:</w:t>
      </w:r>
    </w:p>
    <w:p w:rsidR="002E672E" w:rsidRPr="002E1992" w:rsidRDefault="00A50D32" w:rsidP="002E1992">
      <w:pPr>
        <w:pStyle w:val="Puesto"/>
      </w:pPr>
      <w:r w:rsidRPr="002E1992">
        <w:rPr>
          <w:b/>
        </w:rPr>
        <w:t>I.</w:t>
      </w:r>
      <w:r w:rsidRPr="002E1992">
        <w:t xml:space="preserve"> Se reciba una solicitud de acceso a la información;</w:t>
      </w:r>
    </w:p>
    <w:p w:rsidR="002E672E" w:rsidRPr="002E1992" w:rsidRDefault="00A50D32" w:rsidP="002E1992">
      <w:pPr>
        <w:pStyle w:val="Puesto"/>
      </w:pPr>
      <w:r w:rsidRPr="002E1992">
        <w:rPr>
          <w:b/>
        </w:rPr>
        <w:t>II.</w:t>
      </w:r>
      <w:r w:rsidRPr="002E1992">
        <w:t xml:space="preserve"> Se determine mediante resolución de autoridad competente; o</w:t>
      </w:r>
    </w:p>
    <w:p w:rsidR="002E672E" w:rsidRPr="002E1992" w:rsidRDefault="00A50D32" w:rsidP="002E1992">
      <w:pPr>
        <w:pStyle w:val="Puesto"/>
        <w:rPr>
          <w:b/>
        </w:rPr>
      </w:pPr>
      <w:r w:rsidRPr="002E1992">
        <w:rPr>
          <w:b/>
        </w:rPr>
        <w:t>III.</w:t>
      </w:r>
      <w:r w:rsidRPr="002E1992">
        <w:t xml:space="preserve"> Se generen versiones públicas para dar cumplimiento a las obligaciones de transparencia previstas en esta Ley.</w:t>
      </w:r>
      <w:r w:rsidRPr="002E1992">
        <w:rPr>
          <w:b/>
        </w:rPr>
        <w:t>”</w:t>
      </w:r>
    </w:p>
    <w:p w:rsidR="002E672E" w:rsidRPr="002E1992" w:rsidRDefault="002E672E" w:rsidP="002E1992"/>
    <w:p w:rsidR="002E672E" w:rsidRPr="002E1992" w:rsidRDefault="00A50D32" w:rsidP="002E1992">
      <w:pPr>
        <w:pStyle w:val="Puesto"/>
      </w:pPr>
      <w:r w:rsidRPr="002E1992">
        <w:rPr>
          <w:b/>
        </w:rPr>
        <w:t>“Segundo. -</w:t>
      </w:r>
      <w:r w:rsidRPr="002E1992">
        <w:t xml:space="preserve"> Para efectos de los presentes Lineamientos Generales, se entenderá por:</w:t>
      </w:r>
    </w:p>
    <w:p w:rsidR="002E672E" w:rsidRPr="002E1992" w:rsidRDefault="00A50D32" w:rsidP="002E1992">
      <w:pPr>
        <w:pStyle w:val="Puesto"/>
      </w:pPr>
      <w:r w:rsidRPr="002E1992">
        <w:rPr>
          <w:b/>
        </w:rPr>
        <w:t>XVIII.</w:t>
      </w:r>
      <w:r w:rsidRPr="002E1992">
        <w:t xml:space="preserve">  </w:t>
      </w:r>
      <w:r w:rsidRPr="002E1992">
        <w:rPr>
          <w:b/>
        </w:rPr>
        <w:t>Versión pública:</w:t>
      </w:r>
      <w:r w:rsidRPr="002E199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2E672E" w:rsidRPr="002E1992" w:rsidRDefault="002E672E" w:rsidP="002E1992">
      <w:pPr>
        <w:pStyle w:val="Puesto"/>
      </w:pPr>
    </w:p>
    <w:p w:rsidR="002E672E" w:rsidRPr="002E1992" w:rsidRDefault="00A50D32" w:rsidP="002E1992">
      <w:pPr>
        <w:pStyle w:val="Puesto"/>
        <w:jc w:val="center"/>
        <w:rPr>
          <w:b/>
          <w:i w:val="0"/>
        </w:rPr>
      </w:pPr>
      <w:r w:rsidRPr="002E1992">
        <w:rPr>
          <w:b/>
        </w:rPr>
        <w:t>Lineamientos Generales en materia de Clasificación y Desclasificación de la Información</w:t>
      </w:r>
    </w:p>
    <w:p w:rsidR="002E672E" w:rsidRPr="002E1992" w:rsidRDefault="002E672E" w:rsidP="002E1992">
      <w:pPr>
        <w:pBdr>
          <w:top w:val="nil"/>
          <w:left w:val="nil"/>
          <w:bottom w:val="nil"/>
          <w:right w:val="nil"/>
          <w:between w:val="nil"/>
        </w:pBdr>
        <w:spacing w:line="240" w:lineRule="auto"/>
        <w:ind w:left="567" w:right="567" w:firstLine="567"/>
        <w:rPr>
          <w:i/>
        </w:rPr>
      </w:pPr>
    </w:p>
    <w:p w:rsidR="002E672E" w:rsidRPr="002E1992" w:rsidRDefault="00A50D32" w:rsidP="002E1992">
      <w:pPr>
        <w:pStyle w:val="Puesto"/>
        <w:rPr>
          <w:i w:val="0"/>
        </w:rPr>
      </w:pPr>
      <w:r w:rsidRPr="002E1992">
        <w:rPr>
          <w:b/>
        </w:rPr>
        <w:t>Cuarto.</w:t>
      </w:r>
      <w:r w:rsidRPr="002E199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2E672E" w:rsidRPr="002E1992" w:rsidRDefault="00A50D32" w:rsidP="002E1992">
      <w:pPr>
        <w:pStyle w:val="Puesto"/>
        <w:rPr>
          <w:i w:val="0"/>
        </w:rPr>
      </w:pPr>
      <w:r w:rsidRPr="002E1992">
        <w:t>Los sujetos obligados deberán aplicar, de manera estricta, las excepciones al derecho de acceso a la información y sólo podrán invocarlas cuando acrediten su procedencia.</w:t>
      </w:r>
    </w:p>
    <w:p w:rsidR="002E672E" w:rsidRPr="002E1992" w:rsidRDefault="002E672E" w:rsidP="002E1992"/>
    <w:p w:rsidR="002E672E" w:rsidRPr="002E1992" w:rsidRDefault="00A50D32" w:rsidP="002E1992">
      <w:pPr>
        <w:pStyle w:val="Puesto"/>
        <w:rPr>
          <w:i w:val="0"/>
        </w:rPr>
      </w:pPr>
      <w:r w:rsidRPr="002E1992">
        <w:rPr>
          <w:b/>
        </w:rPr>
        <w:t>Quinto.</w:t>
      </w:r>
      <w:r w:rsidRPr="002E199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2E672E" w:rsidRPr="002E1992" w:rsidRDefault="002E672E" w:rsidP="002E1992"/>
    <w:p w:rsidR="002E672E" w:rsidRPr="002E1992" w:rsidRDefault="00A50D32" w:rsidP="002E1992">
      <w:pPr>
        <w:pStyle w:val="Puesto"/>
        <w:rPr>
          <w:i w:val="0"/>
        </w:rPr>
      </w:pPr>
      <w:r w:rsidRPr="002E1992">
        <w:rPr>
          <w:b/>
        </w:rPr>
        <w:t>Sexto.</w:t>
      </w:r>
      <w:r w:rsidRPr="002E1992">
        <w:t xml:space="preserve"> Se deroga.</w:t>
      </w:r>
    </w:p>
    <w:p w:rsidR="002E672E" w:rsidRPr="002E1992" w:rsidRDefault="002E672E" w:rsidP="002E1992"/>
    <w:p w:rsidR="002E672E" w:rsidRPr="002E1992" w:rsidRDefault="00A50D32" w:rsidP="002E1992">
      <w:pPr>
        <w:pStyle w:val="Puesto"/>
        <w:rPr>
          <w:i w:val="0"/>
        </w:rPr>
      </w:pPr>
      <w:r w:rsidRPr="002E1992">
        <w:rPr>
          <w:b/>
        </w:rPr>
        <w:t>Séptimo.</w:t>
      </w:r>
      <w:r w:rsidRPr="002E1992">
        <w:t xml:space="preserve"> La clasificación de la información se llevará a cabo en el momento en que:</w:t>
      </w:r>
    </w:p>
    <w:p w:rsidR="002E672E" w:rsidRPr="002E1992" w:rsidRDefault="00A50D32" w:rsidP="002E1992">
      <w:pPr>
        <w:pStyle w:val="Puesto"/>
        <w:rPr>
          <w:i w:val="0"/>
        </w:rPr>
      </w:pPr>
      <w:r w:rsidRPr="002E1992">
        <w:rPr>
          <w:b/>
        </w:rPr>
        <w:t>I.</w:t>
      </w:r>
      <w:r w:rsidRPr="002E1992">
        <w:t xml:space="preserve">        Se reciba una solicitud de </w:t>
      </w:r>
      <w:r w:rsidRPr="002E1992">
        <w:rPr>
          <w:i w:val="0"/>
        </w:rPr>
        <w:t>acceso</w:t>
      </w:r>
      <w:r w:rsidRPr="002E1992">
        <w:t xml:space="preserve"> a la información;</w:t>
      </w:r>
    </w:p>
    <w:p w:rsidR="002E672E" w:rsidRPr="002E1992" w:rsidRDefault="00A50D32" w:rsidP="002E1992">
      <w:pPr>
        <w:pStyle w:val="Puesto"/>
      </w:pPr>
      <w:r w:rsidRPr="002E1992">
        <w:rPr>
          <w:b/>
        </w:rPr>
        <w:lastRenderedPageBreak/>
        <w:t>II.</w:t>
      </w:r>
      <w:r w:rsidRPr="002E1992">
        <w:t xml:space="preserve">       Se determine mediante resolución del Comité de Transparencia, el órgano garante competente, o en cumplimiento a una sentencia del Poder Judicial; o</w:t>
      </w:r>
    </w:p>
    <w:p w:rsidR="002E672E" w:rsidRPr="002E1992" w:rsidRDefault="00A50D32" w:rsidP="002E1992">
      <w:pPr>
        <w:pStyle w:val="Puesto"/>
      </w:pPr>
      <w:r w:rsidRPr="002E1992">
        <w:rPr>
          <w:b/>
        </w:rPr>
        <w:t>III.</w:t>
      </w:r>
      <w:r w:rsidRPr="002E1992">
        <w:t xml:space="preserve">      Se generen versiones públicas para dar cumplimiento a las obligaciones de transparencia previstas en la Ley General, la Ley Federal y las correspondientes de las entidades federativas.</w:t>
      </w:r>
    </w:p>
    <w:p w:rsidR="002E672E" w:rsidRPr="002E1992" w:rsidRDefault="00A50D32" w:rsidP="002E1992">
      <w:pPr>
        <w:pStyle w:val="Puesto"/>
      </w:pPr>
      <w:r w:rsidRPr="002E1992">
        <w:t xml:space="preserve">Los titulares de las áreas deberán revisar la información requerida al momento de la recepción de una solicitud de acceso, para verificar, conforme a su naturaleza, si encuadra en una causal de reserva o de confidencialidad. </w:t>
      </w:r>
    </w:p>
    <w:p w:rsidR="002E672E" w:rsidRPr="002E1992" w:rsidRDefault="002E672E" w:rsidP="002E1992">
      <w:pPr>
        <w:pStyle w:val="Puesto"/>
      </w:pPr>
    </w:p>
    <w:p w:rsidR="002E672E" w:rsidRPr="002E1992" w:rsidRDefault="00A50D32" w:rsidP="002E1992">
      <w:pPr>
        <w:pStyle w:val="Puesto"/>
        <w:rPr>
          <w:i w:val="0"/>
        </w:rPr>
      </w:pPr>
      <w:r w:rsidRPr="002E1992">
        <w:rPr>
          <w:b/>
        </w:rPr>
        <w:t>Octavo.</w:t>
      </w:r>
      <w:r w:rsidRPr="002E199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2E672E" w:rsidRPr="002E1992" w:rsidRDefault="00A50D32" w:rsidP="002E1992">
      <w:pPr>
        <w:pStyle w:val="Puesto"/>
        <w:rPr>
          <w:i w:val="0"/>
        </w:rPr>
      </w:pPr>
      <w:r w:rsidRPr="002E1992">
        <w:t>Para motivar la clasificación se deberán señalar las razones o circunstancias especiales que lo llevaron a concluir que el caso particular se ajusta al supuesto previsto por la norma legal invocada como fundamento.</w:t>
      </w:r>
    </w:p>
    <w:p w:rsidR="002E672E" w:rsidRPr="002E1992" w:rsidRDefault="00A50D32" w:rsidP="002E1992">
      <w:pPr>
        <w:pStyle w:val="Puesto"/>
        <w:rPr>
          <w:i w:val="0"/>
        </w:rPr>
      </w:pPr>
      <w:r w:rsidRPr="002E199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2E672E" w:rsidRPr="002E1992" w:rsidRDefault="002E672E" w:rsidP="002E1992"/>
    <w:p w:rsidR="002E672E" w:rsidRPr="002E1992" w:rsidRDefault="00A50D32" w:rsidP="002E1992">
      <w:pPr>
        <w:pStyle w:val="Puesto"/>
        <w:rPr>
          <w:i w:val="0"/>
        </w:rPr>
      </w:pPr>
      <w:r w:rsidRPr="002E1992">
        <w:rPr>
          <w:b/>
        </w:rPr>
        <w:t>Noveno.</w:t>
      </w:r>
      <w:r w:rsidRPr="002E199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2E672E" w:rsidRPr="002E1992" w:rsidRDefault="002E672E" w:rsidP="002E1992"/>
    <w:p w:rsidR="002E672E" w:rsidRPr="002E1992" w:rsidRDefault="00A50D32" w:rsidP="002E1992">
      <w:pPr>
        <w:pStyle w:val="Puesto"/>
        <w:rPr>
          <w:i w:val="0"/>
        </w:rPr>
      </w:pPr>
      <w:r w:rsidRPr="002E1992">
        <w:rPr>
          <w:b/>
        </w:rPr>
        <w:t>Décimo.</w:t>
      </w:r>
      <w:r w:rsidRPr="002E199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2E672E" w:rsidRPr="002E1992" w:rsidRDefault="00A50D32" w:rsidP="002E1992">
      <w:pPr>
        <w:pStyle w:val="Puesto"/>
        <w:rPr>
          <w:i w:val="0"/>
        </w:rPr>
      </w:pPr>
      <w:r w:rsidRPr="002E1992">
        <w:t>En ausencia de los titulares de las áreas, la información será clasificada o desclasificada por la persona que lo supla, en términos de la normativa que rija la actuación del sujeto obligado.</w:t>
      </w:r>
    </w:p>
    <w:p w:rsidR="002E672E" w:rsidRPr="002E1992" w:rsidRDefault="00A50D32" w:rsidP="002E1992">
      <w:pPr>
        <w:pStyle w:val="Puesto"/>
        <w:rPr>
          <w:b/>
          <w:i w:val="0"/>
        </w:rPr>
      </w:pPr>
      <w:r w:rsidRPr="002E1992">
        <w:rPr>
          <w:b/>
        </w:rPr>
        <w:t>Décimo primero.</w:t>
      </w:r>
      <w:r w:rsidRPr="002E199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E1992">
        <w:rPr>
          <w:b/>
        </w:rPr>
        <w:t>”</w:t>
      </w:r>
    </w:p>
    <w:p w:rsidR="002E672E" w:rsidRPr="002E1992" w:rsidRDefault="002E672E" w:rsidP="002E1992"/>
    <w:p w:rsidR="002E672E" w:rsidRPr="002E1992" w:rsidRDefault="00A50D32" w:rsidP="002E1992">
      <w:r w:rsidRPr="002E1992">
        <w:t xml:space="preserve">Consecuentemente, se destaca que la versión pública que elabore </w:t>
      </w:r>
      <w:r w:rsidRPr="002E1992">
        <w:rPr>
          <w:b/>
        </w:rPr>
        <w:t>EL SUJETO OBLIGADO</w:t>
      </w:r>
      <w:r w:rsidRPr="002E1992">
        <w:t xml:space="preserve"> debe cumplir con las formalidades exigidas en la Ley, por lo que para tal efecto emitirá el </w:t>
      </w:r>
      <w:r w:rsidRPr="002E1992">
        <w:rPr>
          <w:b/>
        </w:rPr>
        <w:t>Acuerdo del Comité de Transparencia</w:t>
      </w:r>
      <w:r w:rsidRPr="002E199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rsidR="002E672E" w:rsidRPr="002E1992" w:rsidRDefault="002E672E" w:rsidP="002E1992"/>
    <w:p w:rsidR="002E672E" w:rsidRPr="002E1992" w:rsidRDefault="00A50D32" w:rsidP="002E1992">
      <w:r w:rsidRPr="002E1992">
        <w:t xml:space="preserve">Finalmente, no se omite comentar que mediante respuesta </w:t>
      </w:r>
      <w:r w:rsidRPr="002E1992">
        <w:rPr>
          <w:b/>
        </w:rPr>
        <w:t>EL SUJETO OBLIGADO</w:t>
      </w:r>
      <w:r w:rsidRPr="002E1992">
        <w:t xml:space="preserve"> dejó visible información confidencial como credenciales de elector,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rsidR="002E672E" w:rsidRPr="002E1992" w:rsidRDefault="002E672E" w:rsidP="002E1992">
      <w:pPr>
        <w:rPr>
          <w:b/>
        </w:rPr>
      </w:pPr>
    </w:p>
    <w:p w:rsidR="002E672E" w:rsidRPr="002E1992" w:rsidRDefault="00A50D32" w:rsidP="002E1992">
      <w:pPr>
        <w:keepNext/>
        <w:keepLines/>
        <w:pBdr>
          <w:top w:val="nil"/>
          <w:left w:val="nil"/>
          <w:bottom w:val="nil"/>
          <w:right w:val="nil"/>
          <w:between w:val="nil"/>
        </w:pBdr>
        <w:spacing w:line="480" w:lineRule="auto"/>
        <w:jc w:val="left"/>
        <w:rPr>
          <w:rFonts w:eastAsia="Palatino Linotype" w:cs="Palatino Linotype"/>
          <w:b/>
          <w:szCs w:val="22"/>
        </w:rPr>
      </w:pPr>
      <w:bookmarkStart w:id="46" w:name="_heading=h.2dlolyb" w:colFirst="0" w:colLast="0"/>
      <w:bookmarkEnd w:id="46"/>
      <w:r w:rsidRPr="002E1992">
        <w:rPr>
          <w:rFonts w:eastAsia="Palatino Linotype" w:cs="Palatino Linotype"/>
          <w:b/>
          <w:szCs w:val="22"/>
        </w:rPr>
        <w:t>e) Conclusión</w:t>
      </w:r>
    </w:p>
    <w:p w:rsidR="002E672E" w:rsidRPr="002E1992" w:rsidRDefault="00A50D32" w:rsidP="002E1992">
      <w:pPr>
        <w:ind w:right="-93"/>
      </w:pPr>
      <w:bookmarkStart w:id="47" w:name="_heading=h.2p2csry" w:colFirst="0" w:colLast="0"/>
      <w:bookmarkEnd w:id="47"/>
      <w:r w:rsidRPr="002E1992">
        <w:t>Una vez llegado a este punto y por las razones esgrimidas a lo largo del presente estudio, se puede arribar a las siguientes conclusiones.</w:t>
      </w:r>
    </w:p>
    <w:p w:rsidR="002E672E" w:rsidRPr="002E1992" w:rsidRDefault="002E672E" w:rsidP="002E1992">
      <w:pPr>
        <w:ind w:right="-93"/>
      </w:pPr>
    </w:p>
    <w:p w:rsidR="002E672E" w:rsidRPr="002E1992" w:rsidRDefault="00A50D32" w:rsidP="002E1992">
      <w:pPr>
        <w:numPr>
          <w:ilvl w:val="0"/>
          <w:numId w:val="3"/>
        </w:numPr>
        <w:pBdr>
          <w:top w:val="nil"/>
          <w:left w:val="nil"/>
          <w:bottom w:val="nil"/>
          <w:right w:val="nil"/>
          <w:between w:val="nil"/>
        </w:pBdr>
        <w:ind w:right="-93"/>
      </w:pPr>
      <w:r w:rsidRPr="002E1992">
        <w:rPr>
          <w:b/>
        </w:rPr>
        <w:t>El SUJETO OBLIGADO</w:t>
      </w:r>
      <w:r w:rsidRPr="002E1992">
        <w:t xml:space="preserve"> es competente para conocer de la información solicitada, lo cual asumió en su respuesta y ratificó en su informe justificado. </w:t>
      </w:r>
    </w:p>
    <w:p w:rsidR="002E672E" w:rsidRPr="002E1992" w:rsidRDefault="00A50D32" w:rsidP="002E1992">
      <w:pPr>
        <w:numPr>
          <w:ilvl w:val="0"/>
          <w:numId w:val="3"/>
        </w:numPr>
        <w:pBdr>
          <w:top w:val="nil"/>
          <w:left w:val="nil"/>
          <w:bottom w:val="nil"/>
          <w:right w:val="nil"/>
          <w:between w:val="nil"/>
        </w:pBdr>
        <w:ind w:right="-93"/>
      </w:pPr>
      <w:r w:rsidRPr="002E1992">
        <w:lastRenderedPageBreak/>
        <w:t xml:space="preserve">En su respuesta y en el Informe Justificado remitió la información que colma los requerimientos relacionados con el número de auditorías y las actas, así como la cantidad erogada por consumo de combustible. </w:t>
      </w:r>
    </w:p>
    <w:p w:rsidR="002E672E" w:rsidRPr="002E1992" w:rsidRDefault="00A50D32" w:rsidP="002E1992">
      <w:pPr>
        <w:numPr>
          <w:ilvl w:val="0"/>
          <w:numId w:val="3"/>
        </w:numPr>
        <w:pBdr>
          <w:top w:val="nil"/>
          <w:left w:val="nil"/>
          <w:bottom w:val="nil"/>
          <w:right w:val="nil"/>
          <w:between w:val="nil"/>
        </w:pBdr>
        <w:ind w:right="-93"/>
      </w:pPr>
      <w:r w:rsidRPr="002E1992">
        <w:t xml:space="preserve">No obstante, fue omiso en remitir la información relacionada con los pases de salida, misma que en su respuesta refirió enviar, y los documentos donde consten las salidas por comisión, por lo que deberá hacer entrega de los mismos. </w:t>
      </w:r>
    </w:p>
    <w:p w:rsidR="002E672E" w:rsidRPr="002E1992" w:rsidRDefault="002E672E" w:rsidP="002E1992">
      <w:pPr>
        <w:ind w:right="-93"/>
      </w:pPr>
    </w:p>
    <w:p w:rsidR="002E672E" w:rsidRPr="002E1992" w:rsidRDefault="00A50D32" w:rsidP="002E1992">
      <w:pPr>
        <w:ind w:right="-93"/>
      </w:pPr>
      <w:r w:rsidRPr="002E199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2E672E" w:rsidRPr="002E1992" w:rsidRDefault="002E672E" w:rsidP="002E1992"/>
    <w:p w:rsidR="002E672E" w:rsidRPr="002E1992" w:rsidRDefault="00A50D32" w:rsidP="002E1992">
      <w:pPr>
        <w:keepNext/>
        <w:keepLines/>
        <w:pBdr>
          <w:top w:val="nil"/>
          <w:left w:val="nil"/>
          <w:bottom w:val="nil"/>
          <w:right w:val="nil"/>
          <w:between w:val="nil"/>
        </w:pBdr>
        <w:jc w:val="center"/>
        <w:rPr>
          <w:rFonts w:eastAsia="Palatino Linotype" w:cs="Palatino Linotype"/>
          <w:b/>
          <w:szCs w:val="22"/>
        </w:rPr>
      </w:pPr>
      <w:bookmarkStart w:id="48" w:name="_heading=h.sqyw64" w:colFirst="0" w:colLast="0"/>
      <w:bookmarkEnd w:id="48"/>
      <w:r w:rsidRPr="002E1992">
        <w:rPr>
          <w:rFonts w:eastAsia="Palatino Linotype" w:cs="Palatino Linotype"/>
          <w:b/>
          <w:szCs w:val="22"/>
        </w:rPr>
        <w:t>RESUELVE</w:t>
      </w:r>
    </w:p>
    <w:p w:rsidR="002E672E" w:rsidRPr="002E1992" w:rsidRDefault="002E672E" w:rsidP="002E1992">
      <w:pPr>
        <w:ind w:right="113"/>
        <w:rPr>
          <w:b/>
        </w:rPr>
      </w:pPr>
    </w:p>
    <w:p w:rsidR="002E672E" w:rsidRPr="002E1992" w:rsidRDefault="00A50D32" w:rsidP="002E1992">
      <w:pPr>
        <w:widowControl w:val="0"/>
      </w:pPr>
      <w:r w:rsidRPr="002E1992">
        <w:rPr>
          <w:b/>
        </w:rPr>
        <w:t>PRIMERO.</w:t>
      </w:r>
      <w:r w:rsidRPr="002E1992">
        <w:t xml:space="preserve"> Se </w:t>
      </w:r>
      <w:r w:rsidRPr="002E1992">
        <w:rPr>
          <w:b/>
        </w:rPr>
        <w:t>MODIFICA</w:t>
      </w:r>
      <w:r w:rsidRPr="002E1992">
        <w:t xml:space="preserve"> la respuesta entregada por el </w:t>
      </w:r>
      <w:r w:rsidRPr="002E1992">
        <w:rPr>
          <w:b/>
        </w:rPr>
        <w:t>SUJETO OBLIGADO</w:t>
      </w:r>
      <w:r w:rsidRPr="002E1992">
        <w:t xml:space="preserve"> en la solicitud de información </w:t>
      </w:r>
      <w:r w:rsidRPr="002E1992">
        <w:rPr>
          <w:b/>
        </w:rPr>
        <w:t>00003/VIALLEN/IP/2024</w:t>
      </w:r>
      <w:r w:rsidRPr="002E1992">
        <w:t xml:space="preserve">, por resultar </w:t>
      </w:r>
      <w:r w:rsidRPr="002E1992">
        <w:rPr>
          <w:b/>
        </w:rPr>
        <w:t>FUNDADAS</w:t>
      </w:r>
      <w:r w:rsidRPr="002E1992">
        <w:t xml:space="preserve"> las razones o motivos de inconformidad hechos valer por </w:t>
      </w:r>
      <w:r w:rsidRPr="002E1992">
        <w:rPr>
          <w:b/>
        </w:rPr>
        <w:t>LA PARTE RECURRENTE</w:t>
      </w:r>
      <w:r w:rsidRPr="002E1992">
        <w:t xml:space="preserve"> en el Recurso de Revisión </w:t>
      </w:r>
      <w:r w:rsidRPr="002E1992">
        <w:rPr>
          <w:b/>
        </w:rPr>
        <w:t xml:space="preserve">00402/INFOEM/IP/RR/2024, </w:t>
      </w:r>
      <w:r w:rsidRPr="002E1992">
        <w:t xml:space="preserve">en términos del considerando </w:t>
      </w:r>
      <w:r w:rsidRPr="002E1992">
        <w:rPr>
          <w:b/>
        </w:rPr>
        <w:t>SEGUNDO</w:t>
      </w:r>
      <w:r w:rsidRPr="002E1992">
        <w:t xml:space="preserve"> de la presente Resolución.</w:t>
      </w:r>
    </w:p>
    <w:p w:rsidR="002E672E" w:rsidRPr="002E1992" w:rsidRDefault="002E672E" w:rsidP="002E1992">
      <w:pPr>
        <w:widowControl w:val="0"/>
      </w:pPr>
    </w:p>
    <w:p w:rsidR="002E672E" w:rsidRPr="002E1992" w:rsidRDefault="00A50D32" w:rsidP="002E1992">
      <w:pPr>
        <w:ind w:right="-93"/>
      </w:pPr>
      <w:r w:rsidRPr="002E1992">
        <w:rPr>
          <w:b/>
        </w:rPr>
        <w:t>SEGUNDO.</w:t>
      </w:r>
      <w:r w:rsidRPr="002E1992">
        <w:t xml:space="preserve"> Se </w:t>
      </w:r>
      <w:r w:rsidRPr="002E1992">
        <w:rPr>
          <w:b/>
        </w:rPr>
        <w:t xml:space="preserve">ORDENA </w:t>
      </w:r>
      <w:r w:rsidRPr="002E1992">
        <w:t xml:space="preserve">al </w:t>
      </w:r>
      <w:r w:rsidRPr="002E1992">
        <w:rPr>
          <w:b/>
        </w:rPr>
        <w:t>SUJETO OBLIGADO</w:t>
      </w:r>
      <w:r w:rsidRPr="002E1992">
        <w:t>, haga entrega a través del</w:t>
      </w:r>
      <w:r w:rsidRPr="002E1992">
        <w:rPr>
          <w:b/>
        </w:rPr>
        <w:t xml:space="preserve"> SAIMEX</w:t>
      </w:r>
      <w:r w:rsidRPr="002E1992">
        <w:t>, de ser procedente, en versión pública, de lo siguiente:</w:t>
      </w:r>
    </w:p>
    <w:p w:rsidR="00EC4365" w:rsidRPr="002E1992" w:rsidRDefault="00EC4365" w:rsidP="002E1992">
      <w:pPr>
        <w:ind w:right="-93"/>
      </w:pPr>
    </w:p>
    <w:p w:rsidR="002E672E" w:rsidRPr="002E1992" w:rsidRDefault="00A50D32" w:rsidP="002E1992">
      <w:pPr>
        <w:numPr>
          <w:ilvl w:val="0"/>
          <w:numId w:val="6"/>
        </w:numPr>
        <w:rPr>
          <w:i/>
        </w:rPr>
      </w:pPr>
      <w:r w:rsidRPr="002E1992">
        <w:rPr>
          <w:i/>
        </w:rPr>
        <w:lastRenderedPageBreak/>
        <w:t>Los documentos donde consten los pases de salida de todo el personal que labora en puestos directivos, coordinaciones, o similares del primero de enero de dos mil veintidós al once de enero del dos mil veinticuatro.</w:t>
      </w:r>
    </w:p>
    <w:p w:rsidR="002E672E" w:rsidRPr="002E1992" w:rsidRDefault="00A50D32" w:rsidP="002E1992">
      <w:pPr>
        <w:numPr>
          <w:ilvl w:val="0"/>
          <w:numId w:val="6"/>
        </w:numPr>
        <w:rPr>
          <w:i/>
        </w:rPr>
      </w:pPr>
      <w:r w:rsidRPr="002E1992">
        <w:rPr>
          <w:i/>
        </w:rPr>
        <w:t xml:space="preserve">Los documentos donde consten los comprobantes de las salidas de comisión de personal que ostenta mandos medios y superiores, del </w:t>
      </w:r>
      <w:r w:rsidR="00EC4365" w:rsidRPr="002E1992">
        <w:rPr>
          <w:i/>
        </w:rPr>
        <w:t>1</w:t>
      </w:r>
      <w:r w:rsidRPr="002E1992">
        <w:rPr>
          <w:i/>
        </w:rPr>
        <w:t xml:space="preserve"> de enero de </w:t>
      </w:r>
      <w:r w:rsidR="00EC4365" w:rsidRPr="002E1992">
        <w:rPr>
          <w:i/>
        </w:rPr>
        <w:t>2022</w:t>
      </w:r>
      <w:r w:rsidRPr="002E1992">
        <w:rPr>
          <w:i/>
        </w:rPr>
        <w:t xml:space="preserve"> al </w:t>
      </w:r>
      <w:r w:rsidR="00EC4365" w:rsidRPr="002E1992">
        <w:rPr>
          <w:i/>
        </w:rPr>
        <w:t>11 d</w:t>
      </w:r>
      <w:r w:rsidRPr="002E1992">
        <w:rPr>
          <w:i/>
        </w:rPr>
        <w:t>e enero de</w:t>
      </w:r>
      <w:r w:rsidR="00EC4365" w:rsidRPr="002E1992">
        <w:rPr>
          <w:i/>
        </w:rPr>
        <w:t xml:space="preserve"> 2024</w:t>
      </w:r>
      <w:r w:rsidRPr="002E1992">
        <w:rPr>
          <w:i/>
        </w:rPr>
        <w:t>.</w:t>
      </w:r>
    </w:p>
    <w:p w:rsidR="002E672E" w:rsidRPr="002E1992" w:rsidRDefault="002E672E" w:rsidP="002E1992">
      <w:pPr>
        <w:ind w:right="-93"/>
      </w:pPr>
    </w:p>
    <w:p w:rsidR="002E672E" w:rsidRPr="002E1992" w:rsidRDefault="00A50D32" w:rsidP="002E1992">
      <w:pPr>
        <w:ind w:right="-93"/>
      </w:pPr>
      <w:r w:rsidRPr="002E1992">
        <w:t>De ser necesarias las versiones públicas, se deberá entregar el Acuerdo del Comité de Transparencia, mediante el cual se apruebe la clasificación de la información, en términos del artículo 49, fracción VIII de la Ley de Transparencia y Acceso a la Información Pública del Estado de México y Municipios.</w:t>
      </w:r>
    </w:p>
    <w:p w:rsidR="002E672E" w:rsidRPr="002E1992" w:rsidRDefault="002E672E" w:rsidP="002E1992">
      <w:pPr>
        <w:spacing w:before="240"/>
      </w:pPr>
    </w:p>
    <w:p w:rsidR="002E672E" w:rsidRPr="002E1992" w:rsidRDefault="00A50D32" w:rsidP="002E1992">
      <w:r w:rsidRPr="002E1992">
        <w:rPr>
          <w:b/>
        </w:rPr>
        <w:t>TERCERO.</w:t>
      </w:r>
      <w:r w:rsidRPr="002E1992">
        <w:t xml:space="preserve"> Notifíquese la presente resolución al Titular de la Unidad de Transparencia del </w:t>
      </w:r>
      <w:r w:rsidRPr="002E1992">
        <w:rPr>
          <w:b/>
        </w:rPr>
        <w:t xml:space="preserve">SUJETO OBLIGADO </w:t>
      </w:r>
      <w:r w:rsidRPr="002E1992">
        <w:t>vía Sistema de Acceso a la Información Mexiquense (</w:t>
      </w:r>
      <w:r w:rsidRPr="002E1992">
        <w:rPr>
          <w:b/>
        </w:rPr>
        <w:t>SAIMEX</w:t>
      </w:r>
      <w:r w:rsidRPr="002E1992">
        <w:t xml:space="preserve">), para que conforme al artículo 186 último párrafo, 189 segundo párrafo y 194 de la Ley de Transparencia y Acceso a la Información Pública del Estado de México y Municipios, dé cumplimiento a lo ordenado dentro del plazo de </w:t>
      </w:r>
      <w:r w:rsidRPr="002E1992">
        <w:rPr>
          <w:b/>
        </w:rPr>
        <w:t>diez días hábiles</w:t>
      </w:r>
      <w:r w:rsidRPr="002E1992">
        <w:t xml:space="preserve">, e informe a este Instituto en un plazo de </w:t>
      </w:r>
      <w:r w:rsidRPr="002E1992">
        <w:rPr>
          <w:b/>
        </w:rPr>
        <w:t>tres días hábiles</w:t>
      </w:r>
      <w:r w:rsidRPr="002E199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E672E" w:rsidRPr="002E1992" w:rsidRDefault="002E672E" w:rsidP="002E1992"/>
    <w:p w:rsidR="002E672E" w:rsidRPr="002E1992" w:rsidRDefault="00A50D32" w:rsidP="002E1992">
      <w:r w:rsidRPr="002E1992">
        <w:rPr>
          <w:b/>
        </w:rPr>
        <w:t>CUARTO.</w:t>
      </w:r>
      <w:r w:rsidRPr="002E1992">
        <w:t xml:space="preserve"> Notifíquese a </w:t>
      </w:r>
      <w:r w:rsidRPr="002E1992">
        <w:rPr>
          <w:b/>
        </w:rPr>
        <w:t>LA PARTE RECURRENTE</w:t>
      </w:r>
      <w:r w:rsidRPr="002E1992">
        <w:t xml:space="preserve"> la presente resolución vía Sistema de Acceso a la Información Mexiquense (</w:t>
      </w:r>
      <w:r w:rsidRPr="002E1992">
        <w:rPr>
          <w:b/>
        </w:rPr>
        <w:t>SAIMEX</w:t>
      </w:r>
      <w:r w:rsidRPr="002E1992">
        <w:t xml:space="preserve">). </w:t>
      </w:r>
    </w:p>
    <w:p w:rsidR="002E672E" w:rsidRPr="002E1992" w:rsidRDefault="002E672E" w:rsidP="002E1992"/>
    <w:p w:rsidR="002E672E" w:rsidRPr="002E1992" w:rsidRDefault="00A50D32" w:rsidP="002E1992">
      <w:bookmarkStart w:id="49" w:name="_heading=h.3o7alnk" w:colFirst="0" w:colLast="0"/>
      <w:bookmarkEnd w:id="49"/>
      <w:r w:rsidRPr="002E1992">
        <w:rPr>
          <w:b/>
        </w:rPr>
        <w:lastRenderedPageBreak/>
        <w:t>QUINTO</w:t>
      </w:r>
      <w:r w:rsidRPr="002E1992">
        <w:t xml:space="preserve">.  Hágase del conocimiento a </w:t>
      </w:r>
      <w:r w:rsidRPr="002E1992">
        <w:rPr>
          <w:b/>
        </w:rPr>
        <w:t>LA PARTE RECURRENTE</w:t>
      </w:r>
      <w:r w:rsidRPr="002E1992">
        <w:t xml:space="preserve">  vía Sistema de Acceso a la Información Mexiquense (</w:t>
      </w:r>
      <w:r w:rsidRPr="002E1992">
        <w:rPr>
          <w:b/>
        </w:rPr>
        <w:t>SAIMEX</w:t>
      </w:r>
      <w:r w:rsidRPr="002E1992">
        <w:t>) que, de conformidad con lo establecido en el artículo 196 de la Ley de Transparencia y Acceso a la Información Pública del Estado de México y Municipios, podrá impugnar la presente resolución vía Juicio de Amparo en los términos de las leyes aplicables.</w:t>
      </w:r>
    </w:p>
    <w:p w:rsidR="002E672E" w:rsidRPr="002E1992" w:rsidRDefault="002E672E" w:rsidP="002E1992">
      <w:pPr>
        <w:widowControl w:val="0"/>
      </w:pPr>
    </w:p>
    <w:p w:rsidR="002E672E" w:rsidRPr="002E1992" w:rsidRDefault="00A50D32" w:rsidP="002E1992">
      <w:r w:rsidRPr="002E1992">
        <w:rPr>
          <w:b/>
        </w:rPr>
        <w:t>SEXTO.</w:t>
      </w:r>
      <w:r w:rsidRPr="002E1992">
        <w:t xml:space="preserve"> De conformidad con el artículo 198 de la Ley de Transparencia y Acceso a la Información Pública del Estado de México y Municipios, el </w:t>
      </w:r>
      <w:r w:rsidRPr="002E1992">
        <w:rPr>
          <w:b/>
        </w:rPr>
        <w:t>SUJETO OBLIGADO</w:t>
      </w:r>
      <w:r w:rsidRPr="002E1992">
        <w:t xml:space="preserve"> podrá solicitar una ampliación de plazo, de manera fundada y motivada, para el cumplimiento de la presente resolución.</w:t>
      </w:r>
    </w:p>
    <w:p w:rsidR="002E672E" w:rsidRPr="002E1992" w:rsidRDefault="002E672E" w:rsidP="002E1992"/>
    <w:p w:rsidR="002E672E" w:rsidRPr="002E1992" w:rsidRDefault="00A50D32" w:rsidP="002E1992">
      <w:pPr>
        <w:rPr>
          <w:sz w:val="20"/>
        </w:rPr>
      </w:pPr>
      <w:r w:rsidRPr="002E1992">
        <w:rPr>
          <w:b/>
        </w:rPr>
        <w:t>SÉPTIMO.</w:t>
      </w:r>
      <w:r w:rsidRPr="002E1992">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2E1992">
        <w:rPr>
          <w:b/>
        </w:rPr>
        <w:t>SEGUNDO</w:t>
      </w:r>
      <w:r w:rsidRPr="002E1992">
        <w:t xml:space="preserve"> de la presente resolución.</w:t>
      </w:r>
    </w:p>
    <w:p w:rsidR="002E672E" w:rsidRPr="002E1992" w:rsidRDefault="002E672E" w:rsidP="002E1992">
      <w:pPr>
        <w:ind w:right="113"/>
        <w:rPr>
          <w:b/>
        </w:rPr>
      </w:pPr>
    </w:p>
    <w:p w:rsidR="002E672E" w:rsidRPr="002E1992" w:rsidRDefault="00A50D32" w:rsidP="002E1992">
      <w:bookmarkStart w:id="50" w:name="_heading=h.26in1rg" w:colFirst="0" w:colLast="0"/>
      <w:bookmarkEnd w:id="50"/>
      <w:r w:rsidRPr="002E199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w:t>
      </w:r>
      <w:r w:rsidR="002E1992">
        <w:t xml:space="preserve"> </w:t>
      </w:r>
      <w:r w:rsidRPr="002E1992">
        <w:t>SESIÓN ORDINARIA, CELEBRADA EL ONCE DE SEPTIEMBRE DE DOS MIL VEINTICUATRO, ANTE EL SECRETARIO TÉCNICO DEL PLENO, ALEXIS TAPIA RAMÍREZ.</w:t>
      </w:r>
    </w:p>
    <w:p w:rsidR="002E672E" w:rsidRPr="002E1992" w:rsidRDefault="00A50D32" w:rsidP="002E1992">
      <w:pPr>
        <w:ind w:right="-93"/>
        <w:rPr>
          <w:sz w:val="16"/>
          <w:szCs w:val="16"/>
        </w:rPr>
      </w:pPr>
      <w:r w:rsidRPr="002E1992">
        <w:rPr>
          <w:sz w:val="16"/>
          <w:szCs w:val="16"/>
        </w:rPr>
        <w:t>SCMM/AGZ/DEMF/PMRE</w:t>
      </w:r>
    </w:p>
    <w:p w:rsidR="002E672E" w:rsidRPr="002E1992" w:rsidRDefault="002E672E" w:rsidP="002E1992">
      <w:pPr>
        <w:ind w:right="-93"/>
      </w:pPr>
    </w:p>
    <w:p w:rsidR="002E672E" w:rsidRPr="002E1992" w:rsidRDefault="002E672E" w:rsidP="002E1992">
      <w:pPr>
        <w:ind w:right="-93"/>
      </w:pPr>
    </w:p>
    <w:p w:rsidR="002E672E" w:rsidRPr="002E1992" w:rsidRDefault="002E672E" w:rsidP="002E1992">
      <w:pPr>
        <w:ind w:right="-93"/>
      </w:pPr>
    </w:p>
    <w:p w:rsidR="002E672E" w:rsidRPr="002E1992" w:rsidRDefault="002E672E" w:rsidP="002E1992">
      <w:pPr>
        <w:ind w:right="-93"/>
      </w:pPr>
    </w:p>
    <w:p w:rsidR="002E672E" w:rsidRPr="002E1992" w:rsidRDefault="002E672E" w:rsidP="002E1992">
      <w:pPr>
        <w:ind w:right="-93"/>
      </w:pPr>
    </w:p>
    <w:p w:rsidR="002E672E" w:rsidRPr="002E1992" w:rsidRDefault="002E672E" w:rsidP="002E1992">
      <w:pPr>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pPr>
        <w:tabs>
          <w:tab w:val="center" w:pos="4568"/>
        </w:tabs>
        <w:ind w:right="-93"/>
      </w:pPr>
    </w:p>
    <w:p w:rsidR="002E672E" w:rsidRPr="002E1992" w:rsidRDefault="002E672E" w:rsidP="002E1992"/>
    <w:sectPr w:rsidR="002E672E" w:rsidRPr="002E1992">
      <w:footerReference w:type="default" r:id="rId18"/>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72" w:rsidRDefault="00EC7772">
      <w:pPr>
        <w:spacing w:line="240" w:lineRule="auto"/>
      </w:pPr>
      <w:r>
        <w:separator/>
      </w:r>
    </w:p>
  </w:endnote>
  <w:endnote w:type="continuationSeparator" w:id="0">
    <w:p w:rsidR="00EC7772" w:rsidRDefault="00EC7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2E672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2E672E">
    <w:pPr>
      <w:tabs>
        <w:tab w:val="center" w:pos="4550"/>
        <w:tab w:val="left" w:pos="5818"/>
      </w:tabs>
      <w:ind w:right="260"/>
      <w:jc w:val="right"/>
      <w:rPr>
        <w:color w:val="071320"/>
        <w:sz w:val="24"/>
        <w:szCs w:val="24"/>
      </w:rPr>
    </w:pPr>
  </w:p>
  <w:p w:rsidR="002E672E" w:rsidRDefault="002E672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2E672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A50D3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F208F">
      <w:rPr>
        <w:noProof/>
        <w:color w:val="0A1D30"/>
        <w:sz w:val="24"/>
        <w:szCs w:val="24"/>
      </w:rPr>
      <w:t>26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F208F">
      <w:rPr>
        <w:noProof/>
        <w:color w:val="0A1D30"/>
        <w:sz w:val="24"/>
        <w:szCs w:val="24"/>
      </w:rPr>
      <w:t>30</w:t>
    </w:r>
    <w:r>
      <w:rPr>
        <w:color w:val="0A1D30"/>
        <w:sz w:val="24"/>
        <w:szCs w:val="24"/>
      </w:rPr>
      <w:fldChar w:fldCharType="end"/>
    </w:r>
  </w:p>
  <w:p w:rsidR="002E672E" w:rsidRDefault="002E672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72" w:rsidRDefault="00EC7772">
      <w:pPr>
        <w:spacing w:line="240" w:lineRule="auto"/>
      </w:pPr>
      <w:r>
        <w:separator/>
      </w:r>
    </w:p>
  </w:footnote>
  <w:footnote w:type="continuationSeparator" w:id="0">
    <w:p w:rsidR="00EC7772" w:rsidRDefault="00EC77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2E672E">
    <w:pPr>
      <w:pBdr>
        <w:top w:val="nil"/>
        <w:left w:val="nil"/>
        <w:bottom w:val="nil"/>
        <w:right w:val="nil"/>
        <w:between w:val="nil"/>
      </w:pBdr>
      <w:tabs>
        <w:tab w:val="center" w:pos="4419"/>
        <w:tab w:val="right" w:pos="8838"/>
      </w:tabs>
      <w:rPr>
        <w:rFonts w:eastAsia="Palatino Linotype" w:cs="Palatino Linotype"/>
        <w:color w:val="0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2E672E">
    <w:pPr>
      <w:widowControl w:val="0"/>
      <w:pBdr>
        <w:top w:val="nil"/>
        <w:left w:val="nil"/>
        <w:bottom w:val="nil"/>
        <w:right w:val="nil"/>
        <w:between w:val="nil"/>
      </w:pBdr>
      <w:spacing w:line="276" w:lineRule="auto"/>
      <w:jc w:val="left"/>
    </w:pPr>
  </w:p>
  <w:tbl>
    <w:tblPr>
      <w:tblStyle w:val="ae"/>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E672E">
      <w:trPr>
        <w:trHeight w:val="144"/>
        <w:jc w:val="right"/>
      </w:trPr>
      <w:tc>
        <w:tcPr>
          <w:tcW w:w="2727" w:type="dxa"/>
        </w:tcPr>
        <w:p w:rsidR="002E672E" w:rsidRDefault="00A50D32">
          <w:pPr>
            <w:tabs>
              <w:tab w:val="right" w:pos="8838"/>
            </w:tabs>
            <w:ind w:left="-74" w:right="-105"/>
            <w:rPr>
              <w:b/>
            </w:rPr>
          </w:pPr>
          <w:r>
            <w:rPr>
              <w:b/>
            </w:rPr>
            <w:t>Recurso de Revisión:</w:t>
          </w:r>
        </w:p>
      </w:tc>
      <w:tc>
        <w:tcPr>
          <w:tcW w:w="3402" w:type="dxa"/>
        </w:tcPr>
        <w:p w:rsidR="002E672E" w:rsidRDefault="00A50D32">
          <w:pPr>
            <w:tabs>
              <w:tab w:val="right" w:pos="8838"/>
            </w:tabs>
            <w:ind w:left="-74" w:right="-105"/>
          </w:pPr>
          <w:r>
            <w:t>00402/INFOEM/IP/RR/2024</w:t>
          </w:r>
        </w:p>
      </w:tc>
    </w:tr>
    <w:tr w:rsidR="002E672E">
      <w:trPr>
        <w:trHeight w:val="283"/>
        <w:jc w:val="right"/>
      </w:trPr>
      <w:tc>
        <w:tcPr>
          <w:tcW w:w="2727" w:type="dxa"/>
        </w:tcPr>
        <w:p w:rsidR="002E672E" w:rsidRDefault="00A50D32">
          <w:pPr>
            <w:tabs>
              <w:tab w:val="right" w:pos="8838"/>
            </w:tabs>
            <w:ind w:left="-74" w:right="-105"/>
            <w:rPr>
              <w:b/>
            </w:rPr>
          </w:pPr>
          <w:r>
            <w:rPr>
              <w:b/>
            </w:rPr>
            <w:t>Sujeto Obligado:</w:t>
          </w:r>
        </w:p>
      </w:tc>
      <w:tc>
        <w:tcPr>
          <w:tcW w:w="3402" w:type="dxa"/>
        </w:tcPr>
        <w:p w:rsidR="002E672E" w:rsidRDefault="00A50D32">
          <w:pPr>
            <w:tabs>
              <w:tab w:val="left" w:pos="2834"/>
              <w:tab w:val="right" w:pos="8838"/>
            </w:tabs>
            <w:ind w:left="-108" w:right="-105"/>
          </w:pPr>
          <w:r>
            <w:t>Ayuntamiento de Villa de Allende</w:t>
          </w:r>
        </w:p>
      </w:tc>
    </w:tr>
    <w:tr w:rsidR="002E672E">
      <w:trPr>
        <w:trHeight w:val="283"/>
        <w:jc w:val="right"/>
      </w:trPr>
      <w:tc>
        <w:tcPr>
          <w:tcW w:w="2727" w:type="dxa"/>
        </w:tcPr>
        <w:p w:rsidR="002E672E" w:rsidRDefault="00A50D32">
          <w:pPr>
            <w:tabs>
              <w:tab w:val="right" w:pos="8838"/>
            </w:tabs>
            <w:ind w:left="-74" w:right="-105"/>
            <w:rPr>
              <w:b/>
            </w:rPr>
          </w:pPr>
          <w:r>
            <w:rPr>
              <w:b/>
            </w:rPr>
            <w:t>Comisionada Ponente:</w:t>
          </w:r>
        </w:p>
      </w:tc>
      <w:tc>
        <w:tcPr>
          <w:tcW w:w="3402" w:type="dxa"/>
        </w:tcPr>
        <w:p w:rsidR="002E672E" w:rsidRDefault="00A50D32">
          <w:pPr>
            <w:tabs>
              <w:tab w:val="right" w:pos="8838"/>
            </w:tabs>
            <w:ind w:left="-108" w:right="-105"/>
          </w:pPr>
          <w:r>
            <w:t>Sharon Cristina Morales Martínez</w:t>
          </w:r>
        </w:p>
      </w:tc>
    </w:tr>
  </w:tbl>
  <w:p w:rsidR="002E672E" w:rsidRDefault="00A50D3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-995038</wp:posOffset>
          </wp:positionH>
          <wp:positionV relativeFrom="margin">
            <wp:posOffset>-1782437</wp:posOffset>
          </wp:positionV>
          <wp:extent cx="8426450" cy="109728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2E" w:rsidRDefault="002E672E">
    <w:pPr>
      <w:widowControl w:val="0"/>
      <w:pBdr>
        <w:top w:val="nil"/>
        <w:left w:val="nil"/>
        <w:bottom w:val="nil"/>
        <w:right w:val="nil"/>
        <w:between w:val="nil"/>
      </w:pBdr>
      <w:spacing w:line="276" w:lineRule="auto"/>
      <w:jc w:val="left"/>
      <w:rPr>
        <w:color w:val="000000"/>
        <w:sz w:val="14"/>
        <w:szCs w:val="14"/>
      </w:rPr>
    </w:pPr>
  </w:p>
  <w:tbl>
    <w:tblPr>
      <w:tblStyle w:val="af"/>
      <w:tblW w:w="7654" w:type="dxa"/>
      <w:tblInd w:w="2552" w:type="dxa"/>
      <w:tblLayout w:type="fixed"/>
      <w:tblLook w:val="0400" w:firstRow="0" w:lastRow="0" w:firstColumn="0" w:lastColumn="0" w:noHBand="0" w:noVBand="1"/>
    </w:tblPr>
    <w:tblGrid>
      <w:gridCol w:w="273"/>
      <w:gridCol w:w="7381"/>
    </w:tblGrid>
    <w:tr w:rsidR="002E672E">
      <w:trPr>
        <w:trHeight w:val="1512"/>
      </w:trPr>
      <w:tc>
        <w:tcPr>
          <w:tcW w:w="273" w:type="dxa"/>
          <w:shd w:val="clear" w:color="auto" w:fill="auto"/>
        </w:tcPr>
        <w:p w:rsidR="002E672E" w:rsidRDefault="002E672E">
          <w:pPr>
            <w:tabs>
              <w:tab w:val="right" w:pos="4273"/>
            </w:tabs>
            <w:rPr>
              <w:rFonts w:ascii="Garamond" w:eastAsia="Garamond" w:hAnsi="Garamond" w:cs="Garamond"/>
            </w:rPr>
          </w:pPr>
        </w:p>
      </w:tc>
      <w:tc>
        <w:tcPr>
          <w:tcW w:w="7381" w:type="dxa"/>
          <w:shd w:val="clear" w:color="auto" w:fill="auto"/>
        </w:tcPr>
        <w:p w:rsidR="002E672E" w:rsidRDefault="002E672E">
          <w:pPr>
            <w:widowControl w:val="0"/>
            <w:pBdr>
              <w:top w:val="nil"/>
              <w:left w:val="nil"/>
              <w:bottom w:val="nil"/>
              <w:right w:val="nil"/>
              <w:between w:val="nil"/>
            </w:pBdr>
            <w:spacing w:line="276" w:lineRule="auto"/>
            <w:jc w:val="left"/>
            <w:rPr>
              <w:rFonts w:ascii="Garamond" w:eastAsia="Garamond" w:hAnsi="Garamond" w:cs="Garamond"/>
            </w:rPr>
          </w:pPr>
        </w:p>
        <w:tbl>
          <w:tblPr>
            <w:tblStyle w:val="af0"/>
            <w:tblW w:w="92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2"/>
            <w:gridCol w:w="5232"/>
            <w:gridCol w:w="325"/>
          </w:tblGrid>
          <w:tr w:rsidR="002E672E">
            <w:trPr>
              <w:trHeight w:val="150"/>
            </w:trPr>
            <w:tc>
              <w:tcPr>
                <w:tcW w:w="3682" w:type="dxa"/>
              </w:tcPr>
              <w:p w:rsidR="002E672E" w:rsidRDefault="00A50D32">
                <w:pPr>
                  <w:tabs>
                    <w:tab w:val="right" w:pos="8838"/>
                  </w:tabs>
                  <w:ind w:left="-74" w:right="-105"/>
                  <w:rPr>
                    <w:b/>
                  </w:rPr>
                </w:pPr>
                <w:bookmarkStart w:id="0" w:name="_heading=h.23ckvvd" w:colFirst="0" w:colLast="0"/>
                <w:bookmarkEnd w:id="0"/>
                <w:r>
                  <w:rPr>
                    <w:b/>
                  </w:rPr>
                  <w:t>Recurso de Revisión:</w:t>
                </w:r>
              </w:p>
            </w:tc>
            <w:tc>
              <w:tcPr>
                <w:tcW w:w="5232" w:type="dxa"/>
              </w:tcPr>
              <w:p w:rsidR="002E672E" w:rsidRDefault="00A50D32">
                <w:pPr>
                  <w:tabs>
                    <w:tab w:val="right" w:pos="8838"/>
                  </w:tabs>
                  <w:ind w:left="-74" w:right="-105"/>
                </w:pPr>
                <w:r>
                  <w:t>00402/INFOEM/IP/RR/2024</w:t>
                </w:r>
              </w:p>
            </w:tc>
            <w:tc>
              <w:tcPr>
                <w:tcW w:w="325" w:type="dxa"/>
              </w:tcPr>
              <w:p w:rsidR="002E672E" w:rsidRDefault="002E672E">
                <w:pPr>
                  <w:tabs>
                    <w:tab w:val="right" w:pos="8838"/>
                  </w:tabs>
                  <w:ind w:left="-74" w:right="-105"/>
                </w:pPr>
              </w:p>
            </w:tc>
          </w:tr>
          <w:tr w:rsidR="002E672E">
            <w:trPr>
              <w:trHeight w:val="150"/>
            </w:trPr>
            <w:tc>
              <w:tcPr>
                <w:tcW w:w="3682" w:type="dxa"/>
              </w:tcPr>
              <w:p w:rsidR="002E672E" w:rsidRDefault="00A50D32">
                <w:pPr>
                  <w:tabs>
                    <w:tab w:val="right" w:pos="8838"/>
                  </w:tabs>
                  <w:ind w:left="-74" w:right="-105"/>
                  <w:rPr>
                    <w:b/>
                  </w:rPr>
                </w:pPr>
                <w:bookmarkStart w:id="1" w:name="_heading=h.ihv636" w:colFirst="0" w:colLast="0"/>
                <w:bookmarkEnd w:id="1"/>
                <w:r>
                  <w:rPr>
                    <w:b/>
                  </w:rPr>
                  <w:t>Recurrente:</w:t>
                </w:r>
              </w:p>
            </w:tc>
            <w:tc>
              <w:tcPr>
                <w:tcW w:w="5232" w:type="dxa"/>
              </w:tcPr>
              <w:p w:rsidR="002E672E" w:rsidRDefault="00DF208F">
                <w:pPr>
                  <w:tabs>
                    <w:tab w:val="left" w:pos="3122"/>
                    <w:tab w:val="right" w:pos="8838"/>
                  </w:tabs>
                  <w:ind w:left="-105" w:right="-105"/>
                </w:pPr>
                <w:r>
                  <w:t>XXXXX XXXXXX XXXX</w:t>
                </w:r>
              </w:p>
            </w:tc>
            <w:tc>
              <w:tcPr>
                <w:tcW w:w="325" w:type="dxa"/>
              </w:tcPr>
              <w:p w:rsidR="002E672E" w:rsidRDefault="002E672E">
                <w:pPr>
                  <w:tabs>
                    <w:tab w:val="left" w:pos="3122"/>
                    <w:tab w:val="right" w:pos="8838"/>
                  </w:tabs>
                  <w:ind w:left="-105" w:right="-105"/>
                </w:pPr>
              </w:p>
            </w:tc>
          </w:tr>
          <w:tr w:rsidR="002E672E">
            <w:trPr>
              <w:trHeight w:val="297"/>
            </w:trPr>
            <w:tc>
              <w:tcPr>
                <w:tcW w:w="3682" w:type="dxa"/>
              </w:tcPr>
              <w:p w:rsidR="002E672E" w:rsidRDefault="00A50D32">
                <w:pPr>
                  <w:tabs>
                    <w:tab w:val="right" w:pos="8838"/>
                  </w:tabs>
                  <w:ind w:left="-74" w:right="-105"/>
                  <w:rPr>
                    <w:b/>
                  </w:rPr>
                </w:pPr>
                <w:r>
                  <w:rPr>
                    <w:b/>
                  </w:rPr>
                  <w:t>Sujeto Obligado:</w:t>
                </w:r>
              </w:p>
            </w:tc>
            <w:tc>
              <w:tcPr>
                <w:tcW w:w="5232" w:type="dxa"/>
              </w:tcPr>
              <w:p w:rsidR="002E672E" w:rsidRDefault="00A50D32">
                <w:pPr>
                  <w:tabs>
                    <w:tab w:val="left" w:pos="2834"/>
                    <w:tab w:val="right" w:pos="8838"/>
                  </w:tabs>
                  <w:ind w:left="-108" w:right="-105"/>
                </w:pPr>
                <w:r>
                  <w:t>Ayuntamiento de Villa de Allende</w:t>
                </w:r>
              </w:p>
            </w:tc>
            <w:tc>
              <w:tcPr>
                <w:tcW w:w="325" w:type="dxa"/>
              </w:tcPr>
              <w:p w:rsidR="002E672E" w:rsidRDefault="002E672E">
                <w:pPr>
                  <w:tabs>
                    <w:tab w:val="left" w:pos="2834"/>
                    <w:tab w:val="right" w:pos="8838"/>
                  </w:tabs>
                  <w:ind w:left="-108" w:right="-105"/>
                </w:pPr>
              </w:p>
            </w:tc>
          </w:tr>
          <w:tr w:rsidR="002E672E">
            <w:trPr>
              <w:trHeight w:val="297"/>
            </w:trPr>
            <w:tc>
              <w:tcPr>
                <w:tcW w:w="3682" w:type="dxa"/>
              </w:tcPr>
              <w:p w:rsidR="002E672E" w:rsidRDefault="00A50D32">
                <w:pPr>
                  <w:tabs>
                    <w:tab w:val="right" w:pos="8838"/>
                  </w:tabs>
                  <w:ind w:left="-74" w:right="-105"/>
                  <w:rPr>
                    <w:b/>
                  </w:rPr>
                </w:pPr>
                <w:r>
                  <w:rPr>
                    <w:b/>
                  </w:rPr>
                  <w:t>Comisionada Ponente:</w:t>
                </w:r>
              </w:p>
            </w:tc>
            <w:tc>
              <w:tcPr>
                <w:tcW w:w="5232" w:type="dxa"/>
              </w:tcPr>
              <w:p w:rsidR="002E672E" w:rsidRDefault="00A50D32">
                <w:pPr>
                  <w:tabs>
                    <w:tab w:val="right" w:pos="8838"/>
                  </w:tabs>
                  <w:ind w:left="-108" w:right="-105"/>
                </w:pPr>
                <w:r>
                  <w:t>Sharon Cristina Morales Martínez</w:t>
                </w:r>
              </w:p>
            </w:tc>
            <w:tc>
              <w:tcPr>
                <w:tcW w:w="325" w:type="dxa"/>
              </w:tcPr>
              <w:p w:rsidR="002E672E" w:rsidRDefault="002E672E">
                <w:pPr>
                  <w:tabs>
                    <w:tab w:val="right" w:pos="8838"/>
                  </w:tabs>
                  <w:ind w:left="-108" w:right="-105"/>
                </w:pPr>
              </w:p>
            </w:tc>
          </w:tr>
        </w:tbl>
        <w:p w:rsidR="002E672E" w:rsidRDefault="002E672E">
          <w:pPr>
            <w:tabs>
              <w:tab w:val="right" w:pos="8838"/>
            </w:tabs>
            <w:ind w:left="-28"/>
            <w:rPr>
              <w:rFonts w:ascii="Arial" w:eastAsia="Arial" w:hAnsi="Arial" w:cs="Arial"/>
              <w:b/>
            </w:rPr>
          </w:pPr>
        </w:p>
      </w:tc>
    </w:tr>
  </w:tbl>
  <w:p w:rsidR="002E672E" w:rsidRDefault="00EC7772">
    <w:pPr>
      <w:pBdr>
        <w:top w:val="nil"/>
        <w:left w:val="nil"/>
        <w:bottom w:val="nil"/>
        <w:right w:val="nil"/>
        <w:between w:val="nil"/>
      </w:pBdr>
      <w:tabs>
        <w:tab w:val="center" w:pos="4419"/>
        <w:tab w:val="right" w:pos="8838"/>
        <w:tab w:val="left" w:pos="2957"/>
      </w:tabs>
      <w:ind w:right="-454"/>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3"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76A7B"/>
    <w:multiLevelType w:val="multilevel"/>
    <w:tmpl w:val="8C924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E516D"/>
    <w:multiLevelType w:val="multilevel"/>
    <w:tmpl w:val="195C2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D53DE1"/>
    <w:multiLevelType w:val="multilevel"/>
    <w:tmpl w:val="20A4B0C6"/>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 w15:restartNumberingAfterBreak="0">
    <w:nsid w:val="54C55DFA"/>
    <w:multiLevelType w:val="multilevel"/>
    <w:tmpl w:val="005E6C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10125"/>
    <w:multiLevelType w:val="multilevel"/>
    <w:tmpl w:val="1876D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B76658"/>
    <w:multiLevelType w:val="multilevel"/>
    <w:tmpl w:val="34D4F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2E"/>
    <w:rsid w:val="00284B09"/>
    <w:rsid w:val="002E1992"/>
    <w:rsid w:val="002E672E"/>
    <w:rsid w:val="004F5986"/>
    <w:rsid w:val="007060CA"/>
    <w:rsid w:val="00727AB3"/>
    <w:rsid w:val="00762F03"/>
    <w:rsid w:val="007D6FBF"/>
    <w:rsid w:val="009D5A90"/>
    <w:rsid w:val="00A50D32"/>
    <w:rsid w:val="00C1735A"/>
    <w:rsid w:val="00DF208F"/>
    <w:rsid w:val="00EC4365"/>
    <w:rsid w:val="00EC7772"/>
    <w:rsid w:val="00F75D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5E5728-DFE8-4AB0-ACAE-61CF33F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A16D85"/>
    <w:pPr>
      <w:spacing w:before="120"/>
      <w:ind w:left="220"/>
      <w:jc w:val="left"/>
    </w:pPr>
    <w:rPr>
      <w:rFonts w:asciiTheme="minorHAnsi" w:hAnsiTheme="minorHAnsi"/>
      <w:b/>
      <w:bCs/>
      <w:szCs w:val="22"/>
    </w:rPr>
  </w:style>
  <w:style w:type="paragraph" w:styleId="TDC3">
    <w:name w:val="toc 3"/>
    <w:basedOn w:val="Normal"/>
    <w:next w:val="Normal"/>
    <w:autoRedefine/>
    <w:uiPriority w:val="39"/>
    <w:unhideWhenUsed/>
    <w:rsid w:val="00A16D85"/>
    <w:pPr>
      <w:ind w:left="440"/>
      <w:jc w:val="left"/>
    </w:pPr>
    <w:rPr>
      <w:rFonts w:asciiTheme="minorHAnsi" w:hAnsiTheme="minorHAnsi"/>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unhideWhenUsed/>
    <w:rsid w:val="00176035"/>
    <w:pPr>
      <w:spacing w:before="100" w:beforeAutospacing="1" w:after="100" w:afterAutospacing="1" w:line="240" w:lineRule="auto"/>
      <w:jc w:val="left"/>
    </w:pPr>
    <w:rPr>
      <w:rFonts w:ascii="Times New Roman" w:hAnsi="Times New Roman"/>
      <w:sz w:val="24"/>
      <w:szCs w:val="24"/>
      <w:lang w:eastAsia="es-MX"/>
    </w:rPr>
  </w:style>
  <w:style w:type="character" w:customStyle="1" w:styleId="apple-tab-span">
    <w:name w:val="apple-tab-span"/>
    <w:basedOn w:val="Fuentedeprrafopredeter"/>
    <w:rsid w:val="00065711"/>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474BFB"/>
    <w:rPr>
      <w:i/>
      <w:iCs/>
      <w:color w:val="404040" w:themeColor="text1" w:themeTint="BF"/>
    </w:r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paragraph" w:styleId="TDC4">
    <w:name w:val="toc 4"/>
    <w:basedOn w:val="Normal"/>
    <w:next w:val="Normal"/>
    <w:autoRedefine/>
    <w:uiPriority w:val="39"/>
    <w:unhideWhenUsed/>
    <w:rsid w:val="00DA1672"/>
    <w:pPr>
      <w:ind w:left="660"/>
      <w:jc w:val="left"/>
    </w:pPr>
    <w:rPr>
      <w:rFonts w:asciiTheme="minorHAnsi" w:hAnsiTheme="minorHAnsi"/>
      <w:sz w:val="20"/>
    </w:rPr>
  </w:style>
  <w:style w:type="paragraph" w:styleId="TDC5">
    <w:name w:val="toc 5"/>
    <w:basedOn w:val="Normal"/>
    <w:next w:val="Normal"/>
    <w:autoRedefine/>
    <w:uiPriority w:val="39"/>
    <w:unhideWhenUsed/>
    <w:rsid w:val="00DA1672"/>
    <w:pPr>
      <w:ind w:left="880"/>
      <w:jc w:val="left"/>
    </w:pPr>
    <w:rPr>
      <w:rFonts w:asciiTheme="minorHAnsi" w:hAnsiTheme="minorHAnsi"/>
      <w:sz w:val="20"/>
    </w:rPr>
  </w:style>
  <w:style w:type="paragraph" w:styleId="TDC6">
    <w:name w:val="toc 6"/>
    <w:basedOn w:val="Normal"/>
    <w:next w:val="Normal"/>
    <w:autoRedefine/>
    <w:uiPriority w:val="39"/>
    <w:unhideWhenUsed/>
    <w:rsid w:val="00DA1672"/>
    <w:pPr>
      <w:ind w:left="1100"/>
      <w:jc w:val="left"/>
    </w:pPr>
    <w:rPr>
      <w:rFonts w:asciiTheme="minorHAnsi" w:hAnsiTheme="minorHAnsi"/>
      <w:sz w:val="20"/>
    </w:rPr>
  </w:style>
  <w:style w:type="paragraph" w:styleId="TDC7">
    <w:name w:val="toc 7"/>
    <w:basedOn w:val="Normal"/>
    <w:next w:val="Normal"/>
    <w:autoRedefine/>
    <w:uiPriority w:val="39"/>
    <w:unhideWhenUsed/>
    <w:rsid w:val="00DA1672"/>
    <w:pPr>
      <w:ind w:left="1320"/>
      <w:jc w:val="left"/>
    </w:pPr>
    <w:rPr>
      <w:rFonts w:asciiTheme="minorHAnsi" w:hAnsiTheme="minorHAnsi"/>
      <w:sz w:val="20"/>
    </w:rPr>
  </w:style>
  <w:style w:type="paragraph" w:styleId="TDC8">
    <w:name w:val="toc 8"/>
    <w:basedOn w:val="Normal"/>
    <w:next w:val="Normal"/>
    <w:autoRedefine/>
    <w:uiPriority w:val="39"/>
    <w:unhideWhenUsed/>
    <w:rsid w:val="00DA1672"/>
    <w:pPr>
      <w:ind w:left="1540"/>
      <w:jc w:val="left"/>
    </w:pPr>
    <w:rPr>
      <w:rFonts w:asciiTheme="minorHAnsi" w:hAnsiTheme="minorHAnsi"/>
      <w:sz w:val="20"/>
    </w:rPr>
  </w:style>
  <w:style w:type="paragraph" w:styleId="TDC9">
    <w:name w:val="toc 9"/>
    <w:basedOn w:val="Normal"/>
    <w:next w:val="Normal"/>
    <w:autoRedefine/>
    <w:uiPriority w:val="39"/>
    <w:unhideWhenUsed/>
    <w:rsid w:val="00DA1672"/>
    <w:pPr>
      <w:ind w:left="1760"/>
      <w:jc w:val="left"/>
    </w:pPr>
    <w:rPr>
      <w:rFonts w:asciiTheme="minorHAnsi" w:hAnsiTheme="minorHAnsi"/>
      <w:sz w:val="20"/>
    </w:r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pPr>
      <w:spacing w:line="240" w:lineRule="auto"/>
    </w:pPr>
    <w:tblPr>
      <w:tblStyleRowBandSize w:val="1"/>
      <w:tblStyleColBandSize w:val="1"/>
      <w:tblCellMar>
        <w:left w:w="108" w:type="dxa"/>
        <w:right w:w="108" w:type="dxa"/>
      </w:tblCellMar>
    </w:tblPr>
  </w:style>
  <w:style w:type="table" w:customStyle="1" w:styleId="af0">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ICKpZAlT5JoRdMpAD3vrwB9Pw==">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E53F40-4CCA-405D-BA66-8D1FD73E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7241</Words>
  <Characters>39829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2024-09-12T18:49:00Z</cp:lastPrinted>
  <dcterms:created xsi:type="dcterms:W3CDTF">2024-09-09T20:35:00Z</dcterms:created>
  <dcterms:modified xsi:type="dcterms:W3CDTF">2024-10-23T21:14:00Z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