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de fecha </w:t>
      </w:r>
      <w:r w:rsidDel="00000000" w:rsidR="00000000" w:rsidRPr="00000000">
        <w:rPr>
          <w:rFonts w:ascii="Palatino Linotype" w:cs="Palatino Linotype" w:eastAsia="Palatino Linotype" w:hAnsi="Palatino Linotype"/>
          <w:b w:val="1"/>
          <w:sz w:val="22"/>
          <w:szCs w:val="22"/>
          <w:rtl w:val="0"/>
        </w:rPr>
        <w:t xml:space="preserve">veintiocho de agosto de dos mil veinticuatro</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0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relativo al recurso de revisión </w:t>
      </w:r>
      <w:r w:rsidDel="00000000" w:rsidR="00000000" w:rsidRPr="00000000">
        <w:rPr>
          <w:rFonts w:ascii="Palatino Linotype" w:cs="Palatino Linotype" w:eastAsia="Palatino Linotype" w:hAnsi="Palatino Linotype"/>
          <w:b w:val="1"/>
          <w:sz w:val="22"/>
          <w:szCs w:val="22"/>
          <w:rtl w:val="0"/>
        </w:rPr>
        <w:t xml:space="preserve">02354/INFOEM/IP/RR/2024</w:t>
      </w:r>
      <w:r w:rsidDel="00000000" w:rsidR="00000000" w:rsidRPr="00000000">
        <w:rPr>
          <w:rFonts w:ascii="Palatino Linotype" w:cs="Palatino Linotype" w:eastAsia="Palatino Linotype" w:hAnsi="Palatino Linotype"/>
          <w:sz w:val="22"/>
          <w:szCs w:val="22"/>
          <w:rtl w:val="0"/>
        </w:rPr>
        <w:t xml:space="preserve">, interpuesto por el </w:t>
      </w:r>
      <w:r w:rsidDel="00000000" w:rsidR="00000000" w:rsidRPr="00000000">
        <w:rPr>
          <w:rFonts w:ascii="Palatino Linotype" w:cs="Palatino Linotype" w:eastAsia="Palatino Linotype" w:hAnsi="Palatino Linotype"/>
          <w:b w:val="1"/>
          <w:sz w:val="22"/>
          <w:szCs w:val="22"/>
          <w:rtl w:val="0"/>
        </w:rPr>
        <w:t xml:space="preserve">un particular que no proporcionó nombre o seudónimo para ser identificado, </w:t>
      </w:r>
      <w:r w:rsidDel="00000000" w:rsidR="00000000" w:rsidRPr="00000000">
        <w:rPr>
          <w:rFonts w:ascii="Palatino Linotype" w:cs="Palatino Linotype" w:eastAsia="Palatino Linotype" w:hAnsi="Palatino Linotype"/>
          <w:sz w:val="22"/>
          <w:szCs w:val="22"/>
          <w:rtl w:val="0"/>
        </w:rPr>
        <w:t xml:space="preserve">en lo sucesivo se le denominará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contra de la respuesta a su solicitud de información con número de folio</w:t>
      </w:r>
      <w:r w:rsidDel="00000000" w:rsidR="00000000" w:rsidRPr="00000000">
        <w:rPr>
          <w:rFonts w:ascii="Palatino Linotype" w:cs="Palatino Linotype" w:eastAsia="Palatino Linotype" w:hAnsi="Palatino Linotype"/>
          <w:b w:val="1"/>
          <w:sz w:val="22"/>
          <w:szCs w:val="22"/>
          <w:rtl w:val="0"/>
        </w:rPr>
        <w:t xml:space="preserve"> 00029/AGUA/IP/2024</w:t>
      </w:r>
      <w:r w:rsidDel="00000000" w:rsidR="00000000" w:rsidRPr="00000000">
        <w:rPr>
          <w:rFonts w:ascii="Palatino Linotype" w:cs="Palatino Linotype" w:eastAsia="Palatino Linotype" w:hAnsi="Palatino Linotype"/>
          <w:sz w:val="22"/>
          <w:szCs w:val="22"/>
          <w:rtl w:val="0"/>
        </w:rPr>
        <w:t xml:space="preserve">, por parte del </w:t>
      </w:r>
      <w:r w:rsidDel="00000000" w:rsidR="00000000" w:rsidRPr="00000000">
        <w:rPr>
          <w:rFonts w:ascii="Palatino Linotype" w:cs="Palatino Linotype" w:eastAsia="Palatino Linotype" w:hAnsi="Palatino Linotype"/>
          <w:b w:val="1"/>
          <w:sz w:val="22"/>
          <w:szCs w:val="22"/>
          <w:rtl w:val="0"/>
        </w:rPr>
        <w:t xml:space="preserve">Secretaría del Agua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 </w:t>
      </w:r>
    </w:p>
    <w:p w:rsidR="00000000" w:rsidDel="00000000" w:rsidP="00000000" w:rsidRDefault="00000000" w:rsidRPr="00000000" w14:paraId="00000004">
      <w:pPr>
        <w:numPr>
          <w:ilvl w:val="0"/>
          <w:numId w:val="4"/>
        </w:numPr>
        <w:pBdr>
          <w:top w:space="0" w:sz="0" w:val="nil"/>
          <w:left w:space="0" w:sz="0" w:val="nil"/>
          <w:bottom w:space="0" w:sz="0" w:val="nil"/>
          <w:right w:space="0" w:sz="0" w:val="nil"/>
          <w:between w:space="0" w:sz="0" w:val="nil"/>
        </w:pBdr>
        <w:spacing w:line="360" w:lineRule="auto"/>
        <w:ind w:left="993" w:hanging="276.0000000000001"/>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 N T E C E D E N T E S:</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360" w:lineRule="auto"/>
        <w:ind w:left="1077" w:firstLine="0"/>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6">
      <w:pPr>
        <w:numPr>
          <w:ilvl w:val="1"/>
          <w:numId w:val="2"/>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Solicitud de acceso a la información.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sz w:val="22"/>
          <w:szCs w:val="22"/>
          <w:rtl w:val="0"/>
        </w:rPr>
        <w:t xml:space="preserve">cuatro de abril de dos mil veinticuatro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formuló solicitud de acceso a información pública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requiriéndole lo siguiente:</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“quiero queme manden copia simple del nombramiento de Laura Barranco Perez , así como dentro del organigrama de la secretaria del agua (simpático que todavía no esta publicado ni oficialmente, ni por el ipomex y ya tienen a mucha gente contratada en la secretaria del agua que curioso) cuanto percibe mensualmente y vehículos asignados y no me vayan a decir que no la conocen https://www.cuestiondepolemica.com/la-polemica-laura-barrera-la-sospecha-cae-sobre-caem/.”</w:t>
      </w:r>
    </w:p>
    <w:p w:rsidR="00000000" w:rsidDel="00000000" w:rsidP="00000000" w:rsidRDefault="00000000" w:rsidRPr="00000000" w14:paraId="00000009">
      <w:pPr>
        <w:spacing w:line="360" w:lineRule="auto"/>
        <w:ind w:left="709" w:right="900"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0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elegida para la entrega de la información: </w:t>
      </w:r>
      <w:r w:rsidDel="00000000" w:rsidR="00000000" w:rsidRPr="00000000">
        <w:rPr>
          <w:rFonts w:ascii="Palatino Linotype" w:cs="Palatino Linotype" w:eastAsia="Palatino Linotype" w:hAnsi="Palatino Linotype"/>
          <w:sz w:val="22"/>
          <w:szCs w:val="22"/>
          <w:rtl w:val="0"/>
        </w:rPr>
        <w:t xml:space="preserve">a través del Sistema de Acceso a la Información Mexiquense. </w:t>
      </w:r>
    </w:p>
    <w:p w:rsidR="00000000" w:rsidDel="00000000" w:rsidP="00000000" w:rsidRDefault="00000000" w:rsidRPr="00000000" w14:paraId="0000000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C">
      <w:pPr>
        <w:numPr>
          <w:ilvl w:val="0"/>
          <w:numId w:val="2"/>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Respuesta.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sz w:val="22"/>
          <w:szCs w:val="22"/>
          <w:rtl w:val="0"/>
        </w:rPr>
        <w:t xml:space="preserve">veinticinco de abril de dos mil veinticuatro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envió su respuesta a la solicitud de acceso a la información a través del SAIMEX, la cual versa como sigue: </w:t>
      </w:r>
    </w:p>
    <w:p w:rsidR="00000000" w:rsidDel="00000000" w:rsidP="00000000" w:rsidRDefault="00000000" w:rsidRPr="00000000" w14:paraId="0000000D">
      <w:pPr>
        <w:tabs>
          <w:tab w:val="left" w:leader="none" w:pos="7371"/>
        </w:tabs>
        <w:spacing w:line="360" w:lineRule="auto"/>
        <w:ind w:left="567" w:right="616" w:firstLine="0"/>
        <w:jc w:val="both"/>
        <w:rPr>
          <w:rFonts w:ascii="Palatino Linotype" w:cs="Palatino Linotype" w:eastAsia="Palatino Linotype" w:hAnsi="Palatino Linotype"/>
          <w:i w:val="1"/>
          <w:sz w:val="22"/>
          <w:szCs w:val="22"/>
        </w:rPr>
      </w:pPr>
      <w:bookmarkStart w:colFirst="0" w:colLast="0" w:name="_heading=h.3znysh7" w:id="0"/>
      <w:bookmarkEnd w:id="0"/>
      <w:r w:rsidDel="00000000" w:rsidR="00000000" w:rsidRPr="00000000">
        <w:rPr>
          <w:rtl w:val="0"/>
        </w:rPr>
      </w:r>
    </w:p>
    <w:p w:rsidR="00000000" w:rsidDel="00000000" w:rsidP="00000000" w:rsidRDefault="00000000" w:rsidRPr="00000000" w14:paraId="0000000E">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“Oficio No. Oficio No. 232A00000/0103./2024 Naucalpan de Juárez, Estado de México 22 de abril de 2024 ESTIMADO PETICIONARIO FOLIO DE LA SOLICITUD: 00029/AGUA/IP/2024 En respuesta a la solicitud recibida, me permito hacer de su conocimiento que con fundamento en los artículos 2, fracciones III, VII; 4; 15; 24 fracciones XI y XXIV de la Ley de Transparencia y Acceso a la Información Pública del Estado de México y Municipios, y en cumplimiento a lo establecido en el artículo 53, fracciones II, V y VI, su petición formulada en la Unidad de Transparencia de la Secretaría del Agua vía electrónica se ha registrado con el número de folio 00029/AGUA/IP/2024, misma que a la letra dice: “quiero queme manden copia simple del nombramiento de Laura Barranco Perez , así como dentro del organigrama de la secretaria del agua (simpático que todavía no esta publicado ni oficialmente, ni por el ipomex y ya tienen a mucha gente contratada en la secretaria del agua que curioso) cuanto percibe mensualmente y vehículos asignados y no me vayan a decir que no la conocen https://www.cuestiondepolemica.com/la-polemica-laura-barrera-la-sospecha-cae-sobre-caem/.” (sic) En primer término, debe precisarse que de conformidad con el párrafo segundo del artículo 12 de la Ley Transparencia y Acceso a la Información Pública del Estado de México y Municipios: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En ese sentido, </w:t>
      </w:r>
      <w:r w:rsidDel="00000000" w:rsidR="00000000" w:rsidRPr="00000000">
        <w:rPr>
          <w:rFonts w:ascii="Palatino Linotype" w:cs="Palatino Linotype" w:eastAsia="Palatino Linotype" w:hAnsi="Palatino Linotype"/>
          <w:b w:val="1"/>
          <w:i w:val="1"/>
          <w:sz w:val="22"/>
          <w:szCs w:val="22"/>
          <w:rtl w:val="0"/>
        </w:rPr>
        <w:t xml:space="preserve">le informo que después de una búsqueda realizada en los archivos de esta Secretaría, se determinó que este Sujeto Obligado no cuenta con documentos que acrediten la existencia de la información que solicita.</w:t>
      </w:r>
      <w:r w:rsidDel="00000000" w:rsidR="00000000" w:rsidRPr="00000000">
        <w:rPr>
          <w:rFonts w:ascii="Palatino Linotype" w:cs="Palatino Linotype" w:eastAsia="Palatino Linotype" w:hAnsi="Palatino Linotype"/>
          <w:i w:val="1"/>
          <w:sz w:val="22"/>
          <w:szCs w:val="22"/>
          <w:rtl w:val="0"/>
        </w:rPr>
        <w:t xml:space="preserve"> Sirve de aplicación al presente caso el Criterio 18/13 emitido por el Pleno del IFAI, actualmente INAI, que considera la Respuesta Igual a cero: No es necesario declarar formalmente la inexistencia. En los casos en que se requiere un dato estadístico o numérico, y el resultado de la búsqueda de la información sea cero, éste deberá entenderse como un dato que constituye un elemento numérico que atiende la solicitud, y no como la inexistencia de la información solicitada. Por lo anterior, en términos del artículo 42 de la Ley Federal de Transparencia y Acceso a la Información Pública Gubernamental, el número cero es una respuesta válida cuando se solicita información cuantitativa, en virtud de que se trata de un valor en sí mismo. Resoluciones • RDA 2238/13. Interpuesto en contra de la Procuraduría General de la República. Comisionada Ponente María Elena Pérez-Jaén Zermeño. • RDA 0455/13. Interpuesto en contra del Instituto Nacional de Migración. Comisionado Ponente Ángel Trinidad Zaldívar. • RDA 4451/12. Interpuesto en contra de la Procuraduría Federal de la Defensa del Trabajo. Comisionada Ponente María Elena Pérez-Jaén Zermeño. • RDA 2111/12. Interpuesto en contra de la Presidencia de la República. Comisionada Ponente María Elena Pérez-Jaén Zermeño. • 4301/11. Interpuesto en contra de la Secretaría de Comunicaciones y Transportes. Comisionada Ponente Sigrid Arzt Colunga. Sin otro particular por el momento, aprovecho la ocasión para enviarle un cordial saludo. A T E N T A M E N T E STEPHANIE VALERO SÁNCHEZ ENCARGADA DEL DESPACHO DE LA UNIDAD DE TRANSPARENCIA”</w:t>
      </w:r>
    </w:p>
    <w:p w:rsidR="00000000" w:rsidDel="00000000" w:rsidP="00000000" w:rsidRDefault="00000000" w:rsidRPr="00000000" w14:paraId="0000000F">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0">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mismo modo,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adjuntó a su respuesta el archivo electrónico denominado </w:t>
      </w:r>
      <w:r w:rsidDel="00000000" w:rsidR="00000000" w:rsidRPr="00000000">
        <w:rPr>
          <w:rFonts w:ascii="Palatino Linotype" w:cs="Palatino Linotype" w:eastAsia="Palatino Linotype" w:hAnsi="Palatino Linotype"/>
          <w:b w:val="1"/>
          <w:i w:val="1"/>
          <w:sz w:val="22"/>
          <w:szCs w:val="22"/>
          <w:rtl w:val="0"/>
        </w:rPr>
        <w:t xml:space="preserve">“Respuedta saimez sa 29 04-26-2024-031150.pdf”</w:t>
      </w:r>
      <w:r w:rsidDel="00000000" w:rsidR="00000000" w:rsidRPr="00000000">
        <w:rPr>
          <w:rFonts w:ascii="Palatino Linotype" w:cs="Palatino Linotype" w:eastAsia="Palatino Linotype" w:hAnsi="Palatino Linotype"/>
          <w:sz w:val="22"/>
          <w:szCs w:val="22"/>
          <w:rtl w:val="0"/>
        </w:rPr>
        <w:t xml:space="preserve">, el cual contiene el oficio número 232A00000/0103/2024, de fecha veintidós de abril de dos mil veinticuatro, signado por </w:t>
      </w:r>
      <w:r w:rsidDel="00000000" w:rsidR="00000000" w:rsidRPr="00000000">
        <w:rPr>
          <w:rFonts w:ascii="Palatino Linotype" w:cs="Palatino Linotype" w:eastAsia="Palatino Linotype" w:hAnsi="Palatino Linotype"/>
          <w:b w:val="1"/>
          <w:sz w:val="22"/>
          <w:szCs w:val="22"/>
          <w:u w:val="single"/>
          <w:rtl w:val="0"/>
        </w:rPr>
        <w:t xml:space="preserve">la Encargada de Despacho de la Unidad de Transparencia</w:t>
      </w:r>
      <w:r w:rsidDel="00000000" w:rsidR="00000000" w:rsidRPr="00000000">
        <w:rPr>
          <w:rFonts w:ascii="Palatino Linotype" w:cs="Palatino Linotype" w:eastAsia="Palatino Linotype" w:hAnsi="Palatino Linotype"/>
          <w:sz w:val="22"/>
          <w:szCs w:val="22"/>
          <w:rtl w:val="0"/>
        </w:rPr>
        <w:t xml:space="preserve">, mediante el cual informó que después de una búsqueda exhaustiva realizada en los archivos de esta Secretaría, se determinó que este Sujeto Obligado no cuenta con documentos que acrediten la existencia de la información que solicita. </w:t>
      </w:r>
    </w:p>
    <w:p w:rsidR="00000000" w:rsidDel="00000000" w:rsidP="00000000" w:rsidRDefault="00000000" w:rsidRPr="00000000" w14:paraId="00000011">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2">
      <w:pPr>
        <w:numPr>
          <w:ilvl w:val="0"/>
          <w:numId w:val="2"/>
        </w:numPr>
        <w:pBdr>
          <w:top w:space="0" w:sz="0" w:val="nil"/>
          <w:left w:space="0" w:sz="0" w:val="nil"/>
          <w:bottom w:space="0" w:sz="0" w:val="nil"/>
          <w:right w:space="0" w:sz="0" w:val="nil"/>
          <w:between w:space="0" w:sz="0" w:val="nil"/>
        </w:pBdr>
        <w:tabs>
          <w:tab w:val="left" w:leader="none" w:pos="426"/>
        </w:tabs>
        <w:spacing w:line="360" w:lineRule="auto"/>
        <w:ind w:left="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la respuesta del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interpuso recurso de revisión a través del SAIMEX en fecha </w:t>
      </w:r>
      <w:r w:rsidDel="00000000" w:rsidR="00000000" w:rsidRPr="00000000">
        <w:rPr>
          <w:rFonts w:ascii="Palatino Linotype" w:cs="Palatino Linotype" w:eastAsia="Palatino Linotype" w:hAnsi="Palatino Linotype"/>
          <w:b w:val="1"/>
          <w:sz w:val="22"/>
          <w:szCs w:val="22"/>
          <w:rtl w:val="0"/>
        </w:rPr>
        <w:t xml:space="preserve">veintinueve de abril de dos mil veinticuatro</w:t>
      </w:r>
      <w:r w:rsidDel="00000000" w:rsidR="00000000" w:rsidRPr="00000000">
        <w:rPr>
          <w:rFonts w:ascii="Palatino Linotype" w:cs="Palatino Linotype" w:eastAsia="Palatino Linotype" w:hAnsi="Palatino Linotype"/>
          <w:sz w:val="22"/>
          <w:szCs w:val="22"/>
          <w:rtl w:val="0"/>
        </w:rPr>
        <w:t xml:space="preserve">, a través del cual expresó lo siguiente:</w:t>
      </w:r>
    </w:p>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4">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Acto impugnado. </w:t>
      </w:r>
      <w:r w:rsidDel="00000000" w:rsidR="00000000" w:rsidRPr="00000000">
        <w:rPr>
          <w:rFonts w:ascii="Palatino Linotype" w:cs="Palatino Linotype" w:eastAsia="Palatino Linotype" w:hAnsi="Palatino Linotype"/>
          <w:i w:val="1"/>
          <w:sz w:val="22"/>
          <w:szCs w:val="22"/>
          <w:rtl w:val="0"/>
        </w:rPr>
        <w:t xml:space="preserve">“no se me entrego la informacion ya que de la persona que estoy preguntando se encuentra en Toluca en las pseudo oficinas de la secretaria del agua en el palacio municipal y muchas veces esta en la Caem así que se están negando a dar la informacion” </w:t>
      </w:r>
    </w:p>
    <w:p w:rsidR="00000000" w:rsidDel="00000000" w:rsidP="00000000" w:rsidRDefault="00000000" w:rsidRPr="00000000" w14:paraId="00000015">
      <w:pPr>
        <w:spacing w:line="276" w:lineRule="auto"/>
        <w:ind w:left="851" w:right="616"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sz w:val="22"/>
          <w:szCs w:val="22"/>
          <w:rtl w:val="0"/>
        </w:rPr>
        <w:t xml:space="preserve">Motivos de inconformidad. </w:t>
      </w:r>
      <w:r w:rsidDel="00000000" w:rsidR="00000000" w:rsidRPr="00000000">
        <w:rPr>
          <w:rFonts w:ascii="Palatino Linotype" w:cs="Palatino Linotype" w:eastAsia="Palatino Linotype" w:hAnsi="Palatino Linotype"/>
          <w:i w:val="1"/>
          <w:sz w:val="22"/>
          <w:szCs w:val="22"/>
          <w:rtl w:val="0"/>
        </w:rPr>
        <w:t xml:space="preserve">“no se me entrego la informacion ya que de la persona que estoy preguntando se encuentra en Toluca en las pseudo oficinas de la secretaria del agua en el palacio municipal y muchas veces esta en la Caem así que se están negando a dar la informacion.”</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8">
      <w:pPr>
        <w:numPr>
          <w:ilvl w:val="0"/>
          <w:numId w:val="2"/>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sz w:val="22"/>
          <w:szCs w:val="22"/>
          <w:rtl w:val="0"/>
        </w:rPr>
        <w:t xml:space="preserve">02354/INFOEM/IP/RR/2024</w:t>
      </w:r>
      <w:r w:rsidDel="00000000" w:rsidR="00000000" w:rsidRPr="00000000">
        <w:rPr>
          <w:rFonts w:ascii="Palatino Linotype" w:cs="Palatino Linotype" w:eastAsia="Palatino Linotype" w:hAnsi="Palatino Linotype"/>
          <w:sz w:val="22"/>
          <w:szCs w:val="22"/>
          <w:rtl w:val="0"/>
        </w:rPr>
        <w:t xml:space="preserve">,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2"/>
          <w:szCs w:val="22"/>
          <w:rtl w:val="0"/>
        </w:rPr>
        <w:t xml:space="preserve">Guadalupe Ramírez Peña</w:t>
      </w:r>
      <w:r w:rsidDel="00000000" w:rsidR="00000000" w:rsidRPr="00000000">
        <w:rPr>
          <w:rFonts w:ascii="Palatino Linotype" w:cs="Palatino Linotype" w:eastAsia="Palatino Linotype" w:hAnsi="Palatino Linotype"/>
          <w:sz w:val="22"/>
          <w:szCs w:val="22"/>
          <w:rtl w:val="0"/>
        </w:rPr>
        <w:t xml:space="preserve">, para su análisis, estudio, elaboración del proyecto y presentación ante el Pleno de este Instituto.</w:t>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A">
      <w:pPr>
        <w:numPr>
          <w:ilvl w:val="0"/>
          <w:numId w:val="2"/>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bookmarkStart w:colFirst="0" w:colLast="0" w:name="_heading=h.gjdgxs" w:id="1"/>
      <w:bookmarkEnd w:id="1"/>
      <w:r w:rsidDel="00000000" w:rsidR="00000000" w:rsidRPr="00000000">
        <w:rPr>
          <w:rFonts w:ascii="Palatino Linotype" w:cs="Palatino Linotype" w:eastAsia="Palatino Linotype" w:hAnsi="Palatino Linotype"/>
          <w:b w:val="1"/>
          <w:sz w:val="22"/>
          <w:szCs w:val="22"/>
          <w:rtl w:val="0"/>
        </w:rPr>
        <w:t xml:space="preserve">Admisión del recurso de revisión: </w:t>
      </w:r>
      <w:r w:rsidDel="00000000" w:rsidR="00000000" w:rsidRPr="00000000">
        <w:rPr>
          <w:rFonts w:ascii="Palatino Linotype" w:cs="Palatino Linotype" w:eastAsia="Palatino Linotype" w:hAnsi="Palatino Linotype"/>
          <w:sz w:val="22"/>
          <w:szCs w:val="22"/>
          <w:rtl w:val="0"/>
        </w:rPr>
        <w:t xml:space="preserve">En fecha </w:t>
      </w:r>
      <w:r w:rsidDel="00000000" w:rsidR="00000000" w:rsidRPr="00000000">
        <w:rPr>
          <w:rFonts w:ascii="Palatino Linotype" w:cs="Palatino Linotype" w:eastAsia="Palatino Linotype" w:hAnsi="Palatino Linotype"/>
          <w:b w:val="1"/>
          <w:sz w:val="22"/>
          <w:szCs w:val="22"/>
          <w:rtl w:val="0"/>
        </w:rPr>
        <w:t xml:space="preserve">tres</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 mayo de dos mil veinticuatro</w:t>
      </w:r>
      <w:r w:rsidDel="00000000" w:rsidR="00000000" w:rsidRPr="00000000">
        <w:rPr>
          <w:rFonts w:ascii="Palatino Linotype" w:cs="Palatino Linotype" w:eastAsia="Palatino Linotype" w:hAnsi="Palatino Linotype"/>
          <w:sz w:val="22"/>
          <w:szCs w:val="22"/>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presentara su informe justificado.</w:t>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C">
      <w:pPr>
        <w:numPr>
          <w:ilvl w:val="0"/>
          <w:numId w:val="2"/>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Manifestaciones</w:t>
      </w:r>
      <w:r w:rsidDel="00000000" w:rsidR="00000000" w:rsidRPr="00000000">
        <w:rPr>
          <w:rFonts w:ascii="Palatino Linotype" w:cs="Palatino Linotype" w:eastAsia="Palatino Linotype" w:hAnsi="Palatino Linotype"/>
          <w:sz w:val="22"/>
          <w:szCs w:val="22"/>
          <w:rtl w:val="0"/>
        </w:rPr>
        <w:t xml:space="preserve">: De las constancias que obran en el expediente electrónico del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se desprende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rindió su informe justificado, como se deprende a continuación: </w:t>
      </w:r>
    </w:p>
    <w:p w:rsidR="00000000" w:rsidDel="00000000" w:rsidP="00000000" w:rsidRDefault="00000000" w:rsidRPr="00000000" w14:paraId="0000001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1291590"/>
            <wp:effectExtent b="0" l="0" r="0" t="0"/>
            <wp:docPr id="38"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612130" cy="129159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tabs>
          <w:tab w:val="left" w:leader="none" w:pos="426"/>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Cierre de instrucción.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veinticuatro de mayo de dos mil veinticuatro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1">
      <w:pPr>
        <w:numPr>
          <w:ilvl w:val="0"/>
          <w:numId w:val="1"/>
        </w:numPr>
        <w:pBdr>
          <w:top w:space="0" w:sz="0" w:val="nil"/>
          <w:left w:space="0" w:sz="0" w:val="nil"/>
          <w:bottom w:space="0" w:sz="0" w:val="nil"/>
          <w:right w:space="0" w:sz="0" w:val="nil"/>
          <w:between w:space="0" w:sz="0" w:val="nil"/>
        </w:pBdr>
        <w:tabs>
          <w:tab w:val="left" w:leader="none" w:pos="426"/>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Ampliación del plazo.</w:t>
      </w:r>
      <w:r w:rsidDel="00000000" w:rsidR="00000000" w:rsidRPr="00000000">
        <w:rPr>
          <w:rFonts w:ascii="Palatino Linotype" w:cs="Palatino Linotype" w:eastAsia="Palatino Linotype" w:hAnsi="Palatino Linotype"/>
          <w:sz w:val="22"/>
          <w:szCs w:val="22"/>
          <w:rtl w:val="0"/>
        </w:rPr>
        <w:t xml:space="preserve"> En fecha </w:t>
      </w:r>
      <w:r w:rsidDel="00000000" w:rsidR="00000000" w:rsidRPr="00000000">
        <w:rPr>
          <w:rFonts w:ascii="Palatino Linotype" w:cs="Palatino Linotype" w:eastAsia="Palatino Linotype" w:hAnsi="Palatino Linotype"/>
          <w:b w:val="1"/>
          <w:sz w:val="22"/>
          <w:szCs w:val="22"/>
          <w:rtl w:val="0"/>
        </w:rPr>
        <w:t xml:space="preserve">veintidós de agosto de dos mil veinticuatro</w:t>
      </w:r>
      <w:r w:rsidDel="00000000" w:rsidR="00000000" w:rsidRPr="00000000">
        <w:rPr>
          <w:rFonts w:ascii="Palatino Linotype" w:cs="Palatino Linotype" w:eastAsia="Palatino Linotype" w:hAnsi="Palatino Linotype"/>
          <w:sz w:val="22"/>
          <w:szCs w:val="22"/>
          <w:rtl w:val="0"/>
        </w:rPr>
        <w:t xml:space="preserve">, con fundamento en el artículo 181, párrafo tercero de la Ley de Transparencia y Acceso a la Información Pública del Estado de México y Municipios, se acordó la ampliación del plazo para su resolución.</w:t>
      </w:r>
    </w:p>
    <w:p w:rsidR="00000000" w:rsidDel="00000000" w:rsidP="00000000" w:rsidRDefault="00000000" w:rsidRPr="00000000" w14:paraId="00000022">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2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2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2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2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B">
      <w:pPr>
        <w:spacing w:line="360" w:lineRule="auto"/>
        <w:jc w:val="both"/>
        <w:rPr>
          <w:rFonts w:ascii="Palatino Linotype" w:cs="Palatino Linotype" w:eastAsia="Palatino Linotype" w:hAnsi="Palatino Linotype"/>
          <w:strike w:val="1"/>
          <w:sz w:val="22"/>
          <w:szCs w:val="22"/>
        </w:rPr>
      </w:pPr>
      <w:r w:rsidDel="00000000" w:rsidR="00000000" w:rsidRPr="00000000">
        <w:rPr>
          <w:rFonts w:ascii="Palatino Linotype" w:cs="Palatino Linotype" w:eastAsia="Palatino Linotype" w:hAnsi="Palatino Linotype"/>
          <w:sz w:val="22"/>
          <w:szCs w:val="22"/>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2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D">
      <w:pPr>
        <w:numPr>
          <w:ilvl w:val="0"/>
          <w:numId w:val="3"/>
        </w:numPr>
        <w:spacing w:line="360" w:lineRule="auto"/>
        <w:ind w:left="927"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Complejidad del Asunto:</w:t>
      </w:r>
      <w:r w:rsidDel="00000000" w:rsidR="00000000" w:rsidRPr="00000000">
        <w:rPr>
          <w:rFonts w:ascii="Palatino Linotype" w:cs="Palatino Linotype" w:eastAsia="Palatino Linotype" w:hAnsi="Palatino Linotype"/>
          <w:sz w:val="22"/>
          <w:szCs w:val="22"/>
          <w:rtl w:val="0"/>
        </w:rPr>
        <w:t xml:space="preserve"> La complejidad de la prueba, la pluralidad de sujetos procesales, el tiempo transcurrido, las características y contexto del recurso. </w:t>
      </w:r>
    </w:p>
    <w:p w:rsidR="00000000" w:rsidDel="00000000" w:rsidP="00000000" w:rsidRDefault="00000000" w:rsidRPr="00000000" w14:paraId="0000002E">
      <w:pPr>
        <w:spacing w:line="360" w:lineRule="auto"/>
        <w:ind w:left="92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F">
      <w:pPr>
        <w:numPr>
          <w:ilvl w:val="0"/>
          <w:numId w:val="3"/>
        </w:numPr>
        <w:spacing w:line="360" w:lineRule="auto"/>
        <w:ind w:left="927"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Actividad Procesal del interesado.</w:t>
      </w:r>
      <w:r w:rsidDel="00000000" w:rsidR="00000000" w:rsidRPr="00000000">
        <w:rPr>
          <w:rFonts w:ascii="Palatino Linotype" w:cs="Palatino Linotype" w:eastAsia="Palatino Linotype" w:hAnsi="Palatino Linotype"/>
          <w:sz w:val="22"/>
          <w:szCs w:val="22"/>
          <w:rtl w:val="0"/>
        </w:rPr>
        <w:t xml:space="preserve"> Acciones u omisiones del interesado.</w:t>
      </w:r>
    </w:p>
    <w:p w:rsidR="00000000" w:rsidDel="00000000" w:rsidP="00000000" w:rsidRDefault="00000000" w:rsidRPr="00000000" w14:paraId="00000030">
      <w:pPr>
        <w:spacing w:line="360" w:lineRule="auto"/>
        <w:ind w:left="92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1">
      <w:pPr>
        <w:numPr>
          <w:ilvl w:val="0"/>
          <w:numId w:val="3"/>
        </w:numPr>
        <w:spacing w:line="360" w:lineRule="auto"/>
        <w:ind w:left="927"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Conducta de la Autoridad: </w:t>
      </w:r>
      <w:r w:rsidDel="00000000" w:rsidR="00000000" w:rsidRPr="00000000">
        <w:rPr>
          <w:rFonts w:ascii="Palatino Linotype" w:cs="Palatino Linotype" w:eastAsia="Palatino Linotype" w:hAnsi="Palatino Linotype"/>
          <w:sz w:val="22"/>
          <w:szCs w:val="22"/>
          <w:rtl w:val="0"/>
        </w:rPr>
        <w:t xml:space="preserve">Las Acciones u omisiones realizadas en el procedimiento. Así como si la autoridad actuó con la debida diligencia.</w:t>
      </w:r>
    </w:p>
    <w:p w:rsidR="00000000" w:rsidDel="00000000" w:rsidP="00000000" w:rsidRDefault="00000000" w:rsidRPr="00000000" w14:paraId="00000032">
      <w:pPr>
        <w:spacing w:line="360" w:lineRule="auto"/>
        <w:ind w:left="92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3">
      <w:pPr>
        <w:numPr>
          <w:ilvl w:val="0"/>
          <w:numId w:val="3"/>
        </w:numPr>
        <w:spacing w:line="360" w:lineRule="auto"/>
        <w:ind w:left="927"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La afectación generada en la situación jurídica de la persona involucrada en el proceso:</w:t>
      </w:r>
      <w:r w:rsidDel="00000000" w:rsidR="00000000" w:rsidRPr="00000000">
        <w:rPr>
          <w:rFonts w:ascii="Palatino Linotype" w:cs="Palatino Linotype" w:eastAsia="Palatino Linotype" w:hAnsi="Palatino Linotype"/>
          <w:sz w:val="22"/>
          <w:szCs w:val="22"/>
          <w:rtl w:val="0"/>
        </w:rPr>
        <w:t xml:space="preserve"> Violación a sus derechos humanos.</w:t>
      </w:r>
    </w:p>
    <w:p w:rsidR="00000000" w:rsidDel="00000000" w:rsidP="00000000" w:rsidRDefault="00000000" w:rsidRPr="00000000" w14:paraId="0000003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3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7">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sz w:val="22"/>
          <w:szCs w:val="22"/>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sz w:val="22"/>
          <w:szCs w:val="22"/>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3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3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3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D">
      <w:pPr>
        <w:spacing w:line="360" w:lineRule="auto"/>
        <w:ind w:left="567"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sz w:val="22"/>
          <w:szCs w:val="22"/>
          <w:rtl w:val="0"/>
        </w:rPr>
        <w:t xml:space="preserve"> consultable en el Seminario Judicial de la Federación y su gaceta, con el registro digital 2002351.</w:t>
      </w:r>
    </w:p>
    <w:p w:rsidR="00000000" w:rsidDel="00000000" w:rsidP="00000000" w:rsidRDefault="00000000" w:rsidRPr="00000000" w14:paraId="0000003E">
      <w:pPr>
        <w:spacing w:line="360" w:lineRule="auto"/>
        <w:ind w:left="567" w:right="616"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3F">
      <w:pPr>
        <w:spacing w:line="360" w:lineRule="auto"/>
        <w:ind w:left="567"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sz w:val="22"/>
          <w:szCs w:val="22"/>
          <w:rtl w:val="0"/>
        </w:rPr>
        <w:t xml:space="preserve">, visible en el Seminario Judicial de la Federación y su gaceta, con el registro digital 2002350.</w:t>
      </w:r>
    </w:p>
    <w:p w:rsidR="00000000" w:rsidDel="00000000" w:rsidP="00000000" w:rsidRDefault="00000000" w:rsidRPr="00000000" w14:paraId="00000040">
      <w:pPr>
        <w:spacing w:line="360" w:lineRule="auto"/>
        <w:ind w:left="567"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este organismo garante comprometido con la tutela de los derechos humanos confiados, señala que este exceso de plazo legal para resolver el presente asunto, resulta de carácter excepcional.</w:t>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4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5">
      <w:pPr>
        <w:numPr>
          <w:ilvl w:val="0"/>
          <w:numId w:val="4"/>
        </w:numPr>
        <w:pBdr>
          <w:top w:space="0" w:sz="0" w:val="nil"/>
          <w:left w:space="0" w:sz="0" w:val="nil"/>
          <w:bottom w:space="0" w:sz="0" w:val="nil"/>
          <w:right w:space="0" w:sz="0" w:val="nil"/>
          <w:between w:space="0" w:sz="0" w:val="nil"/>
        </w:pBdr>
        <w:spacing w:line="360" w:lineRule="auto"/>
        <w:ind w:left="1077" w:hanging="360"/>
        <w:jc w:val="center"/>
        <w:rPr>
          <w:rFonts w:ascii="Palatino Linotype" w:cs="Palatino Linotype" w:eastAsia="Palatino Linotype" w:hAnsi="Palatino Linotype"/>
          <w:b w:val="1"/>
          <w:sz w:val="22"/>
          <w:szCs w:val="22"/>
        </w:rPr>
      </w:pPr>
      <w:bookmarkStart w:colFirst="0" w:colLast="0" w:name="_heading=h.30j0zll" w:id="2"/>
      <w:bookmarkEnd w:id="2"/>
      <w:r w:rsidDel="00000000" w:rsidR="00000000" w:rsidRPr="00000000">
        <w:rPr>
          <w:rFonts w:ascii="Palatino Linotype" w:cs="Palatino Linotype" w:eastAsia="Palatino Linotype" w:hAnsi="Palatino Linotype"/>
          <w:b w:val="1"/>
          <w:sz w:val="22"/>
          <w:szCs w:val="22"/>
          <w:rtl w:val="0"/>
        </w:rPr>
        <w:t xml:space="preserve">C O N S I D E R A N D O:</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360" w:lineRule="auto"/>
        <w:ind w:left="1077" w:firstLine="0"/>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4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 </w:t>
      </w:r>
      <w:r w:rsidDel="00000000" w:rsidR="00000000" w:rsidRPr="00000000">
        <w:rPr>
          <w:rFonts w:ascii="Palatino Linotype" w:cs="Palatino Linotype" w:eastAsia="Palatino Linotype" w:hAnsi="Palatino Linotype"/>
          <w:sz w:val="22"/>
          <w:szCs w:val="22"/>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48">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4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4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B">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ya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proporcionó su respuesta a la solicitud de información el </w:t>
      </w:r>
      <w:r w:rsidDel="00000000" w:rsidR="00000000" w:rsidRPr="00000000">
        <w:rPr>
          <w:rFonts w:ascii="Palatino Linotype" w:cs="Palatino Linotype" w:eastAsia="Palatino Linotype" w:hAnsi="Palatino Linotype"/>
          <w:b w:val="1"/>
          <w:sz w:val="22"/>
          <w:szCs w:val="22"/>
          <w:rtl w:val="0"/>
        </w:rPr>
        <w:t xml:space="preserve">veinticinco de abril de dos mil veinticuatro</w:t>
      </w:r>
      <w:r w:rsidDel="00000000" w:rsidR="00000000" w:rsidRPr="00000000">
        <w:rPr>
          <w:rFonts w:ascii="Palatino Linotype" w:cs="Palatino Linotype" w:eastAsia="Palatino Linotype" w:hAnsi="Palatino Linotype"/>
          <w:sz w:val="22"/>
          <w:szCs w:val="22"/>
          <w:rtl w:val="0"/>
        </w:rPr>
        <w:t xml:space="preserve">, y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presentó su recurso de revisión el </w:t>
      </w:r>
      <w:r w:rsidDel="00000000" w:rsidR="00000000" w:rsidRPr="00000000">
        <w:rPr>
          <w:rFonts w:ascii="Palatino Linotype" w:cs="Palatino Linotype" w:eastAsia="Palatino Linotype" w:hAnsi="Palatino Linotype"/>
          <w:b w:val="1"/>
          <w:sz w:val="22"/>
          <w:szCs w:val="22"/>
          <w:rtl w:val="0"/>
        </w:rPr>
        <w:t xml:space="preserve">veintinueve de abril de dos mil veinticuatro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esto es al segundo día hábil siguiente en que tuvo conocimiento de la respuesta. </w:t>
      </w:r>
    </w:p>
    <w:p w:rsidR="00000000" w:rsidDel="00000000" w:rsidP="00000000" w:rsidRDefault="00000000" w:rsidRPr="00000000" w14:paraId="0000004C">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 suma importancia mencionar que, si bien la parte no proporcionó algún nombre para ser identificado como se advierte en el detalle de seguimiento del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4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solicitudes </w:t>
      </w:r>
      <w:r w:rsidDel="00000000" w:rsidR="00000000" w:rsidRPr="00000000">
        <w:rPr>
          <w:rFonts w:ascii="Palatino Linotype" w:cs="Palatino Linotype" w:eastAsia="Palatino Linotype" w:hAnsi="Palatino Linotype"/>
          <w:b w:val="1"/>
          <w:i w:val="1"/>
          <w:sz w:val="22"/>
          <w:szCs w:val="22"/>
          <w:u w:val="single"/>
          <w:rtl w:val="0"/>
        </w:rPr>
        <w:t xml:space="preserve">anónimas</w:t>
      </w:r>
      <w:r w:rsidDel="00000000" w:rsidR="00000000" w:rsidRPr="00000000">
        <w:rPr>
          <w:rFonts w:ascii="Palatino Linotype" w:cs="Palatino Linotype" w:eastAsia="Palatino Linotype" w:hAnsi="Palatino Linotype"/>
          <w:i w:val="1"/>
          <w:sz w:val="22"/>
          <w:szCs w:val="22"/>
          <w:rtl w:val="0"/>
        </w:rPr>
        <w:t xml:space="preserve">, con nombre incompleto o seudónimo serán procedentes para su trámite por parte del sujeto obligado ante quien se presente. No podrá requerirse información adicional con motivo del nombre proporcionado por el solicitante."</w:t>
      </w:r>
    </w:p>
    <w:p w:rsidR="00000000" w:rsidDel="00000000" w:rsidP="00000000" w:rsidRDefault="00000000" w:rsidRPr="00000000" w14:paraId="0000005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1">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Del="00000000" w:rsidR="00000000" w:rsidRPr="00000000">
        <w:rPr>
          <w:rFonts w:ascii="Palatino Linotype" w:cs="Palatino Linotype" w:eastAsia="Palatino Linotype" w:hAnsi="Palatino Linotype"/>
          <w:b w:val="1"/>
          <w:sz w:val="22"/>
          <w:szCs w:val="22"/>
          <w:rtl w:val="0"/>
        </w:rPr>
        <w:t xml:space="preserve">SAIMEX.</w:t>
      </w:r>
    </w:p>
    <w:p w:rsidR="00000000" w:rsidDel="00000000" w:rsidP="00000000" w:rsidRDefault="00000000" w:rsidRPr="00000000" w14:paraId="0000005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procedente la interposición del recurso de revisión al rubro anotado, toda vez que se actualiza las hipótesis previstas en el artículo 179, fracción I de la ley de la materia, que a la letra dice:</w:t>
      </w:r>
    </w:p>
    <w:p w:rsidR="00000000" w:rsidDel="00000000" w:rsidP="00000000" w:rsidRDefault="00000000" w:rsidRPr="00000000" w14:paraId="00000054">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56">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La negativa a la información solicitada;</w:t>
      </w:r>
    </w:p>
    <w:p w:rsidR="00000000" w:rsidDel="00000000" w:rsidP="00000000" w:rsidRDefault="00000000" w:rsidRPr="00000000" w14:paraId="00000057">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5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Materia de Revisión</w:t>
      </w:r>
      <w:r w:rsidDel="00000000" w:rsidR="00000000" w:rsidRPr="00000000">
        <w:rPr>
          <w:rFonts w:ascii="Palatino Linotype" w:cs="Palatino Linotype" w:eastAsia="Palatino Linotype" w:hAnsi="Palatino Linotype"/>
          <w:sz w:val="22"/>
          <w:szCs w:val="22"/>
          <w:rtl w:val="0"/>
        </w:rPr>
        <w:t xml:space="preserve">: De las constancias que integran el expediente electrónico se advierte que el tema sobre el que este Instituto se pronunciará será en determinar si se actualiza la fracción I del artículo 179 de la Ley de Transparencia y Acceso a la Información Pública del Estado de México y Municipios.  </w:t>
      </w:r>
    </w:p>
    <w:p w:rsidR="00000000" w:rsidDel="00000000" w:rsidP="00000000" w:rsidRDefault="00000000" w:rsidRPr="00000000" w14:paraId="0000005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Estudio de fondo del asunto. </w:t>
      </w:r>
      <w:r w:rsidDel="00000000" w:rsidR="00000000" w:rsidRPr="00000000">
        <w:rPr>
          <w:rFonts w:ascii="Palatino Linotype" w:cs="Palatino Linotype" w:eastAsia="Palatino Linotype" w:hAnsi="Palatino Linotype"/>
          <w:sz w:val="22"/>
          <w:szCs w:val="22"/>
          <w:rtl w:val="0"/>
        </w:rPr>
        <w:t xml:space="preserve">Es conveniente analizar si la respuesta del Sujeto Obligado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5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D">
      <w:pP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5E">
      <w:pP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5F">
      <w:pP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.”(Sic)</w:t>
      </w:r>
    </w:p>
    <w:p w:rsidR="00000000" w:rsidDel="00000000" w:rsidP="00000000" w:rsidRDefault="00000000" w:rsidRPr="00000000" w14:paraId="0000006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62">
      <w:pPr>
        <w:spacing w:line="276" w:lineRule="auto"/>
        <w:ind w:left="567"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3">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64">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66">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7">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68">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9">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Sirve de apoyo a lo anterior, el criterio 03-17, expuesto por el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sz w:val="22"/>
          <w:szCs w:val="22"/>
          <w:rtl w:val="0"/>
        </w:rPr>
        <w:t xml:space="preserve"> </w:t>
      </w:r>
    </w:p>
    <w:p w:rsidR="00000000" w:rsidDel="00000000" w:rsidP="00000000" w:rsidRDefault="00000000" w:rsidRPr="00000000" w14:paraId="0000006A">
      <w:pPr>
        <w:spacing w:line="276" w:lineRule="auto"/>
        <w:ind w:left="851" w:right="85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B">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6C">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6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7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1">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72">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3">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000000" w:rsidDel="00000000" w:rsidP="00000000" w:rsidRDefault="00000000" w:rsidRPr="00000000" w14:paraId="00000074">
      <w:pPr>
        <w:spacing w:line="360"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76">
      <w:pPr>
        <w:spacing w:line="360"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7">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7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79">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7A">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7B">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Que se trate de información registrada en cualquier soporte documental, que en ejercicio de las atribuciones conferidas, se encuentre en posesión de los Sujetos Obligados.” (Sic)</w:t>
      </w:r>
    </w:p>
    <w:p w:rsidR="00000000" w:rsidDel="00000000" w:rsidP="00000000" w:rsidRDefault="00000000" w:rsidRPr="00000000" w14:paraId="0000007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D">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7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000000" w:rsidDel="00000000" w:rsidP="00000000" w:rsidRDefault="00000000" w:rsidRPr="00000000" w14:paraId="00000080">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del análisis de la solicitud de información, motivo del recurso de revisión que ahora se resuelve, se advierte que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requirió al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le proporcione en copia simple, información consistente en lo siguiente:</w:t>
      </w:r>
    </w:p>
    <w:p w:rsidR="00000000" w:rsidDel="00000000" w:rsidP="00000000" w:rsidRDefault="00000000" w:rsidRPr="00000000" w14:paraId="00000081">
      <w:pPr>
        <w:numPr>
          <w:ilvl w:val="0"/>
          <w:numId w:val="5"/>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nombramiento de Laura Barranco Pérez.</w:t>
      </w:r>
    </w:p>
    <w:p w:rsidR="00000000" w:rsidDel="00000000" w:rsidP="00000000" w:rsidRDefault="00000000" w:rsidRPr="00000000" w14:paraId="00000082">
      <w:pPr>
        <w:numPr>
          <w:ilvl w:val="0"/>
          <w:numId w:val="5"/>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Cuanto percibe mensualmente y vehículos asignados. </w:t>
      </w:r>
    </w:p>
    <w:p w:rsidR="00000000" w:rsidDel="00000000" w:rsidP="00000000" w:rsidRDefault="00000000" w:rsidRPr="00000000" w14:paraId="00000083">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4">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tal sentido,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 la Encargada del Despacho de la Unidad de Transparencia, informó al particular que después de realizar una búsqueda en los archivos de la Secretaría, determinó que el Sujeto Obligado no cuenta con documentos que acrediten la existencia de la información solicitada. </w:t>
      </w:r>
    </w:p>
    <w:p w:rsidR="00000000" w:rsidDel="00000000" w:rsidP="00000000" w:rsidRDefault="00000000" w:rsidRPr="00000000" w14:paraId="00000085">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6">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Inconforme con la respuesta la persona hoy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interpuso el recurso de revisión que se analiza en el presente asunto, por medio del cual se inconformó en lo medular por la negativa del Sujeto Obligado para proporcionar lo solicitado. </w:t>
      </w:r>
    </w:p>
    <w:p w:rsidR="00000000" w:rsidDel="00000000" w:rsidP="00000000" w:rsidRDefault="00000000" w:rsidRPr="00000000" w14:paraId="00000087">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8">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Admitido el presente recurso de revisión, en términos del artículo 185 fracción II de la Ley de Transparencia y Acceso a la Información Pública del Estado de México y Municipios, se integró el expediente y se puso a disposición de las partes para que, en un plazo máximo de siete días hábiles, manifestaran lo que a su derecho resultara conveniente, teniendo así que ambas partes fueron omisas en manifestarse, por lo que se tiene por precluido el derecho de ambas partes y se procede a emitir la resolución que conforme a derecho corresponde.</w:t>
      </w:r>
    </w:p>
    <w:p w:rsidR="00000000" w:rsidDel="00000000" w:rsidP="00000000" w:rsidRDefault="00000000" w:rsidRPr="00000000" w14:paraId="0000008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Expuestas las posturas de las partes, y de las constancias que obran en el expediente electrónico, se advierte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realizó el turno de la presente solicitud para su atención al Servidor Público Habilitado Competente y se limitó a atenderla por conducto de la Unidad de Transparencia, tal como se desprende de la siguiente imagen ilustrativa:</w:t>
      </w:r>
    </w:p>
    <w:p w:rsidR="00000000" w:rsidDel="00000000" w:rsidP="00000000" w:rsidRDefault="00000000" w:rsidRPr="00000000" w14:paraId="0000008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899795"/>
            <wp:effectExtent b="0" l="0" r="0" t="0"/>
            <wp:docPr id="3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612130" cy="899795"/>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E">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anterior, no se tiene certeza de que el pronunciamiento emitido en atención a la solicitud de información en comento, se realizará por el servidor público habilitado competente, por ello es que a consideración de este Instituto y al no haberse realizado el turno a las unidades administrativas competentes para conocer de los requerimientos de información es que se determina que no se satisfizo en su totalidad el derecho de acceso a la información pública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al incumplir con el principio de exhaustividad, toda vez que no se advierte una correcta búsqueda exhaustiva y razonable de la información solicitada por el particular, lo anterior es así, en razón de que como se verá en las próximas líneas argumentativas, para otorgar mayor certeza jurídica al particular de que se realizaron las gestiones necesarias para obtener la información, dicho requerimiento </w:t>
      </w:r>
      <w:r w:rsidDel="00000000" w:rsidR="00000000" w:rsidRPr="00000000">
        <w:rPr>
          <w:rFonts w:ascii="Palatino Linotype" w:cs="Palatino Linotype" w:eastAsia="Palatino Linotype" w:hAnsi="Palatino Linotype"/>
          <w:b w:val="1"/>
          <w:sz w:val="22"/>
          <w:szCs w:val="22"/>
          <w:u w:val="single"/>
          <w:rtl w:val="0"/>
        </w:rPr>
        <w:t xml:space="preserve">debió turnarse a su vez a la Coordinación de Administración</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en ese sentido, compete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 respuesta a los requerimientos informativos, deberá notificarse al interesado en el menor tiempo posible, que no podrá exceder de quince días hábiles, contados a partir del día siguiente a la presentación de esta. </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Excepcionalmente, el plazo referido podrá ampliarse por siete días hábiles más, cuando existan razones fundadas y motivadas, a través del Comité de Transparencia; </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El acceso se dará en la modalidad de entrega y en su caso, de envío elegido por la solicitante, cuando no pueda entregarse en dicha modalidad,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deberá ofrecer otras; por lo cual, deberá fundar y motivar la necesidad de modificar el medio de entrega, y </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00000000" w:rsidDel="00000000" w:rsidP="00000000" w:rsidRDefault="00000000" w:rsidRPr="00000000" w14:paraId="00000095">
      <w:pPr>
        <w:spacing w:after="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insertado con anterioridad, se determina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cuenta con la obligación de turnar a todas las áreas que se consideren competentes para que realicen una búsqueda exhaustiva y razonable de la información solicitada a fin de que esta sea entregada a los solicitantes.</w:t>
      </w:r>
    </w:p>
    <w:p w:rsidR="00000000" w:rsidDel="00000000" w:rsidP="00000000" w:rsidRDefault="00000000" w:rsidRPr="00000000" w14:paraId="0000009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se debe entender que el trámite interno que se realice a las solicitudes de acceso a la información, es con el propósito de que se realice una búsqueda exhaustiva y razonable de la información entre sus archivos y, en su caso, se entregue la información de interés para el particular.</w:t>
      </w:r>
    </w:p>
    <w:p w:rsidR="00000000" w:rsidDel="00000000" w:rsidP="00000000" w:rsidRDefault="00000000" w:rsidRPr="00000000" w14:paraId="0000009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 precisar que dicho trámite se debe realizar ante el servidor público habilitado competente, el cual es conceptualizado por los artículos 3, 58 y 59 de la Ley de Transparencia Local, mismos que se insertan a continuación:</w:t>
      </w:r>
    </w:p>
    <w:p w:rsidR="00000000" w:rsidDel="00000000" w:rsidP="00000000" w:rsidRDefault="00000000" w:rsidRPr="00000000" w14:paraId="0000009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A">
      <w:pPr>
        <w:spacing w:line="276" w:lineRule="auto"/>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i w:val="1"/>
          <w:sz w:val="22"/>
          <w:szCs w:val="22"/>
          <w:rtl w:val="0"/>
        </w:rPr>
        <w:t xml:space="preserve">“XXXIX. </w:t>
      </w:r>
      <w:r w:rsidDel="00000000" w:rsidR="00000000" w:rsidRPr="00000000">
        <w:rPr>
          <w:rFonts w:ascii="Palatino Linotype" w:cs="Palatino Linotype" w:eastAsia="Palatino Linotype" w:hAnsi="Palatino Linotype"/>
          <w:b w:val="1"/>
          <w:i w:val="1"/>
          <w:sz w:val="22"/>
          <w:szCs w:val="22"/>
          <w:rtl w:val="0"/>
        </w:rPr>
        <w:t xml:space="preserve">Servidor público habilitado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i w:val="1"/>
          <w:sz w:val="22"/>
          <w:szCs w:val="22"/>
          <w:u w:val="single"/>
          <w:rtl w:val="0"/>
        </w:rPr>
        <w:t xml:space="preserve">Persona encargada dentro de las diversas unidades administrativas o áreas del sujeto obligado, de apoyar, gestionar y entregar la información</w:t>
      </w:r>
      <w:r w:rsidDel="00000000" w:rsidR="00000000" w:rsidRPr="00000000">
        <w:rPr>
          <w:rFonts w:ascii="Palatino Linotype" w:cs="Palatino Linotype" w:eastAsia="Palatino Linotype" w:hAnsi="Palatino Linotype"/>
          <w:i w:val="1"/>
          <w:sz w:val="22"/>
          <w:szCs w:val="22"/>
          <w:rtl w:val="0"/>
        </w:rPr>
        <w:t xml:space="preserve"> o datos personales </w:t>
      </w:r>
      <w:r w:rsidDel="00000000" w:rsidR="00000000" w:rsidRPr="00000000">
        <w:rPr>
          <w:rFonts w:ascii="Palatino Linotype" w:cs="Palatino Linotype" w:eastAsia="Palatino Linotype" w:hAnsi="Palatino Linotype"/>
          <w:i w:val="1"/>
          <w:sz w:val="22"/>
          <w:szCs w:val="22"/>
          <w:u w:val="single"/>
          <w:rtl w:val="0"/>
        </w:rPr>
        <w:t xml:space="preserve">que se ubiquen en la misma, a sus respectivas unidades de transparencia; respecto de las solicitudes presentadas y aportar en primera instancia el fundamento y motivación de la clasificación de la información;</w:t>
      </w:r>
      <w:r w:rsidDel="00000000" w:rsidR="00000000" w:rsidRPr="00000000">
        <w:rPr>
          <w:rtl w:val="0"/>
        </w:rPr>
      </w:r>
    </w:p>
    <w:p w:rsidR="00000000" w:rsidDel="00000000" w:rsidP="00000000" w:rsidRDefault="00000000" w:rsidRPr="00000000" w14:paraId="0000009B">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C">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58. </w:t>
      </w:r>
      <w:r w:rsidDel="00000000" w:rsidR="00000000" w:rsidRPr="00000000">
        <w:rPr>
          <w:rFonts w:ascii="Palatino Linotype" w:cs="Palatino Linotype" w:eastAsia="Palatino Linotype" w:hAnsi="Palatino Linotype"/>
          <w:i w:val="1"/>
          <w:sz w:val="22"/>
          <w:szCs w:val="22"/>
          <w:rtl w:val="0"/>
        </w:rPr>
        <w:t xml:space="preserve">Los servidores públicos habilitados serán designados por el titular del sujeto obligado a propuesta del responsable de la Unidad de Transparencia.</w:t>
      </w:r>
    </w:p>
    <w:p w:rsidR="00000000" w:rsidDel="00000000" w:rsidP="00000000" w:rsidRDefault="00000000" w:rsidRPr="00000000" w14:paraId="0000009D">
      <w:pPr>
        <w:spacing w:line="276" w:lineRule="auto"/>
        <w:ind w:left="851" w:right="616" w:firstLine="0"/>
        <w:jc w:val="both"/>
        <w:rPr>
          <w:rFonts w:ascii="Palatino Linotype" w:cs="Palatino Linotype" w:eastAsia="Palatino Linotype" w:hAnsi="Palatino Linotype"/>
          <w:i w:val="1"/>
          <w:sz w:val="22"/>
          <w:szCs w:val="22"/>
          <w:u w:val="single"/>
        </w:rPr>
      </w:pPr>
      <w:r w:rsidDel="00000000" w:rsidR="00000000" w:rsidRPr="00000000">
        <w:rPr>
          <w:rFonts w:ascii="Palatino Linotype" w:cs="Palatino Linotype" w:eastAsia="Palatino Linotype" w:hAnsi="Palatino Linotype"/>
          <w:b w:val="1"/>
          <w:i w:val="1"/>
          <w:sz w:val="22"/>
          <w:szCs w:val="22"/>
          <w:rtl w:val="0"/>
        </w:rPr>
        <w:t xml:space="preserve">Artículo 59. </w:t>
      </w:r>
      <w:r w:rsidDel="00000000" w:rsidR="00000000" w:rsidRPr="00000000">
        <w:rPr>
          <w:rFonts w:ascii="Palatino Linotype" w:cs="Palatino Linotype" w:eastAsia="Palatino Linotype" w:hAnsi="Palatino Linotype"/>
          <w:b w:val="1"/>
          <w:i w:val="1"/>
          <w:sz w:val="22"/>
          <w:szCs w:val="22"/>
          <w:u w:val="single"/>
          <w:rtl w:val="0"/>
        </w:rPr>
        <w:t xml:space="preserve">Los servidores públicos habilitados tendrán las funciones siguientes</w:t>
      </w:r>
      <w:r w:rsidDel="00000000" w:rsidR="00000000" w:rsidRPr="00000000">
        <w:rPr>
          <w:rFonts w:ascii="Palatino Linotype" w:cs="Palatino Linotype" w:eastAsia="Palatino Linotype" w:hAnsi="Palatino Linotype"/>
          <w:i w:val="1"/>
          <w:sz w:val="22"/>
          <w:szCs w:val="22"/>
          <w:u w:val="single"/>
          <w:rtl w:val="0"/>
        </w:rPr>
        <w:t xml:space="preserve">:</w:t>
      </w:r>
    </w:p>
    <w:p w:rsidR="00000000" w:rsidDel="00000000" w:rsidP="00000000" w:rsidRDefault="00000000" w:rsidRPr="00000000" w14:paraId="0000009E">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Localizar la información que le solicite la Unidad de Transparencia;</w:t>
      </w:r>
    </w:p>
    <w:p w:rsidR="00000000" w:rsidDel="00000000" w:rsidP="00000000" w:rsidRDefault="00000000" w:rsidRPr="00000000" w14:paraId="0000009F">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II. Proporcionar la información que obre en los archivos y que le sea solicitada por la Unidad de Transparencia</w:t>
      </w: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A0">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Apoyar a la Unidad de Transparencia en lo que esta le solicite para el cumplimiento de sus funciones;</w:t>
      </w:r>
    </w:p>
    <w:p w:rsidR="00000000" w:rsidDel="00000000" w:rsidP="00000000" w:rsidRDefault="00000000" w:rsidRPr="00000000" w14:paraId="000000A1">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Proporcionar a la Unidad de Transparencia, las modificaciones a la información pública de oficio que obre en su poder;</w:t>
      </w:r>
    </w:p>
    <w:p w:rsidR="00000000" w:rsidDel="00000000" w:rsidP="00000000" w:rsidRDefault="00000000" w:rsidRPr="00000000" w14:paraId="000000A2">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Integrar y presentar al responsable de la Unidad de Transparencia la propuesta de clasificación de información, la cual tendrá los fundamentos y argumentos en que se basa dicha propuesta;</w:t>
      </w:r>
    </w:p>
    <w:p w:rsidR="00000000" w:rsidDel="00000000" w:rsidP="00000000" w:rsidRDefault="00000000" w:rsidRPr="00000000" w14:paraId="000000A3">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Verificar, una vez analizado el contenido de la información, que no se encuentre en los supuestos de información clasificada; y</w:t>
      </w:r>
    </w:p>
    <w:p w:rsidR="00000000" w:rsidDel="00000000" w:rsidP="00000000" w:rsidRDefault="00000000" w:rsidRPr="00000000" w14:paraId="000000A4">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Dar cuenta a la Unidad de Transparencia del vencimiento de los plazos de reserva.” </w:t>
      </w:r>
    </w:p>
    <w:p w:rsidR="00000000" w:rsidDel="00000000" w:rsidP="00000000" w:rsidRDefault="00000000" w:rsidRPr="00000000" w14:paraId="000000A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A6">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Determinado lo anterior, se tiene que en el presente caso, la unidad competente para conocer de esta solicitud de información, de manera enunciativa más no limitativa, es la Coordinación Administrativa de la Secretaría del Agua, en virtud de que conforme a lo establecido en el Reglamento Interno de la Secretaría, cuenta con las siguientes atribuciones: </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13. </w:t>
      </w:r>
      <w:r w:rsidDel="00000000" w:rsidR="00000000" w:rsidRPr="00000000">
        <w:rPr>
          <w:rFonts w:ascii="Palatino Linotype" w:cs="Palatino Linotype" w:eastAsia="Palatino Linotype" w:hAnsi="Palatino Linotype"/>
          <w:i w:val="1"/>
          <w:sz w:val="22"/>
          <w:szCs w:val="22"/>
          <w:rtl w:val="0"/>
        </w:rPr>
        <w:t xml:space="preserve">Corresponden a </w:t>
      </w:r>
      <w:r w:rsidDel="00000000" w:rsidR="00000000" w:rsidRPr="00000000">
        <w:rPr>
          <w:rFonts w:ascii="Palatino Linotype" w:cs="Palatino Linotype" w:eastAsia="Palatino Linotype" w:hAnsi="Palatino Linotype"/>
          <w:b w:val="1"/>
          <w:i w:val="1"/>
          <w:sz w:val="22"/>
          <w:szCs w:val="22"/>
          <w:rtl w:val="0"/>
        </w:rPr>
        <w:t xml:space="preserve">la Coordinación Administrativa</w:t>
      </w:r>
      <w:r w:rsidDel="00000000" w:rsidR="00000000" w:rsidRPr="00000000">
        <w:rPr>
          <w:rFonts w:ascii="Palatino Linotype" w:cs="Palatino Linotype" w:eastAsia="Palatino Linotype" w:hAnsi="Palatino Linotype"/>
          <w:i w:val="1"/>
          <w:sz w:val="22"/>
          <w:szCs w:val="22"/>
          <w:rtl w:val="0"/>
        </w:rPr>
        <w:t xml:space="preserve">, las atribuciones siguientes:</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Planear, programar, organizar y controlar el suministro, aprovechamiento y aplicación de los recursos humanos, materiales,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financieros </w:t>
      </w:r>
      <w:r w:rsidDel="00000000" w:rsidR="00000000" w:rsidRPr="00000000">
        <w:rPr>
          <w:rFonts w:ascii="Palatino Linotype" w:cs="Palatino Linotype" w:eastAsia="Palatino Linotype" w:hAnsi="Palatino Linotype"/>
          <w:i w:val="1"/>
          <w:sz w:val="22"/>
          <w:szCs w:val="22"/>
          <w:rtl w:val="0"/>
        </w:rPr>
        <w:t xml:space="preserve">y técnicos, así como los servicios generales de la Secretaría, en coordinación con las demás unidades administrativas;</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Integrar, en coordinación con las demás unidades administrativas, los anteproyectos de ingresos y de presupuesto de egresos de la Secretaría y someterlos a la consideración de la persona titular de la Secretaría, así como realizar la calendarización de los recursos del presupuesto autorizado;</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Cumplir y hacer cumplir las normas y políticas aplicables en materia de administración de recursos humanos, materiales y financieros;</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Controlar y verificar la aplicación del presupuesto de las unidades administrativas de la Secretaría;</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Coordinar, consolidar y controlar la información sobre el ejercicio del gasto de la Secretaría e informar a la persona titular de la Secretaría sobre su comportamiento;</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Integrar de manera conjunta con las demás unidades administrativas de la Secretaría, los programas de adquisiciones, arrendamientos, mantenimientos y contratación de servicios que requieran las unidades administrativas de la dependencia;</w:t>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Programar, formular, coordinar, establecer y ejecutar las acciones y procedimientos para la adquisición de bienes y contratación de servicios que requiera la Secretaría, de acuerdo con la normatividad aplicable;</w:t>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Suscribir los contratos, convenios y demás actos jurídicos de carácter administrativo o de cualquier otra índole dentro del ámbito de su competencia que sean solicitados por la Secretaría, de conformidad con la normatividad aplicable;</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Solicitar a la Oficialía Mayor o rescindir administrativamente, según corresponda, los contratos de adquisición de bienes y contratación de servicios que haya celebrado la Secretaría, y aplicar las penas convencionales, así como dar vista a las autoridades competentes para la imposición de las sanciones que prevé la legislación de la materia a los proveedores que incurran en el incumplimiento de dichos contratos;</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 Impulsar las actividades de capacitación y adiestramiento de las personas servidoras públicas de la Secretaría;</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 Convocar y organizar los actos de entrega y recepción de las unidades administrativas, así como de las personas servidoras públicas con la intervención del Órgano Interno de Control con apego a la normatividad aplicable;</w:t>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XII. Realizar el registro, control, mantenimiento y conservación de los bienes muebles e inmuebles asignados a las unidades administrativas de la Secretaría;</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XIII. Administrar los recursos derivados de los convenios suscritos con dependencias federales y estatales, así como los que correspondan ser ejercidos por la Secretaría, informando de ello a las instancias competentes;</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XIV. Emitir acuerdos para habilitar días y horas para la práctica de diligencias relacionadas con los procedimientos administrativos de su competencia;</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XV. Tramitar, previo acuerdo de la persona titular de la Secretaría, los movimientos de altas, bajas, cambios, promociones, permisos, licencias y demás movimientos de las personas servidoras públicas de la Secretaría</w:t>
      </w:r>
      <w:r w:rsidDel="00000000" w:rsidR="00000000" w:rsidRPr="00000000">
        <w:rPr>
          <w:rFonts w:ascii="Palatino Linotype" w:cs="Palatino Linotype" w:eastAsia="Palatino Linotype" w:hAnsi="Palatino Linotype"/>
          <w:i w:val="1"/>
          <w:sz w:val="22"/>
          <w:szCs w:val="22"/>
          <w:rtl w:val="0"/>
        </w:rPr>
        <w:t xml:space="preserve">, en términos de las disposiciones legales aplicables;</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XVI. Promover y coordinar las actividades de capacitación, y motivación de las personas servidoras públicas de la Secretaría;</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XVII. Apoyar, en el ámbito de su competencia, la elaboración de los programas de trabajo de las unidades administrativas de la Secretaría;</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XVIII. Diseñar y proponer instrumentos técnico-administrativos para mejorar la administración de los recursos asignados a la Secretaría;</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XIX. Coordinar la elaboración, integración y actualización del Reglamento Interior y los manuales administrativos de la Secretaría y someterlos a la aprobación de la Oficialía Mayor;</w:t>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 Determinar y controlar las medidas de seguridad y vigilancia de las instalaciones y bienes de la Secretaría, así como instrumentar mecanismos preventivos y dispositivos de emergencia en caso de desastre, y coordinar las acciones en materia de protección civil en la Secretaría, con base en las normas y políticas aplicables;</w:t>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 Administrar los recursos financieros de la Secretaría, previendo la capacidad de pago y liquidez, conforme a los programas y presupuestos aprobados;</w:t>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XXII. Coadyuvar en la vigilancia y control de la aplicación de los recursos asignados a la Secretaría referentes al ejercicio y comprobación del gasto, conforme a las normas, políticas y procedimientos establecidos;</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XXIII. Verificar que se realicen los registros contables y presupuestales de las operaciones financieras de la dependencia;</w:t>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XXIV. Coordinar a las delegaciones administrativas o equivalentes para que realicen el registro, mantenimiento y conservación de los bienes muebles e inmuebles asignados a las unidades ejecutoras de la Secretaría, así como mantener actualizado el resguardo de los bienes muebles, a través de las mismas;</w:t>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XXV. Instrumentar actas administrativas a las personas servidoras públicas de la Secretaría cuando incumplan las disposiciones laborales respectivas, y rescindir la relación laboral entre las personas servidoras públicas y la Secretaría de conformidad con las disposiciones de la materia;</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XXVI. Colaborar con la Coordinación Jurídica, y de Igualdad de Género y Erradicación de la Violencia, en la implementación de medidas que institucionalicen la perspectiva de género entre las personas servidoras públicas adscritas a la Secretaría;</w:t>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XXVII. Mantener actualizados los registros administrativos sobre recursos humanos, materiales, financieros,</w:t>
      </w:r>
      <w:r w:rsidDel="00000000" w:rsidR="00000000" w:rsidRPr="00000000">
        <w:rPr>
          <w:rFonts w:ascii="Palatino Linotype" w:cs="Palatino Linotype" w:eastAsia="Palatino Linotype" w:hAnsi="Palatino Linotype"/>
          <w:i w:val="1"/>
          <w:sz w:val="22"/>
          <w:szCs w:val="22"/>
          <w:rtl w:val="0"/>
        </w:rPr>
        <w:t xml:space="preserve"> archivo, correspondencia, </w:t>
      </w:r>
      <w:r w:rsidDel="00000000" w:rsidR="00000000" w:rsidRPr="00000000">
        <w:rPr>
          <w:rFonts w:ascii="Palatino Linotype" w:cs="Palatino Linotype" w:eastAsia="Palatino Linotype" w:hAnsi="Palatino Linotype"/>
          <w:b w:val="1"/>
          <w:i w:val="1"/>
          <w:sz w:val="22"/>
          <w:szCs w:val="22"/>
          <w:rtl w:val="0"/>
        </w:rPr>
        <w:t xml:space="preserve">inventario de bienes muebles e inmuebles </w:t>
      </w:r>
      <w:r w:rsidDel="00000000" w:rsidR="00000000" w:rsidRPr="00000000">
        <w:rPr>
          <w:rFonts w:ascii="Palatino Linotype" w:cs="Palatino Linotype" w:eastAsia="Palatino Linotype" w:hAnsi="Palatino Linotype"/>
          <w:i w:val="1"/>
          <w:sz w:val="22"/>
          <w:szCs w:val="22"/>
          <w:rtl w:val="0"/>
        </w:rPr>
        <w:t xml:space="preserve">y apoyos técnicos de la Secretaría;</w:t>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XXVIII. Coordinar al interior de la Dependencia el cumplimiento de las disposiciones en materia archivística y de administración de documentos establecidos en la Ley de Archivos y Administración de Documentos del Estado de México y Municipios y en otras disposiciones jurídicas aplicables;</w:t>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XXIX. Participar en los Comités de Adquisiciones y de Servicios; y de Arrendamientos, Adquisiciones de Inmuebles y Enajenaciones, de conformidad con las disposiciones jurídicas aplicables;</w:t>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XXX. Suscribir contratos individuales de trabajo por obra o tiempo determinado, por honorarios asimilables a salarios y por servicios profesionales, previa revisión de la Coordinación Jurídica, y de Igualdad de Género y Erradicación de la Violencia, en términos de la legislación aplicable, y</w:t>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XXXI. Las demás que le confieran otras disposiciones jurídicas aplicables y las que le encomiende la persona titular de la Secretaría.”</w:t>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 </w:t>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manera que como se desprende de la cita previamente realizada,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cuenta con una Coordinación Administrativa, la cual se encuentra encargada de atender de manera enunciativa más no limitativa de las cuestiones relativas a los movimientos de las personas servidoras públicas de la Secretaría, así como los registros administrativos sobre recursos humanos, materiales, financieros, inventario de bienes y apoyos técnicos de la Secretaría, por lo que al momento de otorgar cumplimiento a la presente resolución deberá realizar el turno correspondiente a esta área para efecto de que emita su pronunciamiento correspondiente.</w:t>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sobre la naturaleza de la información solicitada, relativa al </w:t>
      </w:r>
      <w:r w:rsidDel="00000000" w:rsidR="00000000" w:rsidRPr="00000000">
        <w:rPr>
          <w:rFonts w:ascii="Palatino Linotype" w:cs="Palatino Linotype" w:eastAsia="Palatino Linotype" w:hAnsi="Palatino Linotype"/>
          <w:b w:val="1"/>
          <w:sz w:val="22"/>
          <w:szCs w:val="22"/>
          <w:u w:val="single"/>
          <w:rtl w:val="0"/>
        </w:rPr>
        <w:t xml:space="preserve">nombramiento de la persona referida en la solicitud, </w:t>
      </w:r>
      <w:r w:rsidDel="00000000" w:rsidR="00000000" w:rsidRPr="00000000">
        <w:rPr>
          <w:rFonts w:ascii="Palatino Linotype" w:cs="Palatino Linotype" w:eastAsia="Palatino Linotype" w:hAnsi="Palatino Linotype"/>
          <w:sz w:val="22"/>
          <w:szCs w:val="22"/>
          <w:rtl w:val="0"/>
        </w:rPr>
        <w:t xml:space="preserve">la Ley del Trabajo de los Servidores Públicos del Estado de México</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tiene por objeto regular las relaciones de trabajo comprendidas entre las instituciones públicas y sus servidores públicos, las que se entienden establecidas mediante nombramiento, como así lo determina en su artículo 5, 8, 45 y 49, que señalan:</w:t>
      </w:r>
    </w:p>
    <w:p w:rsidR="00000000" w:rsidDel="00000000" w:rsidP="00000000" w:rsidRDefault="00000000" w:rsidRPr="00000000" w14:paraId="000000CC">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w:t>
      </w:r>
      <w:r w:rsidDel="00000000" w:rsidR="00000000" w:rsidRPr="00000000">
        <w:rPr>
          <w:rFonts w:ascii="Palatino Linotype" w:cs="Palatino Linotype" w:eastAsia="Palatino Linotype" w:hAnsi="Palatino Linotype"/>
          <w:i w:val="1"/>
          <w:sz w:val="22"/>
          <w:szCs w:val="22"/>
          <w:rtl w:val="0"/>
        </w:rPr>
        <w:t xml:space="preserve"> La relación de trabajo entre las instituciones públicas y sus servidores públicos se entiende establecida </w:t>
      </w:r>
      <w:r w:rsidDel="00000000" w:rsidR="00000000" w:rsidRPr="00000000">
        <w:rPr>
          <w:rFonts w:ascii="Palatino Linotype" w:cs="Palatino Linotype" w:eastAsia="Palatino Linotype" w:hAnsi="Palatino Linotype"/>
          <w:b w:val="1"/>
          <w:i w:val="1"/>
          <w:sz w:val="22"/>
          <w:szCs w:val="22"/>
          <w:u w:val="single"/>
          <w:rtl w:val="0"/>
        </w:rPr>
        <w:t xml:space="preserve">mediante nombramiento</w:t>
      </w:r>
      <w:r w:rsidDel="00000000" w:rsidR="00000000" w:rsidRPr="00000000">
        <w:rPr>
          <w:rFonts w:ascii="Palatino Linotype" w:cs="Palatino Linotype" w:eastAsia="Palatino Linotype" w:hAnsi="Palatino Linotype"/>
          <w:i w:val="1"/>
          <w:sz w:val="22"/>
          <w:szCs w:val="22"/>
          <w:u w:val="single"/>
          <w:rtl w:val="0"/>
        </w:rPr>
        <w:t xml:space="preserve">, formato único de movimiento de personal, contrato</w:t>
      </w:r>
      <w:r w:rsidDel="00000000" w:rsidR="00000000" w:rsidRPr="00000000">
        <w:rPr>
          <w:rFonts w:ascii="Palatino Linotype" w:cs="Palatino Linotype" w:eastAsia="Palatino Linotype" w:hAnsi="Palatino Linotype"/>
          <w:i w:val="1"/>
          <w:sz w:val="22"/>
          <w:szCs w:val="22"/>
          <w:rtl w:val="0"/>
        </w:rPr>
        <w:t xml:space="preserve"> o por cualquier otro acto que tenga como consecuencia la prestación personal subordinada del servicio y la percepción de un sueldo. </w:t>
      </w: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before="120"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Para los efectos de esta ley, las instituciones públicas estarán representadas por sus titulares.</w:t>
      </w: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before="120"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before="120"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 Se entiende por servidores públicos de confianza</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before="12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Aquéllos cuyo nombramiento o ejercicio del cargo requiera de la intervención directa del titular de la institución pública, del órgano de gobierno o de los Organismos Autónomos Constitucionales; </w:t>
      </w:r>
      <w:r w:rsidDel="00000000" w:rsidR="00000000" w:rsidRPr="00000000">
        <w:rPr>
          <w:rFonts w:ascii="Palatino Linotype" w:cs="Palatino Linotype" w:eastAsia="Palatino Linotype" w:hAnsi="Palatino Linotype"/>
          <w:b w:val="1"/>
          <w:i w:val="1"/>
          <w:sz w:val="22"/>
          <w:szCs w:val="22"/>
          <w:u w:val="single"/>
          <w:rtl w:val="0"/>
        </w:rPr>
        <w:t xml:space="preserve">siendo atribución de éstos su nombramiento o remoción en cualquier momento</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before="120"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II. Aquéllos que tengan esa calidad en razón de la naturaleza de las funciones que desempeñen y no de la designación que se dé al puesto.  Son funciones de confianza: las de dirección,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 así como aquellas que se desempeñen por mandato de la norma que rigen las condiciones de trabajo de la institución pública.   Sin que lo anterior implique o signifique transgredir derechos laborales, sociales o colectivos adquiridos por los trabajadores.</w:t>
      </w: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before="120"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No se consideran funciones de confianza las de dirección, supervisión e inspección que realizan los integrantes del Sistema Educativo Estatal en los planteles educativos del propio sistema.</w:t>
      </w: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before="120"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before="120"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45.-Los servidores públicos prestarán sus servicios mediante nombramiento, contrato o formato único de Movimientos de Personal</w:t>
      </w:r>
      <w:r w:rsidDel="00000000" w:rsidR="00000000" w:rsidRPr="00000000">
        <w:rPr>
          <w:rFonts w:ascii="Palatino Linotype" w:cs="Palatino Linotype" w:eastAsia="Palatino Linotype" w:hAnsi="Palatino Linotype"/>
          <w:i w:val="1"/>
          <w:sz w:val="22"/>
          <w:szCs w:val="22"/>
          <w:rtl w:val="0"/>
        </w:rPr>
        <w:t xml:space="preserve"> expedidos por quien estuviere facultado legalmente para extenderlo.</w:t>
      </w: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before="120"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before="120" w:line="276" w:lineRule="auto"/>
        <w:ind w:left="851" w:right="61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i w:val="1"/>
          <w:sz w:val="22"/>
          <w:szCs w:val="22"/>
          <w:u w:val="single"/>
          <w:rtl w:val="0"/>
        </w:rPr>
        <w:t xml:space="preserve">Los nombramientos, contratos o formato único de Movimientos de Personal de los servidores públicos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deberán contener:</w:t>
      </w: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before="120" w:line="276" w:lineRule="auto"/>
        <w:ind w:left="851" w:right="616" w:firstLine="0"/>
        <w:jc w:val="both"/>
        <w:rPr>
          <w:rFonts w:ascii="Palatino Linotype" w:cs="Palatino Linotype" w:eastAsia="Palatino Linotype" w:hAnsi="Palatino Linotype"/>
          <w:b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I. Nombre completo del servidor público;  </w:t>
      </w: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before="120" w:line="276" w:lineRule="auto"/>
        <w:ind w:left="851" w:right="61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Cargo para el que es designado, fecha de inicio de sus servicios y lugar de adscripción;  </w:t>
      </w: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before="120"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III. Carácter del nombramiento, ya sea de servidores públicos generales o de confianza, </w:t>
      </w:r>
      <w:r w:rsidDel="00000000" w:rsidR="00000000" w:rsidRPr="00000000">
        <w:rPr>
          <w:rFonts w:ascii="Palatino Linotype" w:cs="Palatino Linotype" w:eastAsia="Palatino Linotype" w:hAnsi="Palatino Linotype"/>
          <w:i w:val="1"/>
          <w:sz w:val="22"/>
          <w:szCs w:val="22"/>
          <w:rtl w:val="0"/>
        </w:rPr>
        <w:t xml:space="preserve">así como la temporalidad del mismo;  </w:t>
      </w: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before="120" w:line="276" w:lineRule="auto"/>
        <w:ind w:left="851" w:right="616" w:firstLine="0"/>
        <w:jc w:val="both"/>
        <w:rPr>
          <w:rFonts w:ascii="Palatino Linotype" w:cs="Palatino Linotype" w:eastAsia="Palatino Linotype" w:hAnsi="Palatino Linotype"/>
          <w:b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IV. Remuneración correspondiente al puesto;  </w:t>
      </w: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before="120"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V. Jornadade trabajo;  </w:t>
      </w: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before="120"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VI. Derogada;  </w:t>
      </w: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before="12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Firma del servidor público autorizado para emitir el nombramiento, contrato o formato único de Movimientos de Personal, así como el fundamento legal de esa atribución.” (Énfasis añadido)</w:t>
      </w:r>
    </w:p>
    <w:p w:rsidR="00000000" w:rsidDel="00000000" w:rsidP="00000000" w:rsidRDefault="00000000" w:rsidRPr="00000000" w14:paraId="000000DF">
      <w:pPr>
        <w:spacing w:after="240" w:before="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De la normativa insertada previamente, se aprecia que la relación laboral de todo servidor público se formaliza </w:t>
      </w:r>
      <w:r w:rsidDel="00000000" w:rsidR="00000000" w:rsidRPr="00000000">
        <w:rPr>
          <w:rFonts w:ascii="Palatino Linotype" w:cs="Palatino Linotype" w:eastAsia="Palatino Linotype" w:hAnsi="Palatino Linotype"/>
          <w:sz w:val="22"/>
          <w:szCs w:val="22"/>
          <w:u w:val="single"/>
          <w:rtl w:val="0"/>
        </w:rPr>
        <w:t xml:space="preserve">mediante nombramiento</w:t>
      </w:r>
      <w:r w:rsidDel="00000000" w:rsidR="00000000" w:rsidRPr="00000000">
        <w:rPr>
          <w:rFonts w:ascii="Palatino Linotype" w:cs="Palatino Linotype" w:eastAsia="Palatino Linotype" w:hAnsi="Palatino Linotype"/>
          <w:sz w:val="22"/>
          <w:szCs w:val="22"/>
          <w:rtl w:val="0"/>
        </w:rPr>
        <w:t xml:space="preserve">, formato único de movimiento de personal, contrato o por cualquier otro acto que tenga como consecuencia la prestación personal subordinada del servicio y la percepción de un sueldo, por lo tanto, se advierte la existencia de la fuente obligacional del documento que formaliza la relación laboral del servidor público y es por eso que resulta procedente ordenar previa búsqueda exhaustiva y razonable, la entrega del </w:t>
      </w:r>
      <w:r w:rsidDel="00000000" w:rsidR="00000000" w:rsidRPr="00000000">
        <w:rPr>
          <w:rFonts w:ascii="Palatino Linotype" w:cs="Palatino Linotype" w:eastAsia="Palatino Linotype" w:hAnsi="Palatino Linotype"/>
          <w:b w:val="1"/>
          <w:sz w:val="22"/>
          <w:szCs w:val="22"/>
          <w:rtl w:val="0"/>
        </w:rPr>
        <w:t xml:space="preserve">nombramiento, formado único de movimiento de personal o documento análogo de la persona referida en la solicitud de información; en versión pública de ser procedente. </w:t>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obstante, para el caso de que no se llegara a localizar información, por no formar parte del personal que integra la plantilla del Sujeto Obligado,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left" w:leader="none" w:pos="6375"/>
        </w:tabs>
        <w:spacing w:after="120" w:before="12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19</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ciertas facultades, competencias o funciones no se hayan ejercido, se debe motivar la respuesta en función de las causas que motiven tal circunstancia.”</w:t>
      </w:r>
      <w:r w:rsidDel="00000000" w:rsidR="00000000" w:rsidRPr="00000000">
        <w:rPr>
          <w:rtl w:val="0"/>
        </w:rPr>
      </w:r>
    </w:p>
    <w:p w:rsidR="00000000" w:rsidDel="00000000" w:rsidP="00000000" w:rsidRDefault="00000000" w:rsidRPr="00000000" w14:paraId="000000E3">
      <w:pPr>
        <w:spacing w:line="360" w:lineRule="auto"/>
        <w:jc w:val="both"/>
        <w:rPr>
          <w:rFonts w:ascii="Palatino Linotype" w:cs="Palatino Linotype" w:eastAsia="Palatino Linotype" w:hAnsi="Palatino Linotype"/>
          <w:b w:val="1"/>
          <w:sz w:val="22"/>
          <w:szCs w:val="22"/>
          <w:u w:val="single"/>
        </w:rPr>
      </w:pPr>
      <w:r w:rsidDel="00000000" w:rsidR="00000000" w:rsidRPr="00000000">
        <w:rPr>
          <w:rtl w:val="0"/>
        </w:rPr>
      </w:r>
    </w:p>
    <w:p w:rsidR="00000000" w:rsidDel="00000000" w:rsidP="00000000" w:rsidRDefault="00000000" w:rsidRPr="00000000" w14:paraId="000000E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lo relativo al documento en el que conste el</w:t>
      </w:r>
      <w:r w:rsidDel="00000000" w:rsidR="00000000" w:rsidRPr="00000000">
        <w:rPr>
          <w:rFonts w:ascii="Palatino Linotype" w:cs="Palatino Linotype" w:eastAsia="Palatino Linotype" w:hAnsi="Palatino Linotype"/>
          <w:b w:val="1"/>
          <w:sz w:val="22"/>
          <w:szCs w:val="22"/>
          <w:u w:val="single"/>
          <w:rtl w:val="0"/>
        </w:rPr>
        <w:t xml:space="preserve"> monto que percibe mensualmente,</w:t>
      </w:r>
      <w:r w:rsidDel="00000000" w:rsidR="00000000" w:rsidRPr="00000000">
        <w:rPr>
          <w:rFonts w:ascii="Palatino Linotype" w:cs="Palatino Linotype" w:eastAsia="Palatino Linotype" w:hAnsi="Palatino Linotype"/>
          <w:sz w:val="22"/>
          <w:szCs w:val="22"/>
          <w:rtl w:val="0"/>
        </w:rPr>
        <w:t xml:space="preserve"> es de señalar que si bien el término “</w:t>
      </w:r>
      <w:r w:rsidDel="00000000" w:rsidR="00000000" w:rsidRPr="00000000">
        <w:rPr>
          <w:rFonts w:ascii="Palatino Linotype" w:cs="Palatino Linotype" w:eastAsia="Palatino Linotype" w:hAnsi="Palatino Linotype"/>
          <w:i w:val="1"/>
          <w:sz w:val="22"/>
          <w:szCs w:val="22"/>
          <w:rtl w:val="0"/>
        </w:rPr>
        <w:t xml:space="preserve">nómina” </w:t>
      </w:r>
      <w:r w:rsidDel="00000000" w:rsidR="00000000" w:rsidRPr="00000000">
        <w:rPr>
          <w:rFonts w:ascii="Palatino Linotype" w:cs="Palatino Linotype" w:eastAsia="Palatino Linotype" w:hAnsi="Palatino Linotype"/>
          <w:sz w:val="22"/>
          <w:szCs w:val="22"/>
          <w:rtl w:val="0"/>
        </w:rPr>
        <w:t xml:space="preserve">no está definido en nuestra legislación, también lo es que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la definen como el </w:t>
      </w:r>
      <w:r w:rsidDel="00000000" w:rsidR="00000000" w:rsidRPr="00000000">
        <w:rPr>
          <w:rFonts w:ascii="Palatino Linotype" w:cs="Palatino Linotype" w:eastAsia="Palatino Linotype" w:hAnsi="Palatino Linotype"/>
          <w:i w:val="1"/>
          <w:sz w:val="22"/>
          <w:szCs w:val="22"/>
          <w:rtl w:val="0"/>
        </w:rPr>
        <w:t xml:space="preserve">listado general de los trabajadores de una institución, en</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el cual se </w:t>
      </w:r>
      <w:r w:rsidDel="00000000" w:rsidR="00000000" w:rsidRPr="00000000">
        <w:rPr>
          <w:rFonts w:ascii="Palatino Linotype" w:cs="Palatino Linotype" w:eastAsia="Palatino Linotype" w:hAnsi="Palatino Linotype"/>
          <w:b w:val="1"/>
          <w:i w:val="1"/>
          <w:sz w:val="22"/>
          <w:szCs w:val="22"/>
          <w:rtl w:val="0"/>
        </w:rPr>
        <w:t xml:space="preserve">asientan las </w:t>
      </w:r>
      <w:r w:rsidDel="00000000" w:rsidR="00000000" w:rsidRPr="00000000">
        <w:rPr>
          <w:rFonts w:ascii="Palatino Linotype" w:cs="Palatino Linotype" w:eastAsia="Palatino Linotype" w:hAnsi="Palatino Linotype"/>
          <w:b w:val="1"/>
          <w:i w:val="1"/>
          <w:sz w:val="22"/>
          <w:szCs w:val="22"/>
          <w:u w:val="single"/>
          <w:rtl w:val="0"/>
        </w:rPr>
        <w:t xml:space="preserve">percepciones brutas, deducciones y alcance neto de las mismas</w:t>
      </w:r>
      <w:r w:rsidDel="00000000" w:rsidR="00000000" w:rsidRPr="00000000">
        <w:rPr>
          <w:rFonts w:ascii="Palatino Linotype" w:cs="Palatino Linotype" w:eastAsia="Palatino Linotype" w:hAnsi="Palatino Linotype"/>
          <w:i w:val="1"/>
          <w:sz w:val="22"/>
          <w:szCs w:val="22"/>
          <w:rtl w:val="0"/>
        </w:rPr>
        <w:t xml:space="preserve">; la nómina es utilizada para</w:t>
      </w:r>
      <w:r w:rsidDel="00000000" w:rsidR="00000000" w:rsidRPr="00000000">
        <w:rPr>
          <w:rFonts w:ascii="Palatino Linotype" w:cs="Palatino Linotype" w:eastAsia="Palatino Linotype" w:hAnsi="Palatino Linotype"/>
          <w:b w:val="1"/>
          <w:i w:val="1"/>
          <w:sz w:val="22"/>
          <w:szCs w:val="22"/>
          <w:rtl w:val="0"/>
        </w:rPr>
        <w:t xml:space="preserve"> efectuar los pagos periódicos</w:t>
      </w:r>
      <w:r w:rsidDel="00000000" w:rsidR="00000000" w:rsidRPr="00000000">
        <w:rPr>
          <w:rFonts w:ascii="Palatino Linotype" w:cs="Palatino Linotype" w:eastAsia="Palatino Linotype" w:hAnsi="Palatino Linotype"/>
          <w:i w:val="1"/>
          <w:sz w:val="22"/>
          <w:szCs w:val="22"/>
          <w:rtl w:val="0"/>
        </w:rPr>
        <w:t xml:space="preserve"> (semanales, quincenales o</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mensuales) a los trabajadores por concepto de </w:t>
      </w:r>
      <w:r w:rsidDel="00000000" w:rsidR="00000000" w:rsidRPr="00000000">
        <w:rPr>
          <w:rFonts w:ascii="Palatino Linotype" w:cs="Palatino Linotype" w:eastAsia="Palatino Linotype" w:hAnsi="Palatino Linotype"/>
          <w:b w:val="1"/>
          <w:i w:val="1"/>
          <w:sz w:val="22"/>
          <w:szCs w:val="22"/>
          <w:rtl w:val="0"/>
        </w:rPr>
        <w:t xml:space="preserve">sueldos y salarios</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E5">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Documento o término que ha sido mencionado en diferentes ordenamientos legales, tal es el caso, de la </w:t>
      </w:r>
      <w:r w:rsidDel="00000000" w:rsidR="00000000" w:rsidRPr="00000000">
        <w:rPr>
          <w:rFonts w:ascii="Palatino Linotype" w:cs="Palatino Linotype" w:eastAsia="Palatino Linotype" w:hAnsi="Palatino Linotype"/>
          <w:i w:val="1"/>
          <w:sz w:val="22"/>
          <w:szCs w:val="22"/>
          <w:rtl w:val="0"/>
        </w:rPr>
        <w:t xml:space="preserve">Ley Federal del Trabajo</w:t>
      </w:r>
      <w:r w:rsidDel="00000000" w:rsidR="00000000" w:rsidRPr="00000000">
        <w:rPr>
          <w:rFonts w:ascii="Palatino Linotype" w:cs="Palatino Linotype" w:eastAsia="Palatino Linotype" w:hAnsi="Palatino Linotype"/>
          <w:sz w:val="22"/>
          <w:szCs w:val="22"/>
          <w:rtl w:val="0"/>
        </w:rPr>
        <w:t xml:space="preserve"> en el artículo 804 fracción II, que además reconoce los recibos de pagos de salarios, por lo que resulta indispensable citar el artículo de referencia.</w:t>
      </w:r>
    </w:p>
    <w:p w:rsidR="00000000" w:rsidDel="00000000" w:rsidP="00000000" w:rsidRDefault="00000000" w:rsidRPr="00000000" w14:paraId="000000E7">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8">
      <w:pPr>
        <w:spacing w:after="12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804.-</w:t>
      </w:r>
      <w:r w:rsidDel="00000000" w:rsidR="00000000" w:rsidRPr="00000000">
        <w:rPr>
          <w:rFonts w:ascii="Palatino Linotype" w:cs="Palatino Linotype" w:eastAsia="Palatino Linotype" w:hAnsi="Palatino Linotype"/>
          <w:i w:val="1"/>
          <w:sz w:val="22"/>
          <w:szCs w:val="22"/>
          <w:rtl w:val="0"/>
        </w:rPr>
        <w:t xml:space="preserve"> El patrón tiene obligación de conservar y exhibir en juicio los documentos que a continuación se precisan:</w:t>
      </w:r>
      <w:r w:rsidDel="00000000" w:rsidR="00000000" w:rsidRPr="00000000">
        <w:rPr>
          <w:rtl w:val="0"/>
        </w:rPr>
      </w:r>
    </w:p>
    <w:p w:rsidR="00000000" w:rsidDel="00000000" w:rsidP="00000000" w:rsidRDefault="00000000" w:rsidRPr="00000000" w14:paraId="000000E9">
      <w:pPr>
        <w:spacing w:after="120" w:lineRule="auto"/>
        <w:ind w:left="993"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EA">
      <w:pPr>
        <w:spacing w:after="120" w:lineRule="auto"/>
        <w:ind w:left="993"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Listas de raya o nómina de personal</w:t>
      </w:r>
      <w:r w:rsidDel="00000000" w:rsidR="00000000" w:rsidRPr="00000000">
        <w:rPr>
          <w:rFonts w:ascii="Palatino Linotype" w:cs="Palatino Linotype" w:eastAsia="Palatino Linotype" w:hAnsi="Palatino Linotype"/>
          <w:i w:val="1"/>
          <w:sz w:val="22"/>
          <w:szCs w:val="22"/>
          <w:rtl w:val="0"/>
        </w:rPr>
        <w:t xml:space="preserve">, cuando se lleven en el centro de trabajo; </w:t>
      </w:r>
      <w:r w:rsidDel="00000000" w:rsidR="00000000" w:rsidRPr="00000000">
        <w:rPr>
          <w:rFonts w:ascii="Palatino Linotype" w:cs="Palatino Linotype" w:eastAsia="Palatino Linotype" w:hAnsi="Palatino Linotype"/>
          <w:b w:val="1"/>
          <w:i w:val="1"/>
          <w:sz w:val="22"/>
          <w:szCs w:val="22"/>
          <w:rtl w:val="0"/>
        </w:rPr>
        <w:t xml:space="preserve">o recibos de pagos de salarios;</w:t>
      </w:r>
      <w:r w:rsidDel="00000000" w:rsidR="00000000" w:rsidRPr="00000000">
        <w:rPr>
          <w:rtl w:val="0"/>
        </w:rPr>
      </w:r>
    </w:p>
    <w:p w:rsidR="00000000" w:rsidDel="00000000" w:rsidP="00000000" w:rsidRDefault="00000000" w:rsidRPr="00000000" w14:paraId="000000EB">
      <w:pPr>
        <w:spacing w:after="120" w:lineRule="auto"/>
        <w:ind w:left="993"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EC">
      <w:pPr>
        <w:spacing w:after="120" w:lineRule="auto"/>
        <w:ind w:left="855"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Los documentos señalados en la fracción I deberán conservarse mientras dure la relación laboral y hasta un año después; los señalados en las fracciones </w:t>
      </w: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III y IV, durante el último año y un año después de que se extinga la relación laboral; y los mencionados en la fracción V, conforme lo señalen las Leyes que los rijan.”</w:t>
      </w:r>
      <w:r w:rsidDel="00000000" w:rsidR="00000000" w:rsidRPr="00000000">
        <w:rPr>
          <w:rtl w:val="0"/>
        </w:rPr>
      </w:r>
    </w:p>
    <w:p w:rsidR="00000000" w:rsidDel="00000000" w:rsidP="00000000" w:rsidRDefault="00000000" w:rsidRPr="00000000" w14:paraId="000000ED">
      <w:pPr>
        <w:spacing w:after="36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anteriormente citado, se puede llegar a la conclusión de que la nómina, es el documento que contiene el registro de los trabajadores a los cuales se va a remunerar por los </w:t>
      </w:r>
      <w:hyperlink r:id="rId9">
        <w:r w:rsidDel="00000000" w:rsidR="00000000" w:rsidRPr="00000000">
          <w:rPr>
            <w:rFonts w:ascii="Palatino Linotype" w:cs="Palatino Linotype" w:eastAsia="Palatino Linotype" w:hAnsi="Palatino Linotype"/>
            <w:sz w:val="22"/>
            <w:szCs w:val="22"/>
            <w:rtl w:val="0"/>
          </w:rPr>
          <w:t xml:space="preserve">servicios</w:t>
        </w:r>
      </w:hyperlink>
      <w:r w:rsidDel="00000000" w:rsidR="00000000" w:rsidRPr="00000000">
        <w:rPr>
          <w:rFonts w:ascii="Palatino Linotype" w:cs="Palatino Linotype" w:eastAsia="Palatino Linotype" w:hAnsi="Palatino Linotype"/>
          <w:sz w:val="22"/>
          <w:szCs w:val="22"/>
          <w:rtl w:val="0"/>
        </w:rPr>
        <w:t xml:space="preserve"> que éstos le prestan al patrón, en el cual </w:t>
      </w:r>
      <w:r w:rsidDel="00000000" w:rsidR="00000000" w:rsidRPr="00000000">
        <w:rPr>
          <w:rFonts w:ascii="Palatino Linotype" w:cs="Palatino Linotype" w:eastAsia="Palatino Linotype" w:hAnsi="Palatino Linotype"/>
          <w:b w:val="1"/>
          <w:sz w:val="22"/>
          <w:szCs w:val="22"/>
          <w:rtl w:val="0"/>
        </w:rPr>
        <w:t xml:space="preserve">se asientan las percepciones brutas, deducciones y el neto</w:t>
      </w:r>
      <w:r w:rsidDel="00000000" w:rsidR="00000000" w:rsidRPr="00000000">
        <w:rPr>
          <w:rFonts w:ascii="Palatino Linotype" w:cs="Palatino Linotype" w:eastAsia="Palatino Linotype" w:hAnsi="Palatino Linotype"/>
          <w:sz w:val="22"/>
          <w:szCs w:val="22"/>
          <w:rtl w:val="0"/>
        </w:rPr>
        <w:t xml:space="preserve"> a recibir de dichos trabajadores.</w:t>
      </w:r>
    </w:p>
    <w:p w:rsidR="00000000" w:rsidDel="00000000" w:rsidP="00000000" w:rsidRDefault="00000000" w:rsidRPr="00000000" w14:paraId="000000E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en el caso de los recibos de nómina, la Ley del Trabajo de los Servidores Públicos del Estado y Municipios hace referencia a los comprobantes que las instituciones públicas realizan para documentar el pago de salarios, prima vacacional, aguinaldo y demás prestaciones otorgadas a un servidor público, denominándose "recibos o comprobantes de pago", los cuales constituyen un instrumento mediante el cual el sujeto obligado acredita las remuneraciones al personal y, que de acuerdo al uso implantado en la colectividad se denominan "recibos de nómina".</w:t>
      </w:r>
    </w:p>
    <w:p w:rsidR="00000000" w:rsidDel="00000000" w:rsidP="00000000" w:rsidRDefault="00000000" w:rsidRPr="00000000" w14:paraId="000000EF">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 efecto de robustecer lo anterior, la Ley del Trabajo de los Servidores Públicos del Estado y Municipios, en su artículo 220-K fracciones II y IV y último párrafo, establecen lo siguiente:</w:t>
      </w:r>
    </w:p>
    <w:p w:rsidR="00000000" w:rsidDel="00000000" w:rsidP="00000000" w:rsidRDefault="00000000" w:rsidRPr="00000000" w14:paraId="000000F1">
      <w:pPr>
        <w:spacing w:after="16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220 K.-</w:t>
      </w:r>
      <w:r w:rsidDel="00000000" w:rsidR="00000000" w:rsidRPr="00000000">
        <w:rPr>
          <w:rFonts w:ascii="Palatino Linotype" w:cs="Palatino Linotype" w:eastAsia="Palatino Linotype" w:hAnsi="Palatino Linotype"/>
          <w:i w:val="1"/>
          <w:sz w:val="22"/>
          <w:szCs w:val="22"/>
          <w:rtl w:val="0"/>
        </w:rPr>
        <w:t xml:space="preserve"> La institución o dependencia pública tiene la obligación de conservar y exhibir en el proceso los documentos que a continuación se precisan:</w:t>
      </w:r>
      <w:r w:rsidDel="00000000" w:rsidR="00000000" w:rsidRPr="00000000">
        <w:rPr>
          <w:rtl w:val="0"/>
        </w:rPr>
      </w:r>
    </w:p>
    <w:p w:rsidR="00000000" w:rsidDel="00000000" w:rsidP="00000000" w:rsidRDefault="00000000" w:rsidRPr="00000000" w14:paraId="000000F2">
      <w:pPr>
        <w:spacing w:after="16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F3">
      <w:pPr>
        <w:spacing w:after="160" w:lineRule="auto"/>
        <w:ind w:left="851" w:right="61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i w:val="1"/>
          <w:sz w:val="22"/>
          <w:szCs w:val="22"/>
          <w:rtl w:val="0"/>
        </w:rPr>
        <w:t xml:space="preserve">II. </w:t>
      </w:r>
      <w:r w:rsidDel="00000000" w:rsidR="00000000" w:rsidRPr="00000000">
        <w:rPr>
          <w:rFonts w:ascii="Palatino Linotype" w:cs="Palatino Linotype" w:eastAsia="Palatino Linotype" w:hAnsi="Palatino Linotype"/>
          <w:b w:val="1"/>
          <w:i w:val="1"/>
          <w:sz w:val="22"/>
          <w:szCs w:val="22"/>
          <w:rtl w:val="0"/>
        </w:rPr>
        <w:t xml:space="preserve">Recibos de pagos de salarios o las constancias documentales del pago de salario </w:t>
      </w:r>
      <w:r w:rsidDel="00000000" w:rsidR="00000000" w:rsidRPr="00000000">
        <w:rPr>
          <w:rFonts w:ascii="Palatino Linotype" w:cs="Palatino Linotype" w:eastAsia="Palatino Linotype" w:hAnsi="Palatino Linotype"/>
          <w:i w:val="1"/>
          <w:sz w:val="22"/>
          <w:szCs w:val="22"/>
          <w:rtl w:val="0"/>
        </w:rPr>
        <w:t xml:space="preserve">cuando sea por depósito o mediante información electrónica;</w:t>
      </w:r>
      <w:r w:rsidDel="00000000" w:rsidR="00000000" w:rsidRPr="00000000">
        <w:rPr>
          <w:rtl w:val="0"/>
        </w:rPr>
      </w:r>
    </w:p>
    <w:p w:rsidR="00000000" w:rsidDel="00000000" w:rsidP="00000000" w:rsidRDefault="00000000" w:rsidRPr="00000000" w14:paraId="000000F4">
      <w:pPr>
        <w:spacing w:after="16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F5">
      <w:pPr>
        <w:spacing w:after="16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IV. Recibos o las constancias de depósito o del medio de información magnética o electrónica que sean utilizadas para el pago de salarios, prima vacacional, aguinaldo y demás prestaciones establecidas en la presente ley; y…</w:t>
      </w:r>
      <w:r w:rsidDel="00000000" w:rsidR="00000000" w:rsidRPr="00000000">
        <w:rPr>
          <w:rtl w:val="0"/>
        </w:rPr>
      </w:r>
    </w:p>
    <w:p w:rsidR="00000000" w:rsidDel="00000000" w:rsidP="00000000" w:rsidRDefault="00000000" w:rsidRPr="00000000" w14:paraId="000000F6">
      <w:pPr>
        <w:spacing w:after="16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r w:rsidDel="00000000" w:rsidR="00000000" w:rsidRPr="00000000">
        <w:rPr>
          <w:rtl w:val="0"/>
        </w:rPr>
      </w:r>
    </w:p>
    <w:p w:rsidR="00000000" w:rsidDel="00000000" w:rsidP="00000000" w:rsidRDefault="00000000" w:rsidRPr="00000000" w14:paraId="000000F7">
      <w:pPr>
        <w:spacing w:after="16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Del="00000000" w:rsidR="00000000" w:rsidRPr="00000000">
        <w:rPr>
          <w:rtl w:val="0"/>
        </w:rPr>
      </w:r>
    </w:p>
    <w:p w:rsidR="00000000" w:rsidDel="00000000" w:rsidP="00000000" w:rsidRDefault="00000000" w:rsidRPr="00000000" w14:paraId="000000F8">
      <w:pP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incumplimiento por lo dispuesto por este artículo, establecerá la presunción de ser ciertos los hechos que el actor exprese en su demanda, en relación con tales documentos, salvo prueba en contrario.”</w:t>
      </w:r>
    </w:p>
    <w:p w:rsidR="00000000" w:rsidDel="00000000" w:rsidP="00000000" w:rsidRDefault="00000000" w:rsidRPr="00000000" w14:paraId="000000F9">
      <w:pPr>
        <w:spacing w:after="160" w:lineRule="auto"/>
        <w:ind w:left="851"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A">
      <w:pPr>
        <w:spacing w:before="12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Sobre la base del precepto legal citado, se advierte que toda institución pública o dependencia pública del Estado de México debe conservar las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000000" w:rsidDel="00000000" w:rsidP="00000000" w:rsidRDefault="00000000" w:rsidRPr="00000000" w14:paraId="000000FB">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tanto, los </w:t>
      </w:r>
      <w:r w:rsidDel="00000000" w:rsidR="00000000" w:rsidRPr="00000000">
        <w:rPr>
          <w:rFonts w:ascii="Palatino Linotype" w:cs="Palatino Linotype" w:eastAsia="Palatino Linotype" w:hAnsi="Palatino Linotype"/>
          <w:i w:val="1"/>
          <w:sz w:val="22"/>
          <w:szCs w:val="22"/>
          <w:rtl w:val="0"/>
        </w:rPr>
        <w:t xml:space="preserve">recibos de nómina o comprobantes digitales por concepto de nómina </w:t>
      </w:r>
      <w:r w:rsidDel="00000000" w:rsidR="00000000" w:rsidRPr="00000000">
        <w:rPr>
          <w:rFonts w:ascii="Palatino Linotype" w:cs="Palatino Linotype" w:eastAsia="Palatino Linotype" w:hAnsi="Palatino Linotype"/>
          <w:sz w:val="22"/>
          <w:szCs w:val="22"/>
          <w:rtl w:val="0"/>
        </w:rPr>
        <w:t xml:space="preserve">tienen como objetivo presentar la información del pago de las remuneraciones de cada uno de los servidores públicos de la entidad fiscalizable de que se trate correspondiente a un periodo determinado.</w:t>
      </w:r>
    </w:p>
    <w:p w:rsidR="00000000" w:rsidDel="00000000" w:rsidP="00000000" w:rsidRDefault="00000000" w:rsidRPr="00000000" w14:paraId="000000FD">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dicha información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000000" w:rsidDel="00000000" w:rsidP="00000000" w:rsidRDefault="00000000" w:rsidRPr="00000000" w14:paraId="000000FF">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0">
      <w:pPr>
        <w:spacing w:after="16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“Artículo 7. El Estado de México garantizará el efectivo acceso de toda persona a la información en posesión de cualquier entidad,</w:t>
      </w:r>
      <w:r w:rsidDel="00000000" w:rsidR="00000000" w:rsidRPr="00000000">
        <w:rPr>
          <w:rFonts w:ascii="Palatino Linotype" w:cs="Palatino Linotype" w:eastAsia="Palatino Linotype" w:hAnsi="Palatino Linotype"/>
          <w:i w:val="1"/>
          <w:sz w:val="22"/>
          <w:szCs w:val="22"/>
          <w:rtl w:val="0"/>
        </w:rPr>
        <w:t xml:space="preserve"> autoridad, órgano y </w:t>
      </w:r>
      <w:r w:rsidDel="00000000" w:rsidR="00000000" w:rsidRPr="00000000">
        <w:rPr>
          <w:rFonts w:ascii="Palatino Linotype" w:cs="Palatino Linotype" w:eastAsia="Palatino Linotype" w:hAnsi="Palatino Linotype"/>
          <w:b w:val="1"/>
          <w:i w:val="1"/>
          <w:sz w:val="22"/>
          <w:szCs w:val="22"/>
          <w:u w:val="single"/>
          <w:rtl w:val="0"/>
        </w:rPr>
        <w:t xml:space="preserve">organismo de los poderes Ejecutivo</w:t>
      </w:r>
      <w:r w:rsidDel="00000000" w:rsidR="00000000" w:rsidRPr="00000000">
        <w:rPr>
          <w:rFonts w:ascii="Palatino Linotype" w:cs="Palatino Linotype" w:eastAsia="Palatino Linotype" w:hAnsi="Palatino Linotype"/>
          <w:i w:val="1"/>
          <w:sz w:val="22"/>
          <w:szCs w:val="22"/>
          <w:rtl w:val="0"/>
        </w:rPr>
        <w:t xml:space="preserve">, Legislativo y Judicial, órganos autónomos, partidos políticos, fideicomisos y fondos públicos, así como de cualquier persona física, jurídico colectiva o sindicato </w:t>
      </w:r>
      <w:r w:rsidDel="00000000" w:rsidR="00000000" w:rsidRPr="00000000">
        <w:rPr>
          <w:rFonts w:ascii="Palatino Linotype" w:cs="Palatino Linotype" w:eastAsia="Palatino Linotype" w:hAnsi="Palatino Linotype"/>
          <w:b w:val="1"/>
          <w:i w:val="1"/>
          <w:sz w:val="22"/>
          <w:szCs w:val="22"/>
          <w:u w:val="single"/>
          <w:rtl w:val="0"/>
        </w:rPr>
        <w:t xml:space="preserve">que reciba y ejerza recursos públicos</w:t>
      </w:r>
      <w:r w:rsidDel="00000000" w:rsidR="00000000" w:rsidRPr="00000000">
        <w:rPr>
          <w:rFonts w:ascii="Palatino Linotype" w:cs="Palatino Linotype" w:eastAsia="Palatino Linotype" w:hAnsi="Palatino Linotype"/>
          <w:i w:val="1"/>
          <w:sz w:val="22"/>
          <w:szCs w:val="22"/>
          <w:rtl w:val="0"/>
        </w:rPr>
        <w:t xml:space="preserve"> o realice actos de autoridad </w:t>
      </w:r>
      <w:r w:rsidDel="00000000" w:rsidR="00000000" w:rsidRPr="00000000">
        <w:rPr>
          <w:rFonts w:ascii="Palatino Linotype" w:cs="Palatino Linotype" w:eastAsia="Palatino Linotype" w:hAnsi="Palatino Linotype"/>
          <w:b w:val="1"/>
          <w:i w:val="1"/>
          <w:sz w:val="22"/>
          <w:szCs w:val="22"/>
          <w:u w:val="single"/>
          <w:rtl w:val="0"/>
        </w:rPr>
        <w:t xml:space="preserve">en el ámbito de competencia del Estado de México </w:t>
      </w:r>
      <w:r w:rsidDel="00000000" w:rsidR="00000000" w:rsidRPr="00000000">
        <w:rPr>
          <w:rFonts w:ascii="Palatino Linotype" w:cs="Palatino Linotype" w:eastAsia="Palatino Linotype" w:hAnsi="Palatino Linotype"/>
          <w:i w:val="1"/>
          <w:sz w:val="22"/>
          <w:szCs w:val="22"/>
          <w:rtl w:val="0"/>
        </w:rPr>
        <w:t xml:space="preserve">y sus municipios.</w:t>
      </w:r>
      <w:r w:rsidDel="00000000" w:rsidR="00000000" w:rsidRPr="00000000">
        <w:rPr>
          <w:rtl w:val="0"/>
        </w:rPr>
      </w:r>
    </w:p>
    <w:p w:rsidR="00000000" w:rsidDel="00000000" w:rsidP="00000000" w:rsidRDefault="00000000" w:rsidRPr="00000000" w14:paraId="00000101">
      <w:pP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23.</w:t>
      </w:r>
      <w:r w:rsidDel="00000000" w:rsidR="00000000" w:rsidRPr="00000000">
        <w:rPr>
          <w:rFonts w:ascii="Palatino Linotype" w:cs="Palatino Linotype" w:eastAsia="Palatino Linotype" w:hAnsi="Palatino Linotype"/>
          <w:i w:val="1"/>
          <w:sz w:val="22"/>
          <w:szCs w:val="22"/>
          <w:rtl w:val="0"/>
        </w:rPr>
        <w:t xml:space="preserve"> Son sujetos obligados a transparentar y permitir el acceso a su información y proteger los datos personales que obren en su poder:</w:t>
      </w:r>
    </w:p>
    <w:p w:rsidR="00000000" w:rsidDel="00000000" w:rsidP="00000000" w:rsidRDefault="00000000" w:rsidRPr="00000000" w14:paraId="00000102">
      <w:pP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w:t>
      </w:r>
      <w:r w:rsidDel="00000000" w:rsidR="00000000" w:rsidRPr="00000000">
        <w:rPr>
          <w:rFonts w:ascii="Palatino Linotype" w:cs="Palatino Linotype" w:eastAsia="Palatino Linotype" w:hAnsi="Palatino Linotype"/>
          <w:b w:val="1"/>
          <w:i w:val="1"/>
          <w:sz w:val="22"/>
          <w:szCs w:val="22"/>
          <w:rtl w:val="0"/>
        </w:rPr>
        <w:t xml:space="preserve">El Poder Ejecutivo del Estado de México</w:t>
      </w:r>
      <w:r w:rsidDel="00000000" w:rsidR="00000000" w:rsidRPr="00000000">
        <w:rPr>
          <w:rFonts w:ascii="Palatino Linotype" w:cs="Palatino Linotype" w:eastAsia="Palatino Linotype" w:hAnsi="Palatino Linotype"/>
          <w:i w:val="1"/>
          <w:sz w:val="22"/>
          <w:szCs w:val="22"/>
          <w:rtl w:val="0"/>
        </w:rPr>
        <w:t xml:space="preserve">, las dependencias, organismos auxiliares, órganos, entidades, fideicomisos y fondos públicos, así como la Fiscalía General de Justicia del Estado de México;</w:t>
      </w:r>
    </w:p>
    <w:p w:rsidR="00000000" w:rsidDel="00000000" w:rsidP="00000000" w:rsidRDefault="00000000" w:rsidRPr="00000000" w14:paraId="00000103">
      <w:pPr>
        <w:spacing w:after="16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104">
      <w:pPr>
        <w:spacing w:after="16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w:t>
      </w:r>
      <w:r w:rsidDel="00000000" w:rsidR="00000000" w:rsidRPr="00000000">
        <w:rPr>
          <w:rtl w:val="0"/>
        </w:rPr>
      </w:r>
    </w:p>
    <w:p w:rsidR="00000000" w:rsidDel="00000000" w:rsidP="00000000" w:rsidRDefault="00000000" w:rsidRPr="00000000" w14:paraId="00000105">
      <w:pPr>
        <w:spacing w:after="16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Los servidores públicos deberán transparentar sus acciones así como garantizar y respetar el derecho de acceso a la información pública.”</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tl w:val="0"/>
        </w:rPr>
      </w:r>
    </w:p>
    <w:p w:rsidR="00000000" w:rsidDel="00000000" w:rsidP="00000000" w:rsidRDefault="00000000" w:rsidRPr="00000000" w14:paraId="00000106">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7">
      <w:pPr>
        <w:spacing w:after="16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Sirve de sustento por analogía, para justificar la publicidad sobre los datos relativos a los montos por concepto de pago de las remuneraciones, los criterios </w:t>
      </w:r>
      <w:r w:rsidDel="00000000" w:rsidR="00000000" w:rsidRPr="00000000">
        <w:rPr>
          <w:rFonts w:ascii="Palatino Linotype" w:cs="Palatino Linotype" w:eastAsia="Palatino Linotype" w:hAnsi="Palatino Linotype"/>
          <w:b w:val="1"/>
          <w:sz w:val="22"/>
          <w:szCs w:val="22"/>
          <w:rtl w:val="0"/>
        </w:rPr>
        <w:t xml:space="preserve">01/2003</w:t>
      </w:r>
      <w:r w:rsidDel="00000000" w:rsidR="00000000" w:rsidRPr="00000000">
        <w:rPr>
          <w:rFonts w:ascii="Palatino Linotype" w:cs="Palatino Linotype" w:eastAsia="Palatino Linotype" w:hAnsi="Palatino Linotype"/>
          <w:sz w:val="22"/>
          <w:szCs w:val="22"/>
          <w:rtl w:val="0"/>
        </w:rPr>
        <w:t xml:space="preserve"> y </w:t>
      </w:r>
      <w:r w:rsidDel="00000000" w:rsidR="00000000" w:rsidRPr="00000000">
        <w:rPr>
          <w:rFonts w:ascii="Palatino Linotype" w:cs="Palatino Linotype" w:eastAsia="Palatino Linotype" w:hAnsi="Palatino Linotype"/>
          <w:b w:val="1"/>
          <w:sz w:val="22"/>
          <w:szCs w:val="22"/>
          <w:rtl w:val="0"/>
        </w:rPr>
        <w:t xml:space="preserve">02/2003</w:t>
      </w:r>
      <w:r w:rsidDel="00000000" w:rsidR="00000000" w:rsidRPr="00000000">
        <w:rPr>
          <w:rFonts w:ascii="Palatino Linotype" w:cs="Palatino Linotype" w:eastAsia="Palatino Linotype" w:hAnsi="Palatino Linotype"/>
          <w:sz w:val="22"/>
          <w:szCs w:val="22"/>
          <w:rtl w:val="0"/>
        </w:rPr>
        <w:t xml:space="preserve"> emitidos por el Comité de Acceso a la Información Pública y Protección de Datos Personales de la Suprema Corte de Justicia de la Nación que a continuación se citan: </w:t>
      </w:r>
    </w:p>
    <w:p w:rsidR="00000000" w:rsidDel="00000000" w:rsidP="00000000" w:rsidRDefault="00000000" w:rsidRPr="00000000" w14:paraId="00000108">
      <w:pPr>
        <w:spacing w:after="160" w:lineRule="auto"/>
        <w:ind w:left="851" w:right="616" w:firstLine="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01/2003.</w:t>
      </w:r>
      <w:r w:rsidDel="00000000" w:rsidR="00000000" w:rsidRPr="00000000">
        <w:rPr>
          <w:rtl w:val="0"/>
        </w:rPr>
      </w:r>
    </w:p>
    <w:p w:rsidR="00000000" w:rsidDel="00000000" w:rsidP="00000000" w:rsidRDefault="00000000" w:rsidRPr="00000000" w14:paraId="00000109">
      <w:pPr>
        <w:spacing w:after="16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INGRESOS DE LOS SERVIDORES PÚBLICOS. CONSTITUYEN INFORMACIÓN PÚBLICA AÚN Y CUANDO SU DIFUSIÓN PUEDE AFECTAR LA VIDA O LA SEGURIDAD DE AQUELLOS.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tl w:val="0"/>
        </w:rPr>
      </w:r>
    </w:p>
    <w:p w:rsidR="00000000" w:rsidDel="00000000" w:rsidP="00000000" w:rsidRDefault="00000000" w:rsidRPr="00000000" w14:paraId="0000010A">
      <w:pPr>
        <w:spacing w:after="16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Del="00000000" w:rsidR="00000000" w:rsidRPr="00000000">
        <w:rPr>
          <w:rFonts w:ascii="Palatino Linotype" w:cs="Palatino Linotype" w:eastAsia="Palatino Linotype" w:hAnsi="Palatino Linotype"/>
          <w:b w:val="1"/>
          <w:i w:val="1"/>
          <w:sz w:val="22"/>
          <w:szCs w:val="22"/>
          <w:u w:val="single"/>
          <w:rtl w:val="0"/>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Del="00000000" w:rsidR="00000000" w:rsidRPr="00000000">
        <w:rPr>
          <w:rFonts w:ascii="Palatino Linotype" w:cs="Palatino Linotype" w:eastAsia="Palatino Linotype" w:hAnsi="Palatino Linotype"/>
          <w:i w:val="1"/>
          <w:sz w:val="22"/>
          <w:szCs w:val="22"/>
          <w:u w:val="single"/>
          <w:rtl w:val="0"/>
        </w:rPr>
        <w:t xml:space="preserve">…”</w:t>
      </w:r>
      <w:r w:rsidDel="00000000" w:rsidR="00000000" w:rsidRPr="00000000">
        <w:rPr>
          <w:rtl w:val="0"/>
        </w:rPr>
      </w:r>
    </w:p>
    <w:p w:rsidR="00000000" w:rsidDel="00000000" w:rsidP="00000000" w:rsidRDefault="00000000" w:rsidRPr="00000000" w14:paraId="0000010B">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C">
      <w:pPr>
        <w:spacing w:after="160" w:lineRule="auto"/>
        <w:ind w:left="851" w:right="616" w:firstLine="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“Criterio 02/2003.</w:t>
      </w:r>
      <w:r w:rsidDel="00000000" w:rsidR="00000000" w:rsidRPr="00000000">
        <w:rPr>
          <w:rtl w:val="0"/>
        </w:rPr>
      </w:r>
    </w:p>
    <w:p w:rsidR="00000000" w:rsidDel="00000000" w:rsidP="00000000" w:rsidRDefault="00000000" w:rsidRPr="00000000" w14:paraId="0000010D">
      <w:pPr>
        <w:spacing w:after="16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INGRESOS DE LOS SERVIDORES PÚBLICOS, SON INFORMACIÓN PÚBLICA AÚN Y CUANDO CONSTITUYEN DATOS PERSONALES QUE SE REFIEREN AL PATRIMONIO DE AQUÉLLOS.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tl w:val="0"/>
        </w:rPr>
      </w:r>
    </w:p>
    <w:p w:rsidR="00000000" w:rsidDel="00000000" w:rsidP="00000000" w:rsidRDefault="00000000" w:rsidRPr="00000000" w14:paraId="0000010E">
      <w:pP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Del="00000000" w:rsidR="00000000" w:rsidRPr="00000000">
        <w:rPr>
          <w:rFonts w:ascii="Palatino Linotype" w:cs="Palatino Linotype" w:eastAsia="Palatino Linotype" w:hAnsi="Palatino Linotype"/>
          <w:b w:val="1"/>
          <w:i w:val="1"/>
          <w:sz w:val="22"/>
          <w:szCs w:val="22"/>
          <w:u w:val="single"/>
          <w:rtl w:val="0"/>
        </w:rPr>
        <w:t xml:space="preserve">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Del="00000000" w:rsidR="00000000" w:rsidRPr="00000000">
        <w:rPr>
          <w:rFonts w:ascii="Palatino Linotype" w:cs="Palatino Linotype" w:eastAsia="Palatino Linotype" w:hAnsi="Palatino Linotype"/>
          <w:i w:val="1"/>
          <w:sz w:val="22"/>
          <w:szCs w:val="22"/>
          <w:rtl w:val="0"/>
        </w:rPr>
        <w:t xml:space="preserve"> el sistema de compensación…”</w:t>
      </w:r>
      <w:r w:rsidDel="00000000" w:rsidR="00000000" w:rsidRPr="00000000">
        <w:rPr>
          <w:rtl w:val="0"/>
        </w:rPr>
      </w:r>
    </w:p>
    <w:p w:rsidR="00000000" w:rsidDel="00000000" w:rsidP="00000000" w:rsidRDefault="00000000" w:rsidRPr="00000000" w14:paraId="0000010F">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el artículo 92, fracción VIII de la Ley de Transparencia y Acceso a la Información Pública del Estado de México y Municipios, señala: </w:t>
      </w:r>
    </w:p>
    <w:p w:rsidR="00000000" w:rsidDel="00000000" w:rsidP="00000000" w:rsidRDefault="00000000" w:rsidRPr="00000000" w14:paraId="00000111">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2">
      <w:pPr>
        <w:ind w:left="851"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92.</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 sujetos obligados deberán poner a disposición del público</w:t>
      </w:r>
      <w:r w:rsidDel="00000000" w:rsidR="00000000" w:rsidRPr="00000000">
        <w:rPr>
          <w:rFonts w:ascii="Palatino Linotype" w:cs="Palatino Linotype" w:eastAsia="Palatino Linotype" w:hAnsi="Palatino Linotype"/>
          <w:i w:val="1"/>
          <w:sz w:val="22"/>
          <w:szCs w:val="22"/>
          <w:rtl w:val="0"/>
        </w:rPr>
        <w:t xml:space="preserve">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r w:rsidDel="00000000" w:rsidR="00000000" w:rsidRPr="00000000">
        <w:rPr>
          <w:rtl w:val="0"/>
        </w:rPr>
      </w:r>
    </w:p>
    <w:p w:rsidR="00000000" w:rsidDel="00000000" w:rsidP="00000000" w:rsidRDefault="00000000" w:rsidRPr="00000000" w14:paraId="00000113">
      <w:pPr>
        <w:ind w:left="851"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114">
      <w:pPr>
        <w:ind w:left="851"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La </w:t>
      </w:r>
      <w:r w:rsidDel="00000000" w:rsidR="00000000" w:rsidRPr="00000000">
        <w:rPr>
          <w:rFonts w:ascii="Palatino Linotype" w:cs="Palatino Linotype" w:eastAsia="Palatino Linotype" w:hAnsi="Palatino Linotype"/>
          <w:b w:val="1"/>
          <w:i w:val="1"/>
          <w:sz w:val="22"/>
          <w:szCs w:val="22"/>
          <w:rtl w:val="0"/>
        </w:rPr>
        <w:t xml:space="preserve">remuneración bruta y neta de todos los servidores públicos</w:t>
      </w:r>
      <w:r w:rsidDel="00000000" w:rsidR="00000000" w:rsidRPr="00000000">
        <w:rPr>
          <w:rFonts w:ascii="Palatino Linotype" w:cs="Palatino Linotype" w:eastAsia="Palatino Linotype" w:hAnsi="Palatino Linotype"/>
          <w:i w:val="1"/>
          <w:sz w:val="22"/>
          <w:szCs w:val="22"/>
          <w:rtl w:val="0"/>
        </w:rPr>
        <w:t xml:space="preserve"> de base o de confianza, de todas las percepciones, incluyendo sueldos, prestaciones, gratificaciones, primas, comisiones, dietas, bonos, estímulos, ingresos y sistemas de compensación, señalando la periodicidad de dicha remuneración;”</w:t>
      </w: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derivado que del contenido de la solicitud de información, se advierte que el particular omitió señalar el periodo del cual desea conocer las percepciones de la persona referida; este Instituto con fundamento en lo dispuesto por el artículo 13 y 181 párrafo cuarto de la Ley de la materia, suple la deficiencia presentada respecto a la temporalidad, determinando que la información solicitada corresponderá a las vigentes a la fecha en que fue presentada su solicitud; es decir, vigentes al cuatro de abril de dos mil veinticuatro.</w:t>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cuenta con las competencias, facultades y atribuciones para conocer, administrar y generar la información relacionada con la remuneración bruta y neta de la persona referida en la solicitud, no obstante, para el caso de que no se llegara a localizar la información requerida,</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en razón de que dentro de su plantilla de personal, no se encuentre como servidora pública, bastará con que así se haga del conocimiento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para tener por colmado su derecho de acceso a la información, en términos de lo dispuesto por el artículo 19, párrafo segundo de la Ley de Transparencia y Acceso a la Información Pública del Estado de México y Municipios, mismo que se citó en líneas anteriores.</w:t>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y respecto a los </w:t>
      </w:r>
      <w:r w:rsidDel="00000000" w:rsidR="00000000" w:rsidRPr="00000000">
        <w:rPr>
          <w:rFonts w:ascii="Palatino Linotype" w:cs="Palatino Linotype" w:eastAsia="Palatino Linotype" w:hAnsi="Palatino Linotype"/>
          <w:b w:val="1"/>
          <w:sz w:val="22"/>
          <w:szCs w:val="22"/>
          <w:u w:val="single"/>
          <w:rtl w:val="0"/>
        </w:rPr>
        <w:t xml:space="preserve">vehículos que tiene asignados </w:t>
      </w:r>
      <w:r w:rsidDel="00000000" w:rsidR="00000000" w:rsidRPr="00000000">
        <w:rPr>
          <w:rFonts w:ascii="Palatino Linotype" w:cs="Palatino Linotype" w:eastAsia="Palatino Linotype" w:hAnsi="Palatino Linotype"/>
          <w:sz w:val="22"/>
          <w:szCs w:val="22"/>
          <w:rtl w:val="0"/>
        </w:rPr>
        <w:t xml:space="preserve">se reitera que la Secretaría, cuenta con una Coordinación de Administración, misma que tiene como atribuciones realizar el registro, control, mantenimiento y conservación de los bienes muebles e inmuebles asignados a las unidades administrativas de la Secretaría; así como mantener actualizado el inventario de bienes muebles e inmuebles del Sujeto Obligado, de conformidad con el artículo 13 fracciones XII, XXIV y XXVII del Reglamento Interno de la Secretaría: </w:t>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13. </w:t>
      </w:r>
      <w:r w:rsidDel="00000000" w:rsidR="00000000" w:rsidRPr="00000000">
        <w:rPr>
          <w:rFonts w:ascii="Palatino Linotype" w:cs="Palatino Linotype" w:eastAsia="Palatino Linotype" w:hAnsi="Palatino Linotype"/>
          <w:i w:val="1"/>
          <w:sz w:val="22"/>
          <w:szCs w:val="22"/>
          <w:rtl w:val="0"/>
        </w:rPr>
        <w:t xml:space="preserve">Corresponden a </w:t>
      </w:r>
      <w:r w:rsidDel="00000000" w:rsidR="00000000" w:rsidRPr="00000000">
        <w:rPr>
          <w:rFonts w:ascii="Palatino Linotype" w:cs="Palatino Linotype" w:eastAsia="Palatino Linotype" w:hAnsi="Palatino Linotype"/>
          <w:b w:val="1"/>
          <w:i w:val="1"/>
          <w:sz w:val="22"/>
          <w:szCs w:val="22"/>
          <w:rtl w:val="0"/>
        </w:rPr>
        <w:t xml:space="preserve">la Coordinación Administrativa</w:t>
      </w:r>
      <w:r w:rsidDel="00000000" w:rsidR="00000000" w:rsidRPr="00000000">
        <w:rPr>
          <w:rFonts w:ascii="Palatino Linotype" w:cs="Palatino Linotype" w:eastAsia="Palatino Linotype" w:hAnsi="Palatino Linotype"/>
          <w:i w:val="1"/>
          <w:sz w:val="22"/>
          <w:szCs w:val="22"/>
          <w:rtl w:val="0"/>
        </w:rPr>
        <w:t xml:space="preserve">, las atribuciones siguientes:</w:t>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XII. Realizar el registro, control, mantenimiento y conservación de los bienes muebles e inmuebles asignados a las unidades administrativas de la Secretaría;</w:t>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XXIV. Coordinar a las delegaciones administrativas o equivalentes para que realicen el registro, mantenimiento y conservación de los bienes muebles e inmuebles asignados a las unidades</w:t>
      </w:r>
      <w:r w:rsidDel="00000000" w:rsidR="00000000" w:rsidRPr="00000000">
        <w:rPr>
          <w:rFonts w:ascii="Palatino Linotype" w:cs="Palatino Linotype" w:eastAsia="Palatino Linotype" w:hAnsi="Palatino Linotype"/>
          <w:i w:val="1"/>
          <w:sz w:val="22"/>
          <w:szCs w:val="22"/>
          <w:rtl w:val="0"/>
        </w:rPr>
        <w:t xml:space="preserve"> ejecutoras de la Secretaría, así como mantener actualizado el resguardo de los bienes muebles, a través de las mismas;</w:t>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XXVII. Mantener actualizados los registros administrativos sobre </w:t>
      </w:r>
      <w:r w:rsidDel="00000000" w:rsidR="00000000" w:rsidRPr="00000000">
        <w:rPr>
          <w:rFonts w:ascii="Palatino Linotype" w:cs="Palatino Linotype" w:eastAsia="Palatino Linotype" w:hAnsi="Palatino Linotype"/>
          <w:i w:val="1"/>
          <w:sz w:val="22"/>
          <w:szCs w:val="22"/>
          <w:rtl w:val="0"/>
        </w:rPr>
        <w:t xml:space="preserve">recursos humanos, materiales, financieros, archivo, correspondencia, </w:t>
      </w:r>
      <w:r w:rsidDel="00000000" w:rsidR="00000000" w:rsidRPr="00000000">
        <w:rPr>
          <w:rFonts w:ascii="Palatino Linotype" w:cs="Palatino Linotype" w:eastAsia="Palatino Linotype" w:hAnsi="Palatino Linotype"/>
          <w:b w:val="1"/>
          <w:i w:val="1"/>
          <w:sz w:val="22"/>
          <w:szCs w:val="22"/>
          <w:rtl w:val="0"/>
        </w:rPr>
        <w:t xml:space="preserve">inventario de bienes muebles e inmuebles </w:t>
      </w:r>
      <w:r w:rsidDel="00000000" w:rsidR="00000000" w:rsidRPr="00000000">
        <w:rPr>
          <w:rFonts w:ascii="Palatino Linotype" w:cs="Palatino Linotype" w:eastAsia="Palatino Linotype" w:hAnsi="Palatino Linotype"/>
          <w:i w:val="1"/>
          <w:sz w:val="22"/>
          <w:szCs w:val="22"/>
          <w:rtl w:val="0"/>
        </w:rPr>
        <w:t xml:space="preserve">y apoyos técnicos de la Secretaría;</w:t>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after="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manera que como se desprende de la cita previamente realizada,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cuenta con competencia, facultades y atribuciones para conocer, administrar y generar la información relacionada con el registro de los bienes que tiene asignado cada unidad administrativa, mismo del que se puede advertir si la persona referida en la solicitud tiene o no asignado algún vehículo; por lo que, lo procedente es ordenar previa búsqueda exhaustiva y razonable, la entrega del documento en el que consten el o los vehículos que tiene asignados al cuatro de abril de dos mil veinticuatro. </w:t>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after="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obstante, para el caso de que la persona de la que se solicita la información sea servidora pública adscrita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pero que no cuente con vehículos asignados al cuatro de abril de dos mil veinticuatro, bastara con que así lo haga del conocimiento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términos de lo dispuesto por el artículo 19, párrafo segundo de la Ley de Transparencia y Acceso a la Información Pública del Estado de México y Municipios, para tener por colmado el requerimiento de información. De igual forma para el caso de que la información ordenada no obre en los archivos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por no haberse generado, poseído y/o administrado, al no se ser servidora pública en funciones a la fecha de la solicitud.</w:t>
      </w:r>
    </w:p>
    <w:p w:rsidR="00000000" w:rsidDel="00000000" w:rsidP="00000000" w:rsidRDefault="00000000" w:rsidRPr="00000000" w14:paraId="00000124">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por todo lo expuesto que se determina que no se puede validar el pronunciamiento del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pues como se hizo referencia en líneas argumentativas no se turnó la solicitud al Servidor Público Habilitado competente para efecto de que se pronunciara respecto de los requerimientos de información que a lo largo de la presente resolución se han expuesto, por consiguiente este Instituto considera que los agravios resultan </w:t>
      </w:r>
      <w:r w:rsidDel="00000000" w:rsidR="00000000" w:rsidRPr="00000000">
        <w:rPr>
          <w:rFonts w:ascii="Palatino Linotype" w:cs="Palatino Linotype" w:eastAsia="Palatino Linotype" w:hAnsi="Palatino Linotype"/>
          <w:b w:val="1"/>
          <w:sz w:val="22"/>
          <w:szCs w:val="22"/>
          <w:rtl w:val="0"/>
        </w:rPr>
        <w:t xml:space="preserve">Fundados</w:t>
      </w:r>
      <w:r w:rsidDel="00000000" w:rsidR="00000000" w:rsidRPr="00000000">
        <w:rPr>
          <w:rFonts w:ascii="Palatino Linotype" w:cs="Palatino Linotype" w:eastAsia="Palatino Linotype" w:hAnsi="Palatino Linotype"/>
          <w:sz w:val="22"/>
          <w:szCs w:val="22"/>
          <w:rtl w:val="0"/>
        </w:rPr>
        <w:t xml:space="preserve"> y es por ello que este Organismo Garante determina </w:t>
      </w:r>
      <w:r w:rsidDel="00000000" w:rsidR="00000000" w:rsidRPr="00000000">
        <w:rPr>
          <w:rFonts w:ascii="Palatino Linotype" w:cs="Palatino Linotype" w:eastAsia="Palatino Linotype" w:hAnsi="Palatino Linotype"/>
          <w:b w:val="1"/>
          <w:sz w:val="22"/>
          <w:szCs w:val="22"/>
          <w:rtl w:val="0"/>
        </w:rPr>
        <w:t xml:space="preserve">Revocar </w:t>
      </w:r>
      <w:r w:rsidDel="00000000" w:rsidR="00000000" w:rsidRPr="00000000">
        <w:rPr>
          <w:rFonts w:ascii="Palatino Linotype" w:cs="Palatino Linotype" w:eastAsia="Palatino Linotype" w:hAnsi="Palatino Linotype"/>
          <w:sz w:val="22"/>
          <w:szCs w:val="22"/>
          <w:rtl w:val="0"/>
        </w:rPr>
        <w:t xml:space="preserve">la respuesta del recurso de revisión </w:t>
      </w:r>
      <w:r w:rsidDel="00000000" w:rsidR="00000000" w:rsidRPr="00000000">
        <w:rPr>
          <w:rFonts w:ascii="Palatino Linotype" w:cs="Palatino Linotype" w:eastAsia="Palatino Linotype" w:hAnsi="Palatino Linotype"/>
          <w:b w:val="1"/>
          <w:sz w:val="22"/>
          <w:szCs w:val="22"/>
          <w:rtl w:val="0"/>
        </w:rPr>
        <w:t xml:space="preserve">02354/INFOEM/IP/RR/2024</w:t>
      </w:r>
      <w:r w:rsidDel="00000000" w:rsidR="00000000" w:rsidRPr="00000000">
        <w:rPr>
          <w:rFonts w:ascii="Palatino Linotype" w:cs="Palatino Linotype" w:eastAsia="Palatino Linotype" w:hAnsi="Palatino Linotype"/>
          <w:sz w:val="22"/>
          <w:szCs w:val="22"/>
          <w:rtl w:val="0"/>
        </w:rPr>
        <w:t xml:space="preserve">, para ordenar, la entrega de lo siguiente, </w:t>
      </w:r>
      <w:r w:rsidDel="00000000" w:rsidR="00000000" w:rsidRPr="00000000">
        <w:rPr>
          <w:rFonts w:ascii="Palatino Linotype" w:cs="Palatino Linotype" w:eastAsia="Palatino Linotype" w:hAnsi="Palatino Linotype"/>
          <w:b w:val="1"/>
          <w:sz w:val="22"/>
          <w:szCs w:val="22"/>
          <w:rtl w:val="0"/>
        </w:rPr>
        <w:t xml:space="preserve">previa búsqueda exhaustiva y razonable</w:t>
      </w:r>
      <w:r w:rsidDel="00000000" w:rsidR="00000000" w:rsidRPr="00000000">
        <w:rPr>
          <w:rFonts w:ascii="Palatino Linotype" w:cs="Palatino Linotype" w:eastAsia="Palatino Linotype" w:hAnsi="Palatino Linotype"/>
          <w:sz w:val="22"/>
          <w:szCs w:val="22"/>
          <w:rtl w:val="0"/>
        </w:rPr>
        <w:t xml:space="preserve">, en versión pública de ser procedente, conforme al considerando quinto:</w:t>
      </w:r>
    </w:p>
    <w:p w:rsidR="00000000" w:rsidDel="00000000" w:rsidP="00000000" w:rsidRDefault="00000000" w:rsidRPr="00000000" w14:paraId="00000125">
      <w:pPr>
        <w:spacing w:after="160" w:line="259"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 El Nombramiento, Formato Único de Movimiento de Personal o documento análogo de la persona referida en funciones al cuatro de abril de dos mil veinticuatro. </w:t>
      </w:r>
    </w:p>
    <w:p w:rsidR="00000000" w:rsidDel="00000000" w:rsidP="00000000" w:rsidRDefault="00000000" w:rsidRPr="00000000" w14:paraId="00000126">
      <w:pPr>
        <w:spacing w:after="160" w:line="259"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El documento en el que conste la remuneración mensual bruta y neta de la persona referida vigente al cuatro de abril de dos mil veinticuatro. </w:t>
      </w:r>
    </w:p>
    <w:p w:rsidR="00000000" w:rsidDel="00000000" w:rsidP="00000000" w:rsidRDefault="00000000" w:rsidRPr="00000000" w14:paraId="00000127">
      <w:pPr>
        <w:spacing w:after="160" w:line="259"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El documento en el que consten el o los vehículos asignados a la persona referida en funciones al cuatro de abril de dos mil veinticuatro. </w:t>
      </w:r>
    </w:p>
    <w:p w:rsidR="00000000" w:rsidDel="00000000" w:rsidP="00000000" w:rsidRDefault="00000000" w:rsidRPr="00000000" w14:paraId="00000128">
      <w:pPr>
        <w:spacing w:after="160" w:line="259" w:lineRule="auto"/>
        <w:ind w:right="90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sz w:val="22"/>
          <w:szCs w:val="22"/>
          <w:rtl w:val="0"/>
        </w:rPr>
        <w:t xml:space="preserve">Por otro lado, no pasa por desapercibido que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requirió la información en </w:t>
      </w:r>
      <w:r w:rsidDel="00000000" w:rsidR="00000000" w:rsidRPr="00000000">
        <w:rPr>
          <w:rFonts w:ascii="Palatino Linotype" w:cs="Palatino Linotype" w:eastAsia="Palatino Linotype" w:hAnsi="Palatino Linotype"/>
          <w:b w:val="1"/>
          <w:i w:val="1"/>
          <w:sz w:val="22"/>
          <w:szCs w:val="22"/>
          <w:rtl w:val="0"/>
        </w:rPr>
        <w:t xml:space="preserve">“copia simple”</w:t>
      </w:r>
      <w:r w:rsidDel="00000000" w:rsidR="00000000" w:rsidRPr="00000000">
        <w:rPr>
          <w:rFonts w:ascii="Palatino Linotype" w:cs="Palatino Linotype" w:eastAsia="Palatino Linotype" w:hAnsi="Palatino Linotype"/>
          <w:sz w:val="22"/>
          <w:szCs w:val="22"/>
          <w:rtl w:val="0"/>
        </w:rPr>
        <w:t xml:space="preserve">, en este sentido, lo idóneo es ordenar la entrega de la información, a través del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puesto que, al ser un documento electrónico o digitalizado, cuentan con la característica de ser descargable a cualquier equipo de cómputo para la libre manipulación de los particulares, es decir, si la información se encuentra en documentos electrónicos, estos se pueden descargar de manera fácil y sencilla a un equipo de cómputo para que, posteriormente por cuenta de la persona solicitante, sea transferido a los dispositivos de almacenamiento que desee, o en su caso, </w:t>
      </w:r>
      <w:r w:rsidDel="00000000" w:rsidR="00000000" w:rsidRPr="00000000">
        <w:rPr>
          <w:rFonts w:ascii="Palatino Linotype" w:cs="Palatino Linotype" w:eastAsia="Palatino Linotype" w:hAnsi="Palatino Linotype"/>
          <w:b w:val="1"/>
          <w:sz w:val="22"/>
          <w:szCs w:val="22"/>
          <w:rtl w:val="0"/>
        </w:rPr>
        <w:t xml:space="preserve">sea impreso</w:t>
      </w:r>
      <w:r w:rsidDel="00000000" w:rsidR="00000000" w:rsidRPr="00000000">
        <w:rPr>
          <w:rFonts w:ascii="Palatino Linotype" w:cs="Palatino Linotype" w:eastAsia="Palatino Linotype" w:hAnsi="Palatino Linotype"/>
          <w:b w:val="1"/>
          <w:sz w:val="22"/>
          <w:szCs w:val="22"/>
          <w:u w:val="single"/>
          <w:rtl w:val="0"/>
        </w:rPr>
        <w:t xml:space="preserve">, lo que se configura como copia simple</w:t>
      </w:r>
      <w:r w:rsidDel="00000000" w:rsidR="00000000" w:rsidRPr="00000000">
        <w:rPr>
          <w:rFonts w:ascii="Palatino Linotype" w:cs="Palatino Linotype" w:eastAsia="Palatino Linotype" w:hAnsi="Palatino Linotype"/>
          <w:sz w:val="22"/>
          <w:szCs w:val="22"/>
          <w:rtl w:val="0"/>
        </w:rPr>
        <w:t xml:space="preserve">; de lo anterior, tenemos que, al ser entregado de forma digital o electrónica a través del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como es el caso, la hoy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puede hacer uso de la información a su libre elección.</w:t>
      </w:r>
      <w:r w:rsidDel="00000000" w:rsidR="00000000" w:rsidRPr="00000000">
        <w:rPr>
          <w:rtl w:val="0"/>
        </w:rPr>
      </w:r>
    </w:p>
    <w:p w:rsidR="00000000" w:rsidDel="00000000" w:rsidP="00000000" w:rsidRDefault="00000000" w:rsidRPr="00000000" w14:paraId="0000012A">
      <w:pPr>
        <w:spacing w:after="160" w:line="259" w:lineRule="auto"/>
        <w:ind w:right="90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2B">
      <w:pPr>
        <w:spacing w:after="16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Aunado a ello, este Órgano Garante advierte que el particular refiere las siguientes consideraciones en la interposición de su solicitud de información</w:t>
      </w: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así como dentro del organigrama de la secretaria del agua (simpático que todavía no esta publicado ni oficialmente, ni por el ipomex y ya tienen a mucha gente contratada en la secretaria del agua que curioso) … y no me vayan a decir que no la conocen https://www.cuestiondepolemica.com/la-polemica-laura-barrera-la-sospecha-cae-sobre-caem/”</w:t>
      </w:r>
      <w:r w:rsidDel="00000000" w:rsidR="00000000" w:rsidRPr="00000000">
        <w:rPr>
          <w:rFonts w:ascii="Palatino Linotype" w:cs="Palatino Linotype" w:eastAsia="Palatino Linotype" w:hAnsi="Palatino Linotype"/>
          <w:sz w:val="22"/>
          <w:szCs w:val="22"/>
          <w:rtl w:val="0"/>
        </w:rPr>
        <w:t xml:space="preserve">, motivo por el cual se le hace de su conocimiento que del análisis realizado al expediente electrónico, se advierte que dichas manifestaciones no constituyen un derecho de acceso a la información y por lo tanto no son atendibles mediante una solicitud de acceso a la información pública, porque se tratan de manifestaciones subjetivas vertidas por el particular.</w:t>
      </w:r>
    </w:p>
    <w:p w:rsidR="00000000" w:rsidDel="00000000" w:rsidP="00000000" w:rsidRDefault="00000000" w:rsidRPr="00000000" w14:paraId="0000012C">
      <w:pPr>
        <w:spacing w:after="16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resulta necesario señalar que en el caso de que agotada la búsqueda de la información,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advierta que la persona referida en la solicitud de mérito, no se encuentre registrada como servidora pública de la Secretaría del Agua, se estaría en presencia de un hecho negativo, por lo que, en dichos casos el Pleno de este Organismo Garante ha sostenido que resulta innecesaria una declaratoria de inexistencia en términos de los artículos 19, 169 y 170 de la Ley de Transparencia y Acceso a la Información Pública del Estado de México y Municipios, resultando aplicable la siguiente tesis:</w:t>
      </w:r>
    </w:p>
    <w:p w:rsidR="00000000" w:rsidDel="00000000" w:rsidP="00000000" w:rsidRDefault="00000000" w:rsidRPr="00000000" w14:paraId="0000012D">
      <w:pPr>
        <w:spacing w:after="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HECHOS NEGATIVOS, NO SON SUSCEPTIBLES DE DEMOSTRACIÓN</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2E">
      <w:pPr>
        <w:spacing w:after="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Tratándose de un hecho negativo, el Juez no tiene por qué invocar prueba alguna de la que se desprenda, ya que es bien sabido que esta clase de hechos no son susceptibles de demostración.</w:t>
      </w:r>
    </w:p>
    <w:p w:rsidR="00000000" w:rsidDel="00000000" w:rsidP="00000000" w:rsidRDefault="00000000" w:rsidRPr="00000000" w14:paraId="0000012F">
      <w:pPr>
        <w:spacing w:after="0" w:before="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Amparo en revisión 2022/61. José García Florín (Menor). 9 de octubre de 1961. Cinco votos. Ponente: José Rivera Pérez Campos.” (Sic)</w:t>
      </w:r>
    </w:p>
    <w:p w:rsidR="00000000" w:rsidDel="00000000" w:rsidP="00000000" w:rsidRDefault="00000000" w:rsidRPr="00000000" w14:paraId="00000130">
      <w:pPr>
        <w:spacing w:after="160" w:line="360" w:lineRule="auto"/>
        <w:ind w:right="49"/>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Versión Pública. </w:t>
      </w:r>
      <w:r w:rsidDel="00000000" w:rsidR="00000000" w:rsidRPr="00000000">
        <w:rPr>
          <w:rFonts w:ascii="Palatino Linotype" w:cs="Palatino Linotype" w:eastAsia="Palatino Linotype" w:hAnsi="Palatino Linotype"/>
          <w:sz w:val="22"/>
          <w:szCs w:val="22"/>
          <w:rtl w:val="0"/>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tendrá que hacer la elaboración de una versión pública de los documentos que vaya entregar para dar cumplimiento a esta resolución, a fin de satisfacer el derecho de acceso a la información pública de la parte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rsidR="00000000" w:rsidDel="00000000" w:rsidP="00000000" w:rsidRDefault="00000000" w:rsidRPr="00000000" w14:paraId="00000132">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XX.</w:t>
      </w:r>
      <w:r w:rsidDel="00000000" w:rsidR="00000000" w:rsidRPr="00000000">
        <w:rPr>
          <w:rFonts w:ascii="Palatino Linotype" w:cs="Palatino Linotype" w:eastAsia="Palatino Linotype" w:hAnsi="Palatino Linotype"/>
          <w:i w:val="1"/>
          <w:sz w:val="22"/>
          <w:szCs w:val="22"/>
          <w:rtl w:val="0"/>
        </w:rPr>
        <w:t xml:space="preserve"> Información clasificada: Aquella considerada por la presente Ley como reservada o confidencial; </w:t>
      </w: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XXI.</w:t>
      </w:r>
      <w:r w:rsidDel="00000000" w:rsidR="00000000" w:rsidRPr="00000000">
        <w:rPr>
          <w:rFonts w:ascii="Palatino Linotype" w:cs="Palatino Linotype" w:eastAsia="Palatino Linotype" w:hAnsi="Palatino Linotype"/>
          <w:i w:val="1"/>
          <w:sz w:val="22"/>
          <w:szCs w:val="22"/>
          <w:rtl w:val="0"/>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XXXIV</w:t>
      </w:r>
      <w:r w:rsidDel="00000000" w:rsidR="00000000" w:rsidRPr="00000000">
        <w:rPr>
          <w:rFonts w:ascii="Palatino Linotype" w:cs="Palatino Linotype" w:eastAsia="Palatino Linotype" w:hAnsi="Palatino Linotype"/>
          <w:i w:val="1"/>
          <w:sz w:val="22"/>
          <w:szCs w:val="22"/>
          <w:rtl w:val="0"/>
        </w:rPr>
        <w:t xml:space="preserve">.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XLV.</w:t>
      </w:r>
      <w:r w:rsidDel="00000000" w:rsidR="00000000" w:rsidRPr="00000000">
        <w:rPr>
          <w:rFonts w:ascii="Palatino Linotype" w:cs="Palatino Linotype" w:eastAsia="Palatino Linotype" w:hAnsi="Palatino Linotype"/>
          <w:i w:val="1"/>
          <w:sz w:val="22"/>
          <w:szCs w:val="22"/>
          <w:rtl w:val="0"/>
        </w:rPr>
        <w:t xml:space="preserve"> Versión pública: Documento en el que se elimine, suprime o borra la información clasificada como reservada o confidencial para permitir su acceso</w:t>
      </w: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ésta sea clasificada como reservada o confidencial.</w:t>
      </w: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122.</w:t>
      </w:r>
      <w:r w:rsidDel="00000000" w:rsidR="00000000" w:rsidRPr="00000000">
        <w:rPr>
          <w:rFonts w:ascii="Palatino Linotype" w:cs="Palatino Linotype" w:eastAsia="Palatino Linotype" w:hAnsi="Palatino Linotype"/>
          <w:i w:val="1"/>
          <w:sz w:val="22"/>
          <w:szCs w:val="22"/>
          <w:rtl w:val="0"/>
        </w:rPr>
        <w:t xml:space="preserve"> La clasificación es el proceso mediante el cual el sujeto obligado determina que la información en su poder actualiza alguno de los supuestos de reserva o confidencialidad, de conformidad con lo dispuesto en el presente título.</w:t>
      </w: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Los supuestos de reserva o confidencialidad previstos en las leyes deberán ser acordes con las bases, principios y disposiciones establecidos en la Ley General y, en ningún caso, podrán contravenirla.</w:t>
      </w: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Los titulares de las áreas de los sujetos obligados serán los responsables de clasificar la información, de conformidad con lo dispuesto en la presente Ley y demás disposiciones jurídicas aplicables</w:t>
      </w: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135.</w:t>
      </w:r>
      <w:r w:rsidDel="00000000" w:rsidR="00000000" w:rsidRPr="00000000">
        <w:rPr>
          <w:rFonts w:ascii="Palatino Linotype" w:cs="Palatino Linotype" w:eastAsia="Palatino Linotype" w:hAnsi="Palatino Linotype"/>
          <w:i w:val="1"/>
          <w:sz w:val="22"/>
          <w:szCs w:val="22"/>
          <w:rtl w:val="0"/>
        </w:rPr>
        <w:t xml:space="preserve"> Los lineamientos generales que se emitan al respecto en materia de clasificación de la información reservada y confidencial y, para la elaboración de versiones públicas, serán de observancia obligatoria para los sujetos obligados.</w:t>
      </w: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 Se refiera a la información privada y los datos personales concernientes a una persona física o jurídica colectiva identificada o identificable; </w:t>
      </w: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Los secretos bancario, fiduciario, industrial, comercial, fiscal, bursátil y postal, cuya titularidad corresponda a particulares, sujetos de derecho internacional o a sujetos obligados cuando no involucren el ejercicio de recursos públicos; y </w:t>
      </w: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que presenten los particulares a los sujetos obligados, de conformidad con lo dispuesto por las leyes o los tratados internacionales.</w:t>
      </w: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147. Para que los sujetos obligados puedan permitir el acceso a información confidencial requieren obtener el consentimiento de los particulares titulares de la información.</w:t>
      </w: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148.</w:t>
      </w:r>
      <w:r w:rsidDel="00000000" w:rsidR="00000000" w:rsidRPr="00000000">
        <w:rPr>
          <w:rFonts w:ascii="Palatino Linotype" w:cs="Palatino Linotype" w:eastAsia="Palatino Linotype" w:hAnsi="Palatino Linotype"/>
          <w:i w:val="1"/>
          <w:sz w:val="22"/>
          <w:szCs w:val="22"/>
          <w:rtl w:val="0"/>
        </w:rPr>
        <w:t xml:space="preserve"> No se requerirá el consentimiento del titular de la información confidencial cuando:</w:t>
      </w: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información se encuentre en registros públicos o fuentes de acceso público;</w:t>
      </w: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Por Ley tenga el carácter de pública;</w:t>
      </w: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Exista una orden judicial;</w:t>
      </w: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Por razones de seguridad pública, o para proteger los derechos de terceros, se requiera su publicación; o</w:t>
      </w: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149.</w:t>
      </w:r>
      <w:r w:rsidDel="00000000" w:rsidR="00000000" w:rsidRPr="00000000">
        <w:rPr>
          <w:rFonts w:ascii="Palatino Linotype" w:cs="Palatino Linotype" w:eastAsia="Palatino Linotype" w:hAnsi="Palatino Linotype"/>
          <w:i w:val="1"/>
          <w:sz w:val="22"/>
          <w:szCs w:val="22"/>
          <w:rtl w:val="0"/>
        </w:rPr>
        <w:t xml:space="preserve"> El acuerdo que clasifique la información como confidencial deberá contener un razonamiento lógico en el que demuestre que la información se encuentra en alguna o algunas de las hipótesis previstas en la presente Ley.” </w:t>
      </w:r>
      <w:r w:rsidDel="00000000" w:rsidR="00000000" w:rsidRPr="00000000">
        <w:rPr>
          <w:rtl w:val="0"/>
        </w:rPr>
      </w:r>
    </w:p>
    <w:p w:rsidR="00000000" w:rsidDel="00000000" w:rsidP="00000000" w:rsidRDefault="00000000" w:rsidRPr="00000000" w14:paraId="0000014F">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rsidR="00000000" w:rsidDel="00000000" w:rsidP="00000000" w:rsidRDefault="00000000" w:rsidRPr="00000000" w14:paraId="00000151">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rsidR="00000000" w:rsidDel="00000000" w:rsidP="00000000" w:rsidRDefault="00000000" w:rsidRPr="00000000" w14:paraId="00000153">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rsidR="00000000" w:rsidDel="00000000" w:rsidP="00000000" w:rsidRDefault="00000000" w:rsidRPr="00000000" w14:paraId="00000155">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168</w:t>
      </w:r>
      <w:r w:rsidDel="00000000" w:rsidR="00000000" w:rsidRPr="00000000">
        <w:rPr>
          <w:rFonts w:ascii="Palatino Linotype" w:cs="Palatino Linotype" w:eastAsia="Palatino Linotype" w:hAnsi="Palatino Linotype"/>
          <w:i w:val="1"/>
          <w:sz w:val="22"/>
          <w:szCs w:val="22"/>
          <w:rtl w:val="0"/>
        </w:rPr>
        <w:t xml:space="preserve">. En caso de que los sujetos obligados consideren que los documentos o la información deban ser clasificados, se sujetará a lo siguiente:</w:t>
      </w:r>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El Área deberá remitir la solicitud, así como un escrito en el que </w:t>
      </w:r>
      <w:r w:rsidDel="00000000" w:rsidR="00000000" w:rsidRPr="00000000">
        <w:rPr>
          <w:rFonts w:ascii="Palatino Linotype" w:cs="Palatino Linotype" w:eastAsia="Palatino Linotype" w:hAnsi="Palatino Linotype"/>
          <w:b w:val="1"/>
          <w:i w:val="1"/>
          <w:sz w:val="22"/>
          <w:szCs w:val="22"/>
          <w:rtl w:val="0"/>
        </w:rPr>
        <w:t xml:space="preserve">funde y motive la clasificación al Comité de Transparencia</w:t>
      </w:r>
      <w:r w:rsidDel="00000000" w:rsidR="00000000" w:rsidRPr="00000000">
        <w:rPr>
          <w:rFonts w:ascii="Palatino Linotype" w:cs="Palatino Linotype" w:eastAsia="Palatino Linotype" w:hAnsi="Palatino Linotype"/>
          <w:i w:val="1"/>
          <w:sz w:val="22"/>
          <w:szCs w:val="22"/>
          <w:rtl w:val="0"/>
        </w:rPr>
        <w:t xml:space="preserve">, mismo que deberá resolver para:</w:t>
      </w: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a</w:t>
      </w:r>
      <w:r w:rsidDel="00000000" w:rsidR="00000000" w:rsidRPr="00000000">
        <w:rPr>
          <w:rFonts w:ascii="Palatino Linotype" w:cs="Palatino Linotype" w:eastAsia="Palatino Linotype" w:hAnsi="Palatino Linotype"/>
          <w:b w:val="1"/>
          <w:i w:val="1"/>
          <w:sz w:val="22"/>
          <w:szCs w:val="22"/>
          <w:rtl w:val="0"/>
        </w:rPr>
        <w:t xml:space="preserve">) Confirmar la clasificación;</w:t>
      </w: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b) Modificar la clasificación y otorgar total o parcialmente el acceso a la información; y c) Revocar la clasificación y conceder el acceso a la información.</w:t>
      </w: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Comité de Transparencia podrá tener acceso a la información que esté en poder del Área correspondiente, de la cual se haya solicitado su clasificación; y</w:t>
      </w: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resolución del Comité de Transparencia será notificada al interesado en el plazo de respuesta a la solicitud que establece esta Ley.” </w:t>
      </w:r>
      <w:r w:rsidDel="00000000" w:rsidR="00000000" w:rsidRPr="00000000">
        <w:rPr>
          <w:rtl w:val="0"/>
        </w:rPr>
      </w:r>
    </w:p>
    <w:p w:rsidR="00000000" w:rsidDel="00000000" w:rsidP="00000000" w:rsidRDefault="00000000" w:rsidRPr="00000000" w14:paraId="0000015C">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deberá proceder a testar los datos personales que se encuentren contenidos en los documentos a entregar por parte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000000" w:rsidDel="00000000" w:rsidP="00000000" w:rsidRDefault="00000000" w:rsidRPr="00000000" w14:paraId="0000015E">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Del="00000000" w:rsidR="00000000" w:rsidRPr="00000000">
        <w:rPr>
          <w:rFonts w:ascii="Palatino Linotype" w:cs="Palatino Linotype" w:eastAsia="Palatino Linotype" w:hAnsi="Palatino Linotype"/>
          <w:b w:val="1"/>
          <w:sz w:val="22"/>
          <w:szCs w:val="22"/>
          <w:rtl w:val="0"/>
        </w:rPr>
        <w:t xml:space="preserve">Registro Federal de Contribuyentes</w:t>
      </w:r>
      <w:r w:rsidDel="00000000" w:rsidR="00000000" w:rsidRPr="00000000">
        <w:rPr>
          <w:rFonts w:ascii="Palatino Linotype" w:cs="Palatino Linotype" w:eastAsia="Palatino Linotype" w:hAnsi="Palatino Linotype"/>
          <w:sz w:val="22"/>
          <w:szCs w:val="22"/>
          <w:rtl w:val="0"/>
        </w:rPr>
        <w:t xml:space="preserve"> (RFC), la </w:t>
      </w:r>
      <w:r w:rsidDel="00000000" w:rsidR="00000000" w:rsidRPr="00000000">
        <w:rPr>
          <w:rFonts w:ascii="Palatino Linotype" w:cs="Palatino Linotype" w:eastAsia="Palatino Linotype" w:hAnsi="Palatino Linotype"/>
          <w:b w:val="1"/>
          <w:sz w:val="22"/>
          <w:szCs w:val="22"/>
          <w:rtl w:val="0"/>
        </w:rPr>
        <w:t xml:space="preserve">Clave Única de Registro de Población</w:t>
      </w:r>
      <w:r w:rsidDel="00000000" w:rsidR="00000000" w:rsidRPr="00000000">
        <w:rPr>
          <w:rFonts w:ascii="Palatino Linotype" w:cs="Palatino Linotype" w:eastAsia="Palatino Linotype" w:hAnsi="Palatino Linotype"/>
          <w:sz w:val="22"/>
          <w:szCs w:val="22"/>
          <w:rtl w:val="0"/>
        </w:rPr>
        <w:t xml:space="preserve"> (CURP) y la </w:t>
      </w:r>
      <w:r w:rsidDel="00000000" w:rsidR="00000000" w:rsidRPr="00000000">
        <w:rPr>
          <w:rFonts w:ascii="Palatino Linotype" w:cs="Palatino Linotype" w:eastAsia="Palatino Linotype" w:hAnsi="Palatino Linotype"/>
          <w:b w:val="1"/>
          <w:sz w:val="22"/>
          <w:szCs w:val="22"/>
          <w:rtl w:val="0"/>
        </w:rPr>
        <w:t xml:space="preserve">Clave de cualquier tipo de seguridad social</w:t>
      </w:r>
      <w:r w:rsidDel="00000000" w:rsidR="00000000" w:rsidRPr="00000000">
        <w:rPr>
          <w:rFonts w:ascii="Palatino Linotype" w:cs="Palatino Linotype" w:eastAsia="Palatino Linotype" w:hAnsi="Palatino Linotype"/>
          <w:sz w:val="22"/>
          <w:szCs w:val="22"/>
          <w:rtl w:val="0"/>
        </w:rPr>
        <w:t xml:space="preserve"> (ISSEMYM, u otros), así como, los </w:t>
      </w:r>
      <w:r w:rsidDel="00000000" w:rsidR="00000000" w:rsidRPr="00000000">
        <w:rPr>
          <w:rFonts w:ascii="Palatino Linotype" w:cs="Palatino Linotype" w:eastAsia="Palatino Linotype" w:hAnsi="Palatino Linotype"/>
          <w:b w:val="1"/>
          <w:sz w:val="22"/>
          <w:szCs w:val="22"/>
          <w:rtl w:val="0"/>
        </w:rPr>
        <w:t xml:space="preserve">préstamos o descuentos</w:t>
      </w:r>
      <w:r w:rsidDel="00000000" w:rsidR="00000000" w:rsidRPr="00000000">
        <w:rPr>
          <w:rFonts w:ascii="Palatino Linotype" w:cs="Palatino Linotype" w:eastAsia="Palatino Linotype" w:hAnsi="Palatino Linotype"/>
          <w:sz w:val="22"/>
          <w:szCs w:val="22"/>
          <w:rtl w:val="0"/>
        </w:rPr>
        <w:t xml:space="preserve"> que se le hagan a la persona y que no tengan relación con los impuestos o la cuota por seguridad social, así el</w:t>
      </w:r>
      <w:r w:rsidDel="00000000" w:rsidR="00000000" w:rsidRPr="00000000">
        <w:rPr>
          <w:rFonts w:ascii="Palatino Linotype" w:cs="Palatino Linotype" w:eastAsia="Palatino Linotype" w:hAnsi="Palatino Linotype"/>
          <w:b w:val="1"/>
          <w:sz w:val="22"/>
          <w:szCs w:val="22"/>
          <w:rtl w:val="0"/>
        </w:rPr>
        <w:t xml:space="preserve"> número de empleado, </w:t>
      </w:r>
      <w:r w:rsidDel="00000000" w:rsidR="00000000" w:rsidRPr="00000000">
        <w:rPr>
          <w:rFonts w:ascii="Palatino Linotype" w:cs="Palatino Linotype" w:eastAsia="Palatino Linotype" w:hAnsi="Palatino Linotype"/>
          <w:sz w:val="22"/>
          <w:szCs w:val="22"/>
          <w:rtl w:val="0"/>
        </w:rPr>
        <w:t xml:space="preserve">así como de ser el caso, el </w:t>
      </w:r>
      <w:r w:rsidDel="00000000" w:rsidR="00000000" w:rsidRPr="00000000">
        <w:rPr>
          <w:rFonts w:ascii="Palatino Linotype" w:cs="Palatino Linotype" w:eastAsia="Palatino Linotype" w:hAnsi="Palatino Linotype"/>
          <w:b w:val="1"/>
          <w:sz w:val="22"/>
          <w:szCs w:val="22"/>
          <w:rtl w:val="0"/>
        </w:rPr>
        <w:t xml:space="preserve">folio fiscal</w:t>
      </w:r>
      <w:r w:rsidDel="00000000" w:rsidR="00000000" w:rsidRPr="00000000">
        <w:rPr>
          <w:rFonts w:ascii="Palatino Linotype" w:cs="Palatino Linotype" w:eastAsia="Palatino Linotype" w:hAnsi="Palatino Linotype"/>
          <w:sz w:val="22"/>
          <w:szCs w:val="22"/>
          <w:rtl w:val="0"/>
        </w:rPr>
        <w:t xml:space="preserve">, la  </w:t>
      </w:r>
      <w:r w:rsidDel="00000000" w:rsidR="00000000" w:rsidRPr="00000000">
        <w:rPr>
          <w:rFonts w:ascii="Palatino Linotype" w:cs="Palatino Linotype" w:eastAsia="Palatino Linotype" w:hAnsi="Palatino Linotype"/>
          <w:b w:val="1"/>
          <w:sz w:val="22"/>
          <w:szCs w:val="22"/>
          <w:rtl w:val="0"/>
        </w:rPr>
        <w:t xml:space="preserve">cadena original, </w:t>
      </w:r>
      <w:r w:rsidDel="00000000" w:rsidR="00000000" w:rsidRPr="00000000">
        <w:rPr>
          <w:rFonts w:ascii="Palatino Linotype" w:cs="Palatino Linotype" w:eastAsia="Palatino Linotype" w:hAnsi="Palatino Linotype"/>
          <w:sz w:val="22"/>
          <w:szCs w:val="22"/>
          <w:rtl w:val="0"/>
        </w:rPr>
        <w:t xml:space="preserve">los</w:t>
      </w:r>
      <w:r w:rsidDel="00000000" w:rsidR="00000000" w:rsidRPr="00000000">
        <w:rPr>
          <w:rFonts w:ascii="Palatino Linotype" w:cs="Palatino Linotype" w:eastAsia="Palatino Linotype" w:hAnsi="Palatino Linotype"/>
          <w:b w:val="1"/>
          <w:sz w:val="22"/>
          <w:szCs w:val="22"/>
          <w:rtl w:val="0"/>
        </w:rPr>
        <w:t xml:space="preserve"> códigos bidimensionales o códigos QR,</w:t>
      </w:r>
      <w:r w:rsidDel="00000000" w:rsidR="00000000" w:rsidRPr="00000000">
        <w:rPr>
          <w:rFonts w:ascii="Palatino Linotype" w:cs="Palatino Linotype" w:eastAsia="Palatino Linotype" w:hAnsi="Palatino Linotype"/>
          <w:sz w:val="22"/>
          <w:szCs w:val="22"/>
          <w:rtl w:val="0"/>
        </w:rPr>
        <w:t xml:space="preserve"> y cualquier información de carácter fiscal, bajo las siguientes consideraciones. </w:t>
      </w:r>
    </w:p>
    <w:p w:rsidR="00000000" w:rsidDel="00000000" w:rsidP="00000000" w:rsidRDefault="00000000" w:rsidRPr="00000000" w14:paraId="00000160">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cuanto al RFC, este constituye un dato personal, ya que para su obtención es necesario acreditar ante la autoridad fiscal previamente la identidad de la persona, su fecha de nacimiento, entre otros aspectos.</w:t>
      </w:r>
    </w:p>
    <w:p w:rsidR="00000000" w:rsidDel="00000000" w:rsidP="00000000" w:rsidRDefault="00000000" w:rsidRPr="00000000" w14:paraId="00000162">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000000" w:rsidDel="00000000" w:rsidP="00000000" w:rsidRDefault="00000000" w:rsidRPr="00000000" w14:paraId="00000164">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es compartido por el Instituto Nacional de Transparencia, Acceso a la Información y Protección de Datos (INAI) a través del Criterio 19/17, el cual es del tenor literal siguiente:</w:t>
      </w:r>
    </w:p>
    <w:p w:rsidR="00000000" w:rsidDel="00000000" w:rsidP="00000000" w:rsidRDefault="00000000" w:rsidRPr="00000000" w14:paraId="00000166">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“Registro Federal de Contribuyentes (RFC) de personas físicas. </w:t>
      </w:r>
      <w:r w:rsidDel="00000000" w:rsidR="00000000" w:rsidRPr="00000000">
        <w:rPr>
          <w:rFonts w:ascii="Palatino Linotype" w:cs="Palatino Linotype" w:eastAsia="Palatino Linotype" w:hAnsi="Palatino Linotype"/>
          <w:i w:val="1"/>
          <w:sz w:val="22"/>
          <w:szCs w:val="22"/>
          <w:rtl w:val="0"/>
        </w:rPr>
        <w:t xml:space="preserve">El RFC es una clave de carácter fiscal, única e irrepetible, que permite identificar al titular, su edad y fecha de nacimiento, por lo que es un dato personal de carácter confidencial.” </w:t>
      </w:r>
      <w:r w:rsidDel="00000000" w:rsidR="00000000" w:rsidRPr="00000000">
        <w:rPr>
          <w:rtl w:val="0"/>
        </w:rPr>
      </w:r>
    </w:p>
    <w:p w:rsidR="00000000" w:rsidDel="00000000" w:rsidP="00000000" w:rsidRDefault="00000000" w:rsidRPr="00000000" w14:paraId="00000168">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000000" w:rsidDel="00000000" w:rsidP="00000000" w:rsidRDefault="00000000" w:rsidRPr="00000000" w14:paraId="0000016A">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000000" w:rsidDel="00000000" w:rsidP="00000000" w:rsidRDefault="00000000" w:rsidRPr="00000000" w14:paraId="0000016C">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Argumento que es compartido por el Instituto Nacional de Transparencia, Acceso a la Información y Protección de Datos (INAI)</w:t>
      </w:r>
      <w:r w:rsidDel="00000000" w:rsidR="00000000" w:rsidRPr="00000000">
        <w:rPr>
          <w:rFonts w:ascii="Palatino Linotype" w:cs="Palatino Linotype" w:eastAsia="Palatino Linotype" w:hAnsi="Palatino Linotype"/>
          <w:b w:val="1"/>
          <w:sz w:val="22"/>
          <w:szCs w:val="22"/>
          <w:rtl w:val="0"/>
        </w:rPr>
        <w:t xml:space="preserve">, conforme al </w:t>
      </w:r>
      <w:r w:rsidDel="00000000" w:rsidR="00000000" w:rsidRPr="00000000">
        <w:rPr>
          <w:rFonts w:ascii="Palatino Linotype" w:cs="Palatino Linotype" w:eastAsia="Palatino Linotype" w:hAnsi="Palatino Linotype"/>
          <w:sz w:val="22"/>
          <w:szCs w:val="22"/>
          <w:rtl w:val="0"/>
        </w:rPr>
        <w:t xml:space="preserve">criterio número 18/17, el cual refiere: </w:t>
      </w:r>
    </w:p>
    <w:p w:rsidR="00000000" w:rsidDel="00000000" w:rsidP="00000000" w:rsidRDefault="00000000" w:rsidRPr="00000000" w14:paraId="0000016E">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“Clave Única de Registro de Población (CURP). </w:t>
      </w:r>
      <w:r w:rsidDel="00000000" w:rsidR="00000000" w:rsidRPr="00000000">
        <w:rPr>
          <w:rFonts w:ascii="Palatino Linotype" w:cs="Palatino Linotype" w:eastAsia="Palatino Linotype" w:hAnsi="Palatino Linotype"/>
          <w:i w:val="1"/>
          <w:sz w:val="22"/>
          <w:szCs w:val="22"/>
          <w:rtl w:val="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r w:rsidDel="00000000" w:rsidR="00000000" w:rsidRPr="00000000">
        <w:rPr>
          <w:rtl w:val="0"/>
        </w:rPr>
      </w:r>
    </w:p>
    <w:p w:rsidR="00000000" w:rsidDel="00000000" w:rsidP="00000000" w:rsidRDefault="00000000" w:rsidRPr="00000000" w14:paraId="00000170">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000000" w:rsidDel="00000000" w:rsidP="00000000" w:rsidRDefault="00000000" w:rsidRPr="00000000" w14:paraId="00000172">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El número de ficha de identificación única de los trabajadores es información de carácter confidencial.</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i w:val="1"/>
          <w:sz w:val="22"/>
          <w:szCs w:val="22"/>
          <w:u w:val="single"/>
          <w:rtl w:val="0"/>
        </w:rPr>
        <w:t xml:space="preserve">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i w:val="1"/>
          <w:sz w:val="22"/>
          <w:szCs w:val="22"/>
          <w:u w:val="single"/>
          <w:rtl w:val="0"/>
        </w:rPr>
        <w:t xml:space="preserve">dicha información es susceptible de clasificarse con el carácter de confidencial</w:t>
      </w:r>
      <w:r w:rsidDel="00000000" w:rsidR="00000000" w:rsidRPr="00000000">
        <w:rPr>
          <w:rFonts w:ascii="Palatino Linotype" w:cs="Palatino Linotype" w:eastAsia="Palatino Linotype" w:hAnsi="Palatino Linotype"/>
          <w:i w:val="1"/>
          <w:sz w:val="22"/>
          <w:szCs w:val="22"/>
          <w:rtl w:val="0"/>
        </w:rPr>
        <w:t xml:space="preserve">, en términos de lo establecido en el artículo 18, fracción II de la Ley Federal de Transparencia y Acceso a la Información Pública Gubernamental, en virtud de que a través de la misma es posible conocer información personal de su titular.” </w:t>
      </w:r>
      <w:r w:rsidDel="00000000" w:rsidR="00000000" w:rsidRPr="00000000">
        <w:rPr>
          <w:rtl w:val="0"/>
        </w:rPr>
      </w:r>
    </w:p>
    <w:p w:rsidR="00000000" w:rsidDel="00000000" w:rsidP="00000000" w:rsidRDefault="00000000" w:rsidRPr="00000000" w14:paraId="00000174">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de los </w:t>
      </w:r>
      <w:r w:rsidDel="00000000" w:rsidR="00000000" w:rsidRPr="00000000">
        <w:rPr>
          <w:rFonts w:ascii="Palatino Linotype" w:cs="Palatino Linotype" w:eastAsia="Palatino Linotype" w:hAnsi="Palatino Linotype"/>
          <w:b w:val="1"/>
          <w:sz w:val="22"/>
          <w:szCs w:val="22"/>
          <w:rtl w:val="0"/>
        </w:rPr>
        <w:t xml:space="preserve">préstamos o descuentos</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 carácter personal</w:t>
      </w:r>
      <w:r w:rsidDel="00000000" w:rsidR="00000000" w:rsidRPr="00000000">
        <w:rPr>
          <w:rFonts w:ascii="Palatino Linotype" w:cs="Palatino Linotype" w:eastAsia="Palatino Linotype" w:hAnsi="Palatino Linotype"/>
          <w:sz w:val="22"/>
          <w:szCs w:val="22"/>
          <w:rtl w:val="0"/>
        </w:rPr>
        <w:t xml:space="preserve">,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rsidR="00000000" w:rsidDel="00000000" w:rsidP="00000000" w:rsidRDefault="00000000" w:rsidRPr="00000000" w14:paraId="00000176">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cuanto hace a las deducciones, para entender los límites y alcances de esta restricción, es oportuno recurrir al artículo 84 de la Ley del Trabajo de los Servidores Públicos del Estado y Municipios:</w:t>
      </w:r>
    </w:p>
    <w:p w:rsidR="00000000" w:rsidDel="00000000" w:rsidP="00000000" w:rsidRDefault="00000000" w:rsidRPr="00000000" w14:paraId="00000178">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84. </w:t>
      </w:r>
      <w:r w:rsidDel="00000000" w:rsidR="00000000" w:rsidRPr="00000000">
        <w:rPr>
          <w:rFonts w:ascii="Palatino Linotype" w:cs="Palatino Linotype" w:eastAsia="Palatino Linotype" w:hAnsi="Palatino Linotype"/>
          <w:i w:val="1"/>
          <w:sz w:val="22"/>
          <w:szCs w:val="22"/>
          <w:rtl w:val="0"/>
        </w:rPr>
        <w:t xml:space="preserve">Sólo podrán hacerse retenciones, descuentos o deducciones al sueldo de los servidores públicos por concepto de:</w:t>
      </w: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 Gravámenes fiscales relacionados con el sueldo;</w:t>
      </w: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II. Deudas contraídas con las instituciones públicas o dependencias por concepto de anticipos de sueldo, pagos hechos con exceso, errores o pérdidas debidamente comprobados;</w:t>
      </w:r>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III. Cuotas sindicales;</w:t>
      </w:r>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IV. Cuotas de aportación a fondos para la constitución de cooperativas y de cajas de ahorro, siempre que el servidor público hubiese manifestado previamente, de manera expresa, su conformidad;</w:t>
      </w:r>
      <w:r w:rsidDel="00000000" w:rsidR="00000000" w:rsidRPr="00000000">
        <w:rPr>
          <w:rtl w:val="0"/>
        </w:rPr>
      </w:r>
    </w:p>
    <w:p w:rsidR="00000000" w:rsidDel="00000000" w:rsidP="00000000" w:rsidRDefault="00000000" w:rsidRPr="00000000" w14:paraId="0000017E">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V. Descuentos ordenados por el Instituto de Seguridad Social del Estado de México y Municipios, con motivo de cuotas y obligaciones contraídas con éste por los servidores públicos;</w:t>
      </w: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VI. Obligaciones a cargo del servidor público con las que haya consentido, derivadas de la adquisición o del uso de habitaciones consideradas como de interés social;</w:t>
      </w:r>
      <w:r w:rsidDel="00000000" w:rsidR="00000000" w:rsidRPr="00000000">
        <w:rPr>
          <w:rtl w:val="0"/>
        </w:rPr>
      </w:r>
    </w:p>
    <w:p w:rsidR="00000000" w:rsidDel="00000000" w:rsidP="00000000" w:rsidRDefault="00000000" w:rsidRPr="00000000" w14:paraId="00000180">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VII. Faltas de puntualidad o de asistencia injustificadas;</w:t>
      </w: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VIII. Pensiones alimenticias ordenadas por la autoridad judicial;</w:t>
      </w:r>
      <w:r w:rsidDel="00000000" w:rsidR="00000000" w:rsidRPr="00000000">
        <w:rPr>
          <w:rFonts w:ascii="Palatino Linotype" w:cs="Palatino Linotype" w:eastAsia="Palatino Linotype" w:hAnsi="Palatino Linotype"/>
          <w:i w:val="1"/>
          <w:sz w:val="22"/>
          <w:szCs w:val="22"/>
          <w:rtl w:val="0"/>
        </w:rPr>
        <w:t xml:space="preserve"> o</w:t>
      </w:r>
      <w:r w:rsidDel="00000000" w:rsidR="00000000" w:rsidRPr="00000000">
        <w:rPr>
          <w:rtl w:val="0"/>
        </w:rPr>
      </w:r>
    </w:p>
    <w:p w:rsidR="00000000" w:rsidDel="00000000" w:rsidP="00000000" w:rsidRDefault="00000000" w:rsidRPr="00000000" w14:paraId="00000182">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IX. Cualquier otro convenido con instituciones de servicios y aceptado por el servidor público.</w:t>
      </w:r>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r w:rsidDel="00000000" w:rsidR="00000000" w:rsidRPr="00000000">
        <w:rPr>
          <w:rtl w:val="0"/>
        </w:rPr>
      </w:r>
    </w:p>
    <w:p w:rsidR="00000000" w:rsidDel="00000000" w:rsidP="00000000" w:rsidRDefault="00000000" w:rsidRPr="00000000" w14:paraId="00000184">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000000" w:rsidDel="00000000" w:rsidP="00000000" w:rsidRDefault="00000000" w:rsidRPr="00000000" w14:paraId="00000186">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los préstamos o descuentos de carácter personal, en virtud de no tener relación con la prestación del servicio y al no involucrar instituciones públicas, se consideran datos confidenciales.</w:t>
      </w:r>
    </w:p>
    <w:p w:rsidR="00000000" w:rsidDel="00000000" w:rsidP="00000000" w:rsidRDefault="00000000" w:rsidRPr="00000000" w14:paraId="00000188">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De la información fiscal</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18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w:t>
      </w:r>
      <w:r w:rsidDel="00000000" w:rsidR="00000000" w:rsidRPr="00000000">
        <w:rPr>
          <w:rFonts w:ascii="Palatino Linotype" w:cs="Palatino Linotype" w:eastAsia="Palatino Linotype" w:hAnsi="Palatino Linotype"/>
          <w:b w:val="1"/>
          <w:sz w:val="22"/>
          <w:szCs w:val="22"/>
          <w:rtl w:val="0"/>
        </w:rPr>
        <w:t xml:space="preserve">Cadena Original</w:t>
      </w:r>
      <w:r w:rsidDel="00000000" w:rsidR="00000000" w:rsidRPr="00000000">
        <w:rPr>
          <w:rFonts w:ascii="Palatino Linotype" w:cs="Palatino Linotype" w:eastAsia="Palatino Linotype" w:hAnsi="Palatino Linotype"/>
          <w:sz w:val="22"/>
          <w:szCs w:val="22"/>
          <w:rtl w:val="0"/>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analizar dicha circunstancia con la finalidad de proteger, de ser el caso, la información a través de su clasificación por actualizarse el supuesto de confidencialidad.</w:t>
      </w:r>
    </w:p>
    <w:p w:rsidR="00000000" w:rsidDel="00000000" w:rsidP="00000000" w:rsidRDefault="00000000" w:rsidRPr="00000000" w14:paraId="0000018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Los </w:t>
      </w:r>
      <w:r w:rsidDel="00000000" w:rsidR="00000000" w:rsidRPr="00000000">
        <w:rPr>
          <w:rFonts w:ascii="Palatino Linotype" w:cs="Palatino Linotype" w:eastAsia="Palatino Linotype" w:hAnsi="Palatino Linotype"/>
          <w:b w:val="1"/>
          <w:sz w:val="22"/>
          <w:szCs w:val="22"/>
          <w:rtl w:val="0"/>
        </w:rPr>
        <w:t xml:space="preserve">códigos bidimensionales</w:t>
      </w:r>
      <w:r w:rsidDel="00000000" w:rsidR="00000000" w:rsidRPr="00000000">
        <w:rPr>
          <w:rFonts w:ascii="Palatino Linotype" w:cs="Palatino Linotype" w:eastAsia="Palatino Linotype" w:hAnsi="Palatino Linotype"/>
          <w:sz w:val="22"/>
          <w:szCs w:val="22"/>
          <w:rtl w:val="0"/>
        </w:rPr>
        <w:t xml:space="preserve"> o </w:t>
      </w:r>
      <w:r w:rsidDel="00000000" w:rsidR="00000000" w:rsidRPr="00000000">
        <w:rPr>
          <w:rFonts w:ascii="Palatino Linotype" w:cs="Palatino Linotype" w:eastAsia="Palatino Linotype" w:hAnsi="Palatino Linotype"/>
          <w:b w:val="1"/>
          <w:sz w:val="22"/>
          <w:szCs w:val="22"/>
          <w:rtl w:val="0"/>
        </w:rPr>
        <w:t xml:space="preserve">códigos QR, </w:t>
      </w:r>
      <w:r w:rsidDel="00000000" w:rsidR="00000000" w:rsidRPr="00000000">
        <w:rPr>
          <w:rFonts w:ascii="Palatino Linotype" w:cs="Palatino Linotype" w:eastAsia="Palatino Linotype" w:hAnsi="Palatino Linotype"/>
          <w:sz w:val="22"/>
          <w:szCs w:val="22"/>
          <w:rtl w:val="0"/>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analizar dicha circunstancia con la finalidad de determinar si se actualiza algún supuesto de confidencialidad.</w:t>
      </w:r>
    </w:p>
    <w:p w:rsidR="00000000" w:rsidDel="00000000" w:rsidP="00000000" w:rsidRDefault="00000000" w:rsidRPr="00000000" w14:paraId="0000018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tal sentido, si derivado del análisis efectuado por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rsidR="00000000" w:rsidDel="00000000" w:rsidP="00000000" w:rsidRDefault="00000000" w:rsidRPr="00000000" w14:paraId="0000019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lo anterior, es de recordar que determinar la clasificación de la información es un trabajo en conjunto tanto de los Servidores Públicos Habilitados, de las Unidades de Transparencia y del Comité de Transparencia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000000" w:rsidDel="00000000" w:rsidP="00000000" w:rsidRDefault="00000000" w:rsidRPr="00000000" w14:paraId="0000019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lo cual, a su vez en el caso de información de carácter confidencial, se debe atender a lo que señala el artículo 149 de la Ley de Transparencia Local vigente, que se lee como sigue:</w:t>
      </w:r>
    </w:p>
    <w:p w:rsidR="00000000" w:rsidDel="00000000" w:rsidP="00000000" w:rsidRDefault="00000000" w:rsidRPr="00000000" w14:paraId="00000194">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5">
      <w:pPr>
        <w:pBdr>
          <w:top w:space="0" w:sz="0" w:val="nil"/>
          <w:left w:space="0" w:sz="0" w:val="nil"/>
          <w:bottom w:space="0" w:sz="0" w:val="nil"/>
          <w:right w:space="0" w:sz="0" w:val="nil"/>
          <w:between w:space="0" w:sz="0" w:val="nil"/>
        </w:pBdr>
        <w:ind w:left="993" w:right="104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149.</w:t>
      </w:r>
      <w:r w:rsidDel="00000000" w:rsidR="00000000" w:rsidRPr="00000000">
        <w:rPr>
          <w:rFonts w:ascii="Palatino Linotype" w:cs="Palatino Linotype" w:eastAsia="Palatino Linotype" w:hAnsi="Palatino Linotype"/>
          <w:i w:val="1"/>
          <w:sz w:val="22"/>
          <w:szCs w:val="22"/>
          <w:rtl w:val="0"/>
        </w:rPr>
        <w:t xml:space="preserve"> El </w:t>
      </w:r>
      <w:r w:rsidDel="00000000" w:rsidR="00000000" w:rsidRPr="00000000">
        <w:rPr>
          <w:rFonts w:ascii="Palatino Linotype" w:cs="Palatino Linotype" w:eastAsia="Palatino Linotype" w:hAnsi="Palatino Linotype"/>
          <w:b w:val="1"/>
          <w:i w:val="1"/>
          <w:sz w:val="22"/>
          <w:szCs w:val="22"/>
          <w:rtl w:val="0"/>
        </w:rPr>
        <w:t xml:space="preserve">acuerdo que clasifique la información como confidencial</w:t>
      </w:r>
      <w:r w:rsidDel="00000000" w:rsidR="00000000" w:rsidRPr="00000000">
        <w:rPr>
          <w:rFonts w:ascii="Palatino Linotype" w:cs="Palatino Linotype" w:eastAsia="Palatino Linotype" w:hAnsi="Palatino Linotype"/>
          <w:i w:val="1"/>
          <w:sz w:val="22"/>
          <w:szCs w:val="22"/>
          <w:rtl w:val="0"/>
        </w:rPr>
        <w:t xml:space="preserve"> deberá contener un razonamiento lógico en el que demuestre que la información se encuentra en alguna o algunas de las hipótesis previstas en la presente Ley.” </w:t>
      </w:r>
      <w:r w:rsidDel="00000000" w:rsidR="00000000" w:rsidRPr="00000000">
        <w:rPr>
          <w:rtl w:val="0"/>
        </w:rPr>
      </w:r>
    </w:p>
    <w:p w:rsidR="00000000" w:rsidDel="00000000" w:rsidP="00000000" w:rsidRDefault="00000000" w:rsidRPr="00000000" w14:paraId="00000196">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7">
      <w:pPr>
        <w:pBdr>
          <w:top w:space="0" w:sz="0" w:val="nil"/>
          <w:left w:space="0" w:sz="0" w:val="nil"/>
          <w:bottom w:space="0" w:sz="0" w:val="nil"/>
          <w:right w:space="0" w:sz="0" w:val="nil"/>
          <w:between w:space="0" w:sz="0" w:val="nil"/>
        </w:pBd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000000" w:rsidDel="00000000" w:rsidP="00000000" w:rsidRDefault="00000000" w:rsidRPr="00000000" w14:paraId="00000198">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19A">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siendo estas las siguientes:</w:t>
      </w:r>
    </w:p>
    <w:p w:rsidR="00000000" w:rsidDel="00000000" w:rsidP="00000000" w:rsidRDefault="00000000" w:rsidRPr="00000000" w14:paraId="0000019C">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D">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“CAPÍTULO VIII </w:t>
      </w:r>
      <w:r w:rsidDel="00000000" w:rsidR="00000000" w:rsidRPr="00000000">
        <w:rPr>
          <w:rtl w:val="0"/>
        </w:rPr>
      </w:r>
    </w:p>
    <w:p w:rsidR="00000000" w:rsidDel="00000000" w:rsidP="00000000" w:rsidRDefault="00000000" w:rsidRPr="00000000" w14:paraId="0000019E">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DE LOS ELEMENTOS PARA LA CLASIFICACIÓN </w:t>
      </w:r>
      <w:r w:rsidDel="00000000" w:rsidR="00000000" w:rsidRPr="00000000">
        <w:rPr>
          <w:rtl w:val="0"/>
        </w:rPr>
      </w:r>
    </w:p>
    <w:p w:rsidR="00000000" w:rsidDel="00000000" w:rsidP="00000000" w:rsidRDefault="00000000" w:rsidRPr="00000000" w14:paraId="0000019F">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w:t>
      </w:r>
      <w:r w:rsidDel="00000000" w:rsidR="00000000" w:rsidRPr="00000000">
        <w:rPr>
          <w:rFonts w:ascii="Palatino Linotype" w:cs="Palatino Linotype" w:eastAsia="Palatino Linotype" w:hAnsi="Palatino Linotype"/>
          <w:i w:val="1"/>
          <w:sz w:val="22"/>
          <w:szCs w:val="22"/>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r w:rsidDel="00000000" w:rsidR="00000000" w:rsidRPr="00000000">
        <w:rPr>
          <w:rtl w:val="0"/>
        </w:rPr>
      </w:r>
    </w:p>
    <w:p w:rsidR="00000000" w:rsidDel="00000000" w:rsidP="00000000" w:rsidRDefault="00000000" w:rsidRPr="00000000" w14:paraId="000001A0">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primero.</w:t>
      </w:r>
      <w:r w:rsidDel="00000000" w:rsidR="00000000" w:rsidRPr="00000000">
        <w:rPr>
          <w:rFonts w:ascii="Palatino Linotype" w:cs="Palatino Linotype" w:eastAsia="Palatino Linotype" w:hAnsi="Palatino Linotype"/>
          <w:i w:val="1"/>
          <w:sz w:val="22"/>
          <w:szCs w:val="22"/>
          <w:rtl w:val="0"/>
        </w:rPr>
        <w:t xml:space="preserve"> Toda acta del Comité de Transparencia deberá contener: </w:t>
      </w:r>
      <w:r w:rsidDel="00000000" w:rsidR="00000000" w:rsidRPr="00000000">
        <w:rPr>
          <w:rtl w:val="0"/>
        </w:rPr>
      </w:r>
    </w:p>
    <w:p w:rsidR="00000000" w:rsidDel="00000000" w:rsidP="00000000" w:rsidRDefault="00000000" w:rsidRPr="00000000" w14:paraId="000001A1">
      <w:pPr>
        <w:numPr>
          <w:ilvl w:val="0"/>
          <w:numId w:val="6"/>
        </w:numPr>
        <w:pBdr>
          <w:top w:space="0" w:sz="0" w:val="nil"/>
          <w:left w:space="0" w:sz="0" w:val="nil"/>
          <w:bottom w:space="0" w:sz="0" w:val="nil"/>
          <w:right w:space="0" w:sz="0" w:val="nil"/>
          <w:between w:space="0" w:sz="0" w:val="nil"/>
        </w:pBdr>
        <w:ind w:left="851" w:right="616"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número de sesión y fecha; </w:t>
      </w:r>
    </w:p>
    <w:p w:rsidR="00000000" w:rsidDel="00000000" w:rsidP="00000000" w:rsidRDefault="00000000" w:rsidRPr="00000000" w14:paraId="000001A2">
      <w:pPr>
        <w:numPr>
          <w:ilvl w:val="0"/>
          <w:numId w:val="6"/>
        </w:numPr>
        <w:pBdr>
          <w:top w:space="0" w:sz="0" w:val="nil"/>
          <w:left w:space="0" w:sz="0" w:val="nil"/>
          <w:bottom w:space="0" w:sz="0" w:val="nil"/>
          <w:right w:space="0" w:sz="0" w:val="nil"/>
          <w:between w:space="0" w:sz="0" w:val="nil"/>
        </w:pBdr>
        <w:ind w:left="851" w:right="616"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nombre del área que solicitó la clasificación de información; </w:t>
      </w:r>
    </w:p>
    <w:p w:rsidR="00000000" w:rsidDel="00000000" w:rsidP="00000000" w:rsidRDefault="00000000" w:rsidRPr="00000000" w14:paraId="000001A3">
      <w:pPr>
        <w:numPr>
          <w:ilvl w:val="0"/>
          <w:numId w:val="6"/>
        </w:numPr>
        <w:pBdr>
          <w:top w:space="0" w:sz="0" w:val="nil"/>
          <w:left w:space="0" w:sz="0" w:val="nil"/>
          <w:bottom w:space="0" w:sz="0" w:val="nil"/>
          <w:right w:space="0" w:sz="0" w:val="nil"/>
          <w:between w:space="0" w:sz="0" w:val="nil"/>
        </w:pBdr>
        <w:ind w:left="851" w:right="616"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fundamentación legal y motivación correspondiente; </w:t>
      </w:r>
    </w:p>
    <w:p w:rsidR="00000000" w:rsidDel="00000000" w:rsidP="00000000" w:rsidRDefault="00000000" w:rsidRPr="00000000" w14:paraId="000001A4">
      <w:pPr>
        <w:numPr>
          <w:ilvl w:val="0"/>
          <w:numId w:val="6"/>
        </w:numPr>
        <w:pBdr>
          <w:top w:space="0" w:sz="0" w:val="nil"/>
          <w:left w:space="0" w:sz="0" w:val="nil"/>
          <w:bottom w:space="0" w:sz="0" w:val="nil"/>
          <w:right w:space="0" w:sz="0" w:val="nil"/>
          <w:between w:space="0" w:sz="0" w:val="nil"/>
        </w:pBdr>
        <w:ind w:left="851" w:right="616"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resolución o resoluciones aprobadas; y </w:t>
      </w:r>
    </w:p>
    <w:p w:rsidR="00000000" w:rsidDel="00000000" w:rsidP="00000000" w:rsidRDefault="00000000" w:rsidRPr="00000000" w14:paraId="000001A5">
      <w:pPr>
        <w:numPr>
          <w:ilvl w:val="0"/>
          <w:numId w:val="6"/>
        </w:numPr>
        <w:pBdr>
          <w:top w:space="0" w:sz="0" w:val="nil"/>
          <w:left w:space="0" w:sz="0" w:val="nil"/>
          <w:bottom w:space="0" w:sz="0" w:val="nil"/>
          <w:right w:space="0" w:sz="0" w:val="nil"/>
          <w:between w:space="0" w:sz="0" w:val="nil"/>
        </w:pBdr>
        <w:ind w:left="851" w:right="616"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rúbrica o firma digital de cada integrante del Comité de Transparencia. </w:t>
      </w:r>
    </w:p>
    <w:p w:rsidR="00000000" w:rsidDel="00000000" w:rsidP="00000000" w:rsidRDefault="00000000" w:rsidRPr="00000000" w14:paraId="000001A6">
      <w:pPr>
        <w:ind w:left="851" w:right="616"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7">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Las resoluciones del Comité en las que se haya determinado confirmar o modificar la clasificación de información pública como reservada, deberán incluir, cuando menos: </w:t>
      </w:r>
      <w:r w:rsidDel="00000000" w:rsidR="00000000" w:rsidRPr="00000000">
        <w:rPr>
          <w:rtl w:val="0"/>
        </w:rPr>
      </w:r>
    </w:p>
    <w:p w:rsidR="00000000" w:rsidDel="00000000" w:rsidP="00000000" w:rsidRDefault="00000000" w:rsidRPr="00000000" w14:paraId="000001A8">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 Los motivos y razonamientos que sustenten la confirmación o modificación de la prueba de daño;</w:t>
      </w:r>
      <w:r w:rsidDel="00000000" w:rsidR="00000000" w:rsidRPr="00000000">
        <w:rPr>
          <w:rtl w:val="0"/>
        </w:rPr>
      </w:r>
    </w:p>
    <w:p w:rsidR="00000000" w:rsidDel="00000000" w:rsidP="00000000" w:rsidRDefault="00000000" w:rsidRPr="00000000" w14:paraId="000001A9">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II. Descripción de las partes o secciones reservadas, en caso de clasificación parcial; </w:t>
      </w:r>
      <w:r w:rsidDel="00000000" w:rsidR="00000000" w:rsidRPr="00000000">
        <w:rPr>
          <w:rtl w:val="0"/>
        </w:rPr>
      </w:r>
    </w:p>
    <w:p w:rsidR="00000000" w:rsidDel="00000000" w:rsidP="00000000" w:rsidRDefault="00000000" w:rsidRPr="00000000" w14:paraId="000001AA">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III. El periodo por el que mantendrá su clasificación y fecha de expiración; y </w:t>
      </w:r>
      <w:r w:rsidDel="00000000" w:rsidR="00000000" w:rsidRPr="00000000">
        <w:rPr>
          <w:rtl w:val="0"/>
        </w:rPr>
      </w:r>
    </w:p>
    <w:p w:rsidR="00000000" w:rsidDel="00000000" w:rsidP="00000000" w:rsidRDefault="00000000" w:rsidRPr="00000000" w14:paraId="000001AB">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IV. El nombre del titular y área encargada de realizar la versión pública del documento, en su caso. </w:t>
      </w:r>
      <w:r w:rsidDel="00000000" w:rsidR="00000000" w:rsidRPr="00000000">
        <w:rPr>
          <w:rtl w:val="0"/>
        </w:rPr>
      </w:r>
    </w:p>
    <w:p w:rsidR="00000000" w:rsidDel="00000000" w:rsidP="00000000" w:rsidRDefault="00000000" w:rsidRPr="00000000" w14:paraId="000001AC">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se clasifique la información como reservada siempre se entregará o anexará la prueba de daño con la respuesta al solicitante. </w:t>
      </w:r>
      <w:r w:rsidDel="00000000" w:rsidR="00000000" w:rsidRPr="00000000">
        <w:rPr>
          <w:rtl w:val="0"/>
        </w:rPr>
      </w:r>
    </w:p>
    <w:p w:rsidR="00000000" w:rsidDel="00000000" w:rsidP="00000000" w:rsidRDefault="00000000" w:rsidRPr="00000000" w14:paraId="000001AD">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r w:rsidDel="00000000" w:rsidR="00000000" w:rsidRPr="00000000">
        <w:rPr>
          <w:rtl w:val="0"/>
        </w:rPr>
      </w:r>
    </w:p>
    <w:p w:rsidR="00000000" w:rsidDel="00000000" w:rsidP="00000000" w:rsidRDefault="00000000" w:rsidRPr="00000000" w14:paraId="000001AE">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segundo. </w:t>
      </w:r>
      <w:r w:rsidDel="00000000" w:rsidR="00000000" w:rsidRPr="00000000">
        <w:rPr>
          <w:rFonts w:ascii="Palatino Linotype" w:cs="Palatino Linotype" w:eastAsia="Palatino Linotype" w:hAnsi="Palatino Linotype"/>
          <w:i w:val="1"/>
          <w:sz w:val="22"/>
          <w:szCs w:val="22"/>
          <w:rtl w:val="0"/>
        </w:rPr>
        <w:t xml:space="preserve">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r w:rsidDel="00000000" w:rsidR="00000000" w:rsidRPr="00000000">
        <w:rPr>
          <w:rtl w:val="0"/>
        </w:rPr>
      </w:r>
    </w:p>
    <w:p w:rsidR="00000000" w:rsidDel="00000000" w:rsidP="00000000" w:rsidRDefault="00000000" w:rsidRPr="00000000" w14:paraId="000001AF">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En el caso específico de la clasificación y elaboración de versiones públicas de documentos que contengan información confidencial, las áreas de los sujetos obligados deberán:</w:t>
      </w:r>
      <w:r w:rsidDel="00000000" w:rsidR="00000000" w:rsidRPr="00000000">
        <w:rPr>
          <w:rtl w:val="0"/>
        </w:rPr>
      </w:r>
    </w:p>
    <w:p w:rsidR="00000000" w:rsidDel="00000000" w:rsidP="00000000" w:rsidRDefault="00000000" w:rsidRPr="00000000" w14:paraId="000001B0">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 Fijar la fecha en que se elaboró la versión pública y la fecha en la cual el Comité de</w:t>
      </w:r>
      <w:r w:rsidDel="00000000" w:rsidR="00000000" w:rsidRPr="00000000">
        <w:rPr>
          <w:rtl w:val="0"/>
        </w:rPr>
      </w:r>
    </w:p>
    <w:p w:rsidR="00000000" w:rsidDel="00000000" w:rsidP="00000000" w:rsidRDefault="00000000" w:rsidRPr="00000000" w14:paraId="000001B1">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Transparencia confirmó dicha versión;</w:t>
      </w:r>
      <w:r w:rsidDel="00000000" w:rsidR="00000000" w:rsidRPr="00000000">
        <w:rPr>
          <w:rtl w:val="0"/>
        </w:rPr>
      </w:r>
    </w:p>
    <w:p w:rsidR="00000000" w:rsidDel="00000000" w:rsidP="00000000" w:rsidRDefault="00000000" w:rsidRPr="00000000" w14:paraId="000001B2">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II. Señalar dentro del documento el tipo de información confidencial que fue testada en cada caso específico, de conformidad con el lineamiento trigésimo octavo; y</w:t>
      </w:r>
      <w:r w:rsidDel="00000000" w:rsidR="00000000" w:rsidRPr="00000000">
        <w:rPr>
          <w:rtl w:val="0"/>
        </w:rPr>
      </w:r>
    </w:p>
    <w:p w:rsidR="00000000" w:rsidDel="00000000" w:rsidP="00000000" w:rsidRDefault="00000000" w:rsidRPr="00000000" w14:paraId="000001B3">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III. Señalar las personas o instancias autorizadas a acceder a la información clasificada.</w:t>
      </w:r>
      <w:r w:rsidDel="00000000" w:rsidR="00000000" w:rsidRPr="00000000">
        <w:rPr>
          <w:rtl w:val="0"/>
        </w:rPr>
      </w:r>
    </w:p>
    <w:p w:rsidR="00000000" w:rsidDel="00000000" w:rsidP="00000000" w:rsidRDefault="00000000" w:rsidRPr="00000000" w14:paraId="000001B4">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En los documentos de difusión electrónica, señalar en la primera hoja y en el nombre del archivo, que la versión pública corresponde a un documento que contiene información confidencial.</w:t>
      </w:r>
      <w:r w:rsidDel="00000000" w:rsidR="00000000" w:rsidRPr="00000000">
        <w:rPr>
          <w:rtl w:val="0"/>
        </w:rPr>
      </w:r>
    </w:p>
    <w:p w:rsidR="00000000" w:rsidDel="00000000" w:rsidP="00000000" w:rsidRDefault="00000000" w:rsidRPr="00000000" w14:paraId="000001B5">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tercero</w:t>
      </w:r>
      <w:r w:rsidDel="00000000" w:rsidR="00000000" w:rsidRPr="00000000">
        <w:rPr>
          <w:rFonts w:ascii="Palatino Linotype" w:cs="Palatino Linotype" w:eastAsia="Palatino Linotype" w:hAnsi="Palatino Linotype"/>
          <w:i w:val="1"/>
          <w:sz w:val="22"/>
          <w:szCs w:val="22"/>
          <w:rtl w:val="0"/>
        </w:rPr>
        <w:t xml:space="preserve">. El formato para señalar la clasificación de un documento o expediente que contenga información reservada, es el siguiente:</w:t>
      </w:r>
      <w:r w:rsidDel="00000000" w:rsidR="00000000" w:rsidRPr="00000000">
        <w:rPr>
          <w:rtl w:val="0"/>
        </w:rPr>
      </w:r>
    </w:p>
    <w:p w:rsidR="00000000" w:rsidDel="00000000" w:rsidP="00000000" w:rsidRDefault="00000000" w:rsidRPr="00000000" w14:paraId="000001B6">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quinto. </w:t>
      </w:r>
      <w:r w:rsidDel="00000000" w:rsidR="00000000" w:rsidRPr="00000000">
        <w:rPr>
          <w:rFonts w:ascii="Palatino Linotype" w:cs="Palatino Linotype" w:eastAsia="Palatino Linotype" w:hAnsi="Palatino Linotype"/>
          <w:i w:val="1"/>
          <w:sz w:val="22"/>
          <w:szCs w:val="22"/>
          <w:rtl w:val="0"/>
        </w:rPr>
        <w:t xml:space="preserve">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(Énfasis añadido) </w:t>
      </w:r>
      <w:r w:rsidDel="00000000" w:rsidR="00000000" w:rsidRPr="00000000">
        <w:rPr>
          <w:rtl w:val="0"/>
        </w:rPr>
      </w:r>
    </w:p>
    <w:p w:rsidR="00000000" w:rsidDel="00000000" w:rsidP="00000000" w:rsidRDefault="00000000" w:rsidRPr="00000000" w14:paraId="000001B7">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Efectivamente, cuando se clasifica información como confidencial es importante someterlo al Comité de Transparencia, quien debe confirmar, modificar o revocar la clasificación.</w:t>
      </w:r>
    </w:p>
    <w:p w:rsidR="00000000" w:rsidDel="00000000" w:rsidP="00000000" w:rsidRDefault="00000000" w:rsidRPr="00000000" w14:paraId="000001B9">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Recurrente.</w:t>
      </w:r>
    </w:p>
    <w:p w:rsidR="00000000" w:rsidDel="00000000" w:rsidP="00000000" w:rsidRDefault="00000000" w:rsidRPr="00000000" w14:paraId="000001BB">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rsidR="00000000" w:rsidDel="00000000" w:rsidP="00000000" w:rsidRDefault="00000000" w:rsidRPr="00000000" w14:paraId="000001BD">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Es por todo lo expuesto que resulta procedente revocar la respuesta en términos de la fracción III del artículo 186 de la Ley de Transparencia y Acceso a la Información Pública del Estado de México y Municipios, a efectos de que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entregue la información requerida.</w:t>
      </w:r>
      <w:r w:rsidDel="00000000" w:rsidR="00000000" w:rsidRPr="00000000">
        <w:rPr>
          <w:rtl w:val="0"/>
        </w:rPr>
      </w:r>
    </w:p>
    <w:p w:rsidR="00000000" w:rsidDel="00000000" w:rsidP="00000000" w:rsidRDefault="00000000" w:rsidRPr="00000000" w14:paraId="000001B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rsidR="00000000" w:rsidDel="00000000" w:rsidP="00000000" w:rsidRDefault="00000000" w:rsidRPr="00000000" w14:paraId="000001C1">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sz w:val="22"/>
          <w:szCs w:val="22"/>
        </w:rPr>
      </w:pPr>
      <w:bookmarkStart w:colFirst="0" w:colLast="0" w:name="_heading=h.ijv98pntcd5s" w:id="3"/>
      <w:bookmarkEnd w:id="3"/>
      <w:r w:rsidDel="00000000" w:rsidR="00000000" w:rsidRPr="00000000">
        <w:rPr>
          <w:rFonts w:ascii="Palatino Linotype" w:cs="Palatino Linotype" w:eastAsia="Palatino Linotype" w:hAnsi="Palatino Linotype"/>
          <w:b w:val="1"/>
          <w:sz w:val="22"/>
          <w:szCs w:val="22"/>
          <w:rtl w:val="0"/>
        </w:rPr>
        <w:t xml:space="preserve">III. R E S U E L V E</w:t>
      </w:r>
    </w:p>
    <w:p w:rsidR="00000000" w:rsidDel="00000000" w:rsidP="00000000" w:rsidRDefault="00000000" w:rsidRPr="00000000" w14:paraId="000001C2">
      <w:pPr>
        <w:spacing w:line="360" w:lineRule="auto"/>
        <w:jc w:val="both"/>
        <w:rPr>
          <w:rFonts w:ascii="Palatino Linotype" w:cs="Palatino Linotype" w:eastAsia="Palatino Linotype" w:hAnsi="Palatino Linotype"/>
          <w:b w:val="1"/>
          <w:sz w:val="22"/>
          <w:szCs w:val="22"/>
        </w:rPr>
      </w:pPr>
      <w:bookmarkStart w:colFirst="0" w:colLast="0" w:name="_heading=h.26in1rg" w:id="4"/>
      <w:bookmarkEnd w:id="4"/>
      <w:r w:rsidDel="00000000" w:rsidR="00000000" w:rsidRPr="00000000">
        <w:rPr>
          <w:rtl w:val="0"/>
        </w:rPr>
      </w:r>
    </w:p>
    <w:p w:rsidR="00000000" w:rsidDel="00000000" w:rsidP="00000000" w:rsidRDefault="00000000" w:rsidRPr="00000000" w14:paraId="000001C3">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Resultan </w:t>
      </w:r>
      <w:r w:rsidDel="00000000" w:rsidR="00000000" w:rsidRPr="00000000">
        <w:rPr>
          <w:rFonts w:ascii="Palatino Linotype" w:cs="Palatino Linotype" w:eastAsia="Palatino Linotype" w:hAnsi="Palatino Linotype"/>
          <w:b w:val="1"/>
          <w:sz w:val="22"/>
          <w:szCs w:val="22"/>
          <w:rtl w:val="0"/>
        </w:rPr>
        <w:t xml:space="preserve">parcialmente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fundadas</w:t>
      </w:r>
      <w:r w:rsidDel="00000000" w:rsidR="00000000" w:rsidRPr="00000000">
        <w:rPr>
          <w:rFonts w:ascii="Palatino Linotype" w:cs="Palatino Linotype" w:eastAsia="Palatino Linotype" w:hAnsi="Palatino Linotype"/>
          <w:sz w:val="22"/>
          <w:szCs w:val="22"/>
          <w:rtl w:val="0"/>
        </w:rPr>
        <w:t xml:space="preserve"> las razones o motivos de inconformidad hechos valer por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el recurso de revisión </w:t>
      </w:r>
      <w:r w:rsidDel="00000000" w:rsidR="00000000" w:rsidRPr="00000000">
        <w:rPr>
          <w:rFonts w:ascii="Palatino Linotype" w:cs="Palatino Linotype" w:eastAsia="Palatino Linotype" w:hAnsi="Palatino Linotype"/>
          <w:b w:val="1"/>
          <w:sz w:val="22"/>
          <w:szCs w:val="22"/>
          <w:rtl w:val="0"/>
        </w:rPr>
        <w:t xml:space="preserve">02354/INFOEM/IP/RR/2024</w:t>
      </w:r>
      <w:r w:rsidDel="00000000" w:rsidR="00000000" w:rsidRPr="00000000">
        <w:rPr>
          <w:rFonts w:ascii="Palatino Linotype" w:cs="Palatino Linotype" w:eastAsia="Palatino Linotype" w:hAnsi="Palatino Linotype"/>
          <w:sz w:val="22"/>
          <w:szCs w:val="22"/>
          <w:rtl w:val="0"/>
        </w:rPr>
        <w:t xml:space="preserve">; por lo que, en términos del </w:t>
      </w:r>
      <w:r w:rsidDel="00000000" w:rsidR="00000000" w:rsidRPr="00000000">
        <w:rPr>
          <w:rFonts w:ascii="Palatino Linotype" w:cs="Palatino Linotype" w:eastAsia="Palatino Linotype" w:hAnsi="Palatino Linotype"/>
          <w:b w:val="1"/>
          <w:sz w:val="22"/>
          <w:szCs w:val="22"/>
          <w:rtl w:val="0"/>
        </w:rPr>
        <w:t xml:space="preserve">Considerando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de esta resolución, se </w:t>
      </w:r>
      <w:r w:rsidDel="00000000" w:rsidR="00000000" w:rsidRPr="00000000">
        <w:rPr>
          <w:rFonts w:ascii="Palatino Linotype" w:cs="Palatino Linotype" w:eastAsia="Palatino Linotype" w:hAnsi="Palatino Linotype"/>
          <w:b w:val="1"/>
          <w:sz w:val="22"/>
          <w:szCs w:val="22"/>
          <w:rtl w:val="0"/>
        </w:rPr>
        <w:t xml:space="preserve">Revoca </w:t>
      </w:r>
      <w:r w:rsidDel="00000000" w:rsidR="00000000" w:rsidRPr="00000000">
        <w:rPr>
          <w:rFonts w:ascii="Palatino Linotype" w:cs="Palatino Linotype" w:eastAsia="Palatino Linotype" w:hAnsi="Palatino Linotype"/>
          <w:sz w:val="22"/>
          <w:szCs w:val="22"/>
          <w:rtl w:val="0"/>
        </w:rPr>
        <w:t xml:space="preserve">la respuesta emitida por el </w:t>
      </w:r>
      <w:r w:rsidDel="00000000" w:rsidR="00000000" w:rsidRPr="00000000">
        <w:rPr>
          <w:rFonts w:ascii="Palatino Linotype" w:cs="Palatino Linotype" w:eastAsia="Palatino Linotype" w:hAnsi="Palatino Linotype"/>
          <w:b w:val="1"/>
          <w:sz w:val="22"/>
          <w:szCs w:val="22"/>
          <w:rtl w:val="0"/>
        </w:rPr>
        <w:t xml:space="preserve">Sujeto Obligado. </w:t>
      </w:r>
    </w:p>
    <w:p w:rsidR="00000000" w:rsidDel="00000000" w:rsidP="00000000" w:rsidRDefault="00000000" w:rsidRPr="00000000" w14:paraId="000001C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5">
      <w:pPr>
        <w:spacing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Segundo. </w:t>
      </w:r>
      <w:r w:rsidDel="00000000" w:rsidR="00000000" w:rsidRPr="00000000">
        <w:rPr>
          <w:rFonts w:ascii="Palatino Linotype" w:cs="Palatino Linotype" w:eastAsia="Palatino Linotype" w:hAnsi="Palatino Linotype"/>
          <w:sz w:val="22"/>
          <w:szCs w:val="22"/>
          <w:rtl w:val="0"/>
        </w:rPr>
        <w:t xml:space="preserve">Se </w:t>
      </w:r>
      <w:r w:rsidDel="00000000" w:rsidR="00000000" w:rsidRPr="00000000">
        <w:rPr>
          <w:rFonts w:ascii="Palatino Linotype" w:cs="Palatino Linotype" w:eastAsia="Palatino Linotype" w:hAnsi="Palatino Linotype"/>
          <w:b w:val="1"/>
          <w:sz w:val="22"/>
          <w:szCs w:val="22"/>
          <w:rtl w:val="0"/>
        </w:rPr>
        <w:t xml:space="preserve">Ordena </w:t>
      </w:r>
      <w:r w:rsidDel="00000000" w:rsidR="00000000" w:rsidRPr="00000000">
        <w:rPr>
          <w:rFonts w:ascii="Palatino Linotype" w:cs="Palatino Linotype" w:eastAsia="Palatino Linotype" w:hAnsi="Palatino Linotype"/>
          <w:sz w:val="22"/>
          <w:szCs w:val="22"/>
          <w:rtl w:val="0"/>
        </w:rPr>
        <w:t xml:space="preserve">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haga entrega, previa búsqueda exhaustiva y razonable, de ser procedente en versión pública</w:t>
      </w: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vía </w:t>
      </w:r>
      <w:r w:rsidDel="00000000" w:rsidR="00000000" w:rsidRPr="00000000">
        <w:rPr>
          <w:rFonts w:ascii="Palatino Linotype" w:cs="Palatino Linotype" w:eastAsia="Palatino Linotype" w:hAnsi="Palatino Linotype"/>
          <w:b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en términos de los Considerandos </w:t>
      </w:r>
      <w:r w:rsidDel="00000000" w:rsidR="00000000" w:rsidRPr="00000000">
        <w:rPr>
          <w:rFonts w:ascii="Palatino Linotype" w:cs="Palatino Linotype" w:eastAsia="Palatino Linotype" w:hAnsi="Palatino Linotype"/>
          <w:b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y</w:t>
      </w:r>
      <w:r w:rsidDel="00000000" w:rsidR="00000000" w:rsidRPr="00000000">
        <w:rPr>
          <w:rFonts w:ascii="Palatino Linotype" w:cs="Palatino Linotype" w:eastAsia="Palatino Linotype" w:hAnsi="Palatino Linotype"/>
          <w:b w:val="1"/>
          <w:sz w:val="22"/>
          <w:szCs w:val="22"/>
          <w:rtl w:val="0"/>
        </w:rPr>
        <w:t xml:space="preserve"> Quinto</w:t>
      </w:r>
      <w:r w:rsidDel="00000000" w:rsidR="00000000" w:rsidRPr="00000000">
        <w:rPr>
          <w:rFonts w:ascii="Palatino Linotype" w:cs="Palatino Linotype" w:eastAsia="Palatino Linotype" w:hAnsi="Palatino Linotype"/>
          <w:sz w:val="22"/>
          <w:szCs w:val="22"/>
          <w:rtl w:val="0"/>
        </w:rPr>
        <w:t xml:space="preserve"> de la presente resolución, de la persona referida en la solicitud de información, en funciones al cuatro de abril de dos mil veinticuatro, el documento donde conste lo siguiente</w:t>
      </w:r>
      <w:r w:rsidDel="00000000" w:rsidR="00000000" w:rsidRPr="00000000">
        <w:rPr>
          <w:rFonts w:ascii="Palatino Linotype" w:cs="Palatino Linotype" w:eastAsia="Palatino Linotype" w:hAnsi="Palatino Linotype"/>
          <w:b w:val="1"/>
          <w:sz w:val="22"/>
          <w:szCs w:val="22"/>
          <w:rtl w:val="0"/>
        </w:rPr>
        <w:t xml:space="preserve">: </w:t>
      </w:r>
    </w:p>
    <w:p w:rsidR="00000000" w:rsidDel="00000000" w:rsidP="00000000" w:rsidRDefault="00000000" w:rsidRPr="00000000" w14:paraId="000001C6">
      <w:pPr>
        <w:spacing w:line="360" w:lineRule="auto"/>
        <w:ind w:right="49"/>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C7">
      <w:pPr>
        <w:numPr>
          <w:ilvl w:val="0"/>
          <w:numId w:val="7"/>
        </w:numPr>
        <w:pBdr>
          <w:top w:space="0" w:sz="0" w:val="nil"/>
          <w:left w:space="0" w:sz="0" w:val="nil"/>
          <w:bottom w:space="0" w:sz="0" w:val="nil"/>
          <w:right w:space="0" w:sz="0" w:val="nil"/>
          <w:between w:space="0" w:sz="0" w:val="nil"/>
        </w:pBdr>
        <w:spacing w:line="276" w:lineRule="auto"/>
        <w:ind w:left="1211" w:right="616"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Nombramiento, Formato Único de Movimiento de Personal o documento análogo. </w:t>
      </w:r>
    </w:p>
    <w:p w:rsidR="00000000" w:rsidDel="00000000" w:rsidP="00000000" w:rsidRDefault="00000000" w:rsidRPr="00000000" w14:paraId="000001C8">
      <w:pPr>
        <w:numPr>
          <w:ilvl w:val="0"/>
          <w:numId w:val="7"/>
        </w:numPr>
        <w:pBdr>
          <w:top w:space="0" w:sz="0" w:val="nil"/>
          <w:left w:space="0" w:sz="0" w:val="nil"/>
          <w:bottom w:space="0" w:sz="0" w:val="nil"/>
          <w:right w:space="0" w:sz="0" w:val="nil"/>
          <w:between w:space="0" w:sz="0" w:val="nil"/>
        </w:pBdr>
        <w:spacing w:line="276" w:lineRule="auto"/>
        <w:ind w:left="1211" w:right="616"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Remuneración mensual neta y bruta vigente al cuatro de abril de dos mil veinticuatro. </w:t>
      </w:r>
    </w:p>
    <w:p w:rsidR="00000000" w:rsidDel="00000000" w:rsidP="00000000" w:rsidRDefault="00000000" w:rsidRPr="00000000" w14:paraId="000001C9">
      <w:pPr>
        <w:numPr>
          <w:ilvl w:val="0"/>
          <w:numId w:val="7"/>
        </w:numPr>
        <w:pBdr>
          <w:top w:space="0" w:sz="0" w:val="nil"/>
          <w:left w:space="0" w:sz="0" w:val="nil"/>
          <w:bottom w:space="0" w:sz="0" w:val="nil"/>
          <w:right w:space="0" w:sz="0" w:val="nil"/>
          <w:between w:space="0" w:sz="0" w:val="nil"/>
        </w:pBdr>
        <w:spacing w:line="276" w:lineRule="auto"/>
        <w:ind w:left="1211" w:right="616"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Vehículos que tiene asignados.</w:t>
      </w:r>
    </w:p>
    <w:p w:rsidR="00000000" w:rsidDel="00000000" w:rsidP="00000000" w:rsidRDefault="00000000" w:rsidRPr="00000000" w14:paraId="000001CA">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B">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Del="00000000" w:rsidR="00000000" w:rsidRPr="00000000">
        <w:rPr>
          <w:rFonts w:ascii="Palatino Linotype" w:cs="Palatino Linotype" w:eastAsia="Palatino Linotype" w:hAnsi="Palatino Linotype"/>
          <w:b w:val="1"/>
          <w:i w:val="1"/>
          <w:sz w:val="22"/>
          <w:szCs w:val="22"/>
          <w:rtl w:val="0"/>
        </w:rPr>
        <w:t xml:space="preserve">Recurrente</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CC">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CD">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supuesto que la persona referida en la solicitud al cuatro de abril de dos mil veinticuatro, sea servidora pública adscrita al </w:t>
      </w:r>
      <w:r w:rsidDel="00000000" w:rsidR="00000000" w:rsidRPr="00000000">
        <w:rPr>
          <w:rFonts w:ascii="Palatino Linotype" w:cs="Palatino Linotype" w:eastAsia="Palatino Linotype" w:hAnsi="Palatino Linotype"/>
          <w:b w:val="1"/>
          <w:i w:val="1"/>
          <w:sz w:val="22"/>
          <w:szCs w:val="22"/>
          <w:rtl w:val="0"/>
        </w:rPr>
        <w:t xml:space="preserve">Sujeto Obligado</w:t>
      </w:r>
      <w:r w:rsidDel="00000000" w:rsidR="00000000" w:rsidRPr="00000000">
        <w:rPr>
          <w:rFonts w:ascii="Palatino Linotype" w:cs="Palatino Linotype" w:eastAsia="Palatino Linotype" w:hAnsi="Palatino Linotype"/>
          <w:i w:val="1"/>
          <w:sz w:val="22"/>
          <w:szCs w:val="22"/>
          <w:rtl w:val="0"/>
        </w:rPr>
        <w:t xml:space="preserve"> pero no cuente con vehículos asignados a su cargo, bastará con que así lo haga del conocimiento de la parte </w:t>
      </w:r>
      <w:r w:rsidDel="00000000" w:rsidR="00000000" w:rsidRPr="00000000">
        <w:rPr>
          <w:rFonts w:ascii="Palatino Linotype" w:cs="Palatino Linotype" w:eastAsia="Palatino Linotype" w:hAnsi="Palatino Linotype"/>
          <w:b w:val="1"/>
          <w:i w:val="1"/>
          <w:sz w:val="22"/>
          <w:szCs w:val="22"/>
          <w:rtl w:val="0"/>
        </w:rPr>
        <w:t xml:space="preserve">Recurrente</w:t>
      </w:r>
      <w:r w:rsidDel="00000000" w:rsidR="00000000" w:rsidRPr="00000000">
        <w:rPr>
          <w:rFonts w:ascii="Palatino Linotype" w:cs="Palatino Linotype" w:eastAsia="Palatino Linotype" w:hAnsi="Palatino Linotype"/>
          <w:i w:val="1"/>
          <w:sz w:val="22"/>
          <w:szCs w:val="22"/>
          <w:rtl w:val="0"/>
        </w:rPr>
        <w:t xml:space="preserve">, en términos del artículo 19, párrafo segundo de la Ley de Transparencia y Acceso a la Información Pública del Estado de México y Municipios, para tener por colmado el requerimiento de información. De igual forma para el caso de que la información ordenada en los tres puntos no obre en los archivos del </w:t>
      </w:r>
      <w:r w:rsidDel="00000000" w:rsidR="00000000" w:rsidRPr="00000000">
        <w:rPr>
          <w:rFonts w:ascii="Palatino Linotype" w:cs="Palatino Linotype" w:eastAsia="Palatino Linotype" w:hAnsi="Palatino Linotype"/>
          <w:b w:val="1"/>
          <w:i w:val="1"/>
          <w:sz w:val="22"/>
          <w:szCs w:val="22"/>
          <w:rtl w:val="0"/>
        </w:rPr>
        <w:t xml:space="preserve">Sujeto Obligado </w:t>
      </w:r>
      <w:r w:rsidDel="00000000" w:rsidR="00000000" w:rsidRPr="00000000">
        <w:rPr>
          <w:rFonts w:ascii="Palatino Linotype" w:cs="Palatino Linotype" w:eastAsia="Palatino Linotype" w:hAnsi="Palatino Linotype"/>
          <w:i w:val="1"/>
          <w:sz w:val="22"/>
          <w:szCs w:val="22"/>
          <w:rtl w:val="0"/>
        </w:rPr>
        <w:t xml:space="preserve">por no haberse generado, poseído y/o administrado, al no ser servidora pública en funciones a la fecha de la solicitud, bastará con que así lo haga del conocimiento de la parte </w:t>
      </w:r>
      <w:r w:rsidDel="00000000" w:rsidR="00000000" w:rsidRPr="00000000">
        <w:rPr>
          <w:rFonts w:ascii="Palatino Linotype" w:cs="Palatino Linotype" w:eastAsia="Palatino Linotype" w:hAnsi="Palatino Linotype"/>
          <w:b w:val="1"/>
          <w:i w:val="1"/>
          <w:sz w:val="22"/>
          <w:szCs w:val="22"/>
          <w:rtl w:val="0"/>
        </w:rPr>
        <w:t xml:space="preserve">Recurrente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CE">
      <w:pPr>
        <w:pBdr>
          <w:top w:space="0" w:sz="0" w:val="nil"/>
          <w:left w:space="0" w:sz="0" w:val="nil"/>
          <w:bottom w:space="0" w:sz="0" w:val="nil"/>
          <w:right w:space="0" w:sz="0" w:val="nil"/>
          <w:between w:space="0" w:sz="0" w:val="nil"/>
        </w:pBdr>
        <w:tabs>
          <w:tab w:val="left" w:leader="none" w:pos="7655"/>
        </w:tabs>
        <w:ind w:left="567"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C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Notifíquese vía SAIMEX, </w:t>
      </w:r>
      <w:r w:rsidDel="00000000" w:rsidR="00000000" w:rsidRPr="00000000">
        <w:rPr>
          <w:rFonts w:ascii="Palatino Linotype" w:cs="Palatino Linotype" w:eastAsia="Palatino Linotype" w:hAnsi="Palatino Linotype"/>
          <w:sz w:val="22"/>
          <w:szCs w:val="22"/>
          <w:rtl w:val="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1D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000000" w:rsidDel="00000000" w:rsidP="00000000" w:rsidRDefault="00000000" w:rsidRPr="00000000" w14:paraId="000001D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Notifíquese vía SAIMEX, </w:t>
      </w:r>
      <w:r w:rsidDel="00000000" w:rsidR="00000000" w:rsidRPr="00000000">
        <w:rPr>
          <w:rFonts w:ascii="Palatino Linotype" w:cs="Palatino Linotype" w:eastAsia="Palatino Linotype" w:hAnsi="Palatino Linotype"/>
          <w:sz w:val="22"/>
          <w:szCs w:val="22"/>
          <w:rtl w:val="0"/>
        </w:rPr>
        <w:t xml:space="preserve">a</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rsidR="00000000" w:rsidDel="00000000" w:rsidP="00000000" w:rsidRDefault="00000000" w:rsidRPr="00000000" w14:paraId="000001D4">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5">
      <w:pPr>
        <w:spacing w:line="360" w:lineRule="auto"/>
        <w:jc w:val="both"/>
        <w:rPr>
          <w:rFonts w:ascii="Palatino Linotype" w:cs="Palatino Linotype" w:eastAsia="Palatino Linotype" w:hAnsi="Palatino Linotype"/>
          <w:sz w:val="22"/>
          <w:szCs w:val="22"/>
        </w:rPr>
        <w:sectPr>
          <w:headerReference r:id="rId10" w:type="default"/>
          <w:headerReference r:id="rId11" w:type="first"/>
          <w:footerReference r:id="rId12" w:type="default"/>
          <w:footerReference r:id="rId13" w:type="first"/>
          <w:pgSz w:h="15840" w:w="12240" w:orient="portrait"/>
          <w:pgMar w:bottom="1701" w:top="2041" w:left="1701" w:right="1701" w:header="709" w:footer="709"/>
          <w:pgNumType w:start="1"/>
          <w:titlePg w:val="1"/>
        </w:sectPr>
      </w:pPr>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SESIÓN ORDINARIA CELEBRADA EL VEINTIOCHO DE AGOSTO DE DOS MIL VEINTICUATRO, ANTE EL SECRETARIO TÉCNICO DEL PLENO ALEXIS TAPIA RAMÍREZ.                              </w:t>
      </w:r>
    </w:p>
    <w:p w:rsidR="00000000" w:rsidDel="00000000" w:rsidP="00000000" w:rsidRDefault="00000000" w:rsidRPr="00000000" w14:paraId="000001D6">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14" w:type="first"/>
      <w:type w:val="nextPage"/>
      <w:pgSz w:h="15840" w:w="12240" w:orient="portrait"/>
      <w:pgMar w:bottom="1701" w:top="2041"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B">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EC">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1ED">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E">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EF">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7">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-638173</wp:posOffset>
          </wp:positionH>
          <wp:positionV relativeFrom="paragraph">
            <wp:posOffset>-450213</wp:posOffset>
          </wp:positionV>
          <wp:extent cx="7809876" cy="10165823"/>
          <wp:effectExtent b="0" l="0" r="0" t="0"/>
          <wp:wrapNone/>
          <wp:docPr id="40"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1"/>
      <w:tblW w:w="5528.0" w:type="dxa"/>
      <w:jc w:val="left"/>
      <w:tblInd w:w="3261.0" w:type="dxa"/>
      <w:tblLayout w:type="fixed"/>
      <w:tblLook w:val="0400"/>
    </w:tblPr>
    <w:tblGrid>
      <w:gridCol w:w="2551"/>
      <w:gridCol w:w="2977"/>
      <w:tblGridChange w:id="0">
        <w:tblGrid>
          <w:gridCol w:w="2551"/>
          <w:gridCol w:w="2977"/>
        </w:tblGrid>
      </w:tblGridChange>
    </w:tblGrid>
    <w:tr>
      <w:trPr>
        <w:cantSplit w:val="0"/>
        <w:tblHeader w:val="0"/>
      </w:trPr>
      <w:tc>
        <w:tcPr>
          <w:vAlign w:val="center"/>
        </w:tcPr>
        <w:p w:rsidR="00000000" w:rsidDel="00000000" w:rsidP="00000000" w:rsidRDefault="00000000" w:rsidRPr="00000000" w14:paraId="000001D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D9">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02354/INFOEM/IP/RR/2024</w:t>
          </w:r>
        </w:p>
      </w:tc>
    </w:tr>
    <w:tr>
      <w:trPr>
        <w:cantSplit w:val="0"/>
        <w:trHeight w:val="228" w:hRule="atLeast"/>
        <w:tblHeader w:val="0"/>
      </w:trPr>
      <w:tc>
        <w:tcPr>
          <w:vAlign w:val="center"/>
        </w:tcPr>
        <w:p w:rsidR="00000000" w:rsidDel="00000000" w:rsidP="00000000" w:rsidRDefault="00000000" w:rsidRPr="00000000" w14:paraId="000001DA">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DB">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Secretaría del Agua</w:t>
          </w:r>
        </w:p>
      </w:tc>
    </w:tr>
    <w:tr>
      <w:trPr>
        <w:cantSplit w:val="0"/>
        <w:tblHeader w:val="0"/>
      </w:trPr>
      <w:tc>
        <w:tcPr>
          <w:vAlign w:val="center"/>
        </w:tcPr>
        <w:p w:rsidR="00000000" w:rsidDel="00000000" w:rsidP="00000000" w:rsidRDefault="00000000" w:rsidRPr="00000000" w14:paraId="000001DC">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DD">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DE">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libri" w:cs="Calibri" w:eastAsia="Calibri" w:hAnsi="Calibri"/>
        <w:color w:val="000000"/>
      </w:rPr>
    </w:pPr>
    <w:r w:rsidDel="00000000" w:rsidR="00000000" w:rsidRPr="00000000">
      <w:rPr>
        <w:rFonts w:ascii="Calibri" w:cs="Calibri" w:eastAsia="Calibri" w:hAnsi="Calibri"/>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F">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-798191</wp:posOffset>
          </wp:positionH>
          <wp:positionV relativeFrom="paragraph">
            <wp:posOffset>-399411</wp:posOffset>
          </wp:positionV>
          <wp:extent cx="7809876" cy="10165823"/>
          <wp:effectExtent b="0" l="0" r="0" t="0"/>
          <wp:wrapNone/>
          <wp:docPr id="3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2"/>
      <w:tblW w:w="5670.0" w:type="dxa"/>
      <w:jc w:val="left"/>
      <w:tblInd w:w="3119.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1E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E1">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02354/INFOEM/IP/RR/2024</w:t>
          </w:r>
        </w:p>
      </w:tc>
    </w:tr>
    <w:tr>
      <w:trPr>
        <w:cantSplit w:val="0"/>
        <w:tblHeader w:val="0"/>
      </w:trPr>
      <w:tc>
        <w:tcPr>
          <w:vAlign w:val="center"/>
        </w:tcPr>
        <w:p w:rsidR="00000000" w:rsidDel="00000000" w:rsidP="00000000" w:rsidRDefault="00000000" w:rsidRPr="00000000" w14:paraId="000001E2">
          <w:pPr>
            <w:ind w:left="35" w:hanging="3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1E3">
          <w:pPr>
            <w:ind w:right="-533"/>
            <w:jc w:val="both"/>
            <w:rPr>
              <w:rFonts w:ascii="Palatino Linotype" w:cs="Palatino Linotype" w:eastAsia="Palatino Linotype" w:hAnsi="Palatino Linotype"/>
              <w:b w:val="1"/>
              <w:sz w:val="22"/>
              <w:szCs w:val="22"/>
            </w:rPr>
          </w:pP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1E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E5">
          <w:pPr>
            <w:ind w:right="27"/>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Secretaría del Agua</w:t>
          </w:r>
        </w:p>
      </w:tc>
    </w:tr>
    <w:tr>
      <w:trPr>
        <w:cantSplit w:val="0"/>
        <w:tblHeader w:val="0"/>
      </w:trPr>
      <w:tc>
        <w:tcPr>
          <w:vAlign w:val="center"/>
        </w:tcPr>
        <w:p w:rsidR="00000000" w:rsidDel="00000000" w:rsidP="00000000" w:rsidRDefault="00000000" w:rsidRPr="00000000" w14:paraId="000001E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E7">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E8">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9">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EA">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7"/>
      <w:numFmt w:val="decimal"/>
      <w:lvlText w:val="%1."/>
      <w:lvlJc w:val="left"/>
      <w:pPr>
        <w:ind w:left="720" w:hanging="360"/>
      </w:pPr>
      <w:rPr>
        <w:b w:val="1"/>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b w:val="1"/>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4">
    <w:lvl w:ilvl="0">
      <w:start w:val="1"/>
      <w:numFmt w:val="upperRoman"/>
      <w:lvlText w:val="%1."/>
      <w:lvlJc w:val="right"/>
      <w:pPr>
        <w:ind w:left="1077" w:hanging="360"/>
      </w:pPr>
      <w:rPr/>
    </w:lvl>
    <w:lvl w:ilvl="1">
      <w:start w:val="1"/>
      <w:numFmt w:val="decimal"/>
      <w:lvlText w:val="%2."/>
      <w:lvlJc w:val="left"/>
      <w:pPr>
        <w:ind w:left="1797" w:hanging="360"/>
      </w:pPr>
      <w:rPr/>
    </w:lvl>
    <w:lvl w:ilvl="2">
      <w:start w:val="1"/>
      <w:numFmt w:val="lowerRoman"/>
      <w:lvlText w:val="%3."/>
      <w:lvlJc w:val="right"/>
      <w:pPr>
        <w:ind w:left="2517" w:hanging="180"/>
      </w:pPr>
      <w:rPr/>
    </w:lvl>
    <w:lvl w:ilvl="3">
      <w:start w:val="1"/>
      <w:numFmt w:val="decimal"/>
      <w:lvlText w:val="%4."/>
      <w:lvlJc w:val="left"/>
      <w:pPr>
        <w:ind w:left="3237" w:hanging="360"/>
      </w:pPr>
      <w:rPr/>
    </w:lvl>
    <w:lvl w:ilvl="4">
      <w:start w:val="1"/>
      <w:numFmt w:val="lowerLetter"/>
      <w:lvlText w:val="%5."/>
      <w:lvlJc w:val="left"/>
      <w:pPr>
        <w:ind w:left="3957" w:hanging="360"/>
      </w:pPr>
      <w:rPr/>
    </w:lvl>
    <w:lvl w:ilvl="5">
      <w:start w:val="1"/>
      <w:numFmt w:val="lowerRoman"/>
      <w:lvlText w:val="%6."/>
      <w:lvlJc w:val="right"/>
      <w:pPr>
        <w:ind w:left="4677" w:hanging="180"/>
      </w:pPr>
      <w:rPr/>
    </w:lvl>
    <w:lvl w:ilvl="6">
      <w:start w:val="1"/>
      <w:numFmt w:val="decimal"/>
      <w:lvlText w:val="%7."/>
      <w:lvlJc w:val="left"/>
      <w:pPr>
        <w:ind w:left="5397" w:hanging="360"/>
      </w:pPr>
      <w:rPr/>
    </w:lvl>
    <w:lvl w:ilvl="7">
      <w:start w:val="1"/>
      <w:numFmt w:val="lowerLetter"/>
      <w:lvlText w:val="%8."/>
      <w:lvlJc w:val="left"/>
      <w:pPr>
        <w:ind w:left="6117" w:hanging="360"/>
      </w:pPr>
      <w:rPr/>
    </w:lvl>
    <w:lvl w:ilvl="8">
      <w:start w:val="1"/>
      <w:numFmt w:val="lowerRoman"/>
      <w:lvlText w:val="%9."/>
      <w:lvlJc w:val="right"/>
      <w:pPr>
        <w:ind w:left="6837"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0"/>
      <w:numFmt w:val="upperRoman"/>
      <w:lvlText w:val="%1."/>
      <w:lvlJc w:val="righ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decimal"/>
      <w:lvlText w:val="%1."/>
      <w:lvlJc w:val="left"/>
      <w:pPr>
        <w:ind w:left="1211" w:hanging="360"/>
      </w:pPr>
      <w:rPr/>
    </w:lvl>
    <w:lvl w:ilvl="1">
      <w:start w:val="1"/>
      <w:numFmt w:val="bullet"/>
      <w:lvlText w:val="o"/>
      <w:lvlJc w:val="left"/>
      <w:pPr>
        <w:ind w:left="1931" w:hanging="360"/>
      </w:pPr>
      <w:rPr>
        <w:rFonts w:ascii="Courier New" w:cs="Courier New" w:eastAsia="Courier New" w:hAnsi="Courier New"/>
      </w:rPr>
    </w:lvl>
    <w:lvl w:ilvl="2">
      <w:start w:val="1"/>
      <w:numFmt w:val="bullet"/>
      <w:lvlText w:val="▪"/>
      <w:lvlJc w:val="left"/>
      <w:pPr>
        <w:ind w:left="2651" w:hanging="360"/>
      </w:pPr>
      <w:rPr>
        <w:rFonts w:ascii="Noto Sans Symbols" w:cs="Noto Sans Symbols" w:eastAsia="Noto Sans Symbols" w:hAnsi="Noto Sans Symbols"/>
      </w:rPr>
    </w:lvl>
    <w:lvl w:ilvl="3">
      <w:start w:val="1"/>
      <w:numFmt w:val="bullet"/>
      <w:lvlText w:val="●"/>
      <w:lvlJc w:val="left"/>
      <w:pPr>
        <w:ind w:left="3371" w:hanging="360"/>
      </w:pPr>
      <w:rPr>
        <w:rFonts w:ascii="Noto Sans Symbols" w:cs="Noto Sans Symbols" w:eastAsia="Noto Sans Symbols" w:hAnsi="Noto Sans Symbols"/>
      </w:rPr>
    </w:lvl>
    <w:lvl w:ilvl="4">
      <w:start w:val="1"/>
      <w:numFmt w:val="bullet"/>
      <w:lvlText w:val="o"/>
      <w:lvlJc w:val="left"/>
      <w:pPr>
        <w:ind w:left="4091" w:hanging="360"/>
      </w:pPr>
      <w:rPr>
        <w:rFonts w:ascii="Courier New" w:cs="Courier New" w:eastAsia="Courier New" w:hAnsi="Courier New"/>
      </w:rPr>
    </w:lvl>
    <w:lvl w:ilvl="5">
      <w:start w:val="1"/>
      <w:numFmt w:val="bullet"/>
      <w:lvlText w:val="▪"/>
      <w:lvlJc w:val="left"/>
      <w:pPr>
        <w:ind w:left="4811" w:hanging="360"/>
      </w:pPr>
      <w:rPr>
        <w:rFonts w:ascii="Noto Sans Symbols" w:cs="Noto Sans Symbols" w:eastAsia="Noto Sans Symbols" w:hAnsi="Noto Sans Symbols"/>
      </w:rPr>
    </w:lvl>
    <w:lvl w:ilvl="6">
      <w:start w:val="1"/>
      <w:numFmt w:val="bullet"/>
      <w:lvlText w:val="●"/>
      <w:lvlJc w:val="left"/>
      <w:pPr>
        <w:ind w:left="5531" w:hanging="360"/>
      </w:pPr>
      <w:rPr>
        <w:rFonts w:ascii="Noto Sans Symbols" w:cs="Noto Sans Symbols" w:eastAsia="Noto Sans Symbols" w:hAnsi="Noto Sans Symbols"/>
      </w:rPr>
    </w:lvl>
    <w:lvl w:ilvl="7">
      <w:start w:val="1"/>
      <w:numFmt w:val="bullet"/>
      <w:lvlText w:val="o"/>
      <w:lvlJc w:val="left"/>
      <w:pPr>
        <w:ind w:left="6251" w:hanging="360"/>
      </w:pPr>
      <w:rPr>
        <w:rFonts w:ascii="Courier New" w:cs="Courier New" w:eastAsia="Courier New" w:hAnsi="Courier New"/>
      </w:rPr>
    </w:lvl>
    <w:lvl w:ilvl="8">
      <w:start w:val="1"/>
      <w:numFmt w:val="bullet"/>
      <w:lvlText w:val="▪"/>
      <w:lvlJc w:val="left"/>
      <w:pPr>
        <w:ind w:left="6971"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E2631"/>
    <w:rPr>
      <w:lang w:eastAsia="es-ES"/>
    </w:rPr>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link w:val="Ttulo3Car"/>
    <w:uiPriority w:val="9"/>
    <w:semiHidden w:val="1"/>
    <w:unhideWhenUsed w:val="1"/>
    <w:qFormat w:val="1"/>
    <w:rsid w:val="002D2EAC"/>
    <w:pPr>
      <w:spacing w:after="100" w:afterAutospacing="1" w:before="100" w:beforeAutospacing="1"/>
      <w:outlineLvl w:val="2"/>
    </w:pPr>
    <w:rPr>
      <w:b w:val="1"/>
      <w:bCs w:val="1"/>
      <w:sz w:val="27"/>
      <w:szCs w:val="27"/>
      <w:lang w:eastAsia="es-MX" w:val="es-MX"/>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AC3C64"/>
    <w:rPr>
      <w:rFonts w:eastAsiaTheme="minorEastAsia"/>
      <w:sz w:val="24"/>
      <w:szCs w:val="24"/>
      <w:lang w:eastAsia="es-ES" w:val="es-ES_tradnl"/>
    </w:rPr>
  </w:style>
  <w:style w:type="paragraph" w:styleId="Piedepgina">
    <w:name w:val="footer"/>
    <w:basedOn w:val="Normal"/>
    <w:link w:val="Piedepgina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AC3C64"/>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AC3C64"/>
    <w:rPr>
      <w:rFonts w:ascii="Times New Roman" w:cs="Times New Roman" w:eastAsia="Times New Roman" w:hAnsi="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textrun" w:customStyle="1">
    <w:name w:val="normaltextrun"/>
    <w:basedOn w:val="Fuentedeprrafopredeter"/>
    <w:rsid w:val="00AC3C64"/>
  </w:style>
  <w:style w:type="character" w:styleId="apple-converted-space" w:customStyle="1">
    <w:name w:val="apple-converted-space"/>
    <w:basedOn w:val="Fuentedeprrafopredeter"/>
    <w:rsid w:val="00AC3C64"/>
  </w:style>
  <w:style w:type="paragraph" w:styleId="paragraph" w:customStyle="1">
    <w:name w:val="paragraph"/>
    <w:basedOn w:val="Normal"/>
    <w:rsid w:val="00AC3C64"/>
    <w:pPr>
      <w:spacing w:after="100" w:afterAutospacing="1" w:before="100" w:beforeAutospacing="1"/>
    </w:pPr>
    <w:rPr>
      <w:lang w:eastAsia="es-MX" w:val="es-MX"/>
    </w:rPr>
  </w:style>
  <w:style w:type="character" w:styleId="eop" w:customStyle="1">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AC3C64"/>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AC3C6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val="1"/>
    <w:rsid w:val="00AC3C64"/>
    <w:rPr>
      <w:color w:val="0563c1" w:themeColor="hyperlink"/>
      <w:u w:val="single"/>
    </w:rPr>
  </w:style>
  <w:style w:type="paragraph" w:styleId="NormalWeb">
    <w:name w:val="Normal (Web)"/>
    <w:basedOn w:val="Normal"/>
    <w:uiPriority w:val="99"/>
    <w:unhideWhenUsed w:val="1"/>
    <w:rsid w:val="00AC3C64"/>
    <w:pPr>
      <w:spacing w:after="100" w:afterAutospacing="1" w:before="100" w:beforeAutospacing="1"/>
    </w:pPr>
    <w:rPr>
      <w:lang w:eastAsia="es-MX" w:val="es-MX"/>
    </w:rPr>
  </w:style>
  <w:style w:type="character" w:styleId="Ttulo3Car" w:customStyle="1">
    <w:name w:val="Título 3 Car"/>
    <w:basedOn w:val="Fuentedeprrafopredeter"/>
    <w:link w:val="Ttulo3"/>
    <w:uiPriority w:val="9"/>
    <w:rsid w:val="002D2EAC"/>
    <w:rPr>
      <w:rFonts w:ascii="Times New Roman" w:cs="Times New Roman" w:eastAsia="Times New Roman" w:hAnsi="Times New Roman"/>
      <w:b w:val="1"/>
      <w:bCs w:val="1"/>
      <w:sz w:val="27"/>
      <w:szCs w:val="27"/>
      <w:lang w:eastAsia="es-MX"/>
    </w:rPr>
  </w:style>
  <w:style w:type="character" w:styleId="titulorubro" w:customStyle="1">
    <w:name w:val="titulorubro"/>
    <w:basedOn w:val="Fuentedeprrafopredeter"/>
    <w:rsid w:val="002D2EAC"/>
  </w:style>
  <w:style w:type="paragraph" w:styleId="Textoindependiente">
    <w:name w:val="Body Text"/>
    <w:basedOn w:val="Normal"/>
    <w:link w:val="TextoindependienteCar"/>
    <w:uiPriority w:val="1"/>
    <w:qFormat w:val="1"/>
    <w:rsid w:val="006F3C93"/>
    <w:pPr>
      <w:autoSpaceDE w:val="0"/>
      <w:autoSpaceDN w:val="0"/>
      <w:adjustRightInd w:val="0"/>
      <w:ind w:left="93"/>
    </w:pPr>
    <w:rPr>
      <w:rFonts w:eastAsiaTheme="minorHAnsi"/>
      <w:sz w:val="23"/>
      <w:szCs w:val="23"/>
      <w:lang w:eastAsia="en-US" w:val="es-MX"/>
    </w:rPr>
  </w:style>
  <w:style w:type="character" w:styleId="TextoindependienteCar" w:customStyle="1">
    <w:name w:val="Texto independiente Car"/>
    <w:basedOn w:val="Fuentedeprrafopredeter"/>
    <w:link w:val="Textoindependiente"/>
    <w:uiPriority w:val="1"/>
    <w:rsid w:val="006F3C93"/>
    <w:rPr>
      <w:rFonts w:ascii="Times New Roman" w:cs="Times New Roman" w:hAnsi="Times New Roman"/>
      <w:sz w:val="23"/>
      <w:szCs w:val="23"/>
    </w:rPr>
  </w:style>
  <w:style w:type="paragraph" w:styleId="Textodeglobo">
    <w:name w:val="Balloon Text"/>
    <w:basedOn w:val="Normal"/>
    <w:link w:val="TextodegloboCar"/>
    <w:uiPriority w:val="99"/>
    <w:semiHidden w:val="1"/>
    <w:unhideWhenUsed w:val="1"/>
    <w:rsid w:val="00A037B6"/>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A037B6"/>
    <w:rPr>
      <w:rFonts w:ascii="Segoe UI" w:cs="Segoe UI" w:eastAsia="Times New Roman" w:hAnsi="Segoe UI"/>
      <w:sz w:val="18"/>
      <w:szCs w:val="18"/>
      <w:lang w:eastAsia="es-ES" w:val="es-ES"/>
    </w:rPr>
  </w:style>
  <w:style w:type="paragraph" w:styleId="Pa1" w:customStyle="1">
    <w:name w:val="Pa1"/>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2" w:customStyle="1">
    <w:name w:val="Pa2"/>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3" w:customStyle="1">
    <w:name w:val="Pa3"/>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Sinespaciado">
    <w:name w:val="No Spacing"/>
    <w:aliases w:val="Francesa,INAI"/>
    <w:link w:val="SinespaciadoCar"/>
    <w:uiPriority w:val="1"/>
    <w:qFormat w:val="1"/>
    <w:rsid w:val="00CE2CFE"/>
  </w:style>
  <w:style w:type="character" w:styleId="SinespaciadoCar" w:customStyle="1">
    <w:name w:val="Sin espaciado Car"/>
    <w:aliases w:val="Francesa Car,INAI Car"/>
    <w:link w:val="Sinespaciado"/>
    <w:uiPriority w:val="1"/>
    <w:locked w:val="1"/>
    <w:rsid w:val="00CE2CFE"/>
  </w:style>
  <w:style w:type="table" w:styleId="Tabladelista1clara-nfasis1">
    <w:name w:val="List Table 1 Light Accent 1"/>
    <w:basedOn w:val="Tablanormal"/>
    <w:uiPriority w:val="46"/>
    <w:rsid w:val="00D30935"/>
    <w:rPr>
      <w:rFonts w:eastAsiaTheme="minorEastAsia"/>
      <w:lang w:eastAsia="es-ES" w:val="es-ES_tradnl"/>
    </w:rPr>
    <w:tblPr>
      <w:tblStyleRowBandSize w:val="1"/>
      <w:tblStyleColBandSize w:val="1"/>
    </w:tblPr>
    <w:tblStylePr w:type="firstRow">
      <w:rPr>
        <w:b w:val="1"/>
        <w:bCs w:val="1"/>
      </w:rPr>
      <w:tblPr/>
      <w:tcPr>
        <w:tcBorders>
          <w:bottom w:color="9cc2e5" w:space="0" w:sz="4" w:themeColor="accent1" w:themeTint="000099" w:val="single"/>
        </w:tcBorders>
      </w:tcPr>
    </w:tblStylePr>
    <w:tblStylePr w:type="lastRow">
      <w:rPr>
        <w:b w:val="1"/>
        <w:bCs w:val="1"/>
      </w:rPr>
      <w:tblPr/>
      <w:tcPr>
        <w:tcBorders>
          <w:top w:color="9cc2e5"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3"/>
    <w:tblPr>
      <w:tblStyleRowBandSize w:val="1"/>
      <w:tblStyleColBandSize w:val="1"/>
      <w:tblCellMar>
        <w:left w:w="108.0" w:type="dxa"/>
        <w:right w:w="108.0" w:type="dxa"/>
      </w:tblCellMar>
    </w:tblPr>
  </w:style>
  <w:style w:type="table" w:styleId="a0" w:customStyle="1">
    <w:basedOn w:val="TableNormal3"/>
    <w:tblPr>
      <w:tblStyleRowBandSize w:val="1"/>
      <w:tblStyleColBandSize w:val="1"/>
      <w:tblCellMar>
        <w:left w:w="115.0" w:type="dxa"/>
        <w:right w:w="115.0" w:type="dxa"/>
      </w:tblCellMar>
    </w:tblPr>
  </w:style>
  <w:style w:type="table" w:styleId="a1" w:customStyle="1">
    <w:basedOn w:val="TableNormal3"/>
    <w:tblPr>
      <w:tblStyleRowBandSize w:val="1"/>
      <w:tblStyleColBandSize w:val="1"/>
      <w:tblCellMar>
        <w:left w:w="115.0" w:type="dxa"/>
        <w:right w:w="115.0" w:type="dxa"/>
      </w:tblCellMar>
    </w:tblPr>
  </w:style>
  <w:style w:type="character" w:styleId="Hipervnculovisitado">
    <w:name w:val="FollowedHyperlink"/>
    <w:basedOn w:val="Fuentedeprrafopredeter"/>
    <w:uiPriority w:val="99"/>
    <w:semiHidden w:val="1"/>
    <w:unhideWhenUsed w:val="1"/>
    <w:rsid w:val="00B93218"/>
    <w:rPr>
      <w:color w:val="954f72" w:themeColor="followedHyperlink"/>
      <w:u w:val="single"/>
    </w:rPr>
  </w:style>
  <w:style w:type="table" w:styleId="a2" w:customStyle="1">
    <w:basedOn w:val="TableNormal3"/>
    <w:tblPr>
      <w:tblStyleRowBandSize w:val="1"/>
      <w:tblStyleColBandSize w:val="1"/>
      <w:tblCellMar>
        <w:left w:w="108.0" w:type="dxa"/>
        <w:right w:w="108.0" w:type="dxa"/>
      </w:tblCellMar>
    </w:tblPr>
  </w:style>
  <w:style w:type="table" w:styleId="a3" w:customStyle="1">
    <w:basedOn w:val="TableNormal3"/>
    <w:tblPr>
      <w:tblStyleRowBandSize w:val="1"/>
      <w:tblStyleColBandSize w:val="1"/>
      <w:tblCellMar>
        <w:left w:w="108.0" w:type="dxa"/>
        <w:right w:w="108.0" w:type="dxa"/>
      </w:tblCellMar>
    </w:tblPr>
  </w:style>
  <w:style w:type="table" w:styleId="a4" w:customStyle="1">
    <w:basedOn w:val="TableNormal3"/>
    <w:tblPr>
      <w:tblStyleRowBandSize w:val="1"/>
      <w:tblStyleColBandSize w:val="1"/>
      <w:tblCellMar>
        <w:left w:w="108.0" w:type="dxa"/>
        <w:right w:w="108.0" w:type="dxa"/>
      </w:tblCellMar>
    </w:tblPr>
  </w:style>
  <w:style w:type="table" w:styleId="a5" w:customStyle="1">
    <w:basedOn w:val="TableNormal3"/>
    <w:tblPr>
      <w:tblStyleRowBandSize w:val="1"/>
      <w:tblStyleColBandSize w:val="1"/>
      <w:tblCellMar>
        <w:left w:w="108.0" w:type="dxa"/>
        <w:right w:w="108.0" w:type="dxa"/>
      </w:tblCellMar>
    </w:tblPr>
  </w:style>
  <w:style w:type="table" w:styleId="a6" w:customStyle="1">
    <w:basedOn w:val="TableNormal3"/>
    <w:tblPr>
      <w:tblStyleRowBandSize w:val="1"/>
      <w:tblStyleColBandSize w:val="1"/>
      <w:tblCellMar>
        <w:left w:w="108.0" w:type="dxa"/>
        <w:right w:w="108.0" w:type="dxa"/>
      </w:tblCellMar>
    </w:tblPr>
  </w:style>
  <w:style w:type="table" w:styleId="a7" w:customStyle="1">
    <w:basedOn w:val="TableNormal3"/>
    <w:tblPr>
      <w:tblStyleRowBandSize w:val="1"/>
      <w:tblStyleColBandSize w:val="1"/>
      <w:tblCellMar>
        <w:left w:w="108.0" w:type="dxa"/>
        <w:right w:w="108.0" w:type="dxa"/>
      </w:tblCellMar>
    </w:tblPr>
  </w:style>
  <w:style w:type="table" w:styleId="a8" w:customStyle="1">
    <w:basedOn w:val="TableNormal3"/>
    <w:tblPr>
      <w:tblStyleRowBandSize w:val="1"/>
      <w:tblStyleColBandSize w:val="1"/>
      <w:tblCellMar>
        <w:left w:w="108.0" w:type="dxa"/>
        <w:right w:w="108.0" w:type="dxa"/>
      </w:tblCellMar>
    </w:tblPr>
  </w:style>
  <w:style w:type="table" w:styleId="a9" w:customStyle="1">
    <w:basedOn w:val="TableNormal3"/>
    <w:tblPr>
      <w:tblStyleRowBandSize w:val="1"/>
      <w:tblStyleColBandSize w:val="1"/>
      <w:tblCellMar>
        <w:left w:w="115.0" w:type="dxa"/>
        <w:right w:w="115.0" w:type="dxa"/>
      </w:tblCellMar>
    </w:tblPr>
  </w:style>
  <w:style w:type="table" w:styleId="aa" w:customStyle="1">
    <w:basedOn w:val="TableNormal3"/>
    <w:tblPr>
      <w:tblStyleRowBandSize w:val="1"/>
      <w:tblStyleColBandSize w:val="1"/>
      <w:tblCellMar>
        <w:left w:w="115.0" w:type="dxa"/>
        <w:right w:w="115.0" w:type="dxa"/>
      </w:tblCellMar>
    </w:tblPr>
  </w:style>
  <w:style w:type="table" w:styleId="ab" w:customStyle="1">
    <w:basedOn w:val="TableNormal3"/>
    <w:tblPr>
      <w:tblStyleRowBandSize w:val="1"/>
      <w:tblStyleColBandSize w:val="1"/>
      <w:tblCellMar>
        <w:left w:w="115.0" w:type="dxa"/>
        <w:right w:w="115.0" w:type="dxa"/>
      </w:tblCellMar>
    </w:tblPr>
  </w:style>
  <w:style w:type="table" w:styleId="ac" w:customStyle="1">
    <w:basedOn w:val="TableNormal2"/>
    <w:tblPr>
      <w:tblStyleRowBandSize w:val="1"/>
      <w:tblStyleColBandSize w:val="1"/>
      <w:tblCellMar>
        <w:left w:w="115.0" w:type="dxa"/>
        <w:right w:w="115.0" w:type="dxa"/>
      </w:tblCellMar>
    </w:tblPr>
  </w:style>
  <w:style w:type="table" w:styleId="ad" w:customStyle="1">
    <w:basedOn w:val="TableNormal2"/>
    <w:tblPr>
      <w:tblStyleRowBandSize w:val="1"/>
      <w:tblStyleColBandSize w:val="1"/>
      <w:tblCellMar>
        <w:left w:w="115.0" w:type="dxa"/>
        <w:right w:w="115.0" w:type="dxa"/>
      </w:tblCellMar>
    </w:tblPr>
  </w:style>
  <w:style w:type="table" w:styleId="ae" w:customStyle="1">
    <w:basedOn w:val="TableNormal2"/>
    <w:tblPr>
      <w:tblStyleRowBandSize w:val="1"/>
      <w:tblStyleColBandSize w:val="1"/>
      <w:tblCellMar>
        <w:left w:w="115.0" w:type="dxa"/>
        <w:right w:w="115.0" w:type="dxa"/>
      </w:tblCellMar>
    </w:tblPr>
  </w:style>
  <w:style w:type="character" w:styleId="Textoennegrita">
    <w:name w:val="Strong"/>
    <w:uiPriority w:val="22"/>
    <w:qFormat w:val="1"/>
    <w:rsid w:val="002B3D0A"/>
    <w:rPr>
      <w:b w:val="1"/>
      <w:bCs w:val="1"/>
    </w:rPr>
  </w:style>
  <w:style w:type="paragraph" w:styleId="Texto" w:customStyle="1">
    <w:name w:val="Texto"/>
    <w:basedOn w:val="Normal"/>
    <w:link w:val="TextoCar"/>
    <w:qFormat w:val="1"/>
    <w:rsid w:val="002B3D0A"/>
    <w:pPr>
      <w:spacing w:after="101" w:line="216" w:lineRule="exact"/>
      <w:ind w:firstLine="288"/>
      <w:jc w:val="both"/>
    </w:pPr>
    <w:rPr>
      <w:rFonts w:ascii="Arial" w:cs="Arial" w:hAnsi="Arial"/>
      <w:sz w:val="18"/>
      <w:szCs w:val="18"/>
      <w:lang w:val="es-MX"/>
    </w:rPr>
  </w:style>
  <w:style w:type="character" w:styleId="apple-style-span" w:customStyle="1">
    <w:name w:val="apple-style-span"/>
    <w:rsid w:val="002B3D0A"/>
  </w:style>
  <w:style w:type="character" w:styleId="TextoCar" w:customStyle="1">
    <w:name w:val="Texto Car"/>
    <w:link w:val="Texto"/>
    <w:locked w:val="1"/>
    <w:rsid w:val="002B3D0A"/>
    <w:rPr>
      <w:rFonts w:ascii="Arial" w:cs="Arial" w:hAnsi="Arial"/>
      <w:sz w:val="18"/>
      <w:szCs w:val="18"/>
      <w:lang w:eastAsia="es-ES" w:val="es-MX"/>
    </w:rPr>
  </w:style>
  <w:style w:type="paragraph" w:styleId="Citas" w:customStyle="1">
    <w:name w:val="Citas"/>
    <w:basedOn w:val="Normal"/>
    <w:qFormat w:val="1"/>
    <w:rsid w:val="009D3D69"/>
    <w:pPr>
      <w:spacing w:after="160" w:before="240" w:line="360" w:lineRule="auto"/>
      <w:ind w:left="851" w:right="851"/>
      <w:jc w:val="both"/>
    </w:pPr>
    <w:rPr>
      <w:rFonts w:ascii="Palatino Linotype" w:cs="Arial" w:hAnsi="Palatino Linotype" w:eastAsiaTheme="minorHAnsi"/>
      <w:i w:val="1"/>
      <w:sz w:val="22"/>
      <w:szCs w:val="22"/>
      <w:lang w:eastAsia="en-US" w:val="es-MX"/>
    </w:rPr>
  </w:style>
  <w:style w:type="paragraph" w:styleId="Listaconvietas3">
    <w:name w:val="List Bullet 3"/>
    <w:basedOn w:val="Normal"/>
    <w:uiPriority w:val="99"/>
    <w:unhideWhenUsed w:val="1"/>
    <w:rsid w:val="009E0405"/>
    <w:pPr>
      <w:numPr>
        <w:numId w:val="4"/>
      </w:numPr>
      <w:contextualSpacing w:val="1"/>
    </w:pPr>
    <w:rPr>
      <w:lang w:eastAsia="es-MX" w:val="es-MX"/>
    </w:rPr>
  </w:style>
  <w:style w:type="paragraph" w:styleId="Listaconvietas">
    <w:name w:val="List Bullet"/>
    <w:basedOn w:val="Normal"/>
    <w:uiPriority w:val="99"/>
    <w:unhideWhenUsed w:val="1"/>
    <w:rsid w:val="00E6231A"/>
    <w:pPr>
      <w:tabs>
        <w:tab w:val="num" w:pos="720"/>
      </w:tabs>
      <w:ind w:left="720" w:hanging="720"/>
      <w:contextualSpacing w:val="1"/>
    </w:pPr>
    <w:rPr>
      <w:lang w:eastAsia="es-MX" w:val="es-MX"/>
    </w:rPr>
  </w:style>
  <w:style w:type="character" w:styleId="Mencinsinresolver1" w:customStyle="1">
    <w:name w:val="Mención sin resolver1"/>
    <w:basedOn w:val="Fuentedeprrafopredeter"/>
    <w:uiPriority w:val="99"/>
    <w:semiHidden w:val="1"/>
    <w:unhideWhenUsed w:val="1"/>
    <w:rsid w:val="00582A33"/>
    <w:rPr>
      <w:color w:val="605e5c"/>
      <w:shd w:color="auto" w:fill="e1dfdd" w:val="clear"/>
    </w:rPr>
  </w:style>
  <w:style w:type="table" w:styleId="af" w:customStyle="1">
    <w:basedOn w:val="TableNormal1"/>
    <w:tblPr>
      <w:tblStyleRowBandSize w:val="1"/>
      <w:tblStyleColBandSize w:val="1"/>
      <w:tblCellMar>
        <w:left w:w="115.0" w:type="dxa"/>
        <w:right w:w="115.0" w:type="dxa"/>
      </w:tblCellMar>
    </w:tblPr>
  </w:style>
  <w:style w:type="table" w:styleId="af0" w:customStyle="1">
    <w:basedOn w:val="TableNormal1"/>
    <w:tblPr>
      <w:tblStyleRowBandSize w:val="1"/>
      <w:tblStyleColBandSize w:val="1"/>
      <w:tblCellMar>
        <w:left w:w="115.0" w:type="dxa"/>
        <w:right w:w="115.0" w:type="dxa"/>
      </w:tblCellMar>
    </w:tblPr>
  </w:style>
  <w:style w:type="character" w:styleId="Mencinsinresolver2" w:customStyle="1">
    <w:name w:val="Mención sin resolver2"/>
    <w:basedOn w:val="Fuentedeprrafopredeter"/>
    <w:uiPriority w:val="99"/>
    <w:semiHidden w:val="1"/>
    <w:unhideWhenUsed w:val="1"/>
    <w:rsid w:val="00836A8D"/>
    <w:rPr>
      <w:color w:val="605e5c"/>
      <w:shd w:color="auto" w:fill="e1dfdd" w:val="clear"/>
    </w:rPr>
  </w:style>
  <w:style w:type="character" w:styleId="apple-tab-span" w:customStyle="1">
    <w:name w:val="apple-tab-span"/>
    <w:basedOn w:val="Fuentedeprrafopredeter"/>
    <w:rsid w:val="00011025"/>
  </w:style>
  <w:style w:type="table" w:styleId="af1" w:customStyle="1">
    <w:basedOn w:val="TableNormal0"/>
    <w:tblPr>
      <w:tblStyleRowBandSize w:val="1"/>
      <w:tblStyleColBandSize w:val="1"/>
      <w:tblCellMar>
        <w:left w:w="115.0" w:type="dxa"/>
        <w:right w:w="115.0" w:type="dxa"/>
      </w:tblCellMar>
    </w:tblPr>
  </w:style>
  <w:style w:type="table" w:styleId="af2"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monografias.com/trabajos14/verific-servicios/verific-servicios.shtml" TargetMode="External"/><Relationship Id="rId14"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MDuRpvRa4xEdycPFi6luAeVTkw==">CgMxLjAyCWguM3pueXNoNzIIaC5namRneHMyCWguMzBqMHpsbDIOaC5panY5OHBudGNkNXMyCWguMjZpbjFyZzgAciExYW5FSjA2TFZucE1kVVJZa1JTcldiQ1lxZlBoSmtRT24=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2024-09-04T16:32:00Z</dcterms:created>
  <dc:creator>USER</dc:creator>
</cp:coreProperties>
</file>