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C1650" w14:textId="77777777"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w:t>
      </w:r>
      <w:r w:rsidR="00EE4FA5">
        <w:rPr>
          <w:rFonts w:ascii="Palatino Linotype" w:eastAsia="Times New Roman" w:hAnsi="Palatino Linotype" w:cs="Arial"/>
          <w:color w:val="000000"/>
          <w:sz w:val="24"/>
          <w:szCs w:val="24"/>
          <w:lang w:eastAsia="es-MX"/>
        </w:rPr>
        <w:t>tres de abril</w:t>
      </w:r>
      <w:r w:rsidR="00C54E76">
        <w:rPr>
          <w:rFonts w:ascii="Palatino Linotype" w:eastAsia="Times New Roman" w:hAnsi="Palatino Linotype" w:cs="Arial"/>
          <w:color w:val="000000"/>
          <w:sz w:val="24"/>
          <w:szCs w:val="24"/>
          <w:lang w:eastAsia="es-MX"/>
        </w:rPr>
        <w:t xml:space="preserve"> </w:t>
      </w:r>
      <w:r w:rsidRPr="00DB6E06">
        <w:rPr>
          <w:rFonts w:ascii="Palatino Linotype" w:eastAsia="Times New Roman" w:hAnsi="Palatino Linotype" w:cs="Arial"/>
          <w:color w:val="000000"/>
          <w:sz w:val="24"/>
          <w:szCs w:val="24"/>
          <w:lang w:eastAsia="es-MX"/>
        </w:rPr>
        <w:t>de dos mil veinticuatro.</w:t>
      </w:r>
    </w:p>
    <w:p w14:paraId="68D0F2F2" w14:textId="77777777"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
          <w:szCs w:val="24"/>
          <w:lang w:eastAsia="es-MX"/>
        </w:rPr>
      </w:pPr>
    </w:p>
    <w:p w14:paraId="33051FBB" w14:textId="77777777" w:rsidR="0051753E" w:rsidRPr="00DB6E06" w:rsidRDefault="0051753E" w:rsidP="0051753E">
      <w:pPr>
        <w:tabs>
          <w:tab w:val="left" w:pos="1701"/>
        </w:tabs>
        <w:spacing w:after="0" w:line="360" w:lineRule="auto"/>
        <w:jc w:val="both"/>
        <w:rPr>
          <w:rFonts w:ascii="Palatino Linotype" w:eastAsia="Times New Roman" w:hAnsi="Palatino Linotype" w:cs="Arial"/>
          <w:b/>
          <w:sz w:val="24"/>
        </w:rPr>
      </w:pPr>
    </w:p>
    <w:p w14:paraId="669F1F66" w14:textId="6596EF97"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4"/>
        </w:rPr>
        <w:t>VISTO</w:t>
      </w:r>
      <w:r w:rsidRPr="00DB6E06">
        <w:rPr>
          <w:rFonts w:ascii="Palatino Linotype" w:eastAsia="Times New Roman" w:hAnsi="Palatino Linotype" w:cs="Arial"/>
          <w:sz w:val="24"/>
        </w:rPr>
        <w:t xml:space="preserve"> el expediente electrónico form</w:t>
      </w:r>
      <w:bookmarkStart w:id="0" w:name="_GoBack"/>
      <w:bookmarkEnd w:id="0"/>
      <w:r w:rsidRPr="00DB6E06">
        <w:rPr>
          <w:rFonts w:ascii="Palatino Linotype" w:eastAsia="Times New Roman" w:hAnsi="Palatino Linotype" w:cs="Arial"/>
          <w:sz w:val="24"/>
        </w:rPr>
        <w:t xml:space="preserve">ado con motivo del recurso de revisión número </w:t>
      </w:r>
      <w:r>
        <w:rPr>
          <w:rFonts w:ascii="Palatino Linotype" w:eastAsia="Times New Roman" w:hAnsi="Palatino Linotype" w:cs="Arial"/>
          <w:b/>
          <w:sz w:val="24"/>
        </w:rPr>
        <w:t>0</w:t>
      </w:r>
      <w:r w:rsidR="00EE7A99">
        <w:rPr>
          <w:rFonts w:ascii="Palatino Linotype" w:eastAsia="Times New Roman" w:hAnsi="Palatino Linotype" w:cs="Arial"/>
          <w:b/>
          <w:sz w:val="24"/>
        </w:rPr>
        <w:t>00</w:t>
      </w:r>
      <w:r w:rsidR="00EA501D">
        <w:rPr>
          <w:rFonts w:ascii="Palatino Linotype" w:eastAsia="Times New Roman" w:hAnsi="Palatino Linotype" w:cs="Arial"/>
          <w:b/>
          <w:sz w:val="24"/>
        </w:rPr>
        <w:t>10</w:t>
      </w:r>
      <w:r w:rsidRPr="00DB6E06">
        <w:rPr>
          <w:rFonts w:ascii="Palatino Linotype" w:eastAsia="Times New Roman" w:hAnsi="Palatino Linotype" w:cs="Arial"/>
          <w:b/>
          <w:bCs/>
          <w:sz w:val="24"/>
          <w:lang w:eastAsia="es-MX"/>
        </w:rPr>
        <w:t>/INFOEM/IP/RR/202</w:t>
      </w:r>
      <w:r>
        <w:rPr>
          <w:rFonts w:ascii="Palatino Linotype" w:eastAsia="Times New Roman" w:hAnsi="Palatino Linotype" w:cs="Arial"/>
          <w:b/>
          <w:bCs/>
          <w:sz w:val="24"/>
          <w:lang w:eastAsia="es-MX"/>
        </w:rPr>
        <w:t>4</w:t>
      </w:r>
      <w:r w:rsidRPr="00DB6E06">
        <w:rPr>
          <w:rFonts w:ascii="Palatino Linotype" w:eastAsia="Times New Roman" w:hAnsi="Palatino Linotype" w:cs="Arial"/>
          <w:sz w:val="24"/>
        </w:rPr>
        <w:t xml:space="preserve">, </w:t>
      </w:r>
      <w:r w:rsidRPr="00DB6E06">
        <w:rPr>
          <w:rFonts w:ascii="Palatino Linotype" w:eastAsia="Times New Roman" w:hAnsi="Palatino Linotype" w:cs="Arial"/>
          <w:sz w:val="24"/>
          <w:szCs w:val="24"/>
        </w:rPr>
        <w:t xml:space="preserve">interpuesto </w:t>
      </w:r>
      <w:r w:rsidRPr="00DB6E06">
        <w:rPr>
          <w:rFonts w:ascii="Palatino Linotype" w:eastAsia="Times New Roman" w:hAnsi="Palatino Linotype" w:cs="Arial"/>
          <w:bCs/>
          <w:sz w:val="24"/>
          <w:szCs w:val="24"/>
        </w:rPr>
        <w:t>por</w:t>
      </w:r>
      <w:r>
        <w:rPr>
          <w:rFonts w:ascii="Palatino Linotype" w:eastAsia="Times New Roman" w:hAnsi="Palatino Linotype" w:cs="Arial"/>
          <w:sz w:val="24"/>
          <w:szCs w:val="24"/>
        </w:rPr>
        <w:t xml:space="preserve"> “</w:t>
      </w:r>
      <w:r w:rsidR="00541097">
        <w:rPr>
          <w:rFonts w:ascii="Palatino Linotype" w:hAnsi="Palatino Linotype" w:cs="Arial"/>
          <w:b/>
          <w:bCs/>
          <w:sz w:val="24"/>
          <w:szCs w:val="24"/>
        </w:rPr>
        <w:t>XXXXXXXXXXXXXXXXXXXXXXX</w:t>
      </w:r>
      <w:r>
        <w:rPr>
          <w:rFonts w:ascii="Palatino Linotype" w:eastAsia="Times New Roman" w:hAnsi="Palatino Linotype" w:cs="Arial"/>
          <w:sz w:val="24"/>
          <w:szCs w:val="24"/>
        </w:rPr>
        <w:t xml:space="preserve">”, </w:t>
      </w:r>
      <w:r w:rsidRPr="00DB6E06">
        <w:rPr>
          <w:rFonts w:ascii="Palatino Linotype" w:eastAsia="Times New Roman" w:hAnsi="Palatino Linotype" w:cs="Arial"/>
          <w:sz w:val="24"/>
          <w:szCs w:val="24"/>
        </w:rPr>
        <w:t xml:space="preserve">en lo sucesivo </w:t>
      </w:r>
      <w:r w:rsidRPr="00DB6E06">
        <w:rPr>
          <w:rFonts w:ascii="Palatino Linotype" w:eastAsia="Times New Roman" w:hAnsi="Palatino Linotype" w:cs="Arial"/>
          <w:b/>
          <w:bCs/>
          <w:sz w:val="24"/>
          <w:szCs w:val="24"/>
        </w:rPr>
        <w:t>el Recurrente</w:t>
      </w:r>
      <w:r w:rsidRPr="00DB6E06">
        <w:rPr>
          <w:rFonts w:ascii="Palatino Linotype" w:eastAsia="Times New Roman" w:hAnsi="Palatino Linotype" w:cs="Arial"/>
          <w:sz w:val="24"/>
          <w:szCs w:val="24"/>
        </w:rPr>
        <w:t>, en contra de la falta de respuesta del</w:t>
      </w:r>
      <w:r w:rsidR="00EE7A99">
        <w:rPr>
          <w:rFonts w:ascii="Palatino Linotype" w:hAnsi="Palatino Linotype"/>
          <w:b/>
          <w:bCs/>
          <w:color w:val="000000"/>
          <w:sz w:val="24"/>
          <w:szCs w:val="24"/>
        </w:rPr>
        <w:t xml:space="preserve"> Ayuntamiento de Ozumba</w:t>
      </w:r>
      <w:r w:rsidRPr="00DB6E06">
        <w:rPr>
          <w:rFonts w:ascii="Palatino Linotype" w:eastAsia="Times New Roman" w:hAnsi="Palatino Linotype" w:cs="Arial"/>
          <w:sz w:val="24"/>
          <w:szCs w:val="24"/>
        </w:rPr>
        <w:t>, en lo subsecuente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se procede a</w:t>
      </w:r>
      <w:r w:rsidRPr="00DB6E06">
        <w:rPr>
          <w:rFonts w:ascii="Palatino Linotype" w:eastAsia="Times New Roman" w:hAnsi="Palatino Linotype" w:cs="Arial"/>
          <w:sz w:val="24"/>
        </w:rPr>
        <w:t xml:space="preserve"> dictar la presente resolución.</w:t>
      </w:r>
    </w:p>
    <w:p w14:paraId="01847D6D" w14:textId="77777777"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p>
    <w:p w14:paraId="52CC6B41" w14:textId="77777777" w:rsidR="0051753E" w:rsidRPr="00DB6E06" w:rsidRDefault="0051753E" w:rsidP="0051753E">
      <w:pPr>
        <w:spacing w:after="0" w:line="360" w:lineRule="auto"/>
        <w:jc w:val="center"/>
        <w:rPr>
          <w:rFonts w:ascii="Palatino Linotype" w:eastAsia="Times New Roman" w:hAnsi="Palatino Linotype" w:cs="Times New Roman"/>
          <w:b/>
          <w:sz w:val="28"/>
        </w:rPr>
      </w:pPr>
      <w:r w:rsidRPr="00DB6E06">
        <w:rPr>
          <w:rFonts w:ascii="Palatino Linotype" w:eastAsia="Times New Roman" w:hAnsi="Palatino Linotype" w:cs="Times New Roman"/>
          <w:b/>
          <w:sz w:val="28"/>
        </w:rPr>
        <w:t>A N T E C E D E N T E S   D E L   A S U N T O</w:t>
      </w:r>
    </w:p>
    <w:p w14:paraId="073B8059" w14:textId="77777777" w:rsidR="0051753E" w:rsidRPr="00DB6E06" w:rsidRDefault="0051753E" w:rsidP="0051753E">
      <w:pPr>
        <w:spacing w:after="0" w:line="360" w:lineRule="auto"/>
        <w:jc w:val="center"/>
        <w:rPr>
          <w:rFonts w:ascii="Palatino Linotype" w:eastAsia="Times New Roman" w:hAnsi="Palatino Linotype" w:cs="Times New Roman"/>
          <w:b/>
          <w:sz w:val="24"/>
        </w:rPr>
      </w:pPr>
    </w:p>
    <w:p w14:paraId="10B78C35" w14:textId="77777777" w:rsidR="0051753E" w:rsidRPr="00DB6E06" w:rsidRDefault="0051753E" w:rsidP="0051753E">
      <w:pPr>
        <w:spacing w:after="0" w:line="360" w:lineRule="auto"/>
        <w:jc w:val="both"/>
        <w:rPr>
          <w:rFonts w:ascii="Palatino Linotype" w:eastAsia="Times New Roman" w:hAnsi="Palatino Linotype" w:cs="Times New Roman"/>
        </w:rPr>
      </w:pPr>
      <w:r w:rsidRPr="00DB6E06">
        <w:rPr>
          <w:rFonts w:ascii="Palatino Linotype" w:eastAsia="Times New Roman" w:hAnsi="Palatino Linotype" w:cs="Arial"/>
          <w:b/>
          <w:sz w:val="28"/>
        </w:rPr>
        <w:t>PRIMERO.</w:t>
      </w:r>
      <w:r w:rsidRPr="00DB6E06">
        <w:rPr>
          <w:rFonts w:ascii="Palatino Linotype" w:eastAsia="Times New Roman" w:hAnsi="Palatino Linotype" w:cs="Arial"/>
        </w:rPr>
        <w:t xml:space="preserve"> </w:t>
      </w:r>
      <w:r w:rsidRPr="00DB6E06">
        <w:rPr>
          <w:rFonts w:ascii="Palatino Linotype" w:eastAsia="Times New Roman" w:hAnsi="Palatino Linotype" w:cs="Times New Roman"/>
          <w:b/>
          <w:sz w:val="28"/>
          <w:szCs w:val="28"/>
        </w:rPr>
        <w:t>De la Solicitud de Información.</w:t>
      </w:r>
    </w:p>
    <w:p w14:paraId="6C8A97BB" w14:textId="77777777" w:rsidR="0051753E" w:rsidRPr="00DB6E06" w:rsidRDefault="0051753E" w:rsidP="0051753E">
      <w:pPr>
        <w:spacing w:after="0" w:line="360" w:lineRule="auto"/>
        <w:jc w:val="both"/>
        <w:rPr>
          <w:rFonts w:eastAsia="Times New Roman" w:cs="Times New Roman"/>
          <w:color w:val="000000"/>
          <w:sz w:val="27"/>
          <w:szCs w:val="27"/>
        </w:rPr>
      </w:pPr>
      <w:r w:rsidRPr="00DB6E06">
        <w:rPr>
          <w:rFonts w:ascii="Palatino Linotype" w:eastAsia="Times New Roman" w:hAnsi="Palatino Linotype" w:cs="Arial"/>
          <w:sz w:val="24"/>
        </w:rPr>
        <w:t>En fecha</w:t>
      </w:r>
      <w:r w:rsidR="00EE7A99">
        <w:rPr>
          <w:rFonts w:ascii="Palatino Linotype" w:eastAsia="Times New Roman" w:hAnsi="Palatino Linotype" w:cs="Arial"/>
          <w:sz w:val="24"/>
        </w:rPr>
        <w:t xml:space="preserve"> nueve de octubre de dos mil veintitrés</w:t>
      </w:r>
      <w:r w:rsidRPr="00DB6E06">
        <w:rPr>
          <w:rFonts w:ascii="Palatino Linotype" w:eastAsia="Times New Roman" w:hAnsi="Palatino Linotype" w:cs="Arial"/>
          <w:sz w:val="24"/>
        </w:rPr>
        <w:t xml:space="preserve">, el </w:t>
      </w:r>
      <w:r w:rsidRPr="00DB6E06">
        <w:rPr>
          <w:rFonts w:ascii="Palatino Linotype" w:eastAsia="Times New Roman" w:hAnsi="Palatino Linotype" w:cs="Arial"/>
          <w:b/>
          <w:sz w:val="24"/>
        </w:rPr>
        <w:t>Recurrente</w:t>
      </w:r>
      <w:r w:rsidRPr="00DB6E06">
        <w:rPr>
          <w:rFonts w:ascii="Palatino Linotype" w:eastAsia="Times New Roman" w:hAnsi="Palatino Linotype" w:cs="Arial"/>
          <w:sz w:val="24"/>
        </w:rPr>
        <w:t xml:space="preserve">, </w:t>
      </w:r>
      <w:r w:rsidRPr="00DB6E06">
        <w:rPr>
          <w:rFonts w:ascii="Palatino Linotype" w:eastAsia="Times New Roman" w:hAnsi="Palatino Linotype" w:cs="Times New Roman"/>
          <w:sz w:val="24"/>
          <w:szCs w:val="24"/>
        </w:rPr>
        <w:t>presentó a través del Sistema de Acceso a la Información Mexiquense (SAIMEX), ante el Sujeto Obligado, la solicitud de acceso a la información pública,</w:t>
      </w:r>
      <w:r w:rsidRPr="00DB6E06">
        <w:rPr>
          <w:rFonts w:eastAsia="Times New Roman" w:cs="Times New Roman"/>
        </w:rPr>
        <w:t xml:space="preserve"> </w:t>
      </w:r>
      <w:r w:rsidRPr="00DB6E06">
        <w:rPr>
          <w:rFonts w:ascii="Palatino Linotype" w:eastAsia="Times New Roman" w:hAnsi="Palatino Linotype" w:cs="Arial"/>
          <w:sz w:val="24"/>
        </w:rPr>
        <w:t>a la que se le asignó el número de expediente</w:t>
      </w:r>
      <w:r w:rsidRPr="00DB6E06">
        <w:rPr>
          <w:rFonts w:eastAsia="Times New Roman" w:cs="Times New Roman"/>
          <w:color w:val="000000"/>
          <w:sz w:val="27"/>
          <w:szCs w:val="27"/>
        </w:rPr>
        <w:t> </w:t>
      </w:r>
      <w:r w:rsidR="00EE7A99" w:rsidRPr="00EE7A99">
        <w:rPr>
          <w:rFonts w:ascii="Palatino Linotype" w:hAnsi="Palatino Linotype"/>
          <w:b/>
          <w:bCs/>
          <w:sz w:val="24"/>
          <w:szCs w:val="24"/>
        </w:rPr>
        <w:t>00090/OZUMBA/IP/2023</w:t>
      </w:r>
      <w:r w:rsidR="00EE7A99" w:rsidRPr="00EE7A99">
        <w:rPr>
          <w:rFonts w:ascii="Palatino Linotype" w:eastAsia="Times New Roman" w:hAnsi="Palatino Linotype" w:cs="Arial"/>
          <w:sz w:val="24"/>
        </w:rPr>
        <w:t xml:space="preserve"> </w:t>
      </w:r>
      <w:r w:rsidRPr="00DB6E06">
        <w:rPr>
          <w:rFonts w:ascii="Palatino Linotype" w:eastAsia="Times New Roman" w:hAnsi="Palatino Linotype" w:cs="Arial"/>
          <w:sz w:val="24"/>
        </w:rPr>
        <w:t>mediante la cual solicitó lo siguiente:</w:t>
      </w:r>
    </w:p>
    <w:p w14:paraId="1BEBCFE8" w14:textId="77777777" w:rsidR="0051753E" w:rsidRPr="00EE7A99" w:rsidRDefault="0051753E" w:rsidP="0051753E">
      <w:pPr>
        <w:spacing w:after="0" w:line="360" w:lineRule="auto"/>
        <w:jc w:val="both"/>
        <w:rPr>
          <w:rFonts w:ascii="Palatino Linotype" w:eastAsia="Times New Roman" w:hAnsi="Palatino Linotype" w:cs="Arial"/>
          <w:i/>
          <w:sz w:val="24"/>
          <w:szCs w:val="24"/>
        </w:rPr>
      </w:pPr>
    </w:p>
    <w:p w14:paraId="4093AB35" w14:textId="77777777" w:rsidR="0051753E" w:rsidRPr="00DB6E06" w:rsidRDefault="0051753E" w:rsidP="0051753E">
      <w:pPr>
        <w:spacing w:line="360" w:lineRule="auto"/>
        <w:ind w:left="567"/>
        <w:jc w:val="both"/>
        <w:rPr>
          <w:rFonts w:ascii="Palatino Linotype" w:eastAsia="Times New Roman" w:hAnsi="Palatino Linotype" w:cs="Arial"/>
          <w:sz w:val="24"/>
        </w:rPr>
      </w:pPr>
      <w:bookmarkStart w:id="1" w:name="_Hlk82038186"/>
      <w:r w:rsidRPr="00EE7A99">
        <w:rPr>
          <w:rFonts w:ascii="Palatino Linotype" w:eastAsia="Times New Roman" w:hAnsi="Palatino Linotype" w:cs="Times New Roman"/>
          <w:i/>
          <w:color w:val="000000"/>
          <w:sz w:val="24"/>
          <w:szCs w:val="24"/>
        </w:rPr>
        <w:t>“</w:t>
      </w:r>
      <w:r w:rsidR="00EE7A99" w:rsidRPr="00EE7A99">
        <w:rPr>
          <w:rFonts w:ascii="Palatino Linotype" w:hAnsi="Palatino Linotype"/>
          <w:i/>
          <w:color w:val="000000"/>
          <w:sz w:val="24"/>
          <w:szCs w:val="24"/>
        </w:rPr>
        <w:t>Solicito a la brevedad el proyecto del relleno sanitario, las facturas pagadas de su construcción y la licitación de la empresa que se encargo de su construcción.</w:t>
      </w:r>
      <w:r w:rsidR="00EE7A99" w:rsidRPr="00DB6E06">
        <w:rPr>
          <w:rFonts w:ascii="Palatino Linotype" w:eastAsia="Times New Roman" w:hAnsi="Palatino Linotype" w:cs="Arial"/>
          <w:i/>
          <w:sz w:val="24"/>
        </w:rPr>
        <w:t xml:space="preserve"> </w:t>
      </w:r>
      <w:r w:rsidRPr="00DB6E06">
        <w:rPr>
          <w:rFonts w:ascii="Palatino Linotype" w:eastAsia="Times New Roman" w:hAnsi="Palatino Linotype" w:cs="Arial"/>
          <w:i/>
          <w:sz w:val="24"/>
        </w:rPr>
        <w:t>(Sic</w:t>
      </w:r>
      <w:r w:rsidRPr="00DB6E06">
        <w:rPr>
          <w:rFonts w:ascii="Palatino Linotype" w:eastAsia="Times New Roman" w:hAnsi="Palatino Linotype" w:cs="Arial"/>
          <w:sz w:val="24"/>
        </w:rPr>
        <w:t>).</w:t>
      </w:r>
    </w:p>
    <w:bookmarkEnd w:id="1"/>
    <w:p w14:paraId="7C1BE55E"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553B548A"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602702AE"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539EB12A"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09FF7DF0"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298F2652"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73BDF23A" w14:textId="77777777" w:rsidR="0051753E" w:rsidRPr="00DB6E06" w:rsidRDefault="0051753E" w:rsidP="0051753E">
      <w:pPr>
        <w:spacing w:after="0" w:line="360" w:lineRule="auto"/>
        <w:jc w:val="both"/>
        <w:rPr>
          <w:rFonts w:ascii="Arial" w:eastAsia="Times New Roman" w:hAnsi="Arial" w:cs="Arial"/>
          <w:shd w:val="clear" w:color="auto" w:fill="FFFFFF"/>
        </w:rPr>
      </w:pPr>
      <w:r w:rsidRPr="00DB6E06">
        <w:rPr>
          <w:rFonts w:ascii="Palatino Linotype" w:eastAsia="Times New Roman" w:hAnsi="Palatino Linotype" w:cs="Arial"/>
          <w:b/>
          <w:sz w:val="24"/>
        </w:rPr>
        <w:t>MODALIDAD DE ENTREGA: a</w:t>
      </w:r>
      <w:r w:rsidRPr="00DB6E06">
        <w:rPr>
          <w:rFonts w:ascii="Palatino Linotype" w:eastAsia="Times New Roman" w:hAnsi="Palatino Linotype" w:cs="Arial"/>
          <w:sz w:val="24"/>
        </w:rPr>
        <w:t xml:space="preserve"> través de</w:t>
      </w:r>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SAIMEX</w:t>
      </w:r>
    </w:p>
    <w:p w14:paraId="59027E20" w14:textId="77777777" w:rsidR="0051753E" w:rsidRPr="00DB6E06" w:rsidRDefault="0051753E" w:rsidP="0051753E">
      <w:pPr>
        <w:spacing w:after="0" w:line="360" w:lineRule="auto"/>
        <w:jc w:val="both"/>
        <w:rPr>
          <w:rFonts w:ascii="Palatino Linotype" w:eastAsia="Times New Roman" w:hAnsi="Palatino Linotype" w:cs="Arial"/>
          <w:sz w:val="24"/>
        </w:rPr>
      </w:pPr>
    </w:p>
    <w:p w14:paraId="4FAD708F" w14:textId="77777777" w:rsidR="0051753E" w:rsidRPr="00DB6E06" w:rsidRDefault="0051753E" w:rsidP="0051753E">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DB6E06">
        <w:rPr>
          <w:rFonts w:ascii="Palatino Linotype" w:eastAsiaTheme="majorEastAsia" w:hAnsi="Palatino Linotype" w:cs="Arial"/>
          <w:b/>
          <w:color w:val="000000" w:themeColor="text1"/>
          <w:sz w:val="28"/>
          <w:szCs w:val="26"/>
          <w:lang w:val="es-ES_tradnl" w:eastAsia="es-MX"/>
        </w:rPr>
        <w:t xml:space="preserve">SEGUNDO. </w:t>
      </w:r>
      <w:r w:rsidRPr="00DB6E06">
        <w:rPr>
          <w:rFonts w:ascii="Palatino Linotype" w:eastAsia="Times New Roman" w:hAnsi="Palatino Linotype" w:cs="Times New Roman"/>
          <w:b/>
          <w:color w:val="000000" w:themeColor="text1"/>
          <w:sz w:val="28"/>
          <w:szCs w:val="26"/>
          <w:lang w:val="es-ES_tradnl" w:eastAsia="es-MX"/>
        </w:rPr>
        <w:t xml:space="preserve">De </w:t>
      </w:r>
      <w:r w:rsidRPr="00DB6E06">
        <w:rPr>
          <w:rFonts w:ascii="Palatino Linotype" w:eastAsiaTheme="majorEastAsia" w:hAnsi="Palatino Linotype" w:cs="Arial"/>
          <w:b/>
          <w:color w:val="000000" w:themeColor="text1"/>
          <w:sz w:val="28"/>
          <w:szCs w:val="20"/>
          <w:lang w:val="es-ES_tradnl" w:eastAsia="es-MX"/>
        </w:rPr>
        <w:t>la falta de respuestas del Sujeto Obligado.</w:t>
      </w:r>
    </w:p>
    <w:p w14:paraId="4BC3FD1C" w14:textId="77777777" w:rsidR="0051753E" w:rsidRPr="00DB6E06" w:rsidRDefault="0051753E" w:rsidP="0051753E">
      <w:pPr>
        <w:spacing w:before="24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En el expediente electrónico </w:t>
      </w:r>
      <w:r w:rsidRPr="00DB6E06">
        <w:rPr>
          <w:rFonts w:ascii="Palatino Linotype" w:eastAsia="Times New Roman" w:hAnsi="Palatino Linotype" w:cs="Arial"/>
          <w:b/>
          <w:sz w:val="24"/>
          <w:szCs w:val="24"/>
        </w:rPr>
        <w:t>SAIMEX</w:t>
      </w:r>
      <w:r w:rsidRPr="00DB6E06">
        <w:rPr>
          <w:rFonts w:ascii="Palatino Linotype" w:eastAsia="Times New Roman" w:hAnsi="Palatino Linotype" w:cs="Arial"/>
          <w:sz w:val="24"/>
          <w:szCs w:val="24"/>
        </w:rPr>
        <w:t xml:space="preserve">, se aprecia que </w:t>
      </w:r>
      <w:r w:rsidRPr="00DB6E06">
        <w:rPr>
          <w:rFonts w:ascii="Palatino Linotype" w:eastAsia="Times New Roman" w:hAnsi="Palatino Linotype" w:cs="Arial"/>
          <w:b/>
          <w:sz w:val="24"/>
          <w:szCs w:val="24"/>
        </w:rPr>
        <w:t xml:space="preserve">El Sujeto Obligado </w:t>
      </w:r>
      <w:r w:rsidRPr="00DB6E06">
        <w:rPr>
          <w:rFonts w:ascii="Palatino Linotype" w:eastAsia="Times New Roman" w:hAnsi="Palatino Linotype" w:cs="Arial"/>
          <w:sz w:val="24"/>
          <w:szCs w:val="24"/>
        </w:rPr>
        <w:t xml:space="preserve">fue omiso en dar respuesta a la solicitud de información presentada por </w:t>
      </w:r>
      <w:r w:rsidRPr="00DB6E06">
        <w:rPr>
          <w:rFonts w:ascii="Palatino Linotype" w:eastAsia="Times New Roman" w:hAnsi="Palatino Linotype" w:cs="Arial"/>
          <w:b/>
          <w:sz w:val="24"/>
          <w:szCs w:val="24"/>
        </w:rPr>
        <w:t xml:space="preserve">el Recurrente, </w:t>
      </w:r>
      <w:r w:rsidRPr="00DB6E06">
        <w:rPr>
          <w:rFonts w:ascii="Palatino Linotype" w:eastAsia="Times New Roman" w:hAnsi="Palatino Linotype" w:cs="Arial"/>
          <w:sz w:val="24"/>
          <w:szCs w:val="24"/>
        </w:rPr>
        <w:t xml:space="preserve">derivado de lo anterior, se constituye la figura de la </w:t>
      </w:r>
      <w:r w:rsidRPr="00DB6E06">
        <w:rPr>
          <w:rFonts w:ascii="Palatino Linotype" w:eastAsia="Times New Roman" w:hAnsi="Palatino Linotype" w:cs="Arial"/>
          <w:b/>
          <w:sz w:val="24"/>
          <w:szCs w:val="24"/>
        </w:rPr>
        <w:t xml:space="preserve">NEGATIVA FICTA, </w:t>
      </w:r>
      <w:r w:rsidRPr="00DB6E06">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38D1E8E0" w14:textId="77777777" w:rsidR="0051753E" w:rsidRPr="00DB6E06" w:rsidRDefault="0051753E" w:rsidP="0051753E">
      <w:pPr>
        <w:spacing w:after="0" w:line="360" w:lineRule="auto"/>
        <w:jc w:val="both"/>
        <w:rPr>
          <w:rFonts w:ascii="Palatino Linotype" w:eastAsia="Times New Roman" w:hAnsi="Palatino Linotype" w:cs="Arial"/>
          <w:sz w:val="24"/>
        </w:rPr>
      </w:pPr>
    </w:p>
    <w:p w14:paraId="67DF9AB6" w14:textId="77777777" w:rsidR="0051753E" w:rsidRPr="00DB6E06" w:rsidRDefault="0051753E" w:rsidP="0051753E">
      <w:pPr>
        <w:spacing w:after="0" w:line="360" w:lineRule="auto"/>
        <w:jc w:val="both"/>
        <w:rPr>
          <w:rFonts w:ascii="Palatino Linotype" w:eastAsia="Times New Roman" w:hAnsi="Palatino Linotype" w:cs="Arial"/>
          <w:b/>
          <w:sz w:val="28"/>
        </w:rPr>
      </w:pPr>
      <w:r w:rsidRPr="00DB6E06">
        <w:rPr>
          <w:rFonts w:ascii="Palatino Linotype" w:eastAsia="Times New Roman" w:hAnsi="Palatino Linotype" w:cs="Arial"/>
          <w:b/>
          <w:sz w:val="28"/>
        </w:rPr>
        <w:t xml:space="preserve">TERCERO. </w:t>
      </w:r>
      <w:r w:rsidRPr="00DB6E06">
        <w:rPr>
          <w:rFonts w:ascii="Palatino Linotype" w:eastAsia="Times New Roman" w:hAnsi="Palatino Linotype" w:cs="Times New Roman"/>
          <w:b/>
          <w:sz w:val="28"/>
        </w:rPr>
        <w:t>Del recurso de revisión.</w:t>
      </w:r>
    </w:p>
    <w:p w14:paraId="083F20F2" w14:textId="77777777"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sz w:val="24"/>
          <w:szCs w:val="24"/>
        </w:rPr>
        <w:t>Inconforme con la falta de respuesta notificada por 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el Recurrente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interpuso el presente recurso de revisión, en fecha </w:t>
      </w:r>
      <w:r w:rsidR="00EE7A99">
        <w:rPr>
          <w:rFonts w:ascii="Palatino Linotype" w:eastAsia="Times New Roman" w:hAnsi="Palatino Linotype" w:cs="Times New Roman"/>
          <w:b/>
          <w:bCs/>
          <w:sz w:val="24"/>
        </w:rPr>
        <w:t xml:space="preserve">once de enero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el cual fue registrado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en el sistema electrónico con el expediente número </w:t>
      </w:r>
      <w:r w:rsidR="00EE7A99">
        <w:rPr>
          <w:rFonts w:ascii="Palatino Linotype" w:eastAsia="Times New Roman" w:hAnsi="Palatino Linotype" w:cs="Arial"/>
          <w:b/>
          <w:sz w:val="24"/>
          <w:szCs w:val="24"/>
        </w:rPr>
        <w:t>000</w:t>
      </w:r>
      <w:r>
        <w:rPr>
          <w:rFonts w:ascii="Palatino Linotype" w:eastAsia="Times New Roman" w:hAnsi="Palatino Linotype" w:cs="Arial"/>
          <w:b/>
          <w:sz w:val="24"/>
          <w:szCs w:val="24"/>
        </w:rPr>
        <w:t>10</w:t>
      </w:r>
      <w:r w:rsidRPr="00DB6E06">
        <w:rPr>
          <w:rFonts w:ascii="Palatino Linotype" w:eastAsia="Times New Roman" w:hAnsi="Palatino Linotype" w:cs="Arial"/>
          <w:b/>
          <w:bCs/>
          <w:sz w:val="24"/>
          <w:szCs w:val="24"/>
          <w:lang w:eastAsia="es-MX"/>
        </w:rPr>
        <w:t>/INFOEM/IP/RR/202</w:t>
      </w:r>
      <w:r>
        <w:rPr>
          <w:rFonts w:ascii="Palatino Linotype" w:eastAsia="Times New Roman" w:hAnsi="Palatino Linotype" w:cs="Arial"/>
          <w:b/>
          <w:bCs/>
          <w:sz w:val="24"/>
          <w:szCs w:val="24"/>
          <w:lang w:eastAsia="es-MX"/>
        </w:rPr>
        <w:t>4</w:t>
      </w:r>
      <w:r w:rsidRPr="00DB6E06">
        <w:rPr>
          <w:rFonts w:ascii="Palatino Linotype" w:eastAsia="Times New Roman" w:hAnsi="Palatino Linotype" w:cs="Arial"/>
          <w:sz w:val="24"/>
          <w:szCs w:val="24"/>
        </w:rPr>
        <w:t xml:space="preserve">, en el cual </w:t>
      </w:r>
      <w:r w:rsidRPr="00DB6E06">
        <w:rPr>
          <w:rFonts w:ascii="Palatino Linotype" w:eastAsia="Times New Roman" w:hAnsi="Palatino Linotype" w:cs="Arial"/>
          <w:sz w:val="24"/>
        </w:rPr>
        <w:t>arguye, las siguientes manifestaciones:</w:t>
      </w:r>
    </w:p>
    <w:p w14:paraId="78DF9BCF" w14:textId="77777777" w:rsidR="0051753E" w:rsidRPr="00DB6E06" w:rsidRDefault="0051753E" w:rsidP="0051753E">
      <w:pPr>
        <w:spacing w:after="0" w:line="360" w:lineRule="auto"/>
        <w:jc w:val="both"/>
        <w:rPr>
          <w:rFonts w:ascii="Palatino Linotype" w:eastAsia="Times New Roman" w:hAnsi="Palatino Linotype" w:cs="Arial"/>
          <w:sz w:val="24"/>
        </w:rPr>
      </w:pPr>
    </w:p>
    <w:p w14:paraId="3569415F" w14:textId="77777777" w:rsidR="0051753E" w:rsidRPr="00DB6E06" w:rsidRDefault="0051753E" w:rsidP="0051753E">
      <w:pPr>
        <w:spacing w:after="0" w:line="240" w:lineRule="auto"/>
        <w:ind w:left="720"/>
        <w:jc w:val="both"/>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4"/>
          <w:szCs w:val="24"/>
          <w:lang w:val="es-ES" w:eastAsia="es-ES"/>
        </w:rPr>
        <w:t xml:space="preserve">Acto Impugnado </w:t>
      </w:r>
    </w:p>
    <w:p w14:paraId="21FDA604" w14:textId="77777777"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r w:rsidRPr="00DB6E06">
        <w:rPr>
          <w:rFonts w:ascii="Palatino Linotype" w:eastAsia="Times New Roman" w:hAnsi="Palatino Linotype" w:cs="Times New Roman"/>
          <w:i/>
          <w:color w:val="000000"/>
          <w:lang w:val="es-ES" w:eastAsia="es-ES"/>
        </w:rPr>
        <w:t>“</w:t>
      </w:r>
      <w:r w:rsidR="00EE7A99" w:rsidRPr="00EE7A99">
        <w:rPr>
          <w:rFonts w:ascii="Palatino Linotype" w:hAnsi="Palatino Linotype"/>
          <w:i/>
          <w:color w:val="000000"/>
          <w:sz w:val="24"/>
          <w:szCs w:val="24"/>
        </w:rPr>
        <w:t>Negativa de la información</w:t>
      </w:r>
      <w:r w:rsidRPr="0051753E">
        <w:rPr>
          <w:rFonts w:ascii="Palatino Linotype" w:eastAsia="Times New Roman" w:hAnsi="Palatino Linotype" w:cs="Times New Roman"/>
          <w:i/>
          <w:color w:val="000000"/>
          <w:lang w:val="es-ES" w:eastAsia="es-ES"/>
        </w:rPr>
        <w:t>”</w:t>
      </w:r>
      <w:r w:rsidRPr="00DB6E06">
        <w:rPr>
          <w:rFonts w:ascii="Palatino Linotype" w:eastAsia="Times New Roman" w:hAnsi="Palatino Linotype" w:cs="Times New Roman"/>
          <w:i/>
          <w:color w:val="000000"/>
          <w:sz w:val="24"/>
          <w:szCs w:val="24"/>
          <w:lang w:val="es-ES" w:eastAsia="es-ES"/>
        </w:rPr>
        <w:t xml:space="preserve"> (sic)</w:t>
      </w:r>
    </w:p>
    <w:p w14:paraId="1AD6AC64" w14:textId="77777777"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p>
    <w:p w14:paraId="38A03000" w14:textId="77777777" w:rsidR="0051753E" w:rsidRPr="00DB6E06" w:rsidRDefault="0051753E" w:rsidP="0051753E">
      <w:pPr>
        <w:spacing w:after="0" w:line="240" w:lineRule="auto"/>
        <w:ind w:left="720"/>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Times New Roman"/>
          <w:b/>
          <w:sz w:val="24"/>
          <w:szCs w:val="24"/>
          <w:lang w:val="es-ES" w:eastAsia="es-ES"/>
        </w:rPr>
        <w:t>Razones o motivos de inconformidad:</w:t>
      </w:r>
    </w:p>
    <w:p w14:paraId="745E4843" w14:textId="77777777" w:rsidR="0051753E" w:rsidRPr="0051753E" w:rsidRDefault="0051753E" w:rsidP="0051753E">
      <w:pPr>
        <w:spacing w:after="0" w:line="240" w:lineRule="auto"/>
        <w:ind w:left="720"/>
        <w:jc w:val="both"/>
        <w:rPr>
          <w:rFonts w:ascii="Palatino Linotype" w:eastAsia="Times New Roman" w:hAnsi="Palatino Linotype" w:cs="Times New Roman"/>
          <w:color w:val="000000"/>
          <w:lang w:val="es-ES" w:eastAsia="es-ES"/>
        </w:rPr>
      </w:pPr>
      <w:r w:rsidRPr="0051753E">
        <w:rPr>
          <w:rFonts w:ascii="Palatino Linotype" w:eastAsia="Times New Roman" w:hAnsi="Palatino Linotype" w:cs="Times New Roman"/>
          <w:color w:val="000000"/>
          <w:lang w:val="es-ES" w:eastAsia="es-ES"/>
        </w:rPr>
        <w:t>“</w:t>
      </w:r>
      <w:r w:rsidR="00EE7A99" w:rsidRPr="00EE7A99">
        <w:rPr>
          <w:rFonts w:ascii="Palatino Linotype" w:hAnsi="Palatino Linotype"/>
          <w:i/>
          <w:color w:val="000000"/>
          <w:sz w:val="24"/>
          <w:szCs w:val="24"/>
        </w:rPr>
        <w:t>No se ha entregado la información solicitada lo cual indica actos de corrupción</w:t>
      </w:r>
      <w:r w:rsidRPr="0051753E">
        <w:rPr>
          <w:rFonts w:ascii="Palatino Linotype" w:eastAsia="Times New Roman" w:hAnsi="Palatino Linotype" w:cs="Times New Roman"/>
          <w:iCs/>
          <w:color w:val="000000"/>
          <w:lang w:val="es-ES" w:eastAsia="es-ES"/>
        </w:rPr>
        <w:t>"</w:t>
      </w:r>
      <w:r w:rsidR="00EE7A99">
        <w:rPr>
          <w:rFonts w:ascii="Palatino Linotype" w:eastAsia="Times New Roman" w:hAnsi="Palatino Linotype" w:cs="Times New Roman"/>
          <w:iCs/>
          <w:color w:val="000000"/>
          <w:lang w:val="es-ES" w:eastAsia="es-ES"/>
        </w:rPr>
        <w:t xml:space="preserve"> </w:t>
      </w:r>
      <w:r w:rsidRPr="0051753E">
        <w:rPr>
          <w:rFonts w:ascii="Palatino Linotype" w:eastAsia="Times New Roman" w:hAnsi="Palatino Linotype" w:cs="Times New Roman"/>
          <w:iCs/>
          <w:color w:val="000000"/>
          <w:lang w:val="es-ES" w:eastAsia="es-ES"/>
        </w:rPr>
        <w:t>(</w:t>
      </w:r>
      <w:r w:rsidRPr="0051753E">
        <w:rPr>
          <w:rFonts w:ascii="Palatino Linotype" w:eastAsia="Times New Roman" w:hAnsi="Palatino Linotype" w:cs="Times New Roman"/>
          <w:color w:val="000000"/>
          <w:lang w:val="es-ES" w:eastAsia="es-ES"/>
        </w:rPr>
        <w:t>sic)</w:t>
      </w:r>
    </w:p>
    <w:p w14:paraId="6007317E" w14:textId="77777777" w:rsidR="0051753E" w:rsidRPr="00DB6E06" w:rsidRDefault="0051753E" w:rsidP="0051753E">
      <w:pPr>
        <w:spacing w:after="0" w:line="240" w:lineRule="auto"/>
        <w:jc w:val="both"/>
        <w:rPr>
          <w:rFonts w:ascii="Palatino Linotype" w:eastAsia="Times New Roman" w:hAnsi="Palatino Linotype" w:cs="Times New Roman"/>
          <w:i/>
          <w:lang w:eastAsia="es-ES"/>
        </w:rPr>
      </w:pPr>
    </w:p>
    <w:p w14:paraId="0F02920F"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70A9F069" w14:textId="77777777" w:rsidR="0051753E" w:rsidRPr="00DB6E06" w:rsidRDefault="0051753E" w:rsidP="0051753E">
      <w:pPr>
        <w:spacing w:after="0" w:line="360" w:lineRule="auto"/>
        <w:jc w:val="both"/>
        <w:rPr>
          <w:rFonts w:ascii="Palatino Linotype" w:eastAsia="Times New Roman" w:hAnsi="Palatino Linotype" w:cs="Arial"/>
          <w:b/>
          <w:sz w:val="24"/>
          <w:szCs w:val="24"/>
        </w:rPr>
      </w:pPr>
      <w:r w:rsidRPr="00DB6E06">
        <w:rPr>
          <w:rFonts w:ascii="Palatino Linotype" w:eastAsia="Times New Roman" w:hAnsi="Palatino Linotype" w:cs="Arial"/>
          <w:b/>
          <w:sz w:val="28"/>
        </w:rPr>
        <w:t>CUARTO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b/>
          <w:sz w:val="28"/>
          <w:szCs w:val="28"/>
        </w:rPr>
        <w:t>Del turno y admisión del recurso de revisión.</w:t>
      </w:r>
    </w:p>
    <w:p w14:paraId="4278D75E"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El medio de impugnación le fue turnado al Comisionado Presidente </w:t>
      </w:r>
      <w:r w:rsidRPr="00DB6E06">
        <w:rPr>
          <w:rFonts w:ascii="Palatino Linotype" w:eastAsia="Times New Roman" w:hAnsi="Palatino Linotype" w:cs="Arial"/>
          <w:b/>
          <w:sz w:val="24"/>
          <w:szCs w:val="24"/>
        </w:rPr>
        <w:t>José Martínez Vilchis</w:t>
      </w:r>
      <w:r w:rsidRPr="00DB6E06">
        <w:rPr>
          <w:rFonts w:ascii="Palatino Linotype" w:eastAsia="Times New Roman" w:hAnsi="Palatino Linotype" w:cs="Arial"/>
          <w:sz w:val="24"/>
          <w:szCs w:val="24"/>
        </w:rPr>
        <w:t xml:space="preserve">, por medio del sistema electrónico en términos del arábigo 185, fracción I, de la Ley de Transparencia y Acceso a la información Pública del Estado de México y </w:t>
      </w:r>
      <w:r w:rsidRPr="00DB6E06">
        <w:rPr>
          <w:rFonts w:ascii="Palatino Linotype" w:eastAsia="Times New Roman" w:hAnsi="Palatino Linotype" w:cs="Arial"/>
          <w:sz w:val="24"/>
          <w:szCs w:val="24"/>
        </w:rPr>
        <w:lastRenderedPageBreak/>
        <w:t xml:space="preserve">Municipios, del cual recayó el </w:t>
      </w:r>
      <w:r w:rsidRPr="00DB6E06">
        <w:rPr>
          <w:rFonts w:ascii="Palatino Linotype" w:eastAsia="Times New Roman" w:hAnsi="Palatino Linotype" w:cs="Arial"/>
          <w:b/>
          <w:sz w:val="24"/>
          <w:szCs w:val="24"/>
        </w:rPr>
        <w:t>acuerdo de admisión</w:t>
      </w:r>
      <w:r w:rsidRPr="00DB6E06">
        <w:rPr>
          <w:rFonts w:ascii="Palatino Linotype" w:eastAsia="Times New Roman" w:hAnsi="Palatino Linotype" w:cs="Arial"/>
          <w:sz w:val="24"/>
          <w:szCs w:val="24"/>
        </w:rPr>
        <w:t xml:space="preserve"> en fecha </w:t>
      </w:r>
      <w:r w:rsidR="00EE7A99">
        <w:rPr>
          <w:rFonts w:ascii="Palatino Linotype" w:eastAsia="Times New Roman" w:hAnsi="Palatino Linotype" w:cs="Times New Roman"/>
          <w:sz w:val="24"/>
        </w:rPr>
        <w:t xml:space="preserve">dieciocho de enero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determinándose en él, un plazo de siete días para que las partes manifestaran lo que a su derecho corresponda en términos del numeral ya citado.</w:t>
      </w:r>
    </w:p>
    <w:p w14:paraId="30EB084B"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43A9E23D"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QUINTO. </w:t>
      </w:r>
      <w:r w:rsidRPr="00DB6E06">
        <w:rPr>
          <w:rFonts w:ascii="Palatino Linotype" w:eastAsia="Times New Roman" w:hAnsi="Palatino Linotype" w:cs="Arial"/>
          <w:b/>
          <w:sz w:val="28"/>
          <w:szCs w:val="28"/>
        </w:rPr>
        <w:t>De la etapa de instrucción.</w:t>
      </w:r>
    </w:p>
    <w:p w14:paraId="67591274"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Una vez abierta la etapa de instrucción, se advierte que 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fue omiso en rendir sus informes justificados. De igual manera, se advierte que el Recurrente</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omitió rendir dentro del término de Ley, las manifestaciones que a sus intereses conviniera.</w:t>
      </w:r>
    </w:p>
    <w:p w14:paraId="5F25D33E" w14:textId="77777777" w:rsidR="0051753E" w:rsidRPr="00DB6E06" w:rsidRDefault="0051753E" w:rsidP="0051753E">
      <w:pPr>
        <w:spacing w:after="0" w:line="360" w:lineRule="auto"/>
        <w:rPr>
          <w:rFonts w:ascii="Palatino Linotype" w:eastAsia="Times New Roman" w:hAnsi="Palatino Linotype" w:cs="Arial"/>
          <w:sz w:val="24"/>
          <w:szCs w:val="24"/>
        </w:rPr>
      </w:pPr>
    </w:p>
    <w:p w14:paraId="4925C8F7"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499B8498"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6E3AA564"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SEXTO. </w:t>
      </w:r>
      <w:r w:rsidRPr="00DB6E06">
        <w:rPr>
          <w:rFonts w:ascii="Palatino Linotype" w:eastAsia="Times New Roman" w:hAnsi="Palatino Linotype" w:cs="Arial"/>
          <w:b/>
          <w:sz w:val="28"/>
          <w:szCs w:val="28"/>
        </w:rPr>
        <w:t>Del cierre de la etapa de instrucción.</w:t>
      </w:r>
    </w:p>
    <w:p w14:paraId="5AE7D5ED" w14:textId="77777777" w:rsidR="0051753E"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En fecha</w:t>
      </w:r>
      <w:r w:rsidRPr="00DB6E06">
        <w:rPr>
          <w:rFonts w:ascii="Palatino Linotype" w:eastAsia="Times New Roman" w:hAnsi="Palatino Linotype" w:cs="Arial"/>
          <w:b/>
          <w:bCs/>
          <w:sz w:val="24"/>
          <w:szCs w:val="24"/>
        </w:rPr>
        <w:t xml:space="preserve"> </w:t>
      </w:r>
      <w:r w:rsidR="00EE7A99">
        <w:rPr>
          <w:rFonts w:ascii="Palatino Linotype" w:eastAsia="Times New Roman" w:hAnsi="Palatino Linotype" w:cs="Arial"/>
          <w:b/>
          <w:bCs/>
          <w:sz w:val="24"/>
          <w:szCs w:val="24"/>
        </w:rPr>
        <w:t xml:space="preserve">treinta de enero </w:t>
      </w:r>
      <w:r w:rsidRPr="00DB6E06">
        <w:rPr>
          <w:rFonts w:ascii="Palatino Linotype" w:eastAsia="Times New Roman" w:hAnsi="Palatino Linotype" w:cs="Times New Roman"/>
          <w:sz w:val="24"/>
        </w:rPr>
        <w:t>de dos mil veinticuatro</w:t>
      </w:r>
      <w:r w:rsidRPr="00DB6E06">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0B06D4D2" w14:textId="77777777" w:rsidR="00EE7A99" w:rsidRDefault="00EE7A99" w:rsidP="0051753E">
      <w:pPr>
        <w:spacing w:after="0" w:line="360" w:lineRule="auto"/>
        <w:jc w:val="both"/>
        <w:rPr>
          <w:rFonts w:ascii="Palatino Linotype" w:eastAsia="Times New Roman" w:hAnsi="Palatino Linotype" w:cs="Arial"/>
          <w:sz w:val="24"/>
          <w:szCs w:val="24"/>
        </w:rPr>
      </w:pPr>
    </w:p>
    <w:p w14:paraId="201F2919" w14:textId="77777777" w:rsidR="00EE7A99" w:rsidRPr="00C8247B" w:rsidRDefault="00EE7A99" w:rsidP="00EE7A99">
      <w:pPr>
        <w:spacing w:line="360" w:lineRule="auto"/>
        <w:jc w:val="both"/>
        <w:rPr>
          <w:rFonts w:ascii="Palatino Linotype" w:hAnsi="Palatino Linotype" w:cs="Arial"/>
          <w:b/>
          <w:sz w:val="28"/>
          <w:szCs w:val="28"/>
          <w:lang w:val="es-419"/>
        </w:rPr>
      </w:pPr>
      <w:r>
        <w:rPr>
          <w:rFonts w:ascii="Palatino Linotype" w:hAnsi="Palatino Linotype" w:cs="Arial"/>
          <w:b/>
          <w:sz w:val="28"/>
          <w:szCs w:val="28"/>
        </w:rPr>
        <w:t>SÉPTIMO</w:t>
      </w:r>
      <w:r w:rsidRPr="00C8247B">
        <w:rPr>
          <w:rFonts w:ascii="Palatino Linotype" w:hAnsi="Palatino Linotype" w:cs="Arial"/>
          <w:b/>
          <w:sz w:val="28"/>
          <w:szCs w:val="28"/>
        </w:rPr>
        <w:t>. Ampliación del término para resolver</w:t>
      </w:r>
      <w:r>
        <w:rPr>
          <w:rFonts w:ascii="Palatino Linotype" w:hAnsi="Palatino Linotype" w:cs="Arial"/>
          <w:b/>
          <w:sz w:val="28"/>
          <w:szCs w:val="28"/>
          <w:lang w:val="es-419"/>
        </w:rPr>
        <w:t>.</w:t>
      </w:r>
    </w:p>
    <w:p w14:paraId="66786F62" w14:textId="77777777" w:rsidR="00EE7A99" w:rsidRPr="00EE7A99" w:rsidRDefault="00EE7A99" w:rsidP="00947249">
      <w:pPr>
        <w:spacing w:line="360" w:lineRule="auto"/>
        <w:jc w:val="both"/>
        <w:rPr>
          <w:rFonts w:ascii="Palatino Linotype" w:hAnsi="Palatino Linotype" w:cs="Arial"/>
          <w:sz w:val="24"/>
          <w:szCs w:val="24"/>
        </w:rPr>
      </w:pPr>
      <w:r w:rsidRPr="00EE7A99">
        <w:rPr>
          <w:rFonts w:ascii="Palatino Linotype" w:hAnsi="Palatino Linotype" w:cs="Arial"/>
          <w:sz w:val="24"/>
          <w:szCs w:val="24"/>
        </w:rPr>
        <w:lastRenderedPageBreak/>
        <w:t>Posteriormente, en fecha</w:t>
      </w:r>
      <w:r>
        <w:rPr>
          <w:rFonts w:ascii="Palatino Linotype" w:hAnsi="Palatino Linotype" w:cs="Arial"/>
          <w:b/>
          <w:sz w:val="24"/>
          <w:szCs w:val="24"/>
        </w:rPr>
        <w:t xml:space="preserve"> siete de marzo de dos mil veinticuatro</w:t>
      </w:r>
      <w:r w:rsidRPr="00EE7A99">
        <w:rPr>
          <w:rFonts w:ascii="Palatino Linotype" w:hAnsi="Palatino Linotype" w:cs="Arial"/>
          <w:sz w:val="24"/>
          <w:szCs w:val="24"/>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3555F17F"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sz w:val="24"/>
          <w:szCs w:val="24"/>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D1E6862"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29749DF"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F9DACA" w14:textId="77777777" w:rsidR="00EE7A99" w:rsidRPr="00EE7A99" w:rsidRDefault="00EE7A99" w:rsidP="00EE7A99">
      <w:pPr>
        <w:spacing w:line="360" w:lineRule="auto"/>
        <w:jc w:val="both"/>
        <w:rPr>
          <w:rFonts w:ascii="Palatino Linotype" w:hAnsi="Palatino Linotype"/>
          <w:sz w:val="24"/>
          <w:szCs w:val="24"/>
        </w:rPr>
      </w:pPr>
    </w:p>
    <w:p w14:paraId="5C4B24A3"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9C97654"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sz w:val="24"/>
          <w:szCs w:val="24"/>
        </w:rPr>
        <w:t xml:space="preserve">Por ello, excepcionalmente, si un asunto es resuelto con posterioridad a los plazos señalados por la norma debe analizarse la razonabilidad de dicha dilación atendiendo a los siguientes criterios:   </w:t>
      </w:r>
    </w:p>
    <w:p w14:paraId="50CD4AAF" w14:textId="77777777" w:rsidR="00EE7A99" w:rsidRPr="00EE7A99" w:rsidRDefault="00EE7A99" w:rsidP="00EE7A99">
      <w:pPr>
        <w:pStyle w:val="Prrafodelista"/>
        <w:numPr>
          <w:ilvl w:val="0"/>
          <w:numId w:val="4"/>
        </w:numPr>
        <w:contextualSpacing/>
      </w:pPr>
      <w:r w:rsidRPr="00EE7A99">
        <w:rPr>
          <w:b/>
        </w:rPr>
        <w:t>Complejidad del Asunto:</w:t>
      </w:r>
      <w:r w:rsidRPr="00EE7A99">
        <w:t xml:space="preserve"> La complejidad de la prueba, la pluralidad de sujetos procesales, el tiempo transcurrido, las características y contexto del recurso.</w:t>
      </w:r>
    </w:p>
    <w:p w14:paraId="6EB6F111" w14:textId="77777777" w:rsidR="00EE7A99" w:rsidRPr="00EE7A99" w:rsidRDefault="00EE7A99" w:rsidP="00EE7A99">
      <w:pPr>
        <w:pStyle w:val="Prrafodelista"/>
        <w:numPr>
          <w:ilvl w:val="0"/>
          <w:numId w:val="4"/>
        </w:numPr>
        <w:contextualSpacing/>
      </w:pPr>
      <w:r w:rsidRPr="00EE7A99">
        <w:rPr>
          <w:b/>
        </w:rPr>
        <w:t>Actividad Procesal del interesado.</w:t>
      </w:r>
      <w:r w:rsidRPr="00EE7A99">
        <w:t xml:space="preserve"> Acciones u omisiones del interesado.</w:t>
      </w:r>
    </w:p>
    <w:p w14:paraId="7B4AFCAD" w14:textId="77777777" w:rsidR="00EE7A99" w:rsidRPr="00EE7A99" w:rsidRDefault="00EE7A99" w:rsidP="00EE7A99">
      <w:pPr>
        <w:pStyle w:val="Prrafodelista"/>
        <w:numPr>
          <w:ilvl w:val="0"/>
          <w:numId w:val="4"/>
        </w:numPr>
        <w:contextualSpacing/>
      </w:pPr>
      <w:r w:rsidRPr="00EE7A99">
        <w:rPr>
          <w:b/>
        </w:rPr>
        <w:t>Conducta de la Autoridad:</w:t>
      </w:r>
      <w:r w:rsidRPr="00EE7A99">
        <w:t xml:space="preserve"> Las Acciones u omisiones realizadas en el procedimiento. Así como si la autoridad actuó con la debida diligencia.</w:t>
      </w:r>
    </w:p>
    <w:p w14:paraId="06CC8172" w14:textId="77777777" w:rsidR="00EE7A99" w:rsidRPr="00EE7A99" w:rsidRDefault="00EE7A99" w:rsidP="00EE7A99">
      <w:pPr>
        <w:pStyle w:val="Prrafodelista"/>
        <w:numPr>
          <w:ilvl w:val="0"/>
          <w:numId w:val="4"/>
        </w:numPr>
        <w:contextualSpacing/>
      </w:pPr>
      <w:r w:rsidRPr="00EE7A99">
        <w:rPr>
          <w:b/>
        </w:rPr>
        <w:t>La afectación generada en la situación jurídica de la persona involucrada en el proceso:</w:t>
      </w:r>
      <w:r w:rsidRPr="00EE7A99">
        <w:t xml:space="preserve"> Violación a sus derechos humanos.</w:t>
      </w:r>
    </w:p>
    <w:p w14:paraId="6E8EAAFB" w14:textId="77777777" w:rsidR="00EE7A99" w:rsidRPr="00EE7A99" w:rsidRDefault="00EE7A99" w:rsidP="00EE7A99">
      <w:pPr>
        <w:spacing w:line="360" w:lineRule="auto"/>
        <w:jc w:val="both"/>
        <w:rPr>
          <w:rFonts w:ascii="Palatino Linotype" w:hAnsi="Palatino Linotype"/>
          <w:sz w:val="24"/>
          <w:szCs w:val="24"/>
        </w:rPr>
      </w:pPr>
    </w:p>
    <w:p w14:paraId="724264B4"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81E419A" w14:textId="77777777" w:rsidR="00EE7A99" w:rsidRPr="00EE7A99" w:rsidRDefault="00EE7A99" w:rsidP="00EE7A99">
      <w:pPr>
        <w:spacing w:line="360" w:lineRule="auto"/>
        <w:jc w:val="both"/>
        <w:rPr>
          <w:rFonts w:ascii="Palatino Linotype" w:hAnsi="Palatino Linotype"/>
          <w:sz w:val="24"/>
          <w:szCs w:val="24"/>
        </w:rPr>
      </w:pPr>
    </w:p>
    <w:p w14:paraId="3BC7A6A9" w14:textId="77777777" w:rsidR="00EE7A99" w:rsidRPr="00947249" w:rsidRDefault="00EE7A99" w:rsidP="00EE7A99">
      <w:pPr>
        <w:spacing w:line="360" w:lineRule="auto"/>
        <w:jc w:val="both"/>
        <w:rPr>
          <w:rFonts w:ascii="Palatino Linotype" w:hAnsi="Palatino Linotype"/>
          <w:b/>
          <w:sz w:val="24"/>
          <w:szCs w:val="24"/>
        </w:rPr>
      </w:pPr>
      <w:r w:rsidRPr="00EE7A99">
        <w:rPr>
          <w:rFonts w:ascii="Palatino Linotype" w:hAnsi="Palatino Linotype"/>
          <w:sz w:val="24"/>
          <w:szCs w:val="24"/>
        </w:rPr>
        <w:lastRenderedPageBreak/>
        <w:t xml:space="preserve">Argumento que encuentra sustento en la jurisprudencia P./J. 32/92 emitida por el Pleno de la Suprema Corte de Justicia de la Nación de rubro </w:t>
      </w:r>
      <w:r w:rsidRPr="00EE7A99">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EE7A99">
        <w:rPr>
          <w:rFonts w:ascii="Palatino Linotype" w:hAnsi="Palatino Linotype"/>
          <w:sz w:val="24"/>
          <w:szCs w:val="24"/>
        </w:rPr>
        <w:t>, visible en la Gaceta del Seminario Judicial de la Federación con el registro digital 205635.</w:t>
      </w:r>
    </w:p>
    <w:p w14:paraId="755162A7"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E42A8E3"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6E55EEFE"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71BE8101" w14:textId="77777777" w:rsidR="00EE7A99" w:rsidRPr="00EE7A99" w:rsidRDefault="00EE7A99" w:rsidP="00EE7A99">
      <w:pPr>
        <w:spacing w:line="360" w:lineRule="auto"/>
        <w:jc w:val="both"/>
        <w:rPr>
          <w:rFonts w:ascii="Palatino Linotype" w:hAnsi="Palatino Linotype"/>
          <w:sz w:val="24"/>
          <w:szCs w:val="24"/>
        </w:rPr>
      </w:pPr>
    </w:p>
    <w:p w14:paraId="3467F195" w14:textId="77777777" w:rsidR="00EE7A99" w:rsidRPr="00947249" w:rsidRDefault="00EE7A99" w:rsidP="00EE7A99">
      <w:pPr>
        <w:spacing w:line="360" w:lineRule="auto"/>
        <w:jc w:val="both"/>
        <w:rPr>
          <w:rFonts w:ascii="Palatino Linotype" w:hAnsi="Palatino Linotype"/>
          <w:sz w:val="24"/>
          <w:szCs w:val="24"/>
        </w:rPr>
      </w:pPr>
      <w:r w:rsidRPr="00EE7A99">
        <w:rPr>
          <w:rFonts w:ascii="Palatino Linotype" w:hAnsi="Palatino Linotype"/>
          <w:i/>
          <w:sz w:val="24"/>
          <w:szCs w:val="24"/>
        </w:rPr>
        <w:lastRenderedPageBreak/>
        <w:t>“PLAZO RAZONABLE PARA RESOLVER. DIMENSIÓN Y EFECTOS DE ESTE CONCEPTO CUANDO SE ADUCE EXCESIVA CARGA DE TRABAJO.”</w:t>
      </w:r>
      <w:r w:rsidRPr="00EE7A99">
        <w:rPr>
          <w:rFonts w:ascii="Palatino Linotype" w:hAnsi="Palatino Linotype"/>
          <w:sz w:val="24"/>
          <w:szCs w:val="24"/>
        </w:rPr>
        <w:t xml:space="preserve"> consultable en el Seminario Judicial de la Federación y su gaceta, con el registro digital 2002351.</w:t>
      </w:r>
    </w:p>
    <w:p w14:paraId="12ABC277" w14:textId="77777777" w:rsidR="00EE7A99" w:rsidRPr="00EE7A99" w:rsidRDefault="00EE7A99" w:rsidP="00EE7A99">
      <w:pPr>
        <w:spacing w:line="360" w:lineRule="auto"/>
        <w:jc w:val="both"/>
        <w:rPr>
          <w:rFonts w:ascii="Palatino Linotype" w:hAnsi="Palatino Linotype"/>
          <w:sz w:val="24"/>
          <w:szCs w:val="24"/>
        </w:rPr>
      </w:pPr>
      <w:r w:rsidRPr="00EE7A99">
        <w:rPr>
          <w:rFonts w:ascii="Palatino Linotype" w:hAnsi="Palatino Linotype"/>
          <w:i/>
          <w:sz w:val="24"/>
          <w:szCs w:val="24"/>
        </w:rPr>
        <w:t>“PLAZO RAZONABLE PARA RESOLVER. CONCEPTO Y ELEMENTOS QUE LO INTEGRAN A LA LUZ DEL DERECHO INTERNACIONAL DE LOS DERECHOS HUMANOS.”</w:t>
      </w:r>
      <w:r w:rsidRPr="00EE7A99">
        <w:rPr>
          <w:rFonts w:ascii="Palatino Linotype" w:hAnsi="Palatino Linotype"/>
          <w:sz w:val="24"/>
          <w:szCs w:val="24"/>
        </w:rPr>
        <w:t>, visible en el Seminario Judicial de la Federación y su gaceta, con el registro digital 2002350, y,</w:t>
      </w:r>
    </w:p>
    <w:p w14:paraId="625000D5"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323CCEA9" w14:textId="77777777" w:rsidR="0051753E" w:rsidRPr="00DB6E06" w:rsidRDefault="0051753E" w:rsidP="00947249">
      <w:pPr>
        <w:spacing w:after="0" w:line="360" w:lineRule="auto"/>
        <w:jc w:val="center"/>
        <w:rPr>
          <w:rFonts w:ascii="Palatino Linotype" w:eastAsia="Times New Roman" w:hAnsi="Palatino Linotype" w:cs="Arial"/>
          <w:b/>
          <w:sz w:val="28"/>
        </w:rPr>
      </w:pPr>
      <w:r w:rsidRPr="00DB6E06">
        <w:rPr>
          <w:rFonts w:ascii="Palatino Linotype" w:eastAsia="Times New Roman" w:hAnsi="Palatino Linotype" w:cs="Arial"/>
          <w:b/>
          <w:sz w:val="28"/>
        </w:rPr>
        <w:t xml:space="preserve">C O N S I D E R A N D O </w:t>
      </w:r>
    </w:p>
    <w:p w14:paraId="61D0F6B8"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2895DC11" w14:textId="77777777"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8"/>
        </w:rPr>
        <w:t>PRIMERO.</w:t>
      </w:r>
      <w:r w:rsidRPr="00DB6E06">
        <w:rPr>
          <w:rFonts w:ascii="Palatino Linotype" w:eastAsia="Times New Roman" w:hAnsi="Palatino Linotype" w:cs="Arial"/>
          <w:b/>
        </w:rPr>
        <w:t xml:space="preserve"> </w:t>
      </w:r>
      <w:r w:rsidRPr="00DB6E06">
        <w:rPr>
          <w:rFonts w:ascii="Palatino Linotype" w:eastAsia="Times New Roman" w:hAnsi="Palatino Linotype" w:cs="Arial"/>
          <w:b/>
          <w:sz w:val="28"/>
          <w:szCs w:val="28"/>
        </w:rPr>
        <w:t>De la competencia</w:t>
      </w:r>
      <w:r w:rsidRPr="00DB6E06">
        <w:rPr>
          <w:rFonts w:ascii="Palatino Linotype" w:eastAsia="Times New Roman" w:hAnsi="Palatino Linotype" w:cs="Arial"/>
          <w:sz w:val="28"/>
          <w:szCs w:val="28"/>
        </w:rPr>
        <w:t>.</w:t>
      </w:r>
    </w:p>
    <w:p w14:paraId="18284F3F"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DB6E06">
          <w:rPr>
            <w:rFonts w:ascii="Palatino Linotype" w:eastAsia="Times New Roman" w:hAnsi="Palatino Linotype" w:cs="Arial"/>
            <w:sz w:val="24"/>
            <w:szCs w:val="24"/>
            <w:lang w:val="es-ES" w:eastAsia="es-ES"/>
          </w:rPr>
          <w:t>176, 178, 179, 181</w:t>
        </w:r>
      </w:hyperlink>
      <w:r w:rsidRPr="00DB6E06">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5D74D9E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66D8980F"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b/>
          <w:bCs/>
          <w:sz w:val="28"/>
          <w:szCs w:val="28"/>
        </w:rPr>
      </w:pPr>
      <w:r w:rsidRPr="00DB6E06">
        <w:rPr>
          <w:rFonts w:ascii="Palatino Linotype" w:eastAsia="Times New Roman" w:hAnsi="Palatino Linotype" w:cs="Arial"/>
          <w:b/>
          <w:sz w:val="28"/>
        </w:rPr>
        <w:lastRenderedPageBreak/>
        <w:t>SEGUNDO</w:t>
      </w:r>
      <w:r w:rsidRPr="00DB6E06">
        <w:rPr>
          <w:rFonts w:ascii="Palatino Linotype" w:eastAsia="Times New Roman" w:hAnsi="Palatino Linotype" w:cs="Arial"/>
          <w:b/>
        </w:rPr>
        <w:t xml:space="preserve">. </w:t>
      </w:r>
      <w:r w:rsidRPr="00DB6E06">
        <w:rPr>
          <w:rFonts w:ascii="Palatino Linotype" w:eastAsia="Times New Roman" w:hAnsi="Palatino Linotype" w:cs="Times New Roman"/>
          <w:b/>
          <w:bCs/>
          <w:sz w:val="28"/>
          <w:szCs w:val="28"/>
        </w:rPr>
        <w:t>Sobre los alcances del recurso de revisión</w:t>
      </w:r>
    </w:p>
    <w:p w14:paraId="1E4E5E2E"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eastAsia="Times New Roman" w:cs="Times New Roman"/>
        </w:rPr>
        <w:t xml:space="preserve"> </w:t>
      </w:r>
      <w:r w:rsidRPr="00DB6E06">
        <w:rPr>
          <w:rFonts w:ascii="Palatino Linotype" w:eastAsia="Times New Roman"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F7FBF50"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22DB272C"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4C7A84EC"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134A2595"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163.</w:t>
      </w:r>
      <w:r w:rsidRPr="00DB6E06">
        <w:rPr>
          <w:rFonts w:ascii="Palatino Linotype" w:eastAsia="Times New Roman" w:hAnsi="Palatino Linotype" w:cs="Arial"/>
          <w:i/>
          <w:lang w:val="es-ES" w:eastAsia="es-ES"/>
        </w:rPr>
        <w:t xml:space="preserve"> </w:t>
      </w:r>
      <w:r w:rsidRPr="00DB6E06">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1E90826C"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8E8330A"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6EFADD3F"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2906B93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la interpretación al precepto legal inserto, se advierte que el plazo que les asiste a los </w:t>
      </w:r>
      <w:r w:rsidRPr="00DB6E06">
        <w:rPr>
          <w:rFonts w:ascii="Palatino Linotype" w:eastAsia="Times New Roman" w:hAnsi="Palatino Linotype" w:cs="Arial"/>
          <w:b/>
          <w:sz w:val="24"/>
          <w:szCs w:val="24"/>
        </w:rPr>
        <w:t>sujetos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obligados</w:t>
      </w:r>
      <w:r w:rsidRPr="00DB6E06">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w:t>
      </w:r>
      <w:r w:rsidRPr="00DB6E06">
        <w:rPr>
          <w:rFonts w:ascii="Palatino Linotype" w:eastAsia="Times New Roman" w:hAnsi="Palatino Linotype" w:cs="Arial"/>
          <w:sz w:val="24"/>
          <w:szCs w:val="24"/>
        </w:rPr>
        <w:lastRenderedPageBreak/>
        <w:t>obligados entreguen la respuesta a la solicitud de información, ésta debe considerarse como negada; por lo que al solicitante le asiste el derecho para poder presentar el recurso de revisión correspondiente.</w:t>
      </w:r>
    </w:p>
    <w:p w14:paraId="01FB57A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225E8D1E"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Se constituye la figura jurídica de la </w:t>
      </w:r>
      <w:r w:rsidRPr="00DB6E06">
        <w:rPr>
          <w:rFonts w:ascii="Palatino Linotype" w:eastAsia="Times New Roman" w:hAnsi="Palatino Linotype" w:cs="Arial"/>
          <w:b/>
          <w:i/>
          <w:sz w:val="24"/>
          <w:szCs w:val="24"/>
        </w:rPr>
        <w:t>NEGATIVA FICTA</w:t>
      </w:r>
      <w:r w:rsidRPr="00DB6E06">
        <w:rPr>
          <w:rFonts w:ascii="Palatino Linotype" w:eastAsia="Times New Roman"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20587D83" w14:textId="77777777" w:rsidR="0051753E" w:rsidRPr="00DB6E06" w:rsidRDefault="0051753E" w:rsidP="0051753E">
      <w:pPr>
        <w:spacing w:after="0" w:line="240" w:lineRule="auto"/>
        <w:rPr>
          <w:rFonts w:ascii="Palatino Linotype" w:eastAsia="Times New Roman" w:hAnsi="Palatino Linotype" w:cs="Times New Roman"/>
        </w:rPr>
      </w:pPr>
    </w:p>
    <w:p w14:paraId="7DD3CB40"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178.</w:t>
      </w:r>
      <w:r w:rsidRPr="00DB6E06">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1294D16"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687F2220"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B6E06">
        <w:rPr>
          <w:rFonts w:ascii="Palatino Linotype" w:eastAsia="Times New Roman" w:hAnsi="Palatino Linotype" w:cs="Arial"/>
          <w:i/>
          <w:lang w:val="es-ES" w:eastAsia="es-ES"/>
        </w:rPr>
        <w:t>, acompañado con el documento que pruebe la fecha en que presentó la solicitud.</w:t>
      </w:r>
    </w:p>
    <w:p w14:paraId="704D1D5C"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596C364D"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276C06C2"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64C11B2"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5F4FD5F8"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14D07220"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a partir de la cual pudiera computarse dicho plazo, por </w:t>
      </w:r>
      <w:r w:rsidRPr="00DB6E06">
        <w:rPr>
          <w:rFonts w:ascii="Palatino Linotype" w:eastAsia="Times New Roman" w:hAnsi="Palatino Linotype" w:cs="Arial"/>
          <w:sz w:val="24"/>
          <w:szCs w:val="24"/>
        </w:rPr>
        <w:lastRenderedPageBreak/>
        <w:t>tal motivo es pertinente establecer que no existe plazo específico para la interposición del recurso de revisión, y este puede ser presentado en cualquier momento, por lo que la interposición del presente recurso de revisión resulta oportuna.</w:t>
      </w:r>
    </w:p>
    <w:p w14:paraId="1BB6DFB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51B20C48" w14:textId="77777777" w:rsidR="0051753E" w:rsidRPr="0051753E" w:rsidRDefault="0051753E" w:rsidP="0051753E">
      <w:pPr>
        <w:autoSpaceDE w:val="0"/>
        <w:autoSpaceDN w:val="0"/>
        <w:adjustRightInd w:val="0"/>
        <w:spacing w:before="240" w:line="240" w:lineRule="auto"/>
        <w:rPr>
          <w:rFonts w:ascii="Times New Roman" w:eastAsia="Times New Roman" w:hAnsi="Times New Roman" w:cs="Arial"/>
          <w:b/>
          <w:sz w:val="28"/>
          <w:szCs w:val="24"/>
          <w:lang w:val="es-ES" w:eastAsia="es-ES"/>
        </w:rPr>
      </w:pPr>
      <w:r w:rsidRPr="00DB6E06">
        <w:rPr>
          <w:rFonts w:ascii="Palatino Linotype" w:eastAsia="Times New Roman" w:hAnsi="Palatino Linotype" w:cs="Arial"/>
          <w:b/>
          <w:sz w:val="28"/>
          <w:szCs w:val="24"/>
          <w:lang w:val="es-ES" w:eastAsia="es-ES"/>
        </w:rPr>
        <w:t>TERCERO.</w:t>
      </w:r>
      <w:r>
        <w:rPr>
          <w:rFonts w:ascii="Times New Roman" w:eastAsia="Times New Roman" w:hAnsi="Times New Roman" w:cs="Arial"/>
          <w:b/>
          <w:sz w:val="28"/>
          <w:szCs w:val="24"/>
          <w:lang w:val="es-ES" w:eastAsia="es-ES"/>
        </w:rPr>
        <w:t xml:space="preserve"> </w:t>
      </w:r>
      <w:r w:rsidRPr="00DB6E06">
        <w:rPr>
          <w:rFonts w:ascii="Palatino Linotype" w:eastAsia="Times New Roman" w:hAnsi="Palatino Linotype" w:cs="Arial"/>
          <w:b/>
          <w:sz w:val="28"/>
          <w:szCs w:val="24"/>
          <w:lang w:val="es-ES" w:eastAsia="es-ES"/>
        </w:rPr>
        <w:t>De las causas de improcedencia.</w:t>
      </w:r>
    </w:p>
    <w:p w14:paraId="368E0FF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306EFC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C28E9C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B6E06">
        <w:rPr>
          <w:rFonts w:ascii="Palatino Linotype" w:eastAsia="Times New Roman" w:hAnsi="Palatino Linotype" w:cs="Arial"/>
          <w:sz w:val="24"/>
          <w:szCs w:val="24"/>
          <w:vertAlign w:val="superscript"/>
          <w:lang w:val="es-ES" w:eastAsia="es-ES"/>
        </w:rPr>
        <w:footnoteReference w:id="1"/>
      </w:r>
      <w:r w:rsidRPr="00DB6E06">
        <w:rPr>
          <w:rFonts w:ascii="Palatino Linotype" w:eastAsia="Times New Roman" w:hAnsi="Palatino Linotype" w:cs="Arial"/>
          <w:sz w:val="24"/>
          <w:szCs w:val="24"/>
          <w:lang w:val="es-ES" w:eastAsia="es-ES"/>
        </w:rPr>
        <w:t>.</w:t>
      </w:r>
    </w:p>
    <w:p w14:paraId="089E2EC7"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7752F7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DB6E06">
        <w:rPr>
          <w:rFonts w:ascii="Palatino Linotype" w:eastAsia="Times New Roman" w:hAnsi="Palatino Linotype" w:cs="Arial"/>
          <w:sz w:val="24"/>
          <w:szCs w:val="24"/>
          <w:lang w:val="es-ES" w:eastAsia="es-ES"/>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25AB5B7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9E0157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Pr>
          <w:rFonts w:ascii="Palatino Linotype" w:eastAsia="Times New Roman" w:hAnsi="Palatino Linotype" w:cs="Arial"/>
          <w:b/>
          <w:sz w:val="28"/>
          <w:szCs w:val="24"/>
          <w:lang w:val="es-ES" w:eastAsia="es-ES"/>
        </w:rPr>
        <w:t>CUAR</w:t>
      </w:r>
      <w:r w:rsidRPr="00DB6E06">
        <w:rPr>
          <w:rFonts w:ascii="Palatino Linotype" w:eastAsia="Times New Roman" w:hAnsi="Palatino Linotype" w:cs="Arial"/>
          <w:b/>
          <w:sz w:val="28"/>
          <w:szCs w:val="24"/>
          <w:lang w:val="es-ES" w:eastAsia="es-ES"/>
        </w:rPr>
        <w:t>TO. Estudio y resolución del asunto.</w:t>
      </w:r>
    </w:p>
    <w:p w14:paraId="64A4ED3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262C650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DB6E06">
        <w:rPr>
          <w:rFonts w:ascii="Palatino Linotype" w:eastAsia="Times New Roman" w:hAnsi="Palatino Linotype" w:cs="Arial"/>
          <w:sz w:val="24"/>
          <w:szCs w:val="24"/>
          <w:lang w:val="es-ES" w:eastAsia="es-ES"/>
        </w:rPr>
        <w:lastRenderedPageBreak/>
        <w:t>que el Estado Mexicano sea parte, en concordancia con el artículo 8° de la Ley de Transparencia local.</w:t>
      </w:r>
    </w:p>
    <w:p w14:paraId="102C19B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6E3D528"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primera instancia, al referirnos a los actos impugnados por el </w:t>
      </w:r>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DB6E06">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DB6E06">
        <w:rPr>
          <w:rFonts w:ascii="Palatino Linotype" w:eastAsia="Times New Roman" w:hAnsi="Palatino Linotype" w:cs="Arial"/>
          <w:b/>
          <w:color w:val="000000" w:themeColor="text1"/>
          <w:sz w:val="24"/>
          <w:szCs w:val="24"/>
          <w:lang w:val="es-ES" w:eastAsia="es-ES"/>
        </w:rPr>
        <w:t>Ley de Transparencia y Acceso a la Información Pública del Estado de México y Municipios</w:t>
      </w:r>
      <w:r w:rsidRPr="00DB6E06">
        <w:rPr>
          <w:rFonts w:ascii="Palatino Linotype" w:eastAsia="Times New Roman" w:hAnsi="Palatino Linotype" w:cs="Arial"/>
          <w:color w:val="000000" w:themeColor="text1"/>
          <w:sz w:val="24"/>
          <w:szCs w:val="24"/>
          <w:lang w:val="es-ES" w:eastAsia="es-ES"/>
        </w:rPr>
        <w:t>,</w:t>
      </w:r>
      <w:r w:rsidRPr="00DB6E06">
        <w:rPr>
          <w:rFonts w:ascii="Palatino Linotype" w:eastAsia="Times New Roman" w:hAnsi="Palatino Linotype" w:cs="Arial"/>
          <w:b/>
          <w:color w:val="000000" w:themeColor="text1"/>
          <w:sz w:val="24"/>
          <w:szCs w:val="24"/>
          <w:lang w:val="es-ES" w:eastAsia="es-ES"/>
        </w:rPr>
        <w:t xml:space="preserve"> </w:t>
      </w:r>
      <w:r w:rsidRPr="00DB6E06">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6D75182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02D5C7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DB6E06">
        <w:rPr>
          <w:rFonts w:ascii="Palatino Linotype" w:eastAsia="Times New Roman" w:hAnsi="Palatino Linotype" w:cs="Arial"/>
          <w:sz w:val="24"/>
          <w:szCs w:val="24"/>
          <w:lang w:val="es-ES" w:eastAsia="es-ES"/>
        </w:rPr>
        <w:t xml:space="preserve">Establecido lo anterior, resulta evidente que las razones o motivos de </w:t>
      </w:r>
      <w:r w:rsidRPr="00DB6E06">
        <w:rPr>
          <w:rFonts w:ascii="Palatino Linotype" w:eastAsia="Times New Roman" w:hAnsi="Palatino Linotype" w:cs="Times New Roman"/>
          <w:sz w:val="24"/>
          <w:szCs w:val="24"/>
          <w:lang w:val="es-ES" w:eastAsia="es-ES"/>
        </w:rPr>
        <w:t xml:space="preserve">inconformidad hechos valer, resultan </w:t>
      </w:r>
      <w:r w:rsidRPr="00DB6E06">
        <w:rPr>
          <w:rFonts w:ascii="Palatino Linotype" w:eastAsia="Times New Roman" w:hAnsi="Palatino Linotype" w:cs="Times New Roman"/>
          <w:b/>
          <w:sz w:val="24"/>
          <w:szCs w:val="24"/>
          <w:lang w:val="es-ES" w:eastAsia="es-ES"/>
        </w:rPr>
        <w:t>fundadas y procedentes</w:t>
      </w:r>
      <w:r w:rsidRPr="00DB6E06">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DB6E06">
        <w:rPr>
          <w:rFonts w:ascii="Palatino Linotype" w:eastAsia="Times New Roman" w:hAnsi="Palatino Linotype" w:cs="Arial"/>
          <w:b/>
          <w:sz w:val="24"/>
          <w:szCs w:val="24"/>
          <w:lang w:val="es-ES" w:eastAsia="es-MX"/>
        </w:rPr>
        <w:t>Sujeto Obligado</w:t>
      </w:r>
      <w:r w:rsidRPr="00DB6E06">
        <w:rPr>
          <w:rFonts w:ascii="Palatino Linotype" w:eastAsia="Times New Roman" w:hAnsi="Palatino Linotype" w:cs="Arial"/>
          <w:sz w:val="24"/>
          <w:szCs w:val="24"/>
          <w:lang w:val="es-ES" w:eastAsia="es-MX"/>
        </w:rPr>
        <w:t xml:space="preserve"> fue omiso en responder la solicitud de información hecha por la parte </w:t>
      </w:r>
      <w:r w:rsidRPr="00DB6E06">
        <w:rPr>
          <w:rFonts w:ascii="Palatino Linotype" w:eastAsia="Times New Roman" w:hAnsi="Palatino Linotype" w:cs="Arial"/>
          <w:b/>
          <w:sz w:val="24"/>
          <w:szCs w:val="24"/>
          <w:lang w:val="es-ES" w:eastAsia="es-MX"/>
        </w:rPr>
        <w:t>Recurrente</w:t>
      </w:r>
      <w:r w:rsidRPr="00DB6E06">
        <w:rPr>
          <w:rFonts w:ascii="Palatino Linotype" w:eastAsia="Times New Roman" w:hAnsi="Palatino Linotype" w:cs="Arial"/>
          <w:sz w:val="24"/>
          <w:szCs w:val="24"/>
          <w:lang w:val="es-ES" w:eastAsia="es-MX"/>
        </w:rPr>
        <w:t>.</w:t>
      </w:r>
    </w:p>
    <w:p w14:paraId="27417DF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68AA881"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r w:rsidRPr="00DB6E06">
        <w:rPr>
          <w:rFonts w:ascii="Palatino Linotype" w:eastAsia="Times New Roman" w:hAnsi="Palatino Linotype" w:cs="Times New Roman"/>
          <w:sz w:val="24"/>
          <w:szCs w:val="24"/>
          <w:lang w:val="es-ES" w:eastAsia="es-MX"/>
        </w:rPr>
        <w:t xml:space="preserve">De tal manera que se hace patente que la falta de respuesta del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606F17AE"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p>
    <w:p w14:paraId="20EC5E9B"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lastRenderedPageBreak/>
        <w:t>“</w:t>
      </w:r>
      <w:r w:rsidRPr="00DB6E06">
        <w:rPr>
          <w:rFonts w:ascii="Palatino Linotype" w:eastAsia="Times New Roman" w:hAnsi="Palatino Linotype" w:cs="Arial"/>
          <w:b/>
          <w:bCs/>
          <w:i/>
        </w:rPr>
        <w:t>Artículo 4.</w:t>
      </w:r>
      <w:r w:rsidRPr="00DB6E06">
        <w:rPr>
          <w:rFonts w:ascii="Palatino Linotype" w:eastAsia="Times New Roman" w:hAnsi="Palatino Linotype" w:cs="Arial"/>
          <w:bCs/>
          <w:i/>
        </w:rPr>
        <w:t xml:space="preserve"> </w:t>
      </w:r>
      <w:r w:rsidRPr="00DB6E06">
        <w:rPr>
          <w:rFonts w:ascii="Palatino Linotype" w:eastAsia="Times New Roman" w:hAnsi="Palatino Linotype" w:cs="Arial"/>
          <w:bCs/>
          <w:i/>
          <w:u w:val="single"/>
        </w:rPr>
        <w:t>El derecho humano de acceso a la información pública</w:t>
      </w:r>
      <w:r w:rsidRPr="00DB6E06">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26F62578"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DB6E06">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C08392C"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28618E2"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1D759662"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12.</w:t>
      </w:r>
      <w:r w:rsidRPr="00DB6E06">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4316DFE1"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DB6E06">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5F979001"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547C6B53"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442E3DBF"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23</w:t>
      </w:r>
      <w:r w:rsidRPr="00DB6E06">
        <w:rPr>
          <w:rFonts w:ascii="Palatino Linotype" w:eastAsia="Times New Roman" w:hAnsi="Palatino Linotype" w:cs="Arial"/>
          <w:bCs/>
          <w:i/>
        </w:rPr>
        <w:t xml:space="preserve">. </w:t>
      </w:r>
      <w:r w:rsidRPr="00DB6E06">
        <w:rPr>
          <w:rFonts w:ascii="Palatino Linotype" w:eastAsia="Times New Roman" w:hAnsi="Palatino Linotype" w:cs="Arial"/>
          <w:b/>
          <w:bCs/>
          <w:i/>
        </w:rPr>
        <w:t>Son sujetos obligados</w:t>
      </w:r>
      <w:r w:rsidRPr="00DB6E06">
        <w:rPr>
          <w:rFonts w:ascii="Palatino Linotype" w:eastAsia="Times New Roman" w:hAnsi="Palatino Linotype" w:cs="Arial"/>
          <w:bCs/>
          <w:i/>
        </w:rPr>
        <w:t xml:space="preserve"> a transparentar y permitir el acceso a su información y proteger los datos personales que obren en su poder: </w:t>
      </w:r>
    </w:p>
    <w:p w14:paraId="3D03A61F"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5008D604"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 xml:space="preserve">IV. </w:t>
      </w:r>
      <w:r w:rsidRPr="00DB6E06">
        <w:rPr>
          <w:rFonts w:ascii="Palatino Linotype" w:eastAsia="Times New Roman" w:hAnsi="Palatino Linotype" w:cs="Arial"/>
          <w:bCs/>
          <w:i/>
        </w:rPr>
        <w:t>Los ayuntamientos y las dependencias, organismos,</w:t>
      </w:r>
      <w:r w:rsidRPr="00DB6E06">
        <w:rPr>
          <w:rFonts w:ascii="Palatino Linotype" w:eastAsia="Times New Roman" w:hAnsi="Palatino Linotype" w:cs="Arial"/>
          <w:b/>
          <w:bCs/>
          <w:i/>
          <w:u w:val="single"/>
        </w:rPr>
        <w:t xml:space="preserve"> órganos y entidades de la administración municipal;</w:t>
      </w:r>
    </w:p>
    <w:p w14:paraId="7E0740B9" w14:textId="77777777" w:rsidR="0051753E" w:rsidRPr="00DB6E06" w:rsidRDefault="0051753E" w:rsidP="0051753E">
      <w:pPr>
        <w:spacing w:after="0" w:line="240" w:lineRule="auto"/>
        <w:ind w:left="709" w:right="567"/>
        <w:jc w:val="both"/>
        <w:rPr>
          <w:rFonts w:ascii="Palatino Linotype" w:eastAsia="Times New Roman" w:hAnsi="Palatino Linotype" w:cs="Arial"/>
          <w:b/>
          <w:bCs/>
          <w:i/>
        </w:rPr>
      </w:pPr>
      <w:r w:rsidRPr="00DB6E06">
        <w:rPr>
          <w:rFonts w:ascii="Palatino Linotype" w:eastAsia="Times New Roman" w:hAnsi="Palatino Linotype" w:cs="Arial"/>
          <w:b/>
          <w:bCs/>
          <w:i/>
        </w:rPr>
        <w:t xml:space="preserve">Artículo 24. </w:t>
      </w:r>
    </w:p>
    <w:p w14:paraId="774B0146"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137CD53D"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solo proporcionarán la información pública que generen, administren o posean en el ejercicio de sus atribuciones.”</w:t>
      </w:r>
    </w:p>
    <w:p w14:paraId="370D53E9"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1558E7D1"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0EC1EC0F"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160.</w:t>
      </w:r>
      <w:r w:rsidRPr="00DB6E06">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DB6E06">
        <w:rPr>
          <w:rFonts w:ascii="Palatino Linotype" w:eastAsia="Times New Roman" w:hAnsi="Palatino Linotype" w:cs="Arial"/>
          <w:bCs/>
          <w:i/>
        </w:rPr>
        <w:lastRenderedPageBreak/>
        <w:t>aquellos formatos existentes, conforme a las características físicas de la información o del lugar donde se encuentre así lo permita.</w:t>
      </w:r>
    </w:p>
    <w:p w14:paraId="4089B897"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En caso que la información solicitada consista en bases de datos se deberá privilegiar la entrega de la misma en formatos abiertos.</w:t>
      </w:r>
    </w:p>
    <w:p w14:paraId="7E7B5B15" w14:textId="77777777" w:rsidR="0051753E" w:rsidRPr="00DB6E06" w:rsidRDefault="0051753E" w:rsidP="0051753E">
      <w:pPr>
        <w:spacing w:after="0" w:line="240" w:lineRule="auto"/>
        <w:ind w:left="709" w:right="567"/>
        <w:jc w:val="right"/>
        <w:rPr>
          <w:rFonts w:ascii="Palatino Linotype" w:eastAsia="Times New Roman" w:hAnsi="Palatino Linotype" w:cs="Arial"/>
        </w:rPr>
      </w:pPr>
      <w:r w:rsidRPr="00DB6E06">
        <w:rPr>
          <w:rFonts w:ascii="Palatino Linotype" w:eastAsia="Times New Roman" w:hAnsi="Palatino Linotype" w:cs="Arial"/>
          <w:bCs/>
        </w:rPr>
        <w:t>(Énfasis añadido)</w:t>
      </w:r>
    </w:p>
    <w:p w14:paraId="5D6239DA"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p>
    <w:p w14:paraId="1C52388A"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DB6E06">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Sujeto Obligado</w:t>
      </w:r>
      <w:r w:rsidRPr="00DB6E06">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B6E06">
        <w:rPr>
          <w:rFonts w:ascii="Palatino Linotype" w:eastAsia="Times New Roman" w:hAnsi="Palatino Linotype" w:cs="Arial"/>
          <w:b/>
          <w:color w:val="000000"/>
          <w:sz w:val="24"/>
          <w:szCs w:val="24"/>
          <w:lang w:val="es-ES_tradnl" w:eastAsia="es-ES"/>
        </w:rPr>
        <w:t xml:space="preserve">Constitución Política de los Estados Unidos Mexicanos </w:t>
      </w:r>
      <w:r w:rsidRPr="00DB6E06">
        <w:rPr>
          <w:rFonts w:ascii="Palatino Linotype" w:eastAsia="Times New Roman" w:hAnsi="Palatino Linotype" w:cs="Arial"/>
          <w:color w:val="000000"/>
          <w:sz w:val="24"/>
          <w:szCs w:val="24"/>
          <w:lang w:val="es-ES_tradnl" w:eastAsia="es-ES"/>
        </w:rPr>
        <w:t xml:space="preserve">al señalar la obligación de “promover, </w:t>
      </w:r>
      <w:r w:rsidRPr="00DB6E06">
        <w:rPr>
          <w:rFonts w:ascii="Palatino Linotype" w:eastAsia="Times New Roman" w:hAnsi="Palatino Linotype" w:cs="Arial"/>
          <w:b/>
          <w:color w:val="000000"/>
          <w:sz w:val="24"/>
          <w:szCs w:val="24"/>
          <w:lang w:val="es-ES_tradnl" w:eastAsia="es-ES"/>
        </w:rPr>
        <w:t>respetar</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proteger</w:t>
      </w:r>
      <w:r w:rsidRPr="00DB6E06">
        <w:rPr>
          <w:rFonts w:ascii="Palatino Linotype" w:eastAsia="Times New Roman" w:hAnsi="Palatino Linotype" w:cs="Arial"/>
          <w:color w:val="000000"/>
          <w:sz w:val="24"/>
          <w:szCs w:val="24"/>
          <w:lang w:val="es-ES_tradnl" w:eastAsia="es-ES"/>
        </w:rPr>
        <w:t xml:space="preserve"> y </w:t>
      </w:r>
      <w:r w:rsidRPr="00DB6E06">
        <w:rPr>
          <w:rFonts w:ascii="Palatino Linotype" w:eastAsia="Times New Roman" w:hAnsi="Palatino Linotype" w:cs="Arial"/>
          <w:b/>
          <w:color w:val="000000"/>
          <w:sz w:val="24"/>
          <w:szCs w:val="24"/>
          <w:lang w:val="es-ES_tradnl" w:eastAsia="es-ES"/>
        </w:rPr>
        <w:t>garantizar</w:t>
      </w:r>
      <w:r w:rsidRPr="00DB6E06">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194FBF88"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p>
    <w:p w14:paraId="23737D21"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209421B9"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p>
    <w:p w14:paraId="6DDE7BAA"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r w:rsidRPr="00DB6E06">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DB6E06">
        <w:rPr>
          <w:rFonts w:ascii="Palatino Linotype" w:eastAsia="MS Mincho" w:hAnsi="Palatino Linotype" w:cs="Times New Roman"/>
          <w:b/>
          <w:sz w:val="24"/>
          <w:szCs w:val="24"/>
          <w:lang w:val="es-ES_tradnl" w:eastAsia="es-ES"/>
        </w:rPr>
        <w:t>Sujeto Obligado</w:t>
      </w:r>
      <w:r w:rsidRPr="00DB6E06">
        <w:rPr>
          <w:rFonts w:ascii="Palatino Linotype" w:eastAsia="MS Mincho" w:hAnsi="Palatino Linotype" w:cs="Times New Roman"/>
          <w:sz w:val="24"/>
          <w:szCs w:val="24"/>
          <w:lang w:val="es-ES_tradnl" w:eastAsia="es-ES"/>
        </w:rPr>
        <w:t>s.</w:t>
      </w:r>
    </w:p>
    <w:p w14:paraId="0B3B1136"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p>
    <w:p w14:paraId="7410002F"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fue omiso en dar respuesta a la solicitud.</w:t>
      </w:r>
    </w:p>
    <w:p w14:paraId="24E3F46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824BC0F"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144F69B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59731E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sz w:val="24"/>
          <w:szCs w:val="24"/>
          <w:lang w:val="es-ES" w:eastAsia="es-ES"/>
        </w:rPr>
        <w:t xml:space="preserve">No sobra decir que, al actuar de esta forma, 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w:t>
      </w:r>
      <w:r w:rsidRPr="00DB6E06">
        <w:rPr>
          <w:rFonts w:ascii="Palatino Linotype" w:eastAsia="Times New Roman" w:hAnsi="Palatino Linotype" w:cs="Times New Roman"/>
          <w:sz w:val="24"/>
          <w:szCs w:val="24"/>
          <w:lang w:val="es-ES" w:eastAsia="es-ES"/>
        </w:rPr>
        <w:lastRenderedPageBreak/>
        <w:t xml:space="preserve">de los Estados Unidos Mexicanos que establece el deber de todas las autoridades, </w:t>
      </w:r>
      <w:r w:rsidRPr="00DB6E06">
        <w:rPr>
          <w:rFonts w:ascii="Palatino Linotype" w:eastAsia="Times New Roman" w:hAnsi="Palatino Linotype" w:cs="Times New Roman"/>
          <w:i/>
          <w:sz w:val="24"/>
          <w:szCs w:val="24"/>
          <w:lang w:val="es-ES" w:eastAsia="es-ES"/>
        </w:rPr>
        <w:t xml:space="preserve">en el ámbito de sus atribuciones, de promover, respetar, proteger y </w:t>
      </w:r>
      <w:r w:rsidRPr="00DB6E06">
        <w:rPr>
          <w:rFonts w:ascii="Palatino Linotype" w:eastAsia="Times New Roman" w:hAnsi="Palatino Linotype" w:cs="Times New Roman"/>
          <w:b/>
          <w:i/>
          <w:sz w:val="24"/>
          <w:szCs w:val="24"/>
          <w:lang w:val="es-ES" w:eastAsia="es-ES"/>
        </w:rPr>
        <w:t>garantizar</w:t>
      </w:r>
      <w:r w:rsidRPr="00DB6E06">
        <w:rPr>
          <w:rFonts w:ascii="Palatino Linotype" w:eastAsia="Times New Roman" w:hAnsi="Palatino Linotype" w:cs="Times New Roman"/>
          <w:i/>
          <w:sz w:val="24"/>
          <w:szCs w:val="24"/>
          <w:lang w:val="es-ES" w:eastAsia="es-ES"/>
        </w:rPr>
        <w:t xml:space="preserve"> los derechos humanos</w:t>
      </w:r>
      <w:r w:rsidRPr="00DB6E06">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DB6E06">
        <w:rPr>
          <w:rFonts w:ascii="Palatino Linotype" w:eastAsia="Times New Roman" w:hAnsi="Palatino Linotype" w:cs="Times New Roman"/>
          <w:i/>
          <w:sz w:val="24"/>
          <w:szCs w:val="24"/>
          <w:lang w:val="es-ES" w:eastAsia="es-ES"/>
        </w:rPr>
        <w:t>procedimiento de acceso a la información es la garantía primaria del derecho en cuestión.</w:t>
      </w:r>
      <w:r w:rsidRPr="00DB6E06">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DB6E06">
        <w:rPr>
          <w:rFonts w:ascii="Palatino Linotype" w:eastAsia="Times New Roman" w:hAnsi="Palatino Linotype" w:cs="Times New Roman"/>
          <w:i/>
          <w:sz w:val="24"/>
          <w:szCs w:val="24"/>
          <w:lang w:val="es-ES" w:eastAsia="es-ES"/>
        </w:rPr>
        <w:t>investigar, sancionar y reparar las violaciones a los derechos humanos.</w:t>
      </w:r>
    </w:p>
    <w:p w14:paraId="54631D8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79708201" w14:textId="77777777" w:rsidR="0051753E"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esta resolución, el </w:t>
      </w:r>
      <w:r w:rsidRPr="00DB6E06">
        <w:rPr>
          <w:rFonts w:ascii="Palatino Linotype" w:eastAsia="Times New Roman" w:hAnsi="Palatino Linotype" w:cs="Arial"/>
          <w:b/>
          <w:sz w:val="24"/>
          <w:szCs w:val="24"/>
          <w:lang w:val="es-ES" w:eastAsia="es-ES"/>
        </w:rPr>
        <w:t xml:space="preserve">Sujeto Obligado </w:t>
      </w:r>
      <w:r w:rsidRPr="00DB6E06">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C3868E1" w14:textId="77777777" w:rsidR="00EE7A99" w:rsidRDefault="00EE7A99"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B1C7E24" w14:textId="77777777" w:rsidR="0051753E" w:rsidRPr="00EE7A99" w:rsidRDefault="00EE7A99" w:rsidP="0051753E">
      <w:pPr>
        <w:spacing w:after="0" w:line="360" w:lineRule="auto"/>
        <w:jc w:val="both"/>
        <w:rPr>
          <w:rFonts w:ascii="Palatino Linotype" w:eastAsia="Times New Roman" w:hAnsi="Palatino Linotype" w:cs="Times New Roman"/>
          <w:bCs/>
          <w:sz w:val="24"/>
          <w:szCs w:val="24"/>
        </w:rPr>
      </w:pPr>
      <w:r w:rsidRPr="00EE7A99">
        <w:rPr>
          <w:rFonts w:ascii="Palatino Linotype" w:eastAsia="Times New Roman" w:hAnsi="Palatino Linotype" w:cs="Times New Roman"/>
          <w:bCs/>
          <w:sz w:val="24"/>
          <w:szCs w:val="24"/>
        </w:rPr>
        <w:t>Finalmente, respecto de las manifestaciones realizadas por El Recurrente como razones o motivos de inconformidad, consistentes en “</w:t>
      </w:r>
      <w:r w:rsidRPr="00947249">
        <w:rPr>
          <w:rFonts w:ascii="Palatino Linotype" w:eastAsia="Times New Roman" w:hAnsi="Palatino Linotype" w:cs="Times New Roman"/>
          <w:bCs/>
          <w:i/>
          <w:sz w:val="24"/>
          <w:szCs w:val="24"/>
        </w:rPr>
        <w:t>lo cual indica actos de corrupción”;</w:t>
      </w:r>
      <w:r w:rsidRPr="00EE7A99">
        <w:rPr>
          <w:rFonts w:ascii="Palatino Linotype" w:eastAsia="Times New Roman" w:hAnsi="Palatino Linotype" w:cs="Times New Roman"/>
          <w:bCs/>
          <w:sz w:val="24"/>
          <w:szCs w:val="24"/>
        </w:rPr>
        <w:t xml:space="preserve"> y derivado que el recurso de revisión no es el medio idóneo para sancionar</w:t>
      </w:r>
      <w:r>
        <w:rPr>
          <w:rFonts w:ascii="Palatino Linotype" w:eastAsia="Times New Roman" w:hAnsi="Palatino Linotype" w:cs="Times New Roman"/>
          <w:bCs/>
          <w:sz w:val="24"/>
          <w:szCs w:val="24"/>
        </w:rPr>
        <w:t xml:space="preserve"> o investigar las actuaciones de los servidores públicos</w:t>
      </w:r>
      <w:r w:rsidRPr="00EE7A99">
        <w:rPr>
          <w:rFonts w:ascii="Palatino Linotype" w:eastAsia="Times New Roman" w:hAnsi="Palatino Linotype" w:cs="Times New Roman"/>
          <w:bCs/>
          <w:sz w:val="24"/>
          <w:szCs w:val="24"/>
        </w:rPr>
        <w:t>, este Órgano Garante sugiere al solicitante, interponer su queja o denuncia ante la autoridad competente</w:t>
      </w:r>
      <w:r w:rsidRPr="00EE7A99">
        <w:rPr>
          <w:rFonts w:ascii="Palatino Linotype" w:eastAsia="Times New Roman" w:hAnsi="Palatino Linotype" w:cs="Times New Roman"/>
          <w:b/>
          <w:bCs/>
          <w:sz w:val="24"/>
          <w:szCs w:val="24"/>
        </w:rPr>
        <w:t>.</w:t>
      </w:r>
    </w:p>
    <w:p w14:paraId="1F201567" w14:textId="77777777" w:rsidR="00EE7A99" w:rsidRPr="00DB6E06" w:rsidRDefault="00EE7A99" w:rsidP="0051753E">
      <w:pPr>
        <w:spacing w:after="0" w:line="360" w:lineRule="auto"/>
        <w:jc w:val="both"/>
        <w:rPr>
          <w:rFonts w:ascii="Palatino Linotype" w:eastAsia="Times New Roman" w:hAnsi="Palatino Linotype" w:cs="Times New Roman"/>
          <w:b/>
          <w:bCs/>
          <w:sz w:val="24"/>
          <w:szCs w:val="24"/>
        </w:rPr>
      </w:pPr>
    </w:p>
    <w:p w14:paraId="2CE1E098" w14:textId="77777777" w:rsidR="0051753E" w:rsidRPr="00DB6E06" w:rsidRDefault="0051753E" w:rsidP="0051753E">
      <w:pPr>
        <w:numPr>
          <w:ilvl w:val="0"/>
          <w:numId w:val="1"/>
        </w:numPr>
        <w:spacing w:after="0" w:line="360" w:lineRule="auto"/>
        <w:jc w:val="both"/>
        <w:rPr>
          <w:rFonts w:ascii="Palatino Linotype" w:eastAsia="Times New Roman" w:hAnsi="Palatino Linotype" w:cs="Arial"/>
          <w:b/>
          <w:i/>
          <w:sz w:val="26"/>
          <w:szCs w:val="26"/>
          <w:lang w:val="es-ES" w:eastAsia="es-ES"/>
        </w:rPr>
      </w:pPr>
      <w:r w:rsidRPr="00DB6E06">
        <w:rPr>
          <w:rFonts w:ascii="Palatino Linotype" w:eastAsia="Times New Roman" w:hAnsi="Palatino Linotype" w:cs="Arial"/>
          <w:b/>
          <w:i/>
          <w:sz w:val="26"/>
          <w:szCs w:val="26"/>
          <w:lang w:val="es-ES" w:eastAsia="es-ES"/>
        </w:rPr>
        <w:lastRenderedPageBreak/>
        <w:t>DE LA VERSIÓN PÚBLICA.</w:t>
      </w:r>
    </w:p>
    <w:p w14:paraId="7071E854" w14:textId="77777777" w:rsidR="0051753E" w:rsidRDefault="0051753E" w:rsidP="0051753E">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5CEAD8CC"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388BF4BC" w14:textId="77777777" w:rsidR="0051753E" w:rsidRPr="00902954" w:rsidRDefault="0051753E" w:rsidP="0051753E">
      <w:pPr>
        <w:spacing w:after="0" w:line="360" w:lineRule="auto"/>
        <w:jc w:val="both"/>
        <w:rPr>
          <w:rFonts w:ascii="Palatino Linotype" w:eastAsia="Times New Roman" w:hAnsi="Palatino Linotype" w:cs="Times New Roman"/>
          <w:b/>
          <w:bCs/>
          <w:i/>
          <w:noProof/>
          <w:sz w:val="24"/>
          <w:szCs w:val="24"/>
          <w:lang w:eastAsia="es-ES"/>
        </w:rPr>
      </w:pPr>
    </w:p>
    <w:p w14:paraId="6C3895F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51DE952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p>
    <w:p w14:paraId="630DB4D7"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1FDF7F9D"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5C2F65E7"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21652DC8"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419A037C"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C847DDE"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11DD94FA"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7CA900CD"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7A90AB56"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1B09ED9E" w14:textId="77777777" w:rsidR="0051753E" w:rsidRPr="00902954" w:rsidRDefault="0051753E" w:rsidP="0051753E">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66ED851D"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411884A6" w14:textId="77777777" w:rsidR="0051753E" w:rsidRPr="00902954" w:rsidRDefault="0051753E" w:rsidP="0051753E">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64A5A959" w14:textId="77777777" w:rsidR="0051753E" w:rsidRPr="00902954" w:rsidRDefault="0051753E" w:rsidP="0051753E">
      <w:pPr>
        <w:spacing w:after="0" w:line="360" w:lineRule="auto"/>
        <w:jc w:val="both"/>
        <w:rPr>
          <w:rFonts w:ascii="Palatino Linotype" w:eastAsia="Arial Unicode MS" w:hAnsi="Palatino Linotype"/>
        </w:rPr>
      </w:pPr>
    </w:p>
    <w:p w14:paraId="425E9B64" w14:textId="77777777" w:rsidR="0051753E" w:rsidRPr="00902954" w:rsidRDefault="0051753E" w:rsidP="0051753E">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427C1FEC" w14:textId="77777777" w:rsidR="0051753E" w:rsidRPr="00902954" w:rsidRDefault="0051753E" w:rsidP="0051753E">
      <w:pPr>
        <w:spacing w:after="0" w:line="360" w:lineRule="auto"/>
        <w:jc w:val="both"/>
        <w:rPr>
          <w:rFonts w:ascii="Palatino Linotype" w:hAnsi="Palatino Linotype"/>
          <w:sz w:val="24"/>
        </w:rPr>
      </w:pPr>
    </w:p>
    <w:p w14:paraId="2EE17D59" w14:textId="77777777" w:rsidR="0051753E" w:rsidRPr="00083C92" w:rsidRDefault="0051753E" w:rsidP="0051753E">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1B92864B"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 xml:space="preserve">que sustente la versión pública, el cual deberá cumplir cabalmente con las formalidades </w:t>
      </w:r>
      <w:r w:rsidRPr="00902954">
        <w:rPr>
          <w:rFonts w:ascii="Palatino Linotype" w:eastAsia="Times New Roman" w:hAnsi="Palatino Linotype" w:cs="Times New Roman"/>
          <w:sz w:val="24"/>
          <w:szCs w:val="24"/>
          <w:lang w:val="es-ES" w:eastAsia="es-ES"/>
        </w:rPr>
        <w:lastRenderedPageBreak/>
        <w:t>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5F369F3F"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p>
    <w:p w14:paraId="4D880FF9"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r>
        <w:rPr>
          <w:rFonts w:ascii="Palatino Linotype" w:eastAsia="Times New Roman" w:hAnsi="Palatino Linotype" w:cs="Times New Roman"/>
          <w:sz w:val="24"/>
          <w:szCs w:val="24"/>
          <w:lang w:val="es-ES" w:eastAsia="es-ES"/>
        </w:rPr>
        <w:t>.</w:t>
      </w:r>
      <w:r w:rsidRPr="00902954">
        <w:rPr>
          <w:rFonts w:ascii="Palatino Linotype" w:eastAsia="Times New Roman" w:hAnsi="Palatino Linotype" w:cs="Times New Roman"/>
          <w:b/>
          <w:sz w:val="24"/>
          <w:szCs w:val="24"/>
          <w:lang w:val="es-ES" w:eastAsia="es-ES"/>
        </w:rPr>
        <w:t>.</w:t>
      </w:r>
    </w:p>
    <w:p w14:paraId="77D9A65C" w14:textId="77777777" w:rsidR="0051753E" w:rsidRPr="00902954" w:rsidRDefault="0051753E" w:rsidP="0051753E">
      <w:pPr>
        <w:spacing w:after="0" w:line="360" w:lineRule="auto"/>
        <w:jc w:val="both"/>
        <w:rPr>
          <w:rFonts w:ascii="Palatino Linotype" w:eastAsia="Times New Roman" w:hAnsi="Palatino Linotype" w:cs="Times New Roman"/>
          <w:sz w:val="24"/>
          <w:szCs w:val="24"/>
        </w:rPr>
      </w:pPr>
    </w:p>
    <w:p w14:paraId="73D00EA1" w14:textId="77777777" w:rsidR="0051753E" w:rsidRPr="00902954" w:rsidRDefault="0051753E" w:rsidP="005175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0FCE3665" w14:textId="77777777" w:rsidR="0051753E" w:rsidRPr="00902954" w:rsidRDefault="0051753E" w:rsidP="005175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75097690" w14:textId="77777777" w:rsidR="0051753E" w:rsidRPr="00902954" w:rsidRDefault="0051753E" w:rsidP="0051753E">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07166329" w14:textId="77777777" w:rsidR="0051753E" w:rsidRPr="00902954" w:rsidRDefault="0051753E" w:rsidP="0051753E">
      <w:pPr>
        <w:spacing w:after="0" w:line="360" w:lineRule="auto"/>
        <w:ind w:right="-91"/>
        <w:jc w:val="both"/>
        <w:rPr>
          <w:rFonts w:ascii="Palatino Linotype" w:eastAsia="Times New Roman" w:hAnsi="Palatino Linotype" w:cs="Arial"/>
          <w:sz w:val="24"/>
          <w:szCs w:val="24"/>
          <w:lang w:eastAsia="es-MX"/>
        </w:rPr>
      </w:pPr>
    </w:p>
    <w:p w14:paraId="00E6BE4A" w14:textId="77777777" w:rsidR="0051753E" w:rsidRPr="00902954" w:rsidRDefault="0051753E" w:rsidP="0051753E">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lastRenderedPageBreak/>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2F1EDEAC"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4E513265"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1C071DBB"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Rosendoevgueni Monterrey Chepov. </w:t>
      </w:r>
    </w:p>
    <w:p w14:paraId="580C403C" w14:textId="77777777" w:rsidR="0051753E" w:rsidRPr="00902954" w:rsidRDefault="0051753E" w:rsidP="0051753E">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69092B91"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p>
    <w:p w14:paraId="1FD9377D"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6B3279C5"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p>
    <w:p w14:paraId="0A765FB9"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A42F812" w14:textId="77777777" w:rsidR="0051753E" w:rsidRDefault="0051753E" w:rsidP="0051753E">
      <w:pPr>
        <w:spacing w:after="0" w:line="360" w:lineRule="auto"/>
        <w:jc w:val="both"/>
        <w:rPr>
          <w:rFonts w:ascii="Palatino Linotype" w:eastAsia="Times New Roman" w:hAnsi="Palatino Linotype" w:cs="Times New Roman"/>
          <w:sz w:val="24"/>
          <w:szCs w:val="24"/>
          <w:lang w:val="es-ES" w:eastAsia="es-MX"/>
        </w:rPr>
      </w:pPr>
    </w:p>
    <w:p w14:paraId="7633CFC2"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3CB6442E"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p>
    <w:p w14:paraId="3762788C" w14:textId="77777777" w:rsidR="0051753E" w:rsidRPr="00902954" w:rsidRDefault="0051753E" w:rsidP="005175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57B7528C" w14:textId="77777777" w:rsidR="0051753E" w:rsidRPr="00902954" w:rsidRDefault="0051753E" w:rsidP="0051753E">
      <w:pPr>
        <w:spacing w:after="0"/>
        <w:ind w:left="567" w:right="567"/>
        <w:jc w:val="both"/>
        <w:rPr>
          <w:rFonts w:ascii="Palatino Linotype" w:hAnsi="Palatino Linotype" w:cs="Arial"/>
          <w:i/>
          <w:lang w:val="es-ES" w:eastAsia="es-MX"/>
        </w:rPr>
      </w:pPr>
    </w:p>
    <w:p w14:paraId="2EE6ADD6" w14:textId="77777777" w:rsidR="0051753E" w:rsidRPr="00902954" w:rsidRDefault="0051753E" w:rsidP="005175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lastRenderedPageBreak/>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62A7B093" w14:textId="77777777" w:rsidR="0051753E" w:rsidRDefault="0051753E" w:rsidP="0051753E">
      <w:pPr>
        <w:spacing w:after="0" w:line="360" w:lineRule="auto"/>
        <w:jc w:val="both"/>
        <w:rPr>
          <w:rFonts w:ascii="Palatino Linotype" w:eastAsia="Times New Roman" w:hAnsi="Palatino Linotype" w:cs="Times New Roman"/>
          <w:sz w:val="24"/>
          <w:szCs w:val="24"/>
          <w:lang w:val="es-ES" w:eastAsia="es-MX"/>
        </w:rPr>
      </w:pPr>
    </w:p>
    <w:p w14:paraId="562DDC54"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86A760E"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p>
    <w:p w14:paraId="673FD45F"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16C31FD3" w14:textId="77777777" w:rsidR="0051753E" w:rsidRPr="00902954" w:rsidRDefault="0051753E" w:rsidP="0051753E">
      <w:pPr>
        <w:spacing w:after="0" w:line="360" w:lineRule="auto"/>
        <w:jc w:val="both"/>
        <w:rPr>
          <w:rFonts w:ascii="Palatino Linotype" w:hAnsi="Palatino Linotype" w:cs="Arial"/>
          <w:lang w:val="es-ES" w:eastAsia="es-MX"/>
        </w:rPr>
      </w:pPr>
    </w:p>
    <w:p w14:paraId="56A896ED" w14:textId="77777777" w:rsidR="0051753E" w:rsidRDefault="0051753E" w:rsidP="0051753E">
      <w:pPr>
        <w:spacing w:after="0" w:line="240" w:lineRule="auto"/>
        <w:ind w:left="567" w:right="567"/>
        <w:jc w:val="both"/>
        <w:rPr>
          <w:rFonts w:ascii="Palatino Linotype" w:eastAsia="Times New Roman" w:hAnsi="Palatino Linotype" w:cs="Times New Roman"/>
          <w:b/>
          <w:i/>
          <w:lang w:val="es-ES" w:eastAsia="es-MX"/>
        </w:rPr>
      </w:pPr>
    </w:p>
    <w:p w14:paraId="1CB2E18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583EE2A" w14:textId="77777777" w:rsidR="0051753E" w:rsidRPr="00902954" w:rsidRDefault="0051753E" w:rsidP="0051753E">
      <w:pPr>
        <w:spacing w:after="0" w:line="360" w:lineRule="auto"/>
        <w:ind w:right="616"/>
        <w:jc w:val="both"/>
        <w:rPr>
          <w:rFonts w:ascii="Palatino Linotype" w:hAnsi="Palatino Linotype" w:cs="Arial"/>
          <w:bCs/>
          <w:lang w:val="es-ES" w:eastAsia="es-MX"/>
        </w:rPr>
      </w:pPr>
    </w:p>
    <w:p w14:paraId="0154721D"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De lo anterior, se desprende que la Clave Única de Registro de Población, se encuentra vinculada al nombre de la persona, permitiendo identificar la edad, fecha de nacimiento, sexo, lugar de nacimiento, así como el código identificador; datos que </w:t>
      </w:r>
      <w:r w:rsidRPr="00902954">
        <w:rPr>
          <w:rFonts w:ascii="Palatino Linotype" w:eastAsia="Times New Roman" w:hAnsi="Palatino Linotype" w:cs="Times New Roman"/>
          <w:sz w:val="24"/>
          <w:szCs w:val="24"/>
          <w:lang w:val="es-ES" w:eastAsia="es-MX"/>
        </w:rPr>
        <w:lastRenderedPageBreak/>
        <w:t>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FAA867F" w14:textId="77777777" w:rsidR="0051753E" w:rsidRDefault="0051753E" w:rsidP="0051753E">
      <w:pPr>
        <w:spacing w:after="0" w:line="360" w:lineRule="auto"/>
        <w:jc w:val="both"/>
        <w:rPr>
          <w:rFonts w:ascii="Palatino Linotype" w:eastAsia="Arial Unicode MS" w:hAnsi="Palatino Linotype" w:cs="Times New Roman"/>
          <w:sz w:val="24"/>
          <w:szCs w:val="24"/>
          <w:lang w:eastAsia="es-ES"/>
        </w:rPr>
      </w:pPr>
    </w:p>
    <w:p w14:paraId="6BF6864F"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B8B77AD"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MX"/>
        </w:rPr>
      </w:pPr>
    </w:p>
    <w:p w14:paraId="607B0A87" w14:textId="77777777" w:rsidR="0051753E" w:rsidRPr="00902954" w:rsidRDefault="0051753E" w:rsidP="0051753E">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 xml:space="preserve">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w:t>
      </w:r>
      <w:r w:rsidRPr="00902954">
        <w:rPr>
          <w:rFonts w:ascii="Palatino Linotype" w:eastAsia="Calibri" w:hAnsi="Palatino Linotype" w:cs="Times New Roman"/>
          <w:sz w:val="24"/>
          <w:szCs w:val="24"/>
          <w:lang w:eastAsia="es-ES"/>
        </w:rPr>
        <w:lastRenderedPageBreak/>
        <w:t>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B4FBF6C" w14:textId="77777777" w:rsidR="0051753E" w:rsidRPr="00902954" w:rsidRDefault="0051753E" w:rsidP="0051753E">
      <w:pPr>
        <w:spacing w:after="0" w:line="360" w:lineRule="auto"/>
        <w:jc w:val="both"/>
        <w:rPr>
          <w:rFonts w:ascii="Palatino Linotype" w:eastAsia="Calibri" w:hAnsi="Palatino Linotype" w:cs="Times New Roman"/>
          <w:sz w:val="24"/>
          <w:szCs w:val="24"/>
          <w:lang w:eastAsia="es-ES"/>
        </w:rPr>
      </w:pPr>
    </w:p>
    <w:p w14:paraId="6D6F7F07"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96925DA"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01DE153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3FE0532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14:paraId="1BE27176"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59277D21"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5AF83CD8"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00430CDB"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2750CDA1"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61ED6970"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6BF2CEA4"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5CEE6B6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“Segundo.-</w:t>
      </w:r>
      <w:r w:rsidRPr="00902954">
        <w:rPr>
          <w:rFonts w:ascii="Palatino Linotype" w:eastAsia="Times New Roman" w:hAnsi="Palatino Linotype" w:cs="Times New Roman"/>
          <w:i/>
          <w:lang w:eastAsia="es-MX"/>
        </w:rPr>
        <w:t xml:space="preserve"> Para efectos de los presentes Lineamientos Generales, se entenderá por:</w:t>
      </w:r>
    </w:p>
    <w:p w14:paraId="419C2C8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1F663C5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w:t>
      </w:r>
      <w:r w:rsidRPr="00902954">
        <w:rPr>
          <w:rFonts w:ascii="Palatino Linotype" w:eastAsia="Times New Roman" w:hAnsi="Palatino Linotype" w:cs="Times New Roman"/>
          <w:i/>
          <w:lang w:eastAsia="es-MX"/>
        </w:rPr>
        <w:lastRenderedPageBreak/>
        <w:t>genérica, fundando y motivando la reserva o confidencialidad, a través de la resolución que para tal efecto emita el Comité de Transparencia.</w:t>
      </w:r>
    </w:p>
    <w:p w14:paraId="3026DADC"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5DA6F54C"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91D5A78"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2624A315"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66912F46"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ACF77AE"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342F3397"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11DAF88E"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187E2B1E"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3B48D4F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741F1B56"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6868AC00"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129B5C4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6D301FA7"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6A3B4047"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E1DD24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lastRenderedPageBreak/>
        <w:t>Para motivar la clasificación se deberán señalar las razones o circunstancias especiales que lo llevaron a concluir que el caso particular se ajusta al supuesto previsto por la norma legal invocada como fundamento.</w:t>
      </w:r>
    </w:p>
    <w:p w14:paraId="591A1DD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59F7350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7BBAB777"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51D539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111C3EA4"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039BE64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EDF182E"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1FAF4806"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26AC13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7482DC7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5B51266F"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533C62BD" w14:textId="77777777" w:rsidR="0051753E" w:rsidRPr="00902954" w:rsidRDefault="0051753E" w:rsidP="0051753E">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4EA4D483" w14:textId="77777777" w:rsidR="0051753E" w:rsidRPr="00902954" w:rsidRDefault="0051753E" w:rsidP="0051753E">
      <w:pPr>
        <w:spacing w:after="0" w:line="360" w:lineRule="auto"/>
        <w:jc w:val="both"/>
        <w:rPr>
          <w:rFonts w:ascii="Palatino Linotype" w:hAnsi="Palatino Linotype" w:cs="Arial"/>
          <w:i/>
          <w:lang w:eastAsia="es-MX"/>
        </w:rPr>
      </w:pPr>
    </w:p>
    <w:p w14:paraId="247975FD"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w:t>
      </w:r>
      <w:r w:rsidRPr="00902954">
        <w:rPr>
          <w:rFonts w:ascii="Palatino Linotype" w:eastAsia="Times New Roman" w:hAnsi="Palatino Linotype" w:cs="Times New Roman"/>
          <w:sz w:val="24"/>
          <w:szCs w:val="24"/>
          <w:lang w:eastAsia="es-ES"/>
        </w:rPr>
        <w:lastRenderedPageBreak/>
        <w:t xml:space="preserve">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2B040ED" w14:textId="77777777" w:rsidR="0051753E" w:rsidRDefault="0051753E" w:rsidP="0051753E">
      <w:pPr>
        <w:spacing w:after="0" w:line="360" w:lineRule="auto"/>
        <w:jc w:val="both"/>
        <w:rPr>
          <w:rFonts w:ascii="Palatino Linotype" w:eastAsia="Times New Roman" w:hAnsi="Palatino Linotype" w:cs="Times New Roman"/>
          <w:sz w:val="24"/>
          <w:szCs w:val="24"/>
          <w:lang w:eastAsia="es-ES"/>
        </w:rPr>
      </w:pPr>
    </w:p>
    <w:p w14:paraId="1EB7B205"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08352F34" w14:textId="77777777" w:rsidR="0051753E" w:rsidRDefault="0051753E" w:rsidP="0051753E">
      <w:pPr>
        <w:spacing w:after="0" w:line="360" w:lineRule="auto"/>
        <w:jc w:val="both"/>
        <w:rPr>
          <w:rFonts w:ascii="Palatino Linotype" w:eastAsia="Times New Roman" w:hAnsi="Palatino Linotype" w:cs="Times New Roman"/>
          <w:sz w:val="24"/>
          <w:szCs w:val="24"/>
          <w:lang w:eastAsia="es-ES"/>
        </w:rPr>
      </w:pPr>
    </w:p>
    <w:p w14:paraId="7B609901"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43DAC7A1"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 xml:space="preserve">FUNDAMENTACIÓN Y MOTIVACIÓN. </w:t>
      </w:r>
      <w:r w:rsidRPr="0090295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B294687"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3983771E"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37D9E15"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0526397D"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26782A2F"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6AF70245" w14:textId="77777777" w:rsidR="0051753E"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11F0FEC"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p>
    <w:p w14:paraId="3FB29824"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1837AE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6C0E4030" w14:textId="77777777" w:rsidR="0051753E" w:rsidRPr="00081E3E"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 xml:space="preserve">que la sustente, en el que se expongan los fundamentos y razones que llevaron a la autoridad </w:t>
      </w:r>
      <w:r w:rsidRPr="00902954">
        <w:rPr>
          <w:rFonts w:ascii="Palatino Linotype" w:eastAsia="Times New Roman" w:hAnsi="Palatino Linotype" w:cs="Times New Roman"/>
          <w:sz w:val="24"/>
          <w:szCs w:val="24"/>
          <w:lang w:val="es-ES" w:eastAsia="es-ES"/>
        </w:rPr>
        <w:lastRenderedPageBreak/>
        <w:t>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9C15696" w14:textId="77777777" w:rsidR="0051753E" w:rsidRPr="00DB6E06" w:rsidRDefault="0051753E" w:rsidP="0051753E">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0923C117" w14:textId="0382E319" w:rsidR="0051753E" w:rsidRPr="00DB6E06" w:rsidRDefault="0051753E" w:rsidP="0051753E">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DB6E06">
        <w:rPr>
          <w:rFonts w:ascii="Palatino Linotype" w:eastAsia="Times New Roman" w:hAnsi="Palatino Linotype" w:cs="Times New Roman"/>
          <w:b/>
          <w:i/>
          <w:sz w:val="28"/>
          <w:szCs w:val="28"/>
          <w:lang w:val="es-ES" w:eastAsia="es-ES"/>
        </w:rPr>
        <w:t xml:space="preserve">Vista a los órganos interno </w:t>
      </w:r>
      <w:r w:rsidR="005943EF" w:rsidRPr="00DB6E06">
        <w:rPr>
          <w:rFonts w:ascii="Palatino Linotype" w:eastAsia="Times New Roman" w:hAnsi="Palatino Linotype" w:cs="Times New Roman"/>
          <w:b/>
          <w:i/>
          <w:sz w:val="28"/>
          <w:szCs w:val="28"/>
          <w:lang w:val="es-ES" w:eastAsia="es-ES"/>
        </w:rPr>
        <w:t xml:space="preserve">de control </w:t>
      </w:r>
      <w:r w:rsidRPr="00DB6E06">
        <w:rPr>
          <w:rFonts w:ascii="Palatino Linotype" w:eastAsia="Times New Roman" w:hAnsi="Palatino Linotype" w:cs="Times New Roman"/>
          <w:b/>
          <w:i/>
          <w:sz w:val="28"/>
          <w:szCs w:val="28"/>
          <w:lang w:val="es-ES" w:eastAsia="es-ES"/>
        </w:rPr>
        <w:t xml:space="preserve">competentes </w:t>
      </w:r>
    </w:p>
    <w:p w14:paraId="3BB347ED"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67DB2E41"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5E8A67AD"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7EB83F8B"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w:t>
      </w:r>
      <w:r w:rsidRPr="00DB6E06">
        <w:rPr>
          <w:rFonts w:ascii="Palatino Linotype" w:eastAsia="Times New Roman" w:hAnsi="Palatino Linotype" w:cs="Times New Roman"/>
          <w:sz w:val="24"/>
          <w:szCs w:val="24"/>
          <w:lang w:val="es-ES" w:eastAsia="es-ES"/>
        </w:rPr>
        <w:lastRenderedPageBreak/>
        <w:t>Ley de Transparencia Acceso a la Información Pública del Estado de México y Municipios específicamente en sus artículos 190 y 222, que señalan lo siguiente:</w:t>
      </w:r>
    </w:p>
    <w:p w14:paraId="7D6AC6AE"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045505EA"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190.</w:t>
      </w:r>
      <w:r w:rsidRPr="00DB6E06">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4CD0897F"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77379C68"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Artículo 222.</w:t>
      </w:r>
      <w:r w:rsidRPr="00DB6E06">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2B7848BB"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408AE6A8"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 Cualquier acto u omisión que provoque la suspensión o deficiencia en la atención de las solicitudes de información;</w:t>
      </w:r>
    </w:p>
    <w:p w14:paraId="2BBF81C4"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II. La falta de respuesta a las solicitudes de información en los plazos señalados en la normatividad aplicable;</w:t>
      </w:r>
    </w:p>
    <w:p w14:paraId="6CE201A9"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(Sic)</w:t>
      </w:r>
    </w:p>
    <w:p w14:paraId="356698D8"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3C027867"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45D1CA67"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1C4EBA18"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w:t>
      </w:r>
      <w:r w:rsidRPr="00DB6E06">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1345FB0C"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7EBCA40B"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XXVII.</w:t>
      </w:r>
      <w:r w:rsidRPr="00DB6E06">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w:t>
      </w:r>
      <w:r w:rsidRPr="00DB6E06">
        <w:rPr>
          <w:rFonts w:ascii="Palatino Linotype" w:eastAsia="Times New Roman" w:hAnsi="Palatino Linotype" w:cs="Times New Roman"/>
          <w:i/>
          <w:sz w:val="24"/>
          <w:szCs w:val="24"/>
          <w:lang w:val="es-ES" w:eastAsia="es-ES"/>
        </w:rPr>
        <w:lastRenderedPageBreak/>
        <w:t>cometidas en el marco de la Ley de Transparencia, para la promoción de responsabilidades y sanciones, así como dar seguimiento al resultado de los procedimientos instaurados;” (Sic)</w:t>
      </w:r>
    </w:p>
    <w:p w14:paraId="25EE2C0A"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3D1C40CB" w14:textId="61DECB9F" w:rsidR="0051753E" w:rsidRPr="00DB6E06" w:rsidRDefault="0051753E" w:rsidP="0051753E">
      <w:pPr>
        <w:spacing w:after="0" w:line="360" w:lineRule="auto"/>
        <w:jc w:val="both"/>
        <w:rPr>
          <w:rFonts w:ascii="Palatino Linotype" w:eastAsia="Times New Roman" w:hAnsi="Palatino Linotype" w:cs="Arial"/>
          <w:sz w:val="24"/>
          <w:szCs w:val="24"/>
          <w:lang w:eastAsia="es-MX"/>
        </w:rPr>
      </w:pPr>
      <w:r w:rsidRPr="00DB6E06">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5943EF"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5943EF"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de la instancia competente para que éste inicie, en su caso, el procedimiento de responsabilidad respectivo, cuyo resultado deberá de ser informado al Instituto</w:t>
      </w:r>
    </w:p>
    <w:p w14:paraId="7FEE7852" w14:textId="77777777" w:rsidR="0051753E" w:rsidRPr="00DB6E06" w:rsidRDefault="0051753E" w:rsidP="0051753E">
      <w:pPr>
        <w:spacing w:after="0" w:line="360" w:lineRule="auto"/>
        <w:jc w:val="both"/>
        <w:rPr>
          <w:rFonts w:ascii="Palatino Linotype" w:eastAsia="Times New Roman" w:hAnsi="Palatino Linotype" w:cs="Arial"/>
          <w:sz w:val="24"/>
          <w:szCs w:val="24"/>
          <w:lang w:eastAsia="es-MX"/>
        </w:rPr>
      </w:pPr>
    </w:p>
    <w:p w14:paraId="7A8AD40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B6E06">
        <w:rPr>
          <w:rFonts w:ascii="Palatino Linotype" w:eastAsia="Times New Roman" w:hAnsi="Palatino Linotype" w:cs="Arial"/>
          <w:b/>
          <w:sz w:val="24"/>
          <w:szCs w:val="24"/>
        </w:rPr>
        <w:t>ORDENA</w:t>
      </w:r>
      <w:r w:rsidRPr="00DB6E06">
        <w:rPr>
          <w:rFonts w:ascii="Palatino Linotype" w:eastAsia="Times New Roman" w:hAnsi="Palatino Linotype" w:cs="Arial"/>
          <w:sz w:val="24"/>
          <w:szCs w:val="24"/>
        </w:rPr>
        <w:t xml:space="preserve"> al </w:t>
      </w:r>
      <w:r w:rsidRPr="00DB6E06">
        <w:rPr>
          <w:rFonts w:ascii="Palatino Linotype" w:eastAsia="Times New Roman" w:hAnsi="Palatino Linotype" w:cs="Arial"/>
          <w:b/>
          <w:sz w:val="24"/>
          <w:szCs w:val="24"/>
        </w:rPr>
        <w:t>Sujeto Obligado</w:t>
      </w:r>
      <w:r>
        <w:rPr>
          <w:rFonts w:ascii="Palatino Linotype" w:eastAsia="Times New Roman" w:hAnsi="Palatino Linotype" w:cs="Arial"/>
          <w:sz w:val="24"/>
          <w:szCs w:val="24"/>
        </w:rPr>
        <w:t>, atienda la solicitud</w:t>
      </w:r>
      <w:r w:rsidRPr="00DB6E06">
        <w:rPr>
          <w:rFonts w:ascii="Palatino Linotype" w:eastAsia="Times New Roman" w:hAnsi="Palatino Linotype" w:cs="Arial"/>
          <w:sz w:val="24"/>
          <w:szCs w:val="24"/>
        </w:rPr>
        <w:t xml:space="preserve"> de información</w:t>
      </w:r>
      <w:r>
        <w:rPr>
          <w:rFonts w:ascii="Palatino Linotype" w:eastAsia="Times New Roman" w:hAnsi="Palatino Linotype" w:cs="Arial"/>
          <w:sz w:val="24"/>
          <w:szCs w:val="24"/>
        </w:rPr>
        <w:t xml:space="preserve"> </w:t>
      </w:r>
      <w:r w:rsidR="00EE7A99" w:rsidRPr="00EE7A99">
        <w:rPr>
          <w:rFonts w:ascii="Palatino Linotype" w:hAnsi="Palatino Linotype"/>
          <w:b/>
          <w:bCs/>
          <w:sz w:val="24"/>
          <w:szCs w:val="24"/>
        </w:rPr>
        <w:t>00090/OZUMBA/IP/2023</w:t>
      </w:r>
      <w:r w:rsidR="00EE7A99" w:rsidRPr="00EE7A99">
        <w:rPr>
          <w:rFonts w:ascii="Palatino Linotype" w:eastAsia="Times New Roman" w:hAnsi="Palatino Linotype" w:cs="Times New Roman"/>
          <w:b/>
          <w:bCs/>
          <w:sz w:val="24"/>
          <w:szCs w:val="24"/>
        </w:rPr>
        <w:t xml:space="preserve">, </w:t>
      </w:r>
      <w:r w:rsidRPr="00DB6E06">
        <w:rPr>
          <w:rFonts w:ascii="Palatino Linotype" w:eastAsia="Times New Roman" w:hAnsi="Palatino Linotype" w:cs="Arial"/>
          <w:sz w:val="24"/>
          <w:szCs w:val="24"/>
        </w:rPr>
        <w:t>que ha sido materia del presente fallo.</w:t>
      </w:r>
    </w:p>
    <w:p w14:paraId="3AF5F71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09147397"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Por lo antes expuesto y fundado es de resolverse y,</w:t>
      </w:r>
    </w:p>
    <w:p w14:paraId="70A3199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3C1A4087" w14:textId="77777777" w:rsidR="0051753E" w:rsidRPr="00DB6E06" w:rsidRDefault="0051753E" w:rsidP="0051753E">
      <w:pPr>
        <w:spacing w:after="0" w:line="360" w:lineRule="auto"/>
        <w:ind w:left="426"/>
        <w:jc w:val="center"/>
        <w:rPr>
          <w:rFonts w:ascii="Palatino Linotype" w:eastAsia="Times New Roman" w:hAnsi="Palatino Linotype" w:cs="Times New Roman"/>
          <w:b/>
          <w:color w:val="000000"/>
          <w:sz w:val="28"/>
          <w:szCs w:val="24"/>
          <w:lang w:val="es-ES" w:eastAsia="es-ES"/>
        </w:rPr>
      </w:pPr>
      <w:r w:rsidRPr="00DB6E06">
        <w:rPr>
          <w:rFonts w:ascii="Palatino Linotype" w:eastAsia="Times New Roman" w:hAnsi="Palatino Linotype" w:cs="Times New Roman"/>
          <w:b/>
          <w:color w:val="000000"/>
          <w:sz w:val="28"/>
          <w:szCs w:val="24"/>
          <w:lang w:val="es-ES" w:eastAsia="es-ES"/>
        </w:rPr>
        <w:t>SE    RESUELVE</w:t>
      </w:r>
    </w:p>
    <w:p w14:paraId="562A4033"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2DEDD778"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lastRenderedPageBreak/>
        <w:t>PRIMERO.</w:t>
      </w:r>
      <w:r w:rsidRPr="00DB6E06">
        <w:rPr>
          <w:rFonts w:ascii="Palatino Linotype" w:eastAsia="Times New Roman" w:hAnsi="Palatino Linotype" w:cs="Arial"/>
          <w:sz w:val="24"/>
          <w:szCs w:val="24"/>
        </w:rPr>
        <w:t xml:space="preserve"> Resultan fundadas las razones o motivos de inconformidad hechos valer por 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xml:space="preserve"> en términos del considerando </w:t>
      </w:r>
      <w:r>
        <w:rPr>
          <w:rFonts w:ascii="Palatino Linotype" w:eastAsia="Times New Roman" w:hAnsi="Palatino Linotype" w:cs="Arial"/>
          <w:b/>
          <w:sz w:val="24"/>
          <w:szCs w:val="24"/>
        </w:rPr>
        <w:t>CUARTO</w:t>
      </w:r>
      <w:r w:rsidRPr="00DB6E06">
        <w:rPr>
          <w:rFonts w:ascii="Palatino Linotype" w:eastAsia="Times New Roman" w:hAnsi="Palatino Linotype" w:cs="Arial"/>
          <w:sz w:val="24"/>
          <w:szCs w:val="24"/>
        </w:rPr>
        <w:t>, de la presente resolución.</w:t>
      </w:r>
    </w:p>
    <w:p w14:paraId="186FE280"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1750FC0E" w14:textId="77777777" w:rsidR="0051753E" w:rsidRPr="00DB6E06" w:rsidRDefault="0051753E" w:rsidP="0051753E">
      <w:pPr>
        <w:spacing w:line="360" w:lineRule="auto"/>
        <w:ind w:right="49"/>
        <w:jc w:val="both"/>
        <w:rPr>
          <w:rFonts w:ascii="Palatino Linotype" w:eastAsia="Times New Roman" w:hAnsi="Palatino Linotype" w:cs="Times New Roman"/>
          <w:bCs/>
          <w:sz w:val="24"/>
          <w:szCs w:val="24"/>
        </w:rPr>
      </w:pPr>
      <w:r w:rsidRPr="00DB6E06">
        <w:rPr>
          <w:rFonts w:ascii="Palatino Linotype" w:eastAsia="Times New Roman" w:hAnsi="Palatino Linotype" w:cs="Calibri"/>
          <w:b/>
          <w:sz w:val="28"/>
        </w:rPr>
        <w:t>SEGUNDO</w:t>
      </w:r>
      <w:r w:rsidRPr="00DB6E06">
        <w:rPr>
          <w:rFonts w:ascii="Palatino Linotype" w:eastAsia="Times New Roman" w:hAnsi="Palatino Linotype" w:cs="Calibri"/>
          <w:b/>
        </w:rPr>
        <w:t xml:space="preserve">. </w:t>
      </w:r>
      <w:r w:rsidRPr="00DB6E06">
        <w:rPr>
          <w:rFonts w:ascii="Palatino Linotype" w:eastAsia="Times New Roman" w:hAnsi="Palatino Linotype" w:cs="Times New Roman"/>
          <w:bCs/>
          <w:sz w:val="24"/>
          <w:lang w:eastAsia="es-MX"/>
        </w:rPr>
        <w:t xml:space="preserve">Se </w:t>
      </w:r>
      <w:r w:rsidRPr="00DB6E06">
        <w:rPr>
          <w:rFonts w:ascii="Palatino Linotype" w:eastAsia="Times New Roman" w:hAnsi="Palatino Linotype" w:cs="Times New Roman"/>
          <w:b/>
          <w:bCs/>
          <w:sz w:val="24"/>
          <w:lang w:eastAsia="es-MX"/>
        </w:rPr>
        <w:t xml:space="preserve">ORDENA </w:t>
      </w:r>
      <w:r w:rsidRPr="00DB6E06">
        <w:rPr>
          <w:rFonts w:ascii="Palatino Linotype" w:eastAsia="Times New Roman" w:hAnsi="Palatino Linotype" w:cs="Times New Roman"/>
          <w:bCs/>
          <w:sz w:val="24"/>
          <w:lang w:eastAsia="es-MX"/>
        </w:rPr>
        <w:t>al</w:t>
      </w:r>
      <w:r w:rsidRPr="00DB6E06">
        <w:rPr>
          <w:rFonts w:ascii="Palatino Linotype" w:eastAsia="Times New Roman" w:hAnsi="Palatino Linotype" w:cs="Times New Roman"/>
          <w:b/>
          <w:sz w:val="24"/>
          <w:lang w:eastAsia="es-MX"/>
        </w:rPr>
        <w:t xml:space="preserve"> SUJETO</w:t>
      </w:r>
      <w:r w:rsidRPr="00DB6E06">
        <w:rPr>
          <w:rFonts w:ascii="Palatino Linotype" w:eastAsia="Times New Roman" w:hAnsi="Palatino Linotype" w:cs="Times New Roman"/>
          <w:b/>
          <w:lang w:eastAsia="es-MX"/>
        </w:rPr>
        <w:t xml:space="preserve"> </w:t>
      </w:r>
      <w:r w:rsidRPr="00DB6E06">
        <w:rPr>
          <w:rFonts w:ascii="Palatino Linotype" w:eastAsia="Times New Roman" w:hAnsi="Palatino Linotype" w:cs="Times New Roman"/>
          <w:b/>
          <w:sz w:val="24"/>
          <w:lang w:eastAsia="es-MX"/>
        </w:rPr>
        <w:t xml:space="preserve">OBLIGADO </w:t>
      </w:r>
      <w:r w:rsidRPr="00DB6E06">
        <w:rPr>
          <w:rFonts w:ascii="Palatino Linotype" w:eastAsia="Times New Roman" w:hAnsi="Palatino Linotype" w:cs="Times New Roman"/>
          <w:bCs/>
          <w:sz w:val="24"/>
          <w:lang w:eastAsia="es-MX"/>
        </w:rPr>
        <w:t xml:space="preserve">atienda la </w:t>
      </w:r>
      <w:r>
        <w:rPr>
          <w:rFonts w:ascii="Palatino Linotype" w:eastAsia="Times New Roman" w:hAnsi="Palatino Linotype" w:cs="Times New Roman"/>
          <w:bCs/>
          <w:sz w:val="24"/>
          <w:lang w:eastAsia="es-MX"/>
        </w:rPr>
        <w:t xml:space="preserve">solicitud de información número </w:t>
      </w:r>
      <w:r w:rsidR="00EE7A99" w:rsidRPr="00EE7A99">
        <w:rPr>
          <w:rFonts w:ascii="Palatino Linotype" w:hAnsi="Palatino Linotype"/>
          <w:b/>
          <w:bCs/>
          <w:sz w:val="24"/>
          <w:szCs w:val="24"/>
        </w:rPr>
        <w:t>00090/OZUMBA/IP/2023</w:t>
      </w:r>
      <w:r w:rsidR="00EE7A99" w:rsidRPr="00EE7A99">
        <w:rPr>
          <w:rFonts w:ascii="Palatino Linotype" w:eastAsia="Times New Roman" w:hAnsi="Palatino Linotype" w:cs="Times New Roman"/>
          <w:b/>
          <w:bCs/>
          <w:sz w:val="24"/>
          <w:szCs w:val="24"/>
        </w:rPr>
        <w:t xml:space="preserve">, </w:t>
      </w:r>
      <w:r w:rsidRPr="00DB6E06">
        <w:rPr>
          <w:rFonts w:ascii="Palatino Linotype" w:eastAsia="Times New Roman" w:hAnsi="Palatino Linotype" w:cs="Times New Roman"/>
          <w:bCs/>
          <w:sz w:val="24"/>
          <w:lang w:eastAsia="es-MX"/>
        </w:rPr>
        <w:t xml:space="preserve">en términos del Considerando </w:t>
      </w:r>
      <w:r w:rsidR="00E64942">
        <w:rPr>
          <w:rFonts w:ascii="Palatino Linotype" w:eastAsia="Times New Roman" w:hAnsi="Palatino Linotype" w:cs="Times New Roman"/>
          <w:b/>
          <w:bCs/>
          <w:sz w:val="24"/>
          <w:szCs w:val="24"/>
          <w:lang w:eastAsia="es-MX"/>
        </w:rPr>
        <w:t>CUAR</w:t>
      </w:r>
      <w:r>
        <w:rPr>
          <w:rFonts w:ascii="Palatino Linotype" w:eastAsia="Times New Roman" w:hAnsi="Palatino Linotype" w:cs="Times New Roman"/>
          <w:b/>
          <w:bCs/>
          <w:sz w:val="24"/>
          <w:szCs w:val="24"/>
          <w:lang w:eastAsia="es-MX"/>
        </w:rPr>
        <w:t>TO</w:t>
      </w:r>
      <w:r w:rsidRPr="00DB6E06">
        <w:rPr>
          <w:rFonts w:ascii="Palatino Linotype" w:eastAsia="Times New Roman" w:hAnsi="Palatino Linotype" w:cs="Times New Roman"/>
          <w:bCs/>
          <w:sz w:val="24"/>
          <w:szCs w:val="24"/>
          <w:lang w:eastAsia="es-MX"/>
        </w:rPr>
        <w:t xml:space="preserve"> de esta resolución; vía Sistema de Acceso a la Información Mexiquense (SAIMEX).</w:t>
      </w:r>
    </w:p>
    <w:p w14:paraId="18E2575E" w14:textId="77777777" w:rsidR="0051753E" w:rsidRPr="00DB6E06" w:rsidRDefault="0051753E" w:rsidP="0051753E">
      <w:pPr>
        <w:spacing w:after="0" w:line="360" w:lineRule="auto"/>
        <w:jc w:val="both"/>
        <w:rPr>
          <w:rFonts w:ascii="Palatino Linotype" w:eastAsia="Times New Roman" w:hAnsi="Palatino Linotype" w:cs="Times New Roman"/>
          <w:b/>
          <w:bCs/>
          <w:color w:val="222222"/>
          <w:sz w:val="24"/>
          <w:szCs w:val="24"/>
          <w:lang w:eastAsia="es-MX"/>
        </w:rPr>
      </w:pPr>
    </w:p>
    <w:p w14:paraId="3E3E600E"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TERCERO</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Notifíquese</w:t>
      </w:r>
      <w:r w:rsidRPr="00DB6E06">
        <w:rPr>
          <w:rFonts w:ascii="Palatino Linotype" w:eastAsia="Times New Roman" w:hAnsi="Palatino Linotype" w:cs="Arial"/>
          <w:b/>
          <w:i/>
          <w:sz w:val="24"/>
          <w:szCs w:val="24"/>
        </w:rPr>
        <w:t xml:space="preserve"> </w:t>
      </w:r>
      <w:r w:rsidRPr="00DB6E06">
        <w:rPr>
          <w:rFonts w:ascii="Palatino Linotype" w:eastAsia="Times New Roman" w:hAnsi="Palatino Linotype" w:cs="Arial"/>
          <w:sz w:val="24"/>
          <w:szCs w:val="24"/>
        </w:rPr>
        <w:t>al Titular de la Unidad de Transparencia del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DB6E06">
        <w:rPr>
          <w:rFonts w:ascii="Palatino Linotype" w:eastAsia="Times New Roman" w:hAnsi="Palatino Linotype" w:cs="Arial"/>
          <w:b/>
          <w:sz w:val="24"/>
          <w:szCs w:val="32"/>
          <w:lang w:val="es-ES_tradnl"/>
        </w:rPr>
        <w:t>y</w:t>
      </w:r>
      <w:r w:rsidRPr="00DB6E06">
        <w:rPr>
          <w:rFonts w:ascii="Palatino Linotype" w:eastAsia="Times New Roman" w:hAnsi="Palatino Linotype" w:cs="Arial"/>
          <w:sz w:val="24"/>
          <w:szCs w:val="32"/>
          <w:lang w:val="es-ES_tradnl"/>
        </w:rPr>
        <w:t xml:space="preserve"> </w:t>
      </w:r>
      <w:r w:rsidRPr="00DB6E06">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F7C7AF"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31B4732B" w14:textId="77777777" w:rsidR="0051753E" w:rsidRPr="00DB6E06" w:rsidRDefault="0051753E" w:rsidP="0051753E">
      <w:pPr>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b/>
          <w:sz w:val="28"/>
          <w:szCs w:val="24"/>
          <w:lang w:val="es-ES" w:eastAsia="es-ES"/>
        </w:rPr>
        <w:t>CUARTO</w:t>
      </w:r>
      <w:r w:rsidRPr="00DB6E06">
        <w:rPr>
          <w:rFonts w:ascii="Palatino Linotype" w:eastAsia="Times New Roman" w:hAnsi="Palatino Linotype" w:cs="Arial"/>
          <w:b/>
          <w:sz w:val="24"/>
          <w:szCs w:val="24"/>
          <w:lang w:val="es-ES" w:eastAsia="es-ES"/>
        </w:rPr>
        <w:t>. Notifíquese</w:t>
      </w:r>
      <w:r w:rsidRPr="00DB6E06">
        <w:rPr>
          <w:rFonts w:ascii="Palatino Linotype" w:eastAsia="Times New Roman" w:hAnsi="Palatino Linotype" w:cs="Arial"/>
          <w:sz w:val="24"/>
          <w:szCs w:val="24"/>
          <w:lang w:val="es-ES" w:eastAsia="es-ES"/>
        </w:rPr>
        <w:t xml:space="preserve"> </w:t>
      </w:r>
      <w:r w:rsidRPr="00DB6E06">
        <w:rPr>
          <w:rFonts w:ascii="Palatino Linotype" w:eastAsia="Times New Roman" w:hAnsi="Palatino Linotype" w:cs="Arial"/>
          <w:b/>
          <w:sz w:val="24"/>
          <w:szCs w:val="24"/>
          <w:lang w:val="es-ES" w:eastAsia="es-ES"/>
        </w:rPr>
        <w:t>al Recurrente</w:t>
      </w:r>
      <w:r w:rsidRPr="00DB6E06">
        <w:rPr>
          <w:rFonts w:ascii="Palatino Linotype" w:eastAsia="Times New Roman" w:hAnsi="Palatino Linotype" w:cs="Arial"/>
          <w:sz w:val="24"/>
          <w:szCs w:val="24"/>
          <w:lang w:val="es-ES" w:eastAsia="es-ES"/>
        </w:rPr>
        <w:t xml:space="preserve">  por medio del SAIMEX, la presente resolución, y hágase de su conocimiento que en caso de considerar que la presente resolución le causa algún perjuicio, podrá interponer el juicio de amparo, en los términos de las leyes </w:t>
      </w:r>
      <w:r w:rsidRPr="00DB6E06">
        <w:rPr>
          <w:rFonts w:ascii="Palatino Linotype" w:eastAsia="Times New Roman" w:hAnsi="Palatino Linotype" w:cs="Arial"/>
          <w:sz w:val="24"/>
          <w:szCs w:val="24"/>
          <w:lang w:val="es-ES" w:eastAsia="es-ES"/>
        </w:rPr>
        <w:lastRenderedPageBreak/>
        <w:t>aplicables de acuerdo con lo estipulado en el artículo 196 de la Ley de Transparencia y Acceso a la Información Pública del Estado de México y Municipios.</w:t>
      </w:r>
    </w:p>
    <w:p w14:paraId="72B3165B"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5B6D83D0"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QUINTO</w:t>
      </w:r>
      <w:r w:rsidRPr="00DB6E06">
        <w:rPr>
          <w:rFonts w:ascii="Palatino Linotype" w:eastAsia="Times New Roman" w:hAnsi="Palatino Linotype" w:cs="Times New Roman"/>
          <w:b/>
          <w:sz w:val="24"/>
          <w:szCs w:val="24"/>
          <w:lang w:eastAsia="es-ES_tradnl"/>
        </w:rPr>
        <w:t>.</w:t>
      </w:r>
      <w:r w:rsidRPr="00DB6E06">
        <w:rPr>
          <w:rFonts w:ascii="Palatino Linotype" w:eastAsia="Times New Roman" w:hAnsi="Palatino Linotype" w:cs="Times New Roman"/>
          <w:sz w:val="24"/>
          <w:szCs w:val="24"/>
          <w:lang w:eastAsia="es-ES_tradnl"/>
        </w:rPr>
        <w:t xml:space="preserve"> </w:t>
      </w:r>
      <w:r w:rsidRPr="00DB6E06">
        <w:rPr>
          <w:rFonts w:ascii="Palatino Linotype" w:eastAsia="Times New Roman" w:hAnsi="Palatino Linotype" w:cs="Times New Roman"/>
          <w:b/>
          <w:sz w:val="24"/>
          <w:szCs w:val="24"/>
          <w:lang w:eastAsia="es-ES_tradnl"/>
        </w:rPr>
        <w:t>Notifíquese</w:t>
      </w:r>
      <w:r w:rsidRPr="00DB6E06">
        <w:rPr>
          <w:rFonts w:ascii="Palatino Linotype" w:eastAsia="Times New Roman" w:hAnsi="Palatino Linotype" w:cs="Times New Roman"/>
          <w:sz w:val="24"/>
          <w:szCs w:val="24"/>
          <w:lang w:eastAsia="es-ES_tradnl"/>
        </w:rPr>
        <w:t xml:space="preserve"> al </w:t>
      </w:r>
      <w:r w:rsidRPr="00DB6E06">
        <w:rPr>
          <w:rFonts w:ascii="Palatino Linotype" w:eastAsia="Times New Roman" w:hAnsi="Palatino Linotype" w:cs="Times New Roman"/>
          <w:b/>
          <w:sz w:val="24"/>
          <w:szCs w:val="24"/>
          <w:lang w:eastAsia="es-ES_tradnl"/>
        </w:rPr>
        <w:t>Recurrente</w:t>
      </w:r>
      <w:r w:rsidRPr="00DB6E06">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B6E06">
        <w:rPr>
          <w:rFonts w:ascii="Palatino Linotype" w:eastAsia="Times New Roman" w:hAnsi="Palatino Linotype" w:cs="Times New Roman"/>
          <w:b/>
          <w:sz w:val="24"/>
          <w:szCs w:val="24"/>
          <w:lang w:eastAsia="es-ES_tradnl"/>
        </w:rPr>
        <w:t>Sujeto Obligado</w:t>
      </w:r>
      <w:r w:rsidRPr="00DB6E06">
        <w:rPr>
          <w:rFonts w:ascii="Palatino Linotype" w:eastAsia="Times New Roman" w:hAnsi="Palatino Linotype" w:cs="Times New Roman"/>
          <w:sz w:val="24"/>
          <w:szCs w:val="24"/>
          <w:lang w:eastAsia="es-ES_tradnl"/>
        </w:rPr>
        <w:t>, en cumplimiento a esta Resolución.</w:t>
      </w:r>
    </w:p>
    <w:p w14:paraId="1366ABFD"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64E0D230"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SEXTO</w:t>
      </w:r>
      <w:r w:rsidRPr="00DB6E06">
        <w:rPr>
          <w:rFonts w:ascii="Palatino Linotype" w:eastAsia="Times New Roman" w:hAnsi="Palatino Linotype" w:cs="Times New Roman"/>
          <w:b/>
          <w:sz w:val="24"/>
          <w:szCs w:val="24"/>
          <w:lang w:eastAsia="es-ES_tradnl"/>
        </w:rPr>
        <w:t xml:space="preserve">. - Gírese </w:t>
      </w:r>
      <w:r w:rsidRPr="00DB6E06">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E64942">
        <w:rPr>
          <w:rFonts w:ascii="Palatino Linotype" w:eastAsia="Times New Roman" w:hAnsi="Palatino Linotype" w:cs="Times New Roman"/>
          <w:b/>
          <w:bCs/>
          <w:sz w:val="24"/>
          <w:szCs w:val="24"/>
          <w:lang w:eastAsia="es-ES_tradnl"/>
        </w:rPr>
        <w:t>CUAR</w:t>
      </w:r>
      <w:r>
        <w:rPr>
          <w:rFonts w:ascii="Palatino Linotype" w:eastAsia="Times New Roman" w:hAnsi="Palatino Linotype" w:cs="Times New Roman"/>
          <w:b/>
          <w:bCs/>
          <w:sz w:val="24"/>
          <w:szCs w:val="24"/>
          <w:lang w:eastAsia="es-ES_tradnl"/>
        </w:rPr>
        <w:t>TO</w:t>
      </w:r>
      <w:r w:rsidRPr="00DB6E06">
        <w:rPr>
          <w:rFonts w:ascii="Palatino Linotype" w:eastAsia="Times New Roman" w:hAnsi="Palatino Linotype" w:cs="Times New Roman"/>
          <w:sz w:val="24"/>
          <w:szCs w:val="24"/>
          <w:lang w:eastAsia="es-ES_tradnl"/>
        </w:rPr>
        <w:t xml:space="preserve"> de la presente resolución.</w:t>
      </w:r>
    </w:p>
    <w:p w14:paraId="4C44EBC9" w14:textId="77777777" w:rsidR="0051753E" w:rsidRPr="00DB6E06" w:rsidRDefault="0051753E" w:rsidP="0051753E">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0B166C8B" w14:textId="0B3F66E3" w:rsidR="0051753E" w:rsidRPr="005943EF" w:rsidRDefault="0051753E" w:rsidP="0051753E">
      <w:pPr>
        <w:spacing w:after="0" w:line="360" w:lineRule="auto"/>
        <w:jc w:val="both"/>
        <w:rPr>
          <w:rFonts w:ascii="Palatino Linotype" w:eastAsiaTheme="minorEastAsia" w:hAnsi="Palatino Linotype" w:cs="Times New Roman"/>
          <w:color w:val="000000" w:themeColor="text1"/>
          <w:lang w:val="es-ES_tradnl" w:eastAsia="es-ES"/>
        </w:rPr>
      </w:pPr>
      <w:r w:rsidRPr="005943EF">
        <w:rPr>
          <w:rFonts w:ascii="Palatino Linotype" w:eastAsiaTheme="minorEastAsia" w:hAnsi="Palatino Linotype" w:cs="Times New Roman"/>
          <w:color w:val="000000" w:themeColor="text1"/>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E4FA5" w:rsidRPr="005943EF">
        <w:rPr>
          <w:rFonts w:ascii="Palatino Linotype" w:eastAsiaTheme="minorEastAsia" w:hAnsi="Palatino Linotype" w:cs="Times New Roman"/>
          <w:color w:val="000000" w:themeColor="text1"/>
          <w:lang w:val="es-ES_tradnl" w:eastAsia="es-ES"/>
        </w:rPr>
        <w:t>DECIMA</w:t>
      </w:r>
      <w:r w:rsidR="006D38BA" w:rsidRPr="005943EF">
        <w:rPr>
          <w:rFonts w:ascii="Palatino Linotype" w:eastAsiaTheme="minorEastAsia" w:hAnsi="Palatino Linotype" w:cs="Times New Roman"/>
          <w:color w:val="000000" w:themeColor="text1"/>
          <w:lang w:val="es-ES_tradnl" w:eastAsia="es-ES"/>
        </w:rPr>
        <w:t xml:space="preserve"> PRIMERA </w:t>
      </w:r>
      <w:r w:rsidRPr="005943EF">
        <w:rPr>
          <w:rFonts w:ascii="Palatino Linotype" w:eastAsiaTheme="minorEastAsia" w:hAnsi="Palatino Linotype" w:cs="Times New Roman"/>
          <w:color w:val="000000" w:themeColor="text1"/>
          <w:lang w:val="es-ES_tradnl" w:eastAsia="es-ES"/>
        </w:rPr>
        <w:t xml:space="preserve">SESIÓN ORDINARIA CELEBRADA EL </w:t>
      </w:r>
      <w:r w:rsidR="006D38BA" w:rsidRPr="005943EF">
        <w:rPr>
          <w:rFonts w:ascii="Palatino Linotype" w:eastAsiaTheme="minorEastAsia" w:hAnsi="Palatino Linotype" w:cs="Times New Roman"/>
          <w:color w:val="000000" w:themeColor="text1"/>
          <w:lang w:val="es-ES_tradnl" w:eastAsia="es-ES"/>
        </w:rPr>
        <w:t xml:space="preserve">TRES DE ABRIL </w:t>
      </w:r>
      <w:r w:rsidRPr="005943EF">
        <w:rPr>
          <w:rFonts w:ascii="Palatino Linotype" w:eastAsiaTheme="minorEastAsia" w:hAnsi="Palatino Linotype" w:cs="Times New Roman"/>
          <w:color w:val="000000" w:themeColor="text1"/>
          <w:lang w:val="es-ES_tradnl" w:eastAsia="es-ES"/>
        </w:rPr>
        <w:t>DE DOS MIL VEINTICUATRO, ANTE EL SECRETARIO TÉCNICO DEL PLENO ALEXIS TAPIA RAMÍREZ.----------------------------------------------------------------------------------------------------</w:t>
      </w:r>
      <w:r w:rsidR="005943EF">
        <w:rPr>
          <w:rFonts w:ascii="Palatino Linotype" w:eastAsiaTheme="minorEastAsia" w:hAnsi="Palatino Linotype" w:cs="Times New Roman"/>
          <w:color w:val="000000" w:themeColor="text1"/>
          <w:lang w:val="es-ES_tradnl" w:eastAsia="es-ES"/>
        </w:rPr>
        <w:t>----------------------------------------------------------------------------------</w:t>
      </w:r>
    </w:p>
    <w:p w14:paraId="764EC0E6" w14:textId="77777777" w:rsidR="0051753E" w:rsidRPr="00DB6E06" w:rsidRDefault="0051753E" w:rsidP="0051753E">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imes New Roman" w:hAnsi="Palatino Linotype" w:cs="Times New Roman"/>
          <w:sz w:val="16"/>
          <w:szCs w:val="18"/>
        </w:rPr>
        <w:t>JMV/CCR/NJMB</w:t>
      </w:r>
    </w:p>
    <w:p w14:paraId="464B1E6E" w14:textId="77777777" w:rsidR="0051753E" w:rsidRPr="00DB6E06" w:rsidRDefault="0051753E" w:rsidP="0051753E">
      <w:pPr>
        <w:rPr>
          <w:rFonts w:eastAsia="Times New Roman" w:cs="Times New Roman"/>
        </w:rPr>
      </w:pPr>
    </w:p>
    <w:p w14:paraId="4ADB4AEF" w14:textId="77777777" w:rsidR="0051753E" w:rsidRPr="00DB6E06" w:rsidRDefault="0051753E" w:rsidP="0051753E">
      <w:pPr>
        <w:rPr>
          <w:rFonts w:eastAsia="Times New Roman" w:cs="Times New Roman"/>
        </w:rPr>
      </w:pPr>
    </w:p>
    <w:p w14:paraId="59D69F05" w14:textId="77777777" w:rsidR="0051753E" w:rsidRPr="00DB6E06" w:rsidRDefault="0051753E" w:rsidP="0051753E">
      <w:pPr>
        <w:rPr>
          <w:rFonts w:eastAsia="Times New Roman" w:cs="Times New Roman"/>
        </w:rPr>
      </w:pPr>
    </w:p>
    <w:p w14:paraId="199F67BF" w14:textId="77777777" w:rsidR="0051753E" w:rsidRPr="00DB6E06" w:rsidRDefault="0051753E" w:rsidP="0051753E">
      <w:pPr>
        <w:rPr>
          <w:rFonts w:eastAsia="Times New Roman" w:cs="Times New Roman"/>
        </w:rPr>
      </w:pPr>
    </w:p>
    <w:p w14:paraId="135BD791" w14:textId="77777777" w:rsidR="0051753E" w:rsidRPr="00DB6E06" w:rsidRDefault="0051753E" w:rsidP="0051753E">
      <w:pPr>
        <w:rPr>
          <w:rFonts w:eastAsia="Times New Roman" w:cs="Times New Roman"/>
        </w:rPr>
      </w:pPr>
    </w:p>
    <w:p w14:paraId="45698C99" w14:textId="77777777" w:rsidR="0051753E" w:rsidRPr="00DB6E06" w:rsidRDefault="0051753E" w:rsidP="0051753E">
      <w:pPr>
        <w:rPr>
          <w:rFonts w:eastAsia="Times New Roman" w:cs="Times New Roman"/>
        </w:rPr>
      </w:pPr>
    </w:p>
    <w:p w14:paraId="7D43A8E3" w14:textId="77777777" w:rsidR="0051753E" w:rsidRPr="00DB6E06" w:rsidRDefault="0051753E" w:rsidP="0051753E">
      <w:pPr>
        <w:rPr>
          <w:rFonts w:eastAsia="Times New Roman" w:cs="Times New Roman"/>
        </w:rPr>
      </w:pPr>
    </w:p>
    <w:p w14:paraId="27B30E78" w14:textId="77777777" w:rsidR="0051753E" w:rsidRPr="00DB6E06" w:rsidRDefault="0051753E" w:rsidP="0051753E">
      <w:pPr>
        <w:rPr>
          <w:rFonts w:eastAsia="Times New Roman" w:cs="Times New Roman"/>
        </w:rPr>
      </w:pPr>
    </w:p>
    <w:p w14:paraId="1B3ECAC4" w14:textId="77777777" w:rsidR="0051753E" w:rsidRPr="00DB6E06" w:rsidRDefault="0051753E" w:rsidP="0051753E">
      <w:pPr>
        <w:rPr>
          <w:rFonts w:eastAsia="Times New Roman" w:cs="Times New Roman"/>
        </w:rPr>
      </w:pPr>
    </w:p>
    <w:p w14:paraId="52F58B62" w14:textId="77777777" w:rsidR="0051753E" w:rsidRPr="00DB6E06" w:rsidRDefault="0051753E" w:rsidP="0051753E">
      <w:pPr>
        <w:rPr>
          <w:rFonts w:eastAsia="Times New Roman" w:cs="Times New Roman"/>
        </w:rPr>
      </w:pPr>
    </w:p>
    <w:p w14:paraId="30F101B3" w14:textId="77777777" w:rsidR="0051753E" w:rsidRPr="00DB6E06" w:rsidRDefault="0051753E" w:rsidP="0051753E">
      <w:pPr>
        <w:rPr>
          <w:rFonts w:eastAsia="Times New Roman" w:cs="Times New Roman"/>
        </w:rPr>
      </w:pPr>
    </w:p>
    <w:p w14:paraId="28DAF45D" w14:textId="77777777" w:rsidR="0051753E" w:rsidRPr="00DB6E06" w:rsidRDefault="0051753E" w:rsidP="0051753E">
      <w:pPr>
        <w:rPr>
          <w:rFonts w:eastAsia="Times New Roman" w:cs="Times New Roman"/>
        </w:rPr>
      </w:pPr>
    </w:p>
    <w:p w14:paraId="72DD606F" w14:textId="77777777" w:rsidR="0051753E" w:rsidRPr="00DB6E06" w:rsidRDefault="0051753E" w:rsidP="0051753E">
      <w:pPr>
        <w:rPr>
          <w:rFonts w:eastAsia="Times New Roman" w:cs="Times New Roman"/>
        </w:rPr>
      </w:pPr>
    </w:p>
    <w:p w14:paraId="31C97B8F" w14:textId="77777777" w:rsidR="0051753E" w:rsidRPr="00DB6E06" w:rsidRDefault="0051753E" w:rsidP="0051753E">
      <w:pPr>
        <w:rPr>
          <w:rFonts w:eastAsia="Times New Roman" w:cs="Times New Roman"/>
        </w:rPr>
      </w:pPr>
    </w:p>
    <w:p w14:paraId="1995F2E5" w14:textId="77777777" w:rsidR="0051753E" w:rsidRPr="00DB6E06" w:rsidRDefault="0051753E" w:rsidP="0051753E">
      <w:pPr>
        <w:rPr>
          <w:rFonts w:eastAsia="Times New Roman" w:cs="Times New Roman"/>
        </w:rPr>
      </w:pPr>
    </w:p>
    <w:p w14:paraId="2893FBC8" w14:textId="77777777" w:rsidR="0051753E" w:rsidRPr="00DB6E06" w:rsidRDefault="0051753E" w:rsidP="0051753E">
      <w:pPr>
        <w:rPr>
          <w:rFonts w:eastAsia="Times New Roman" w:cs="Times New Roman"/>
        </w:rPr>
      </w:pPr>
    </w:p>
    <w:p w14:paraId="502EF129" w14:textId="77777777" w:rsidR="0051753E" w:rsidRPr="00DB6E06" w:rsidRDefault="0051753E" w:rsidP="0051753E">
      <w:pPr>
        <w:rPr>
          <w:rFonts w:eastAsia="Times New Roman" w:cs="Times New Roman"/>
        </w:rPr>
      </w:pPr>
    </w:p>
    <w:p w14:paraId="33E69301" w14:textId="77777777" w:rsidR="0051753E" w:rsidRPr="00DB6E06" w:rsidRDefault="0051753E" w:rsidP="0051753E">
      <w:pPr>
        <w:rPr>
          <w:rFonts w:eastAsia="Times New Roman" w:cs="Times New Roman"/>
        </w:rPr>
      </w:pPr>
    </w:p>
    <w:p w14:paraId="2FA2506D" w14:textId="77777777" w:rsidR="0051753E" w:rsidRPr="00DB6E06" w:rsidRDefault="0051753E" w:rsidP="0051753E">
      <w:pPr>
        <w:rPr>
          <w:rFonts w:eastAsia="Times New Roman" w:cs="Times New Roman"/>
        </w:rPr>
      </w:pPr>
    </w:p>
    <w:p w14:paraId="00F42EE2" w14:textId="77777777" w:rsidR="0051753E" w:rsidRPr="00DB6E06" w:rsidRDefault="0051753E" w:rsidP="0051753E">
      <w:pPr>
        <w:rPr>
          <w:rFonts w:eastAsia="Times New Roman" w:cs="Times New Roman"/>
        </w:rPr>
      </w:pPr>
    </w:p>
    <w:p w14:paraId="32B739F1" w14:textId="77777777" w:rsidR="0051753E" w:rsidRPr="00DB6E06" w:rsidRDefault="0051753E" w:rsidP="0051753E">
      <w:pPr>
        <w:rPr>
          <w:rFonts w:eastAsia="Times New Roman" w:cs="Times New Roman"/>
        </w:rPr>
      </w:pPr>
    </w:p>
    <w:p w14:paraId="3A36A1FA" w14:textId="77777777" w:rsidR="0051753E" w:rsidRPr="00DB6E06" w:rsidRDefault="0051753E" w:rsidP="0051753E">
      <w:pPr>
        <w:rPr>
          <w:rFonts w:eastAsia="Times New Roman" w:cs="Times New Roman"/>
        </w:rPr>
      </w:pPr>
    </w:p>
    <w:p w14:paraId="5CF0C77A" w14:textId="77777777" w:rsidR="0051753E" w:rsidRPr="00DB6E06" w:rsidRDefault="0051753E" w:rsidP="0051753E">
      <w:pPr>
        <w:rPr>
          <w:rFonts w:eastAsia="Times New Roman" w:cs="Times New Roman"/>
        </w:rPr>
      </w:pPr>
    </w:p>
    <w:p w14:paraId="1C2178C7" w14:textId="77777777" w:rsidR="0051753E" w:rsidRPr="00DB6E06" w:rsidRDefault="0051753E" w:rsidP="0051753E">
      <w:pPr>
        <w:rPr>
          <w:rFonts w:eastAsia="Times New Roman" w:cs="Times New Roman"/>
        </w:rPr>
      </w:pPr>
    </w:p>
    <w:p w14:paraId="4B231B85" w14:textId="77777777" w:rsidR="0051753E" w:rsidRPr="00DB6E06" w:rsidRDefault="0051753E" w:rsidP="0051753E">
      <w:pPr>
        <w:rPr>
          <w:rFonts w:eastAsia="Times New Roman" w:cs="Times New Roman"/>
        </w:rPr>
      </w:pPr>
    </w:p>
    <w:p w14:paraId="1CE3A41F" w14:textId="77777777" w:rsidR="0051753E" w:rsidRDefault="0051753E" w:rsidP="0051753E"/>
    <w:p w14:paraId="641BF4D4" w14:textId="77777777" w:rsidR="00DF613E" w:rsidRDefault="00DF613E"/>
    <w:sectPr w:rsidR="00DF613E" w:rsidSect="00BC0B64">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BA742" w14:textId="77777777" w:rsidR="00A52D55" w:rsidRDefault="00A52D55" w:rsidP="0051753E">
      <w:pPr>
        <w:spacing w:after="0" w:line="240" w:lineRule="auto"/>
      </w:pPr>
      <w:r>
        <w:separator/>
      </w:r>
    </w:p>
  </w:endnote>
  <w:endnote w:type="continuationSeparator" w:id="0">
    <w:p w14:paraId="6E922165" w14:textId="77777777" w:rsidR="00A52D55" w:rsidRDefault="00A52D55" w:rsidP="005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9EA4C" w14:textId="77777777" w:rsidR="005943EF"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41097">
      <w:rPr>
        <w:rFonts w:ascii="Palatino Linotype" w:hAnsi="Palatino Linotype"/>
        <w:bCs/>
        <w:noProof/>
        <w:sz w:val="20"/>
      </w:rPr>
      <w:t>11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41097">
      <w:rPr>
        <w:rFonts w:ascii="Palatino Linotype" w:hAnsi="Palatino Linotype"/>
        <w:bCs/>
        <w:noProof/>
        <w:sz w:val="20"/>
      </w:rPr>
      <w:t>34</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653B7" w14:textId="77777777" w:rsidR="005943EF"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4109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41097">
      <w:rPr>
        <w:rFonts w:ascii="Palatino Linotype" w:hAnsi="Palatino Linotype"/>
        <w:bCs/>
        <w:noProof/>
        <w:sz w:val="20"/>
      </w:rPr>
      <w:t>34</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0A275" w14:textId="77777777" w:rsidR="00A52D55" w:rsidRDefault="00A52D55" w:rsidP="0051753E">
      <w:pPr>
        <w:spacing w:after="0" w:line="240" w:lineRule="auto"/>
      </w:pPr>
      <w:r>
        <w:separator/>
      </w:r>
    </w:p>
  </w:footnote>
  <w:footnote w:type="continuationSeparator" w:id="0">
    <w:p w14:paraId="115B7BDA" w14:textId="77777777" w:rsidR="00A52D55" w:rsidRDefault="00A52D55" w:rsidP="0051753E">
      <w:pPr>
        <w:spacing w:after="0" w:line="240" w:lineRule="auto"/>
      </w:pPr>
      <w:r>
        <w:continuationSeparator/>
      </w:r>
    </w:p>
  </w:footnote>
  <w:footnote w:id="1">
    <w:p w14:paraId="446E6B2A" w14:textId="77777777" w:rsidR="0051753E" w:rsidRPr="00481AAF" w:rsidRDefault="0051753E" w:rsidP="0051753E">
      <w:pPr>
        <w:spacing w:after="0" w:line="240"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5B120E23" w14:textId="77777777" w:rsidR="0051753E" w:rsidRDefault="0051753E" w:rsidP="0051753E">
      <w:pPr>
        <w:spacing w:after="0" w:line="240" w:lineRule="auto"/>
        <w:jc w:val="both"/>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3B67" w14:textId="77777777" w:rsidR="005943EF" w:rsidRDefault="00541097">
    <w:pPr>
      <w:pStyle w:val="Encabezado"/>
    </w:pPr>
    <w:r>
      <w:rPr>
        <w:noProof/>
        <w:lang w:val="es-MX" w:eastAsia="es-MX"/>
      </w:rPr>
      <w:pict w14:anchorId="6721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772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0B40" w14:textId="77777777" w:rsidR="005943EF" w:rsidRDefault="00541097">
    <w:pPr>
      <w:pStyle w:val="Encabezado"/>
    </w:pPr>
    <w:r>
      <w:rPr>
        <w:noProof/>
        <w:lang w:val="es-MX" w:eastAsia="es-MX"/>
      </w:rPr>
      <w:pict w14:anchorId="022A5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9776;mso-position-horizontal-relative:margin;mso-position-vertical-relative:margin"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67758B" w14:paraId="77F00672" w14:textId="77777777" w:rsidTr="00F45B4A">
      <w:trPr>
        <w:trHeight w:val="227"/>
      </w:trPr>
      <w:tc>
        <w:tcPr>
          <w:tcW w:w="5949" w:type="dxa"/>
          <w:hideMark/>
        </w:tcPr>
        <w:p w14:paraId="1C456E5E" w14:textId="77777777" w:rsidR="005943EF" w:rsidRDefault="00541833"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2EA7D701" w14:textId="77777777" w:rsidR="005943EF" w:rsidRPr="00B4142F" w:rsidRDefault="00EE7A99"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000</w:t>
          </w:r>
          <w:r w:rsidR="0051753E">
            <w:rPr>
              <w:rFonts w:ascii="Palatino Linotype" w:hAnsi="Palatino Linotype" w:cs="Arial"/>
              <w:bCs/>
              <w:sz w:val="24"/>
              <w:lang w:eastAsia="es-MX"/>
            </w:rPr>
            <w:t>10</w:t>
          </w:r>
          <w:r w:rsidR="00541833">
            <w:rPr>
              <w:rFonts w:ascii="Palatino Linotype" w:hAnsi="Palatino Linotype" w:cs="Arial"/>
              <w:bCs/>
              <w:sz w:val="24"/>
              <w:lang w:eastAsia="es-MX"/>
            </w:rPr>
            <w:t>/INFOEM/IP/RR/2024</w:t>
          </w:r>
        </w:p>
      </w:tc>
    </w:tr>
    <w:tr w:rsidR="0051753E" w14:paraId="0D6A7B53" w14:textId="77777777" w:rsidTr="00F45B4A">
      <w:trPr>
        <w:trHeight w:val="242"/>
      </w:trPr>
      <w:tc>
        <w:tcPr>
          <w:tcW w:w="5949" w:type="dxa"/>
          <w:hideMark/>
        </w:tcPr>
        <w:p w14:paraId="4E342F63" w14:textId="77777777" w:rsidR="0051753E" w:rsidRDefault="0051753E" w:rsidP="0051753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430AB910" w14:textId="77777777" w:rsidR="0051753E" w:rsidRPr="005B65B0" w:rsidRDefault="00EE7A99" w:rsidP="0051753E">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Ozumba</w:t>
          </w:r>
        </w:p>
      </w:tc>
    </w:tr>
    <w:tr w:rsidR="0051753E" w14:paraId="6390DCE8" w14:textId="77777777" w:rsidTr="00F45B4A">
      <w:trPr>
        <w:trHeight w:val="342"/>
      </w:trPr>
      <w:tc>
        <w:tcPr>
          <w:tcW w:w="5949" w:type="dxa"/>
          <w:hideMark/>
        </w:tcPr>
        <w:p w14:paraId="4909D0D4" w14:textId="77777777" w:rsidR="0051753E" w:rsidRDefault="0051753E" w:rsidP="0051753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189D3F44" w14:textId="77777777" w:rsidR="0051753E" w:rsidRDefault="0051753E" w:rsidP="0051753E">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47779BE1" w14:textId="77777777" w:rsidR="005943EF" w:rsidRDefault="005943E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ED88" w14:textId="77777777" w:rsidR="005943EF" w:rsidRDefault="00541097">
    <w:pPr>
      <w:pStyle w:val="Encabezado"/>
    </w:pPr>
    <w:r>
      <w:rPr>
        <w:noProof/>
        <w:lang w:val="es-MX" w:eastAsia="es-MX"/>
      </w:rPr>
      <w:pict w14:anchorId="2D4B7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107.05pt;margin-top:-155.75pt;width:736.5pt;height:960pt;z-index:-251658752;mso-position-horizontal-relative:margin;mso-position-vertical-relative:margin" o:allowincell="f">
          <v:imagedata r:id="rId1" o:title=""/>
          <w10:wrap anchorx="margin" anchory="margin"/>
        </v:shape>
      </w:pict>
    </w: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67758B" w:rsidRPr="00303CFF" w14:paraId="0FF6C3B1" w14:textId="77777777" w:rsidTr="006B2F74">
      <w:trPr>
        <w:trHeight w:val="227"/>
      </w:trPr>
      <w:tc>
        <w:tcPr>
          <w:tcW w:w="5103" w:type="dxa"/>
          <w:hideMark/>
        </w:tcPr>
        <w:p w14:paraId="1736687B" w14:textId="77777777" w:rsidR="005943EF"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1D52E3B8" w14:textId="77777777" w:rsidR="005943EF" w:rsidRPr="00303CFF" w:rsidRDefault="00541833"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w:t>
          </w:r>
          <w:r w:rsidR="00EE7A99">
            <w:rPr>
              <w:rFonts w:ascii="Palatino Linotype" w:hAnsi="Palatino Linotype" w:cs="Arial"/>
              <w:b/>
              <w:bCs/>
              <w:sz w:val="24"/>
              <w:szCs w:val="24"/>
            </w:rPr>
            <w:t>00</w:t>
          </w:r>
          <w:r w:rsidR="0051753E">
            <w:rPr>
              <w:rFonts w:ascii="Palatino Linotype" w:hAnsi="Palatino Linotype" w:cs="Arial"/>
              <w:b/>
              <w:bCs/>
              <w:sz w:val="24"/>
              <w:szCs w:val="24"/>
            </w:rPr>
            <w:t>10</w:t>
          </w:r>
          <w:r w:rsidRPr="00303CFF">
            <w:rPr>
              <w:rFonts w:ascii="Palatino Linotype" w:hAnsi="Palatino Linotype" w:cs="Arial"/>
              <w:b/>
              <w:bCs/>
              <w:sz w:val="24"/>
              <w:szCs w:val="24"/>
            </w:rPr>
            <w:t>/INFOEM/IP/RR/202</w:t>
          </w:r>
          <w:r>
            <w:rPr>
              <w:rFonts w:ascii="Palatino Linotype" w:hAnsi="Palatino Linotype" w:cs="Arial"/>
              <w:b/>
              <w:bCs/>
              <w:sz w:val="24"/>
              <w:szCs w:val="24"/>
            </w:rPr>
            <w:t>4</w:t>
          </w:r>
        </w:p>
      </w:tc>
    </w:tr>
    <w:tr w:rsidR="0051753E" w:rsidRPr="00303CFF" w14:paraId="64D39F6F" w14:textId="77777777" w:rsidTr="006B2F74">
      <w:trPr>
        <w:trHeight w:val="227"/>
      </w:trPr>
      <w:tc>
        <w:tcPr>
          <w:tcW w:w="5103" w:type="dxa"/>
        </w:tcPr>
        <w:p w14:paraId="08BE1979" w14:textId="77777777" w:rsidR="0051753E" w:rsidRPr="00303CFF" w:rsidRDefault="0051753E"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Recurrente</w:t>
          </w:r>
        </w:p>
      </w:tc>
      <w:tc>
        <w:tcPr>
          <w:tcW w:w="4395" w:type="dxa"/>
        </w:tcPr>
        <w:p w14:paraId="7FE3E4F6" w14:textId="0EB486D8" w:rsidR="0051753E" w:rsidRDefault="00541097" w:rsidP="00303CFF">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XXXXXXXXXXXXXXXXXXXXX</w:t>
          </w:r>
        </w:p>
      </w:tc>
    </w:tr>
    <w:tr w:rsidR="0067758B" w:rsidRPr="00303CFF" w14:paraId="34825C46" w14:textId="77777777" w:rsidTr="006B2F74">
      <w:trPr>
        <w:trHeight w:val="242"/>
      </w:trPr>
      <w:tc>
        <w:tcPr>
          <w:tcW w:w="5103" w:type="dxa"/>
          <w:hideMark/>
        </w:tcPr>
        <w:p w14:paraId="25985F16" w14:textId="77777777" w:rsidR="005943EF"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618488D6" w14:textId="77777777" w:rsidR="005943EF" w:rsidRPr="005B65B0" w:rsidRDefault="0051753E" w:rsidP="00EE7A99">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 xml:space="preserve">Ayuntamiento de </w:t>
          </w:r>
          <w:r w:rsidR="00EE7A99">
            <w:rPr>
              <w:rFonts w:ascii="Palatino Linotype" w:hAnsi="Palatino Linotype"/>
              <w:color w:val="000000"/>
              <w:sz w:val="24"/>
              <w:szCs w:val="24"/>
            </w:rPr>
            <w:t>Ozumba</w:t>
          </w:r>
        </w:p>
      </w:tc>
    </w:tr>
    <w:tr w:rsidR="0067758B" w:rsidRPr="00303CFF" w14:paraId="0C689D09" w14:textId="77777777" w:rsidTr="006B2F74">
      <w:trPr>
        <w:trHeight w:val="342"/>
      </w:trPr>
      <w:tc>
        <w:tcPr>
          <w:tcW w:w="5103" w:type="dxa"/>
          <w:hideMark/>
        </w:tcPr>
        <w:p w14:paraId="081ABDCD" w14:textId="77777777" w:rsidR="005943EF" w:rsidRPr="00303CFF" w:rsidRDefault="00541833"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04F0292F" w14:textId="77777777" w:rsidR="005943EF" w:rsidRPr="00303CFF" w:rsidRDefault="00541833"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245D1526" w14:textId="77777777" w:rsidR="005943EF" w:rsidRDefault="005943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3E"/>
    <w:rsid w:val="0051753E"/>
    <w:rsid w:val="00541097"/>
    <w:rsid w:val="00541833"/>
    <w:rsid w:val="005943EF"/>
    <w:rsid w:val="006D38BA"/>
    <w:rsid w:val="0094387A"/>
    <w:rsid w:val="00947249"/>
    <w:rsid w:val="00A52D55"/>
    <w:rsid w:val="00AB6F35"/>
    <w:rsid w:val="00AF1FFE"/>
    <w:rsid w:val="00C54E76"/>
    <w:rsid w:val="00CD4939"/>
    <w:rsid w:val="00DF613E"/>
    <w:rsid w:val="00E64942"/>
    <w:rsid w:val="00EA501D"/>
    <w:rsid w:val="00EE4FA5"/>
    <w:rsid w:val="00EE7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47D342"/>
  <w15:chartTrackingRefBased/>
  <w15:docId w15:val="{98EF4313-BF35-4E08-A962-A71D2B1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5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1753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1753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1753E"/>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1753E"/>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753E"/>
    <w:rPr>
      <w:rFonts w:cs="Times New Roman"/>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7A99"/>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7A99"/>
    <w:rPr>
      <w:rFonts w:ascii="Palatino Linotype" w:eastAsia="Times New Roman" w:hAnsi="Palatino Linotype"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8510</Words>
  <Characters>46811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4</cp:revision>
  <dcterms:created xsi:type="dcterms:W3CDTF">2024-04-03T21:07:00Z</dcterms:created>
  <dcterms:modified xsi:type="dcterms:W3CDTF">2024-05-02T18:13:00Z</dcterms:modified>
</cp:coreProperties>
</file>