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49354"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diecisiete de enero de dos mil veinticuatro. </w:t>
      </w:r>
    </w:p>
    <w:p w14:paraId="32D4A108" w14:textId="77777777" w:rsidR="006E07F7" w:rsidRPr="00840A92" w:rsidRDefault="006E07F7">
      <w:pPr>
        <w:spacing w:after="0" w:line="360" w:lineRule="auto"/>
        <w:ind w:right="49"/>
        <w:jc w:val="center"/>
        <w:rPr>
          <w:rFonts w:ascii="Palatino Linotype" w:eastAsia="Palatino Linotype" w:hAnsi="Palatino Linotype" w:cs="Palatino Linotype"/>
          <w:sz w:val="24"/>
          <w:szCs w:val="24"/>
        </w:rPr>
      </w:pPr>
    </w:p>
    <w:p w14:paraId="22328D7E" w14:textId="4E2332A6"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Visto el expediente relativo al recurso de revisión </w:t>
      </w:r>
      <w:r w:rsidRPr="00840A92">
        <w:rPr>
          <w:rFonts w:ascii="Palatino Linotype" w:eastAsia="Palatino Linotype" w:hAnsi="Palatino Linotype" w:cs="Palatino Linotype"/>
          <w:b/>
          <w:sz w:val="24"/>
          <w:szCs w:val="24"/>
        </w:rPr>
        <w:t>05309/INFOEM/IP/RR/2023</w:t>
      </w:r>
      <w:r w:rsidRPr="00840A92">
        <w:rPr>
          <w:rFonts w:ascii="Palatino Linotype" w:eastAsia="Palatino Linotype" w:hAnsi="Palatino Linotype" w:cs="Palatino Linotype"/>
          <w:sz w:val="24"/>
          <w:szCs w:val="24"/>
        </w:rPr>
        <w:t xml:space="preserve">, interpuesto por </w:t>
      </w:r>
      <w:r w:rsidR="00B161BE">
        <w:rPr>
          <w:rFonts w:ascii="Palatino Linotype" w:eastAsia="Palatino Linotype" w:hAnsi="Palatino Linotype" w:cs="Palatino Linotype"/>
          <w:b/>
          <w:sz w:val="24"/>
          <w:szCs w:val="24"/>
        </w:rPr>
        <w:t>XXXXX XXXX XXXXXXX</w:t>
      </w:r>
      <w:r w:rsidRPr="00840A92">
        <w:rPr>
          <w:rFonts w:ascii="Palatino Linotype" w:eastAsia="Palatino Linotype" w:hAnsi="Palatino Linotype" w:cs="Palatino Linotype"/>
          <w:sz w:val="24"/>
          <w:szCs w:val="24"/>
        </w:rPr>
        <w:t xml:space="preserve">, al cual en lo sucesivo se le denominará la parte </w:t>
      </w:r>
      <w:r w:rsidRPr="00840A92">
        <w:rPr>
          <w:rFonts w:ascii="Palatino Linotype" w:eastAsia="Palatino Linotype" w:hAnsi="Palatino Linotype" w:cs="Palatino Linotype"/>
          <w:b/>
          <w:sz w:val="24"/>
          <w:szCs w:val="24"/>
        </w:rPr>
        <w:t>RECURRENTE</w:t>
      </w:r>
      <w:r w:rsidRPr="00840A92">
        <w:rPr>
          <w:rFonts w:ascii="Palatino Linotype" w:eastAsia="Palatino Linotype" w:hAnsi="Palatino Linotype" w:cs="Palatino Linotype"/>
          <w:sz w:val="24"/>
          <w:szCs w:val="24"/>
        </w:rPr>
        <w:t xml:space="preserve">, en contra de la respuesta a su solicitud de información identificada con número de folio </w:t>
      </w:r>
      <w:r w:rsidRPr="00840A92">
        <w:rPr>
          <w:rFonts w:ascii="Palatino Linotype" w:eastAsia="Palatino Linotype" w:hAnsi="Palatino Linotype" w:cs="Palatino Linotype"/>
          <w:b/>
          <w:sz w:val="24"/>
          <w:szCs w:val="24"/>
        </w:rPr>
        <w:t>00635/ZINACANT/IP/2023</w:t>
      </w:r>
      <w:r w:rsidRPr="00840A92">
        <w:rPr>
          <w:rFonts w:ascii="Palatino Linotype" w:eastAsia="Palatino Linotype" w:hAnsi="Palatino Linotype" w:cs="Palatino Linotype"/>
          <w:sz w:val="24"/>
          <w:szCs w:val="24"/>
        </w:rPr>
        <w:t xml:space="preserve"> proporcionada por parte del </w:t>
      </w:r>
      <w:r w:rsidRPr="00840A92">
        <w:rPr>
          <w:rFonts w:ascii="Palatino Linotype" w:eastAsia="Palatino Linotype" w:hAnsi="Palatino Linotype" w:cs="Palatino Linotype"/>
          <w:b/>
          <w:sz w:val="24"/>
          <w:szCs w:val="24"/>
        </w:rPr>
        <w:t>Ayuntamiento de Zinacantepec</w:t>
      </w:r>
      <w:r w:rsidRPr="00840A92">
        <w:rPr>
          <w:rFonts w:ascii="Palatino Linotype" w:eastAsia="Palatino Linotype" w:hAnsi="Palatino Linotype" w:cs="Palatino Linotype"/>
          <w:sz w:val="24"/>
          <w:szCs w:val="24"/>
        </w:rPr>
        <w:t xml:space="preserve">, en lo sucesivo el </w:t>
      </w:r>
      <w:r w:rsidRPr="00840A92">
        <w:rPr>
          <w:rFonts w:ascii="Palatino Linotype" w:eastAsia="Palatino Linotype" w:hAnsi="Palatino Linotype" w:cs="Palatino Linotype"/>
          <w:b/>
          <w:sz w:val="24"/>
          <w:szCs w:val="24"/>
        </w:rPr>
        <w:t>SUJETO OBLIGADO</w:t>
      </w:r>
      <w:r w:rsidRPr="00840A92">
        <w:rPr>
          <w:rFonts w:ascii="Palatino Linotype" w:eastAsia="Palatino Linotype" w:hAnsi="Palatino Linotype" w:cs="Palatino Linotype"/>
          <w:sz w:val="24"/>
          <w:szCs w:val="24"/>
        </w:rPr>
        <w:t>; se procede a dictar la presente resolución, con base en los siguientes:</w:t>
      </w:r>
    </w:p>
    <w:p w14:paraId="086AEF99"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09766560" w14:textId="77777777" w:rsidR="006E07F7" w:rsidRPr="00840A92" w:rsidRDefault="00D206CC">
      <w:pPr>
        <w:spacing w:after="0" w:line="360" w:lineRule="auto"/>
        <w:ind w:right="49"/>
        <w:jc w:val="center"/>
        <w:rPr>
          <w:rFonts w:ascii="Palatino Linotype" w:eastAsia="Palatino Linotype" w:hAnsi="Palatino Linotype" w:cs="Palatino Linotype"/>
          <w:b/>
          <w:sz w:val="24"/>
          <w:szCs w:val="24"/>
        </w:rPr>
      </w:pPr>
      <w:r w:rsidRPr="00840A92">
        <w:rPr>
          <w:rFonts w:ascii="Palatino Linotype" w:eastAsia="Palatino Linotype" w:hAnsi="Palatino Linotype" w:cs="Palatino Linotype"/>
          <w:b/>
          <w:sz w:val="24"/>
          <w:szCs w:val="24"/>
        </w:rPr>
        <w:t>I.</w:t>
      </w:r>
      <w:r w:rsidRPr="00840A92">
        <w:rPr>
          <w:rFonts w:ascii="Palatino Linotype" w:eastAsia="Palatino Linotype" w:hAnsi="Palatino Linotype" w:cs="Palatino Linotype"/>
          <w:b/>
          <w:sz w:val="24"/>
          <w:szCs w:val="24"/>
        </w:rPr>
        <w:tab/>
        <w:t>A N T E C E D E N T E S</w:t>
      </w:r>
    </w:p>
    <w:p w14:paraId="1E1BCE79"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2BCCAD15" w14:textId="77777777" w:rsidR="006E07F7" w:rsidRPr="00840A92" w:rsidRDefault="00D206CC">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Solicitud de acceso a la información.</w:t>
      </w:r>
      <w:r w:rsidRPr="00840A92">
        <w:rPr>
          <w:rFonts w:ascii="Palatino Linotype" w:eastAsia="Palatino Linotype" w:hAnsi="Palatino Linotype" w:cs="Palatino Linotype"/>
          <w:sz w:val="24"/>
          <w:szCs w:val="24"/>
        </w:rPr>
        <w:t xml:space="preserve"> Con fecha </w:t>
      </w:r>
      <w:r w:rsidRPr="00840A92">
        <w:rPr>
          <w:rFonts w:ascii="Palatino Linotype" w:eastAsia="Palatino Linotype" w:hAnsi="Palatino Linotype" w:cs="Palatino Linotype"/>
          <w:b/>
          <w:sz w:val="24"/>
          <w:szCs w:val="24"/>
        </w:rPr>
        <w:t>catorce de julio de dos mil veintitrés</w:t>
      </w:r>
      <w:r w:rsidRPr="00840A92">
        <w:rPr>
          <w:rFonts w:ascii="Palatino Linotype" w:eastAsia="Palatino Linotype" w:hAnsi="Palatino Linotype" w:cs="Palatino Linotype"/>
          <w:sz w:val="24"/>
          <w:szCs w:val="24"/>
        </w:rPr>
        <w:t xml:space="preserve">, la parte </w:t>
      </w:r>
      <w:r w:rsidRPr="00840A92">
        <w:rPr>
          <w:rFonts w:ascii="Palatino Linotype" w:eastAsia="Palatino Linotype" w:hAnsi="Palatino Linotype" w:cs="Palatino Linotype"/>
          <w:b/>
          <w:sz w:val="24"/>
          <w:szCs w:val="24"/>
        </w:rPr>
        <w:t>RECURRENTE</w:t>
      </w:r>
      <w:r w:rsidRPr="00840A92">
        <w:rPr>
          <w:rFonts w:ascii="Palatino Linotype" w:eastAsia="Palatino Linotype" w:hAnsi="Palatino Linotype" w:cs="Palatino Linotype"/>
          <w:sz w:val="24"/>
          <w:szCs w:val="24"/>
        </w:rPr>
        <w:t xml:space="preserve"> formuló solicitud de acceso a información pública al</w:t>
      </w:r>
      <w:r w:rsidRPr="00840A92">
        <w:rPr>
          <w:rFonts w:ascii="Palatino Linotype" w:eastAsia="Palatino Linotype" w:hAnsi="Palatino Linotype" w:cs="Palatino Linotype"/>
          <w:b/>
          <w:sz w:val="24"/>
          <w:szCs w:val="24"/>
        </w:rPr>
        <w:t xml:space="preserve"> SUJETO OBLIGADO</w:t>
      </w:r>
      <w:r w:rsidRPr="00840A92">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618D026" w14:textId="77777777" w:rsidR="006E07F7" w:rsidRPr="00840A92" w:rsidRDefault="00D206CC">
      <w:pPr>
        <w:tabs>
          <w:tab w:val="left" w:pos="1530"/>
        </w:tabs>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ab/>
      </w:r>
    </w:p>
    <w:p w14:paraId="60F6339E" w14:textId="77777777" w:rsidR="006E07F7" w:rsidRPr="00840A92" w:rsidRDefault="00D206CC">
      <w:pPr>
        <w:spacing w:after="0"/>
        <w:ind w:left="567" w:right="560"/>
        <w:jc w:val="both"/>
        <w:rPr>
          <w:rFonts w:ascii="Palatino Linotype" w:eastAsia="Palatino Linotype" w:hAnsi="Palatino Linotype" w:cs="Palatino Linotype"/>
          <w:i/>
        </w:rPr>
      </w:pPr>
      <w:bookmarkStart w:id="0" w:name="_heading=h.30j0zll" w:colFirst="0" w:colLast="0"/>
      <w:bookmarkEnd w:id="0"/>
      <w:r w:rsidRPr="00840A92">
        <w:rPr>
          <w:rFonts w:ascii="Palatino Linotype" w:eastAsia="Palatino Linotype" w:hAnsi="Palatino Linotype" w:cs="Palatino Linotype"/>
          <w:i/>
        </w:rPr>
        <w:t xml:space="preserve">“EL FORMATO DENOMINADO “LISTADO DE OPERACIONES CON PROVEEDORES DE BIENES Y SERVICIOS” DEL MES DE ENERO 2023, EN FORMATO PDF (REQUISITADO CONFORME LO SEÑALADO EN EL PUNTO 20 DEL INSTRUCTIVO DEL MODULO 1), MISMO QUE FUE ENVIADO EN EL INFORME MENSUAL AL ORGANO SUPERIOR DE FISCALIZACIÓN DEL ESTADO DE MÉXICO (OSFEM)”. </w:t>
      </w:r>
    </w:p>
    <w:p w14:paraId="6027313A"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lastRenderedPageBreak/>
        <w:t>Modalidad elegida para la entrega de la información:</w:t>
      </w:r>
      <w:r w:rsidRPr="00840A92">
        <w:rPr>
          <w:rFonts w:ascii="Palatino Linotype" w:eastAsia="Palatino Linotype" w:hAnsi="Palatino Linotype" w:cs="Palatino Linotype"/>
          <w:sz w:val="24"/>
          <w:szCs w:val="24"/>
        </w:rPr>
        <w:t xml:space="preserve"> a través del Sistema de Acceso a la Información Mexiquense (SAIMEX). </w:t>
      </w:r>
    </w:p>
    <w:p w14:paraId="5A986F6F" w14:textId="77777777" w:rsidR="006E07F7" w:rsidRPr="00840A92" w:rsidRDefault="006E07F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4F7EEB6" w14:textId="77777777" w:rsidR="006E07F7" w:rsidRPr="00840A92" w:rsidRDefault="00D206CC">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Ampliación de plazo para proporcionar respuesta.</w:t>
      </w:r>
      <w:r w:rsidRPr="00840A92">
        <w:rPr>
          <w:rFonts w:ascii="Palatino Linotype" w:eastAsia="Palatino Linotype" w:hAnsi="Palatino Linotype" w:cs="Palatino Linotype"/>
          <w:sz w:val="24"/>
          <w:szCs w:val="24"/>
        </w:rPr>
        <w:t xml:space="preserve"> Con fecha </w:t>
      </w:r>
      <w:r w:rsidRPr="00840A92">
        <w:rPr>
          <w:rFonts w:ascii="Palatino Linotype" w:eastAsia="Palatino Linotype" w:hAnsi="Palatino Linotype" w:cs="Palatino Linotype"/>
          <w:b/>
          <w:sz w:val="24"/>
          <w:szCs w:val="24"/>
        </w:rPr>
        <w:t>dieciocho de agosto de dos mil veintitrés</w:t>
      </w:r>
      <w:r w:rsidRPr="00840A92">
        <w:rPr>
          <w:rFonts w:ascii="Palatino Linotype" w:eastAsia="Palatino Linotype" w:hAnsi="Palatino Linotype" w:cs="Palatino Linotype"/>
          <w:sz w:val="24"/>
          <w:szCs w:val="24"/>
        </w:rPr>
        <w:t xml:space="preserve">, el </w:t>
      </w:r>
      <w:r w:rsidRPr="00840A92">
        <w:rPr>
          <w:rFonts w:ascii="Palatino Linotype" w:eastAsia="Palatino Linotype" w:hAnsi="Palatino Linotype" w:cs="Palatino Linotype"/>
          <w:b/>
          <w:sz w:val="24"/>
          <w:szCs w:val="24"/>
        </w:rPr>
        <w:t>SUJETO OBLIGADO</w:t>
      </w:r>
      <w:r w:rsidRPr="00840A92">
        <w:rPr>
          <w:rFonts w:ascii="Palatino Linotype" w:eastAsia="Palatino Linotype" w:hAnsi="Palatino Linotype" w:cs="Palatino Linotype"/>
          <w:sz w:val="24"/>
          <w:szCs w:val="24"/>
        </w:rPr>
        <w:t xml:space="preserve"> amplió el plazo para proporcionar respuesta por siete días hábiles, al tenor de lo siguiente:</w:t>
      </w:r>
    </w:p>
    <w:p w14:paraId="568D797B" w14:textId="77777777" w:rsidR="006E07F7" w:rsidRPr="00840A92" w:rsidRDefault="006E07F7">
      <w:pPr>
        <w:spacing w:after="0" w:line="360" w:lineRule="auto"/>
        <w:ind w:right="560"/>
        <w:jc w:val="both"/>
        <w:rPr>
          <w:rFonts w:ascii="Verdana" w:eastAsia="Verdana" w:hAnsi="Verdana" w:cs="Verdana"/>
          <w:sz w:val="24"/>
          <w:szCs w:val="24"/>
        </w:rPr>
      </w:pPr>
    </w:p>
    <w:p w14:paraId="0C7A5AD3" w14:textId="77777777" w:rsidR="006E07F7" w:rsidRPr="00840A92" w:rsidRDefault="00D206CC">
      <w:pPr>
        <w:spacing w:after="0" w:line="360" w:lineRule="auto"/>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CFAFCC9" w14:textId="77777777" w:rsidR="006E07F7" w:rsidRPr="00840A92" w:rsidRDefault="00D206CC">
      <w:pPr>
        <w:spacing w:after="0" w:line="360" w:lineRule="auto"/>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Con fundamento en el artículo 163 párrafo segundo de la Ley de Transparencia y Acceso a la Información Pública del Estado de México y Municipios se solicita prórroga como máximo de 7 días hábiles para poder dar una cabal respuesta a la presente solicitud que nos ocupa.</w:t>
      </w:r>
    </w:p>
    <w:p w14:paraId="53C08455" w14:textId="77777777" w:rsidR="006E07F7" w:rsidRPr="00840A92" w:rsidRDefault="006E07F7">
      <w:pPr>
        <w:spacing w:after="0" w:line="360" w:lineRule="auto"/>
        <w:ind w:left="567" w:right="560"/>
        <w:jc w:val="both"/>
        <w:rPr>
          <w:rFonts w:ascii="Palatino Linotype" w:eastAsia="Palatino Linotype" w:hAnsi="Palatino Linotype" w:cs="Palatino Linotype"/>
          <w:i/>
        </w:rPr>
      </w:pPr>
    </w:p>
    <w:p w14:paraId="1BA19E80"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Como refiere el </w:t>
      </w:r>
      <w:r w:rsidRPr="00840A92">
        <w:rPr>
          <w:rFonts w:ascii="Palatino Linotype" w:eastAsia="Palatino Linotype" w:hAnsi="Palatino Linotype" w:cs="Palatino Linotype"/>
          <w:b/>
          <w:sz w:val="24"/>
          <w:szCs w:val="24"/>
        </w:rPr>
        <w:t>Sujeto Obligado</w:t>
      </w:r>
      <w:r w:rsidRPr="00840A92">
        <w:rPr>
          <w:rFonts w:ascii="Palatino Linotype" w:eastAsia="Palatino Linotype" w:hAnsi="Palatino Linotype" w:cs="Palatino Linotype"/>
          <w:sz w:val="24"/>
          <w:szCs w:val="24"/>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w:t>
      </w:r>
      <w:r w:rsidRPr="00840A92">
        <w:rPr>
          <w:rFonts w:ascii="Palatino Linotype" w:eastAsia="Palatino Linotype" w:hAnsi="Palatino Linotype" w:cs="Palatino Linotype"/>
          <w:sz w:val="24"/>
          <w:szCs w:val="24"/>
        </w:rPr>
        <w:lastRenderedPageBreak/>
        <w:t>la materia, pues no se anexó la resolución mediante la cual el Comité de Transparencia aprobó la ampliación del plazo.</w:t>
      </w:r>
    </w:p>
    <w:p w14:paraId="224A6460" w14:textId="77777777" w:rsidR="006E07F7" w:rsidRPr="00840A92" w:rsidRDefault="006E07F7">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1AF9827B" w14:textId="77777777" w:rsidR="006E07F7" w:rsidRPr="00840A92" w:rsidRDefault="00D206CC">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 xml:space="preserve">Respuesta. </w:t>
      </w:r>
      <w:r w:rsidRPr="00840A92">
        <w:rPr>
          <w:rFonts w:ascii="Palatino Linotype" w:eastAsia="Palatino Linotype" w:hAnsi="Palatino Linotype" w:cs="Palatino Linotype"/>
          <w:sz w:val="24"/>
          <w:szCs w:val="24"/>
        </w:rPr>
        <w:t xml:space="preserve">En fecha </w:t>
      </w:r>
      <w:r w:rsidRPr="00840A92">
        <w:rPr>
          <w:rFonts w:ascii="Palatino Linotype" w:eastAsia="Palatino Linotype" w:hAnsi="Palatino Linotype" w:cs="Palatino Linotype"/>
          <w:b/>
          <w:sz w:val="24"/>
          <w:szCs w:val="24"/>
        </w:rPr>
        <w:t>veintinueve de agosto de dos mil veintitrés</w:t>
      </w:r>
      <w:r w:rsidRPr="00840A92">
        <w:rPr>
          <w:rFonts w:ascii="Palatino Linotype" w:eastAsia="Palatino Linotype" w:hAnsi="Palatino Linotype" w:cs="Palatino Linotype"/>
          <w:sz w:val="24"/>
          <w:szCs w:val="24"/>
        </w:rPr>
        <w:t xml:space="preserve">, el </w:t>
      </w:r>
      <w:r w:rsidRPr="00840A92">
        <w:rPr>
          <w:rFonts w:ascii="Palatino Linotype" w:eastAsia="Palatino Linotype" w:hAnsi="Palatino Linotype" w:cs="Palatino Linotype"/>
          <w:b/>
          <w:sz w:val="24"/>
          <w:szCs w:val="24"/>
        </w:rPr>
        <w:t xml:space="preserve">SUJETO OBLIGADO </w:t>
      </w:r>
      <w:r w:rsidRPr="00840A92">
        <w:rPr>
          <w:rFonts w:ascii="Palatino Linotype" w:eastAsia="Palatino Linotype" w:hAnsi="Palatino Linotype" w:cs="Palatino Linotype"/>
          <w:sz w:val="24"/>
          <w:szCs w:val="24"/>
        </w:rPr>
        <w:t xml:space="preserve">proporcionó respuesta a la solicitud de información, al tenor de lo siguiente: </w:t>
      </w:r>
    </w:p>
    <w:p w14:paraId="710F66B9" w14:textId="77777777" w:rsidR="006E07F7" w:rsidRPr="00840A92" w:rsidRDefault="006E07F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6E4B054" w14:textId="77777777" w:rsidR="006E07F7" w:rsidRPr="00840A92" w:rsidRDefault="00D206CC">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4D80B9" w14:textId="773A15D5" w:rsidR="006E07F7" w:rsidRPr="00840A92" w:rsidRDefault="00D206CC">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 xml:space="preserve">APRECIABLE </w:t>
      </w:r>
      <w:r w:rsidR="00B161BE">
        <w:rPr>
          <w:rFonts w:ascii="Palatino Linotype" w:eastAsia="Palatino Linotype" w:hAnsi="Palatino Linotype" w:cs="Palatino Linotype"/>
          <w:i/>
        </w:rPr>
        <w:t>XXXXXXXXXXX</w:t>
      </w:r>
      <w:bookmarkStart w:id="1" w:name="_GoBack"/>
      <w:bookmarkEnd w:id="1"/>
      <w:r w:rsidRPr="00840A92">
        <w:rPr>
          <w:rFonts w:ascii="Palatino Linotype" w:eastAsia="Palatino Linotype" w:hAnsi="Palatino Linotype" w:cs="Palatino Linotype"/>
          <w:i/>
        </w:rPr>
        <w:t xml:space="preserv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00635/ZINACANT/IP/2023, recibida a través del Sistema SAIMEX, en donde se solicita textualmente lo siguiente: “EL FORMATO DENOMINADO “LISTADO DE OPERACIONES CON PROVEEDORES DE BIENES Y SERVICIOS” DEL MES DE ENERO 2023, EN FORMATO PDF (REQUISITADO CONFORME LO SEÑALADO EN EL PUNTO 20 DEL INSTRUCTIVO DEL MODULO 1), MISMO QUE FUE ENVIADO EN EL INFORME MENSUAL AL ORGANO SUPERIOR DE FISCALIZACIÓN DEL ESTADO DE MÉXICO (OSFEM).” (</w:t>
      </w:r>
      <w:proofErr w:type="gramStart"/>
      <w:r w:rsidRPr="00840A92">
        <w:rPr>
          <w:rFonts w:ascii="Palatino Linotype" w:eastAsia="Palatino Linotype" w:hAnsi="Palatino Linotype" w:cs="Palatino Linotype"/>
          <w:i/>
        </w:rPr>
        <w:t>sic</w:t>
      </w:r>
      <w:proofErr w:type="gramEnd"/>
      <w:r w:rsidRPr="00840A92">
        <w:rPr>
          <w:rFonts w:ascii="Palatino Linotype" w:eastAsia="Palatino Linotype" w:hAnsi="Palatino Linotype" w:cs="Palatino Linotype"/>
          <w:i/>
        </w:rPr>
        <w:t xml:space="preserve">). </w:t>
      </w:r>
      <w:r w:rsidRPr="00840A92">
        <w:rPr>
          <w:rFonts w:ascii="Palatino Linotype" w:eastAsia="Palatino Linotype" w:hAnsi="Palatino Linotype" w:cs="Palatino Linotype"/>
          <w:b/>
          <w:i/>
          <w:u w:val="single"/>
        </w:rPr>
        <w:t>En apego a lo establecido su solicitud fue analizada y turnada al área poseedora de la información, en este caso a la Tesorería Municipal</w:t>
      </w:r>
      <w:r w:rsidRPr="00840A92">
        <w:rPr>
          <w:rFonts w:ascii="Palatino Linotype" w:eastAsia="Palatino Linotype" w:hAnsi="Palatino Linotype" w:cs="Palatino Linotype"/>
          <w:i/>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w:t>
      </w:r>
      <w:r w:rsidRPr="00840A92">
        <w:rPr>
          <w:rFonts w:ascii="Palatino Linotype" w:eastAsia="Palatino Linotype" w:hAnsi="Palatino Linotype" w:cs="Palatino Linotype"/>
          <w:i/>
        </w:rPr>
        <w:lastRenderedPageBreak/>
        <w:t>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A T E N T A M E N T E BRENDA SELENE HERNÁNDEZ LÓPEZ TITULAR DE LA UNIDAD TRANSPARENCIA ZINACANTEPEC.</w:t>
      </w:r>
    </w:p>
    <w:p w14:paraId="3E501CF0" w14:textId="77777777" w:rsidR="006E07F7" w:rsidRPr="00840A92" w:rsidRDefault="006E07F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272F3F6" w14:textId="77777777" w:rsidR="006E07F7" w:rsidRPr="00840A92" w:rsidRDefault="00D206C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Asimismo, adjuntó los documentos que se describen a continuación:</w:t>
      </w:r>
    </w:p>
    <w:p w14:paraId="2F05F6DD" w14:textId="77777777" w:rsidR="006E07F7" w:rsidRPr="00840A92" w:rsidRDefault="006E07F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2DC559A" w14:textId="77777777" w:rsidR="006E07F7" w:rsidRPr="00840A92" w:rsidRDefault="00D206C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rPr>
        <w:t xml:space="preserve">Oficio de fecha </w:t>
      </w:r>
      <w:r w:rsidRPr="00840A92">
        <w:rPr>
          <w:rFonts w:ascii="Palatino Linotype" w:eastAsia="Palatino Linotype" w:hAnsi="Palatino Linotype" w:cs="Palatino Linotype"/>
          <w:b/>
        </w:rPr>
        <w:t>veinticuatro de agosto de dos mil veintitrés</w:t>
      </w:r>
      <w:r w:rsidRPr="00840A92">
        <w:rPr>
          <w:rFonts w:ascii="Palatino Linotype" w:eastAsia="Palatino Linotype" w:hAnsi="Palatino Linotype" w:cs="Palatino Linotype"/>
        </w:rPr>
        <w:t xml:space="preserve">, signado por el Tesorero Municipal, mediante el cual informó que se adjunta el Listado de Operaciones con Proveedores de Bienes y Servicios del Mes de Enero de 2023. </w:t>
      </w:r>
    </w:p>
    <w:p w14:paraId="29CCBC34" w14:textId="77777777" w:rsidR="006E07F7" w:rsidRPr="00840A92" w:rsidRDefault="00D206CC">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rPr>
        <w:t xml:space="preserve">Listado de Operadores con Proveedores de Bienes y Servicios del uno al treinta y uno de enero de dos mil veintitrés. </w:t>
      </w:r>
    </w:p>
    <w:p w14:paraId="2E5CE6C4" w14:textId="77777777" w:rsidR="006E07F7" w:rsidRPr="00840A92" w:rsidRDefault="00D206C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noProof/>
          <w:sz w:val="24"/>
          <w:szCs w:val="24"/>
        </w:rPr>
        <w:drawing>
          <wp:inline distT="0" distB="0" distL="0" distR="0" wp14:anchorId="7F4EC2C5" wp14:editId="0B930804">
            <wp:extent cx="5295900" cy="170624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95900" cy="1706245"/>
                    </a:xfrm>
                    <a:prstGeom prst="rect">
                      <a:avLst/>
                    </a:prstGeom>
                    <a:ln/>
                  </pic:spPr>
                </pic:pic>
              </a:graphicData>
            </a:graphic>
          </wp:inline>
        </w:drawing>
      </w:r>
    </w:p>
    <w:p w14:paraId="3D0DB8CE" w14:textId="77777777" w:rsidR="006E07F7" w:rsidRPr="00840A92" w:rsidRDefault="006E07F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2779B3D" w14:textId="77777777" w:rsidR="006E07F7" w:rsidRPr="00840A92" w:rsidRDefault="00D206CC">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 xml:space="preserve">Recurso de Revisión. </w:t>
      </w:r>
      <w:r w:rsidRPr="00840A92">
        <w:rPr>
          <w:rFonts w:ascii="Palatino Linotype" w:eastAsia="Palatino Linotype" w:hAnsi="Palatino Linotype" w:cs="Palatino Linotype"/>
          <w:sz w:val="24"/>
          <w:szCs w:val="24"/>
        </w:rPr>
        <w:t xml:space="preserve">En fecha </w:t>
      </w:r>
      <w:r w:rsidRPr="00840A92">
        <w:rPr>
          <w:rFonts w:ascii="Palatino Linotype" w:eastAsia="Palatino Linotype" w:hAnsi="Palatino Linotype" w:cs="Palatino Linotype"/>
          <w:b/>
          <w:sz w:val="24"/>
          <w:szCs w:val="24"/>
        </w:rPr>
        <w:t>cuatro de septiembre de dos mil veintitrés</w:t>
      </w:r>
      <w:r w:rsidRPr="00840A92">
        <w:rPr>
          <w:rFonts w:ascii="Palatino Linotype" w:eastAsia="Palatino Linotype" w:hAnsi="Palatino Linotype" w:cs="Palatino Linotype"/>
          <w:sz w:val="24"/>
          <w:szCs w:val="24"/>
        </w:rPr>
        <w:t xml:space="preserve"> la persona Solicitante interpuso Recurso de Revisión a través del </w:t>
      </w:r>
      <w:r w:rsidRPr="00840A92">
        <w:rPr>
          <w:rFonts w:ascii="Palatino Linotype" w:eastAsia="Palatino Linotype" w:hAnsi="Palatino Linotype" w:cs="Palatino Linotype"/>
          <w:b/>
          <w:sz w:val="24"/>
          <w:szCs w:val="24"/>
        </w:rPr>
        <w:t>SAIMEX</w:t>
      </w:r>
      <w:r w:rsidRPr="00840A92">
        <w:rPr>
          <w:rFonts w:ascii="Palatino Linotype" w:eastAsia="Palatino Linotype" w:hAnsi="Palatino Linotype" w:cs="Palatino Linotype"/>
          <w:sz w:val="24"/>
          <w:szCs w:val="24"/>
        </w:rPr>
        <w:t>, a través del cual expresó lo siguiente:</w:t>
      </w:r>
    </w:p>
    <w:p w14:paraId="518B5C49" w14:textId="77777777" w:rsidR="006E07F7" w:rsidRPr="00840A92" w:rsidRDefault="006E07F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A603049" w14:textId="77777777" w:rsidR="006E07F7" w:rsidRPr="00840A92" w:rsidRDefault="00D206CC">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sz w:val="24"/>
          <w:szCs w:val="24"/>
        </w:rPr>
      </w:pPr>
      <w:r w:rsidRPr="00840A92">
        <w:rPr>
          <w:rFonts w:ascii="Palatino Linotype" w:eastAsia="Palatino Linotype" w:hAnsi="Palatino Linotype" w:cs="Palatino Linotype"/>
          <w:b/>
          <w:sz w:val="24"/>
          <w:szCs w:val="24"/>
        </w:rPr>
        <w:t>Acto impugnado</w:t>
      </w:r>
      <w:r w:rsidRPr="00840A92">
        <w:rPr>
          <w:rFonts w:ascii="Palatino Linotype" w:eastAsia="Palatino Linotype" w:hAnsi="Palatino Linotype" w:cs="Palatino Linotype"/>
          <w:b/>
          <w:i/>
          <w:sz w:val="24"/>
          <w:szCs w:val="24"/>
        </w:rPr>
        <w:t xml:space="preserve">. </w:t>
      </w:r>
      <w:r w:rsidRPr="00840A92">
        <w:rPr>
          <w:rFonts w:ascii="Palatino Linotype" w:eastAsia="Palatino Linotype" w:hAnsi="Palatino Linotype" w:cs="Palatino Linotype"/>
          <w:i/>
        </w:rPr>
        <w:t>“NO ENTREGAN INFORMACIÓN”.</w:t>
      </w:r>
    </w:p>
    <w:p w14:paraId="07296393" w14:textId="77777777" w:rsidR="006E07F7" w:rsidRPr="00840A92" w:rsidRDefault="006E07F7">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sz w:val="24"/>
          <w:szCs w:val="24"/>
        </w:rPr>
      </w:pPr>
    </w:p>
    <w:p w14:paraId="59DDA5F7" w14:textId="77777777" w:rsidR="006E07F7" w:rsidRPr="00840A92" w:rsidRDefault="00D206CC">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840A92">
        <w:rPr>
          <w:rFonts w:ascii="Palatino Linotype" w:eastAsia="Palatino Linotype" w:hAnsi="Palatino Linotype" w:cs="Palatino Linotype"/>
          <w:b/>
          <w:sz w:val="24"/>
          <w:szCs w:val="24"/>
        </w:rPr>
        <w:t xml:space="preserve">Razones o motivos de la inconformidad: </w:t>
      </w:r>
      <w:r w:rsidRPr="00840A92">
        <w:rPr>
          <w:rFonts w:ascii="Palatino Linotype" w:eastAsia="Palatino Linotype" w:hAnsi="Palatino Linotype" w:cs="Palatino Linotype"/>
          <w:i/>
        </w:rPr>
        <w:t>“NO ENTREGAN INFORMACIÓN”.</w:t>
      </w:r>
    </w:p>
    <w:p w14:paraId="2734CAFA" w14:textId="77777777" w:rsidR="006E07F7" w:rsidRPr="00840A92" w:rsidRDefault="006E07F7">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sz w:val="24"/>
          <w:szCs w:val="24"/>
        </w:rPr>
      </w:pPr>
    </w:p>
    <w:p w14:paraId="2F5B8EEB" w14:textId="77777777" w:rsidR="006E07F7" w:rsidRPr="00840A92" w:rsidRDefault="00D206CC">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Turno.</w:t>
      </w:r>
      <w:r w:rsidRPr="00840A92">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840A92">
        <w:rPr>
          <w:rFonts w:ascii="Palatino Linotype" w:eastAsia="Palatino Linotype" w:hAnsi="Palatino Linotype" w:cs="Palatino Linotype"/>
          <w:b/>
          <w:sz w:val="24"/>
          <w:szCs w:val="24"/>
        </w:rPr>
        <w:t>05309/INFOEM/IP/RR/2023</w:t>
      </w:r>
      <w:r w:rsidRPr="00840A92">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686ACC1" w14:textId="77777777" w:rsidR="006E07F7" w:rsidRPr="00840A92" w:rsidRDefault="006E07F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79E4AB8" w14:textId="77777777" w:rsidR="006E07F7" w:rsidRPr="00840A92" w:rsidRDefault="00D206CC">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Admisión del recurso de revisión</w:t>
      </w:r>
      <w:r w:rsidRPr="00840A92">
        <w:rPr>
          <w:rFonts w:ascii="Palatino Linotype" w:eastAsia="Palatino Linotype" w:hAnsi="Palatino Linotype" w:cs="Palatino Linotype"/>
          <w:sz w:val="24"/>
          <w:szCs w:val="24"/>
        </w:rPr>
        <w:t xml:space="preserve">: En fecha </w:t>
      </w:r>
      <w:r w:rsidRPr="00840A92">
        <w:rPr>
          <w:rFonts w:ascii="Palatino Linotype" w:eastAsia="Palatino Linotype" w:hAnsi="Palatino Linotype" w:cs="Palatino Linotype"/>
          <w:b/>
          <w:sz w:val="24"/>
          <w:szCs w:val="24"/>
        </w:rPr>
        <w:t>siete de septiembre de dos mil veintitrés</w:t>
      </w:r>
      <w:r w:rsidRPr="00840A92">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EA5502E" w14:textId="77777777" w:rsidR="006E07F7" w:rsidRPr="00840A92" w:rsidRDefault="006E07F7">
      <w:pPr>
        <w:pBdr>
          <w:top w:val="nil"/>
          <w:left w:val="nil"/>
          <w:bottom w:val="nil"/>
          <w:right w:val="nil"/>
          <w:between w:val="nil"/>
        </w:pBdr>
        <w:ind w:left="720"/>
        <w:rPr>
          <w:rFonts w:ascii="Palatino Linotype" w:eastAsia="Palatino Linotype" w:hAnsi="Palatino Linotype" w:cs="Palatino Linotype"/>
          <w:sz w:val="24"/>
          <w:szCs w:val="24"/>
        </w:rPr>
      </w:pPr>
    </w:p>
    <w:p w14:paraId="5701DEA9" w14:textId="77777777" w:rsidR="006E07F7" w:rsidRPr="00840A92" w:rsidRDefault="00D206CC">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 xml:space="preserve">Informe Justificado. </w:t>
      </w:r>
      <w:r w:rsidRPr="00840A92">
        <w:rPr>
          <w:rFonts w:ascii="Palatino Linotype" w:eastAsia="Palatino Linotype" w:hAnsi="Palatino Linotype" w:cs="Palatino Linotype"/>
          <w:sz w:val="24"/>
          <w:szCs w:val="24"/>
        </w:rPr>
        <w:t xml:space="preserve">Las partes fueron omisas en rendir manifestaciones. </w:t>
      </w:r>
    </w:p>
    <w:p w14:paraId="7DC7CD3C" w14:textId="77777777" w:rsidR="006E07F7" w:rsidRPr="00840A92" w:rsidRDefault="00D206C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noProof/>
          <w:sz w:val="24"/>
          <w:szCs w:val="24"/>
        </w:rPr>
        <w:drawing>
          <wp:inline distT="0" distB="0" distL="0" distR="0" wp14:anchorId="22A72C17" wp14:editId="02532F66">
            <wp:extent cx="5756275" cy="148082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56275" cy="1480820"/>
                    </a:xfrm>
                    <a:prstGeom prst="rect">
                      <a:avLst/>
                    </a:prstGeom>
                    <a:ln/>
                  </pic:spPr>
                </pic:pic>
              </a:graphicData>
            </a:graphic>
          </wp:inline>
        </w:drawing>
      </w:r>
    </w:p>
    <w:p w14:paraId="751980D0" w14:textId="77777777" w:rsidR="006E07F7" w:rsidRPr="00840A92" w:rsidRDefault="006E07F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E6F9BE1" w14:textId="77777777" w:rsidR="006E07F7" w:rsidRPr="00840A92" w:rsidRDefault="00D206CC">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Ampliación de plazo:</w:t>
      </w:r>
      <w:r w:rsidRPr="00840A92">
        <w:rPr>
          <w:rFonts w:ascii="Palatino Linotype" w:eastAsia="Palatino Linotype" w:hAnsi="Palatino Linotype" w:cs="Palatino Linotype"/>
          <w:sz w:val="24"/>
          <w:szCs w:val="24"/>
        </w:rPr>
        <w:t xml:space="preserve"> En fecha </w:t>
      </w:r>
      <w:r w:rsidRPr="00840A92">
        <w:rPr>
          <w:rFonts w:ascii="Palatino Linotype" w:eastAsia="Palatino Linotype" w:hAnsi="Palatino Linotype" w:cs="Palatino Linotype"/>
          <w:b/>
          <w:sz w:val="24"/>
          <w:szCs w:val="24"/>
        </w:rPr>
        <w:t>veinte de diciembre de dos mil veintitrés</w:t>
      </w:r>
      <w:r w:rsidRPr="00840A92">
        <w:rPr>
          <w:rFonts w:ascii="Palatino Linotype" w:eastAsia="Palatino Linotype" w:hAnsi="Palatino Linotype" w:cs="Palatino Linotype"/>
          <w:sz w:val="24"/>
          <w:szCs w:val="24"/>
        </w:rPr>
        <w:t>, con fundamento en el artículo 181, párrafo tercero de la Ley de Transparencia y Acceso a la Información Pública del Estado de México y Municipios, se acordó la ampliación del plazo para su resolución.</w:t>
      </w:r>
    </w:p>
    <w:p w14:paraId="4ABBEB5E" w14:textId="77777777" w:rsidR="006E07F7" w:rsidRPr="00840A92" w:rsidRDefault="006E07F7">
      <w:pPr>
        <w:widowControl w:val="0"/>
        <w:spacing w:after="0" w:line="360" w:lineRule="auto"/>
        <w:jc w:val="both"/>
        <w:rPr>
          <w:rFonts w:ascii="Palatino Linotype" w:eastAsia="Palatino Linotype" w:hAnsi="Palatino Linotype" w:cs="Palatino Linotype"/>
          <w:sz w:val="24"/>
          <w:szCs w:val="24"/>
        </w:rPr>
      </w:pPr>
    </w:p>
    <w:p w14:paraId="26414CE4" w14:textId="77777777" w:rsidR="006E07F7" w:rsidRPr="00840A92" w:rsidRDefault="00D206C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22F9534"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67BC594" w14:textId="77777777" w:rsidR="006E07F7" w:rsidRPr="00840A92" w:rsidRDefault="006E07F7">
      <w:pPr>
        <w:spacing w:after="0" w:line="360" w:lineRule="auto"/>
        <w:jc w:val="both"/>
        <w:rPr>
          <w:rFonts w:ascii="Palatino Linotype" w:eastAsia="Palatino Linotype" w:hAnsi="Palatino Linotype" w:cs="Palatino Linotype"/>
          <w:sz w:val="24"/>
          <w:szCs w:val="24"/>
        </w:rPr>
      </w:pPr>
    </w:p>
    <w:p w14:paraId="3557A8DD"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F607EA" w14:textId="77777777" w:rsidR="006E07F7" w:rsidRPr="00840A92" w:rsidRDefault="006E07F7">
      <w:pPr>
        <w:spacing w:after="0" w:line="360" w:lineRule="auto"/>
        <w:jc w:val="both"/>
        <w:rPr>
          <w:rFonts w:ascii="Palatino Linotype" w:eastAsia="Palatino Linotype" w:hAnsi="Palatino Linotype" w:cs="Palatino Linotype"/>
          <w:sz w:val="24"/>
          <w:szCs w:val="24"/>
        </w:rPr>
      </w:pPr>
    </w:p>
    <w:p w14:paraId="3F9A8FD9"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78D4AC8" w14:textId="77777777" w:rsidR="006E07F7" w:rsidRPr="00840A92" w:rsidRDefault="006E07F7">
      <w:pPr>
        <w:spacing w:after="0" w:line="360" w:lineRule="auto"/>
        <w:jc w:val="both"/>
        <w:rPr>
          <w:rFonts w:ascii="Palatino Linotype" w:eastAsia="Palatino Linotype" w:hAnsi="Palatino Linotype" w:cs="Palatino Linotype"/>
          <w:sz w:val="24"/>
          <w:szCs w:val="24"/>
        </w:rPr>
      </w:pPr>
    </w:p>
    <w:p w14:paraId="727A910D" w14:textId="77777777" w:rsidR="006E07F7" w:rsidRPr="00840A92" w:rsidRDefault="00D206CC">
      <w:pPr>
        <w:spacing w:after="0" w:line="360" w:lineRule="auto"/>
        <w:jc w:val="both"/>
        <w:rPr>
          <w:rFonts w:ascii="Palatino Linotype" w:eastAsia="Palatino Linotype" w:hAnsi="Palatino Linotype" w:cs="Palatino Linotype"/>
          <w:strike/>
          <w:sz w:val="24"/>
          <w:szCs w:val="24"/>
        </w:rPr>
      </w:pPr>
      <w:r w:rsidRPr="00840A92">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31B9AFA" w14:textId="77777777" w:rsidR="006E07F7" w:rsidRPr="00840A92" w:rsidRDefault="006E07F7">
      <w:pPr>
        <w:spacing w:after="0" w:line="360" w:lineRule="auto"/>
        <w:jc w:val="both"/>
        <w:rPr>
          <w:rFonts w:ascii="Palatino Linotype" w:eastAsia="Palatino Linotype" w:hAnsi="Palatino Linotype" w:cs="Palatino Linotype"/>
          <w:sz w:val="24"/>
          <w:szCs w:val="24"/>
        </w:rPr>
      </w:pPr>
    </w:p>
    <w:p w14:paraId="35156162" w14:textId="77777777" w:rsidR="006E07F7" w:rsidRPr="00840A92" w:rsidRDefault="00D206CC">
      <w:pPr>
        <w:numPr>
          <w:ilvl w:val="0"/>
          <w:numId w:val="3"/>
        </w:numPr>
        <w:spacing w:after="0" w:line="360" w:lineRule="auto"/>
        <w:jc w:val="both"/>
        <w:rPr>
          <w:rFonts w:ascii="Palatino Linotype" w:eastAsia="Palatino Linotype" w:hAnsi="Palatino Linotype" w:cs="Palatino Linotype"/>
        </w:rPr>
      </w:pPr>
      <w:r w:rsidRPr="00840A92">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1045AA0C" w14:textId="77777777" w:rsidR="006E07F7" w:rsidRPr="00840A92" w:rsidRDefault="00D206CC">
      <w:pPr>
        <w:numPr>
          <w:ilvl w:val="0"/>
          <w:numId w:val="3"/>
        </w:numPr>
        <w:spacing w:after="0" w:line="360" w:lineRule="auto"/>
        <w:jc w:val="both"/>
        <w:rPr>
          <w:rFonts w:ascii="Palatino Linotype" w:eastAsia="Palatino Linotype" w:hAnsi="Palatino Linotype" w:cs="Palatino Linotype"/>
        </w:rPr>
      </w:pPr>
      <w:r w:rsidRPr="00840A92">
        <w:rPr>
          <w:rFonts w:ascii="Palatino Linotype" w:eastAsia="Palatino Linotype" w:hAnsi="Palatino Linotype" w:cs="Palatino Linotype"/>
        </w:rPr>
        <w:t>Actividad Procesal del interesado. Acciones u omisiones del interesado.</w:t>
      </w:r>
    </w:p>
    <w:p w14:paraId="5B993FBC" w14:textId="77777777" w:rsidR="006E07F7" w:rsidRPr="00840A92" w:rsidRDefault="00D206CC">
      <w:pPr>
        <w:numPr>
          <w:ilvl w:val="0"/>
          <w:numId w:val="3"/>
        </w:numPr>
        <w:spacing w:after="0" w:line="360" w:lineRule="auto"/>
        <w:jc w:val="both"/>
        <w:rPr>
          <w:rFonts w:ascii="Palatino Linotype" w:eastAsia="Palatino Linotype" w:hAnsi="Palatino Linotype" w:cs="Palatino Linotype"/>
        </w:rPr>
      </w:pPr>
      <w:r w:rsidRPr="00840A92">
        <w:rPr>
          <w:rFonts w:ascii="Palatino Linotype" w:eastAsia="Palatino Linotype" w:hAnsi="Palatino Linotype" w:cs="Palatino Linotype"/>
        </w:rPr>
        <w:t>Conducta de la Autoridad: Las Acciones u omisiones realizadas en el procedimiento. Así como si la autoridad actuó con la debida diligencia.</w:t>
      </w:r>
    </w:p>
    <w:p w14:paraId="212F040A" w14:textId="77777777" w:rsidR="006E07F7" w:rsidRPr="00840A92" w:rsidRDefault="00D206CC">
      <w:pPr>
        <w:numPr>
          <w:ilvl w:val="0"/>
          <w:numId w:val="3"/>
        </w:numPr>
        <w:spacing w:after="0" w:line="360" w:lineRule="auto"/>
        <w:jc w:val="both"/>
        <w:rPr>
          <w:rFonts w:ascii="Palatino Linotype" w:eastAsia="Palatino Linotype" w:hAnsi="Palatino Linotype" w:cs="Palatino Linotype"/>
        </w:rPr>
      </w:pPr>
      <w:r w:rsidRPr="00840A92">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23BAA6F6" w14:textId="77777777" w:rsidR="006E07F7" w:rsidRPr="00840A92" w:rsidRDefault="006E07F7">
      <w:pPr>
        <w:spacing w:after="0" w:line="360" w:lineRule="auto"/>
        <w:jc w:val="both"/>
        <w:rPr>
          <w:rFonts w:ascii="Palatino Linotype" w:eastAsia="Palatino Linotype" w:hAnsi="Palatino Linotype" w:cs="Palatino Linotype"/>
          <w:sz w:val="24"/>
          <w:szCs w:val="24"/>
        </w:rPr>
      </w:pPr>
    </w:p>
    <w:p w14:paraId="4AA3EF1A"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E189A15" w14:textId="77777777" w:rsidR="006E07F7" w:rsidRPr="00840A92" w:rsidRDefault="006E07F7">
      <w:pPr>
        <w:spacing w:after="0" w:line="360" w:lineRule="auto"/>
        <w:jc w:val="both"/>
        <w:rPr>
          <w:rFonts w:ascii="Palatino Linotype" w:eastAsia="Palatino Linotype" w:hAnsi="Palatino Linotype" w:cs="Palatino Linotype"/>
          <w:sz w:val="24"/>
          <w:szCs w:val="24"/>
        </w:rPr>
      </w:pPr>
    </w:p>
    <w:p w14:paraId="60DBBEBD"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lastRenderedPageBreak/>
        <w:t>Argumento que encuentra sustento en la jurisprudencia P</w:t>
      </w:r>
      <w:proofErr w:type="gramStart"/>
      <w:r w:rsidRPr="00840A92">
        <w:rPr>
          <w:rFonts w:ascii="Palatino Linotype" w:eastAsia="Palatino Linotype" w:hAnsi="Palatino Linotype" w:cs="Palatino Linotype"/>
          <w:sz w:val="24"/>
          <w:szCs w:val="24"/>
        </w:rPr>
        <w:t>./</w:t>
      </w:r>
      <w:proofErr w:type="gramEnd"/>
      <w:r w:rsidRPr="00840A92">
        <w:rPr>
          <w:rFonts w:ascii="Palatino Linotype" w:eastAsia="Palatino Linotype" w:hAnsi="Palatino Linotype" w:cs="Palatino Linotype"/>
          <w:sz w:val="24"/>
          <w:szCs w:val="24"/>
        </w:rPr>
        <w:t xml:space="preserve">J. 32/92 emitida por el Pleno de la Suprema Corte de Justicia de la Nación de rubro </w:t>
      </w:r>
      <w:r w:rsidRPr="00840A92">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840A92">
        <w:rPr>
          <w:rFonts w:ascii="Palatino Linotype" w:eastAsia="Palatino Linotype" w:hAnsi="Palatino Linotype" w:cs="Palatino Linotype"/>
          <w:sz w:val="24"/>
          <w:szCs w:val="24"/>
        </w:rPr>
        <w:t>, visible en la Gaceta del Seminario Judicial de la Federación con el registro digital 205635.</w:t>
      </w:r>
    </w:p>
    <w:p w14:paraId="693151D1" w14:textId="77777777" w:rsidR="006E07F7" w:rsidRPr="00840A92" w:rsidRDefault="006E07F7">
      <w:pPr>
        <w:spacing w:after="0" w:line="360" w:lineRule="auto"/>
        <w:jc w:val="both"/>
        <w:rPr>
          <w:rFonts w:ascii="Palatino Linotype" w:eastAsia="Palatino Linotype" w:hAnsi="Palatino Linotype" w:cs="Palatino Linotype"/>
          <w:b/>
          <w:sz w:val="24"/>
          <w:szCs w:val="24"/>
        </w:rPr>
      </w:pPr>
    </w:p>
    <w:p w14:paraId="241CB41E"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3699AB" w14:textId="77777777" w:rsidR="006E07F7" w:rsidRPr="00840A92" w:rsidRDefault="006E07F7">
      <w:pPr>
        <w:spacing w:after="0" w:line="360" w:lineRule="auto"/>
        <w:jc w:val="both"/>
        <w:rPr>
          <w:rFonts w:ascii="Palatino Linotype" w:eastAsia="Palatino Linotype" w:hAnsi="Palatino Linotype" w:cs="Palatino Linotype"/>
          <w:sz w:val="24"/>
          <w:szCs w:val="24"/>
        </w:rPr>
      </w:pPr>
    </w:p>
    <w:p w14:paraId="55B22CDB"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F6FB197" w14:textId="77777777" w:rsidR="006E07F7" w:rsidRPr="00840A92" w:rsidRDefault="006E07F7">
      <w:pPr>
        <w:spacing w:after="0" w:line="360" w:lineRule="auto"/>
        <w:jc w:val="both"/>
        <w:rPr>
          <w:rFonts w:ascii="Palatino Linotype" w:eastAsia="Palatino Linotype" w:hAnsi="Palatino Linotype" w:cs="Palatino Linotype"/>
          <w:sz w:val="24"/>
          <w:szCs w:val="24"/>
        </w:rPr>
      </w:pPr>
    </w:p>
    <w:p w14:paraId="6AFCB423" w14:textId="77777777" w:rsidR="006E07F7" w:rsidRPr="00840A92" w:rsidRDefault="00D206CC">
      <w:pPr>
        <w:spacing w:after="0" w:line="360" w:lineRule="auto"/>
        <w:ind w:left="567" w:right="616"/>
        <w:jc w:val="both"/>
        <w:rPr>
          <w:rFonts w:ascii="Palatino Linotype" w:eastAsia="Palatino Linotype" w:hAnsi="Palatino Linotype" w:cs="Palatino Linotype"/>
        </w:rPr>
      </w:pPr>
      <w:r w:rsidRPr="00840A92">
        <w:rPr>
          <w:rFonts w:ascii="Palatino Linotype" w:eastAsia="Palatino Linotype" w:hAnsi="Palatino Linotype" w:cs="Palatino Linotype"/>
          <w:b/>
        </w:rPr>
        <w:t xml:space="preserve"> </w:t>
      </w:r>
      <w:r w:rsidRPr="00840A92">
        <w:rPr>
          <w:rFonts w:ascii="Palatino Linotype" w:eastAsia="Palatino Linotype" w:hAnsi="Palatino Linotype" w:cs="Palatino Linotype"/>
          <w:b/>
          <w:i/>
        </w:rPr>
        <w:t>“PLAZO RAZONABLE PARA RESOLVER. DIMENSIÓN Y EFECTOS DE ESTE CONCEPTO CUANDO SE ADUCE EXCESIVA CARGA DE TRABAJO.”</w:t>
      </w:r>
      <w:r w:rsidRPr="00840A92">
        <w:rPr>
          <w:rFonts w:ascii="Palatino Linotype" w:eastAsia="Palatino Linotype" w:hAnsi="Palatino Linotype" w:cs="Palatino Linotype"/>
        </w:rPr>
        <w:t xml:space="preserve"> </w:t>
      </w:r>
      <w:r w:rsidRPr="00840A92">
        <w:rPr>
          <w:rFonts w:ascii="Palatino Linotype" w:eastAsia="Palatino Linotype" w:hAnsi="Palatino Linotype" w:cs="Palatino Linotype"/>
        </w:rPr>
        <w:lastRenderedPageBreak/>
        <w:t>consultable en el Seminario Judicial de la Federación y su gaceta, con el registro digital 2002351.</w:t>
      </w:r>
    </w:p>
    <w:p w14:paraId="7B978B16" w14:textId="77777777" w:rsidR="006E07F7" w:rsidRPr="00840A92" w:rsidRDefault="006E07F7">
      <w:pPr>
        <w:spacing w:after="0" w:line="360" w:lineRule="auto"/>
        <w:ind w:left="567" w:right="616"/>
        <w:jc w:val="both"/>
        <w:rPr>
          <w:rFonts w:ascii="Palatino Linotype" w:eastAsia="Palatino Linotype" w:hAnsi="Palatino Linotype" w:cs="Palatino Linotype"/>
          <w:b/>
        </w:rPr>
      </w:pPr>
    </w:p>
    <w:p w14:paraId="7FBFCC3D" w14:textId="77777777" w:rsidR="006E07F7" w:rsidRPr="00840A92" w:rsidRDefault="00D206CC">
      <w:pPr>
        <w:spacing w:after="0" w:line="360" w:lineRule="auto"/>
        <w:ind w:left="567" w:right="616"/>
        <w:jc w:val="both"/>
        <w:rPr>
          <w:rFonts w:ascii="Palatino Linotype" w:eastAsia="Palatino Linotype" w:hAnsi="Palatino Linotype" w:cs="Palatino Linotype"/>
        </w:rPr>
      </w:pPr>
      <w:r w:rsidRPr="00840A92">
        <w:rPr>
          <w:rFonts w:ascii="Palatino Linotype" w:eastAsia="Palatino Linotype" w:hAnsi="Palatino Linotype" w:cs="Palatino Linotype"/>
          <w:b/>
          <w:i/>
        </w:rPr>
        <w:t>“PLAZO RAZONABLE PARA RESOLVER. CONCEPTO Y ELEMENTOS QUE LO INTEGRAN A LA LUZ DEL DERECHO INTERNACIONAL DE LOS DERECHOS HUMANOS</w:t>
      </w:r>
      <w:r w:rsidRPr="00840A92">
        <w:rPr>
          <w:rFonts w:ascii="Palatino Linotype" w:eastAsia="Palatino Linotype" w:hAnsi="Palatino Linotype" w:cs="Palatino Linotype"/>
          <w:i/>
        </w:rPr>
        <w:t>.”</w:t>
      </w:r>
      <w:r w:rsidRPr="00840A92">
        <w:rPr>
          <w:rFonts w:ascii="Palatino Linotype" w:eastAsia="Palatino Linotype" w:hAnsi="Palatino Linotype" w:cs="Palatino Linotype"/>
        </w:rPr>
        <w:t>, visible en el Seminario Judicial de la Federación y su gaceta, con el registro digital 2002350.</w:t>
      </w:r>
    </w:p>
    <w:p w14:paraId="7C0B4D19" w14:textId="77777777" w:rsidR="006E07F7" w:rsidRPr="00840A92" w:rsidRDefault="006E07F7">
      <w:pPr>
        <w:spacing w:after="0" w:line="360" w:lineRule="auto"/>
        <w:ind w:left="567" w:right="616"/>
        <w:jc w:val="both"/>
        <w:rPr>
          <w:rFonts w:ascii="Palatino Linotype" w:eastAsia="Palatino Linotype" w:hAnsi="Palatino Linotype" w:cs="Palatino Linotype"/>
        </w:rPr>
      </w:pPr>
    </w:p>
    <w:p w14:paraId="5899AB8C"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Por ello, este organismo garante comprometido con la tutela de los derechos humanos confiados señala que este exceso de plazo legal para resolver el presente asunto resulta de carácter excepcional.</w:t>
      </w:r>
    </w:p>
    <w:p w14:paraId="1A56F041" w14:textId="77777777" w:rsidR="006E07F7" w:rsidRPr="00840A92" w:rsidRDefault="006E07F7">
      <w:pPr>
        <w:spacing w:after="0" w:line="360" w:lineRule="auto"/>
        <w:jc w:val="both"/>
        <w:rPr>
          <w:rFonts w:ascii="Palatino Linotype" w:eastAsia="Palatino Linotype" w:hAnsi="Palatino Linotype" w:cs="Palatino Linotype"/>
          <w:sz w:val="24"/>
          <w:szCs w:val="24"/>
        </w:rPr>
      </w:pPr>
    </w:p>
    <w:p w14:paraId="144BB1A7" w14:textId="77777777" w:rsidR="006E07F7" w:rsidRPr="00840A92" w:rsidRDefault="00D206CC">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Cierre de instrucción</w:t>
      </w:r>
      <w:r w:rsidRPr="00840A92">
        <w:rPr>
          <w:rFonts w:ascii="Palatino Linotype" w:eastAsia="Palatino Linotype" w:hAnsi="Palatino Linotype" w:cs="Palatino Linotype"/>
          <w:sz w:val="24"/>
          <w:szCs w:val="24"/>
        </w:rPr>
        <w:t xml:space="preserve">. En fecha </w:t>
      </w:r>
      <w:r w:rsidRPr="00840A92">
        <w:rPr>
          <w:rFonts w:ascii="Palatino Linotype" w:eastAsia="Palatino Linotype" w:hAnsi="Palatino Linotype" w:cs="Palatino Linotype"/>
          <w:b/>
          <w:sz w:val="24"/>
          <w:szCs w:val="24"/>
        </w:rPr>
        <w:t>veinte de diciembre de dos mil veintitrés</w:t>
      </w:r>
      <w:r w:rsidRPr="00840A92">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36EB0472" w14:textId="77777777" w:rsidR="006E07F7" w:rsidRPr="00840A92" w:rsidRDefault="006E07F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1166CC4"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045795DD"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2F1D0019"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06999D7F" w14:textId="77777777" w:rsidR="006E07F7" w:rsidRPr="00840A92" w:rsidRDefault="00D206CC">
      <w:pPr>
        <w:spacing w:after="0" w:line="360" w:lineRule="auto"/>
        <w:ind w:right="49"/>
        <w:jc w:val="center"/>
        <w:rPr>
          <w:rFonts w:ascii="Palatino Linotype" w:eastAsia="Palatino Linotype" w:hAnsi="Palatino Linotype" w:cs="Palatino Linotype"/>
          <w:b/>
          <w:sz w:val="24"/>
          <w:szCs w:val="24"/>
        </w:rPr>
      </w:pPr>
      <w:r w:rsidRPr="00840A92">
        <w:rPr>
          <w:rFonts w:ascii="Palatino Linotype" w:eastAsia="Palatino Linotype" w:hAnsi="Palatino Linotype" w:cs="Palatino Linotype"/>
          <w:b/>
          <w:sz w:val="24"/>
          <w:szCs w:val="24"/>
        </w:rPr>
        <w:t>II.</w:t>
      </w:r>
      <w:r w:rsidRPr="00840A92">
        <w:rPr>
          <w:rFonts w:ascii="Palatino Linotype" w:eastAsia="Palatino Linotype" w:hAnsi="Palatino Linotype" w:cs="Palatino Linotype"/>
          <w:b/>
          <w:sz w:val="24"/>
          <w:szCs w:val="24"/>
        </w:rPr>
        <w:tab/>
        <w:t>C O N S I D E R A N D O:</w:t>
      </w:r>
    </w:p>
    <w:p w14:paraId="4E3BBF84"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652F1580" w14:textId="77777777" w:rsidR="006E07F7" w:rsidRPr="00840A92" w:rsidRDefault="00D206CC">
      <w:pPr>
        <w:spacing w:after="0" w:line="360" w:lineRule="auto"/>
        <w:jc w:val="both"/>
        <w:rPr>
          <w:rFonts w:ascii="Palatino Linotype" w:eastAsia="Palatino Linotype" w:hAnsi="Palatino Linotype" w:cs="Palatino Linotype"/>
          <w:sz w:val="24"/>
          <w:szCs w:val="24"/>
        </w:rPr>
      </w:pPr>
      <w:bookmarkStart w:id="2" w:name="_heading=h.gjdgxs" w:colFirst="0" w:colLast="0"/>
      <w:bookmarkEnd w:id="2"/>
      <w:r w:rsidRPr="00840A92">
        <w:rPr>
          <w:rFonts w:ascii="Palatino Linotype" w:eastAsia="Palatino Linotype" w:hAnsi="Palatino Linotype" w:cs="Palatino Linotype"/>
          <w:b/>
          <w:sz w:val="24"/>
          <w:szCs w:val="24"/>
        </w:rPr>
        <w:lastRenderedPageBreak/>
        <w:t xml:space="preserve">Primero. Competencia. </w:t>
      </w:r>
      <w:r w:rsidRPr="00840A92">
        <w:rPr>
          <w:rFonts w:ascii="Palatino Linotype" w:eastAsia="Palatino Linotype" w:hAnsi="Palatino Linotype" w:cs="Palatino Linotype"/>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A58B494"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18146CE2"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 xml:space="preserve">Segundo. Oportunidad y </w:t>
      </w:r>
      <w:proofErr w:type="spellStart"/>
      <w:r w:rsidRPr="00840A92">
        <w:rPr>
          <w:rFonts w:ascii="Palatino Linotype" w:eastAsia="Palatino Linotype" w:hAnsi="Palatino Linotype" w:cs="Palatino Linotype"/>
          <w:b/>
          <w:sz w:val="24"/>
          <w:szCs w:val="24"/>
        </w:rPr>
        <w:t>Procedibilidad</w:t>
      </w:r>
      <w:proofErr w:type="spellEnd"/>
      <w:r w:rsidRPr="00840A92">
        <w:rPr>
          <w:rFonts w:ascii="Palatino Linotype" w:eastAsia="Palatino Linotype" w:hAnsi="Palatino Linotype" w:cs="Palatino Linotype"/>
          <w:b/>
          <w:sz w:val="24"/>
          <w:szCs w:val="24"/>
        </w:rPr>
        <w:t xml:space="preserve"> del Recurso de Revisión.</w:t>
      </w:r>
      <w:r w:rsidRPr="00840A92">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840A92">
        <w:rPr>
          <w:rFonts w:ascii="Palatino Linotype" w:eastAsia="Palatino Linotype" w:hAnsi="Palatino Linotype" w:cs="Palatino Linotype"/>
          <w:sz w:val="24"/>
          <w:szCs w:val="24"/>
        </w:rPr>
        <w:t>procedibilidad</w:t>
      </w:r>
      <w:proofErr w:type="spellEnd"/>
      <w:r w:rsidRPr="00840A92">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 </w:t>
      </w:r>
    </w:p>
    <w:p w14:paraId="62A1C8C8"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73A080B6"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840A92">
        <w:rPr>
          <w:rFonts w:ascii="Palatino Linotype" w:eastAsia="Palatino Linotype" w:hAnsi="Palatino Linotype" w:cs="Palatino Linotype"/>
          <w:b/>
          <w:sz w:val="24"/>
          <w:szCs w:val="24"/>
        </w:rPr>
        <w:t>SUJETO OBLIGADO</w:t>
      </w:r>
      <w:r w:rsidRPr="00840A92">
        <w:rPr>
          <w:rFonts w:ascii="Palatino Linotype" w:eastAsia="Palatino Linotype" w:hAnsi="Palatino Linotype" w:cs="Palatino Linotype"/>
          <w:sz w:val="24"/>
          <w:szCs w:val="24"/>
        </w:rPr>
        <w:t xml:space="preserve"> remitió la respuesta a la solicitud de información el </w:t>
      </w:r>
      <w:r w:rsidRPr="00840A92">
        <w:rPr>
          <w:rFonts w:ascii="Palatino Linotype" w:eastAsia="Palatino Linotype" w:hAnsi="Palatino Linotype" w:cs="Palatino Linotype"/>
          <w:b/>
          <w:sz w:val="24"/>
          <w:szCs w:val="24"/>
        </w:rPr>
        <w:t>veintinueve de agosto de dos mil veintitrés</w:t>
      </w:r>
      <w:r w:rsidRPr="00840A92">
        <w:rPr>
          <w:rFonts w:ascii="Palatino Linotype" w:eastAsia="Palatino Linotype" w:hAnsi="Palatino Linotype" w:cs="Palatino Linotype"/>
          <w:sz w:val="24"/>
          <w:szCs w:val="24"/>
        </w:rPr>
        <w:t xml:space="preserve">, mientras que el recurso de revisión interpuesto por la parte </w:t>
      </w:r>
      <w:r w:rsidRPr="00840A92">
        <w:rPr>
          <w:rFonts w:ascii="Palatino Linotype" w:eastAsia="Palatino Linotype" w:hAnsi="Palatino Linotype" w:cs="Palatino Linotype"/>
          <w:b/>
          <w:sz w:val="24"/>
          <w:szCs w:val="24"/>
        </w:rPr>
        <w:t xml:space="preserve">RECURRENTE </w:t>
      </w:r>
      <w:r w:rsidRPr="00840A92">
        <w:rPr>
          <w:rFonts w:ascii="Palatino Linotype" w:eastAsia="Palatino Linotype" w:hAnsi="Palatino Linotype" w:cs="Palatino Linotype"/>
          <w:sz w:val="24"/>
          <w:szCs w:val="24"/>
        </w:rPr>
        <w:t xml:space="preserve">se tuvo </w:t>
      </w:r>
      <w:r w:rsidRPr="00840A92">
        <w:rPr>
          <w:rFonts w:ascii="Palatino Linotype" w:eastAsia="Palatino Linotype" w:hAnsi="Palatino Linotype" w:cs="Palatino Linotype"/>
          <w:sz w:val="24"/>
          <w:szCs w:val="24"/>
        </w:rPr>
        <w:lastRenderedPageBreak/>
        <w:t xml:space="preserve">por presentado el </w:t>
      </w:r>
      <w:r w:rsidRPr="00840A92">
        <w:rPr>
          <w:rFonts w:ascii="Palatino Linotype" w:eastAsia="Palatino Linotype" w:hAnsi="Palatino Linotype" w:cs="Palatino Linotype"/>
          <w:b/>
          <w:sz w:val="24"/>
          <w:szCs w:val="24"/>
        </w:rPr>
        <w:t>cuatro de septiembre de dos mil veintitrés</w:t>
      </w:r>
      <w:r w:rsidRPr="00840A92">
        <w:rPr>
          <w:rFonts w:ascii="Palatino Linotype" w:eastAsia="Palatino Linotype" w:hAnsi="Palatino Linotype" w:cs="Palatino Linotype"/>
          <w:sz w:val="24"/>
          <w:szCs w:val="24"/>
        </w:rPr>
        <w:t>, esto es al cuarto día hábil en que se tuvo conocimiento de la respuesta.</w:t>
      </w:r>
    </w:p>
    <w:p w14:paraId="6F76C112"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39D9D297"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40A92">
        <w:rPr>
          <w:rFonts w:ascii="Palatino Linotype" w:eastAsia="Palatino Linotype" w:hAnsi="Palatino Linotype" w:cs="Palatino Linotype"/>
          <w:b/>
          <w:sz w:val="24"/>
          <w:szCs w:val="24"/>
        </w:rPr>
        <w:t>SAIMEX</w:t>
      </w:r>
      <w:r w:rsidRPr="00840A92">
        <w:rPr>
          <w:rFonts w:ascii="Palatino Linotype" w:eastAsia="Palatino Linotype" w:hAnsi="Palatino Linotype" w:cs="Palatino Linotype"/>
          <w:sz w:val="24"/>
          <w:szCs w:val="24"/>
        </w:rPr>
        <w:t xml:space="preserve">.  </w:t>
      </w:r>
    </w:p>
    <w:p w14:paraId="7470B8DA"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237086C5"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Finalmente, resulta procedente la interposición del recurso de revisión al rubro anotado, toda vez que se actualiza la hipótesis de procedencia prevista en el artículo 179, fracción I de la Ley de la materia, que a la letra dice:</w:t>
      </w:r>
    </w:p>
    <w:p w14:paraId="2EEF0BE9"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23A8A30B"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w:t>
      </w:r>
      <w:r w:rsidRPr="00840A92">
        <w:rPr>
          <w:rFonts w:ascii="Palatino Linotype" w:eastAsia="Palatino Linotype" w:hAnsi="Palatino Linotype" w:cs="Palatino Linotype"/>
          <w:b/>
          <w:i/>
        </w:rPr>
        <w:t>Artículo 179.</w:t>
      </w:r>
      <w:r w:rsidRPr="00840A92">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78395B8"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w:t>
      </w:r>
    </w:p>
    <w:p w14:paraId="2E137A94"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I. Negativa de entrega de la información</w:t>
      </w:r>
    </w:p>
    <w:p w14:paraId="3C52453A"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w:t>
      </w:r>
    </w:p>
    <w:p w14:paraId="3B368428" w14:textId="77777777" w:rsidR="006E07F7" w:rsidRPr="00840A92" w:rsidRDefault="006E07F7">
      <w:pPr>
        <w:spacing w:after="0" w:line="360" w:lineRule="auto"/>
        <w:ind w:left="567" w:right="560"/>
        <w:jc w:val="both"/>
        <w:rPr>
          <w:rFonts w:ascii="Palatino Linotype" w:eastAsia="Palatino Linotype" w:hAnsi="Palatino Linotype" w:cs="Palatino Linotype"/>
          <w:i/>
          <w:sz w:val="24"/>
          <w:szCs w:val="24"/>
        </w:rPr>
      </w:pPr>
    </w:p>
    <w:p w14:paraId="3578D450"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Tercero. Materia de la revisión</w:t>
      </w:r>
      <w:r w:rsidRPr="00840A92">
        <w:rPr>
          <w:rFonts w:ascii="Palatino Linotype" w:eastAsia="Palatino Linotype" w:hAnsi="Palatino Linotype" w:cs="Palatino Linotype"/>
          <w:sz w:val="24"/>
          <w:szCs w:val="24"/>
        </w:rPr>
        <w:t xml:space="preserve">. De la revisión a las constancias y documentos que obran en el expediente electrónico se advierte, que el tema sobre el que este Organismo Garante de Transparencia y Acceso a la Información se pronunciará será  determinar, si se actualiza la hipótesis prevista en la fracción I del artículo 179 de la Ley en la materia. </w:t>
      </w:r>
    </w:p>
    <w:p w14:paraId="7775DC79"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7F97FEDF"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Cuarto.</w:t>
      </w:r>
      <w:r w:rsidRPr="00840A92">
        <w:rPr>
          <w:rFonts w:ascii="Palatino Linotype" w:eastAsia="Palatino Linotype" w:hAnsi="Palatino Linotype" w:cs="Palatino Linotype"/>
          <w:sz w:val="24"/>
          <w:szCs w:val="24"/>
        </w:rPr>
        <w:t xml:space="preserve"> </w:t>
      </w:r>
      <w:r w:rsidRPr="00840A92">
        <w:rPr>
          <w:rFonts w:ascii="Palatino Linotype" w:eastAsia="Palatino Linotype" w:hAnsi="Palatino Linotype" w:cs="Palatino Linotype"/>
          <w:b/>
          <w:sz w:val="24"/>
          <w:szCs w:val="24"/>
        </w:rPr>
        <w:t>Estudio de fondo del asunto.</w:t>
      </w:r>
      <w:r w:rsidRPr="00840A92">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519A707" w14:textId="77777777" w:rsidR="006E07F7" w:rsidRPr="00840A92" w:rsidRDefault="006E07F7">
      <w:pPr>
        <w:spacing w:after="0"/>
        <w:ind w:left="567" w:right="560"/>
        <w:jc w:val="both"/>
        <w:rPr>
          <w:rFonts w:ascii="Palatino Linotype" w:eastAsia="Palatino Linotype" w:hAnsi="Palatino Linotype" w:cs="Palatino Linotype"/>
          <w:i/>
        </w:rPr>
      </w:pPr>
    </w:p>
    <w:p w14:paraId="44296E51"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b/>
          <w:i/>
        </w:rPr>
        <w:t>Artículo 1o.</w:t>
      </w:r>
      <w:r w:rsidRPr="00840A92">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79EACD"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543177FD"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8D503A0"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w:t>
      </w:r>
    </w:p>
    <w:p w14:paraId="6EF8B503" w14:textId="77777777" w:rsidR="006E07F7" w:rsidRPr="00840A92" w:rsidRDefault="00D206CC">
      <w:pPr>
        <w:spacing w:after="0"/>
        <w:ind w:left="567" w:right="560"/>
        <w:jc w:val="both"/>
        <w:rPr>
          <w:rFonts w:ascii="Palatino Linotype" w:eastAsia="Palatino Linotype" w:hAnsi="Palatino Linotype" w:cs="Palatino Linotype"/>
          <w:b/>
          <w:i/>
        </w:rPr>
      </w:pPr>
      <w:r w:rsidRPr="00840A92">
        <w:rPr>
          <w:rFonts w:ascii="Palatino Linotype" w:eastAsia="Palatino Linotype" w:hAnsi="Palatino Linotype" w:cs="Palatino Linotype"/>
          <w:b/>
          <w:i/>
        </w:rPr>
        <w:t>“Artículo 6o.</w:t>
      </w:r>
    </w:p>
    <w:p w14:paraId="56453484"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w:t>
      </w:r>
    </w:p>
    <w:p w14:paraId="37FC92AE"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6F93F82C"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lastRenderedPageBreak/>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AA49D75"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38395384"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0A45C9C5"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325A43BD"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BE573D7"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3C99D234"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7421D939" w14:textId="77777777" w:rsidR="006E07F7" w:rsidRPr="00840A92" w:rsidRDefault="006E07F7">
      <w:pPr>
        <w:spacing w:after="0"/>
        <w:ind w:left="567" w:right="560"/>
        <w:jc w:val="both"/>
        <w:rPr>
          <w:rFonts w:ascii="Palatino Linotype" w:eastAsia="Palatino Linotype" w:hAnsi="Palatino Linotype" w:cs="Palatino Linotype"/>
          <w:i/>
        </w:rPr>
      </w:pPr>
    </w:p>
    <w:p w14:paraId="519752B9"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w:t>
      </w:r>
      <w:r w:rsidRPr="00840A92">
        <w:rPr>
          <w:rFonts w:ascii="Palatino Linotype" w:eastAsia="Palatino Linotype" w:hAnsi="Palatino Linotype" w:cs="Palatino Linotype"/>
          <w:sz w:val="24"/>
          <w:szCs w:val="24"/>
        </w:rPr>
        <w:lastRenderedPageBreak/>
        <w:t>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54D5627"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72EEF2ED"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w:t>
      </w:r>
      <w:r w:rsidRPr="00840A92">
        <w:rPr>
          <w:rFonts w:ascii="Palatino Linotype" w:eastAsia="Palatino Linotype" w:hAnsi="Palatino Linotype" w:cs="Palatino Linotype"/>
          <w:b/>
          <w:i/>
        </w:rPr>
        <w:t>Artículo 4.</w:t>
      </w:r>
      <w:r w:rsidRPr="00840A92">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3EA695B"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2D89A41"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2AA2936B" w14:textId="77777777" w:rsidR="006E07F7" w:rsidRPr="00840A92" w:rsidRDefault="006E07F7">
      <w:pPr>
        <w:spacing w:after="0" w:line="360" w:lineRule="auto"/>
        <w:ind w:left="567" w:right="560"/>
        <w:jc w:val="both"/>
        <w:rPr>
          <w:rFonts w:ascii="Palatino Linotype" w:eastAsia="Palatino Linotype" w:hAnsi="Palatino Linotype" w:cs="Palatino Linotype"/>
          <w:i/>
          <w:sz w:val="24"/>
          <w:szCs w:val="24"/>
        </w:rPr>
      </w:pPr>
    </w:p>
    <w:p w14:paraId="39FE479D"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B0E2068"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w:t>
      </w:r>
      <w:r w:rsidRPr="00840A92">
        <w:rPr>
          <w:rFonts w:ascii="Palatino Linotype" w:eastAsia="Palatino Linotype" w:hAnsi="Palatino Linotype" w:cs="Palatino Linotype"/>
          <w:b/>
          <w:i/>
        </w:rPr>
        <w:t>Artículo 12.</w:t>
      </w:r>
      <w:r w:rsidRPr="00840A92">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7FE35D6"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E64168E"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30C207D3"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1EB2F302"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522166E5" w14:textId="77777777" w:rsidR="006E07F7" w:rsidRPr="00840A92" w:rsidRDefault="00D206CC">
      <w:pPr>
        <w:spacing w:after="0"/>
        <w:ind w:left="567" w:right="560"/>
        <w:jc w:val="both"/>
        <w:rPr>
          <w:rFonts w:ascii="Palatino Linotype" w:eastAsia="Palatino Linotype" w:hAnsi="Palatino Linotype" w:cs="Palatino Linotype"/>
          <w:b/>
          <w:i/>
        </w:rPr>
      </w:pPr>
      <w:r w:rsidRPr="00840A92">
        <w:rPr>
          <w:rFonts w:ascii="Palatino Linotype" w:eastAsia="Palatino Linotype" w:hAnsi="Palatino Linotype" w:cs="Palatino Linotype"/>
          <w:b/>
          <w:i/>
        </w:rPr>
        <w:t>Criterio 03/17</w:t>
      </w:r>
    </w:p>
    <w:p w14:paraId="667550DB"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b/>
          <w:i/>
        </w:rPr>
        <w:t xml:space="preserve">“NO EXISTE OBLIGACIÓN DE ELABORAR DOCUMENTOS AD HOC PARA ATENDER LAS SOLICITUDES DE ACCESO A LA INFORMACIÓN. </w:t>
      </w:r>
      <w:r w:rsidRPr="00840A92">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DABD074" w14:textId="77777777" w:rsidR="006E07F7" w:rsidRPr="00840A92" w:rsidRDefault="006E07F7">
      <w:pPr>
        <w:spacing w:after="0" w:line="360" w:lineRule="auto"/>
        <w:ind w:left="567" w:right="560"/>
        <w:jc w:val="both"/>
        <w:rPr>
          <w:rFonts w:ascii="Palatino Linotype" w:eastAsia="Palatino Linotype" w:hAnsi="Palatino Linotype" w:cs="Palatino Linotype"/>
          <w:b/>
          <w:i/>
          <w:sz w:val="24"/>
          <w:szCs w:val="24"/>
        </w:rPr>
      </w:pPr>
    </w:p>
    <w:p w14:paraId="0368C564"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569393C"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10C59D93"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83ABDAA"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508ACB25"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7A0209B"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550FD62A"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lastRenderedPageBreak/>
        <w:t>“</w:t>
      </w:r>
      <w:r w:rsidRPr="00840A92">
        <w:rPr>
          <w:rFonts w:ascii="Palatino Linotype" w:eastAsia="Palatino Linotype" w:hAnsi="Palatino Linotype" w:cs="Palatino Linotype"/>
          <w:b/>
          <w:i/>
        </w:rPr>
        <w:t>Artículo 3.</w:t>
      </w:r>
      <w:r w:rsidRPr="00840A92">
        <w:rPr>
          <w:rFonts w:ascii="Palatino Linotype" w:eastAsia="Palatino Linotype" w:hAnsi="Palatino Linotype" w:cs="Palatino Linotype"/>
          <w:i/>
        </w:rPr>
        <w:t xml:space="preserve"> Para los efectos de la presente Ley se entenderá por:</w:t>
      </w:r>
    </w:p>
    <w:p w14:paraId="5B97ECD6"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w:t>
      </w:r>
    </w:p>
    <w:p w14:paraId="6E65B6F0"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b/>
          <w:i/>
        </w:rPr>
        <w:t>XI. Documento:</w:t>
      </w:r>
      <w:r w:rsidRPr="00840A92">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F28164A"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4FEBED86"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90402F3"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19F1F2E1" w14:textId="77777777" w:rsidR="006E07F7" w:rsidRPr="00840A92" w:rsidRDefault="00D206CC">
      <w:pPr>
        <w:spacing w:after="0"/>
        <w:ind w:left="567" w:right="560"/>
        <w:jc w:val="both"/>
        <w:rPr>
          <w:rFonts w:ascii="Palatino Linotype" w:eastAsia="Palatino Linotype" w:hAnsi="Palatino Linotype" w:cs="Palatino Linotype"/>
          <w:b/>
          <w:i/>
        </w:rPr>
      </w:pPr>
      <w:r w:rsidRPr="00840A92">
        <w:rPr>
          <w:rFonts w:ascii="Palatino Linotype" w:eastAsia="Palatino Linotype" w:hAnsi="Palatino Linotype" w:cs="Palatino Linotype"/>
          <w:i/>
        </w:rPr>
        <w:t>“</w:t>
      </w:r>
      <w:r w:rsidRPr="00840A92">
        <w:rPr>
          <w:rFonts w:ascii="Palatino Linotype" w:eastAsia="Palatino Linotype" w:hAnsi="Palatino Linotype" w:cs="Palatino Linotype"/>
          <w:b/>
          <w:i/>
        </w:rPr>
        <w:t>CRITERIO 0002-11</w:t>
      </w:r>
    </w:p>
    <w:p w14:paraId="71FF69F7"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40A92">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912CD4"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En consecuencia el acceso a la información se refiere a que se cumplan cualquiera de los siguientes tres supuestos:</w:t>
      </w:r>
    </w:p>
    <w:p w14:paraId="5271A3D8"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1)</w:t>
      </w:r>
      <w:r w:rsidRPr="00840A92">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6CA785C9"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t>2)</w:t>
      </w:r>
      <w:r w:rsidRPr="00840A92">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71C45492"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i/>
        </w:rPr>
        <w:lastRenderedPageBreak/>
        <w:t xml:space="preserve">3) Que se trate de información registrada en cualquier soporte documental, que en ejercicio de las atribuciones conferidas, se encuentre en posesión de los Sujetos Obligados.” </w:t>
      </w:r>
    </w:p>
    <w:p w14:paraId="13ED5C41"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13F8DCCB"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4D3B0D8B"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6D83775E"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De las actuaciones que integran el expediente electrónico, se procede al análisis de los agravios hechos valer por la parte Recurrente, relativos a la negativa de entrega de la información, lo que actualiza la causal de procedencia prevista en la fracción I del artículo 179 de la Ley de Transparencia y Acceso a la Información Pública del Estado de México y Municipios.</w:t>
      </w:r>
    </w:p>
    <w:p w14:paraId="6787443C"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4B51B200"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Para ello, en principio resulta recordar que la pretensión de la parte ahora Recurrente es obtener la siguiente información: </w:t>
      </w:r>
    </w:p>
    <w:p w14:paraId="18267BAD"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17634EE0" w14:textId="77777777" w:rsidR="006E07F7" w:rsidRPr="00840A92" w:rsidRDefault="00D206CC">
      <w:pPr>
        <w:numPr>
          <w:ilvl w:val="0"/>
          <w:numId w:val="2"/>
        </w:numPr>
        <w:pBdr>
          <w:top w:val="nil"/>
          <w:left w:val="nil"/>
          <w:bottom w:val="nil"/>
          <w:right w:val="nil"/>
          <w:between w:val="nil"/>
        </w:pBdr>
        <w:tabs>
          <w:tab w:val="left" w:pos="993"/>
        </w:tabs>
        <w:spacing w:after="0" w:line="360" w:lineRule="auto"/>
        <w:ind w:left="567" w:right="49"/>
        <w:jc w:val="both"/>
        <w:rPr>
          <w:rFonts w:ascii="Palatino Linotype" w:eastAsia="Palatino Linotype" w:hAnsi="Palatino Linotype" w:cs="Palatino Linotype"/>
        </w:rPr>
      </w:pPr>
      <w:r w:rsidRPr="00840A92">
        <w:rPr>
          <w:rFonts w:ascii="Palatino Linotype" w:eastAsia="Palatino Linotype" w:hAnsi="Palatino Linotype" w:cs="Palatino Linotype"/>
        </w:rPr>
        <w:t>El formato denominado “Listado de Operaciones con Proveedores de Bienes y Servicios” del mes de enero 2023, en formato PDF (</w:t>
      </w:r>
      <w:proofErr w:type="spellStart"/>
      <w:r w:rsidRPr="00840A92">
        <w:rPr>
          <w:rFonts w:ascii="Palatino Linotype" w:eastAsia="Palatino Linotype" w:hAnsi="Palatino Linotype" w:cs="Palatino Linotype"/>
        </w:rPr>
        <w:t>requisitado</w:t>
      </w:r>
      <w:proofErr w:type="spellEnd"/>
      <w:r w:rsidRPr="00840A92">
        <w:rPr>
          <w:rFonts w:ascii="Palatino Linotype" w:eastAsia="Palatino Linotype" w:hAnsi="Palatino Linotype" w:cs="Palatino Linotype"/>
        </w:rPr>
        <w:t xml:space="preserve"> conforme lo señalado en el punto 20 del instructivo del módulo 1), mismo que fue enviado en el informe mensual al Órgano Superior de Fiscalización del Estado de México (OSFEM).</w:t>
      </w:r>
    </w:p>
    <w:p w14:paraId="57D5B599" w14:textId="77777777" w:rsidR="006E07F7" w:rsidRPr="00840A92" w:rsidRDefault="006E07F7">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 w:val="24"/>
          <w:szCs w:val="24"/>
        </w:rPr>
      </w:pPr>
    </w:p>
    <w:p w14:paraId="3CA4A0B3" w14:textId="77777777" w:rsidR="006E07F7" w:rsidRPr="00840A92" w:rsidRDefault="00D206CC">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En respuesta, el Sujeto Obligado, a través de su Tesorería Municipal remitió el Listado de Operaciones con Proveedores de Bienes y Servicios del Mes de Enero de 2023, tal como se observa a continuación: </w:t>
      </w:r>
    </w:p>
    <w:p w14:paraId="12B5BF02" w14:textId="77777777" w:rsidR="006E07F7" w:rsidRPr="00840A92" w:rsidRDefault="00D206CC">
      <w:pPr>
        <w:pBdr>
          <w:top w:val="nil"/>
          <w:left w:val="nil"/>
          <w:bottom w:val="nil"/>
          <w:right w:val="nil"/>
          <w:between w:val="nil"/>
        </w:pBdr>
        <w:tabs>
          <w:tab w:val="left" w:pos="993"/>
        </w:tabs>
        <w:spacing w:after="0" w:line="360" w:lineRule="auto"/>
        <w:ind w:right="49"/>
        <w:jc w:val="center"/>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w:t>
      </w:r>
      <w:r w:rsidRPr="00840A92">
        <w:rPr>
          <w:noProof/>
        </w:rPr>
        <w:drawing>
          <wp:inline distT="0" distB="0" distL="0" distR="0" wp14:anchorId="4C4E02A4" wp14:editId="67C83C53">
            <wp:extent cx="5295900" cy="170624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95900" cy="1706245"/>
                    </a:xfrm>
                    <a:prstGeom prst="rect">
                      <a:avLst/>
                    </a:prstGeom>
                    <a:ln/>
                  </pic:spPr>
                </pic:pic>
              </a:graphicData>
            </a:graphic>
          </wp:inline>
        </w:drawing>
      </w:r>
    </w:p>
    <w:p w14:paraId="616D6A3E" w14:textId="77777777" w:rsidR="006E07F7" w:rsidRPr="00840A92" w:rsidRDefault="006E07F7">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 w:val="24"/>
          <w:szCs w:val="24"/>
        </w:rPr>
      </w:pPr>
    </w:p>
    <w:p w14:paraId="3D91C768" w14:textId="77777777" w:rsidR="006E07F7" w:rsidRPr="00840A92" w:rsidRDefault="00D206CC">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Derivado de lo anterior, la parte Recurrente se inconformó arguyendo la falta de entrega de la información. </w:t>
      </w:r>
    </w:p>
    <w:p w14:paraId="1C9BB66D" w14:textId="77777777" w:rsidR="006E07F7" w:rsidRPr="00840A92" w:rsidRDefault="006E07F7">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 w:val="24"/>
          <w:szCs w:val="24"/>
        </w:rPr>
      </w:pPr>
    </w:p>
    <w:p w14:paraId="1CB23EAE"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Las partes fueron omisas en rendir manifestaciones. </w:t>
      </w:r>
    </w:p>
    <w:p w14:paraId="7D1B4CD5" w14:textId="77777777" w:rsidR="006E07F7" w:rsidRPr="00840A92" w:rsidRDefault="006E07F7">
      <w:pPr>
        <w:spacing w:after="0" w:line="360" w:lineRule="auto"/>
        <w:jc w:val="both"/>
        <w:rPr>
          <w:rFonts w:ascii="Palatino Linotype" w:eastAsia="Palatino Linotype" w:hAnsi="Palatino Linotype" w:cs="Palatino Linotype"/>
        </w:rPr>
      </w:pPr>
    </w:p>
    <w:p w14:paraId="1B5F8D5A" w14:textId="77777777" w:rsidR="006E07F7" w:rsidRPr="00840A92" w:rsidRDefault="00D206C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Dicho esto, se procede a contextualizar la información solicitada, para ello es de mencionar el Órgano Superior de Fiscalización es un órgano dotado de autonomía técnica y de gestión con atribuciones para recibir, revisar y fiscalizar las cuentas públicas del Estado y Municipios, la aplicación de los fondos públicos, la administración de los ingresos y egresos, así como, determinar los daños y perjuicios que afecten a la hacienda pública y para ello emite los Lineamientos para la integración y entrega del Informe Trimestral Municipal 2023. </w:t>
      </w:r>
    </w:p>
    <w:p w14:paraId="3BBE86D8" w14:textId="77777777" w:rsidR="006E07F7" w:rsidRPr="00840A92" w:rsidRDefault="006E07F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747DB72" w14:textId="77777777" w:rsidR="006E07F7" w:rsidRPr="00840A92" w:rsidRDefault="00D206C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lastRenderedPageBreak/>
        <w:t xml:space="preserve">En ese sentido, la legislatura, a través del Órgano Superior de Fiscalización del Estado de México, controlará, fiscalizará y revisará el ingreso y el gasto público de los Poderes del Estado, Organismos Autónomos, Organismos Auxiliares y demás entes públicos que manejen recurso del Estado y Municipios, a través de los </w:t>
      </w:r>
      <w:r w:rsidRPr="00840A92">
        <w:rPr>
          <w:rFonts w:ascii="Palatino Linotype" w:eastAsia="Palatino Linotype" w:hAnsi="Palatino Linotype" w:cs="Palatino Linotype"/>
          <w:b/>
          <w:sz w:val="24"/>
          <w:szCs w:val="24"/>
          <w:u w:val="single"/>
        </w:rPr>
        <w:t>informes trimestrales</w:t>
      </w:r>
      <w:r w:rsidRPr="00840A92">
        <w:rPr>
          <w:rFonts w:ascii="Palatino Linotype" w:eastAsia="Palatino Linotype" w:hAnsi="Palatino Linotype" w:cs="Palatino Linotype"/>
          <w:sz w:val="24"/>
          <w:szCs w:val="24"/>
        </w:rPr>
        <w:t xml:space="preserve">, que son documentos físico y/o electrónicos que </w:t>
      </w:r>
      <w:r w:rsidRPr="00840A92">
        <w:rPr>
          <w:rFonts w:ascii="Palatino Linotype" w:eastAsia="Palatino Linotype" w:hAnsi="Palatino Linotype" w:cs="Palatino Linotype"/>
          <w:b/>
          <w:sz w:val="24"/>
          <w:szCs w:val="24"/>
          <w:u w:val="single"/>
        </w:rPr>
        <w:t>trimestralmente deberán presentar</w:t>
      </w:r>
      <w:r w:rsidRPr="00840A92">
        <w:rPr>
          <w:rFonts w:ascii="Palatino Linotype" w:eastAsia="Palatino Linotype" w:hAnsi="Palatino Linotype" w:cs="Palatino Linotype"/>
          <w:sz w:val="24"/>
          <w:szCs w:val="24"/>
        </w:rPr>
        <w:t xml:space="preserve">, a través de la Secretaría de Finanzas del Poder Ejecutivo y las </w:t>
      </w:r>
      <w:r w:rsidRPr="00840A92">
        <w:rPr>
          <w:rFonts w:ascii="Palatino Linotype" w:eastAsia="Palatino Linotype" w:hAnsi="Palatino Linotype" w:cs="Palatino Linotype"/>
          <w:b/>
          <w:sz w:val="24"/>
          <w:szCs w:val="24"/>
          <w:u w:val="single"/>
        </w:rPr>
        <w:t>Tesorerías Municipales</w:t>
      </w:r>
      <w:r w:rsidRPr="00840A92">
        <w:rPr>
          <w:rFonts w:ascii="Palatino Linotype" w:eastAsia="Palatino Linotype" w:hAnsi="Palatino Linotype" w:cs="Palatino Linotype"/>
          <w:sz w:val="24"/>
          <w:szCs w:val="24"/>
        </w:rPr>
        <w:t xml:space="preserve"> o sus equivalentes, dentro de los primeros veinte días hábiles posteriores al término del periodo a informar y para el trimestre correspondiente al cierre del ejercicio fiscal, para lo cual, deberán firmarse conforme a lo establecido en las matrices de firmas. </w:t>
      </w:r>
    </w:p>
    <w:p w14:paraId="3ABA6920" w14:textId="77777777" w:rsidR="006E07F7" w:rsidRPr="00840A92" w:rsidRDefault="006E07F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C5FB9C2" w14:textId="77777777" w:rsidR="006E07F7" w:rsidRPr="00840A92" w:rsidRDefault="00D206CC">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u w:val="single"/>
        </w:rPr>
      </w:pPr>
      <w:r w:rsidRPr="00840A92">
        <w:rPr>
          <w:rFonts w:ascii="Palatino Linotype" w:eastAsia="Palatino Linotype" w:hAnsi="Palatino Linotype" w:cs="Palatino Linotype"/>
          <w:sz w:val="24"/>
          <w:szCs w:val="24"/>
        </w:rPr>
        <w:t xml:space="preserve">En ese orden de ideas, de la consulta a los Lineamientos en comento, se encontró que, </w:t>
      </w:r>
      <w:r w:rsidRPr="00840A92">
        <w:rPr>
          <w:rFonts w:ascii="Palatino Linotype" w:eastAsia="Palatino Linotype" w:hAnsi="Palatino Linotype" w:cs="Palatino Linotype"/>
          <w:b/>
          <w:sz w:val="24"/>
          <w:szCs w:val="24"/>
          <w:u w:val="single"/>
        </w:rPr>
        <w:t xml:space="preserve">entre los documentos que conforman el Módulo I se encuentra el siguiente: </w:t>
      </w:r>
    </w:p>
    <w:p w14:paraId="1F6605BF" w14:textId="77777777" w:rsidR="006E07F7" w:rsidRPr="00840A92" w:rsidRDefault="006E07F7">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u w:val="single"/>
        </w:rPr>
      </w:pPr>
    </w:p>
    <w:p w14:paraId="27F721B1" w14:textId="77777777" w:rsidR="006E07F7" w:rsidRPr="00840A92" w:rsidRDefault="00D206C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noProof/>
          <w:sz w:val="24"/>
          <w:szCs w:val="24"/>
        </w:rPr>
        <w:drawing>
          <wp:inline distT="0" distB="0" distL="0" distR="0" wp14:anchorId="07BF1878" wp14:editId="491A5EAD">
            <wp:extent cx="5756275" cy="230505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15385"/>
                    <a:stretch>
                      <a:fillRect/>
                    </a:stretch>
                  </pic:blipFill>
                  <pic:spPr>
                    <a:xfrm>
                      <a:off x="0" y="0"/>
                      <a:ext cx="5756275" cy="2305050"/>
                    </a:xfrm>
                    <a:prstGeom prst="rect">
                      <a:avLst/>
                    </a:prstGeom>
                    <a:ln/>
                  </pic:spPr>
                </pic:pic>
              </a:graphicData>
            </a:graphic>
          </wp:inline>
        </w:drawing>
      </w:r>
      <w:r w:rsidRPr="00840A92">
        <w:rPr>
          <w:noProof/>
        </w:rPr>
        <mc:AlternateContent>
          <mc:Choice Requires="wpg">
            <w:drawing>
              <wp:anchor distT="0" distB="0" distL="114300" distR="114300" simplePos="0" relativeHeight="251658240" behindDoc="0" locked="0" layoutInCell="1" hidden="0" allowOverlap="1" wp14:anchorId="13AEFDB3" wp14:editId="3B477041">
                <wp:simplePos x="0" y="0"/>
                <wp:positionH relativeFrom="column">
                  <wp:posOffset>279400</wp:posOffset>
                </wp:positionH>
                <wp:positionV relativeFrom="paragraph">
                  <wp:posOffset>1168400</wp:posOffset>
                </wp:positionV>
                <wp:extent cx="5486400" cy="276225"/>
                <wp:effectExtent l="0" t="0" r="0" b="0"/>
                <wp:wrapNone/>
                <wp:docPr id="1" name="Rectángulo 1"/>
                <wp:cNvGraphicFramePr/>
                <a:graphic xmlns:a="http://schemas.openxmlformats.org/drawingml/2006/main">
                  <a:graphicData uri="http://schemas.microsoft.com/office/word/2010/wordprocessingShape">
                    <wps:wsp>
                      <wps:cNvSpPr/>
                      <wps:spPr>
                        <a:xfrm>
                          <a:off x="2621850" y="3660938"/>
                          <a:ext cx="5448300" cy="238125"/>
                        </a:xfrm>
                        <a:prstGeom prst="rect">
                          <a:avLst/>
                        </a:prstGeom>
                        <a:noFill/>
                        <a:ln w="38100" cap="flat" cmpd="sng">
                          <a:solidFill>
                            <a:srgbClr val="FF0000"/>
                          </a:solidFill>
                          <a:prstDash val="solid"/>
                          <a:miter lim="800000"/>
                          <a:headEnd type="none" w="sm" len="sm"/>
                          <a:tailEnd type="none" w="sm" len="sm"/>
                        </a:ln>
                      </wps:spPr>
                      <wps:txbx>
                        <w:txbxContent>
                          <w:p w14:paraId="13659443" w14:textId="77777777" w:rsidR="006E07F7" w:rsidRDefault="006E07F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279400</wp:posOffset>
                </wp:positionH>
                <wp:positionV relativeFrom="paragraph">
                  <wp:posOffset>1168400</wp:posOffset>
                </wp:positionV>
                <wp:extent cx="5486400" cy="276225"/>
                <wp:effectExtent b="0" l="0" r="0" t="0"/>
                <wp:wrapNone/>
                <wp:docPr id="1"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5486400" cy="276225"/>
                        </a:xfrm>
                        <a:prstGeom prst="rect"/>
                        <a:ln/>
                      </pic:spPr>
                    </pic:pic>
                  </a:graphicData>
                </a:graphic>
              </wp:anchor>
            </w:drawing>
          </mc:Fallback>
        </mc:AlternateContent>
      </w:r>
    </w:p>
    <w:p w14:paraId="4ED44AB5" w14:textId="77777777" w:rsidR="006E07F7" w:rsidRPr="00840A92" w:rsidRDefault="006E07F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142DF90" w14:textId="77777777" w:rsidR="006E07F7" w:rsidRPr="00840A92" w:rsidRDefault="00D206C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De lo anterior, se advierte que la información solicitada, tal como se observa debe ser generada por el Sujeto Obligado de manera mensual, con la finalidad de que este </w:t>
      </w:r>
      <w:r w:rsidRPr="00840A92">
        <w:rPr>
          <w:rFonts w:ascii="Palatino Linotype" w:eastAsia="Palatino Linotype" w:hAnsi="Palatino Linotype" w:cs="Palatino Linotype"/>
          <w:sz w:val="24"/>
          <w:szCs w:val="24"/>
        </w:rPr>
        <w:lastRenderedPageBreak/>
        <w:t xml:space="preserve">integre lo correspondiente a sus informes trimestrales, que son parte del cumplimiento de sus obligaciones fiscales. </w:t>
      </w:r>
    </w:p>
    <w:p w14:paraId="3D878109" w14:textId="77777777" w:rsidR="006E07F7" w:rsidRPr="00840A92" w:rsidRDefault="006E07F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26E1B6D"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En lo que respecta al Sujeto Obligado que ahora nos ocupa, de acuerdo con el Reglamento Orgánico Municipal de Zinacantepec, se establece que, la Tesorería Municipal es la unidad encargada de recaudar los ingresos municipales, así como conducir la política presupuestal del Municipio, tal como se observa a continuación:</w:t>
      </w:r>
    </w:p>
    <w:p w14:paraId="251EE051"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2C90545A" w14:textId="77777777" w:rsidR="006E07F7" w:rsidRPr="00840A92" w:rsidRDefault="00D206CC">
      <w:pPr>
        <w:spacing w:after="0"/>
        <w:ind w:left="567" w:right="560"/>
        <w:jc w:val="both"/>
        <w:rPr>
          <w:rFonts w:ascii="Palatino Linotype" w:eastAsia="Palatino Linotype" w:hAnsi="Palatino Linotype" w:cs="Palatino Linotype"/>
          <w:i/>
          <w:sz w:val="24"/>
          <w:szCs w:val="24"/>
        </w:rPr>
      </w:pPr>
      <w:r w:rsidRPr="00840A92">
        <w:rPr>
          <w:rFonts w:ascii="Palatino Linotype" w:eastAsia="Palatino Linotype" w:hAnsi="Palatino Linotype" w:cs="Palatino Linotype"/>
          <w:b/>
          <w:i/>
        </w:rPr>
        <w:t>Artículo 46.</w:t>
      </w:r>
      <w:r w:rsidRPr="00840A92">
        <w:rPr>
          <w:rFonts w:ascii="Palatino Linotype" w:eastAsia="Palatino Linotype" w:hAnsi="Palatino Linotype" w:cs="Palatino Linotype"/>
          <w:i/>
        </w:rPr>
        <w:t xml:space="preserve"> La Tesorería Municipal es la Unidad Administrativa encargada de recaudar los ingresos municipales, captar recursos Estatales y Federales, 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w:t>
      </w:r>
    </w:p>
    <w:p w14:paraId="3800BAC4"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0F09C247"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Por lo anterior, se considera que el Sujeto Obligado, cuenta con las facultades, atribuciones y competencias, para generar, administrar y poseer la información requerida, debido a que cuenta con una unidad administrativa competente que debe cumplir con las obligaciones fiscales respectivas, a saber, la Tesorería Municipal.  </w:t>
      </w:r>
    </w:p>
    <w:p w14:paraId="046EE5CE"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2D72B24E"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En lo que respecta al agravio hecho valer por la parte Recurrente relativo a la falta entrega de la información solicitada, resulta imprescindible mencionar que la parte Solicitante requirió el Listado de Operaciones con Proveedores de Bienes y Servicios del mes de </w:t>
      </w:r>
      <w:r w:rsidRPr="00840A92">
        <w:rPr>
          <w:rFonts w:ascii="Palatino Linotype" w:eastAsia="Palatino Linotype" w:hAnsi="Palatino Linotype" w:cs="Palatino Linotype"/>
          <w:b/>
          <w:sz w:val="24"/>
          <w:szCs w:val="24"/>
          <w:u w:val="single"/>
        </w:rPr>
        <w:t>Enero de 2023</w:t>
      </w:r>
      <w:r w:rsidRPr="00840A92">
        <w:rPr>
          <w:rFonts w:ascii="Palatino Linotype" w:eastAsia="Palatino Linotype" w:hAnsi="Palatino Linotype" w:cs="Palatino Linotype"/>
          <w:sz w:val="24"/>
          <w:szCs w:val="24"/>
        </w:rPr>
        <w:t xml:space="preserve"> y, el Sujeto Obligado, a través de la unidad administrativa competente, proporcionó el documento solicitado, tal como se puede observar a continuación:   </w:t>
      </w:r>
    </w:p>
    <w:p w14:paraId="242F2318" w14:textId="77777777" w:rsidR="006E07F7" w:rsidRPr="00840A92" w:rsidRDefault="006E07F7">
      <w:pPr>
        <w:spacing w:after="0" w:line="360" w:lineRule="auto"/>
        <w:jc w:val="both"/>
        <w:rPr>
          <w:rFonts w:ascii="Palatino Linotype" w:eastAsia="Palatino Linotype" w:hAnsi="Palatino Linotype" w:cs="Palatino Linotype"/>
          <w:sz w:val="24"/>
          <w:szCs w:val="24"/>
        </w:rPr>
      </w:pPr>
    </w:p>
    <w:p w14:paraId="3F621182"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noProof/>
          <w:sz w:val="24"/>
          <w:szCs w:val="24"/>
        </w:rPr>
        <w:drawing>
          <wp:inline distT="0" distB="0" distL="0" distR="0" wp14:anchorId="3EAA383E" wp14:editId="233C7911">
            <wp:extent cx="5756275" cy="87757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756275" cy="877570"/>
                    </a:xfrm>
                    <a:prstGeom prst="rect">
                      <a:avLst/>
                    </a:prstGeom>
                    <a:ln/>
                  </pic:spPr>
                </pic:pic>
              </a:graphicData>
            </a:graphic>
          </wp:inline>
        </w:drawing>
      </w:r>
      <w:r w:rsidRPr="00840A92">
        <w:rPr>
          <w:noProof/>
        </w:rPr>
        <mc:AlternateContent>
          <mc:Choice Requires="wpg">
            <w:drawing>
              <wp:anchor distT="0" distB="0" distL="114300" distR="114300" simplePos="0" relativeHeight="251659264" behindDoc="0" locked="0" layoutInCell="1" hidden="0" allowOverlap="1" wp14:anchorId="61FD5325" wp14:editId="4E6BA7B4">
                <wp:simplePos x="0" y="0"/>
                <wp:positionH relativeFrom="column">
                  <wp:posOffset>101601</wp:posOffset>
                </wp:positionH>
                <wp:positionV relativeFrom="paragraph">
                  <wp:posOffset>317500</wp:posOffset>
                </wp:positionV>
                <wp:extent cx="5680075" cy="552450"/>
                <wp:effectExtent l="0" t="0" r="0" b="0"/>
                <wp:wrapNone/>
                <wp:docPr id="2" name="Rectángulo 2"/>
                <wp:cNvGraphicFramePr/>
                <a:graphic xmlns:a="http://schemas.openxmlformats.org/drawingml/2006/main">
                  <a:graphicData uri="http://schemas.microsoft.com/office/word/2010/wordprocessingShape">
                    <wps:wsp>
                      <wps:cNvSpPr/>
                      <wps:spPr>
                        <a:xfrm>
                          <a:off x="2525013" y="3522825"/>
                          <a:ext cx="5641975" cy="514350"/>
                        </a:xfrm>
                        <a:prstGeom prst="rect">
                          <a:avLst/>
                        </a:prstGeom>
                        <a:noFill/>
                        <a:ln w="38100" cap="flat" cmpd="sng">
                          <a:solidFill>
                            <a:srgbClr val="FF0000"/>
                          </a:solidFill>
                          <a:prstDash val="solid"/>
                          <a:miter lim="800000"/>
                          <a:headEnd type="none" w="sm" len="sm"/>
                          <a:tailEnd type="none" w="sm" len="sm"/>
                        </a:ln>
                      </wps:spPr>
                      <wps:txbx>
                        <w:txbxContent>
                          <w:p w14:paraId="7A7BBE53" w14:textId="77777777" w:rsidR="006E07F7" w:rsidRDefault="006E07F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101601</wp:posOffset>
                </wp:positionH>
                <wp:positionV relativeFrom="paragraph">
                  <wp:posOffset>317500</wp:posOffset>
                </wp:positionV>
                <wp:extent cx="5680075" cy="552450"/>
                <wp:effectExtent b="0" l="0" r="0" t="0"/>
                <wp:wrapNone/>
                <wp:docPr id="2"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680075" cy="552450"/>
                        </a:xfrm>
                        <a:prstGeom prst="rect"/>
                        <a:ln/>
                      </pic:spPr>
                    </pic:pic>
                  </a:graphicData>
                </a:graphic>
              </wp:anchor>
            </w:drawing>
          </mc:Fallback>
        </mc:AlternateContent>
      </w:r>
    </w:p>
    <w:p w14:paraId="30466E23" w14:textId="77777777" w:rsidR="006E07F7" w:rsidRPr="00840A92" w:rsidRDefault="006E07F7">
      <w:pPr>
        <w:spacing w:after="0" w:line="360" w:lineRule="auto"/>
        <w:jc w:val="both"/>
        <w:rPr>
          <w:rFonts w:ascii="Palatino Linotype" w:eastAsia="Palatino Linotype" w:hAnsi="Palatino Linotype" w:cs="Palatino Linotype"/>
          <w:sz w:val="24"/>
          <w:szCs w:val="24"/>
        </w:rPr>
      </w:pPr>
    </w:p>
    <w:p w14:paraId="18FBFA40"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El cual contiene datos como fecha, póliza, nombre o razón social, RFC, bien o servicio adquirido, área solicitada, procedimiento de adquisición o contratación y monto total de la operación; documento que fue signado por la Directora de Administración y la Tesorería Municipal y sellado por las unidades administrativas referidas. </w:t>
      </w:r>
    </w:p>
    <w:p w14:paraId="15BC324F" w14:textId="77777777" w:rsidR="006E07F7" w:rsidRPr="00840A92" w:rsidRDefault="006E07F7">
      <w:pPr>
        <w:spacing w:after="0" w:line="360" w:lineRule="auto"/>
        <w:jc w:val="both"/>
        <w:rPr>
          <w:rFonts w:ascii="Palatino Linotype" w:eastAsia="Palatino Linotype" w:hAnsi="Palatino Linotype" w:cs="Palatino Linotype"/>
          <w:sz w:val="24"/>
          <w:szCs w:val="24"/>
        </w:rPr>
      </w:pPr>
    </w:p>
    <w:p w14:paraId="6FE2B7FE" w14:textId="77777777" w:rsidR="006E07F7" w:rsidRPr="00840A92" w:rsidRDefault="00D206CC">
      <w:pPr>
        <w:spacing w:after="0" w:line="360" w:lineRule="auto"/>
        <w:jc w:val="both"/>
        <w:rPr>
          <w:rFonts w:ascii="Palatino Linotype" w:eastAsia="Palatino Linotype" w:hAnsi="Palatino Linotype" w:cs="Palatino Linotype"/>
          <w:b/>
          <w:sz w:val="24"/>
          <w:szCs w:val="24"/>
          <w:u w:val="single"/>
        </w:rPr>
      </w:pPr>
      <w:r w:rsidRPr="00840A92">
        <w:rPr>
          <w:rFonts w:ascii="Palatino Linotype" w:eastAsia="Palatino Linotype" w:hAnsi="Palatino Linotype" w:cs="Palatino Linotype"/>
          <w:b/>
          <w:sz w:val="24"/>
          <w:szCs w:val="24"/>
          <w:u w:val="single"/>
        </w:rPr>
        <w:t xml:space="preserve">Por lo anterior, se colige que, el documento proporcionado por el Sujeto Obligado, es el documento con el que obra en sus archivos y que se relaciona con lo solicitado. </w:t>
      </w:r>
    </w:p>
    <w:p w14:paraId="67B98D6C"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De ello, resulta necesario traer a colación lo que establece el Criterio 31/10 emitido por el Instituto Nacional de Transparencia, Acceso a la Información y Protección de Datos Personales que señala lo siguiente: </w:t>
      </w:r>
    </w:p>
    <w:p w14:paraId="547355B4"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67ABC2B0" w14:textId="77777777" w:rsidR="006E07F7" w:rsidRPr="00840A92" w:rsidRDefault="00D206CC">
      <w:pPr>
        <w:spacing w:after="0"/>
        <w:ind w:left="567" w:right="560"/>
        <w:jc w:val="both"/>
        <w:rPr>
          <w:rFonts w:ascii="Palatino Linotype" w:eastAsia="Palatino Linotype" w:hAnsi="Palatino Linotype" w:cs="Palatino Linotype"/>
          <w:i/>
        </w:rPr>
      </w:pPr>
      <w:r w:rsidRPr="00840A92">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840A92">
        <w:rPr>
          <w:rFonts w:ascii="Palatino Linotype" w:eastAsia="Palatino Linotype" w:hAnsi="Palatino Linotype" w:cs="Palatino Linotype"/>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840A92">
        <w:rPr>
          <w:rFonts w:ascii="Palatino Linotype" w:eastAsia="Palatino Linotype" w:hAnsi="Palatino Linotype" w:cs="Palatino Linotype"/>
          <w:i/>
        </w:rPr>
        <w:lastRenderedPageBreak/>
        <w:t>que permita al Instituto Federal de Acceso a la Información y Protección de Datos conocer, vía recurso revisión, al respecto.</w:t>
      </w:r>
    </w:p>
    <w:p w14:paraId="4358D425"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41CF7319"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Es así que, este Organismo Garante no cuenta con facultades para pronunciarse de la veracidad de la información que los sujetos obligados ponen a disposición de los particulares, aunado a ello, de conformidad con el artículo 12 de la Ley de Transparencia y Acceso a la Información Pública del Estado de México y Municipios, los sujetos obligados únicamente proporcionarán la información que se les requiera, tal como obren en sus archivos. </w:t>
      </w:r>
    </w:p>
    <w:p w14:paraId="4E7F4FE3"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05288E16"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Por lo anterior, toda vez que, el Sujeto Obligado proporcionó el documento que obra en sus archivos y que da cuenta de lo solicitado, se determina que, los agravios hechos valer por la parte Recurrente devienen </w:t>
      </w:r>
      <w:r w:rsidRPr="00840A92">
        <w:rPr>
          <w:rFonts w:ascii="Palatino Linotype" w:eastAsia="Palatino Linotype" w:hAnsi="Palatino Linotype" w:cs="Palatino Linotype"/>
          <w:b/>
          <w:sz w:val="24"/>
          <w:szCs w:val="24"/>
        </w:rPr>
        <w:t xml:space="preserve">INFUNDADOS </w:t>
      </w:r>
      <w:r w:rsidRPr="00840A92">
        <w:rPr>
          <w:rFonts w:ascii="Palatino Linotype" w:eastAsia="Palatino Linotype" w:hAnsi="Palatino Linotype" w:cs="Palatino Linotype"/>
          <w:sz w:val="24"/>
          <w:szCs w:val="24"/>
        </w:rPr>
        <w:t xml:space="preserve">y, por lo tanto, resulta procedente </w:t>
      </w:r>
      <w:r w:rsidRPr="00840A92">
        <w:rPr>
          <w:rFonts w:ascii="Palatino Linotype" w:eastAsia="Palatino Linotype" w:hAnsi="Palatino Linotype" w:cs="Palatino Linotype"/>
          <w:b/>
          <w:sz w:val="24"/>
          <w:szCs w:val="24"/>
        </w:rPr>
        <w:t xml:space="preserve">CONFIRMAR </w:t>
      </w:r>
      <w:r w:rsidRPr="00840A92">
        <w:rPr>
          <w:rFonts w:ascii="Palatino Linotype" w:eastAsia="Palatino Linotype" w:hAnsi="Palatino Linotype" w:cs="Palatino Linotype"/>
          <w:sz w:val="24"/>
          <w:szCs w:val="24"/>
        </w:rPr>
        <w:t xml:space="preserve">la respuesta emitida por el Sujeto Obligado, en términos de la fracción II del artículo 186 de la Ley de Transparencia y Acceso a la Información Pública del Estado de México y Municipios. </w:t>
      </w:r>
    </w:p>
    <w:p w14:paraId="7FDF9491" w14:textId="77777777" w:rsidR="006E07F7" w:rsidRPr="00840A92" w:rsidRDefault="006E07F7">
      <w:pPr>
        <w:spacing w:after="0" w:line="360" w:lineRule="auto"/>
        <w:jc w:val="both"/>
        <w:rPr>
          <w:rFonts w:ascii="Palatino Linotype" w:eastAsia="Palatino Linotype" w:hAnsi="Palatino Linotype" w:cs="Palatino Linotype"/>
          <w:sz w:val="24"/>
          <w:szCs w:val="24"/>
        </w:rPr>
      </w:pPr>
    </w:p>
    <w:p w14:paraId="3F536FD1" w14:textId="4B90CD99" w:rsidR="006E07F7"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D2C34A9" w14:textId="77777777" w:rsidR="00840A92" w:rsidRPr="00840A92" w:rsidRDefault="00840A92">
      <w:pPr>
        <w:spacing w:after="0" w:line="360" w:lineRule="auto"/>
        <w:ind w:right="49"/>
        <w:jc w:val="both"/>
        <w:rPr>
          <w:rFonts w:ascii="Palatino Linotype" w:eastAsia="Palatino Linotype" w:hAnsi="Palatino Linotype" w:cs="Palatino Linotype"/>
          <w:sz w:val="24"/>
          <w:szCs w:val="24"/>
        </w:rPr>
      </w:pPr>
    </w:p>
    <w:p w14:paraId="7EF5898D"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2CAAE441" w14:textId="77777777" w:rsidR="006E07F7" w:rsidRPr="00840A92" w:rsidRDefault="00D206CC">
      <w:pPr>
        <w:spacing w:after="0" w:line="360" w:lineRule="auto"/>
        <w:jc w:val="center"/>
        <w:rPr>
          <w:rFonts w:ascii="Palatino Linotype" w:eastAsia="Palatino Linotype" w:hAnsi="Palatino Linotype" w:cs="Palatino Linotype"/>
          <w:b/>
          <w:sz w:val="24"/>
          <w:szCs w:val="24"/>
        </w:rPr>
      </w:pPr>
      <w:r w:rsidRPr="00840A92">
        <w:rPr>
          <w:rFonts w:ascii="Palatino Linotype" w:eastAsia="Palatino Linotype" w:hAnsi="Palatino Linotype" w:cs="Palatino Linotype"/>
          <w:b/>
          <w:sz w:val="24"/>
          <w:szCs w:val="24"/>
        </w:rPr>
        <w:lastRenderedPageBreak/>
        <w:t>R E S U E L V E:</w:t>
      </w:r>
    </w:p>
    <w:p w14:paraId="3303592C" w14:textId="77777777" w:rsidR="006E07F7" w:rsidRPr="00840A92" w:rsidRDefault="006E07F7">
      <w:pPr>
        <w:spacing w:after="0" w:line="360" w:lineRule="auto"/>
        <w:rPr>
          <w:rFonts w:ascii="Palatino Linotype" w:eastAsia="Palatino Linotype" w:hAnsi="Palatino Linotype" w:cs="Palatino Linotype"/>
          <w:b/>
          <w:sz w:val="24"/>
          <w:szCs w:val="24"/>
        </w:rPr>
      </w:pPr>
    </w:p>
    <w:p w14:paraId="2280B25F"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 xml:space="preserve">Primero. </w:t>
      </w:r>
      <w:r w:rsidRPr="00840A92">
        <w:rPr>
          <w:rFonts w:ascii="Palatino Linotype" w:eastAsia="Palatino Linotype" w:hAnsi="Palatino Linotype" w:cs="Palatino Linotype"/>
          <w:sz w:val="24"/>
          <w:szCs w:val="24"/>
        </w:rPr>
        <w:t xml:space="preserve">Resultan </w:t>
      </w:r>
      <w:r w:rsidRPr="00840A92">
        <w:rPr>
          <w:rFonts w:ascii="Palatino Linotype" w:eastAsia="Palatino Linotype" w:hAnsi="Palatino Linotype" w:cs="Palatino Linotype"/>
          <w:b/>
          <w:sz w:val="24"/>
          <w:szCs w:val="24"/>
        </w:rPr>
        <w:t>INFUNDADOS</w:t>
      </w:r>
      <w:r w:rsidRPr="00840A92">
        <w:rPr>
          <w:rFonts w:ascii="Palatino Linotype" w:eastAsia="Palatino Linotype" w:hAnsi="Palatino Linotype" w:cs="Palatino Linotype"/>
          <w:sz w:val="24"/>
          <w:szCs w:val="24"/>
        </w:rPr>
        <w:t xml:space="preserve"> los motivos de inconformidad hechos valer por la parte </w:t>
      </w:r>
      <w:r w:rsidRPr="00840A92">
        <w:rPr>
          <w:rFonts w:ascii="Palatino Linotype" w:eastAsia="Palatino Linotype" w:hAnsi="Palatino Linotype" w:cs="Palatino Linotype"/>
          <w:b/>
          <w:sz w:val="24"/>
          <w:szCs w:val="24"/>
        </w:rPr>
        <w:t>RECURRENTE</w:t>
      </w:r>
      <w:r w:rsidRPr="00840A92">
        <w:rPr>
          <w:rFonts w:ascii="Palatino Linotype" w:eastAsia="Palatino Linotype" w:hAnsi="Palatino Linotype" w:cs="Palatino Linotype"/>
          <w:sz w:val="24"/>
          <w:szCs w:val="24"/>
        </w:rPr>
        <w:t xml:space="preserve"> en el Recurso de Revisión </w:t>
      </w:r>
      <w:r w:rsidRPr="00840A92">
        <w:rPr>
          <w:rFonts w:ascii="Palatino Linotype" w:eastAsia="Palatino Linotype" w:hAnsi="Palatino Linotype" w:cs="Palatino Linotype"/>
          <w:b/>
          <w:sz w:val="24"/>
          <w:szCs w:val="24"/>
        </w:rPr>
        <w:t>05309/INFOEM/IP/RR/2023</w:t>
      </w:r>
      <w:r w:rsidRPr="00840A92">
        <w:rPr>
          <w:rFonts w:ascii="Palatino Linotype" w:eastAsia="Palatino Linotype" w:hAnsi="Palatino Linotype" w:cs="Palatino Linotype"/>
          <w:sz w:val="24"/>
          <w:szCs w:val="24"/>
        </w:rPr>
        <w:t xml:space="preserve"> por lo que, en términos del</w:t>
      </w:r>
      <w:r w:rsidRPr="00840A92">
        <w:rPr>
          <w:rFonts w:ascii="Palatino Linotype" w:eastAsia="Palatino Linotype" w:hAnsi="Palatino Linotype" w:cs="Palatino Linotype"/>
          <w:b/>
          <w:sz w:val="24"/>
          <w:szCs w:val="24"/>
        </w:rPr>
        <w:t xml:space="preserve"> Considerando Cuarto </w:t>
      </w:r>
      <w:r w:rsidRPr="00840A92">
        <w:rPr>
          <w:rFonts w:ascii="Palatino Linotype" w:eastAsia="Palatino Linotype" w:hAnsi="Palatino Linotype" w:cs="Palatino Linotype"/>
          <w:sz w:val="24"/>
          <w:szCs w:val="24"/>
        </w:rPr>
        <w:t xml:space="preserve">de esta resolución, se </w:t>
      </w:r>
      <w:r w:rsidRPr="00840A92">
        <w:rPr>
          <w:rFonts w:ascii="Palatino Linotype" w:eastAsia="Palatino Linotype" w:hAnsi="Palatino Linotype" w:cs="Palatino Linotype"/>
          <w:b/>
          <w:sz w:val="24"/>
          <w:szCs w:val="24"/>
        </w:rPr>
        <w:t xml:space="preserve">CONFIRMA </w:t>
      </w:r>
      <w:r w:rsidRPr="00840A92">
        <w:rPr>
          <w:rFonts w:ascii="Palatino Linotype" w:eastAsia="Palatino Linotype" w:hAnsi="Palatino Linotype" w:cs="Palatino Linotype"/>
          <w:sz w:val="24"/>
          <w:szCs w:val="24"/>
        </w:rPr>
        <w:t xml:space="preserve">la respuesta emitida por el </w:t>
      </w:r>
      <w:r w:rsidRPr="00840A92">
        <w:rPr>
          <w:rFonts w:ascii="Palatino Linotype" w:eastAsia="Palatino Linotype" w:hAnsi="Palatino Linotype" w:cs="Palatino Linotype"/>
          <w:b/>
          <w:sz w:val="24"/>
          <w:szCs w:val="24"/>
        </w:rPr>
        <w:t>SUJETO OBLIGADO</w:t>
      </w:r>
      <w:r w:rsidRPr="00840A92">
        <w:rPr>
          <w:rFonts w:ascii="Palatino Linotype" w:eastAsia="Palatino Linotype" w:hAnsi="Palatino Linotype" w:cs="Palatino Linotype"/>
          <w:sz w:val="24"/>
          <w:szCs w:val="24"/>
        </w:rPr>
        <w:t>.</w:t>
      </w:r>
    </w:p>
    <w:p w14:paraId="3E47A1A1" w14:textId="77777777" w:rsidR="006E07F7" w:rsidRPr="00840A92" w:rsidRDefault="006E07F7">
      <w:pPr>
        <w:spacing w:after="0" w:line="360" w:lineRule="auto"/>
        <w:jc w:val="both"/>
        <w:rPr>
          <w:rFonts w:ascii="Palatino Linotype" w:eastAsia="Palatino Linotype" w:hAnsi="Palatino Linotype" w:cs="Palatino Linotype"/>
          <w:sz w:val="24"/>
          <w:szCs w:val="24"/>
        </w:rPr>
      </w:pPr>
    </w:p>
    <w:p w14:paraId="5D108364"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Segundo. Notifíquese vía Sistema de Acceso a la Información Mexiquense (SAIMEX)</w:t>
      </w:r>
      <w:r w:rsidRPr="00840A92">
        <w:rPr>
          <w:rFonts w:ascii="Palatino Linotype" w:eastAsia="Palatino Linotype" w:hAnsi="Palatino Linotype" w:cs="Palatino Linotype"/>
          <w:sz w:val="24"/>
          <w:szCs w:val="24"/>
        </w:rPr>
        <w:t>, al Titular de la Unidad de Transparencia del Sujeto Obligado, para su conocimiento.</w:t>
      </w:r>
    </w:p>
    <w:p w14:paraId="5D8D6E5D" w14:textId="77777777" w:rsidR="006E07F7" w:rsidRPr="00840A92" w:rsidRDefault="00D206CC">
      <w:pPr>
        <w:spacing w:after="0" w:line="360" w:lineRule="auto"/>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b/>
          <w:sz w:val="24"/>
          <w:szCs w:val="24"/>
        </w:rPr>
        <w:t xml:space="preserve">Tercero. Notifíquese vía Sistema de Acceso a la Información Mexiquense (SAIMEX) </w:t>
      </w:r>
      <w:r w:rsidRPr="00840A92">
        <w:rPr>
          <w:rFonts w:ascii="Palatino Linotype" w:eastAsia="Palatino Linotype" w:hAnsi="Palatino Linotype" w:cs="Palatino Linotype"/>
          <w:sz w:val="24"/>
          <w:szCs w:val="24"/>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15CFDA3A"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61F3A0E2" w14:textId="77777777" w:rsidR="006E07F7" w:rsidRPr="00840A92" w:rsidRDefault="00D206CC">
      <w:pPr>
        <w:spacing w:after="0" w:line="360" w:lineRule="auto"/>
        <w:ind w:right="49"/>
        <w:jc w:val="both"/>
        <w:rPr>
          <w:rFonts w:ascii="Palatino Linotype" w:eastAsia="Palatino Linotype" w:hAnsi="Palatino Linotype" w:cs="Palatino Linotype"/>
          <w:sz w:val="24"/>
          <w:szCs w:val="24"/>
        </w:rPr>
      </w:pPr>
      <w:r w:rsidRPr="00840A9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w:t>
      </w:r>
      <w:r w:rsidRPr="00840A92">
        <w:rPr>
          <w:rFonts w:ascii="Palatino Linotype" w:eastAsia="Palatino Linotype" w:hAnsi="Palatino Linotype" w:cs="Palatino Linotype"/>
          <w:sz w:val="24"/>
          <w:szCs w:val="24"/>
        </w:rPr>
        <w:lastRenderedPageBreak/>
        <w:t xml:space="preserve">VEINTICUATRO, ANTE EL SECRETARIO TÉCNICO DEL PLENO ALEXIS TAPIA RAMÍREZ. </w:t>
      </w:r>
    </w:p>
    <w:p w14:paraId="5A6FF8AF" w14:textId="77777777" w:rsidR="006E07F7" w:rsidRDefault="006E07F7">
      <w:pPr>
        <w:spacing w:after="0" w:line="360" w:lineRule="auto"/>
        <w:ind w:right="49"/>
        <w:jc w:val="both"/>
        <w:rPr>
          <w:rFonts w:ascii="Palatino Linotype" w:eastAsia="Palatino Linotype" w:hAnsi="Palatino Linotype" w:cs="Palatino Linotype"/>
          <w:sz w:val="24"/>
          <w:szCs w:val="24"/>
        </w:rPr>
      </w:pPr>
    </w:p>
    <w:p w14:paraId="425B4CA1" w14:textId="45BA3A45" w:rsidR="00CF049C" w:rsidRDefault="00CF04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60288" behindDoc="0" locked="0" layoutInCell="1" allowOverlap="1" wp14:anchorId="145A3B31" wp14:editId="75399F18">
                <wp:simplePos x="0" y="0"/>
                <wp:positionH relativeFrom="column">
                  <wp:posOffset>291464</wp:posOffset>
                </wp:positionH>
                <wp:positionV relativeFrom="paragraph">
                  <wp:posOffset>32703</wp:posOffset>
                </wp:positionV>
                <wp:extent cx="4957763" cy="5943600"/>
                <wp:effectExtent l="38100" t="19050" r="71755" b="95250"/>
                <wp:wrapNone/>
                <wp:docPr id="10" name="Conector recto 10"/>
                <wp:cNvGraphicFramePr/>
                <a:graphic xmlns:a="http://schemas.openxmlformats.org/drawingml/2006/main">
                  <a:graphicData uri="http://schemas.microsoft.com/office/word/2010/wordprocessingShape">
                    <wps:wsp>
                      <wps:cNvCnPr/>
                      <wps:spPr>
                        <a:xfrm>
                          <a:off x="0" y="0"/>
                          <a:ext cx="4957763" cy="5943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ACDD2B0" id="Conector recto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95pt,2.6pt" to="413.35pt,4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" strokecolor="#4f81bd [3204]" strokeweight="2pt">
                <v:shadow on="t" color="black" opacity="24903f" origin=",.5" offset="0,.55556mm"/>
              </v:line>
            </w:pict>
          </mc:Fallback>
        </mc:AlternateContent>
      </w:r>
    </w:p>
    <w:p w14:paraId="439792BB"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28E4EC66"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714DBE13"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4E81C182"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62E97390"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31034543"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6584EF08"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37D301FD"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350018F5"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5FCA44DF"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6DC0FEFE"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20034A44"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3944CD13"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1F7C187D"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76C42AEE"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5EAFDD27"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1BC40234"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499540FC"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7DEAD0F2"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345EC61B" w14:textId="77777777" w:rsidR="00CF049C" w:rsidRDefault="00CF049C">
      <w:pPr>
        <w:spacing w:after="0" w:line="360" w:lineRule="auto"/>
        <w:ind w:right="49"/>
        <w:jc w:val="both"/>
        <w:rPr>
          <w:rFonts w:ascii="Palatino Linotype" w:eastAsia="Palatino Linotype" w:hAnsi="Palatino Linotype" w:cs="Palatino Linotype"/>
          <w:sz w:val="24"/>
          <w:szCs w:val="24"/>
        </w:rPr>
      </w:pPr>
    </w:p>
    <w:p w14:paraId="32E2CCC1" w14:textId="77777777" w:rsidR="00CF049C" w:rsidRPr="00840A92" w:rsidRDefault="00CF049C">
      <w:pPr>
        <w:spacing w:after="0" w:line="360" w:lineRule="auto"/>
        <w:ind w:right="49"/>
        <w:jc w:val="both"/>
        <w:rPr>
          <w:rFonts w:ascii="Palatino Linotype" w:eastAsia="Palatino Linotype" w:hAnsi="Palatino Linotype" w:cs="Palatino Linotype"/>
          <w:sz w:val="24"/>
          <w:szCs w:val="24"/>
        </w:rPr>
      </w:pPr>
    </w:p>
    <w:p w14:paraId="14A431B6"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7A13C850"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63F8A3EA"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54B535C7"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46DCF11A"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p w14:paraId="251A5C2C" w14:textId="77777777" w:rsidR="006E07F7" w:rsidRPr="00840A92" w:rsidRDefault="006E07F7">
      <w:pPr>
        <w:spacing w:after="0" w:line="360" w:lineRule="auto"/>
        <w:ind w:right="49"/>
        <w:jc w:val="both"/>
        <w:rPr>
          <w:rFonts w:ascii="Palatino Linotype" w:eastAsia="Palatino Linotype" w:hAnsi="Palatino Linotype" w:cs="Palatino Linotype"/>
          <w:sz w:val="24"/>
          <w:szCs w:val="24"/>
        </w:rPr>
      </w:pPr>
    </w:p>
    <w:sectPr w:rsidR="006E07F7" w:rsidRPr="00840A92">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F785B" w14:textId="77777777" w:rsidR="00BD322C" w:rsidRDefault="00BD322C">
      <w:pPr>
        <w:spacing w:after="0" w:line="240" w:lineRule="auto"/>
      </w:pPr>
      <w:r>
        <w:separator/>
      </w:r>
    </w:p>
  </w:endnote>
  <w:endnote w:type="continuationSeparator" w:id="0">
    <w:p w14:paraId="13415993" w14:textId="77777777" w:rsidR="00BD322C" w:rsidRDefault="00BD3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3B95C" w14:textId="77777777" w:rsidR="006E07F7" w:rsidRDefault="00D206C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161BE">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61BE">
      <w:rPr>
        <w:b/>
        <w:noProof/>
        <w:color w:val="000000"/>
        <w:sz w:val="24"/>
        <w:szCs w:val="24"/>
      </w:rPr>
      <w:t>26</w:t>
    </w:r>
    <w:r>
      <w:rPr>
        <w:b/>
        <w:color w:val="000000"/>
        <w:sz w:val="24"/>
        <w:szCs w:val="24"/>
      </w:rPr>
      <w:fldChar w:fldCharType="end"/>
    </w:r>
  </w:p>
  <w:p w14:paraId="58BAF88E" w14:textId="77777777" w:rsidR="006E07F7" w:rsidRDefault="006E07F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4C302" w14:textId="77777777" w:rsidR="006E07F7" w:rsidRDefault="00D206C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161B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61BE">
      <w:rPr>
        <w:b/>
        <w:noProof/>
        <w:color w:val="000000"/>
        <w:sz w:val="24"/>
        <w:szCs w:val="24"/>
      </w:rPr>
      <w:t>26</w:t>
    </w:r>
    <w:r>
      <w:rPr>
        <w:b/>
        <w:color w:val="000000"/>
        <w:sz w:val="24"/>
        <w:szCs w:val="24"/>
      </w:rPr>
      <w:fldChar w:fldCharType="end"/>
    </w:r>
  </w:p>
  <w:p w14:paraId="78BA15C4" w14:textId="77777777" w:rsidR="006E07F7" w:rsidRDefault="006E07F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16B6D" w14:textId="77777777" w:rsidR="00BD322C" w:rsidRDefault="00BD322C">
      <w:pPr>
        <w:spacing w:after="0" w:line="240" w:lineRule="auto"/>
      </w:pPr>
      <w:r>
        <w:separator/>
      </w:r>
    </w:p>
  </w:footnote>
  <w:footnote w:type="continuationSeparator" w:id="0">
    <w:p w14:paraId="12106079" w14:textId="77777777" w:rsidR="00BD322C" w:rsidRDefault="00BD3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8A9A6" w14:textId="77777777" w:rsidR="006E07F7" w:rsidRDefault="00D206CC">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73B788CB" wp14:editId="6307CF27">
          <wp:simplePos x="0" y="0"/>
          <wp:positionH relativeFrom="column">
            <wp:posOffset>-717549</wp:posOffset>
          </wp:positionH>
          <wp:positionV relativeFrom="paragraph">
            <wp:posOffset>-250189</wp:posOffset>
          </wp:positionV>
          <wp:extent cx="7809876" cy="1016582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6E07F7" w14:paraId="730F8648" w14:textId="77777777">
      <w:tc>
        <w:tcPr>
          <w:tcW w:w="2551" w:type="dxa"/>
          <w:vAlign w:val="center"/>
        </w:tcPr>
        <w:p w14:paraId="47A12044" w14:textId="77777777" w:rsidR="006E07F7" w:rsidRDefault="00D206C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B5FBE2D" w14:textId="77777777" w:rsidR="006E07F7" w:rsidRDefault="00D206C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05309/INFOEM/IP/RR/2023</w:t>
          </w:r>
        </w:p>
      </w:tc>
    </w:tr>
    <w:tr w:rsidR="006E07F7" w14:paraId="6293CF11" w14:textId="77777777">
      <w:trPr>
        <w:trHeight w:val="217"/>
      </w:trPr>
      <w:tc>
        <w:tcPr>
          <w:tcW w:w="2551" w:type="dxa"/>
          <w:vAlign w:val="center"/>
        </w:tcPr>
        <w:p w14:paraId="359F725E" w14:textId="77777777" w:rsidR="006E07F7" w:rsidRDefault="00D206C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0F33D84" w14:textId="77777777" w:rsidR="006E07F7" w:rsidRDefault="006E07F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E8BC1BA" w14:textId="77777777" w:rsidR="006E07F7" w:rsidRDefault="00D206CC">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6E07F7" w14:paraId="23E6BFC8" w14:textId="77777777">
      <w:tc>
        <w:tcPr>
          <w:tcW w:w="2551" w:type="dxa"/>
          <w:vAlign w:val="center"/>
        </w:tcPr>
        <w:p w14:paraId="5B7B987D" w14:textId="77777777" w:rsidR="006E07F7" w:rsidRDefault="00D206C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F95E108" w14:textId="77777777" w:rsidR="006E07F7" w:rsidRDefault="00D206C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6582742" w14:textId="77777777" w:rsidR="006E07F7" w:rsidRDefault="006E07F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B175B" w14:textId="77777777" w:rsidR="006E07F7" w:rsidRDefault="00D206CC">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DA2EB4D" wp14:editId="2E29C489">
          <wp:simplePos x="0" y="0"/>
          <wp:positionH relativeFrom="column">
            <wp:posOffset>-725804</wp:posOffset>
          </wp:positionH>
          <wp:positionV relativeFrom="paragraph">
            <wp:posOffset>-29843</wp:posOffset>
          </wp:positionV>
          <wp:extent cx="7809865" cy="1016571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603" w:type="dxa"/>
      <w:tblInd w:w="3611" w:type="dxa"/>
      <w:tblLayout w:type="fixed"/>
      <w:tblLook w:val="0400" w:firstRow="0" w:lastRow="0" w:firstColumn="0" w:lastColumn="0" w:noHBand="0" w:noVBand="1"/>
    </w:tblPr>
    <w:tblGrid>
      <w:gridCol w:w="2551"/>
      <w:gridCol w:w="3052"/>
    </w:tblGrid>
    <w:tr w:rsidR="006E07F7" w14:paraId="1DDC03DC" w14:textId="77777777">
      <w:tc>
        <w:tcPr>
          <w:tcW w:w="2551" w:type="dxa"/>
          <w:vAlign w:val="center"/>
        </w:tcPr>
        <w:p w14:paraId="7B7BD44C" w14:textId="77777777" w:rsidR="006E07F7" w:rsidRDefault="00D206C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88C6A6F" w14:textId="77777777" w:rsidR="006E07F7" w:rsidRDefault="00D206C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05309/INFOEM/IP/RR/2023</w:t>
          </w:r>
        </w:p>
      </w:tc>
    </w:tr>
    <w:tr w:rsidR="006E07F7" w14:paraId="394FD1D5" w14:textId="77777777">
      <w:tc>
        <w:tcPr>
          <w:tcW w:w="2551" w:type="dxa"/>
          <w:vAlign w:val="center"/>
        </w:tcPr>
        <w:p w14:paraId="1C8CD91A" w14:textId="77777777" w:rsidR="006E07F7" w:rsidRDefault="00D206C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2718D8A" w14:textId="10C0CC74" w:rsidR="006E07F7" w:rsidRDefault="00B161BE" w:rsidP="00B161B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 XXXX XXXXXXX</w:t>
          </w:r>
        </w:p>
      </w:tc>
    </w:tr>
    <w:tr w:rsidR="006E07F7" w14:paraId="48125315" w14:textId="77777777">
      <w:trPr>
        <w:trHeight w:val="152"/>
      </w:trPr>
      <w:tc>
        <w:tcPr>
          <w:tcW w:w="2551" w:type="dxa"/>
          <w:vAlign w:val="center"/>
        </w:tcPr>
        <w:p w14:paraId="4631A508" w14:textId="77777777" w:rsidR="006E07F7" w:rsidRDefault="00D206CC">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994F6C6" w14:textId="77777777" w:rsidR="006E07F7" w:rsidRDefault="006E07F7">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2CC0616" w14:textId="77777777" w:rsidR="006E07F7" w:rsidRDefault="00D206CC">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6E07F7" w14:paraId="039B24BD" w14:textId="77777777">
      <w:tc>
        <w:tcPr>
          <w:tcW w:w="2551" w:type="dxa"/>
          <w:vAlign w:val="center"/>
        </w:tcPr>
        <w:p w14:paraId="020A2559" w14:textId="77777777" w:rsidR="006E07F7" w:rsidRDefault="00D206C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A477D34" w14:textId="77777777" w:rsidR="006E07F7" w:rsidRDefault="00D206C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1DD1FE7" w14:textId="77777777" w:rsidR="006E07F7" w:rsidRDefault="00D206CC">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5376A"/>
    <w:multiLevelType w:val="multilevel"/>
    <w:tmpl w:val="3DF2C08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2F4A69"/>
    <w:multiLevelType w:val="multilevel"/>
    <w:tmpl w:val="EAF20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B27F06"/>
    <w:multiLevelType w:val="multilevel"/>
    <w:tmpl w:val="9F3E9A1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4443395"/>
    <w:multiLevelType w:val="multilevel"/>
    <w:tmpl w:val="433E2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F7"/>
    <w:rsid w:val="00174D55"/>
    <w:rsid w:val="006E07F7"/>
    <w:rsid w:val="00840A92"/>
    <w:rsid w:val="00B161BE"/>
    <w:rsid w:val="00B95F99"/>
    <w:rsid w:val="00BD322C"/>
    <w:rsid w:val="00C43E9E"/>
    <w:rsid w:val="00CF049C"/>
    <w:rsid w:val="00D20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956D"/>
  <w15:docId w15:val="{2CE0E3FD-D0DE-4C4C-AF10-22292955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B161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61BE"/>
  </w:style>
  <w:style w:type="paragraph" w:styleId="Piedepgina">
    <w:name w:val="footer"/>
    <w:basedOn w:val="Normal"/>
    <w:link w:val="PiedepginaCar"/>
    <w:uiPriority w:val="99"/>
    <w:unhideWhenUsed/>
    <w:rsid w:val="00B161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ZrqB4zJdlYQti21D4fM50MEdvw==">CgMxLjAyCWguMzBqMHpsbDIIaC5namRneHM4AHIhMWdjb2hIc0FEUU1oaU9hME04YXVacjJhOVVMdDdaT2VV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5763</Words>
  <Characters>31700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2024-01-19T16:41:00Z</cp:lastPrinted>
  <dcterms:created xsi:type="dcterms:W3CDTF">2024-01-24T23:45:00Z</dcterms:created>
  <dcterms:modified xsi:type="dcterms:W3CDTF">2024-01-24T23:45:00Z</dcterms:modified>
</cp:coreProperties>
</file>