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seis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05514/INFOEM/IP/RR/2024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una persona que no proporcionó nombre o seudónimo,</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Ayuntamiento de Tenango del Valle,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veintinueve de agosto de 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tl w:val="0"/>
        </w:rPr>
        <w:t xml:space="preserve"> </w:t>
      </w:r>
      <w:r w:rsidDel="00000000" w:rsidR="00000000" w:rsidRPr="00000000">
        <w:rPr>
          <w:rFonts w:ascii="Palatino Linotype" w:cs="Palatino Linotype" w:eastAsia="Palatino Linotype" w:hAnsi="Palatino Linotype"/>
          <w:b w:val="1"/>
          <w:sz w:val="22"/>
          <w:szCs w:val="22"/>
          <w:rtl w:val="0"/>
        </w:rPr>
        <w:t xml:space="preserve">00225/TENAVALL/IP/2024,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“Se solicita conocer el estatus legal actual y los datos generales del predio ubicado sobre Prolongación Miguel Hidalgo, municipio de Tenango del Valle, para pronta referencia, dentro de las coordenadas XXXXXXXXXXXXXXXXXXXXXXXXXXXXXXXX que se desprende y está en XXXXXXXXXXXXXXXXXXXXXXXXXXXXXXXX. Toda la propiedad antes perteneciente al XX XXXXXXXX XXXXX XXXXXXX. Los datos que se deberán proporcionar son: </w:t>
      </w:r>
      <w:r w:rsidDel="00000000" w:rsidR="00000000" w:rsidRPr="00000000">
        <w:rPr>
          <w:rFonts w:ascii="Palatino Linotype" w:cs="Palatino Linotype" w:eastAsia="Palatino Linotype" w:hAnsi="Palatino Linotype"/>
          <w:b w:val="1"/>
          <w:i w:val="1"/>
          <w:sz w:val="22"/>
          <w:szCs w:val="22"/>
          <w:u w:val="single"/>
          <w:rtl w:val="0"/>
        </w:rPr>
        <w:t xml:space="preserve">- Uso actual de suelo. Últimos permisos de construcción (del 2020 al 2024). - No. de escritura pública debidamente inscrita en el Registro Público de la Propiedad. - Nombre del propietario actual y/o instrumento utilizado para el último cambio de dominio</w:t>
      </w:r>
      <w:r w:rsidDel="00000000" w:rsidR="00000000" w:rsidRPr="00000000">
        <w:rPr>
          <w:rFonts w:ascii="Palatino Linotype" w:cs="Palatino Linotype" w:eastAsia="Palatino Linotype" w:hAnsi="Palatino Linotype"/>
          <w:i w:val="1"/>
          <w:sz w:val="22"/>
          <w:szCs w:val="22"/>
          <w:rtl w:val="0"/>
        </w:rPr>
        <w:t xml:space="preserve">. Se adjuntan imágenes para pronta referencia; imagen satelital (1) y croquis de la propiedad (2) y Fraccionamiento el Sauco (3,4,5,6,7).” (Sic) </w:t>
      </w:r>
    </w:p>
    <w:p w:rsidR="00000000" w:rsidDel="00000000" w:rsidP="00000000" w:rsidRDefault="00000000" w:rsidRPr="00000000" w14:paraId="00000006">
      <w:pPr>
        <w:spacing w:after="240" w:before="240" w:line="276"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la persona solicitante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proporcionó el archivo electrónico denominado “</w:t>
      </w:r>
      <w:r w:rsidDel="00000000" w:rsidR="00000000" w:rsidRPr="00000000">
        <w:rPr>
          <w:rFonts w:ascii="Palatino Linotype" w:cs="Palatino Linotype" w:eastAsia="Palatino Linotype" w:hAnsi="Palatino Linotype"/>
          <w:b w:val="1"/>
          <w:i w:val="1"/>
          <w:sz w:val="22"/>
          <w:szCs w:val="22"/>
          <w:rtl w:val="0"/>
        </w:rPr>
        <w:t xml:space="preserve">SAIMEX 28-24.pdf”, </w:t>
      </w:r>
      <w:r w:rsidDel="00000000" w:rsidR="00000000" w:rsidRPr="00000000">
        <w:rPr>
          <w:rFonts w:ascii="Palatino Linotype" w:cs="Palatino Linotype" w:eastAsia="Palatino Linotype" w:hAnsi="Palatino Linotype"/>
          <w:sz w:val="22"/>
          <w:szCs w:val="22"/>
          <w:rtl w:val="0"/>
        </w:rPr>
        <w:t xml:space="preserve">que contiene la siguiente información:</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927" w:right="90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Escrito libre, a través del cual el particular indica los datos que requiere con motivo de la solicitud:</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27" w:right="902"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4420238" cy="1114586"/>
            <wp:effectExtent b="3175" l="3175" r="3175" t="3175"/>
            <wp:docPr id="4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420238" cy="1114586"/>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927" w:right="902"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Imágenes del programa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Google Maps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respecto del inmueble respecto del cual se requiere la información.</w:t>
      </w:r>
    </w:p>
    <w:p w:rsidR="00000000" w:rsidDel="00000000" w:rsidP="00000000" w:rsidRDefault="00000000" w:rsidRPr="00000000" w14:paraId="0000000A">
      <w:pPr>
        <w:spacing w:after="240" w:before="240" w:line="360" w:lineRule="auto"/>
        <w:ind w:right="902"/>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w:t>
      </w:r>
      <w:r w:rsidDel="00000000" w:rsidR="00000000" w:rsidRPr="00000000">
        <w:rPr>
          <w:rFonts w:ascii="Palatino Linotype" w:cs="Palatino Linotype" w:eastAsia="Palatino Linotype" w:hAnsi="Palatino Linotype"/>
          <w:b w:val="1"/>
          <w:sz w:val="22"/>
          <w:szCs w:val="22"/>
          <w:rtl w:val="0"/>
        </w:rPr>
        <w:t xml:space="preserve">de SAIMEX.</w:t>
      </w:r>
      <w:r w:rsidDel="00000000" w:rsidR="00000000" w:rsidRPr="00000000">
        <w:rPr>
          <w:rtl w:val="0"/>
        </w:rPr>
      </w:r>
    </w:p>
    <w:p w:rsidR="00000000" w:rsidDel="00000000" w:rsidP="00000000" w:rsidRDefault="00000000" w:rsidRPr="00000000" w14:paraId="0000000B">
      <w:pPr>
        <w:numPr>
          <w:ilvl w:val="0"/>
          <w:numId w:val="12"/>
        </w:numPr>
        <w:pBdr>
          <w:top w:space="0" w:sz="0" w:val="nil"/>
          <w:left w:space="0" w:sz="0" w:val="nil"/>
          <w:bottom w:space="0" w:sz="0" w:val="nil"/>
          <w:right w:space="0" w:sz="0" w:val="nil"/>
          <w:between w:space="0" w:sz="0" w:val="nil"/>
        </w:pBdr>
        <w:tabs>
          <w:tab w:val="left" w:leader="none" w:pos="142"/>
          <w:tab w:val="left" w:leader="none" w:pos="284"/>
        </w:tabs>
        <w:spacing w:after="240" w:before="240" w:line="360" w:lineRule="auto"/>
        <w:ind w:left="0" w:firstLine="0"/>
        <w:jc w:val="both"/>
        <w:rPr>
          <w:rFonts w:ascii="Palatino Linotype" w:cs="Palatino Linotype" w:eastAsia="Palatino Linotype" w:hAnsi="Palatino Linotype"/>
          <w:b w:val="1"/>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cuatro de septiembre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remite oficio de contestación a la solicitud de información” (Sic)</w:t>
      </w:r>
    </w:p>
    <w:p w:rsidR="00000000" w:rsidDel="00000000" w:rsidP="00000000" w:rsidRDefault="00000000" w:rsidRPr="00000000" w14:paraId="0000000D">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 la respuesta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aportó los archivos electrónicos que contienen la información siguiente:</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00225.pdf: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30 de agosto de 2024, a través del cual el Coordinador de Catastro Municipal informó que, toda vez que en el caso se precisó la ubicación de la propiedad de la cual se requiere la información, tomando como base el archivo adjunto por el solicitante, las coordenadas e imágenes proporcionadas, se hacía del conocimiento que no se tiene expediente relacionado a dicha propiedad, por lo cual no era posible remitir la información al respecto.</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of_330.pdf: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04 de septiembre de 2024, a través del cual el Director de Desarrollo Urbano, sobre la solicitud de información en la parte relativa 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SOLICITO el uso actual del suelo y últimos permisos de construcción (del 2020 al 2024) del predio ubicado sobre Prolongación Miguel Hidalgo, Municipio de Tenango del Valle, predio actualmente denominado Fraccionamiento el SAUCO </w:t>
      </w:r>
      <w:r w:rsidDel="00000000" w:rsidR="00000000" w:rsidRPr="00000000">
        <w:rPr>
          <w:rFonts w:ascii="Palatino Linotype" w:cs="Palatino Linotype" w:eastAsia="Palatino Linotype" w:hAnsi="Palatino Linotype"/>
          <w:i w:val="1"/>
          <w:sz w:val="22"/>
          <w:szCs w:val="22"/>
          <w:rtl w:val="0"/>
        </w:rPr>
        <w:t xml:space="preserve">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informaba que se realizó una búsqueda exhaustiva en los archivos de dicha Dirección y no se encontró algún permiso de construcción del inmueble en mención del año 2020 al 2024.</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se indicó que dicho predio se encontraba en la siguiente clasificación: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191874" cy="1686168"/>
            <wp:effectExtent b="3175" l="3175" r="3175" t="3175"/>
            <wp:docPr id="4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91874" cy="1686168"/>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Contest 225.pdf: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04 de septiembre de 2024, a través del cual la Titular de la Unidad de Transparencia informó al solicitante que remitía las respuesta de los servidores públicos habilitados de la Coordinación de Catastro Municipal, así como de la Dirección de Desarrollo Urbano.</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cinco de septiembre de 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9">
      <w:pPr>
        <w:tabs>
          <w:tab w:val="left" w:leader="none" w:pos="2745"/>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“of_330.pdf Razones o Motivos de la Inconformidad: La entrega de información no corresponde con lo solicitado.” (Sic)</w:t>
      </w:r>
      <w:r w:rsidDel="00000000" w:rsidR="00000000" w:rsidRPr="00000000">
        <w:rPr>
          <w:rtl w:val="0"/>
        </w:rPr>
      </w:r>
    </w:p>
    <w:p w:rsidR="00000000" w:rsidDel="00000000" w:rsidP="00000000" w:rsidRDefault="00000000" w:rsidRPr="00000000" w14:paraId="0000001A">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 DESCRIPCIÓN CLARA Y PRECISA DE LA INFORMACIÓN SOLICITADA dice: "Se solicita conocer el estatus legal actual y los datos generales del predio ubicado sobre Prolongación Miguel Hidalgo, municipio de Tenango del Valle, para pronta referencia, dentro de las coordenadas XXXXXXXXXXXXXXXXXXXXXXXXXXXXXXXX que se desprende y está en XXXXXXXXXXXXXXXXXXXXXXXXXXXXXXXX. Toda la propiedad antes perteneciente al XX XXXXXXXX XXXXX XXXXXXX". </w:t>
      </w:r>
      <w:r w:rsidDel="00000000" w:rsidR="00000000" w:rsidRPr="00000000">
        <w:rPr>
          <w:rFonts w:ascii="Palatino Linotype" w:cs="Palatino Linotype" w:eastAsia="Palatino Linotype" w:hAnsi="Palatino Linotype"/>
          <w:b w:val="1"/>
          <w:i w:val="1"/>
          <w:sz w:val="22"/>
          <w:szCs w:val="22"/>
          <w:rtl w:val="0"/>
        </w:rPr>
        <w:t xml:space="preserve">La información proporcionada hace mención al Fraccionamiento el SAUCO con número exterior 223,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solamente como referencia, sin embargo, la solicitud requiere los datos concernientes al predio que se desprende y se encuentra en la parte exterior del predio en mención, señalado en el croquis, así como, en la imagen satelital.”</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01B">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C">
      <w:pPr>
        <w:spacing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Adjunto al formato de interposición de recurso de revisión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proporcionó los siguientes documentos:</w:t>
      </w:r>
    </w:p>
    <w:p w:rsidR="00000000" w:rsidDel="00000000" w:rsidP="00000000" w:rsidRDefault="00000000" w:rsidRPr="00000000" w14:paraId="0000001D">
      <w:pPr>
        <w:spacing w:line="276" w:lineRule="auto"/>
        <w:ind w:left="567"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927"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Acuse de la solicitud de información que nos ocupa.</w:t>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927" w:right="90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del 04 de septiembre de 2024, a través del cual el Director de Desarrollo Urbano emite respuesta a la solicitud.</w:t>
      </w:r>
    </w:p>
    <w:p w:rsidR="00000000" w:rsidDel="00000000" w:rsidP="00000000" w:rsidRDefault="00000000" w:rsidRPr="00000000" w14:paraId="00000020">
      <w:pP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2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diez de septiembre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2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 </w:t>
      </w:r>
      <w:r w:rsidDel="00000000" w:rsidR="00000000" w:rsidRPr="00000000">
        <w:rPr>
          <w:rFonts w:ascii="Palatino Linotype" w:cs="Palatino Linotype" w:eastAsia="Palatino Linotype" w:hAnsi="Palatino Linotype"/>
          <w:b w:val="1"/>
          <w:sz w:val="22"/>
          <w:szCs w:val="22"/>
          <w:rtl w:val="0"/>
        </w:rPr>
        <w:t xml:space="preserve">once de septiembre de dos mil veinticuatro </w:t>
      </w:r>
      <w:r w:rsidDel="00000000" w:rsidR="00000000" w:rsidRPr="00000000">
        <w:rPr>
          <w:rFonts w:ascii="Palatino Linotype" w:cs="Palatino Linotype" w:eastAsia="Palatino Linotype" w:hAnsi="Palatino Linotype"/>
          <w:sz w:val="22"/>
          <w:szCs w:val="22"/>
          <w:rtl w:val="0"/>
        </w:rPr>
        <w:t xml:space="preserve">rindió su informe justificado, a través de los archivos electrónicos que contienen la información siguiente:</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de Turno TDV_UTAI_1075_2024.pdf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del 29 de agosto de 2024, a través del cual la Titular de la Unidad de Transparencia turnó a la Dirección de Desarrollo Urbano la solicitud de información para que proporcionara el uso actual del suelo y los últimos permisos de construcción (del 2020 al 2024), del predio requerido.</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Manif.e.Inf.Just.R.R.05514_2024.pdf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del 11 de septiembre de 2024, a través del cual la Titular de la Unidad de Transparencia rinde informe justificado dentro del recurso de revisión, en el que medularmente señala que atendiendo la información proporcionada por los servidores públicos habilitados competentes, se indicaba lo siguiente: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En primer lugar</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que atendiendo que en el caso se impugnó el oficio de respuesta de la Dirección de Desarrollo Urbano, el presente medio de impugnación le fue notificado a dicha área, misma que mediante diverso oficio del 11 de septiembre de 2024 señaló que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sobre el uso actual del suelo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predio ubicado sobre Prolongación Miguel Hidalgo, municipio de Tenango del Valle, dentro de las coordenadas </w:t>
      </w:r>
      <w:r w:rsidDel="00000000" w:rsidR="00000000" w:rsidRPr="00000000">
        <w:rPr>
          <w:rFonts w:ascii="Palatino Linotype" w:cs="Palatino Linotype" w:eastAsia="Palatino Linotype" w:hAnsi="Palatino Linotype"/>
          <w:b w:val="1"/>
          <w:sz w:val="22"/>
          <w:szCs w:val="22"/>
          <w:rtl w:val="0"/>
        </w:rPr>
        <w:t xml:space="preserve">XXXXXXXXXXXXXXXXXXXXXXXXXXXXXXXX</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que se desprende y está en la parte exterior del predio actualmente denominado Fraccionamiento el SAUCO con </w:t>
      </w:r>
      <w:r w:rsidDel="00000000" w:rsidR="00000000" w:rsidRPr="00000000">
        <w:rPr>
          <w:rFonts w:ascii="Palatino Linotype" w:cs="Palatino Linotype" w:eastAsia="Palatino Linotype" w:hAnsi="Palatino Linotype"/>
          <w:b w:val="1"/>
          <w:sz w:val="22"/>
          <w:szCs w:val="22"/>
          <w:rtl w:val="0"/>
        </w:rPr>
        <w:t xml:space="preserve">XXXXXXXXXXX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tomando como base el archivo adjunto, las coordenadas e imágenes fotográficas proporcionadas por el particular, la propiedad de la cual se requiere la información se encuentra en la siguiente clasificación de uso de suelo: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center"/>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201376" cy="2219635"/>
            <wp:effectExtent b="3175" l="3175" r="3175" t="3175"/>
            <wp:docPr id="4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01376" cy="2219635"/>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Sobre el requerimiento relativo a los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últimos permisos de construcción (del 2020 al 2024)</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 relación al predio indicado, derivado de la búsqueda exhaustiva en los archivos que obran en la Dirección de Desarrollo Urbano del año 2020 al 2024 no se encontró algún permiso de construcción de la propiedad de la que el solicitante pide la información.</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segundo lugar, que tomando atendiendo lo informado por la Coordinación de Catastro Municipal de Tenango del Valle, sobre los requerimientos relativos a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 De escritura pública debidamente inscrita en el Registro Público de la Propiedad</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y “</w:t>
      </w: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Nombre del propietario actual y/o instrumento utilizado para el último cambio de dominio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 relación al predio solicitado, se indicó que no se tiene expediente relacionado con dicha propiedad y por tanto no era posible remitir información respecto al número de escritura inscrita en el Registro Público de la Propiedad, ni respecto al instrumento utilizado para el último cambio de dominio.</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se indicó que, sobre el requerimiento relativo al nombre del propietario actual y/o instrumento utilizado para el último cambio de dominio, no obstante que no se tiene expediente relacionado con la propiedad referida por el particular, también era oportuno indicarle al solicitante que al atenderse cualquier solicitud de información pública, no se podían proporcionar datos personales como el nombre de una persona física por ser información confidencial.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de Turno TDV_UTAI_1074_2024.pdf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del 29 de agosto de 2024, a través del cual la Titular de la Unidad de Transparencia turnó a la Coordinación de Catastro la solicitud de información para que proporcionara el No. De escritura pública debidamente inscrita en el Registro Público de la Propiedad y el instrumento utilizado para el último cambio de dominio.</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Oficio DDUMTV_336_2024.pdf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Oficio del 11 de septiembre de 2024, a través del cual el Director de Desarrollo Urbano con relación al recurso de revisión de nuestra atención señaló que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sobre el uso actual del suelo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del predio ubicado sobre Prolongación Miguel Hidalgo, municipio de Tenango del Valle, dentro de las coordenadas </w:t>
      </w:r>
      <w:r w:rsidDel="00000000" w:rsidR="00000000" w:rsidRPr="00000000">
        <w:rPr>
          <w:rFonts w:ascii="Palatino Linotype" w:cs="Palatino Linotype" w:eastAsia="Palatino Linotype" w:hAnsi="Palatino Linotype"/>
          <w:b w:val="1"/>
          <w:sz w:val="22"/>
          <w:szCs w:val="22"/>
          <w:rtl w:val="0"/>
        </w:rPr>
        <w:t xml:space="preserve">XXXXXXXXXXXXXXXXXXXXXXXXXXXXXXXX</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que se desprende y está en la parte exterior del predio actualmente denominado Fraccionamiento el SAUCO con </w:t>
      </w:r>
      <w:r w:rsidDel="00000000" w:rsidR="00000000" w:rsidRPr="00000000">
        <w:rPr>
          <w:rFonts w:ascii="Palatino Linotype" w:cs="Palatino Linotype" w:eastAsia="Palatino Linotype" w:hAnsi="Palatino Linotype"/>
          <w:b w:val="1"/>
          <w:sz w:val="22"/>
          <w:szCs w:val="22"/>
          <w:rtl w:val="0"/>
        </w:rPr>
        <w:t xml:space="preserve">XXXXXXXXXXX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tomando como base el archivo adjunto, las coordenadas e imágenes fotográficas proporcionadas por el particular, la propiedad de la cual se requiere la información se encuentra en la clasificación de uso de suelo antes indicada.</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que sobre el requerimiento relativo a los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últimos permisos de construcción (del 2020 al 2024)</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con relación al predio indicado, derivado de la búsqueda exhaustiva en los archivos que obran en la Dirección de Desarrollo Urbano del año 2020 al 2024 no se encontró algún permiso de construcción de la propiedad de la que el solicitante pide la información.</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documentos indicados fueron puestos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para efecto de que hiciera valer manifestaciones o rindiera alegatos que conforme a derecho resultaran procedentes; no obstante, fue omisa en ejercer dicha prerrogativa.</w:t>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left" w:leader="none" w:pos="360"/>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Ampliación del plazo. </w:t>
      </w:r>
      <w:r w:rsidDel="00000000" w:rsidR="00000000" w:rsidRPr="00000000">
        <w:rPr>
          <w:rFonts w:ascii="Palatino Linotype" w:cs="Palatino Linotype" w:eastAsia="Palatino Linotype" w:hAnsi="Palatino Linotype"/>
          <w:sz w:val="22"/>
          <w:szCs w:val="22"/>
          <w:rtl w:val="0"/>
        </w:rPr>
        <w:t xml:space="preserve">El</w:t>
      </w:r>
      <w:r w:rsidDel="00000000" w:rsidR="00000000" w:rsidRPr="00000000">
        <w:rPr>
          <w:rFonts w:ascii="Palatino Linotype" w:cs="Palatino Linotype" w:eastAsia="Palatino Linotype" w:hAnsi="Palatino Linotype"/>
          <w:b w:val="1"/>
          <w:sz w:val="22"/>
          <w:szCs w:val="22"/>
          <w:rtl w:val="0"/>
        </w:rPr>
        <w:t xml:space="preserve"> treinta y uno de octubre de dos mil veinticuatro</w:t>
      </w:r>
      <w:r w:rsidDel="00000000" w:rsidR="00000000" w:rsidRPr="00000000">
        <w:rPr>
          <w:rFonts w:ascii="Palatino Linotype" w:cs="Palatino Linotype" w:eastAsia="Palatino Linotype" w:hAnsi="Palatino Linotype"/>
          <w:sz w:val="22"/>
          <w:szCs w:val="22"/>
          <w:rtl w:val="0"/>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000000" w:rsidDel="00000000" w:rsidP="00000000" w:rsidRDefault="00000000" w:rsidRPr="00000000" w14:paraId="0000003D">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8.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sz w:val="22"/>
          <w:szCs w:val="22"/>
          <w:rtl w:val="0"/>
        </w:rPr>
        <w:t xml:space="preserve">seis 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4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cuatro de septiembre 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se tuvo por presentado el </w:t>
      </w:r>
      <w:r w:rsidDel="00000000" w:rsidR="00000000" w:rsidRPr="00000000">
        <w:rPr>
          <w:rFonts w:ascii="Palatino Linotype" w:cs="Palatino Linotype" w:eastAsia="Palatino Linotype" w:hAnsi="Palatino Linotype"/>
          <w:b w:val="1"/>
          <w:sz w:val="22"/>
          <w:szCs w:val="22"/>
          <w:rtl w:val="0"/>
        </w:rPr>
        <w:t xml:space="preserve">cinco de septiembre de dos mil veinticuatro, </w:t>
      </w:r>
      <w:r w:rsidDel="00000000" w:rsidR="00000000" w:rsidRPr="00000000">
        <w:rPr>
          <w:rFonts w:ascii="Palatino Linotype" w:cs="Palatino Linotype" w:eastAsia="Palatino Linotype" w:hAnsi="Palatino Linotype"/>
          <w:sz w:val="22"/>
          <w:szCs w:val="22"/>
          <w:rtl w:val="0"/>
        </w:rPr>
        <w:t xml:space="preserve">esto es, al primer día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hábil siguiente a aquel en que se tuvo conocimiento de la respuesta impugnada. </w:t>
      </w:r>
    </w:p>
    <w:p w:rsidR="00000000" w:rsidDel="00000000" w:rsidP="00000000" w:rsidRDefault="00000000" w:rsidRPr="00000000" w14:paraId="0000004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4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B">
      <w:pPr>
        <w:tabs>
          <w:tab w:val="left" w:leader="none" w:pos="7938"/>
        </w:tabs>
        <w:spacing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4C">
      <w:pPr>
        <w:tabs>
          <w:tab w:val="left" w:leader="none" w:pos="793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es de suma importancia mencionar que, si bien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no proporcionó nombre</w:t>
      </w:r>
      <w:r w:rsidDel="00000000" w:rsidR="00000000" w:rsidRPr="00000000">
        <w:rPr>
          <w:rFonts w:ascii="Palatino Linotype" w:cs="Palatino Linotype" w:eastAsia="Palatino Linotype" w:hAnsi="Palatino Linotype"/>
          <w:sz w:val="22"/>
          <w:szCs w:val="22"/>
          <w:rtl w:val="0"/>
        </w:rPr>
        <w:t xml:space="preserve"> como se advierte en el detalle de seguimiento del SAIMEX;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line="276"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Las solicitudes 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w:t>
      </w:r>
      <w:r w:rsidDel="00000000" w:rsidR="00000000" w:rsidRPr="00000000">
        <w:rPr>
          <w:rFonts w:ascii="Palatino Linotype" w:cs="Palatino Linotype" w:eastAsia="Palatino Linotype" w:hAnsi="Palatino Linotype"/>
          <w:b w:val="1"/>
          <w:i w:val="1"/>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sz w:val="22"/>
          <w:szCs w:val="22"/>
          <w:rtl w:val="0"/>
        </w:rPr>
        <w:t xml:space="preserv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VI del ordenamiento legal citado, que a la letra dice: </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4">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5">
      <w:pPr>
        <w:ind w:lef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La entrega de información que no corresponda con lo solicitado;”</w:t>
      </w:r>
      <w:r w:rsidDel="00000000" w:rsidR="00000000" w:rsidRPr="00000000">
        <w:rPr>
          <w:rtl w:val="0"/>
        </w:rPr>
      </w:r>
    </w:p>
    <w:p w:rsidR="00000000" w:rsidDel="00000000" w:rsidP="00000000" w:rsidRDefault="00000000" w:rsidRPr="00000000" w14:paraId="00000056">
      <w:pPr>
        <w:ind w:left="567" w:firstLine="0"/>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57">
      <w:pPr>
        <w:ind w:left="567" w:firstLine="0"/>
        <w:jc w:val="right"/>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5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Análisis de las causales de improcedencia y sobreseimiento del recurso de revisión.</w:t>
      </w:r>
      <w:r w:rsidDel="00000000" w:rsidR="00000000" w:rsidRPr="00000000">
        <w:rPr>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00000" w:rsidDel="00000000" w:rsidP="00000000" w:rsidRDefault="00000000" w:rsidRPr="00000000" w14:paraId="0000005A">
      <w:pPr>
        <w:spacing w:line="360" w:lineRule="auto"/>
        <w:jc w:val="both"/>
        <w:rPr>
          <w:sz w:val="22"/>
          <w:szCs w:val="22"/>
        </w:rPr>
      </w:pPr>
      <w:r w:rsidDel="00000000" w:rsidR="00000000" w:rsidRPr="00000000">
        <w:rPr>
          <w:rtl w:val="0"/>
        </w:rPr>
      </w:r>
    </w:p>
    <w:p w:rsidR="00000000" w:rsidDel="00000000" w:rsidP="00000000" w:rsidRDefault="00000000" w:rsidRPr="00000000" w14:paraId="0000005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000000" w:rsidDel="00000000" w:rsidP="00000000" w:rsidRDefault="00000000" w:rsidRPr="00000000" w14:paraId="0000005C">
      <w:pPr>
        <w:spacing w:line="360" w:lineRule="auto"/>
        <w:jc w:val="both"/>
        <w:rPr>
          <w:sz w:val="22"/>
          <w:szCs w:val="22"/>
        </w:rPr>
      </w:pPr>
      <w:r w:rsidDel="00000000" w:rsidR="00000000" w:rsidRPr="00000000">
        <w:rPr>
          <w:rtl w:val="0"/>
        </w:rPr>
      </w:r>
    </w:p>
    <w:p w:rsidR="00000000" w:rsidDel="00000000" w:rsidP="00000000" w:rsidRDefault="00000000" w:rsidRPr="00000000" w14:paraId="0000005D">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manera preliminar en el caso concreto conviene analizar si se actualiza alguna de las causales de sobreseimiento del recurso de revisión.</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sz w:val="22"/>
          <w:szCs w:val="22"/>
        </w:rPr>
      </w:pPr>
      <w:bookmarkStart w:colFirst="0" w:colLast="0" w:name="_heading=h.1y810tw" w:id="7"/>
      <w:bookmarkEnd w:id="7"/>
      <w:r w:rsidDel="00000000" w:rsidR="00000000" w:rsidRPr="00000000">
        <w:rPr>
          <w:rFonts w:ascii="Palatino Linotype" w:cs="Palatino Linotype" w:eastAsia="Palatino Linotype" w:hAnsi="Palatino Linotype"/>
          <w:sz w:val="22"/>
          <w:szCs w:val="22"/>
          <w:rtl w:val="0"/>
        </w:rPr>
        <w:t xml:space="preserve">Para ello, conviene iniciar el presente estudio señalando que la persona solicitante requirió del </w:t>
      </w:r>
      <w:r w:rsidDel="00000000" w:rsidR="00000000" w:rsidRPr="00000000">
        <w:rPr>
          <w:rFonts w:ascii="Palatino Linotype" w:cs="Palatino Linotype" w:eastAsia="Palatino Linotype" w:hAnsi="Palatino Linotype"/>
          <w:b w:val="1"/>
          <w:sz w:val="22"/>
          <w:szCs w:val="22"/>
          <w:rtl w:val="0"/>
        </w:rPr>
        <w:t xml:space="preserve">Sujeto Obligado, del predio ubicado sobre Prolongación Miguel Hidalgo, municipio de Tenango del Valle, dentro de las coordenadas 19°06'12.2"N 99°34'38.1"W (19.103379, - 99.577257) que está en la parte exterior del predio actualmente denominado Fraccionamiento el SAUCO con Número Exterior 223, </w:t>
      </w:r>
      <w:r w:rsidDel="00000000" w:rsidR="00000000" w:rsidRPr="00000000">
        <w:rPr>
          <w:rFonts w:ascii="Palatino Linotype" w:cs="Palatino Linotype" w:eastAsia="Palatino Linotype" w:hAnsi="Palatino Linotype"/>
          <w:sz w:val="22"/>
          <w:szCs w:val="22"/>
          <w:rtl w:val="0"/>
        </w:rPr>
        <w:t xml:space="preserve">la siguiente información:</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15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Uso actual de suelo. </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15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Últimos permisos de construcción (del 2020 al 2024). </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15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Número de escritura pública debidamente inscrita en el Registro Público de la Propiedad. </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360" w:right="-15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Nombre del propietario actual y/o instrumento utilizado para el último cambio de dominio.</w:t>
      </w:r>
    </w:p>
    <w:p w:rsidR="00000000" w:rsidDel="00000000" w:rsidP="00000000" w:rsidRDefault="00000000" w:rsidRPr="00000000" w14:paraId="00000065">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6">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a la solicitud de información que nos ocupa,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pronunció por conducto del Coordinador de Catastro Municipal y el Director de Desarrollo Urbano, quienes indicaron lo siguiente:</w:t>
      </w:r>
    </w:p>
    <w:p w:rsidR="00000000" w:rsidDel="00000000" w:rsidP="00000000" w:rsidRDefault="00000000" w:rsidRPr="00000000" w14:paraId="00000067">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Coordinador de Catastro Municipal informó que, toda vez que en el caso se precisó la ubicación de la propiedad de la cual se requiere la información, tomando como base el archivo adjunto por el solicitante, las coordenadas e imágenes proporcionadas,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se hacía del conocimiento que no se tiene expediente relacionado a dicha propiedad, por lo cual no era posible remitir la información al respecto.</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60" w:right="49" w:hanging="36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El Director de Desarrollo Urbano, sobre la solicitud de información en la parte relativa a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SOLICITO el uso actual del suelo y últimos permisos de construcción (del 2020 al 2024) del predio ubicado sobre Prolongación Miguel Hidalgo, Municipio de Tenango del Valle, predio actualmente denominado Fraccionamiento el SAUCO con </w:t>
      </w:r>
      <w:r w:rsidDel="00000000" w:rsidR="00000000" w:rsidRPr="00000000">
        <w:rPr>
          <w:rFonts w:ascii="Palatino Linotype" w:cs="Palatino Linotype" w:eastAsia="Palatino Linotype" w:hAnsi="Palatino Linotype"/>
          <w:sz w:val="22"/>
          <w:szCs w:val="22"/>
          <w:rtl w:val="0"/>
        </w:rPr>
        <w:t xml:space="preserve">XXXXXXXXXXX</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se informaba que se realizó una búsqueda exhaustiva en los archivos de dicha Dirección y no se encontró algún permiso de construcción del inmueble en mención del año 2020 al 2024.</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se indicó que dicho predio se encontraba en la siguiente clasificación: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49"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drawing>
          <wp:inline distB="0" distT="0" distL="0" distR="0">
            <wp:extent cx="5191874" cy="1686168"/>
            <wp:effectExtent b="3175" l="3175" r="3175" t="3175"/>
            <wp:docPr id="48"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191874" cy="1686168"/>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Inconforme con la respuesta,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promovió el presente medio de impugnación en el que señaló como acto impugnado el archivo electrónico entregado en respuesta por el Director de Desarrollo Urbano, señalando como motivos de inconformidad medularmente la entrega de información que no corresponde con lo solicitado, ya que refiere el particular que la información entregada fue de un predio diverso, el Fraccionamiento el SAUCO con XXXXXXXXXXX, mismo que indica él citó como referencia, porque del que pide la información es del que se encuentra en la parte exterior del predio en mención y del que proporcionó el croquis e imagen satelital.</w:t>
      </w:r>
    </w:p>
    <w:p w:rsidR="00000000" w:rsidDel="00000000" w:rsidP="00000000" w:rsidRDefault="00000000" w:rsidRPr="00000000" w14:paraId="00000071">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durante el periodo de manifestaciones se advirtió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rindió su informe justificado a través de los documentos que se indican en el antecedente sexto de la presente resolución; documentales que serán analizadas más adelante.</w:t>
      </w:r>
    </w:p>
    <w:p w:rsidR="00000000" w:rsidDel="00000000" w:rsidP="00000000" w:rsidRDefault="00000000" w:rsidRPr="00000000" w14:paraId="00000073">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4">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lado,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fue omisa en hacer valer manifestaciones con relación al informe justificado rendido.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Expuestas las posturas de las partes, antes del estudio de fondo, es necesario precisar que </w:t>
      </w:r>
      <w:r w:rsidDel="00000000" w:rsidR="00000000" w:rsidRPr="00000000">
        <w:rPr>
          <w:rFonts w:ascii="Palatino Linotype" w:cs="Palatino Linotype" w:eastAsia="Palatino Linotype" w:hAnsi="Palatino Linotype"/>
          <w:b w:val="1"/>
          <w:sz w:val="22"/>
          <w:szCs w:val="22"/>
          <w:rtl w:val="0"/>
        </w:rPr>
        <w:t xml:space="preserve">con relación al requerimiento relativo a los últimos permisos de construcción (del 2020 al 2024), respecto del ejercicio 2024</w:t>
      </w:r>
      <w:r w:rsidDel="00000000" w:rsidR="00000000" w:rsidRPr="00000000">
        <w:rPr>
          <w:rFonts w:ascii="Palatino Linotype" w:cs="Palatino Linotype" w:eastAsia="Palatino Linotype" w:hAnsi="Palatino Linotype"/>
          <w:sz w:val="22"/>
          <w:szCs w:val="22"/>
          <w:rtl w:val="0"/>
        </w:rPr>
        <w:t xml:space="preserve">; la información sobre hechos que aún no se han generado debido a la temporalidad, son hechos futuros; por lo que no es procedente que los sujetos obligados proporcionen dicha información; siendo aplicable la tesis con número de registro digital 209001</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emitida por el Poder Judicial de la Federación, que dispone lo siguiente:</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ind w:left="567" w:right="42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ACTOS FUTUROS DE REALIZACION INCIERTA. NO PROCEDE EL JUICIO DE AMPARO CONTRA LOS.</w:t>
      </w:r>
    </w:p>
    <w:p w:rsidR="00000000" w:rsidDel="00000000" w:rsidP="00000000" w:rsidRDefault="00000000" w:rsidRPr="00000000" w14:paraId="00000079">
      <w:pPr>
        <w:pBdr>
          <w:top w:space="0" w:sz="0" w:val="nil"/>
          <w:left w:space="0" w:sz="0" w:val="nil"/>
          <w:bottom w:space="0" w:sz="0" w:val="nil"/>
          <w:right w:space="0" w:sz="0" w:val="nil"/>
          <w:between w:space="0" w:sz="0" w:val="nil"/>
        </w:pBdr>
        <w:ind w:left="567" w:right="42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Contra actos futuros de realización incierta no procede el juicio de garantías.</w:t>
      </w:r>
    </w:p>
    <w:p w:rsidR="00000000" w:rsidDel="00000000" w:rsidP="00000000" w:rsidRDefault="00000000" w:rsidRPr="00000000" w14:paraId="0000007A">
      <w:pPr>
        <w:ind w:left="567" w:right="42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B">
      <w:pPr>
        <w:ind w:left="567" w:right="42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ese sentido, no es procedente la exigencia del hoy Recurrente de que el Sujeto Obligado atienda su solicitud, pues esa autoridad únicamente está constreñida a proporcionar la información pública que genere en uso de sus atribuciones de derecho público con anterioridad a la fecha de la solicitud de información.</w:t>
      </w:r>
    </w:p>
    <w:p w:rsidR="00000000" w:rsidDel="00000000" w:rsidP="00000000" w:rsidRDefault="00000000" w:rsidRPr="00000000" w14:paraId="0000007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En ese sentido, no es procedente la exigencia de la hoy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atienda su solicitud respecto de los últimos permisos de construcción del ejercicio 2024, hasta el 31 de diciembre del 2024, pues esa autoridad únicamente está constreñida a proporcionar la información pública que genere en uso de sus atribuciones de derecho público a la fecha de la solicitud de información, esto es al </w:t>
      </w:r>
      <w:r w:rsidDel="00000000" w:rsidR="00000000" w:rsidRPr="00000000">
        <w:rPr>
          <w:rFonts w:ascii="Palatino Linotype" w:cs="Palatino Linotype" w:eastAsia="Palatino Linotype" w:hAnsi="Palatino Linotype"/>
          <w:b w:val="1"/>
          <w:sz w:val="22"/>
          <w:szCs w:val="22"/>
          <w:rtl w:val="0"/>
        </w:rPr>
        <w:t xml:space="preserve">veintinueve de agosto de dos mil veinticuatro.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Acotado lo anterior, en el caso es de recordar que quienes se pronunciaron sobre la información requerida, en primer lugar fue el Coordinador de Catastro Municipal, mismo que con relación a los requerimientos relativos al “” y “” tiene competencia, ya que se relacionan con los documentos que son remitidos por los particulares como parte de los requisitos que le son solicitados para el otorgamiento de una asignación de clave catastral nueva.</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efecto, conviene traer a contexto al artículo 22 del Reglamento del Título Quinto del Código Financiero del Estado de México y Municipios, denominado </w:t>
      </w:r>
      <w:r w:rsidDel="00000000" w:rsidR="00000000" w:rsidRPr="00000000">
        <w:rPr>
          <w:rFonts w:ascii="Palatino Linotype" w:cs="Palatino Linotype" w:eastAsia="Palatino Linotype" w:hAnsi="Palatino Linotype"/>
          <w:i w:val="1"/>
          <w:sz w:val="22"/>
          <w:szCs w:val="22"/>
          <w:rtl w:val="0"/>
        </w:rPr>
        <w:t xml:space="preserve">“Del Catastro”, </w:t>
      </w:r>
      <w:r w:rsidDel="00000000" w:rsidR="00000000" w:rsidRPr="00000000">
        <w:rPr>
          <w:rFonts w:ascii="Palatino Linotype" w:cs="Palatino Linotype" w:eastAsia="Palatino Linotype" w:hAnsi="Palatino Linotype"/>
          <w:sz w:val="22"/>
          <w:szCs w:val="22"/>
          <w:rtl w:val="0"/>
        </w:rPr>
        <w:t xml:space="preserve">que a la literalidad dispone lo siguiente: </w:t>
      </w:r>
    </w:p>
    <w:p w:rsidR="00000000" w:rsidDel="00000000" w:rsidP="00000000" w:rsidRDefault="00000000" w:rsidRPr="00000000" w14:paraId="0000008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w:t>
      </w:r>
      <w:r w:rsidDel="00000000" w:rsidR="00000000" w:rsidRPr="00000000">
        <w:rPr>
          <w:rFonts w:ascii="Palatino Linotype" w:cs="Palatino Linotype" w:eastAsia="Palatino Linotype" w:hAnsi="Palatino Linotype"/>
          <w:i w:val="1"/>
          <w:sz w:val="22"/>
          <w:szCs w:val="22"/>
          <w:rtl w:val="0"/>
        </w:rPr>
        <w:t xml:space="preserve"> La Autoridad Catastral Municipal prestará los siguientes trámites y servicios: </w:t>
      </w:r>
    </w:p>
    <w:p w:rsidR="00000000" w:rsidDel="00000000" w:rsidP="00000000" w:rsidRDefault="00000000" w:rsidRPr="00000000" w14:paraId="00000084">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5">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Trámites: </w:t>
      </w:r>
    </w:p>
    <w:p w:rsidR="00000000" w:rsidDel="00000000" w:rsidP="00000000" w:rsidRDefault="00000000" w:rsidRPr="00000000" w14:paraId="00000086">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Inscripción de inmuebles en el Padrón Catastral Municipal; </w:t>
      </w:r>
    </w:p>
    <w:p w:rsidR="00000000" w:rsidDel="00000000" w:rsidP="00000000" w:rsidRDefault="00000000" w:rsidRPr="00000000" w14:paraId="00000087">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Registro de altas, bajas y modificaciones de construcciones; </w:t>
      </w:r>
    </w:p>
    <w:p w:rsidR="00000000" w:rsidDel="00000000" w:rsidP="00000000" w:rsidRDefault="00000000" w:rsidRPr="00000000" w14:paraId="00000088">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Actualización del Padrón Catastral derivada de la subdivisión, fusión, lotificación; relotificación, conjuntos urbanos, afectaciones y modificación de linderos, previa autorización emitida por la autoridad competente; </w:t>
      </w:r>
    </w:p>
    <w:p w:rsidR="00000000" w:rsidDel="00000000" w:rsidP="00000000" w:rsidRDefault="00000000" w:rsidRPr="00000000" w14:paraId="00000089">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Actualización al Padrón Catastral derivada de cambios técnicos y administrativos, y </w:t>
      </w:r>
    </w:p>
    <w:p w:rsidR="00000000" w:rsidDel="00000000" w:rsidP="00000000" w:rsidRDefault="00000000" w:rsidRPr="00000000" w14:paraId="0000008A">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Asignación, bajas y reasignación de Clave Catastral. </w:t>
      </w:r>
    </w:p>
    <w:p w:rsidR="00000000" w:rsidDel="00000000" w:rsidP="00000000" w:rsidRDefault="00000000" w:rsidRPr="00000000" w14:paraId="0000008B">
      <w:pPr>
        <w:ind w:left="567" w:right="53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C">
      <w:pPr>
        <w:ind w:left="567" w:right="53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Servicios: </w:t>
      </w:r>
    </w:p>
    <w:p w:rsidR="00000000" w:rsidDel="00000000" w:rsidP="00000000" w:rsidRDefault="00000000" w:rsidRPr="00000000" w14:paraId="0000008D">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Certificación de Clave Catastral; </w:t>
      </w:r>
    </w:p>
    <w:p w:rsidR="00000000" w:rsidDel="00000000" w:rsidP="00000000" w:rsidRDefault="00000000" w:rsidRPr="00000000" w14:paraId="0000008E">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Certificación de Clave y Valor Catastral; </w:t>
      </w:r>
    </w:p>
    <w:p w:rsidR="00000000" w:rsidDel="00000000" w:rsidP="00000000" w:rsidRDefault="00000000" w:rsidRPr="00000000" w14:paraId="0000008F">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 Certificación de Plano Manzanero; </w:t>
      </w:r>
    </w:p>
    <w:p w:rsidR="00000000" w:rsidDel="00000000" w:rsidP="00000000" w:rsidRDefault="00000000" w:rsidRPr="00000000" w14:paraId="00000090">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 Constancia de Identificación Catastral; </w:t>
      </w:r>
    </w:p>
    <w:p w:rsidR="00000000" w:rsidDel="00000000" w:rsidP="00000000" w:rsidRDefault="00000000" w:rsidRPr="00000000" w14:paraId="00000091">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 Levantamiento Topográfico Catastral, y </w:t>
      </w:r>
    </w:p>
    <w:p w:rsidR="00000000" w:rsidDel="00000000" w:rsidP="00000000" w:rsidRDefault="00000000" w:rsidRPr="00000000" w14:paraId="00000092">
      <w:pPr>
        <w:ind w:left="567" w:right="53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 Verificación de Linderos”</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orden de ideas, debemos decir que el expediente que Catastro Municipal deberá integrar, contienen entre otros documentos aquellos que son remitidos por los particulares como parte de los requisitos que le son solicitados para el otorgamiento de una asignación de clave catastral nueva tal y, como lo establece el Manual Catastral en cita y, que en señala los siguientes:</w:t>
      </w:r>
    </w:p>
    <w:p w:rsidR="00000000" w:rsidDel="00000000" w:rsidP="00000000" w:rsidRDefault="00000000" w:rsidRPr="00000000" w14:paraId="00000095">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ASIGNACIÓN, BAJA Y REASIGNACIÓN DE CLAVE CATASTRAL </w:t>
      </w:r>
    </w:p>
    <w:p w:rsidR="00000000" w:rsidDel="00000000" w:rsidP="00000000" w:rsidRDefault="00000000" w:rsidRPr="00000000" w14:paraId="00000096">
      <w:pPr>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7">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11.1. OBJETIVO</w:t>
      </w:r>
      <w:r w:rsidDel="00000000" w:rsidR="00000000" w:rsidRPr="00000000">
        <w:rPr>
          <w:rFonts w:ascii="Palatino Linotype" w:cs="Palatino Linotype" w:eastAsia="Palatino Linotype" w:hAnsi="Palatino Linotype"/>
          <w:i w:val="1"/>
          <w:sz w:val="22"/>
          <w:szCs w:val="22"/>
          <w:rtl w:val="0"/>
        </w:rPr>
        <w:t xml:space="preserve"> Proporcionar a los servidores públicos responsables de la actividad catastral en los ayuntamientos, las normas, lineamientos técnicos y jurídicos </w:t>
      </w:r>
      <w:r w:rsidDel="00000000" w:rsidR="00000000" w:rsidRPr="00000000">
        <w:rPr>
          <w:rFonts w:ascii="Palatino Linotype" w:cs="Palatino Linotype" w:eastAsia="Palatino Linotype" w:hAnsi="Palatino Linotype"/>
          <w:b w:val="1"/>
          <w:i w:val="1"/>
          <w:sz w:val="22"/>
          <w:szCs w:val="22"/>
          <w:rtl w:val="0"/>
        </w:rPr>
        <w:t xml:space="preserve">para la asignación</w:t>
      </w:r>
      <w:r w:rsidDel="00000000" w:rsidR="00000000" w:rsidRPr="00000000">
        <w:rPr>
          <w:rFonts w:ascii="Palatino Linotype" w:cs="Palatino Linotype" w:eastAsia="Palatino Linotype" w:hAnsi="Palatino Linotype"/>
          <w:i w:val="1"/>
          <w:sz w:val="22"/>
          <w:szCs w:val="22"/>
          <w:rtl w:val="0"/>
        </w:rPr>
        <w:t xml:space="preserve">, baja y reasignación </w:t>
      </w:r>
      <w:r w:rsidDel="00000000" w:rsidR="00000000" w:rsidRPr="00000000">
        <w:rPr>
          <w:rFonts w:ascii="Palatino Linotype" w:cs="Palatino Linotype" w:eastAsia="Palatino Linotype" w:hAnsi="Palatino Linotype"/>
          <w:b w:val="1"/>
          <w:i w:val="1"/>
          <w:sz w:val="22"/>
          <w:szCs w:val="22"/>
          <w:rtl w:val="0"/>
        </w:rPr>
        <w:t xml:space="preserve">de claves catastrales, lo que les permitirá identificar, inscribir y registrar los inmuebles ubicados en su jurisdicción territorial; e integrar, controlar y actualizar de manera homogénea el inventario analítico de la propiedad raíz del Municipio</w:t>
      </w:r>
      <w:r w:rsidDel="00000000" w:rsidR="00000000" w:rsidRPr="00000000">
        <w:rPr>
          <w:rFonts w:ascii="Palatino Linotype" w:cs="Palatino Linotype" w:eastAsia="Palatino Linotype" w:hAnsi="Palatino Linotype"/>
          <w:i w:val="1"/>
          <w:sz w:val="22"/>
          <w:szCs w:val="22"/>
          <w:rtl w:val="0"/>
        </w:rPr>
        <w:t xml:space="preserve"> y por agregación el padrón catastral del Estado. </w:t>
      </w:r>
    </w:p>
    <w:p w:rsidR="00000000" w:rsidDel="00000000" w:rsidP="00000000" w:rsidRDefault="00000000" w:rsidRPr="00000000" w14:paraId="00000098">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9">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11.2. MARCO JURÍDICO </w:t>
      </w:r>
    </w:p>
    <w:p w:rsidR="00000000" w:rsidDel="00000000" w:rsidP="00000000" w:rsidRDefault="00000000" w:rsidRPr="00000000" w14:paraId="0000009A">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Artículos 171 fracción II y 179 fracción I del Código Financiero del Estado de México y Municipios. Artículos 24, 26 y 27 del Reglamento del Título Quinto del Código Financiero del Estado de México y Municipios. </w:t>
      </w:r>
    </w:p>
    <w:p w:rsidR="00000000" w:rsidDel="00000000" w:rsidP="00000000" w:rsidRDefault="00000000" w:rsidRPr="00000000" w14:paraId="0000009B">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C">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11.3. POLÍTICAS GENERALES </w:t>
      </w:r>
    </w:p>
    <w:p w:rsidR="00000000" w:rsidDel="00000000" w:rsidP="00000000" w:rsidRDefault="00000000" w:rsidRPr="00000000" w14:paraId="0000009D">
      <w:pPr>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La asignación</w:t>
      </w:r>
      <w:r w:rsidDel="00000000" w:rsidR="00000000" w:rsidRPr="00000000">
        <w:rPr>
          <w:rFonts w:ascii="Palatino Linotype" w:cs="Palatino Linotype" w:eastAsia="Palatino Linotype" w:hAnsi="Palatino Linotype"/>
          <w:i w:val="1"/>
          <w:sz w:val="22"/>
          <w:szCs w:val="22"/>
          <w:rtl w:val="0"/>
        </w:rPr>
        <w:t xml:space="preserve">, reasignación y baja de claves catastrales es responsabilidad de la autoridad catastral municipal, </w:t>
      </w:r>
      <w:r w:rsidDel="00000000" w:rsidR="00000000" w:rsidRPr="00000000">
        <w:rPr>
          <w:rFonts w:ascii="Palatino Linotype" w:cs="Palatino Linotype" w:eastAsia="Palatino Linotype" w:hAnsi="Palatino Linotype"/>
          <w:b w:val="1"/>
          <w:i w:val="1"/>
          <w:sz w:val="22"/>
          <w:szCs w:val="22"/>
          <w:rtl w:val="0"/>
        </w:rPr>
        <w:t xml:space="preserve">quien deberá limitar el ejercicio de esta función a predios ubicados dentro de su jurisdicción territorial y conforme a los procedimientos establecidos en el presente manual</w:t>
      </w:r>
      <w:r w:rsidDel="00000000" w:rsidR="00000000" w:rsidRPr="00000000">
        <w:rPr>
          <w:rFonts w:ascii="Palatino Linotype" w:cs="Palatino Linotype" w:eastAsia="Palatino Linotype" w:hAnsi="Palatino Linotype"/>
          <w:i w:val="1"/>
          <w:sz w:val="22"/>
          <w:szCs w:val="22"/>
          <w:rtl w:val="0"/>
        </w:rPr>
        <w:t xml:space="preserve">. La clave catastral es única, irrepetible y permanente en toda la entidad y no deberá modificarse, salvo en los casos previstos para la reasignación. </w:t>
      </w:r>
    </w:p>
    <w:p w:rsidR="00000000" w:rsidDel="00000000" w:rsidP="00000000" w:rsidRDefault="00000000" w:rsidRPr="00000000" w14:paraId="0000009E">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ACC003.- Para asignar la clave catastral, la autoridad catastral municipal deberá solicitar la manifestación catastral acompañada del documento que acredite la propiedad o posesión del inmueble, que puede ser cualquiera de entre los siguientes: </w:t>
      </w:r>
    </w:p>
    <w:p w:rsidR="00000000" w:rsidDel="00000000" w:rsidP="00000000" w:rsidRDefault="00000000" w:rsidRPr="00000000" w14:paraId="000000A0">
      <w:pPr>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1">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Testimonio notarial. </w:t>
      </w:r>
    </w:p>
    <w:p w:rsidR="00000000" w:rsidDel="00000000" w:rsidP="00000000" w:rsidRDefault="00000000" w:rsidRPr="00000000" w14:paraId="000000A2">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Contrato privado de compra-venta, cesión o donación. </w:t>
      </w:r>
    </w:p>
    <w:p w:rsidR="00000000" w:rsidDel="00000000" w:rsidP="00000000" w:rsidRDefault="00000000" w:rsidRPr="00000000" w14:paraId="000000A3">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Sentencia de la autoridad judicial que haya causado ejecutoria. </w:t>
      </w:r>
    </w:p>
    <w:p w:rsidR="00000000" w:rsidDel="00000000" w:rsidP="00000000" w:rsidRDefault="00000000" w:rsidRPr="00000000" w14:paraId="000000A4">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Manifestación de adquisición de inmuebles u otras operaciones traslativas de dominio de inmuebles, autorizada por autoridad fiscal respectiva y el recibo de pago correspondiente. </w:t>
      </w:r>
    </w:p>
    <w:p w:rsidR="00000000" w:rsidDel="00000000" w:rsidP="00000000" w:rsidRDefault="00000000" w:rsidRPr="00000000" w14:paraId="000000A5">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Acta de entrega, cuando se trate de inmuebles de interés social. </w:t>
      </w:r>
    </w:p>
    <w:p w:rsidR="00000000" w:rsidDel="00000000" w:rsidP="00000000" w:rsidRDefault="00000000" w:rsidRPr="00000000" w14:paraId="000000A6">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Cédula de contratación que emita la dependencia oficial autorizada para la regularización de la tenencia de la tierra. </w:t>
      </w:r>
    </w:p>
    <w:p w:rsidR="00000000" w:rsidDel="00000000" w:rsidP="00000000" w:rsidRDefault="00000000" w:rsidRPr="00000000" w14:paraId="000000A7">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Título, certificado o cesión de derechos agrarios ejidales o comunales. </w:t>
      </w:r>
    </w:p>
    <w:p w:rsidR="00000000" w:rsidDel="00000000" w:rsidP="00000000" w:rsidRDefault="00000000" w:rsidRPr="00000000" w14:paraId="000000A8">
      <w:pPr>
        <w:numPr>
          <w:ilvl w:val="0"/>
          <w:numId w:val="5"/>
        </w:numPr>
        <w:pBdr>
          <w:top w:space="0" w:sz="0" w:val="nil"/>
          <w:left w:space="0" w:sz="0" w:val="nil"/>
          <w:bottom w:space="0" w:sz="0" w:val="nil"/>
          <w:right w:space="0" w:sz="0" w:val="nil"/>
          <w:between w:space="0" w:sz="0" w:val="nil"/>
        </w:pBdr>
        <w:ind w:left="1571" w:right="616" w:hanging="36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u w:val="single"/>
          <w:rtl w:val="0"/>
        </w:rPr>
        <w:t xml:space="preserve">Inmatriculación administrativa o judicial.</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desprende de lo anterior, para la asignación de una clave catastral nueva, con motivo de la regularización de un predio, la autoridad catastral municipal deberá solicitar la manifestación catastral acompañada del documento que acredite la propiedad o posesión del inmueble que puede ser, entre otros, el testimonio notarial, contrato privado de compra-venta, cesión o donación.</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advierte que la Coordinación de Catastro Municipal tiene competencia para conocer parcialmente de la información requerida.</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por cuanto hace a la Dirección de Desarrollo Urbano, se advierte que también tiene competencia para conocer de los requerimientos relativos al uso del suelo y los permisos o licencias de construcción respecto de predios, como el que refiere el particular en su solicitud.</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Se afirma lo anterior, en virtud de que conforme el artículo 5.10, fracción VI del Código Administrativo del Estado de México, </w:t>
      </w:r>
      <w:r w:rsidDel="00000000" w:rsidR="00000000" w:rsidRPr="00000000">
        <w:rPr>
          <w:rFonts w:ascii="Palatino Linotype" w:cs="Palatino Linotype" w:eastAsia="Palatino Linotype" w:hAnsi="Palatino Linotype"/>
          <w:b w:val="1"/>
          <w:sz w:val="22"/>
          <w:szCs w:val="22"/>
          <w:rtl w:val="0"/>
        </w:rPr>
        <w:t xml:space="preserve">los municipios tienen dentro de sus atribuciones, expedir cédulas informativas de zonificación, licencias de uso de suelo y licencias de construcción.</w:t>
      </w: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conforme la página oficial de la Secretaría de Desarrollo Urbano e Infraestructura (consultable en el siguiente enlace:</w:t>
      </w:r>
      <w:r w:rsidDel="00000000" w:rsidR="00000000" w:rsidRPr="00000000">
        <w:rPr>
          <w:rtl w:val="0"/>
        </w:rPr>
        <w:t xml:space="preserve"> </w:t>
      </w:r>
      <w:hyperlink r:id="rId11">
        <w:r w:rsidDel="00000000" w:rsidR="00000000" w:rsidRPr="00000000">
          <w:rPr>
            <w:rFonts w:ascii="Palatino Linotype" w:cs="Palatino Linotype" w:eastAsia="Palatino Linotype" w:hAnsi="Palatino Linotype"/>
            <w:color w:val="000000"/>
            <w:sz w:val="22"/>
            <w:szCs w:val="22"/>
            <w:u w:val="single"/>
            <w:rtl w:val="0"/>
          </w:rPr>
          <w:t xml:space="preserve">https://sedui.edomex.gob.mx/planes_municipales_de_desarrollo_urbano</w:t>
        </w:r>
      </w:hyperlink>
      <w:r w:rsidDel="00000000" w:rsidR="00000000" w:rsidRPr="00000000">
        <w:rPr>
          <w:rFonts w:ascii="Palatino Linotype" w:cs="Palatino Linotype" w:eastAsia="Palatino Linotype" w:hAnsi="Palatino Linotype"/>
          <w:sz w:val="22"/>
          <w:szCs w:val="22"/>
          <w:rtl w:val="0"/>
        </w:rPr>
        <w:t xml:space="preserve"> ) </w:t>
      </w:r>
      <w:r w:rsidDel="00000000" w:rsidR="00000000" w:rsidRPr="00000000">
        <w:rPr>
          <w:rFonts w:ascii="Palatino Linotype" w:cs="Palatino Linotype" w:eastAsia="Palatino Linotype" w:hAnsi="Palatino Linotype"/>
          <w:b w:val="1"/>
          <w:sz w:val="22"/>
          <w:szCs w:val="22"/>
          <w:u w:val="single"/>
          <w:rtl w:val="0"/>
        </w:rPr>
        <w:t xml:space="preserve">los Planes Municipales de Desarrollo Urbano,</w:t>
      </w:r>
      <w:r w:rsidDel="00000000" w:rsidR="00000000" w:rsidRPr="00000000">
        <w:rPr>
          <w:rFonts w:ascii="Palatino Linotype" w:cs="Palatino Linotype" w:eastAsia="Palatino Linotype" w:hAnsi="Palatino Linotype"/>
          <w:sz w:val="22"/>
          <w:szCs w:val="22"/>
          <w:rtl w:val="0"/>
        </w:rPr>
        <w:t xml:space="preserve"> son los instrumentos que contienen las disposiciones jurídicas para planear y regular el ordenamiento de los asentamientos humanos en el territorio municipal. </w:t>
      </w:r>
      <w:r w:rsidDel="00000000" w:rsidR="00000000" w:rsidRPr="00000000">
        <w:rPr>
          <w:rFonts w:ascii="Palatino Linotype" w:cs="Palatino Linotype" w:eastAsia="Palatino Linotype" w:hAnsi="Palatino Linotype"/>
          <w:b w:val="1"/>
          <w:sz w:val="22"/>
          <w:szCs w:val="22"/>
          <w:rtl w:val="0"/>
        </w:rPr>
        <w:t xml:space="preserve">Tienen como objeto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establecer las políticas, estrategias y objetivos para el desarrollo urbano del territorio municipal, mediante la determinación de</w:t>
      </w:r>
      <w:r w:rsidDel="00000000" w:rsidR="00000000" w:rsidRPr="00000000">
        <w:rPr>
          <w:rFonts w:ascii="Palatino Linotype" w:cs="Palatino Linotype" w:eastAsia="Palatino Linotype" w:hAnsi="Palatino Linotype"/>
          <w:sz w:val="22"/>
          <w:szCs w:val="22"/>
          <w:rtl w:val="0"/>
        </w:rPr>
        <w:t xml:space="preserve"> la zonificación, los destinos y </w:t>
      </w:r>
      <w:r w:rsidDel="00000000" w:rsidR="00000000" w:rsidRPr="00000000">
        <w:rPr>
          <w:rFonts w:ascii="Palatino Linotype" w:cs="Palatino Linotype" w:eastAsia="Palatino Linotype" w:hAnsi="Palatino Linotype"/>
          <w:b w:val="1"/>
          <w:sz w:val="22"/>
          <w:szCs w:val="22"/>
          <w:rtl w:val="0"/>
        </w:rPr>
        <w:t xml:space="preserve">las normas de uso y aprovechamiento del suelo</w:t>
      </w:r>
      <w:r w:rsidDel="00000000" w:rsidR="00000000" w:rsidRPr="00000000">
        <w:rPr>
          <w:rFonts w:ascii="Palatino Linotype" w:cs="Palatino Linotype" w:eastAsia="Palatino Linotype" w:hAnsi="Palatino Linotype"/>
          <w:sz w:val="22"/>
          <w:szCs w:val="22"/>
          <w:rtl w:val="0"/>
        </w:rPr>
        <w:t xml:space="preserve">, así como las acciones de conservación, mejoramiento y crecimiento en los centros de población.</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el ente obligado por conducto de la Dirección de Desarrollo Urbano, independientemente que pueda emitir licencias de uso de suelo, debe tener conocimiento del uso de suelo conforme su Plan Municipal de Desarrollo Urbano, que entre otros puede ser:</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uso habitacional y/o no habitacional.</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otro lado, de conformidad con el artículo 18.20 del Código Administrativo del Estado de México, </w:t>
      </w:r>
      <w:r w:rsidDel="00000000" w:rsidR="00000000" w:rsidRPr="00000000">
        <w:rPr>
          <w:rFonts w:ascii="Palatino Linotype" w:cs="Palatino Linotype" w:eastAsia="Palatino Linotype" w:hAnsi="Palatino Linotype"/>
          <w:b w:val="1"/>
          <w:sz w:val="22"/>
          <w:szCs w:val="22"/>
          <w:u w:val="single"/>
          <w:rtl w:val="0"/>
        </w:rPr>
        <w:t xml:space="preserve">la licencia de construcción es el documento que tiene por objeto autorizar obras nuevas, ampliación, modificación o reparación que afecte elementos estructurales de la obra existente,</w:t>
      </w:r>
      <w:r w:rsidDel="00000000" w:rsidR="00000000" w:rsidRPr="00000000">
        <w:rPr>
          <w:rFonts w:ascii="Palatino Linotype" w:cs="Palatino Linotype" w:eastAsia="Palatino Linotype" w:hAnsi="Palatino Linotype"/>
          <w:sz w:val="22"/>
          <w:szCs w:val="22"/>
          <w:rtl w:val="0"/>
        </w:rPr>
        <w:t xml:space="preserve"> demolición parcial o total, excavación o relleno, construcción de bardas, obras de conexión a las redes de agua potable y drenaje, modificación del proyecto de una obra autorizada, entre otras.</w:t>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8">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el diverso 18.6 del Código Administrativo del Estado de México, dispone que son atribuciones de los Municipios, </w:t>
      </w:r>
      <w:r w:rsidDel="00000000" w:rsidR="00000000" w:rsidRPr="00000000">
        <w:rPr>
          <w:rFonts w:ascii="Palatino Linotype" w:cs="Palatino Linotype" w:eastAsia="Palatino Linotype" w:hAnsi="Palatino Linotype"/>
          <w:b w:val="1"/>
          <w:sz w:val="22"/>
          <w:szCs w:val="22"/>
          <w:u w:val="single"/>
          <w:rtl w:val="0"/>
        </w:rPr>
        <w:t xml:space="preserve">expedir licencias</w:t>
      </w:r>
      <w:r w:rsidDel="00000000" w:rsidR="00000000" w:rsidRPr="00000000">
        <w:rPr>
          <w:rFonts w:ascii="Palatino Linotype" w:cs="Palatino Linotype" w:eastAsia="Palatino Linotype" w:hAnsi="Palatino Linotype"/>
          <w:sz w:val="22"/>
          <w:szCs w:val="22"/>
          <w:rtl w:val="0"/>
        </w:rPr>
        <w:t xml:space="preserve">, permisos y constancias en materia de construcción, de conformidad con lo dispuesto por el Libro Décimo, las Normas Técnicas, los planes municipales de desarrollo urbano y demás normatividad aplicable; así como vigilar que las construcciones en proceso, terminadas o en demolición, se ajusten a las disposiciones de previstas, a los planes municipales de desarrollo urbano, entre otras.</w:t>
      </w:r>
    </w:p>
    <w:p w:rsidR="00000000" w:rsidDel="00000000" w:rsidP="00000000" w:rsidRDefault="00000000" w:rsidRPr="00000000" w14:paraId="000000B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Libro Décimo Octavo del Código en estudio, tiene por objeto regular las construcciones privadas que se realicen en territorial con el fin de que satisfagan condiciones de seguridad, habitabilidad, calidad, higiene, funcionalidad, sustentabilidad e integración al contexto e imagen urbana, por lo que toda construcción debe sujetarse a lo siguiente:</w:t>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18.3.-</w:t>
      </w:r>
      <w:r w:rsidDel="00000000" w:rsidR="00000000" w:rsidRPr="00000000">
        <w:rPr>
          <w:rFonts w:ascii="Palatino Linotype" w:cs="Palatino Linotype" w:eastAsia="Palatino Linotype" w:hAnsi="Palatino Linotype"/>
          <w:i w:val="1"/>
          <w:sz w:val="22"/>
          <w:szCs w:val="22"/>
          <w:rtl w:val="0"/>
        </w:rPr>
        <w:t xml:space="preserve"> Toda construcción se sujetará a lo siguiente: </w:t>
      </w:r>
    </w:p>
    <w:p w:rsidR="00000000" w:rsidDel="00000000" w:rsidP="00000000" w:rsidRDefault="00000000" w:rsidRPr="00000000" w14:paraId="000000BD">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 las disposiciones de este Libro, del Libro Quinto del Código y su Reglamento, a las Normas Técnicas y a las demás disposiciones jurídicas aplicables; </w:t>
      </w:r>
    </w:p>
    <w:p w:rsidR="00000000" w:rsidDel="00000000" w:rsidP="00000000" w:rsidRDefault="00000000" w:rsidRPr="00000000" w14:paraId="000000BE">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Requerirán para su ejecución de la correspondiente licencia de construcción, salvo los casos de excepción que se establecen en este Libro; </w:t>
      </w:r>
    </w:p>
    <w:p w:rsidR="00000000" w:rsidDel="00000000" w:rsidP="00000000" w:rsidRDefault="00000000" w:rsidRPr="00000000" w14:paraId="000000BF">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Requerirán de la respectiva constancia de terminación de obra; </w:t>
      </w:r>
    </w:p>
    <w:p w:rsidR="00000000" w:rsidDel="00000000" w:rsidP="00000000" w:rsidRDefault="00000000" w:rsidRPr="00000000" w14:paraId="000000C0">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Observarán la normatividad de uso y aprovechamiento del suelo contenida en los planes de desarrollo urbano correspondientes; </w:t>
      </w:r>
    </w:p>
    <w:p w:rsidR="00000000" w:rsidDel="00000000" w:rsidP="00000000" w:rsidRDefault="00000000" w:rsidRPr="00000000" w14:paraId="000000C1">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Contarán con los cajones de estacionamiento que establezca el plan municipal de desarrollo urbano correspondiente, atendiendo lo que al respecto determine la normatividad aplicable; </w:t>
      </w:r>
    </w:p>
    <w:p w:rsidR="00000000" w:rsidDel="00000000" w:rsidP="00000000" w:rsidRDefault="00000000" w:rsidRPr="00000000" w14:paraId="000000C2">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Garantizarán su iluminación, ventilación y asoleamiento, la mitigación de efectos negativos que puedan causar a las construcciones vecinas; </w:t>
      </w:r>
    </w:p>
    <w:p w:rsidR="00000000" w:rsidDel="00000000" w:rsidP="00000000" w:rsidRDefault="00000000" w:rsidRPr="00000000" w14:paraId="000000C3">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Cumplirán los requisitos de seguridad estructural que les permitan satisfacer los fines para los cuales fueron proyectadas; </w:t>
      </w:r>
    </w:p>
    <w:p w:rsidR="00000000" w:rsidDel="00000000" w:rsidP="00000000" w:rsidRDefault="00000000" w:rsidRPr="00000000" w14:paraId="000000C4">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Estarán provistas de los servicios básicos de agua potable, desalojo de aguas residuales y energía eléctrica; </w:t>
      </w:r>
    </w:p>
    <w:p w:rsidR="00000000" w:rsidDel="00000000" w:rsidP="00000000" w:rsidRDefault="00000000" w:rsidRPr="00000000" w14:paraId="000000C5">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Dispondrán de espacios y muebles sanitarios de bajo consumo de agua, en número suficiente para los usuarios y de conformidad a las normas oficiales mexicanas; </w:t>
      </w:r>
    </w:p>
    <w:p w:rsidR="00000000" w:rsidDel="00000000" w:rsidP="00000000" w:rsidRDefault="00000000" w:rsidRPr="00000000" w14:paraId="000000C6">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Cumplirán con las previsiones correspondientes a protección civil, ingeniería sanitaria y personas con discapacidad; </w:t>
      </w:r>
    </w:p>
    <w:p w:rsidR="00000000" w:rsidDel="00000000" w:rsidP="00000000" w:rsidRDefault="00000000" w:rsidRPr="00000000" w14:paraId="000000C7">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Las que se ubiquen en zonas de valor arqueológico, histórico, artístico y cultural, deberán sujetarse a las restricciones que señalen el Instituto Nacional de Antropología e Historia o el Instituto Nacional de Bellas Artes y Literatura según corresponda y cumplir con las normas que señalen los ordenamientos legales aplicables; </w:t>
      </w:r>
    </w:p>
    <w:p w:rsidR="00000000" w:rsidDel="00000000" w:rsidP="00000000" w:rsidRDefault="00000000" w:rsidRPr="00000000" w14:paraId="000000C8">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Las dedicadas a servicios de radiotelecomunicación o similares y anuncios publicitarios que requieran elementos estructurales, fomentarán su integración al contexto y se ajustarán a las disposiciones aplicables; y </w:t>
      </w:r>
    </w:p>
    <w:p w:rsidR="00000000" w:rsidDel="00000000" w:rsidP="00000000" w:rsidRDefault="00000000" w:rsidRPr="00000000" w14:paraId="000000C9">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Procurarán la utilización de tecnologías a efecto de lograr un aprovechamiento sustentable de los recursos naturales y el cuidado de la biosfera.”</w:t>
      </w:r>
    </w:p>
    <w:p w:rsidR="00000000" w:rsidDel="00000000" w:rsidP="00000000" w:rsidRDefault="00000000" w:rsidRPr="00000000" w14:paraId="000000CA">
      <w:pPr>
        <w:ind w:left="1134"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términos generales conviene precisar que la </w:t>
      </w:r>
      <w:r w:rsidDel="00000000" w:rsidR="00000000" w:rsidRPr="00000000">
        <w:rPr>
          <w:rFonts w:ascii="Palatino Linotype" w:cs="Palatino Linotype" w:eastAsia="Palatino Linotype" w:hAnsi="Palatino Linotype"/>
          <w:b w:val="1"/>
          <w:sz w:val="22"/>
          <w:szCs w:val="22"/>
          <w:rtl w:val="0"/>
        </w:rPr>
        <w:t xml:space="preserve">licencia de construcción</w:t>
      </w:r>
      <w:r w:rsidDel="00000000" w:rsidR="00000000" w:rsidRPr="00000000">
        <w:rPr>
          <w:rFonts w:ascii="Palatino Linotype" w:cs="Palatino Linotype" w:eastAsia="Palatino Linotype" w:hAnsi="Palatino Linotype"/>
          <w:sz w:val="22"/>
          <w:szCs w:val="22"/>
          <w:rtl w:val="0"/>
        </w:rPr>
        <w:t xml:space="preserve"> tiene por objeto sujetar a las edificaciones que se realicen en territorio municipal a la normatividad contenida en los Planes de Desarrollo Urbano correspondientes, el Reglamento y demás ordenamientos legales aplicables, misma que solo surte efectos respecto del inmueble a que la misma refiera.</w:t>
      </w:r>
    </w:p>
    <w:p w:rsidR="00000000" w:rsidDel="00000000" w:rsidP="00000000" w:rsidRDefault="00000000" w:rsidRPr="00000000" w14:paraId="000000C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relación con las implicaciones anteriores, la Ley Orgánica Municipal del Estado de México, en sus artículos 31, fracción XXIV Quáter y 96 Sexies fracción VI, prevén lo siguiente:</w:t>
      </w:r>
    </w:p>
    <w:p w:rsidR="00000000" w:rsidDel="00000000" w:rsidP="00000000" w:rsidRDefault="00000000" w:rsidRPr="00000000" w14:paraId="000000C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31.-</w:t>
      </w:r>
      <w:r w:rsidDel="00000000" w:rsidR="00000000" w:rsidRPr="00000000">
        <w:rPr>
          <w:rFonts w:ascii="Palatino Linotype" w:cs="Palatino Linotype" w:eastAsia="Palatino Linotype" w:hAnsi="Palatino Linotype"/>
          <w:i w:val="1"/>
          <w:sz w:val="22"/>
          <w:szCs w:val="22"/>
          <w:rtl w:val="0"/>
        </w:rPr>
        <w:t xml:space="preserve"> Son atribuciones de los ayuntamientos:</w:t>
      </w:r>
    </w:p>
    <w:p w:rsidR="00000000" w:rsidDel="00000000" w:rsidP="00000000" w:rsidRDefault="00000000" w:rsidRPr="00000000" w14:paraId="000000CF">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0">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XXIV Quáter. 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w:t>
      </w:r>
    </w:p>
    <w:p w:rsidR="00000000" w:rsidDel="00000000" w:rsidP="00000000" w:rsidRDefault="00000000" w:rsidRPr="00000000" w14:paraId="000000D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96. </w:t>
      </w:r>
      <w:r w:rsidDel="00000000" w:rsidR="00000000" w:rsidRPr="00000000">
        <w:rPr>
          <w:rFonts w:ascii="Palatino Linotype" w:cs="Palatino Linotype" w:eastAsia="Palatino Linotype" w:hAnsi="Palatino Linotype"/>
          <w:i w:val="1"/>
          <w:sz w:val="22"/>
          <w:szCs w:val="22"/>
          <w:rtl w:val="0"/>
        </w:rPr>
        <w:t xml:space="preserve">Sexies. El Director de Desarrollo Urbano o el Titular de la Unidad Administrativa equivalente, tiene las atribuciones siguientes:</w:t>
      </w:r>
    </w:p>
    <w:p w:rsidR="00000000" w:rsidDel="00000000" w:rsidP="00000000" w:rsidRDefault="00000000" w:rsidRPr="00000000" w14:paraId="000000D2">
      <w:pPr>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3">
      <w:pPr>
        <w:ind w:left="1134"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Analizar las cédulas informativas de zonificación, licencias de uso de suelo y licencias de construcción;…”</w:t>
      </w:r>
    </w:p>
    <w:p w:rsidR="00000000" w:rsidDel="00000000" w:rsidP="00000000" w:rsidRDefault="00000000" w:rsidRPr="00000000" w14:paraId="000000D4">
      <w:pPr>
        <w:spacing w:line="360" w:lineRule="auto"/>
        <w:ind w:right="14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ind w:right="14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la Ley Orgánica Municipal, al igual que el Código Administrativo, contempla como facultad de los ayuntamientos otorgar licencias para uso de suelo, así como licencias para construcciones privadas, atribución que realiza a través </w:t>
      </w:r>
      <w:r w:rsidDel="00000000" w:rsidR="00000000" w:rsidRPr="00000000">
        <w:rPr>
          <w:rFonts w:ascii="Palatino Linotype" w:cs="Palatino Linotype" w:eastAsia="Palatino Linotype" w:hAnsi="Palatino Linotype"/>
          <w:b w:val="1"/>
          <w:sz w:val="22"/>
          <w:szCs w:val="22"/>
          <w:u w:val="single"/>
          <w:rtl w:val="0"/>
        </w:rPr>
        <w:t xml:space="preserve">del Director de Desarrollo Urbano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D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es de indicar que la licencia de construcción como a la que pretende acceder el particular está relacionada con la obligación de transparencia común prevista en la fracción XXXII del artículo 92 de la Ley de la materia, prevé lo siguiente:</w:t>
      </w:r>
    </w:p>
    <w:p w:rsidR="00000000" w:rsidDel="00000000" w:rsidP="00000000" w:rsidRDefault="00000000" w:rsidRPr="00000000" w14:paraId="000000D8">
      <w:pPr>
        <w:spacing w:line="360" w:lineRule="auto"/>
        <w:jc w:val="both"/>
        <w:rPr>
          <w:sz w:val="22"/>
          <w:szCs w:val="22"/>
        </w:rPr>
      </w:pPr>
      <w:r w:rsidDel="00000000" w:rsidR="00000000" w:rsidRPr="00000000">
        <w:rPr>
          <w:rtl w:val="0"/>
        </w:rPr>
      </w:r>
    </w:p>
    <w:p w:rsidR="00000000" w:rsidDel="00000000" w:rsidP="00000000" w:rsidRDefault="00000000" w:rsidRPr="00000000" w14:paraId="000000D9">
      <w:pPr>
        <w:spacing w:line="276" w:lineRule="auto"/>
        <w:ind w:left="567"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DA">
      <w:pPr>
        <w:spacing w:line="276" w:lineRule="auto"/>
        <w:ind w:left="567" w:right="902"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DB">
      <w:pPr>
        <w:spacing w:line="276"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w:t>
      </w:r>
      <w:r w:rsidDel="00000000" w:rsidR="00000000" w:rsidRPr="00000000">
        <w:rPr>
          <w:rFonts w:ascii="Palatino Linotype" w:cs="Palatino Linotype" w:eastAsia="Palatino Linotype" w:hAnsi="Palatino Linotype"/>
          <w:i w:val="1"/>
          <w:sz w:val="22"/>
          <w:szCs w:val="22"/>
          <w:rtl w:val="0"/>
        </w:rPr>
        <w:t xml:space="preserve"> Las concesiones, contratos, convenios, permisos, </w:t>
      </w:r>
      <w:r w:rsidDel="00000000" w:rsidR="00000000" w:rsidRPr="00000000">
        <w:rPr>
          <w:rFonts w:ascii="Palatino Linotype" w:cs="Palatino Linotype" w:eastAsia="Palatino Linotype" w:hAnsi="Palatino Linotype"/>
          <w:b w:val="1"/>
          <w:i w:val="1"/>
          <w:sz w:val="22"/>
          <w:szCs w:val="22"/>
          <w:rtl w:val="0"/>
        </w:rPr>
        <w:t xml:space="preserve">licencias</w:t>
      </w:r>
      <w:r w:rsidDel="00000000" w:rsidR="00000000" w:rsidRPr="00000000">
        <w:rPr>
          <w:rFonts w:ascii="Palatino Linotype" w:cs="Palatino Linotype" w:eastAsia="Palatino Linotype" w:hAnsi="Palatino Linotype"/>
          <w:i w:val="1"/>
          <w:sz w:val="22"/>
          <w:szCs w:val="22"/>
          <w:rtl w:val="0"/>
        </w:rPr>
        <w:t xml:space="preserve">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000000" w:rsidDel="00000000" w:rsidP="00000000" w:rsidRDefault="00000000" w:rsidRPr="00000000" w14:paraId="000000D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Cabe mencionar que para la publicación de las obligaciones de transparencia en los portales de internet, se deben observar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de los que, se desprende que en cumplimiento a la obligación de transparencia de mérito,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Sujetos Obligados deben poner a disposición del público aquella información relacionada con el otorgamiento de dichos documentos, entre la que destaca </w:t>
      </w:r>
      <w:r w:rsidDel="00000000" w:rsidR="00000000" w:rsidRPr="00000000">
        <w:rPr>
          <w:rFonts w:ascii="Palatino Linotype" w:cs="Palatino Linotype" w:eastAsia="Palatino Linotype" w:hAnsi="Palatino Linotype"/>
          <w:b w:val="1"/>
          <w:sz w:val="22"/>
          <w:szCs w:val="22"/>
          <w:u w:val="single"/>
          <w:rtl w:val="0"/>
        </w:rPr>
        <w:t xml:space="preserve">el nombre del titular, los términos</w:t>
      </w:r>
      <w:r w:rsidDel="00000000" w:rsidR="00000000" w:rsidRPr="00000000">
        <w:rPr>
          <w:sz w:val="22"/>
          <w:szCs w:val="22"/>
          <w:u w:val="single"/>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así como si el procedimiento involucra el aprovechamiento de bienes, servicios y/o recursos públicos.</w:t>
      </w: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se advierte que quienes se pronunciaron sobre lo requerido, fueron las unidades administrativas que de acuerdo a sus atribuciones pueden poseer, generar y/o administrar la información requerida.</w:t>
      </w:r>
    </w:p>
    <w:p w:rsidR="00000000" w:rsidDel="00000000" w:rsidP="00000000" w:rsidRDefault="00000000" w:rsidRPr="00000000" w14:paraId="000000E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mayor abundamiento, conviene traer a contexto el procedimiento para la atención a las solicitudes de acceso a la información que los Sujetos Obligados deben seguir, mismo que se encuentra establecido en los artículos 151, 159, 160, 162, 163, 164, 165 y 166, de la Ley de Transparencia y Acceso a la Información Pública del Estado de México y Municipios, que es del tenor siguiente:</w:t>
      </w:r>
    </w:p>
    <w:p w:rsidR="00000000" w:rsidDel="00000000" w:rsidP="00000000" w:rsidRDefault="00000000" w:rsidRPr="00000000" w14:paraId="000000E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numPr>
          <w:ilvl w:val="0"/>
          <w:numId w:val="10"/>
        </w:numPr>
        <w:spacing w:line="276" w:lineRule="auto"/>
        <w:ind w:left="36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000000" w:rsidDel="00000000" w:rsidP="00000000" w:rsidRDefault="00000000" w:rsidRPr="00000000" w14:paraId="000000E4">
      <w:pPr>
        <w:spacing w:line="276" w:lineRule="auto"/>
        <w:ind w:left="-3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5">
      <w:pPr>
        <w:numPr>
          <w:ilvl w:val="0"/>
          <w:numId w:val="10"/>
        </w:numPr>
        <w:spacing w:line="276" w:lineRule="auto"/>
        <w:ind w:left="36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000000" w:rsidDel="00000000" w:rsidP="00000000" w:rsidRDefault="00000000" w:rsidRPr="00000000" w14:paraId="000000E6">
      <w:pPr>
        <w:spacing w:line="276" w:lineRule="auto"/>
        <w:ind w:left="-3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7">
      <w:pPr>
        <w:numPr>
          <w:ilvl w:val="0"/>
          <w:numId w:val="6"/>
        </w:numPr>
        <w:spacing w:line="276" w:lineRule="auto"/>
        <w:ind w:left="36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respuestas a los requerimientos informativos deberán notificarse al interesado en el menor tiempo posible, que no podrá exceder </w:t>
      </w:r>
      <w:r w:rsidDel="00000000" w:rsidR="00000000" w:rsidRPr="00000000">
        <w:rPr>
          <w:rFonts w:ascii="Palatino Linotype" w:cs="Palatino Linotype" w:eastAsia="Palatino Linotype" w:hAnsi="Palatino Linotype"/>
          <w:b w:val="1"/>
          <w:sz w:val="22"/>
          <w:szCs w:val="22"/>
          <w:rtl w:val="0"/>
        </w:rPr>
        <w:t xml:space="preserve">quince días, contados a partir del día siguiente a la presentación de ésta.</w:t>
      </w:r>
      <w:r w:rsidDel="00000000" w:rsidR="00000000" w:rsidRPr="00000000">
        <w:rPr>
          <w:rFonts w:ascii="Palatino Linotype" w:cs="Palatino Linotype" w:eastAsia="Palatino Linotype" w:hAnsi="Palatino Linotype"/>
          <w:sz w:val="22"/>
          <w:szCs w:val="22"/>
          <w:rtl w:val="0"/>
        </w:rPr>
        <w:t xml:space="preserve"> Excepcionalmente, el plazo referido podrá ampliarse por siete días hábiles más, cuando existan razones fundadas y motivadas, a través del Comité de Transparencia;</w:t>
      </w:r>
    </w:p>
    <w:p w:rsidR="00000000" w:rsidDel="00000000" w:rsidP="00000000" w:rsidRDefault="00000000" w:rsidRPr="00000000" w14:paraId="000000E8">
      <w:pPr>
        <w:spacing w:line="276" w:lineRule="auto"/>
        <w:ind w:left="-3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9">
      <w:pPr>
        <w:numPr>
          <w:ilvl w:val="0"/>
          <w:numId w:val="7"/>
        </w:numPr>
        <w:spacing w:line="276" w:lineRule="auto"/>
        <w:ind w:left="36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u w:val="single"/>
          <w:rtl w:val="0"/>
        </w:rPr>
        <w:t xml:space="preserve">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r w:rsidDel="00000000" w:rsidR="00000000" w:rsidRPr="00000000">
        <w:rPr>
          <w:rtl w:val="0"/>
        </w:rPr>
      </w:r>
    </w:p>
    <w:p w:rsidR="00000000" w:rsidDel="00000000" w:rsidP="00000000" w:rsidRDefault="00000000" w:rsidRPr="00000000" w14:paraId="000000EA">
      <w:pPr>
        <w:spacing w:line="276" w:lineRule="auto"/>
        <w:ind w:left="-3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B">
      <w:pPr>
        <w:numPr>
          <w:ilvl w:val="0"/>
          <w:numId w:val="8"/>
        </w:numPr>
        <w:spacing w:line="276" w:lineRule="auto"/>
        <w:ind w:left="360" w:right="560" w:hanging="36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000000" w:rsidDel="00000000" w:rsidP="00000000" w:rsidRDefault="00000000" w:rsidRPr="00000000" w14:paraId="000000EC">
      <w:pPr>
        <w:spacing w:line="276" w:lineRule="auto"/>
        <w:ind w:left="-360" w:right="56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D">
      <w:pPr>
        <w:numPr>
          <w:ilvl w:val="0"/>
          <w:numId w:val="9"/>
        </w:numPr>
        <w:spacing w:line="276" w:lineRule="auto"/>
        <w:ind w:left="360" w:right="560" w:hanging="36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r w:rsidDel="00000000" w:rsidR="00000000" w:rsidRPr="00000000">
        <w:rPr>
          <w:rtl w:val="0"/>
        </w:rPr>
      </w:r>
    </w:p>
    <w:p w:rsidR="00000000" w:rsidDel="00000000" w:rsidP="00000000" w:rsidRDefault="00000000" w:rsidRPr="00000000" w14:paraId="000000E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virtud de lo anterior, se tiene que, </w:t>
      </w:r>
      <w:r w:rsidDel="00000000" w:rsidR="00000000" w:rsidRPr="00000000">
        <w:rPr>
          <w:rFonts w:ascii="Palatino Linotype" w:cs="Palatino Linotype" w:eastAsia="Palatino Linotype" w:hAnsi="Palatino Linotype"/>
          <w:b w:val="1"/>
          <w:sz w:val="22"/>
          <w:szCs w:val="22"/>
          <w:u w:val="single"/>
          <w:rtl w:val="0"/>
        </w:rPr>
        <w:t xml:space="preserve">el procedimiento de búsqueda de la información se tiene por atendido. </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se procede analizar la respuesta proporcionada por los servidores públicos habilitados competentes para efecto de verificar si se colmó el derecho de acceso a la información del particular.</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Sobre los requerimientos relativos al  “</w:t>
      </w:r>
      <w:r w:rsidDel="00000000" w:rsidR="00000000" w:rsidRPr="00000000">
        <w:rPr>
          <w:rFonts w:ascii="Palatino Linotype" w:cs="Palatino Linotype" w:eastAsia="Palatino Linotype" w:hAnsi="Palatino Linotype"/>
          <w:b w:val="1"/>
          <w:i w:val="1"/>
          <w:sz w:val="22"/>
          <w:szCs w:val="22"/>
          <w:rtl w:val="0"/>
        </w:rPr>
        <w:t xml:space="preserve">Número de escritura pública debidamente inscrita en el Registro Público de la Propiedad”</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Nombre del propietario actual y/o instrumento utilizado para el último cambio de dominio.</w:t>
      </w:r>
      <w:r w:rsidDel="00000000" w:rsidR="00000000" w:rsidRPr="00000000">
        <w:rPr>
          <w:rFonts w:ascii="Palatino Linotype" w:cs="Palatino Linotype" w:eastAsia="Palatino Linotype" w:hAnsi="Palatino Linotype"/>
          <w:sz w:val="22"/>
          <w:szCs w:val="22"/>
          <w:rtl w:val="0"/>
        </w:rPr>
        <w:t xml:space="preserve">”, en respuesta el Coordinador de Catastro Municipal indicó que no obraba expediente relacionado con la propiedad de la que hacía referencia el particular en su solicitud, y por tanto no era posible remitir la información; circunstancia que ratificó vía informe justificado.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nos conlleva en afirmar que estamos en presencia de un hecho negativo; pues si bien la Coordinación de Catastro Municipal tiene la atribución de integrar expedientes con documentos que los particulares entregan como requisito para la asignación de una nueva clave catastral, entre ellos, testimonios notariales o contratos, que acreditan la propiedad o posesión; también lo es que ello constituye una atribución potestativa llevar a cabo el trámite de asignación de nueva clave catastral de la que se pudieran entregar dichos documentos.</w:t>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esta manera, no se trata de un caso por el cual la negación del hecho implique la afirmación del mismo, simplemente se está ante una notoria y evidente inexistencia fáctica de la información solicitada, además que quien se pronunció en el presente asunto fue el servidor público habilitado competente.</w:t>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000000" w:rsidDel="00000000" w:rsidP="00000000" w:rsidRDefault="00000000" w:rsidRPr="00000000" w14:paraId="000000F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B">
      <w:pPr>
        <w:spacing w:line="276" w:lineRule="auto"/>
        <w:ind w:left="862" w:right="56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HECHOS NEGATIVOS, NO SON SUSCEPTIBLES DE DEMOSTRACIÓN.</w:t>
      </w:r>
      <w:r w:rsidDel="00000000" w:rsidR="00000000" w:rsidRPr="00000000">
        <w:rPr>
          <w:rtl w:val="0"/>
        </w:rPr>
      </w:r>
    </w:p>
    <w:p w:rsidR="00000000" w:rsidDel="00000000" w:rsidP="00000000" w:rsidRDefault="00000000" w:rsidRPr="00000000" w14:paraId="000000FC">
      <w:pPr>
        <w:spacing w:line="276" w:lineRule="auto"/>
        <w:ind w:left="862" w:right="56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Tratándose de un hecho negativo, el Juez no tiene por que invocar prueba alguna de la que se desprenda, ya que es bien sabido que esta clase de hechos no son susceptibles de demostración.</w:t>
      </w:r>
      <w:r w:rsidDel="00000000" w:rsidR="00000000" w:rsidRPr="00000000">
        <w:rPr>
          <w:rtl w:val="0"/>
        </w:rPr>
      </w:r>
    </w:p>
    <w:p w:rsidR="00000000" w:rsidDel="00000000" w:rsidP="00000000" w:rsidRDefault="00000000" w:rsidRPr="00000000" w14:paraId="000000FD">
      <w:pPr>
        <w:spacing w:line="276" w:lineRule="auto"/>
        <w:ind w:left="862" w:right="56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Amparo en revisión 2022/61. José García Florín (Menor). 9 de octubre de 1961. Cinco votos. Ponente: José Rivera Pérez Campos.”</w:t>
      </w:r>
    </w:p>
    <w:p w:rsidR="00000000" w:rsidDel="00000000" w:rsidP="00000000" w:rsidRDefault="00000000" w:rsidRPr="00000000" w14:paraId="000000F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es dable tener por atendidos los requerimientos relativos al  “</w:t>
      </w:r>
      <w:r w:rsidDel="00000000" w:rsidR="00000000" w:rsidRPr="00000000">
        <w:rPr>
          <w:rFonts w:ascii="Palatino Linotype" w:cs="Palatino Linotype" w:eastAsia="Palatino Linotype" w:hAnsi="Palatino Linotype"/>
          <w:b w:val="1"/>
          <w:i w:val="1"/>
          <w:sz w:val="22"/>
          <w:szCs w:val="22"/>
          <w:rtl w:val="0"/>
        </w:rPr>
        <w:t xml:space="preserve">Número de escritura pública debidamente inscrita en el Registro Público de la Propiedad”</w:t>
      </w:r>
      <w:r w:rsidDel="00000000" w:rsidR="00000000" w:rsidRPr="00000000">
        <w:rPr>
          <w:rFonts w:ascii="Palatino Linotype" w:cs="Palatino Linotype" w:eastAsia="Palatino Linotype" w:hAnsi="Palatino Linotype"/>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Nombre del propietario actual y/o instrumento utilizado para el último cambio de dominio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0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las razones o motivos de inconformidad, por cuanto hace a la respuesta del Coordinador de Catastro Municipal resulten infundadas, pues dicho servidor público habilitado competente si se pronunció sobre el inmueble indicado en la solicitud.</w:t>
      </w:r>
    </w:p>
    <w:p w:rsidR="00000000" w:rsidDel="00000000" w:rsidP="00000000" w:rsidRDefault="00000000" w:rsidRPr="00000000" w14:paraId="000001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sobre los requerimientos relativos </w:t>
      </w:r>
      <w:r w:rsidDel="00000000" w:rsidR="00000000" w:rsidRPr="00000000">
        <w:rPr>
          <w:rFonts w:ascii="Palatino Linotype" w:cs="Palatino Linotype" w:eastAsia="Palatino Linotype" w:hAnsi="Palatino Linotype"/>
          <w:b w:val="1"/>
          <w:sz w:val="22"/>
          <w:szCs w:val="22"/>
          <w:rtl w:val="0"/>
        </w:rPr>
        <w:t xml:space="preserve">al uso actual del suelo del predio indicado por el particular en la solicitud, así como los últimos permisos de construcción del periodo comprendido del 01 de enero de 2020 al 29 de agosto de 2024 (fecha de la solicitud)</w:t>
      </w:r>
      <w:r w:rsidDel="00000000" w:rsidR="00000000" w:rsidRPr="00000000">
        <w:rPr>
          <w:rFonts w:ascii="Palatino Linotype" w:cs="Palatino Linotype" w:eastAsia="Palatino Linotype" w:hAnsi="Palatino Linotype"/>
          <w:sz w:val="22"/>
          <w:szCs w:val="22"/>
          <w:rtl w:val="0"/>
        </w:rPr>
        <w:t xml:space="preserve">, es de recordar que en respuesta si bien se pronunció el Director de Desarrollo Urbano, también lo es que dicho servidor público habilitado competente se pronunció sobre un predio diverso al referido por el particular.</w:t>
      </w:r>
    </w:p>
    <w:p w:rsidR="00000000" w:rsidDel="00000000" w:rsidP="00000000" w:rsidRDefault="00000000" w:rsidRPr="00000000" w14:paraId="000001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efecto, conviene citar el predio respecto del cual se solicitó la información y que incluso el particular aportó</w:t>
      </w:r>
      <w:r w:rsidDel="00000000" w:rsidR="00000000" w:rsidRPr="00000000">
        <w:rPr>
          <w:rtl w:val="0"/>
        </w:rPr>
        <w:t xml:space="preserve"> </w:t>
      </w:r>
      <w:r w:rsidDel="00000000" w:rsidR="00000000" w:rsidRPr="00000000">
        <w:rPr>
          <w:rFonts w:ascii="Palatino Linotype" w:cs="Palatino Linotype" w:eastAsia="Palatino Linotype" w:hAnsi="Palatino Linotype"/>
          <w:sz w:val="22"/>
          <w:szCs w:val="22"/>
          <w:rtl w:val="0"/>
        </w:rPr>
        <w:t xml:space="preserve">imágenes de “Google Maps”:</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7">
      <w:pPr>
        <w:spacing w:line="276" w:lineRule="auto"/>
        <w:ind w:left="567"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“predio ubicado sobre Prolongación Miguel Hidalgo, municipio de Tenango del Valle, para pronta referencia, dentro de las coordenadas XXXXXXXXXXXXXXXXXXXXXXXXXXXXXXX que se desprende y está en la parte exterior del predio actualmente denominado Fraccionamiento el SAUCO con XXXXXXXXXXX” (Sic)</w:t>
      </w:r>
      <w:r w:rsidDel="00000000" w:rsidR="00000000" w:rsidRPr="00000000">
        <w:rPr>
          <w:rtl w:val="0"/>
        </w:rPr>
      </w:r>
    </w:p>
    <w:p w:rsidR="00000000" w:rsidDel="00000000" w:rsidP="00000000" w:rsidRDefault="00000000" w:rsidRPr="00000000" w14:paraId="0000010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del oficio de respuesta del Director de Desarrollo Urbano, se advierte que este servidor público se pronunció sobre el predio ubicado en:</w:t>
      </w:r>
    </w:p>
    <w:p w:rsidR="00000000" w:rsidDel="00000000" w:rsidP="00000000" w:rsidRDefault="00000000" w:rsidRPr="00000000" w14:paraId="0000010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B">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“…del predio ubicado sobre Prolongación Miguel Hidalgo, Municipio de Tenango del Valle, predio actualmente denominado Fraccionamiento el SAUCO con XXXXXXXXXXX</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1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advierte de lo anterior, el inmueble al que hace referencia el particular se localiza en la parte exterior del Fraccionamiento el SAUCO con </w:t>
      </w:r>
      <w:r w:rsidDel="00000000" w:rsidR="00000000" w:rsidRPr="00000000">
        <w:rPr>
          <w:rFonts w:ascii="Palatino Linotype" w:cs="Palatino Linotype" w:eastAsia="Palatino Linotype" w:hAnsi="Palatino Linotype"/>
          <w:i w:val="1"/>
          <w:sz w:val="22"/>
          <w:szCs w:val="22"/>
          <w:rtl w:val="0"/>
        </w:rPr>
        <w:t xml:space="preserve">XXXXXXXXXXX</w:t>
      </w:r>
      <w:r w:rsidDel="00000000" w:rsidR="00000000" w:rsidRPr="00000000">
        <w:rPr>
          <w:rFonts w:ascii="Palatino Linotype" w:cs="Palatino Linotype" w:eastAsia="Palatino Linotype" w:hAnsi="Palatino Linotype"/>
          <w:sz w:val="22"/>
          <w:szCs w:val="22"/>
          <w:rtl w:val="0"/>
        </w:rPr>
        <w:t xml:space="preserve">; y el Sujeto Obligado se pronunció sobre el Fraccionamiento indicado.</w:t>
      </w:r>
    </w:p>
    <w:p w:rsidR="00000000" w:rsidDel="00000000" w:rsidP="00000000" w:rsidRDefault="00000000" w:rsidRPr="00000000" w14:paraId="0000010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0F">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ahí que las razones o motivos de inconformidad, por cuanto hace a la respuesta del Director de Desarrollo Urbano resulten fundadas, pues se proporcionó información que no corresponde al bien inmueble solicitado.</w:t>
      </w:r>
    </w:p>
    <w:p w:rsidR="00000000" w:rsidDel="00000000" w:rsidP="00000000" w:rsidRDefault="00000000" w:rsidRPr="00000000" w14:paraId="0000011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lo anterior, se advierte que vía informe justificado,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subsanó la omisión en la que incurrió y proporcionó respecto de los requerimientos de nuestra atención por conducto del Director de Desarrollo Urbano, la siguiente información:</w:t>
      </w:r>
    </w:p>
    <w:p w:rsidR="00000000" w:rsidDel="00000000" w:rsidP="00000000" w:rsidRDefault="00000000" w:rsidRPr="00000000" w14:paraId="0000011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u w:val="single"/>
          <w:rtl w:val="0"/>
        </w:rPr>
        <w:t xml:space="preserve">Sobre el uso actual del suelo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del predio ubicado sobre Prolongación Miguel Hidalgo, municipio de Tenango del Valle, dentro de las coordenadas XXXXXXXXXXXXXXXXXXXXXXXXXXXXXXXXX que se desprende y está en la parte exterior del predio actualmente denominado Fraccionamiento el SAUCO con </w:t>
      </w:r>
      <w:r w:rsidDel="00000000" w:rsidR="00000000" w:rsidRPr="00000000">
        <w:rPr>
          <w:rFonts w:ascii="Palatino Linotype" w:cs="Palatino Linotype" w:eastAsia="Palatino Linotype" w:hAnsi="Palatino Linotype"/>
          <w:i w:val="1"/>
          <w:sz w:val="22"/>
          <w:szCs w:val="22"/>
          <w:rtl w:val="0"/>
        </w:rPr>
        <w:t xml:space="preserve">XXXXXXXXXXX</w:t>
      </w:r>
      <w:r w:rsidDel="00000000" w:rsidR="00000000" w:rsidRPr="00000000">
        <w:rPr>
          <w:rFonts w:ascii="Palatino Linotype" w:cs="Palatino Linotype" w:eastAsia="Palatino Linotype" w:hAnsi="Palatino Linotype"/>
          <w:sz w:val="22"/>
          <w:szCs w:val="22"/>
          <w:rtl w:val="0"/>
        </w:rPr>
        <w:t xml:space="preserve">, tomando como base el archivo adjunto, las coordenadas e imágenes fotográficas proporcionadas por el particular, la propiedad de la cual se requiere la información se encuentra en la clasificación de uso de suelo siguiente:</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927" w:right="49" w:firstLine="0"/>
        <w:jc w:val="both"/>
        <w:rPr>
          <w:rFonts w:ascii="Palatino Linotype" w:cs="Palatino Linotype" w:eastAsia="Palatino Linotype" w:hAnsi="Palatino Linotype"/>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426"/>
        </w:tabs>
        <w:spacing w:line="276" w:lineRule="auto"/>
        <w:ind w:right="49"/>
        <w:jc w:val="center"/>
        <w:rPr>
          <w:rFonts w:ascii="Palatino Linotype" w:cs="Palatino Linotype" w:eastAsia="Palatino Linotype" w:hAnsi="Palatino Linotype"/>
          <w:sz w:val="22"/>
          <w:szCs w:val="22"/>
        </w:rPr>
      </w:pPr>
      <w:r w:rsidDel="00000000" w:rsidR="00000000" w:rsidRPr="00000000">
        <w:rPr/>
        <w:drawing>
          <wp:inline distB="0" distT="0" distL="0" distR="0">
            <wp:extent cx="4934646" cy="1533741"/>
            <wp:effectExtent b="3175" l="3175" r="3175" t="3175"/>
            <wp:docPr id="4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34646" cy="1533741"/>
                    </a:xfrm>
                    <a:prstGeom prst="rect"/>
                    <a:ln w="317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426"/>
        </w:tabs>
        <w:spacing w:line="276" w:lineRule="auto"/>
        <w:ind w:right="49"/>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De esta manera, si bien el derecho de acceso a la información pública se satisface en aquellos casos en que se entregue el soporte documental en que conste la información pública, sin la necesidad de elaborar documentos </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ad hoc</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Sin embargo, en el caso se aprecia que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elaboró un documento ad hoc para dar cabal cumplimiento al derecho de acceso a la información del particular aún y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cuando no es una obligación de las autoridades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A">
      <w:pPr>
        <w:spacing w:line="360" w:lineRule="auto"/>
        <w:rPr>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Expedientes:</w:t>
      </w: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0438/08 Pemex Exploración y Producción – Alonso Lujambio Irazábal</w:t>
      </w: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1751/09 Laboratorios de Biológicos y Reactivos de México S.A. de C.V.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María Marván Laborde</w:t>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2868/09 Consejo Nacional de Ciencia y Tecnología – Jacqueline Peschard</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Mariscal</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5160/09 Secretaría de Hacienda y Crédito Público – Ángel Trinidad Zaldívar</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67" w:right="616"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0304/10 Instituto Nacional de Cancerología – Jacqueline Peschard Mariscal”</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Entonces, dado a que el criterio en mención establece que las autoridades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no están obligadas a generar documentos “ad hoc”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en contrario sensu, dicho criterio se puede interpretar resultando que las autoridades no están impedidas a generar documentos “ad hoc”, esto, siempre que con dicho documento elaborado se dé cabal cumplimiento a los requerimientos planteados; cuestión que se cumplió a cabalidad con relación al requerimiento relativo al </w:t>
      </w:r>
      <w:r w:rsidDel="00000000" w:rsidR="00000000" w:rsidRPr="00000000">
        <w:rPr>
          <w:rFonts w:ascii="Palatino Linotype" w:cs="Palatino Linotype" w:eastAsia="Palatino Linotype" w:hAnsi="Palatino Linotype"/>
          <w:b w:val="1"/>
          <w:i w:val="0"/>
          <w:smallCaps w:val="0"/>
          <w:strike w:val="0"/>
          <w:color w:val="000000"/>
          <w:sz w:val="22"/>
          <w:szCs w:val="22"/>
          <w:u w:val="single"/>
          <w:shd w:fill="auto" w:val="clear"/>
          <w:vertAlign w:val="baseline"/>
          <w:rtl w:val="0"/>
        </w:rPr>
        <w:t xml:space="preserve">uso actual del suelo del predio indicado por el particular,</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pues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hizo del conocimiento que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clasificación que tiene el uso del suelo del inmueble señalado por la hoy parte Recurrente.</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left" w:leader="none" w:pos="426"/>
        </w:tabs>
        <w:spacing w:line="276" w:lineRule="auto"/>
        <w:ind w:right="49"/>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con relación al requerimiento relativo a los “</w:t>
      </w:r>
      <w:r w:rsidDel="00000000" w:rsidR="00000000" w:rsidRPr="00000000">
        <w:rPr>
          <w:rFonts w:ascii="Palatino Linotype" w:cs="Palatino Linotype" w:eastAsia="Palatino Linotype" w:hAnsi="Palatino Linotype"/>
          <w:b w:val="1"/>
          <w:sz w:val="22"/>
          <w:szCs w:val="22"/>
          <w:rtl w:val="0"/>
        </w:rPr>
        <w:t xml:space="preserve">últimos permisos de construcción del 01 de enero de 2020 al 29 de agosto de 2024</w:t>
      </w:r>
      <w:r w:rsidDel="00000000" w:rsidR="00000000" w:rsidRPr="00000000">
        <w:rPr>
          <w:rFonts w:ascii="Palatino Linotype" w:cs="Palatino Linotype" w:eastAsia="Palatino Linotype" w:hAnsi="Palatino Linotype"/>
          <w:sz w:val="22"/>
          <w:szCs w:val="22"/>
          <w:rtl w:val="0"/>
        </w:rPr>
        <w:t xml:space="preserve">”, con relación al predio indicado en la solicitud, el Director de Desarrollo Urbano señaló que, derivado de la búsqueda exhaustiva en los archivos que obran en dicha Dirección en el periodo requerido no se encontró algún permiso de construcción de la propiedad de la que el solicitante pide la información.</w:t>
      </w:r>
    </w:p>
    <w:p w:rsidR="00000000" w:rsidDel="00000000" w:rsidP="00000000" w:rsidRDefault="00000000" w:rsidRPr="00000000" w14:paraId="0000012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nos conlleva en afirmar que estamos en presencia de un hecho negativo; pues si bien la Dirección de Desarrollo Urbano tiene la atribución de expedir licencias de construcción; también lo es que ello constituye una atribución potestativa que se ejerce previa solicitud de los particulares.</w:t>
      </w:r>
    </w:p>
    <w:p w:rsidR="00000000" w:rsidDel="00000000" w:rsidP="00000000" w:rsidRDefault="00000000" w:rsidRPr="00000000" w14:paraId="0000012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tanto, la información proporcionada para atender los requerimientos de mérito se considera que resultan suficientes para tener por colmado el derecho de acceso a la información pública del particular.</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C">
      <w:pPr>
        <w:spacing w:after="0" w:before="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es de mencionar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000000" w:rsidDel="00000000" w:rsidP="00000000" w:rsidRDefault="00000000" w:rsidRPr="00000000" w14:paraId="0000012D">
      <w:pPr>
        <w:tabs>
          <w:tab w:val="left" w:leader="none" w:pos="709"/>
        </w:tabs>
        <w:spacing w:after="0" w:before="0" w:line="360" w:lineRule="auto"/>
        <w:ind w:right="4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0">
      <w:pPr>
        <w:spacing w:after="0" w:before="0" w:line="276" w:lineRule="auto"/>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una vez analizadas las constancias que integran el expediente en que se actúa se advierte que vía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colmó en su totalidad el derecho de acceso a la información pública al modificar su respuesta; ello, actualizó la causal de sobreseimiento prevista en la fracción III del artículo 192 de la Ley de Transparencia y Acceso a la Información Pública del Estado de México y Municipios, que dispone lo siguiente:</w:t>
      </w:r>
    </w:p>
    <w:p w:rsidR="00000000" w:rsidDel="00000000" w:rsidP="00000000" w:rsidRDefault="00000000" w:rsidRPr="00000000" w14:paraId="00000133">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192. </w:t>
      </w:r>
      <w:r w:rsidDel="00000000" w:rsidR="00000000" w:rsidRPr="00000000">
        <w:rPr>
          <w:rFonts w:ascii="Palatino Linotype" w:cs="Palatino Linotype" w:eastAsia="Palatino Linotype" w:hAnsi="Palatino Linotype"/>
          <w:i w:val="1"/>
          <w:sz w:val="22"/>
          <w:szCs w:val="22"/>
          <w:rtl w:val="0"/>
        </w:rPr>
        <w:t xml:space="preserve">El recurso será sobreseído en todo o en parte cuando una vez admitido, se actualicen alguno de los siguientes supuestos:</w:t>
      </w:r>
    </w:p>
    <w:p w:rsidR="00000000" w:rsidDel="00000000" w:rsidP="00000000" w:rsidRDefault="00000000" w:rsidRPr="00000000" w14:paraId="00000135">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36">
      <w:pPr>
        <w:ind w:left="992" w:right="1043"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El sujeto obligado responsable del acto lo modifique o revoque de tal manera que el recurso de revisión quede sin materia…”. (Sic)</w:t>
      </w:r>
    </w:p>
    <w:p w:rsidR="00000000" w:rsidDel="00000000" w:rsidP="00000000" w:rsidRDefault="00000000" w:rsidRPr="00000000" w14:paraId="00000137">
      <w:pPr>
        <w:spacing w:line="360" w:lineRule="auto"/>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38">
      <w:pP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establecido en el precepto legal citado se advierte que el sobreseimiento del recurso de revisión procede en los siguientes casos:</w:t>
      </w:r>
    </w:p>
    <w:p w:rsidR="00000000" w:rsidDel="00000000" w:rsidP="00000000" w:rsidRDefault="00000000" w:rsidRPr="00000000" w14:paraId="000001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 Cuando el sujeto obligado modifique el acto impugnado.</w:t>
      </w:r>
    </w:p>
    <w:p w:rsidR="00000000" w:rsidDel="00000000" w:rsidP="00000000" w:rsidRDefault="00000000" w:rsidRPr="00000000" w14:paraId="0000013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 Cuando el sujeto obligado revoque el acto impugnado.</w:t>
      </w:r>
    </w:p>
    <w:p w:rsidR="00000000" w:rsidDel="00000000" w:rsidP="00000000" w:rsidRDefault="00000000" w:rsidRPr="00000000" w14:paraId="0000013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Quedando en ambos casos el acto combatido sin materia o sin efectos.</w:t>
      </w:r>
    </w:p>
    <w:p w:rsidR="00000000" w:rsidDel="00000000" w:rsidP="00000000" w:rsidRDefault="00000000" w:rsidRPr="00000000" w14:paraId="0000013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observa de lo anterior, un acto impugnado es modificado en aquellos casos en los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después de haber otorgado una respuesta, emite una diversa de manera posterior y en esta subsana las deficiencias que hubiera tenido, quedando satisfecho el derecho subjetivo accionado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13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 la revocación, esta se actualiza cuando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deja sin efectos la primera respuesta y en su lugar emite otra con las características y cualidades suficientes para dejar satisfecho el ejercicio del derecho al acceso a la información pública.</w:t>
      </w:r>
    </w:p>
    <w:p w:rsidR="00000000" w:rsidDel="00000000" w:rsidP="00000000" w:rsidRDefault="00000000" w:rsidRPr="00000000" w14:paraId="000001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tenor, un acto impugnado queda sin efectos, cuando aun existiendo jurídicamente (esto es, que no se ha modificado, ni revocado) ya no genera ninguna consecuencia legal.</w:t>
      </w:r>
    </w:p>
    <w:p w:rsidR="00000000" w:rsidDel="00000000" w:rsidP="00000000" w:rsidRDefault="00000000" w:rsidRPr="00000000" w14:paraId="000001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tanto, el recurso de revisión de referencia queda sin materia, toda vez que, con el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modificó su respuesta al pronunciarse sobre lo solicitado.</w:t>
      </w:r>
    </w:p>
    <w:p w:rsidR="00000000" w:rsidDel="00000000" w:rsidP="00000000" w:rsidRDefault="00000000" w:rsidRPr="00000000" w14:paraId="0000014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tomando en consideración dicha circunstancia, así como el hecho de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informe justificado fue puesta a la vista de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con la finalidad de que manifestara lo que a su derecho conviniera, sin que obre constancia en el expediente electrónico de que dicho derecho se hiciera valer, debe entenderse que ha quedado satisfecha la solicitud planteada, quedando sin materia el recurso de revisión </w:t>
      </w:r>
      <w:r w:rsidDel="00000000" w:rsidR="00000000" w:rsidRPr="00000000">
        <w:rPr>
          <w:rFonts w:ascii="Palatino Linotype" w:cs="Palatino Linotype" w:eastAsia="Palatino Linotype" w:hAnsi="Palatino Linotype"/>
          <w:b w:val="1"/>
          <w:sz w:val="22"/>
          <w:szCs w:val="22"/>
          <w:rtl w:val="0"/>
        </w:rPr>
        <w:t xml:space="preserve">05514/INFOEM/IP/RR/2024</w:t>
      </w:r>
      <w:r w:rsidDel="00000000" w:rsidR="00000000" w:rsidRPr="00000000">
        <w:rPr>
          <w:rFonts w:ascii="Palatino Linotype" w:cs="Palatino Linotype" w:eastAsia="Palatino Linotype" w:hAnsi="Palatino Linotype"/>
          <w:sz w:val="22"/>
          <w:szCs w:val="22"/>
          <w:rtl w:val="0"/>
        </w:rPr>
        <w:t xml:space="preserve">, consecuentemente se actualiza la causal prevista de sobreseimiento antes transcrita; resultando procedente el sobreseimiento de dicho medio de impugnación en términos del artículo 186, fracción I de la Ley de Transparencia y Acceso a la Información Pública del Estado de México y Municipios.</w:t>
      </w:r>
    </w:p>
    <w:p w:rsidR="00000000" w:rsidDel="00000000" w:rsidP="00000000" w:rsidRDefault="00000000" w:rsidRPr="00000000" w14:paraId="000001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pues se insiste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atendió de la solicitud de acceso a la información pública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000000" w:rsidDel="00000000" w:rsidP="00000000" w:rsidRDefault="00000000" w:rsidRPr="00000000" w14:paraId="0000014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el </w:t>
      </w:r>
      <w:r w:rsidDel="00000000" w:rsidR="00000000" w:rsidRPr="00000000">
        <w:rPr>
          <w:rFonts w:ascii="Palatino Linotype" w:cs="Palatino Linotype" w:eastAsia="Palatino Linotype" w:hAnsi="Palatino Linotype"/>
          <w:i w:val="1"/>
          <w:sz w:val="22"/>
          <w:szCs w:val="22"/>
          <w:rtl w:val="0"/>
        </w:rPr>
        <w:t xml:space="preserve">sobreseimiento</w:t>
      </w:r>
      <w:r w:rsidDel="00000000" w:rsidR="00000000" w:rsidRPr="00000000">
        <w:rPr>
          <w:rFonts w:ascii="Palatino Linotype" w:cs="Palatino Linotype" w:eastAsia="Palatino Linotype" w:hAnsi="Palatino Linotype"/>
          <w:sz w:val="22"/>
          <w:szCs w:val="22"/>
          <w:rtl w:val="0"/>
        </w:rPr>
        <w:t xml:space="preserve"> un acto que da por terminado el procedimiento administrativo de impugnación sin resolver el fondo de la cuestión planteada, por presentarse causas que impiden a la autoridad referirse a lo sustancial de lo planteado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los efectos del sobreseimiento son los de dar por concluido el recurso administrativo sin entrar al estudio de fondo del asunto de que se trate; lo anterior con apoyo en el criterio del Poder Judicial de la Federación con rubro:</w:t>
      </w:r>
    </w:p>
    <w:p w:rsidR="00000000" w:rsidDel="00000000" w:rsidP="00000000" w:rsidRDefault="00000000" w:rsidRPr="00000000" w14:paraId="00000149">
      <w:pPr>
        <w:spacing w:before="240"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SOBRESEIMIENTO, NO PERMITE ENTRAR AL ESTUDIO DE LAS CUESTIONES DE FONDO </w:t>
      </w:r>
      <w:r w:rsidDel="00000000" w:rsidR="00000000" w:rsidRPr="00000000">
        <w:rPr>
          <w:rFonts w:ascii="Palatino Linotype" w:cs="Palatino Linotype" w:eastAsia="Palatino Linotype" w:hAnsi="Palatino Linotype"/>
          <w:i w:val="1"/>
          <w:sz w:val="22"/>
          <w:szCs w:val="22"/>
          <w:rtl w:val="0"/>
        </w:rPr>
        <w:t xml:space="preserve">Localización: 213609. II.2o.183 K. Tribunales Colegiados de Circuito. Octava Época. Semanario Judicial de la Federación. Tomo XIII, Febrero de 1994, Pág. 420</w:t>
      </w:r>
    </w:p>
    <w:p w:rsidR="00000000" w:rsidDel="00000000" w:rsidP="00000000" w:rsidRDefault="00000000" w:rsidRPr="00000000" w14:paraId="0000014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00000" w:rsidDel="00000000" w:rsidP="00000000" w:rsidRDefault="00000000" w:rsidRPr="00000000" w14:paraId="0000014B">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C">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2"/>
          <w:szCs w:val="22"/>
          <w:rtl w:val="0"/>
        </w:rPr>
        <w:t xml:space="preserve">Cabe destacar que la decisión de este órgano colegiado de sobreseer el recurso de revisión no implica una limitación o negación a la justicia, según lo ha establecido el Poder Judicial Federal, en el criterio que es aplicable por analogía, con rubro:</w:t>
      </w:r>
      <w:r w:rsidDel="00000000" w:rsidR="00000000" w:rsidRPr="00000000">
        <w:rPr>
          <w:rtl w:val="0"/>
        </w:rPr>
      </w:r>
    </w:p>
    <w:p w:rsidR="00000000" w:rsidDel="00000000" w:rsidP="00000000" w:rsidRDefault="00000000" w:rsidRPr="00000000" w14:paraId="0000014D">
      <w:pPr>
        <w:spacing w:before="240"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“DESECHAMIENTO O SOBRESEIMIENTO EN EL JUICIO DE AMPARO. NO IMPLICA DENEGACIÓN DE JUSTICIA NI GENERA INSEGURIDAD JURÍDICA”</w:t>
      </w:r>
    </w:p>
    <w:p w:rsidR="00000000" w:rsidDel="00000000" w:rsidP="00000000" w:rsidRDefault="00000000" w:rsidRPr="00000000" w14:paraId="0000014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00000" w:rsidDel="00000000" w:rsidP="00000000" w:rsidRDefault="00000000" w:rsidRPr="00000000" w14:paraId="0000014F">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0">
      <w:pPr>
        <w:spacing w:line="360" w:lineRule="auto"/>
        <w:jc w:val="both"/>
        <w:rPr>
          <w:rFonts w:ascii="Palatino Linotype" w:cs="Palatino Linotype" w:eastAsia="Palatino Linotype" w:hAnsi="Palatino Linotype"/>
          <w:sz w:val="22"/>
          <w:szCs w:val="22"/>
        </w:rPr>
      </w:pPr>
      <w:bookmarkStart w:colFirst="0" w:colLast="0" w:name="_heading=h.2et92p0" w:id="8"/>
      <w:bookmarkEnd w:id="8"/>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tercero, trigésimo cuarto, trigésimo quinto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rsidR="00000000" w:rsidDel="00000000" w:rsidP="00000000" w:rsidRDefault="00000000" w:rsidRPr="00000000" w14:paraId="0000015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2">
      <w:pPr>
        <w:numPr>
          <w:ilvl w:val="0"/>
          <w:numId w:val="11"/>
        </w:numPr>
        <w:pBdr>
          <w:top w:space="0" w:sz="0" w:val="nil"/>
          <w:left w:space="0" w:sz="0" w:val="nil"/>
          <w:bottom w:space="0" w:sz="0" w:val="nil"/>
          <w:right w:space="0" w:sz="0" w:val="nil"/>
          <w:between w:space="0" w:sz="0" w:val="nil"/>
        </w:pBdr>
        <w:spacing w:line="360" w:lineRule="auto"/>
        <w:ind w:left="1080" w:hanging="720"/>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153">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Sobresee </w:t>
      </w:r>
      <w:r w:rsidDel="00000000" w:rsidR="00000000" w:rsidRPr="00000000">
        <w:rPr>
          <w:rFonts w:ascii="Palatino Linotype" w:cs="Palatino Linotype" w:eastAsia="Palatino Linotype" w:hAnsi="Palatino Linotype"/>
          <w:sz w:val="22"/>
          <w:szCs w:val="22"/>
          <w:rtl w:val="0"/>
        </w:rPr>
        <w:t xml:space="preserve">el recurso de revisión número</w:t>
      </w:r>
      <w:r w:rsidDel="00000000" w:rsidR="00000000" w:rsidRPr="00000000">
        <w:rPr>
          <w:rFonts w:ascii="Palatino Linotype" w:cs="Palatino Linotype" w:eastAsia="Palatino Linotype" w:hAnsi="Palatino Linotype"/>
          <w:b w:val="1"/>
          <w:sz w:val="22"/>
          <w:szCs w:val="22"/>
          <w:rtl w:val="0"/>
        </w:rPr>
        <w:t xml:space="preserve"> 05514/INFOEM/IP/RR/2024,</w:t>
      </w:r>
      <w:r w:rsidDel="00000000" w:rsidR="00000000" w:rsidRPr="00000000">
        <w:rPr>
          <w:rFonts w:ascii="Palatino Linotype" w:cs="Palatino Linotype" w:eastAsia="Palatino Linotype" w:hAnsi="Palatino Linotype"/>
          <w:sz w:val="22"/>
          <w:szCs w:val="22"/>
          <w:rtl w:val="0"/>
        </w:rPr>
        <w:t xml:space="preserve"> porque al </w:t>
      </w:r>
      <w:r w:rsidDel="00000000" w:rsidR="00000000" w:rsidRPr="00000000">
        <w:rPr>
          <w:rFonts w:ascii="Palatino Linotype" w:cs="Palatino Linotype" w:eastAsia="Palatino Linotype" w:hAnsi="Palatino Linotype"/>
          <w:b w:val="1"/>
          <w:sz w:val="22"/>
          <w:szCs w:val="22"/>
          <w:rtl w:val="0"/>
        </w:rPr>
        <w:t xml:space="preserve">modificar la respuesta</w:t>
      </w:r>
      <w:r w:rsidDel="00000000" w:rsidR="00000000" w:rsidRPr="00000000">
        <w:rPr>
          <w:rFonts w:ascii="Palatino Linotype" w:cs="Palatino Linotype" w:eastAsia="Palatino Linotype" w:hAnsi="Palatino Linotype"/>
          <w:sz w:val="22"/>
          <w:szCs w:val="22"/>
          <w:rtl w:val="0"/>
        </w:rPr>
        <w:t xml:space="preserve"> se actualizó la causal prevista en el artículo 192, fracción III, de la Ley de Transparencia y Acceso a la Información Pública del Estado de México y Municipios, quedándose sin materia dicho medio de impugnación en términos del considerando </w:t>
      </w:r>
      <w:r w:rsidDel="00000000" w:rsidR="00000000" w:rsidRPr="00000000">
        <w:rPr>
          <w:rFonts w:ascii="Palatino Linotype" w:cs="Palatino Linotype" w:eastAsia="Palatino Linotype" w:hAnsi="Palatino Linotype"/>
          <w:b w:val="1"/>
          <w:sz w:val="22"/>
          <w:szCs w:val="22"/>
          <w:rtl w:val="0"/>
        </w:rPr>
        <w:t xml:space="preserve">Tercero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154">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al Responsable de la Unidad de Transparencia del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la presente resolución, para su conocimiento, lo anterior en términos del artículo 189 de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1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sz w:val="22"/>
          <w:szCs w:val="22"/>
          <w:rtl w:val="0"/>
        </w:rPr>
        <w:t xml:space="preserve">Notifíquese </w:t>
      </w:r>
      <w:r w:rsidDel="00000000" w:rsidR="00000000" w:rsidRPr="00000000">
        <w:rPr>
          <w:rFonts w:ascii="Palatino Linotype" w:cs="Palatino Linotype" w:eastAsia="Palatino Linotype" w:hAnsi="Palatino Linotype"/>
          <w:sz w:val="22"/>
          <w:szCs w:val="22"/>
          <w:rtl w:val="0"/>
        </w:rPr>
        <w:t xml:space="preserve">vía SAIMEX</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presente resolución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00000" w:rsidDel="00000000" w:rsidP="00000000" w:rsidRDefault="00000000" w:rsidRPr="00000000" w14:paraId="0000015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SEIS DE NOVIEMBRE DE DOS MIL VEINTICUATRO, ANTE EL SECRETARIO TÉCNICO DEL PLENO ALEXIS TAPIA RAMÍREZ. </w:t>
      </w:r>
    </w:p>
    <w:p w:rsidR="00000000" w:rsidDel="00000000" w:rsidP="00000000" w:rsidRDefault="00000000" w:rsidRPr="00000000" w14:paraId="00000159">
      <w:pPr>
        <w:rPr>
          <w:rFonts w:ascii="Palatino Linotype" w:cs="Palatino Linotype" w:eastAsia="Palatino Linotype" w:hAnsi="Palatino Linotype"/>
          <w:sz w:val="22"/>
          <w:szCs w:val="22"/>
        </w:rPr>
      </w:pPr>
      <w:bookmarkStart w:colFirst="0" w:colLast="0" w:name="_heading=h.17dp8vu" w:id="9"/>
      <w:bookmarkEnd w:id="9"/>
      <w:r w:rsidDel="00000000" w:rsidR="00000000" w:rsidRPr="00000000">
        <w:rPr>
          <w:rtl w:val="0"/>
        </w:rPr>
      </w:r>
    </w:p>
    <w:p w:rsidR="00000000" w:rsidDel="00000000" w:rsidP="00000000" w:rsidRDefault="00000000" w:rsidRPr="00000000" w14:paraId="0000015A">
      <w:pPr>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B">
      <w:pPr>
        <w:spacing w:line="360" w:lineRule="auto"/>
        <w:jc w:val="both"/>
        <w:rPr>
          <w:rFonts w:ascii="Palatino Linotype" w:cs="Palatino Linotype" w:eastAsia="Palatino Linotype" w:hAnsi="Palatino Linotype"/>
          <w:sz w:val="22"/>
          <w:szCs w:val="22"/>
        </w:rPr>
      </w:pPr>
      <w:bookmarkStart w:colFirst="0" w:colLast="0" w:name="_heading=h.3rdcrjn" w:id="10"/>
      <w:bookmarkEnd w:id="10"/>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sz w:val="22"/>
          <w:szCs w:val="22"/>
        </w:rPr>
      </w:pPr>
      <w:bookmarkStart w:colFirst="0" w:colLast="0" w:name="_heading=h.1t3h5sf" w:id="11"/>
      <w:bookmarkEnd w:id="11"/>
      <w:r w:rsidDel="00000000" w:rsidR="00000000" w:rsidRPr="00000000">
        <w:rPr>
          <w:rtl w:val="0"/>
        </w:rPr>
      </w:r>
    </w:p>
    <w:p w:rsidR="00000000" w:rsidDel="00000000" w:rsidP="00000000" w:rsidRDefault="00000000" w:rsidRPr="00000000" w14:paraId="0000015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6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rFonts w:ascii="Cambria" w:cs="Cambria" w:eastAsia="Cambria" w:hAnsi="Cambria"/>
          <w:color w:val="000000"/>
          <w:sz w:val="20"/>
          <w:szCs w:val="20"/>
          <w:rtl w:val="0"/>
        </w:rPr>
        <w:t xml:space="preserve"> Tesis XX.308 K, </w:t>
      </w:r>
      <w:r w:rsidDel="00000000" w:rsidR="00000000" w:rsidRPr="00000000">
        <w:rPr>
          <w:rFonts w:ascii="Cambria" w:cs="Cambria" w:eastAsia="Cambria" w:hAnsi="Cambria"/>
          <w:i w:val="1"/>
          <w:color w:val="000000"/>
          <w:sz w:val="20"/>
          <w:szCs w:val="20"/>
          <w:rtl w:val="0"/>
        </w:rPr>
        <w:t xml:space="preserve">Semanario Judicial de la Federación</w:t>
      </w:r>
      <w:r w:rsidDel="00000000" w:rsidR="00000000" w:rsidRPr="00000000">
        <w:rPr>
          <w:rFonts w:ascii="Cambria" w:cs="Cambria" w:eastAsia="Cambria" w:hAnsi="Cambria"/>
          <w:color w:val="000000"/>
          <w:sz w:val="20"/>
          <w:szCs w:val="20"/>
          <w:rtl w:val="0"/>
        </w:rPr>
        <w:t xml:space="preserve">, Octava Época, tomo XV-1, febrero de 1995, pág. 138.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5">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-1080110</wp:posOffset>
          </wp:positionH>
          <wp:positionV relativeFrom="paragraph">
            <wp:posOffset>-488285</wp:posOffset>
          </wp:positionV>
          <wp:extent cx="7809865" cy="10165715"/>
          <wp:effectExtent b="0" l="0" r="0" t="0"/>
          <wp:wrapNone/>
          <wp:docPr id="4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7087.0" w:type="dxa"/>
      <w:jc w:val="left"/>
      <w:tblInd w:w="3261.0" w:type="dxa"/>
      <w:tblLayout w:type="fixed"/>
      <w:tblLook w:val="0400"/>
    </w:tblPr>
    <w:tblGrid>
      <w:gridCol w:w="2489"/>
      <w:gridCol w:w="4598"/>
      <w:tblGridChange w:id="0">
        <w:tblGrid>
          <w:gridCol w:w="2489"/>
          <w:gridCol w:w="4598"/>
        </w:tblGrid>
      </w:tblGridChange>
    </w:tblGrid>
    <w:tr>
      <w:trPr>
        <w:cantSplit w:val="0"/>
        <w:tblHeader w:val="0"/>
      </w:trPr>
      <w:tc>
        <w:tcPr>
          <w:shd w:fill="auto" w:val="clear"/>
        </w:tcPr>
        <w:p w:rsidR="00000000" w:rsidDel="00000000" w:rsidP="00000000" w:rsidRDefault="00000000" w:rsidRPr="00000000" w14:paraId="0000017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7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05514/INFOEM/IP/RR/2024</w:t>
          </w:r>
        </w:p>
      </w:tc>
    </w:tr>
    <w:tr>
      <w:trPr>
        <w:cantSplit w:val="0"/>
        <w:trHeight w:val="228" w:hRule="atLeast"/>
        <w:tblHeader w:val="0"/>
      </w:trPr>
      <w:tc>
        <w:tcPr>
          <w:shd w:fill="auto" w:val="clear"/>
          <w:vAlign w:val="center"/>
        </w:tcPr>
        <w:p w:rsidR="00000000" w:rsidDel="00000000" w:rsidP="00000000" w:rsidRDefault="00000000" w:rsidRPr="00000000" w14:paraId="0000017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79">
          <w:pPr>
            <w:ind w:left="-45" w:right="158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Tenango del Valle</w:t>
          </w:r>
        </w:p>
      </w:tc>
    </w:tr>
    <w:tr>
      <w:trPr>
        <w:cantSplit w:val="0"/>
        <w:tblHeader w:val="0"/>
      </w:trPr>
      <w:tc>
        <w:tcPr>
          <w:shd w:fill="auto" w:val="clear"/>
          <w:vAlign w:val="center"/>
        </w:tcPr>
        <w:p w:rsidR="00000000" w:rsidDel="00000000" w:rsidP="00000000" w:rsidRDefault="00000000" w:rsidRPr="00000000" w14:paraId="0000017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7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tbl>
    <w:tblPr>
      <w:tblStyle w:val="Table2"/>
      <w:tblW w:w="6945.0" w:type="dxa"/>
      <w:jc w:val="left"/>
      <w:tblInd w:w="3261.0" w:type="dxa"/>
      <w:tblLayout w:type="fixed"/>
      <w:tblLook w:val="0400"/>
    </w:tblPr>
    <w:tblGrid>
      <w:gridCol w:w="2551"/>
      <w:gridCol w:w="4394"/>
      <w:tblGridChange w:id="0">
        <w:tblGrid>
          <w:gridCol w:w="2551"/>
          <w:gridCol w:w="4394"/>
        </w:tblGrid>
      </w:tblGridChange>
    </w:tblGrid>
    <w:tr>
      <w:trPr>
        <w:cantSplit w:val="0"/>
        <w:tblHeader w:val="0"/>
      </w:trPr>
      <w:tc>
        <w:tcPr>
          <w:shd w:fill="auto" w:val="clear"/>
          <w:vAlign w:val="center"/>
        </w:tcPr>
        <w:p w:rsidR="00000000" w:rsidDel="00000000" w:rsidP="00000000" w:rsidRDefault="00000000" w:rsidRPr="00000000" w14:paraId="0000017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7F">
          <w:pPr>
            <w:tabs>
              <w:tab w:val="left" w:leader="none" w:pos="3153"/>
            </w:tabs>
            <w:ind w:left="-45"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05514/INFOEM/IP/RR/2024</w:t>
          </w:r>
          <w:r w:rsidDel="00000000" w:rsidR="00000000" w:rsidRPr="00000000">
            <w:drawing>
              <wp:anchor allowOverlap="1" behindDoc="1" distB="0" distT="0" distL="0" distR="0" hidden="0" layoutInCell="1" locked="0" relativeHeight="0" simplePos="0">
                <wp:simplePos x="0" y="0"/>
                <wp:positionH relativeFrom="column">
                  <wp:posOffset>-4725669</wp:posOffset>
                </wp:positionH>
                <wp:positionV relativeFrom="paragraph">
                  <wp:posOffset>-497204</wp:posOffset>
                </wp:positionV>
                <wp:extent cx="7809865" cy="10165715"/>
                <wp:effectExtent b="0" l="0" r="0" t="0"/>
                <wp:wrapNone/>
                <wp:docPr id="4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rHeight w:val="130" w:hRule="atLeast"/>
        <w:tblHeader w:val="0"/>
      </w:trPr>
      <w:tc>
        <w:tcPr>
          <w:shd w:fill="auto" w:val="clear"/>
          <w:vAlign w:val="center"/>
        </w:tcPr>
        <w:p w:rsidR="00000000" w:rsidDel="00000000" w:rsidP="00000000" w:rsidRDefault="00000000" w:rsidRPr="00000000" w14:paraId="000001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81">
          <w:pPr>
            <w:ind w:left="-45" w:firstLine="0"/>
            <w:jc w:val="both"/>
            <w:rPr>
              <w:rFonts w:ascii="Palatino Linotype" w:cs="Palatino Linotype" w:eastAsia="Palatino Linotype" w:hAnsi="Palatino Linotype"/>
              <w:b w:val="1"/>
              <w:color w:val="000000"/>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8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83">
          <w:pPr>
            <w:ind w:left="-45" w:right="1586"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Tenango del Valle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18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8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2"/>
      <w:numFmt w:val="bullet"/>
      <w:lvlText w:val="-"/>
      <w:lvlJc w:val="left"/>
      <w:pPr>
        <w:ind w:left="927" w:hanging="360"/>
      </w:pPr>
      <w:rPr>
        <w:rFonts w:ascii="Palatino Linotype" w:cs="Palatino Linotype" w:eastAsia="Palatino Linotype" w:hAnsi="Palatino Linotype"/>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2"/>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443C0"/>
  </w:style>
  <w:style w:type="paragraph" w:styleId="Ttulo1">
    <w:name w:val="heading 1"/>
    <w:basedOn w:val="Normal"/>
    <w:next w:val="Normal"/>
    <w:link w:val="Ttulo1Car"/>
    <w:uiPriority w:val="9"/>
    <w:qFormat w:val="1"/>
    <w:rsid w:val="006443C0"/>
    <w:pPr>
      <w:keepNext w:val="1"/>
      <w:keepLines w:val="1"/>
      <w:spacing w:before="240"/>
      <w:outlineLvl w:val="0"/>
    </w:pPr>
    <w:rPr>
      <w:rFonts w:ascii="Calibri" w:cs="Calibri" w:eastAsia="Calibri" w:hAnsi="Calibri"/>
      <w:color w:val="366091"/>
      <w:sz w:val="32"/>
      <w:szCs w:val="32"/>
      <w:lang w:val="es-ES"/>
    </w:rPr>
  </w:style>
  <w:style w:type="paragraph" w:styleId="Ttulo2">
    <w:name w:val="heading 2"/>
    <w:basedOn w:val="Normal"/>
    <w:next w:val="Normal"/>
    <w:link w:val="Ttulo2Car"/>
    <w:uiPriority w:val="9"/>
    <w:semiHidden w:val="1"/>
    <w:unhideWhenUsed w:val="1"/>
    <w:qFormat w:val="1"/>
    <w:rsid w:val="006443C0"/>
    <w:pPr>
      <w:keepNext w:val="1"/>
      <w:keepLines w:val="1"/>
      <w:spacing w:before="40"/>
      <w:outlineLvl w:val="1"/>
    </w:pPr>
    <w:rPr>
      <w:rFonts w:ascii="Calibri" w:cs="Calibri" w:eastAsia="Calibri" w:hAnsi="Calibri"/>
      <w:color w:val="366091"/>
      <w:sz w:val="26"/>
      <w:szCs w:val="26"/>
      <w:lang w:val="es-ES"/>
    </w:rPr>
  </w:style>
  <w:style w:type="paragraph" w:styleId="Ttulo3">
    <w:name w:val="heading 3"/>
    <w:basedOn w:val="Normal"/>
    <w:next w:val="Normal"/>
    <w:link w:val="Ttulo3Car"/>
    <w:uiPriority w:val="9"/>
    <w:semiHidden w:val="1"/>
    <w:unhideWhenUsed w:val="1"/>
    <w:qFormat w:val="1"/>
    <w:rsid w:val="006443C0"/>
    <w:pPr>
      <w:keepNext w:val="1"/>
      <w:spacing w:after="60" w:before="240"/>
      <w:ind w:left="2160" w:hanging="720"/>
      <w:outlineLvl w:val="2"/>
    </w:pPr>
    <w:rPr>
      <w:rFonts w:ascii="Calibri" w:cs="Calibri" w:eastAsia="Calibri" w:hAnsi="Calibri"/>
      <w:b w:val="1"/>
      <w:sz w:val="26"/>
      <w:szCs w:val="26"/>
      <w:lang w:val="es-ES"/>
    </w:rPr>
  </w:style>
  <w:style w:type="paragraph" w:styleId="Ttulo4">
    <w:name w:val="heading 4"/>
    <w:basedOn w:val="Normal"/>
    <w:next w:val="Normal"/>
    <w:link w:val="Ttulo4Car"/>
    <w:uiPriority w:val="9"/>
    <w:semiHidden w:val="1"/>
    <w:unhideWhenUsed w:val="1"/>
    <w:qFormat w:val="1"/>
    <w:rsid w:val="006443C0"/>
    <w:pPr>
      <w:keepNext w:val="1"/>
      <w:spacing w:after="60" w:before="240"/>
      <w:ind w:left="2880" w:hanging="720"/>
      <w:outlineLvl w:val="3"/>
    </w:pPr>
    <w:rPr>
      <w:rFonts w:ascii="Cambria" w:cs="Cambria" w:eastAsia="Cambria" w:hAnsi="Cambria"/>
      <w:b w:val="1"/>
      <w:sz w:val="28"/>
      <w:szCs w:val="28"/>
      <w:lang w:val="es-ES"/>
    </w:rPr>
  </w:style>
  <w:style w:type="paragraph" w:styleId="Ttulo5">
    <w:name w:val="heading 5"/>
    <w:basedOn w:val="Normal"/>
    <w:next w:val="Normal"/>
    <w:link w:val="Ttulo5Car"/>
    <w:uiPriority w:val="9"/>
    <w:semiHidden w:val="1"/>
    <w:unhideWhenUsed w:val="1"/>
    <w:qFormat w:val="1"/>
    <w:rsid w:val="006443C0"/>
    <w:pPr>
      <w:spacing w:after="60" w:before="240"/>
      <w:ind w:left="3600" w:hanging="720"/>
      <w:outlineLvl w:val="4"/>
    </w:pPr>
    <w:rPr>
      <w:rFonts w:ascii="Cambria" w:cs="Cambria" w:eastAsia="Cambria" w:hAnsi="Cambria"/>
      <w:b w:val="1"/>
      <w:i w:val="1"/>
      <w:sz w:val="26"/>
      <w:szCs w:val="26"/>
      <w:lang w:val="es-ES"/>
    </w:rPr>
  </w:style>
  <w:style w:type="paragraph" w:styleId="Ttulo6">
    <w:name w:val="heading 6"/>
    <w:basedOn w:val="Normal"/>
    <w:next w:val="Normal"/>
    <w:link w:val="Ttulo6Car"/>
    <w:uiPriority w:val="9"/>
    <w:semiHidden w:val="1"/>
    <w:unhideWhenUsed w:val="1"/>
    <w:qFormat w:val="1"/>
    <w:rsid w:val="006443C0"/>
    <w:pPr>
      <w:spacing w:after="60" w:before="240"/>
      <w:ind w:left="4320" w:hanging="720"/>
      <w:outlineLvl w:val="5"/>
    </w:pPr>
    <w:rPr>
      <w:b w:val="1"/>
      <w:sz w:val="22"/>
      <w:szCs w:val="22"/>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6443C0"/>
    <w:pPr>
      <w:keepNext w:val="1"/>
      <w:keepLines w:val="1"/>
      <w:spacing w:after="120" w:before="480"/>
    </w:pPr>
    <w:rPr>
      <w:b w:val="1"/>
      <w:sz w:val="72"/>
      <w:szCs w:val="72"/>
      <w:lang w:val="es-ES"/>
    </w:rPr>
  </w:style>
  <w:style w:type="table" w:styleId="TableNormal0" w:customStyle="1">
    <w:name w:val="Table Normal"/>
    <w:tblPr>
      <w:tblCellMar>
        <w:top w:w="0.0" w:type="dxa"/>
        <w:left w:w="0.0" w:type="dxa"/>
        <w:bottom w:w="0.0" w:type="dxa"/>
        <w:right w:w="0.0" w:type="dxa"/>
      </w:tblCellMar>
    </w:tblPr>
  </w:style>
  <w:style w:type="character" w:styleId="Ttulo1Car" w:customStyle="1">
    <w:name w:val="Título 1 Car"/>
    <w:basedOn w:val="Fuentedeprrafopredeter"/>
    <w:link w:val="Ttulo1"/>
    <w:uiPriority w:val="9"/>
    <w:rsid w:val="006443C0"/>
    <w:rPr>
      <w:rFonts w:ascii="Calibri" w:cs="Calibri" w:eastAsia="Calibri" w:hAnsi="Calibri"/>
      <w:color w:val="366091"/>
      <w:sz w:val="32"/>
      <w:szCs w:val="32"/>
      <w:lang w:eastAsia="es-MX" w:val="es-ES"/>
    </w:rPr>
  </w:style>
  <w:style w:type="character" w:styleId="Ttulo2Car" w:customStyle="1">
    <w:name w:val="Título 2 Car"/>
    <w:basedOn w:val="Fuentedeprrafopredeter"/>
    <w:link w:val="Ttulo2"/>
    <w:uiPriority w:val="9"/>
    <w:semiHidden w:val="1"/>
    <w:rsid w:val="006443C0"/>
    <w:rPr>
      <w:rFonts w:ascii="Calibri" w:cs="Calibri" w:eastAsia="Calibri" w:hAnsi="Calibri"/>
      <w:color w:val="366091"/>
      <w:sz w:val="26"/>
      <w:szCs w:val="26"/>
      <w:lang w:eastAsia="es-MX" w:val="es-ES"/>
    </w:rPr>
  </w:style>
  <w:style w:type="character" w:styleId="Ttulo3Car" w:customStyle="1">
    <w:name w:val="Título 3 Car"/>
    <w:basedOn w:val="Fuentedeprrafopredeter"/>
    <w:link w:val="Ttulo3"/>
    <w:uiPriority w:val="9"/>
    <w:semiHidden w:val="1"/>
    <w:rsid w:val="006443C0"/>
    <w:rPr>
      <w:rFonts w:ascii="Calibri" w:cs="Calibri" w:eastAsia="Calibri" w:hAnsi="Calibri"/>
      <w:b w:val="1"/>
      <w:sz w:val="26"/>
      <w:szCs w:val="26"/>
      <w:lang w:eastAsia="es-MX" w:val="es-ES"/>
    </w:rPr>
  </w:style>
  <w:style w:type="character" w:styleId="Ttulo4Car" w:customStyle="1">
    <w:name w:val="Título 4 Car"/>
    <w:basedOn w:val="Fuentedeprrafopredeter"/>
    <w:link w:val="Ttulo4"/>
    <w:uiPriority w:val="9"/>
    <w:semiHidden w:val="1"/>
    <w:rsid w:val="006443C0"/>
    <w:rPr>
      <w:rFonts w:ascii="Cambria" w:cs="Cambria" w:eastAsia="Cambria" w:hAnsi="Cambria"/>
      <w:b w:val="1"/>
      <w:sz w:val="28"/>
      <w:szCs w:val="28"/>
      <w:lang w:eastAsia="es-MX" w:val="es-ES"/>
    </w:rPr>
  </w:style>
  <w:style w:type="character" w:styleId="Ttulo5Car" w:customStyle="1">
    <w:name w:val="Título 5 Car"/>
    <w:basedOn w:val="Fuentedeprrafopredeter"/>
    <w:link w:val="Ttulo5"/>
    <w:uiPriority w:val="9"/>
    <w:semiHidden w:val="1"/>
    <w:rsid w:val="006443C0"/>
    <w:rPr>
      <w:rFonts w:ascii="Cambria" w:cs="Cambria" w:eastAsia="Cambria" w:hAnsi="Cambria"/>
      <w:b w:val="1"/>
      <w:i w:val="1"/>
      <w:sz w:val="26"/>
      <w:szCs w:val="26"/>
      <w:lang w:eastAsia="es-MX" w:val="es-ES"/>
    </w:rPr>
  </w:style>
  <w:style w:type="character" w:styleId="Ttulo6Car" w:customStyle="1">
    <w:name w:val="Título 6 Car"/>
    <w:basedOn w:val="Fuentedeprrafopredeter"/>
    <w:link w:val="Ttulo6"/>
    <w:uiPriority w:val="9"/>
    <w:semiHidden w:val="1"/>
    <w:rsid w:val="006443C0"/>
    <w:rPr>
      <w:rFonts w:ascii="Times New Roman" w:cs="Times New Roman" w:eastAsia="Times New Roman" w:hAnsi="Times New Roman"/>
      <w:b w:val="1"/>
      <w:lang w:eastAsia="es-MX" w:val="es-ES"/>
    </w:rPr>
  </w:style>
  <w:style w:type="character" w:styleId="TtuloCar" w:customStyle="1">
    <w:name w:val="Título Car"/>
    <w:basedOn w:val="Fuentedeprrafopredeter"/>
    <w:link w:val="Ttulo"/>
    <w:uiPriority w:val="10"/>
    <w:rsid w:val="006443C0"/>
    <w:rPr>
      <w:rFonts w:ascii="Times New Roman" w:cs="Times New Roman" w:eastAsia="Times New Roman" w:hAnsi="Times New Roman"/>
      <w:b w:val="1"/>
      <w:sz w:val="72"/>
      <w:szCs w:val="72"/>
      <w:lang w:eastAsia="es-MX" w:val="es-ES"/>
    </w:rPr>
  </w:style>
  <w:style w:type="paragraph" w:styleId="Subttulo">
    <w:name w:val="Subtitle"/>
    <w:basedOn w:val="Normal"/>
    <w:next w:val="Normal"/>
    <w:link w:val="SubttuloCar"/>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basedOn w:val="Fuentedeprrafopredeter"/>
    <w:link w:val="Subttulo"/>
    <w:rsid w:val="006443C0"/>
    <w:rPr>
      <w:rFonts w:ascii="Georgia" w:cs="Georgia" w:eastAsia="Georgia" w:hAnsi="Georgia"/>
      <w:i w:val="1"/>
      <w:color w:val="666666"/>
      <w:sz w:val="48"/>
      <w:szCs w:val="48"/>
      <w:lang w:eastAsia="es-MX"/>
    </w:rPr>
  </w:style>
  <w:style w:type="paragraph" w:styleId="Encabezado">
    <w:name w:val="header"/>
    <w:basedOn w:val="Normal"/>
    <w:link w:val="EncabezadoCar"/>
    <w:uiPriority w:val="99"/>
    <w:unhideWhenUsed w:val="1"/>
    <w:rsid w:val="006443C0"/>
    <w:pPr>
      <w:tabs>
        <w:tab w:val="center" w:pos="4419"/>
        <w:tab w:val="right" w:pos="8838"/>
      </w:tabs>
    </w:pPr>
    <w:rPr>
      <w:lang w:val="es-ES"/>
    </w:rPr>
  </w:style>
  <w:style w:type="character" w:styleId="EncabezadoCar" w:customStyle="1">
    <w:name w:val="Encabezado Car"/>
    <w:basedOn w:val="Fuentedeprrafopredeter"/>
    <w:link w:val="Encabezado"/>
    <w:uiPriority w:val="99"/>
    <w:rsid w:val="006443C0"/>
    <w:rPr>
      <w:rFonts w:ascii="Times New Roman" w:cs="Times New Roman" w:eastAsia="Times New Roman" w:hAnsi="Times New Roman"/>
      <w:sz w:val="24"/>
      <w:szCs w:val="24"/>
      <w:lang w:eastAsia="es-MX" w:val="es-ES"/>
    </w:rPr>
  </w:style>
  <w:style w:type="paragraph" w:styleId="Piedepgina">
    <w:name w:val="footer"/>
    <w:basedOn w:val="Normal"/>
    <w:link w:val="PiedepginaCar"/>
    <w:uiPriority w:val="99"/>
    <w:unhideWhenUsed w:val="1"/>
    <w:rsid w:val="006443C0"/>
    <w:pPr>
      <w:tabs>
        <w:tab w:val="center" w:pos="4419"/>
        <w:tab w:val="right" w:pos="8838"/>
      </w:tabs>
    </w:pPr>
    <w:rPr>
      <w:lang w:val="es-ES"/>
    </w:rPr>
  </w:style>
  <w:style w:type="character" w:styleId="PiedepginaCar" w:customStyle="1">
    <w:name w:val="Pie de página Car"/>
    <w:basedOn w:val="Fuentedeprrafopredeter"/>
    <w:link w:val="Piedepgina"/>
    <w:uiPriority w:val="99"/>
    <w:rsid w:val="006443C0"/>
    <w:rPr>
      <w:rFonts w:ascii="Times New Roman" w:cs="Times New Roman" w:eastAsia="Times New Roman" w:hAnsi="Times New Roman"/>
      <w:sz w:val="24"/>
      <w:szCs w:val="24"/>
      <w:lang w:eastAsia="es-MX"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6443C0"/>
    <w:pPr>
      <w:ind w:left="720"/>
      <w:contextualSpacing w:val="1"/>
    </w:pPr>
    <w:rPr>
      <w:lang w:val="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6443C0"/>
    <w:rPr>
      <w:rFonts w:ascii="Times New Roman" w:cs="Times New Roman" w:eastAsia="Times New Roman" w:hAnsi="Times New Roman"/>
      <w:sz w:val="24"/>
      <w:szCs w:val="24"/>
      <w:lang w:eastAsia="es-MX" w:val="es-ES"/>
    </w:rPr>
  </w:style>
  <w:style w:type="paragraph" w:styleId="NormalWeb">
    <w:name w:val="Normal (Web)"/>
    <w:basedOn w:val="Normal"/>
    <w:uiPriority w:val="99"/>
    <w:unhideWhenUsed w:val="1"/>
    <w:rsid w:val="006443C0"/>
    <w:pPr>
      <w:spacing w:after="100" w:afterAutospacing="1" w:before="100" w:beforeAutospacing="1"/>
    </w:pPr>
    <w:rPr>
      <w:lang w:val="es-ES"/>
    </w:rPr>
  </w:style>
  <w:style w:type="character" w:styleId="apple-tab-span" w:customStyle="1">
    <w:name w:val="apple-tab-span"/>
    <w:basedOn w:val="Fuentedeprrafopredeter"/>
    <w:rsid w:val="006443C0"/>
  </w:style>
  <w:style w:type="character" w:styleId="Hipervnculo">
    <w:name w:val="Hyperlink"/>
    <w:basedOn w:val="Fuentedeprrafopredeter"/>
    <w:uiPriority w:val="99"/>
    <w:unhideWhenUsed w:val="1"/>
    <w:rsid w:val="006443C0"/>
    <w:rPr>
      <w:color w:val="0563c1" w:themeColor="hyperlink"/>
      <w:u w:val="single"/>
    </w:rPr>
  </w:style>
  <w:style w:type="paragraph" w:styleId="Textonotapie">
    <w:name w:val="footnote text"/>
    <w:basedOn w:val="Normal"/>
    <w:link w:val="TextonotapieCar"/>
    <w:uiPriority w:val="99"/>
    <w:semiHidden w:val="1"/>
    <w:unhideWhenUsed w:val="1"/>
    <w:rsid w:val="006443C0"/>
    <w:rPr>
      <w:sz w:val="20"/>
      <w:szCs w:val="20"/>
    </w:rPr>
  </w:style>
  <w:style w:type="character" w:styleId="TextonotapieCar" w:customStyle="1">
    <w:name w:val="Texto nota pie Car"/>
    <w:basedOn w:val="Fuentedeprrafopredeter"/>
    <w:link w:val="Textonotapie"/>
    <w:uiPriority w:val="99"/>
    <w:semiHidden w:val="1"/>
    <w:rsid w:val="006443C0"/>
    <w:rPr>
      <w:rFonts w:ascii="Times New Roman" w:cs="Times New Roman" w:eastAsia="Times New Roman" w:hAnsi="Times New Roman"/>
      <w:sz w:val="20"/>
      <w:szCs w:val="20"/>
      <w:lang w:eastAsia="es-MX"/>
    </w:rPr>
  </w:style>
  <w:style w:type="character" w:styleId="Refdenotaalpie">
    <w:name w:val="footnote reference"/>
    <w:basedOn w:val="Fuentedeprrafopredeter"/>
    <w:uiPriority w:val="99"/>
    <w:semiHidden w:val="1"/>
    <w:unhideWhenUsed w:val="1"/>
    <w:rsid w:val="006443C0"/>
    <w:rPr>
      <w:vertAlign w:val="superscript"/>
    </w:rPr>
  </w:style>
  <w:style w:type="paragraph" w:styleId="Listaconvietas3">
    <w:name w:val="List Bullet 3"/>
    <w:basedOn w:val="Normal"/>
    <w:uiPriority w:val="99"/>
    <w:unhideWhenUsed w:val="1"/>
    <w:rsid w:val="006443C0"/>
    <w:pPr>
      <w:numPr>
        <w:numId w:val="14"/>
      </w:numPr>
      <w:contextualSpacing w:val="1"/>
    </w:pPr>
    <w:rPr>
      <w:lang w:val="es-ES"/>
    </w:rPr>
  </w:style>
  <w:style w:type="table" w:styleId="Tablaconcuadrcula1" w:customStyle="1">
    <w:name w:val="Tabla con cuadrícula1"/>
    <w:basedOn w:val="Tablanormal"/>
    <w:next w:val="Tablaconcuadrcula"/>
    <w:uiPriority w:val="59"/>
    <w:rsid w:val="006443C0"/>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
    <w:name w:val="Table Grid"/>
    <w:basedOn w:val="Tablanormal"/>
    <w:uiPriority w:val="39"/>
    <w:rsid w:val="006443C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0"/>
    <w:tblPr>
      <w:tblStyleRowBandSize w:val="1"/>
      <w:tblStyleColBandSize w:val="1"/>
      <w:tblCellMar>
        <w:left w:w="115.0" w:type="dxa"/>
        <w:right w:w="115.0" w:type="dxa"/>
      </w:tblCellMar>
    </w:tblPr>
  </w:style>
  <w:style w:type="table" w:styleId="a0" w:customStyle="1">
    <w:basedOn w:val="TableNormal0"/>
    <w:tblPr>
      <w:tblStyleRowBandSize w:val="1"/>
      <w:tblStyleColBandSize w:val="1"/>
      <w:tblCellMar>
        <w:left w:w="115.0" w:type="dxa"/>
        <w:right w:w="115.0" w:type="dxa"/>
      </w:tblCellMar>
    </w:tblPr>
  </w:style>
  <w:style w:type="table" w:styleId="a1" w:customStyle="1">
    <w:basedOn w:val="TableNormal0"/>
    <w:tblPr>
      <w:tblStyleRowBandSize w:val="1"/>
      <w:tblStyleColBandSize w:val="1"/>
      <w:tblCellMar>
        <w:left w:w="115.0" w:type="dxa"/>
        <w:right w:w="115.0" w:type="dxa"/>
      </w:tblCellMar>
    </w:tblPr>
  </w:style>
  <w:style w:type="table" w:styleId="a2" w:customStyle="1">
    <w:basedOn w:val="TableNormal0"/>
    <w:tblPr>
      <w:tblStyleRowBandSize w:val="1"/>
      <w:tblStyleColBandSize w:val="1"/>
      <w:tblCellMar>
        <w:left w:w="115.0" w:type="dxa"/>
        <w:right w:w="115.0" w:type="dxa"/>
      </w:tblCellMar>
    </w:tblPr>
  </w:style>
  <w:style w:type="table" w:styleId="a3" w:customStyle="1">
    <w:basedOn w:val="TableNormal0"/>
    <w:tblPr>
      <w:tblStyleRowBandSize w:val="1"/>
      <w:tblStyleColBandSize w:val="1"/>
      <w:tblCellMar>
        <w:left w:w="115.0" w:type="dxa"/>
        <w:right w:w="115.0" w:type="dxa"/>
      </w:tblCellMar>
    </w:tblPr>
  </w:style>
  <w:style w:type="table" w:styleId="a4"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edui.edomex.gob.mx/planes_municipales_de_desarrollo_urbano" TargetMode="External"/><Relationship Id="rId10" Type="http://schemas.openxmlformats.org/officeDocument/2006/relationships/image" Target="media/image1.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g/roOQtnAGi32fTTMkLhQM2QuQ==">CgMxLjAyCWguMWZvYjl0ZTIIaC5namRneHMyCWguM2R5NnZrbTIJaC4zMGowemxsMgloLjJzOGV5bzEyCGgudHlqY3d0MgloLjN6bnlzaDcyCWguMXk4MTB0dzIJaC4yZXQ5MnAwMgloLjE3ZHA4dnUyCWguM3JkY3JqbjIJaC4xdDNoNXNmOAByITFOWlprWE5CcnFnYjFCVXhxUXNtMUI0Z0JSSHdEU3JFbw==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2024-11-29T20:42:00Z</dcterms:created>
  <dc:creator>INFOEM-411</dc:creator>
</cp:coreProperties>
</file>