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430" w:rsidRPr="002E7D91" w:rsidRDefault="00656430" w:rsidP="00656430">
      <w:pPr>
        <w:shd w:val="clear" w:color="auto" w:fill="FFFFFF"/>
        <w:spacing w:after="0" w:line="360" w:lineRule="auto"/>
        <w:jc w:val="both"/>
        <w:rPr>
          <w:rFonts w:ascii="Palatino Linotype" w:eastAsia="Palatino Linotype" w:hAnsi="Palatino Linotype" w:cs="Palatino Linotype"/>
          <w:color w:val="000000"/>
          <w:sz w:val="24"/>
          <w:szCs w:val="24"/>
        </w:rPr>
      </w:pPr>
      <w:r w:rsidRPr="002E7D91">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Estado de México, a cuatro de septiembre de dos mil veinticuatro.</w:t>
      </w:r>
    </w:p>
    <w:p w:rsidR="00656430" w:rsidRPr="002E7D91" w:rsidRDefault="00656430" w:rsidP="00656430">
      <w:pPr>
        <w:shd w:val="clear" w:color="auto" w:fill="FFFFFF"/>
        <w:spacing w:after="0" w:line="360" w:lineRule="auto"/>
        <w:jc w:val="both"/>
        <w:rPr>
          <w:rFonts w:ascii="Palatino Linotype" w:eastAsia="Palatino Linotype" w:hAnsi="Palatino Linotype" w:cs="Palatino Linotype"/>
          <w:color w:val="000000"/>
          <w:sz w:val="24"/>
          <w:szCs w:val="24"/>
        </w:rPr>
      </w:pPr>
    </w:p>
    <w:p w:rsidR="00656430" w:rsidRPr="002E7D91" w:rsidRDefault="00656430" w:rsidP="00656430">
      <w:pPr>
        <w:tabs>
          <w:tab w:val="left" w:pos="1701"/>
        </w:tabs>
        <w:spacing w:after="0" w:line="360" w:lineRule="auto"/>
        <w:jc w:val="both"/>
        <w:rPr>
          <w:rFonts w:ascii="Palatino Linotype" w:eastAsia="Palatino Linotype" w:hAnsi="Palatino Linotype" w:cs="Palatino Linotype"/>
          <w:b/>
          <w:sz w:val="24"/>
          <w:szCs w:val="24"/>
        </w:rPr>
      </w:pPr>
      <w:r w:rsidRPr="002E7D91">
        <w:rPr>
          <w:rFonts w:ascii="Palatino Linotype" w:eastAsia="Palatino Linotype" w:hAnsi="Palatino Linotype" w:cs="Palatino Linotype"/>
          <w:b/>
          <w:sz w:val="24"/>
          <w:szCs w:val="24"/>
        </w:rPr>
        <w:t>VISTO</w:t>
      </w:r>
      <w:r w:rsidRPr="002E7D91">
        <w:rPr>
          <w:rFonts w:ascii="Palatino Linotype" w:eastAsia="Palatino Linotype" w:hAnsi="Palatino Linotype" w:cs="Palatino Linotype"/>
          <w:sz w:val="24"/>
          <w:szCs w:val="24"/>
        </w:rPr>
        <w:t xml:space="preserve"> el expediente electrónico de los recursos de revisión con número </w:t>
      </w:r>
      <w:r w:rsidRPr="002E7D91">
        <w:rPr>
          <w:rFonts w:ascii="Palatino Linotype" w:eastAsia="Palatino Linotype" w:hAnsi="Palatino Linotype" w:cs="Palatino Linotype"/>
          <w:b/>
          <w:sz w:val="24"/>
          <w:szCs w:val="24"/>
        </w:rPr>
        <w:t>04890/INFOEM/IP/RR/2024</w:t>
      </w:r>
      <w:r w:rsidRPr="002E7D91">
        <w:rPr>
          <w:rFonts w:ascii="Palatino Linotype" w:eastAsia="Palatino Linotype" w:hAnsi="Palatino Linotype" w:cs="Palatino Linotype"/>
          <w:sz w:val="24"/>
          <w:szCs w:val="24"/>
        </w:rPr>
        <w:t xml:space="preserve"> </w:t>
      </w:r>
      <w:r w:rsidRPr="002E7D91">
        <w:rPr>
          <w:rFonts w:ascii="Palatino Linotype" w:eastAsia="Palatino Linotype" w:hAnsi="Palatino Linotype" w:cs="Palatino Linotype"/>
          <w:color w:val="000000"/>
          <w:sz w:val="24"/>
          <w:szCs w:val="24"/>
        </w:rPr>
        <w:t xml:space="preserve">interpuesto por </w:t>
      </w:r>
      <w:r w:rsidRPr="002E7D91">
        <w:rPr>
          <w:rFonts w:ascii="Palatino Linotype" w:hAnsi="Palatino Linotype"/>
          <w:sz w:val="24"/>
        </w:rPr>
        <w:t xml:space="preserve">un particular que no proporcionó nombre o seudónimo, en lo sucesivo la parte </w:t>
      </w:r>
      <w:r w:rsidRPr="002E7D91">
        <w:rPr>
          <w:rFonts w:ascii="Palatino Linotype" w:hAnsi="Palatino Linotype"/>
          <w:b/>
          <w:sz w:val="24"/>
        </w:rPr>
        <w:t>Recurrente</w:t>
      </w:r>
      <w:r w:rsidRPr="002E7D91">
        <w:rPr>
          <w:rFonts w:ascii="Palatino Linotype" w:eastAsia="Palatino Linotype" w:hAnsi="Palatino Linotype" w:cs="Palatino Linotype"/>
          <w:color w:val="000000"/>
          <w:sz w:val="24"/>
          <w:szCs w:val="24"/>
        </w:rPr>
        <w:t xml:space="preserve">, </w:t>
      </w:r>
      <w:r w:rsidRPr="002E7D91">
        <w:rPr>
          <w:rFonts w:ascii="Palatino Linotype" w:eastAsia="Palatino Linotype" w:hAnsi="Palatino Linotype" w:cs="Palatino Linotype"/>
          <w:sz w:val="24"/>
          <w:szCs w:val="24"/>
        </w:rPr>
        <w:t xml:space="preserve">en contra de la falta de respuesta del </w:t>
      </w:r>
      <w:r w:rsidRPr="002E7D91">
        <w:rPr>
          <w:rFonts w:ascii="Palatino Linotype" w:eastAsia="Palatino Linotype" w:hAnsi="Palatino Linotype" w:cs="Palatino Linotype"/>
          <w:b/>
          <w:color w:val="000000"/>
          <w:sz w:val="24"/>
          <w:szCs w:val="24"/>
        </w:rPr>
        <w:t>Ayuntamiento de Acolman</w:t>
      </w:r>
      <w:r w:rsidRPr="002E7D91">
        <w:rPr>
          <w:rFonts w:ascii="Palatino Linotype" w:eastAsia="Palatino Linotype" w:hAnsi="Palatino Linotype" w:cs="Palatino Linotype"/>
          <w:b/>
          <w:sz w:val="24"/>
          <w:szCs w:val="24"/>
        </w:rPr>
        <w:t xml:space="preserve">, </w:t>
      </w:r>
      <w:r w:rsidRPr="002E7D91">
        <w:rPr>
          <w:rFonts w:ascii="Palatino Linotype" w:eastAsia="Palatino Linotype" w:hAnsi="Palatino Linotype" w:cs="Palatino Linotype"/>
          <w:sz w:val="24"/>
          <w:szCs w:val="24"/>
        </w:rPr>
        <w:t>en lo subsecuente</w:t>
      </w:r>
      <w:r w:rsidRPr="002E7D91">
        <w:rPr>
          <w:rFonts w:ascii="Palatino Linotype" w:eastAsia="Palatino Linotype" w:hAnsi="Palatino Linotype" w:cs="Palatino Linotype"/>
          <w:b/>
          <w:sz w:val="24"/>
          <w:szCs w:val="24"/>
        </w:rPr>
        <w:t xml:space="preserve"> el Sujeto Obligado, </w:t>
      </w:r>
      <w:r w:rsidRPr="002E7D91">
        <w:rPr>
          <w:rFonts w:ascii="Palatino Linotype" w:eastAsia="Palatino Linotype" w:hAnsi="Palatino Linotype" w:cs="Palatino Linotype"/>
          <w:sz w:val="24"/>
          <w:szCs w:val="24"/>
        </w:rPr>
        <w:t>se procede a dictar la presente resolución.</w:t>
      </w:r>
    </w:p>
    <w:p w:rsidR="00656430" w:rsidRPr="002E7D91" w:rsidRDefault="00656430" w:rsidP="00656430">
      <w:pPr>
        <w:tabs>
          <w:tab w:val="left" w:pos="6960"/>
        </w:tabs>
        <w:spacing w:after="0" w:line="360" w:lineRule="auto"/>
        <w:jc w:val="both"/>
        <w:rPr>
          <w:rFonts w:ascii="Palatino Linotype" w:eastAsia="Palatino Linotype" w:hAnsi="Palatino Linotype" w:cs="Palatino Linotype"/>
          <w:sz w:val="24"/>
          <w:szCs w:val="24"/>
        </w:rPr>
      </w:pPr>
    </w:p>
    <w:p w:rsidR="00656430" w:rsidRPr="002E7D91" w:rsidRDefault="00656430" w:rsidP="00656430">
      <w:pPr>
        <w:spacing w:after="0" w:line="360" w:lineRule="auto"/>
        <w:jc w:val="center"/>
        <w:rPr>
          <w:rFonts w:ascii="Palatino Linotype" w:eastAsia="Palatino Linotype" w:hAnsi="Palatino Linotype" w:cs="Palatino Linotype"/>
          <w:b/>
          <w:sz w:val="28"/>
          <w:szCs w:val="28"/>
        </w:rPr>
      </w:pPr>
      <w:r w:rsidRPr="002E7D91">
        <w:rPr>
          <w:rFonts w:ascii="Palatino Linotype" w:eastAsia="Palatino Linotype" w:hAnsi="Palatino Linotype" w:cs="Palatino Linotype"/>
          <w:b/>
          <w:sz w:val="28"/>
          <w:szCs w:val="28"/>
        </w:rPr>
        <w:t>A N T E C E D E N T E S</w:t>
      </w:r>
    </w:p>
    <w:p w:rsidR="00656430" w:rsidRPr="002E7D91" w:rsidRDefault="00656430" w:rsidP="00656430">
      <w:pPr>
        <w:spacing w:after="0" w:line="360" w:lineRule="auto"/>
        <w:rPr>
          <w:rFonts w:ascii="Palatino Linotype" w:eastAsia="Palatino Linotype" w:hAnsi="Palatino Linotype" w:cs="Palatino Linotype"/>
          <w:b/>
          <w:sz w:val="24"/>
          <w:szCs w:val="24"/>
        </w:rPr>
      </w:pPr>
    </w:p>
    <w:p w:rsidR="00656430" w:rsidRPr="002E7D91" w:rsidRDefault="00656430" w:rsidP="00656430">
      <w:pPr>
        <w:spacing w:after="0" w:line="360" w:lineRule="auto"/>
        <w:jc w:val="both"/>
        <w:rPr>
          <w:rFonts w:ascii="Palatino Linotype" w:eastAsia="Palatino Linotype" w:hAnsi="Palatino Linotype" w:cs="Palatino Linotype"/>
          <w:b/>
          <w:sz w:val="28"/>
          <w:szCs w:val="24"/>
        </w:rPr>
      </w:pPr>
      <w:r w:rsidRPr="002E7D91">
        <w:rPr>
          <w:rFonts w:ascii="Palatino Linotype" w:eastAsia="Palatino Linotype" w:hAnsi="Palatino Linotype" w:cs="Palatino Linotype"/>
          <w:b/>
          <w:sz w:val="28"/>
          <w:szCs w:val="24"/>
        </w:rPr>
        <w:t xml:space="preserve">PRIMERO. </w:t>
      </w:r>
      <w:r w:rsidRPr="002E7D91">
        <w:rPr>
          <w:rFonts w:ascii="Palatino Linotype" w:eastAsia="Palatino Linotype" w:hAnsi="Palatino Linotype" w:cs="Palatino Linotype"/>
          <w:b/>
          <w:color w:val="000000"/>
          <w:sz w:val="28"/>
          <w:szCs w:val="24"/>
        </w:rPr>
        <w:t>De las solicitudes de información</w:t>
      </w:r>
    </w:p>
    <w:p w:rsidR="00656430" w:rsidRPr="002E7D91" w:rsidRDefault="00656430" w:rsidP="00656430">
      <w:pPr>
        <w:spacing w:after="0" w:line="360" w:lineRule="auto"/>
        <w:jc w:val="both"/>
        <w:rPr>
          <w:rFonts w:ascii="Palatino Linotype" w:eastAsia="Palatino Linotype" w:hAnsi="Palatino Linotype" w:cs="Palatino Linotype"/>
          <w:b/>
          <w:sz w:val="24"/>
          <w:szCs w:val="24"/>
        </w:rPr>
      </w:pPr>
      <w:r w:rsidRPr="002E7D91">
        <w:rPr>
          <w:rFonts w:ascii="Palatino Linotype" w:eastAsia="Palatino Linotype" w:hAnsi="Palatino Linotype" w:cs="Palatino Linotype"/>
          <w:sz w:val="24"/>
          <w:szCs w:val="24"/>
        </w:rPr>
        <w:t xml:space="preserve">En fecha </w:t>
      </w:r>
      <w:r w:rsidR="002B69BB" w:rsidRPr="002E7D91">
        <w:rPr>
          <w:rFonts w:ascii="Palatino Linotype" w:eastAsia="Palatino Linotype" w:hAnsi="Palatino Linotype" w:cs="Palatino Linotype"/>
          <w:sz w:val="24"/>
          <w:szCs w:val="24"/>
        </w:rPr>
        <w:t>primero de jul</w:t>
      </w:r>
      <w:r w:rsidRPr="002E7D91">
        <w:rPr>
          <w:rFonts w:ascii="Palatino Linotype" w:eastAsia="Palatino Linotype" w:hAnsi="Palatino Linotype" w:cs="Palatino Linotype"/>
          <w:sz w:val="24"/>
          <w:szCs w:val="24"/>
        </w:rPr>
        <w:t>io de dos mil veinticuatro, la parte</w:t>
      </w:r>
      <w:r w:rsidRPr="002E7D91">
        <w:rPr>
          <w:rFonts w:ascii="Palatino Linotype" w:eastAsia="Palatino Linotype" w:hAnsi="Palatino Linotype" w:cs="Palatino Linotype"/>
          <w:b/>
          <w:sz w:val="24"/>
          <w:szCs w:val="24"/>
        </w:rPr>
        <w:t xml:space="preserve"> Recurrente</w:t>
      </w:r>
      <w:r w:rsidRPr="002E7D91">
        <w:rPr>
          <w:rFonts w:ascii="Palatino Linotype" w:eastAsia="Palatino Linotype" w:hAnsi="Palatino Linotype" w:cs="Palatino Linotype"/>
          <w:sz w:val="24"/>
          <w:szCs w:val="24"/>
        </w:rPr>
        <w:t xml:space="preserve"> presentó a través del Sistema de Acceso a la Información Mexiquense (</w:t>
      </w:r>
      <w:r w:rsidRPr="002E7D91">
        <w:rPr>
          <w:rFonts w:ascii="Palatino Linotype" w:eastAsia="Palatino Linotype" w:hAnsi="Palatino Linotype" w:cs="Palatino Linotype"/>
          <w:b/>
          <w:sz w:val="24"/>
          <w:szCs w:val="24"/>
        </w:rPr>
        <w:t>SAIMEX)</w:t>
      </w:r>
      <w:r w:rsidRPr="002E7D91">
        <w:rPr>
          <w:rFonts w:ascii="Palatino Linotype" w:eastAsia="Palatino Linotype" w:hAnsi="Palatino Linotype" w:cs="Palatino Linotype"/>
          <w:sz w:val="24"/>
          <w:szCs w:val="24"/>
        </w:rPr>
        <w:t xml:space="preserve">, la solicitud de acceso a la información pública, con número de folio </w:t>
      </w:r>
      <w:r w:rsidRPr="002E7D91">
        <w:rPr>
          <w:rFonts w:ascii="Palatino Linotype" w:eastAsia="Palatino Linotype" w:hAnsi="Palatino Linotype" w:cs="Palatino Linotype"/>
          <w:b/>
          <w:sz w:val="24"/>
          <w:szCs w:val="24"/>
        </w:rPr>
        <w:t>00055/ACOLMAN/IP/2024</w:t>
      </w:r>
      <w:r w:rsidRPr="002E7D91">
        <w:rPr>
          <w:rFonts w:ascii="Palatino Linotype" w:eastAsia="Palatino Linotype" w:hAnsi="Palatino Linotype" w:cs="Palatino Linotype"/>
          <w:sz w:val="24"/>
          <w:szCs w:val="24"/>
        </w:rPr>
        <w:t xml:space="preserve">, de lo siguiente: </w:t>
      </w:r>
    </w:p>
    <w:p w:rsidR="00656430" w:rsidRPr="002E7D91" w:rsidRDefault="00656430" w:rsidP="00656430">
      <w:pPr>
        <w:pStyle w:val="INFOEM"/>
        <w:rPr>
          <w:lang w:val="es-ES_tradnl" w:eastAsia="es-ES"/>
        </w:rPr>
      </w:pPr>
      <w:r w:rsidRPr="002E7D91">
        <w:rPr>
          <w:lang w:val="es-ES_tradnl" w:eastAsia="es-ES"/>
        </w:rPr>
        <w:t>“</w:t>
      </w:r>
      <w:r w:rsidR="002B69BB" w:rsidRPr="002E7D91">
        <w:rPr>
          <w:lang w:val="es-ES" w:eastAsia="es-ES"/>
        </w:rPr>
        <w:t>tipo de romance entre el presidente y la regidora</w:t>
      </w:r>
      <w:r w:rsidRPr="002E7D91">
        <w:rPr>
          <w:lang w:val="es-ES_tradnl" w:eastAsia="es-ES"/>
        </w:rPr>
        <w:t>” (Sic)</w:t>
      </w:r>
    </w:p>
    <w:p w:rsidR="00656430" w:rsidRPr="002E7D91" w:rsidRDefault="00656430" w:rsidP="00656430">
      <w:pPr>
        <w:spacing w:before="240" w:line="360" w:lineRule="auto"/>
        <w:jc w:val="both"/>
        <w:rPr>
          <w:rFonts w:ascii="Palatino Linotype" w:hAnsi="Palatino Linotype"/>
          <w:lang w:val="es-ES_tradnl"/>
        </w:rPr>
      </w:pPr>
      <w:r w:rsidRPr="002E7D91">
        <w:rPr>
          <w:rFonts w:ascii="Palatino Linotype" w:hAnsi="Palatino Linotype"/>
          <w:b/>
          <w:lang w:val="es-ES_tradnl"/>
        </w:rPr>
        <w:t>Modalidad de entrega:</w:t>
      </w:r>
      <w:r w:rsidRPr="002E7D91">
        <w:rPr>
          <w:rFonts w:ascii="Palatino Linotype" w:hAnsi="Palatino Linotype"/>
          <w:lang w:val="es-ES_tradnl"/>
        </w:rPr>
        <w:t xml:space="preserve"> A través del SAIMEX.</w:t>
      </w:r>
    </w:p>
    <w:p w:rsidR="00656430" w:rsidRPr="002E7D91" w:rsidRDefault="00656430" w:rsidP="00656430">
      <w:pPr>
        <w:spacing w:after="0" w:line="360" w:lineRule="auto"/>
        <w:jc w:val="both"/>
        <w:rPr>
          <w:rFonts w:ascii="Palatino Linotype" w:eastAsia="Palatino Linotype" w:hAnsi="Palatino Linotype" w:cs="Palatino Linotype"/>
          <w:sz w:val="24"/>
          <w:szCs w:val="24"/>
        </w:rPr>
      </w:pPr>
    </w:p>
    <w:p w:rsidR="00656430" w:rsidRPr="002E7D91" w:rsidRDefault="00656430" w:rsidP="0065643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2E7D91">
        <w:rPr>
          <w:rFonts w:ascii="Palatino Linotype" w:eastAsia="Palatino Linotype" w:hAnsi="Palatino Linotype" w:cs="Palatino Linotype"/>
          <w:b/>
          <w:color w:val="000000"/>
          <w:sz w:val="28"/>
          <w:szCs w:val="24"/>
        </w:rPr>
        <w:t>SEGUNDO. De la falta de respuesta del Sujeto Obligado.</w:t>
      </w:r>
    </w:p>
    <w:p w:rsidR="00656430" w:rsidRPr="002E7D91" w:rsidRDefault="00656430" w:rsidP="0065643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2E7D91">
        <w:rPr>
          <w:rFonts w:ascii="Palatino Linotype" w:eastAsia="Palatino Linotype" w:hAnsi="Palatino Linotype" w:cs="Palatino Linotype"/>
          <w:color w:val="000000"/>
          <w:sz w:val="24"/>
          <w:szCs w:val="24"/>
        </w:rPr>
        <w:lastRenderedPageBreak/>
        <w:t>E</w:t>
      </w:r>
      <w:r w:rsidRPr="002E7D91">
        <w:rPr>
          <w:rFonts w:ascii="Palatino Linotype" w:eastAsia="Palatino Linotype" w:hAnsi="Palatino Linotype" w:cs="Palatino Linotype"/>
          <w:sz w:val="24"/>
          <w:szCs w:val="24"/>
        </w:rPr>
        <w:t xml:space="preserve">l </w:t>
      </w:r>
      <w:r w:rsidRPr="002E7D91">
        <w:rPr>
          <w:rFonts w:ascii="Palatino Linotype" w:eastAsia="Palatino Linotype" w:hAnsi="Palatino Linotype" w:cs="Palatino Linotype"/>
          <w:b/>
          <w:sz w:val="24"/>
          <w:szCs w:val="24"/>
        </w:rPr>
        <w:t>Sujeto Obligado</w:t>
      </w:r>
      <w:r w:rsidRPr="002E7D91">
        <w:rPr>
          <w:rFonts w:ascii="Palatino Linotype" w:eastAsia="Palatino Linotype" w:hAnsi="Palatino Linotype" w:cs="Palatino Linotype"/>
          <w:sz w:val="24"/>
          <w:szCs w:val="24"/>
        </w:rPr>
        <w:t xml:space="preserve"> no proporcionó respuesta a las solicitudes de información </w:t>
      </w:r>
      <w:r w:rsidRPr="002E7D91">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rsidR="00656430" w:rsidRPr="002E7D91" w:rsidRDefault="00656430" w:rsidP="0065643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656430" w:rsidRPr="002E7D91" w:rsidRDefault="00656430" w:rsidP="0065643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2E7D91">
        <w:rPr>
          <w:rFonts w:ascii="Palatino Linotype" w:eastAsia="Palatino Linotype" w:hAnsi="Palatino Linotype" w:cs="Palatino Linotype"/>
          <w:b/>
          <w:sz w:val="24"/>
          <w:szCs w:val="24"/>
        </w:rPr>
        <w:t xml:space="preserve">TERCERO. </w:t>
      </w:r>
      <w:r w:rsidRPr="002E7D91">
        <w:rPr>
          <w:rFonts w:ascii="Palatino Linotype" w:eastAsia="Palatino Linotype" w:hAnsi="Palatino Linotype" w:cs="Palatino Linotype"/>
          <w:b/>
          <w:color w:val="000000"/>
          <w:sz w:val="24"/>
          <w:szCs w:val="24"/>
        </w:rPr>
        <w:t>Del recurso de revisión.</w:t>
      </w:r>
    </w:p>
    <w:p w:rsidR="00656430" w:rsidRPr="002E7D91" w:rsidRDefault="00656430" w:rsidP="00656430">
      <w:pPr>
        <w:spacing w:after="0" w:line="360" w:lineRule="auto"/>
        <w:jc w:val="both"/>
        <w:rPr>
          <w:rFonts w:ascii="Palatino Linotype" w:eastAsia="Palatino Linotype" w:hAnsi="Palatino Linotype" w:cs="Palatino Linotype"/>
          <w:b/>
          <w:sz w:val="24"/>
          <w:szCs w:val="24"/>
        </w:rPr>
      </w:pPr>
      <w:r w:rsidRPr="002E7D91">
        <w:rPr>
          <w:rFonts w:ascii="Palatino Linotype" w:eastAsia="Palatino Linotype" w:hAnsi="Palatino Linotype" w:cs="Palatino Linotype"/>
          <w:sz w:val="24"/>
          <w:szCs w:val="24"/>
        </w:rPr>
        <w:t>Ante la falta de respuesta</w:t>
      </w:r>
      <w:r w:rsidRPr="002E7D91">
        <w:rPr>
          <w:rFonts w:ascii="Palatino Linotype" w:eastAsia="Palatino Linotype" w:hAnsi="Palatino Linotype" w:cs="Palatino Linotype"/>
          <w:b/>
          <w:sz w:val="24"/>
          <w:szCs w:val="24"/>
        </w:rPr>
        <w:t xml:space="preserve"> </w:t>
      </w:r>
      <w:r w:rsidRPr="002E7D91">
        <w:rPr>
          <w:rFonts w:ascii="Palatino Linotype" w:eastAsia="Palatino Linotype" w:hAnsi="Palatino Linotype" w:cs="Palatino Linotype"/>
          <w:sz w:val="24"/>
          <w:szCs w:val="24"/>
        </w:rPr>
        <w:t xml:space="preserve">del </w:t>
      </w:r>
      <w:r w:rsidRPr="002E7D91">
        <w:rPr>
          <w:rFonts w:ascii="Palatino Linotype" w:eastAsia="Palatino Linotype" w:hAnsi="Palatino Linotype" w:cs="Palatino Linotype"/>
          <w:b/>
          <w:sz w:val="24"/>
          <w:szCs w:val="24"/>
        </w:rPr>
        <w:t>Sujeto Obligado</w:t>
      </w:r>
      <w:r w:rsidRPr="002E7D91">
        <w:rPr>
          <w:rFonts w:ascii="Palatino Linotype" w:eastAsia="Palatino Linotype" w:hAnsi="Palatino Linotype" w:cs="Palatino Linotype"/>
          <w:sz w:val="24"/>
          <w:szCs w:val="24"/>
        </w:rPr>
        <w:t xml:space="preserve">, la parte </w:t>
      </w:r>
      <w:r w:rsidRPr="002E7D91">
        <w:rPr>
          <w:rFonts w:ascii="Palatino Linotype" w:eastAsia="Palatino Linotype" w:hAnsi="Palatino Linotype" w:cs="Palatino Linotype"/>
          <w:b/>
          <w:sz w:val="24"/>
          <w:szCs w:val="24"/>
        </w:rPr>
        <w:t>Recurrente</w:t>
      </w:r>
      <w:r w:rsidRPr="002E7D91">
        <w:rPr>
          <w:rFonts w:ascii="Palatino Linotype" w:eastAsia="Palatino Linotype" w:hAnsi="Palatino Linotype" w:cs="Palatino Linotype"/>
          <w:sz w:val="24"/>
          <w:szCs w:val="24"/>
        </w:rPr>
        <w:t xml:space="preserve"> interpuso el recurso de revisión en fecha </w:t>
      </w:r>
      <w:r w:rsidR="002B69BB" w:rsidRPr="002E7D91">
        <w:rPr>
          <w:rFonts w:ascii="Palatino Linotype" w:eastAsia="Palatino Linotype" w:hAnsi="Palatino Linotype" w:cs="Palatino Linotype"/>
          <w:sz w:val="24"/>
          <w:szCs w:val="24"/>
        </w:rPr>
        <w:t>diecinueve de agosto</w:t>
      </w:r>
      <w:r w:rsidRPr="002E7D91">
        <w:rPr>
          <w:rFonts w:ascii="Palatino Linotype" w:eastAsia="Palatino Linotype" w:hAnsi="Palatino Linotype" w:cs="Palatino Linotype"/>
          <w:sz w:val="24"/>
          <w:szCs w:val="24"/>
        </w:rPr>
        <w:t xml:space="preserve"> de dos mil veinticuatro, registrado</w:t>
      </w:r>
      <w:r w:rsidRPr="002E7D91">
        <w:rPr>
          <w:rFonts w:ascii="Palatino Linotype" w:eastAsia="Palatino Linotype" w:hAnsi="Palatino Linotype" w:cs="Palatino Linotype"/>
          <w:b/>
          <w:sz w:val="24"/>
          <w:szCs w:val="24"/>
        </w:rPr>
        <w:t xml:space="preserve"> </w:t>
      </w:r>
      <w:r w:rsidRPr="002E7D91">
        <w:rPr>
          <w:rFonts w:ascii="Palatino Linotype" w:eastAsia="Palatino Linotype" w:hAnsi="Palatino Linotype" w:cs="Palatino Linotype"/>
          <w:sz w:val="24"/>
          <w:szCs w:val="24"/>
        </w:rPr>
        <w:t xml:space="preserve">en el </w:t>
      </w:r>
      <w:r w:rsidRPr="002E7D91">
        <w:rPr>
          <w:rFonts w:ascii="Palatino Linotype" w:eastAsia="Palatino Linotype" w:hAnsi="Palatino Linotype" w:cs="Palatino Linotype"/>
          <w:b/>
          <w:sz w:val="24"/>
          <w:szCs w:val="24"/>
        </w:rPr>
        <w:t xml:space="preserve">SAIMEX </w:t>
      </w:r>
      <w:r w:rsidRPr="002E7D91">
        <w:rPr>
          <w:rFonts w:ascii="Palatino Linotype" w:eastAsia="Palatino Linotype" w:hAnsi="Palatino Linotype" w:cs="Palatino Linotype"/>
          <w:sz w:val="24"/>
          <w:szCs w:val="24"/>
        </w:rPr>
        <w:t xml:space="preserve">con el número de expediente </w:t>
      </w:r>
      <w:r w:rsidRPr="002E7D91">
        <w:rPr>
          <w:rFonts w:ascii="Palatino Linotype" w:eastAsia="Palatino Linotype" w:hAnsi="Palatino Linotype" w:cs="Palatino Linotype"/>
          <w:b/>
          <w:sz w:val="24"/>
          <w:szCs w:val="24"/>
        </w:rPr>
        <w:t>04890/INFOEM/IP/RR/2024</w:t>
      </w:r>
      <w:r w:rsidR="002B69BB" w:rsidRPr="002E7D91">
        <w:rPr>
          <w:rFonts w:ascii="Palatino Linotype" w:eastAsia="Palatino Linotype" w:hAnsi="Palatino Linotype" w:cs="Palatino Linotype"/>
          <w:sz w:val="24"/>
          <w:szCs w:val="24"/>
        </w:rPr>
        <w:t>, en el que señaló</w:t>
      </w:r>
      <w:r w:rsidRPr="002E7D91">
        <w:rPr>
          <w:rFonts w:ascii="Palatino Linotype" w:eastAsia="Palatino Linotype" w:hAnsi="Palatino Linotype" w:cs="Palatino Linotype"/>
          <w:sz w:val="24"/>
          <w:szCs w:val="24"/>
        </w:rPr>
        <w:t xml:space="preserve"> lo siguiente:</w:t>
      </w:r>
    </w:p>
    <w:p w:rsidR="00656430" w:rsidRPr="002E7D91" w:rsidRDefault="00656430" w:rsidP="00656430">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rsidR="00656430" w:rsidRPr="002E7D91" w:rsidRDefault="00656430" w:rsidP="002B69BB">
      <w:pPr>
        <w:numPr>
          <w:ilvl w:val="0"/>
          <w:numId w:val="1"/>
        </w:numPr>
        <w:pBdr>
          <w:top w:val="nil"/>
          <w:left w:val="nil"/>
          <w:bottom w:val="nil"/>
          <w:right w:val="nil"/>
          <w:between w:val="nil"/>
        </w:pBdr>
        <w:spacing w:after="0" w:line="360" w:lineRule="auto"/>
        <w:jc w:val="both"/>
        <w:rPr>
          <w:i/>
        </w:rPr>
      </w:pPr>
      <w:r w:rsidRPr="002E7D91">
        <w:rPr>
          <w:rFonts w:ascii="Palatino Linotype" w:eastAsia="Palatino Linotype" w:hAnsi="Palatino Linotype" w:cs="Palatino Linotype"/>
          <w:b/>
          <w:i/>
          <w:color w:val="000000"/>
        </w:rPr>
        <w:t xml:space="preserve">Acto Impugnado: </w:t>
      </w:r>
      <w:r w:rsidRPr="002E7D91">
        <w:rPr>
          <w:rFonts w:ascii="Palatino Linotype" w:eastAsia="Palatino Linotype" w:hAnsi="Palatino Linotype" w:cs="Palatino Linotype"/>
          <w:i/>
          <w:color w:val="000000"/>
        </w:rPr>
        <w:t>“</w:t>
      </w:r>
      <w:r w:rsidR="002B69BB" w:rsidRPr="002E7D91">
        <w:rPr>
          <w:rFonts w:ascii="Palatino Linotype" w:eastAsia="Palatino Linotype" w:hAnsi="Palatino Linotype" w:cs="Palatino Linotype"/>
          <w:i/>
          <w:color w:val="000000"/>
        </w:rPr>
        <w:t>falta de respuesta</w:t>
      </w:r>
      <w:r w:rsidRPr="002E7D91">
        <w:rPr>
          <w:rFonts w:ascii="Palatino Linotype" w:eastAsia="Palatino Linotype" w:hAnsi="Palatino Linotype" w:cs="Palatino Linotype"/>
          <w:i/>
          <w:color w:val="000000"/>
        </w:rPr>
        <w:t xml:space="preserve">” (Sic) </w:t>
      </w:r>
    </w:p>
    <w:p w:rsidR="00656430" w:rsidRPr="002E7D91" w:rsidRDefault="00656430" w:rsidP="00656430">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rsidR="00656430" w:rsidRPr="002E7D91" w:rsidRDefault="00656430" w:rsidP="002B69BB">
      <w:pPr>
        <w:numPr>
          <w:ilvl w:val="0"/>
          <w:numId w:val="1"/>
        </w:numPr>
        <w:pBdr>
          <w:top w:val="nil"/>
          <w:left w:val="nil"/>
          <w:bottom w:val="nil"/>
          <w:right w:val="nil"/>
          <w:between w:val="nil"/>
        </w:pBdr>
        <w:spacing w:after="0" w:line="360" w:lineRule="auto"/>
        <w:jc w:val="both"/>
      </w:pPr>
      <w:r w:rsidRPr="002E7D91">
        <w:rPr>
          <w:rFonts w:ascii="Palatino Linotype" w:eastAsia="Palatino Linotype" w:hAnsi="Palatino Linotype" w:cs="Palatino Linotype"/>
          <w:b/>
          <w:i/>
          <w:color w:val="000000"/>
        </w:rPr>
        <w:t>Razones o Motivos de Inconformidad</w:t>
      </w:r>
      <w:r w:rsidRPr="002E7D91">
        <w:rPr>
          <w:rFonts w:ascii="Palatino Linotype" w:eastAsia="Palatino Linotype" w:hAnsi="Palatino Linotype" w:cs="Palatino Linotype"/>
          <w:i/>
          <w:color w:val="000000"/>
        </w:rPr>
        <w:t>: “</w:t>
      </w:r>
      <w:r w:rsidR="002B69BB" w:rsidRPr="002E7D91">
        <w:rPr>
          <w:rFonts w:ascii="Palatino Linotype" w:eastAsia="Palatino Linotype" w:hAnsi="Palatino Linotype" w:cs="Palatino Linotype"/>
          <w:i/>
          <w:color w:val="000000"/>
        </w:rPr>
        <w:t>falta de respuesta</w:t>
      </w:r>
      <w:r w:rsidRPr="002E7D91">
        <w:rPr>
          <w:rFonts w:ascii="Palatino Linotype" w:eastAsia="Palatino Linotype" w:hAnsi="Palatino Linotype" w:cs="Palatino Linotype"/>
          <w:i/>
          <w:color w:val="000000"/>
        </w:rPr>
        <w:t>.”</w:t>
      </w:r>
      <w:r w:rsidRPr="002E7D91">
        <w:rPr>
          <w:rFonts w:ascii="Palatino Linotype" w:eastAsia="Palatino Linotype" w:hAnsi="Palatino Linotype" w:cs="Palatino Linotype"/>
          <w:color w:val="000000"/>
          <w:sz w:val="24"/>
          <w:szCs w:val="24"/>
        </w:rPr>
        <w:t xml:space="preserve"> (Sic)</w:t>
      </w:r>
      <w:r w:rsidRPr="002E7D91">
        <w:rPr>
          <w:rFonts w:ascii="Times New Roman" w:eastAsia="Times New Roman" w:hAnsi="Times New Roman" w:cs="Times New Roman"/>
          <w:color w:val="000000"/>
          <w:sz w:val="24"/>
          <w:szCs w:val="24"/>
        </w:rPr>
        <w:t xml:space="preserve"> </w:t>
      </w:r>
    </w:p>
    <w:p w:rsidR="00656430" w:rsidRPr="002E7D91" w:rsidRDefault="00656430" w:rsidP="00656430">
      <w:pPr>
        <w:spacing w:after="0" w:line="360" w:lineRule="auto"/>
        <w:jc w:val="both"/>
        <w:rPr>
          <w:rFonts w:ascii="Palatino Linotype" w:eastAsia="Palatino Linotype" w:hAnsi="Palatino Linotype" w:cs="Palatino Linotype"/>
          <w:b/>
          <w:sz w:val="28"/>
          <w:szCs w:val="28"/>
        </w:rPr>
      </w:pPr>
    </w:p>
    <w:p w:rsidR="00656430" w:rsidRPr="002E7D91" w:rsidRDefault="00656430" w:rsidP="00656430">
      <w:pPr>
        <w:spacing w:before="240" w:line="360" w:lineRule="auto"/>
        <w:jc w:val="both"/>
        <w:rPr>
          <w:rFonts w:ascii="Palatino Linotype" w:hAnsi="Palatino Linotype" w:cs="Arial"/>
          <w:b/>
        </w:rPr>
      </w:pPr>
      <w:r w:rsidRPr="002E7D91">
        <w:rPr>
          <w:rFonts w:ascii="Palatino Linotype" w:hAnsi="Palatino Linotype" w:cs="Arial"/>
          <w:b/>
          <w:sz w:val="28"/>
        </w:rPr>
        <w:t>CUARTO</w:t>
      </w:r>
      <w:r w:rsidRPr="002E7D91">
        <w:rPr>
          <w:rFonts w:ascii="Palatino Linotype" w:hAnsi="Palatino Linotype" w:cs="Arial"/>
          <w:b/>
        </w:rPr>
        <w:t xml:space="preserve">. </w:t>
      </w:r>
      <w:r w:rsidRPr="002E7D91">
        <w:rPr>
          <w:rFonts w:ascii="Palatino Linotype" w:hAnsi="Palatino Linotype" w:cs="Arial"/>
          <w:b/>
          <w:sz w:val="28"/>
          <w:szCs w:val="28"/>
        </w:rPr>
        <w:t>Del turno y admisión del recurso de revisión.</w:t>
      </w:r>
    </w:p>
    <w:p w:rsidR="00656430" w:rsidRPr="002E7D91" w:rsidRDefault="00656430" w:rsidP="00656430">
      <w:pPr>
        <w:spacing w:before="240" w:line="360" w:lineRule="auto"/>
        <w:jc w:val="both"/>
        <w:rPr>
          <w:rFonts w:ascii="Palatino Linotype" w:hAnsi="Palatino Linotype" w:cs="Arial"/>
          <w:sz w:val="32"/>
        </w:rPr>
      </w:pPr>
      <w:r w:rsidRPr="002E7D91">
        <w:rPr>
          <w:rFonts w:ascii="Palatino Linotype" w:hAnsi="Palatino Linotype"/>
          <w:sz w:val="24"/>
        </w:rPr>
        <w:t xml:space="preserve">El medio de impugnación fue turnado al Comisionado Presidente </w:t>
      </w:r>
      <w:r w:rsidRPr="002E7D91">
        <w:rPr>
          <w:rFonts w:ascii="Palatino Linotype" w:hAnsi="Palatino Linotype"/>
          <w:b/>
          <w:sz w:val="24"/>
        </w:rPr>
        <w:t>José Martínez Vilchis,</w:t>
      </w:r>
      <w:r w:rsidRPr="002E7D91">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2E7D91">
        <w:rPr>
          <w:rFonts w:ascii="Palatino Linotype" w:hAnsi="Palatino Linotype"/>
          <w:b/>
          <w:sz w:val="24"/>
        </w:rPr>
        <w:t>admisión</w:t>
      </w:r>
      <w:r w:rsidRPr="002E7D91">
        <w:rPr>
          <w:rFonts w:ascii="Palatino Linotype" w:hAnsi="Palatino Linotype"/>
          <w:sz w:val="24"/>
        </w:rPr>
        <w:t xml:space="preserve"> en fecha </w:t>
      </w:r>
      <w:r w:rsidR="002B69BB" w:rsidRPr="002E7D91">
        <w:rPr>
          <w:rFonts w:ascii="Palatino Linotype" w:hAnsi="Palatino Linotype"/>
          <w:b/>
          <w:sz w:val="24"/>
        </w:rPr>
        <w:t>veintiuno</w:t>
      </w:r>
      <w:r w:rsidRPr="002E7D91">
        <w:rPr>
          <w:rFonts w:ascii="Palatino Linotype" w:hAnsi="Palatino Linotype"/>
          <w:b/>
          <w:sz w:val="24"/>
        </w:rPr>
        <w:t xml:space="preserve"> de agosto de dos mil veinticuatro</w:t>
      </w:r>
      <w:r w:rsidRPr="002E7D91">
        <w:rPr>
          <w:rFonts w:ascii="Palatino Linotype" w:hAnsi="Palatino Linotype"/>
          <w:sz w:val="24"/>
        </w:rPr>
        <w:t>, determinándose en ellos, un plazo de siete días para que las partes manifestaran lo que a su derecho corresponda en términos del numeral ya citado.</w:t>
      </w:r>
    </w:p>
    <w:p w:rsidR="00656430" w:rsidRPr="002E7D91" w:rsidRDefault="00656430" w:rsidP="00656430">
      <w:pPr>
        <w:spacing w:after="0" w:line="360" w:lineRule="auto"/>
        <w:jc w:val="both"/>
        <w:rPr>
          <w:rFonts w:ascii="Palatino Linotype" w:eastAsia="Palatino Linotype" w:hAnsi="Palatino Linotype" w:cs="Palatino Linotype"/>
          <w:b/>
          <w:sz w:val="28"/>
          <w:szCs w:val="28"/>
        </w:rPr>
      </w:pPr>
    </w:p>
    <w:p w:rsidR="00656430" w:rsidRPr="002E7D91" w:rsidRDefault="00656430" w:rsidP="00656430">
      <w:pPr>
        <w:pStyle w:val="Prrafodelista"/>
        <w:spacing w:line="360" w:lineRule="auto"/>
        <w:ind w:left="0"/>
        <w:jc w:val="both"/>
        <w:rPr>
          <w:rFonts w:ascii="Palatino Linotype" w:hAnsi="Palatino Linotype" w:cs="Arial"/>
          <w:b/>
          <w:sz w:val="28"/>
          <w:szCs w:val="28"/>
        </w:rPr>
      </w:pPr>
      <w:r w:rsidRPr="002E7D91">
        <w:rPr>
          <w:rFonts w:ascii="Palatino Linotype" w:hAnsi="Palatino Linotype" w:cs="Arial"/>
          <w:b/>
          <w:sz w:val="28"/>
        </w:rPr>
        <w:lastRenderedPageBreak/>
        <w:t>QUINTO</w:t>
      </w:r>
      <w:r w:rsidRPr="002E7D91">
        <w:rPr>
          <w:rFonts w:ascii="Palatino Linotype" w:hAnsi="Palatino Linotype" w:cs="Arial"/>
          <w:b/>
        </w:rPr>
        <w:t>.</w:t>
      </w:r>
      <w:r w:rsidRPr="002E7D91">
        <w:rPr>
          <w:rFonts w:ascii="Palatino Linotype" w:hAnsi="Palatino Linotype" w:cs="Arial"/>
          <w:b/>
          <w:sz w:val="28"/>
          <w:szCs w:val="28"/>
        </w:rPr>
        <w:t xml:space="preserve"> De la etapa de instrucción.</w:t>
      </w:r>
    </w:p>
    <w:p w:rsidR="00656430" w:rsidRPr="002E7D91" w:rsidRDefault="00656430" w:rsidP="00656430">
      <w:pPr>
        <w:spacing w:after="0" w:line="360" w:lineRule="auto"/>
        <w:jc w:val="both"/>
        <w:rPr>
          <w:rFonts w:ascii="Palatino Linotype" w:hAnsi="Palatino Linotype"/>
          <w:sz w:val="24"/>
          <w:szCs w:val="24"/>
        </w:rPr>
      </w:pPr>
      <w:r w:rsidRPr="002E7D91">
        <w:rPr>
          <w:rFonts w:ascii="Palatino Linotype" w:hAnsi="Palatino Linotype" w:cs="Arial"/>
          <w:sz w:val="24"/>
          <w:szCs w:val="24"/>
        </w:rPr>
        <w:t>De las constancias que obran en el expediente electrónico del SAIMEX, se advierte que el Sujeto Obligado fue omiso al rendir su informe justificado. De igual manera, se advierte que el Recurrente</w:t>
      </w:r>
      <w:r w:rsidRPr="002E7D91">
        <w:rPr>
          <w:rFonts w:ascii="Palatino Linotype" w:hAnsi="Palatino Linotype" w:cs="Arial"/>
          <w:b/>
          <w:sz w:val="24"/>
          <w:szCs w:val="24"/>
        </w:rPr>
        <w:t>,</w:t>
      </w:r>
      <w:r w:rsidRPr="002E7D91">
        <w:rPr>
          <w:rFonts w:ascii="Palatino Linotype" w:hAnsi="Palatino Linotype" w:cs="Arial"/>
          <w:sz w:val="24"/>
          <w:szCs w:val="24"/>
        </w:rPr>
        <w:t xml:space="preserve"> omitió rendir dentro del término de Ley, las manifestaciones que a sus intereses conviniera.</w:t>
      </w:r>
    </w:p>
    <w:p w:rsidR="00656430" w:rsidRPr="002E7D91" w:rsidRDefault="00656430" w:rsidP="00656430">
      <w:pPr>
        <w:spacing w:after="0" w:line="360" w:lineRule="auto"/>
        <w:jc w:val="both"/>
        <w:rPr>
          <w:rFonts w:ascii="Palatino Linotype" w:hAnsi="Palatino Linotype" w:cs="Arial"/>
          <w:sz w:val="24"/>
          <w:szCs w:val="24"/>
        </w:rPr>
      </w:pPr>
    </w:p>
    <w:p w:rsidR="00656430" w:rsidRPr="002E7D91" w:rsidRDefault="00656430" w:rsidP="00656430">
      <w:pPr>
        <w:spacing w:after="0" w:line="360" w:lineRule="auto"/>
        <w:jc w:val="both"/>
        <w:rPr>
          <w:rFonts w:ascii="Palatino Linotype" w:hAnsi="Palatino Linotype" w:cs="Arial"/>
          <w:sz w:val="24"/>
          <w:szCs w:val="24"/>
        </w:rPr>
      </w:pPr>
      <w:r w:rsidRPr="002E7D91">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823463" w:rsidRPr="002E7D91" w:rsidRDefault="00823463" w:rsidP="00823463">
      <w:pPr>
        <w:spacing w:line="360" w:lineRule="auto"/>
        <w:jc w:val="both"/>
        <w:rPr>
          <w:rFonts w:ascii="Palatino Linotype" w:hAnsi="Palatino Linotype" w:cs="Arial"/>
          <w:b/>
          <w:sz w:val="28"/>
          <w:szCs w:val="28"/>
        </w:rPr>
      </w:pPr>
    </w:p>
    <w:p w:rsidR="00823463" w:rsidRPr="002E7D91" w:rsidRDefault="00823463" w:rsidP="00823463">
      <w:pPr>
        <w:spacing w:line="360" w:lineRule="auto"/>
        <w:jc w:val="both"/>
        <w:rPr>
          <w:rFonts w:ascii="Palatino Linotype" w:hAnsi="Palatino Linotype" w:cs="Arial"/>
          <w:b/>
          <w:sz w:val="28"/>
        </w:rPr>
      </w:pPr>
      <w:r w:rsidRPr="002E7D91">
        <w:rPr>
          <w:rFonts w:ascii="Palatino Linotype" w:hAnsi="Palatino Linotype" w:cs="Arial"/>
          <w:b/>
          <w:sz w:val="28"/>
          <w:szCs w:val="28"/>
        </w:rPr>
        <w:t xml:space="preserve">SEXTO. </w:t>
      </w:r>
      <w:r w:rsidRPr="002E7D91">
        <w:rPr>
          <w:rFonts w:ascii="Palatino Linotype" w:hAnsi="Palatino Linotype" w:cs="Arial"/>
          <w:b/>
          <w:sz w:val="28"/>
        </w:rPr>
        <w:t>Del Desistimiento.</w:t>
      </w:r>
    </w:p>
    <w:p w:rsidR="00823463" w:rsidRPr="002E7D91" w:rsidRDefault="00823463" w:rsidP="00823463">
      <w:pPr>
        <w:pStyle w:val="Prrafodelista"/>
        <w:spacing w:line="360" w:lineRule="auto"/>
        <w:ind w:left="0"/>
        <w:jc w:val="both"/>
        <w:rPr>
          <w:rFonts w:ascii="Palatino Linotype" w:eastAsiaTheme="minorHAnsi" w:hAnsi="Palatino Linotype" w:cs="Arial"/>
          <w:lang w:val="es-MX" w:eastAsia="en-US"/>
        </w:rPr>
      </w:pPr>
      <w:r w:rsidRPr="002E7D91">
        <w:rPr>
          <w:rFonts w:ascii="Palatino Linotype" w:eastAsiaTheme="minorHAnsi" w:hAnsi="Palatino Linotype" w:cs="Arial"/>
          <w:lang w:val="es-MX" w:eastAsia="en-US"/>
        </w:rPr>
        <w:t xml:space="preserve">De las constancias que integran el expediente en que se actúa, se advierte que el día </w:t>
      </w:r>
      <w:r w:rsidRPr="002E7D91">
        <w:rPr>
          <w:rFonts w:ascii="Palatino Linotype" w:hAnsi="Palatino Linotype"/>
          <w:b/>
        </w:rPr>
        <w:t>dos de septiembre de dos mil veinticuatro</w:t>
      </w:r>
      <w:r w:rsidRPr="002E7D91">
        <w:rPr>
          <w:rFonts w:ascii="Palatino Linotype" w:eastAsiaTheme="minorHAnsi" w:hAnsi="Palatino Linotype" w:cs="Arial"/>
          <w:lang w:val="es-MX" w:eastAsia="en-US"/>
        </w:rPr>
        <w:t xml:space="preserve"> el </w:t>
      </w:r>
      <w:r w:rsidRPr="002E7D91">
        <w:rPr>
          <w:rFonts w:ascii="Palatino Linotype" w:eastAsiaTheme="minorHAnsi" w:hAnsi="Palatino Linotype" w:cs="Arial"/>
          <w:b/>
          <w:lang w:val="es-MX" w:eastAsia="en-US"/>
        </w:rPr>
        <w:t>Recurrente</w:t>
      </w:r>
      <w:r w:rsidRPr="002E7D91">
        <w:rPr>
          <w:rFonts w:ascii="Palatino Linotype" w:eastAsiaTheme="minorHAnsi" w:hAnsi="Palatino Linotype" w:cs="Arial"/>
          <w:lang w:val="es-MX" w:eastAsia="en-US"/>
        </w:rPr>
        <w:t xml:space="preserve"> se desistió del recurso de revisión que nos ocupa.</w:t>
      </w:r>
    </w:p>
    <w:p w:rsidR="00656430" w:rsidRPr="002E7D91" w:rsidRDefault="00656430" w:rsidP="00656430">
      <w:pPr>
        <w:spacing w:after="0" w:line="360" w:lineRule="auto"/>
        <w:jc w:val="both"/>
        <w:rPr>
          <w:rFonts w:ascii="Palatino Linotype" w:hAnsi="Palatino Linotype" w:cs="Arial"/>
          <w:b/>
          <w:sz w:val="28"/>
          <w:szCs w:val="28"/>
        </w:rPr>
      </w:pPr>
    </w:p>
    <w:p w:rsidR="00656430" w:rsidRPr="002E7D91" w:rsidRDefault="00823463" w:rsidP="00656430">
      <w:pPr>
        <w:spacing w:after="0" w:line="360" w:lineRule="auto"/>
        <w:jc w:val="both"/>
        <w:rPr>
          <w:rFonts w:ascii="Palatino Linotype" w:hAnsi="Palatino Linotype" w:cs="Arial"/>
          <w:b/>
          <w:sz w:val="28"/>
          <w:szCs w:val="28"/>
        </w:rPr>
      </w:pPr>
      <w:r w:rsidRPr="002E7D91">
        <w:rPr>
          <w:rFonts w:ascii="Palatino Linotype" w:hAnsi="Palatino Linotype" w:cs="Arial"/>
          <w:b/>
          <w:sz w:val="28"/>
          <w:lang w:val="es-ES_tradnl"/>
        </w:rPr>
        <w:t>SÉPTIMO</w:t>
      </w:r>
      <w:r w:rsidR="00656430" w:rsidRPr="002E7D91">
        <w:rPr>
          <w:rFonts w:ascii="Palatino Linotype" w:hAnsi="Palatino Linotype" w:cs="Arial"/>
          <w:b/>
          <w:sz w:val="28"/>
          <w:szCs w:val="28"/>
        </w:rPr>
        <w:t>. Del Cierre de Instrucción.</w:t>
      </w:r>
    </w:p>
    <w:p w:rsidR="00656430" w:rsidRPr="002E7D91" w:rsidRDefault="00656430" w:rsidP="00656430">
      <w:pPr>
        <w:spacing w:after="0" w:line="360" w:lineRule="auto"/>
        <w:jc w:val="both"/>
        <w:rPr>
          <w:rFonts w:ascii="Palatino Linotype" w:hAnsi="Palatino Linotype" w:cs="Arial"/>
          <w:sz w:val="24"/>
          <w:szCs w:val="24"/>
        </w:rPr>
      </w:pPr>
      <w:r w:rsidRPr="002E7D91">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413395" w:rsidRPr="002E7D91">
        <w:rPr>
          <w:rFonts w:ascii="Palatino Linotype" w:hAnsi="Palatino Linotype" w:cs="Arial"/>
          <w:b/>
          <w:sz w:val="24"/>
          <w:szCs w:val="24"/>
        </w:rPr>
        <w:t>dos de septiembre</w:t>
      </w:r>
      <w:r w:rsidRPr="002E7D91">
        <w:rPr>
          <w:rFonts w:ascii="Palatino Linotype" w:hAnsi="Palatino Linotype" w:cs="Arial"/>
          <w:b/>
          <w:sz w:val="24"/>
          <w:szCs w:val="24"/>
        </w:rPr>
        <w:t xml:space="preserve"> de dos mil veinticuatro</w:t>
      </w:r>
      <w:r w:rsidRPr="002E7D91">
        <w:rPr>
          <w:rFonts w:ascii="Palatino Linotype" w:hAnsi="Palatino Linotype" w:cs="Arial"/>
          <w:sz w:val="24"/>
          <w:szCs w:val="24"/>
        </w:rPr>
        <w:t xml:space="preserve">, en términos del artículo 185 fracción VI de la Ley de Transparencia y Acceso a la </w:t>
      </w:r>
      <w:r w:rsidRPr="002E7D91">
        <w:rPr>
          <w:rFonts w:ascii="Palatino Linotype" w:hAnsi="Palatino Linotype" w:cs="Arial"/>
          <w:sz w:val="24"/>
          <w:szCs w:val="24"/>
        </w:rPr>
        <w:lastRenderedPageBreak/>
        <w:t>Información Pública del Estado de México y Municipios, ordenándose turnar el expediente a la resolución que en derecho proceda.</w:t>
      </w:r>
    </w:p>
    <w:p w:rsidR="00656430" w:rsidRPr="002E7D91" w:rsidRDefault="00656430" w:rsidP="00656430">
      <w:pPr>
        <w:spacing w:after="0" w:line="360" w:lineRule="auto"/>
        <w:jc w:val="both"/>
        <w:rPr>
          <w:rFonts w:ascii="Palatino Linotype" w:eastAsia="Palatino Linotype" w:hAnsi="Palatino Linotype" w:cs="Palatino Linotype"/>
          <w:sz w:val="24"/>
          <w:szCs w:val="24"/>
        </w:rPr>
      </w:pPr>
    </w:p>
    <w:p w:rsidR="00656430" w:rsidRPr="002E7D91" w:rsidRDefault="00656430" w:rsidP="00656430">
      <w:pPr>
        <w:spacing w:after="0" w:line="360" w:lineRule="auto"/>
        <w:jc w:val="center"/>
        <w:rPr>
          <w:rFonts w:ascii="Palatino Linotype" w:eastAsia="Palatino Linotype" w:hAnsi="Palatino Linotype" w:cs="Palatino Linotype"/>
          <w:sz w:val="24"/>
          <w:szCs w:val="24"/>
        </w:rPr>
      </w:pPr>
      <w:r w:rsidRPr="002E7D91">
        <w:rPr>
          <w:rFonts w:ascii="Palatino Linotype" w:eastAsia="Palatino Linotype" w:hAnsi="Palatino Linotype" w:cs="Palatino Linotype"/>
          <w:b/>
          <w:sz w:val="28"/>
          <w:szCs w:val="28"/>
        </w:rPr>
        <w:t xml:space="preserve">C O N S I D E R A N D O </w:t>
      </w:r>
    </w:p>
    <w:p w:rsidR="00656430" w:rsidRPr="002E7D91" w:rsidRDefault="00656430" w:rsidP="00656430">
      <w:pPr>
        <w:spacing w:after="0" w:line="360" w:lineRule="auto"/>
        <w:jc w:val="both"/>
        <w:rPr>
          <w:rFonts w:ascii="Palatino Linotype" w:eastAsia="Palatino Linotype" w:hAnsi="Palatino Linotype" w:cs="Palatino Linotype"/>
          <w:sz w:val="24"/>
          <w:szCs w:val="24"/>
        </w:rPr>
      </w:pPr>
    </w:p>
    <w:p w:rsidR="00656430" w:rsidRPr="002E7D91" w:rsidRDefault="00656430" w:rsidP="00656430">
      <w:pPr>
        <w:spacing w:after="0" w:line="360" w:lineRule="auto"/>
        <w:jc w:val="both"/>
        <w:rPr>
          <w:rFonts w:ascii="Palatino Linotype" w:eastAsia="Palatino Linotype" w:hAnsi="Palatino Linotype" w:cs="Palatino Linotype"/>
          <w:sz w:val="28"/>
          <w:szCs w:val="24"/>
        </w:rPr>
      </w:pPr>
      <w:r w:rsidRPr="002E7D91">
        <w:rPr>
          <w:rFonts w:ascii="Palatino Linotype" w:eastAsia="Palatino Linotype" w:hAnsi="Palatino Linotype" w:cs="Palatino Linotype"/>
          <w:b/>
          <w:sz w:val="28"/>
          <w:szCs w:val="24"/>
        </w:rPr>
        <w:t>PRIMERO. De la competencia</w:t>
      </w:r>
      <w:r w:rsidRPr="002E7D91">
        <w:rPr>
          <w:rFonts w:ascii="Palatino Linotype" w:eastAsia="Palatino Linotype" w:hAnsi="Palatino Linotype" w:cs="Palatino Linotype"/>
          <w:sz w:val="28"/>
          <w:szCs w:val="24"/>
        </w:rPr>
        <w:t>.</w:t>
      </w:r>
    </w:p>
    <w:p w:rsidR="00656430" w:rsidRPr="002E7D91" w:rsidRDefault="00656430" w:rsidP="00656430">
      <w:pPr>
        <w:spacing w:after="0" w:line="360" w:lineRule="auto"/>
        <w:jc w:val="both"/>
        <w:rPr>
          <w:rFonts w:ascii="Palatino Linotype" w:eastAsia="Palatino Linotype" w:hAnsi="Palatino Linotype" w:cs="Palatino Linotype"/>
          <w:sz w:val="24"/>
          <w:szCs w:val="24"/>
        </w:rPr>
      </w:pPr>
      <w:r w:rsidRPr="002E7D91">
        <w:rPr>
          <w:rFonts w:ascii="Palatino Linotype" w:eastAsia="Palatino Linotype" w:hAnsi="Palatino Linotype" w:cs="Palatino Linotype"/>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656430" w:rsidRPr="002E7D91" w:rsidRDefault="00656430" w:rsidP="00656430">
      <w:pPr>
        <w:spacing w:after="0" w:line="360" w:lineRule="auto"/>
        <w:jc w:val="both"/>
        <w:rPr>
          <w:rFonts w:ascii="Palatino Linotype" w:eastAsia="Palatino Linotype" w:hAnsi="Palatino Linotype" w:cs="Palatino Linotype"/>
          <w:sz w:val="24"/>
          <w:szCs w:val="24"/>
        </w:rPr>
      </w:pPr>
    </w:p>
    <w:p w:rsidR="00823463" w:rsidRPr="002E7D91" w:rsidRDefault="00823463" w:rsidP="00823463">
      <w:pPr>
        <w:pStyle w:val="Prrafodelista"/>
        <w:autoSpaceDE w:val="0"/>
        <w:autoSpaceDN w:val="0"/>
        <w:adjustRightInd w:val="0"/>
        <w:spacing w:before="240" w:after="160" w:line="360" w:lineRule="auto"/>
        <w:ind w:left="0"/>
        <w:jc w:val="both"/>
        <w:rPr>
          <w:rFonts w:ascii="Palatino Linotype" w:hAnsi="Palatino Linotype" w:cs="Arial"/>
          <w:b/>
        </w:rPr>
      </w:pPr>
      <w:r w:rsidRPr="002E7D91">
        <w:rPr>
          <w:rFonts w:ascii="Palatino Linotype" w:hAnsi="Palatino Linotype" w:cs="Arial"/>
          <w:b/>
          <w:sz w:val="28"/>
        </w:rPr>
        <w:t>SEGUNDO</w:t>
      </w:r>
      <w:r w:rsidRPr="002E7D91">
        <w:rPr>
          <w:rFonts w:ascii="Palatino Linotype" w:hAnsi="Palatino Linotype" w:cs="Arial"/>
          <w:b/>
        </w:rPr>
        <w:t xml:space="preserve">. </w:t>
      </w:r>
      <w:r w:rsidRPr="002E7D91">
        <w:rPr>
          <w:rFonts w:ascii="Palatino Linotype" w:hAnsi="Palatino Linotype" w:cs="Arial"/>
          <w:b/>
          <w:sz w:val="28"/>
          <w:szCs w:val="28"/>
        </w:rPr>
        <w:t>Sobre los alcances del recurso de revisión.</w:t>
      </w:r>
      <w:r w:rsidRPr="002E7D91">
        <w:rPr>
          <w:rFonts w:ascii="Palatino Linotype" w:hAnsi="Palatino Linotype" w:cs="Arial"/>
          <w:b/>
        </w:rPr>
        <w:t xml:space="preserve"> </w:t>
      </w:r>
    </w:p>
    <w:p w:rsidR="00823463" w:rsidRPr="002E7D91" w:rsidRDefault="00823463" w:rsidP="00823463">
      <w:pPr>
        <w:pStyle w:val="Prrafodelista"/>
        <w:autoSpaceDE w:val="0"/>
        <w:autoSpaceDN w:val="0"/>
        <w:adjustRightInd w:val="0"/>
        <w:spacing w:before="240" w:after="160" w:line="360" w:lineRule="auto"/>
        <w:ind w:left="0"/>
        <w:jc w:val="both"/>
        <w:rPr>
          <w:rFonts w:ascii="Palatino Linotype" w:hAnsi="Palatino Linotype" w:cs="Arial"/>
        </w:rPr>
      </w:pPr>
      <w:r w:rsidRPr="002E7D91">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w:t>
      </w:r>
      <w:r w:rsidRPr="002E7D91">
        <w:rPr>
          <w:rFonts w:ascii="Palatino Linotype" w:hAnsi="Palatino Linotype" w:cs="Arial"/>
        </w:rPr>
        <w:lastRenderedPageBreak/>
        <w:t>obren en el expediente electrónico, con la finalidad de reparar cualquier posible afectación al derecho de acceso a la información pública y garantizando el principio rector de máxima publicidad.</w:t>
      </w:r>
    </w:p>
    <w:p w:rsidR="00823463" w:rsidRPr="002E7D91" w:rsidRDefault="00823463" w:rsidP="00823463">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2E7D91">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rsidR="00823463" w:rsidRPr="002E7D91" w:rsidRDefault="00823463" w:rsidP="00823463">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2E7D91">
        <w:rPr>
          <w:rFonts w:ascii="Palatino Linotype" w:eastAsia="Times New Roman" w:hAnsi="Palatino Linotype" w:cs="Arial"/>
          <w:i/>
          <w:szCs w:val="24"/>
          <w:lang w:eastAsia="es-ES"/>
        </w:rPr>
        <w:t xml:space="preserve">“Artículo 180. El recurso de revisión contendrá: </w:t>
      </w:r>
    </w:p>
    <w:p w:rsidR="00823463" w:rsidRPr="002E7D91" w:rsidRDefault="00823463" w:rsidP="00823463">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2E7D91">
        <w:rPr>
          <w:rFonts w:ascii="Palatino Linotype" w:eastAsia="Times New Roman" w:hAnsi="Palatino Linotype" w:cs="Arial"/>
          <w:i/>
          <w:sz w:val="24"/>
          <w:szCs w:val="24"/>
          <w:lang w:val="es-ES_tradnl" w:eastAsia="es-ES"/>
        </w:rPr>
        <w:t xml:space="preserve">I. El sujeto obligado ante la cual se presentó la solicitud; </w:t>
      </w:r>
    </w:p>
    <w:p w:rsidR="00823463" w:rsidRPr="002E7D91" w:rsidRDefault="00823463" w:rsidP="0082346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2E7D91">
        <w:rPr>
          <w:rFonts w:ascii="Palatino Linotype" w:eastAsia="Times New Roman" w:hAnsi="Palatino Linotype" w:cs="Arial"/>
          <w:b/>
          <w:i/>
          <w:sz w:val="24"/>
          <w:szCs w:val="24"/>
          <w:lang w:val="es-ES_tradnl" w:eastAsia="es-ES"/>
        </w:rPr>
        <w:t>II. El nombre del solicitante que recurre</w:t>
      </w:r>
      <w:r w:rsidRPr="002E7D91">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823463" w:rsidRPr="002E7D91" w:rsidRDefault="00823463" w:rsidP="00823463">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2E7D91">
        <w:rPr>
          <w:rFonts w:ascii="Palatino Linotype" w:eastAsia="Times New Roman" w:hAnsi="Palatino Linotype" w:cs="Arial"/>
          <w:i/>
          <w:sz w:val="24"/>
          <w:szCs w:val="24"/>
          <w:lang w:val="es-ES_tradnl" w:eastAsia="es-ES"/>
        </w:rPr>
        <w:t>III. El número de folio de respuesta de la solicitud de acceso;</w:t>
      </w:r>
    </w:p>
    <w:p w:rsidR="00823463" w:rsidRPr="002E7D91" w:rsidRDefault="00823463" w:rsidP="0082346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2E7D91">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rsidR="00823463" w:rsidRPr="002E7D91" w:rsidRDefault="00823463" w:rsidP="0082346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2E7D91">
        <w:rPr>
          <w:rFonts w:ascii="Palatino Linotype" w:eastAsia="Times New Roman" w:hAnsi="Palatino Linotype" w:cs="Arial"/>
          <w:i/>
          <w:sz w:val="24"/>
          <w:szCs w:val="24"/>
          <w:lang w:val="es-ES_tradnl" w:eastAsia="es-ES"/>
        </w:rPr>
        <w:t>V. El acto que se recurre;</w:t>
      </w:r>
    </w:p>
    <w:p w:rsidR="00823463" w:rsidRPr="002E7D91" w:rsidRDefault="00823463" w:rsidP="00823463">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2E7D91">
        <w:rPr>
          <w:rFonts w:ascii="Palatino Linotype" w:eastAsia="Times New Roman" w:hAnsi="Palatino Linotype" w:cs="Arial"/>
          <w:i/>
          <w:sz w:val="24"/>
          <w:szCs w:val="24"/>
          <w:lang w:val="es-ES_tradnl" w:eastAsia="es-ES"/>
        </w:rPr>
        <w:t>VI. Las razones o motivos de inconformidad;</w:t>
      </w:r>
    </w:p>
    <w:p w:rsidR="00823463" w:rsidRPr="002E7D91" w:rsidRDefault="00823463" w:rsidP="0082346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2E7D91">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823463" w:rsidRPr="002E7D91" w:rsidRDefault="00823463" w:rsidP="0082346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2E7D91">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823463" w:rsidRPr="002E7D91" w:rsidRDefault="00823463" w:rsidP="00823463">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2E7D91">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rsidR="00823463" w:rsidRPr="002E7D91" w:rsidRDefault="00823463" w:rsidP="00823463">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2E7D91">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823463" w:rsidRPr="002E7D91" w:rsidRDefault="00823463" w:rsidP="00823463">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2E7D91">
        <w:rPr>
          <w:rFonts w:ascii="Palatino Linotype" w:hAnsi="Palatino Linotype" w:cs="Arial"/>
          <w:b/>
          <w:i/>
        </w:rPr>
        <w:lastRenderedPageBreak/>
        <w:t>En caso de que el recurso se interponga de manera electrónica no será indispensable que contengan los requisitos establecidos en las fracciones II, IV, VII y VIII.”</w:t>
      </w:r>
    </w:p>
    <w:p w:rsidR="00823463" w:rsidRPr="002E7D91" w:rsidRDefault="00823463" w:rsidP="0082346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rsidR="00823463" w:rsidRPr="002E7D91" w:rsidRDefault="00823463" w:rsidP="0082346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2E7D91">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823463" w:rsidRPr="002E7D91" w:rsidTr="00852462">
        <w:trPr>
          <w:trHeight w:val="1360"/>
        </w:trPr>
        <w:tc>
          <w:tcPr>
            <w:tcW w:w="7982" w:type="dxa"/>
          </w:tcPr>
          <w:p w:rsidR="00823463" w:rsidRPr="002E7D91" w:rsidRDefault="00823463" w:rsidP="00852462">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2E7D91">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823463" w:rsidRPr="002E7D91" w:rsidRDefault="00823463" w:rsidP="0082346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2E7D91">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823463" w:rsidRPr="002E7D91" w:rsidTr="00852462">
        <w:trPr>
          <w:jc w:val="center"/>
        </w:trPr>
        <w:tc>
          <w:tcPr>
            <w:tcW w:w="8075" w:type="dxa"/>
          </w:tcPr>
          <w:p w:rsidR="00823463" w:rsidRPr="002E7D91" w:rsidRDefault="00823463" w:rsidP="00852462">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2E7D91">
              <w:rPr>
                <w:rFonts w:ascii="Palatino Linotype" w:eastAsia="Times New Roman" w:hAnsi="Palatino Linotype" w:cs="Times New Roman"/>
                <w:b/>
                <w:i/>
                <w:sz w:val="24"/>
                <w:szCs w:val="24"/>
                <w:lang w:val="es-ES" w:eastAsia="es-ES"/>
              </w:rPr>
              <w:t xml:space="preserve">Constitución Política de los Estados Unidos Mexicanos </w:t>
            </w:r>
          </w:p>
          <w:p w:rsidR="00823463" w:rsidRPr="002E7D91" w:rsidRDefault="00823463" w:rsidP="0085246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2E7D91">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w:t>
            </w:r>
            <w:r w:rsidRPr="002E7D91">
              <w:rPr>
                <w:rFonts w:ascii="Palatino Linotype" w:eastAsia="Times New Roman" w:hAnsi="Palatino Linotype" w:cs="Times New Roman"/>
                <w:i/>
                <w:szCs w:val="24"/>
                <w:lang w:val="es-ES" w:eastAsia="es-ES"/>
              </w:rPr>
              <w:lastRenderedPageBreak/>
              <w:t xml:space="preserve">ejercido en los términos dispuestos por la ley. El derecho a la información será garantizado por el Estado. </w:t>
            </w:r>
          </w:p>
          <w:p w:rsidR="00823463" w:rsidRPr="002E7D91" w:rsidRDefault="00823463" w:rsidP="0085246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2E7D91">
              <w:rPr>
                <w:rFonts w:ascii="Palatino Linotype" w:eastAsia="Times New Roman" w:hAnsi="Palatino Linotype" w:cs="Times New Roman"/>
                <w:i/>
                <w:szCs w:val="24"/>
                <w:lang w:val="es-ES" w:eastAsia="es-ES"/>
              </w:rPr>
              <w:t xml:space="preserve">(…) </w:t>
            </w:r>
          </w:p>
          <w:p w:rsidR="00823463" w:rsidRPr="002E7D91" w:rsidRDefault="00823463" w:rsidP="0085246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2E7D91">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823463" w:rsidRPr="002E7D91" w:rsidRDefault="00823463" w:rsidP="0085246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2E7D91">
              <w:rPr>
                <w:rFonts w:ascii="Palatino Linotype" w:eastAsia="Times New Roman" w:hAnsi="Palatino Linotype" w:cs="Times New Roman"/>
                <w:i/>
                <w:szCs w:val="24"/>
                <w:lang w:val="es-ES" w:eastAsia="es-ES"/>
              </w:rPr>
              <w:t xml:space="preserve"> (…) </w:t>
            </w:r>
          </w:p>
          <w:p w:rsidR="00823463" w:rsidRPr="002E7D91" w:rsidRDefault="00823463" w:rsidP="00852462">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2E7D91">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rsidR="00823463" w:rsidRPr="002E7D91" w:rsidRDefault="00823463" w:rsidP="00852462">
            <w:pPr>
              <w:autoSpaceDE w:val="0"/>
              <w:autoSpaceDN w:val="0"/>
              <w:adjustRightInd w:val="0"/>
              <w:spacing w:before="240" w:line="360" w:lineRule="auto"/>
              <w:jc w:val="both"/>
              <w:rPr>
                <w:rFonts w:ascii="Palatino Linotype" w:eastAsia="Times New Roman" w:hAnsi="Palatino Linotype" w:cs="Arial"/>
                <w:i/>
                <w:szCs w:val="24"/>
                <w:lang w:eastAsia="es-ES"/>
              </w:rPr>
            </w:pPr>
            <w:r w:rsidRPr="002E7D91">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rsidR="00823463" w:rsidRPr="002E7D91" w:rsidRDefault="00823463" w:rsidP="00852462">
            <w:pPr>
              <w:autoSpaceDE w:val="0"/>
              <w:autoSpaceDN w:val="0"/>
              <w:adjustRightInd w:val="0"/>
              <w:spacing w:before="240" w:line="360" w:lineRule="auto"/>
              <w:jc w:val="both"/>
              <w:rPr>
                <w:rFonts w:ascii="Palatino Linotype" w:eastAsia="Times New Roman" w:hAnsi="Palatino Linotype" w:cs="Arial"/>
                <w:b/>
                <w:i/>
                <w:szCs w:val="24"/>
                <w:lang w:eastAsia="es-ES"/>
              </w:rPr>
            </w:pPr>
            <w:r w:rsidRPr="002E7D91">
              <w:rPr>
                <w:rFonts w:ascii="Palatino Linotype" w:eastAsia="Times New Roman" w:hAnsi="Palatino Linotype" w:cs="Arial"/>
                <w:b/>
                <w:i/>
                <w:szCs w:val="24"/>
                <w:lang w:eastAsia="es-ES"/>
              </w:rPr>
              <w:t>Constitución Política del Estado Libre y Soberano de México</w:t>
            </w:r>
          </w:p>
          <w:p w:rsidR="00823463" w:rsidRPr="002E7D91" w:rsidRDefault="00823463" w:rsidP="00852462">
            <w:pPr>
              <w:autoSpaceDE w:val="0"/>
              <w:autoSpaceDN w:val="0"/>
              <w:adjustRightInd w:val="0"/>
              <w:spacing w:before="240" w:line="360" w:lineRule="auto"/>
              <w:jc w:val="both"/>
              <w:rPr>
                <w:rFonts w:ascii="Palatino Linotype" w:hAnsi="Palatino Linotype" w:cs="Arial"/>
                <w:i/>
                <w:sz w:val="24"/>
                <w:lang w:val="es-ES_tradnl"/>
              </w:rPr>
            </w:pPr>
            <w:r w:rsidRPr="002E7D91">
              <w:rPr>
                <w:rFonts w:ascii="Palatino Linotype" w:hAnsi="Palatino Linotype" w:cs="Arial"/>
                <w:i/>
                <w:sz w:val="24"/>
                <w:lang w:val="es-ES_tradnl"/>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823463" w:rsidRPr="002E7D91" w:rsidRDefault="00823463" w:rsidP="00852462">
            <w:pPr>
              <w:autoSpaceDE w:val="0"/>
              <w:autoSpaceDN w:val="0"/>
              <w:adjustRightInd w:val="0"/>
              <w:spacing w:before="240" w:line="360" w:lineRule="auto"/>
              <w:jc w:val="both"/>
              <w:rPr>
                <w:rFonts w:ascii="Palatino Linotype" w:hAnsi="Palatino Linotype" w:cs="Arial"/>
                <w:i/>
                <w:sz w:val="24"/>
                <w:lang w:val="es-ES_tradnl"/>
              </w:rPr>
            </w:pPr>
            <w:r w:rsidRPr="002E7D91">
              <w:rPr>
                <w:rFonts w:ascii="Palatino Linotype" w:hAnsi="Palatino Linotype" w:cs="Arial"/>
                <w:i/>
                <w:sz w:val="24"/>
                <w:lang w:val="es-ES_tradnl"/>
              </w:rPr>
              <w:lastRenderedPageBreak/>
              <w:t>(…)</w:t>
            </w:r>
          </w:p>
          <w:p w:rsidR="00823463" w:rsidRPr="002E7D91" w:rsidRDefault="00823463" w:rsidP="00852462">
            <w:pPr>
              <w:autoSpaceDE w:val="0"/>
              <w:autoSpaceDN w:val="0"/>
              <w:adjustRightInd w:val="0"/>
              <w:spacing w:before="240" w:line="360" w:lineRule="auto"/>
              <w:jc w:val="both"/>
              <w:rPr>
                <w:rFonts w:ascii="Palatino Linotype" w:hAnsi="Palatino Linotype" w:cs="Arial"/>
                <w:i/>
                <w:sz w:val="24"/>
                <w:lang w:val="es-ES_tradnl"/>
              </w:rPr>
            </w:pPr>
            <w:r w:rsidRPr="002E7D91">
              <w:rPr>
                <w:rFonts w:ascii="Palatino Linotype" w:hAnsi="Palatino Linotype" w:cs="Arial"/>
                <w:i/>
                <w:sz w:val="24"/>
                <w:lang w:val="es-ES_tradnl"/>
              </w:rPr>
              <w:t>Toda persona en el Estado de México, tiene derecho al libre acceso a la información plural y oportuna, así como a buscar recibir y difundir información e ideas de toda índole por cualquier medio de expresión.</w:t>
            </w:r>
          </w:p>
          <w:p w:rsidR="00823463" w:rsidRPr="002E7D91" w:rsidRDefault="00823463" w:rsidP="00852462">
            <w:pPr>
              <w:autoSpaceDE w:val="0"/>
              <w:autoSpaceDN w:val="0"/>
              <w:adjustRightInd w:val="0"/>
              <w:spacing w:before="240" w:line="360" w:lineRule="auto"/>
              <w:jc w:val="both"/>
              <w:rPr>
                <w:rFonts w:ascii="Palatino Linotype" w:hAnsi="Palatino Linotype" w:cs="Arial"/>
                <w:i/>
                <w:sz w:val="24"/>
                <w:lang w:val="es-ES_tradnl"/>
              </w:rPr>
            </w:pPr>
            <w:r w:rsidRPr="002E7D91">
              <w:rPr>
                <w:rFonts w:ascii="Palatino Linotype" w:hAnsi="Palatino Linotype" w:cs="Arial"/>
                <w:i/>
                <w:sz w:val="24"/>
                <w:lang w:val="es-ES_tradnl"/>
              </w:rPr>
              <w:t>(…)</w:t>
            </w:r>
          </w:p>
          <w:p w:rsidR="00823463" w:rsidRPr="002E7D91" w:rsidRDefault="00823463" w:rsidP="00852462">
            <w:pPr>
              <w:autoSpaceDE w:val="0"/>
              <w:autoSpaceDN w:val="0"/>
              <w:adjustRightInd w:val="0"/>
              <w:spacing w:before="240" w:line="360" w:lineRule="auto"/>
              <w:jc w:val="both"/>
              <w:rPr>
                <w:rFonts w:ascii="Palatino Linotype" w:hAnsi="Palatino Linotype" w:cs="Arial"/>
                <w:i/>
                <w:sz w:val="24"/>
                <w:lang w:val="es-ES_tradnl"/>
              </w:rPr>
            </w:pPr>
            <w:r w:rsidRPr="002E7D91">
              <w:rPr>
                <w:rFonts w:ascii="Palatino Linotype" w:hAnsi="Palatino Linotype" w:cs="Arial"/>
                <w:i/>
                <w:sz w:val="24"/>
                <w:lang w:val="es-ES_tradnl"/>
              </w:rPr>
              <w:t>El derecho a la información será garantizado por el Estado. La ley establecerá las previsiones que permitan asegurar la protección, el respeto y la difusión de este derecho.</w:t>
            </w:r>
          </w:p>
          <w:p w:rsidR="00823463" w:rsidRPr="002E7D91" w:rsidRDefault="00823463" w:rsidP="00852462">
            <w:pPr>
              <w:autoSpaceDE w:val="0"/>
              <w:autoSpaceDN w:val="0"/>
              <w:adjustRightInd w:val="0"/>
              <w:spacing w:before="240" w:line="360" w:lineRule="auto"/>
              <w:jc w:val="both"/>
              <w:rPr>
                <w:rFonts w:ascii="Palatino Linotype" w:hAnsi="Palatino Linotype" w:cs="Arial"/>
                <w:i/>
                <w:sz w:val="24"/>
                <w:lang w:val="es-ES_tradnl"/>
              </w:rPr>
            </w:pPr>
            <w:r w:rsidRPr="002E7D91">
              <w:rPr>
                <w:rFonts w:ascii="Palatino Linotype" w:hAnsi="Palatino Linotype" w:cs="Arial"/>
                <w:i/>
                <w:sz w:val="24"/>
                <w:lang w:val="es-ES_tradnl"/>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823463" w:rsidRPr="002E7D91" w:rsidRDefault="00823463" w:rsidP="00852462">
            <w:pPr>
              <w:autoSpaceDE w:val="0"/>
              <w:autoSpaceDN w:val="0"/>
              <w:adjustRightInd w:val="0"/>
              <w:spacing w:before="240" w:line="360" w:lineRule="auto"/>
              <w:jc w:val="both"/>
              <w:rPr>
                <w:rFonts w:ascii="Palatino Linotype" w:hAnsi="Palatino Linotype" w:cs="Arial"/>
                <w:i/>
                <w:sz w:val="24"/>
                <w:lang w:val="es-ES_tradnl"/>
              </w:rPr>
            </w:pPr>
            <w:r w:rsidRPr="002E7D91">
              <w:rPr>
                <w:rFonts w:ascii="Palatino Linotype" w:hAnsi="Palatino Linotype" w:cs="Arial"/>
                <w:i/>
                <w:sz w:val="24"/>
                <w:lang w:val="es-ES_tradnl"/>
              </w:rPr>
              <w:t>III. Toda persona, sin necesidad de acreditar interés alguno o justificar su utilización, tendrá acceso gratuito a la información pública, a sus datos personales o a la rectificación de éstos;</w:t>
            </w:r>
          </w:p>
          <w:p w:rsidR="00823463" w:rsidRPr="002E7D91" w:rsidRDefault="00823463" w:rsidP="00852462">
            <w:pPr>
              <w:autoSpaceDE w:val="0"/>
              <w:autoSpaceDN w:val="0"/>
              <w:adjustRightInd w:val="0"/>
              <w:spacing w:before="240" w:line="360" w:lineRule="auto"/>
              <w:jc w:val="both"/>
              <w:rPr>
                <w:rFonts w:ascii="Palatino Linotype" w:hAnsi="Palatino Linotype" w:cs="Arial"/>
                <w:i/>
                <w:sz w:val="24"/>
                <w:lang w:val="es-ES_tradnl"/>
              </w:rPr>
            </w:pPr>
            <w:r w:rsidRPr="002E7D91">
              <w:rPr>
                <w:rFonts w:ascii="Palatino Linotype" w:hAnsi="Palatino Linotype" w:cs="Arial"/>
                <w:i/>
                <w:sz w:val="24"/>
                <w:lang w:val="es-ES_tradnl"/>
              </w:rPr>
              <w:t>IV. Se establecerán mecanismos de acceso a la información y procedimientos de revisión expeditos que se sustanciarán ante el organismo autónomo especializado e imparcial que establece esta Constitución.</w:t>
            </w:r>
          </w:p>
          <w:p w:rsidR="00823463" w:rsidRPr="002E7D91" w:rsidRDefault="00823463" w:rsidP="00852462">
            <w:pPr>
              <w:autoSpaceDE w:val="0"/>
              <w:autoSpaceDN w:val="0"/>
              <w:adjustRightInd w:val="0"/>
              <w:spacing w:before="240" w:line="360" w:lineRule="auto"/>
              <w:jc w:val="both"/>
              <w:rPr>
                <w:rFonts w:ascii="Palatino Linotype" w:eastAsia="Times New Roman" w:hAnsi="Palatino Linotype" w:cs="Arial"/>
                <w:i/>
                <w:szCs w:val="24"/>
                <w:lang w:eastAsia="es-ES"/>
              </w:rPr>
            </w:pPr>
            <w:r w:rsidRPr="002E7D91">
              <w:rPr>
                <w:rFonts w:ascii="Palatino Linotype" w:eastAsia="Times New Roman" w:hAnsi="Palatino Linotype" w:cs="Arial"/>
                <w:i/>
                <w:szCs w:val="24"/>
                <w:lang w:eastAsia="es-ES"/>
              </w:rPr>
              <w:t>(…)</w:t>
            </w:r>
          </w:p>
          <w:p w:rsidR="00823463" w:rsidRPr="002E7D91" w:rsidRDefault="00823463" w:rsidP="00852462">
            <w:pPr>
              <w:autoSpaceDE w:val="0"/>
              <w:autoSpaceDN w:val="0"/>
              <w:adjustRightInd w:val="0"/>
              <w:spacing w:before="240" w:line="360" w:lineRule="auto"/>
              <w:jc w:val="both"/>
              <w:rPr>
                <w:rFonts w:ascii="Palatino Linotype" w:eastAsia="Times New Roman" w:hAnsi="Palatino Linotype" w:cs="Arial"/>
                <w:i/>
                <w:szCs w:val="24"/>
                <w:lang w:eastAsia="es-ES"/>
              </w:rPr>
            </w:pPr>
            <w:r w:rsidRPr="002E7D91">
              <w:rPr>
                <w:rFonts w:ascii="Palatino Linotype" w:eastAsia="Times New Roman" w:hAnsi="Palatino Linotype" w:cs="Arial"/>
                <w:i/>
                <w:szCs w:val="24"/>
                <w:lang w:eastAsia="es-ES"/>
              </w:rPr>
              <w:lastRenderedPageBreak/>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823463" w:rsidRPr="002E7D91" w:rsidRDefault="00823463" w:rsidP="00823463">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2E7D91">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2E7D91">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2E7D91">
        <w:rPr>
          <w:rFonts w:ascii="Palatino Linotype" w:eastAsia="Times New Roman" w:hAnsi="Palatino Linotype" w:cs="Times New Roman"/>
          <w:sz w:val="24"/>
          <w:szCs w:val="24"/>
          <w:lang w:eastAsia="es-ES"/>
        </w:rPr>
        <w:t xml:space="preserve">. </w:t>
      </w:r>
    </w:p>
    <w:p w:rsidR="00823463" w:rsidRPr="002E7D91" w:rsidRDefault="00823463" w:rsidP="00823463">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2E7D91">
        <w:rPr>
          <w:rFonts w:ascii="Palatino Linotype" w:eastAsia="Times New Roman" w:hAnsi="Palatino Linotype" w:cs="Times New Roman"/>
          <w:sz w:val="24"/>
          <w:szCs w:val="24"/>
          <w:lang w:eastAsia="es-ES"/>
        </w:rPr>
        <w:t xml:space="preserve">En conclusión, se cubrieron los requisitos de procedencia y </w:t>
      </w:r>
      <w:proofErr w:type="spellStart"/>
      <w:r w:rsidRPr="002E7D91">
        <w:rPr>
          <w:rFonts w:ascii="Palatino Linotype" w:eastAsia="Times New Roman" w:hAnsi="Palatino Linotype" w:cs="Times New Roman"/>
          <w:sz w:val="24"/>
          <w:szCs w:val="24"/>
          <w:lang w:eastAsia="es-ES"/>
        </w:rPr>
        <w:t>procedibilidad</w:t>
      </w:r>
      <w:proofErr w:type="spellEnd"/>
      <w:r w:rsidRPr="002E7D91">
        <w:rPr>
          <w:rFonts w:ascii="Palatino Linotype" w:eastAsia="Times New Roman" w:hAnsi="Palatino Linotype" w:cs="Times New Roman"/>
          <w:sz w:val="24"/>
          <w:szCs w:val="24"/>
          <w:lang w:eastAsia="es-ES"/>
        </w:rPr>
        <w:t xml:space="preserve"> y conforme a las constancias que obran en el expediente.</w:t>
      </w:r>
    </w:p>
    <w:p w:rsidR="00823463" w:rsidRPr="002E7D91" w:rsidRDefault="00823463" w:rsidP="00823463">
      <w:pPr>
        <w:pStyle w:val="Prrafodelista"/>
        <w:autoSpaceDE w:val="0"/>
        <w:autoSpaceDN w:val="0"/>
        <w:adjustRightInd w:val="0"/>
        <w:spacing w:before="240" w:after="160" w:line="360" w:lineRule="auto"/>
        <w:ind w:left="0"/>
        <w:jc w:val="both"/>
        <w:rPr>
          <w:rFonts w:ascii="Palatino Linotype" w:hAnsi="Palatino Linotype" w:cs="Arial"/>
          <w:b/>
          <w:sz w:val="28"/>
        </w:rPr>
      </w:pPr>
    </w:p>
    <w:p w:rsidR="00823463" w:rsidRPr="002E7D91" w:rsidRDefault="00823463" w:rsidP="00823463">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2E7D91">
        <w:rPr>
          <w:rFonts w:ascii="Palatino Linotype" w:hAnsi="Palatino Linotype" w:cs="Arial"/>
          <w:b/>
          <w:sz w:val="28"/>
        </w:rPr>
        <w:t>TERCERO</w:t>
      </w:r>
      <w:r w:rsidRPr="002E7D91">
        <w:rPr>
          <w:rFonts w:ascii="Palatino Linotype" w:hAnsi="Palatino Linotype" w:cs="Arial"/>
          <w:b/>
        </w:rPr>
        <w:t xml:space="preserve">. </w:t>
      </w:r>
      <w:r w:rsidRPr="002E7D91">
        <w:rPr>
          <w:rFonts w:ascii="Palatino Linotype" w:hAnsi="Palatino Linotype" w:cs="Arial"/>
          <w:b/>
          <w:sz w:val="28"/>
          <w:szCs w:val="28"/>
        </w:rPr>
        <w:t>De las causas de improcedencia.</w:t>
      </w:r>
    </w:p>
    <w:p w:rsidR="00823463" w:rsidRPr="002E7D91" w:rsidRDefault="00823463" w:rsidP="00823463">
      <w:pPr>
        <w:spacing w:line="360" w:lineRule="auto"/>
        <w:jc w:val="both"/>
        <w:rPr>
          <w:rFonts w:ascii="Palatino Linotype" w:eastAsiaTheme="minorEastAsia" w:hAnsi="Palatino Linotype" w:cs="Arial"/>
          <w:sz w:val="24"/>
          <w:lang w:val="es-ES_tradnl"/>
        </w:rPr>
      </w:pPr>
      <w:r w:rsidRPr="002E7D91">
        <w:rPr>
          <w:rFonts w:ascii="Palatino Linotype" w:eastAsiaTheme="minorEastAsia" w:hAnsi="Palatino Linotype" w:cs="Arial"/>
          <w:sz w:val="24"/>
          <w:lang w:val="es-ES_tradnl"/>
        </w:rPr>
        <w:t xml:space="preserve">En el procedimiento de acceso a la información y de los medios de impugnación de la materia, se advierten diversos supuestos de </w:t>
      </w:r>
      <w:proofErr w:type="spellStart"/>
      <w:r w:rsidRPr="002E7D91">
        <w:rPr>
          <w:rFonts w:ascii="Palatino Linotype" w:eastAsiaTheme="minorEastAsia" w:hAnsi="Palatino Linotype" w:cs="Arial"/>
          <w:sz w:val="24"/>
          <w:lang w:val="es-ES_tradnl"/>
        </w:rPr>
        <w:t>procedibilidad</w:t>
      </w:r>
      <w:proofErr w:type="spellEnd"/>
      <w:r w:rsidRPr="002E7D91">
        <w:rPr>
          <w:rFonts w:ascii="Palatino Linotype" w:eastAsiaTheme="minorEastAsia" w:hAnsi="Palatino Linotype" w:cs="Arial"/>
          <w:sz w:val="24"/>
          <w:lang w:val="es-ES_tradnl"/>
        </w:rPr>
        <w:t xml:space="preserve"> que deben estudiarse con la finalidad de dar cumplimiento a los principios de legalidad y objetividad inmersos en el artículo 9 de Ley de Transparencia y Acceso a la Información Pública del Estado </w:t>
      </w:r>
      <w:r w:rsidRPr="002E7D91">
        <w:rPr>
          <w:rFonts w:ascii="Palatino Linotype" w:eastAsiaTheme="minorEastAsia" w:hAnsi="Palatino Linotype" w:cs="Arial"/>
          <w:sz w:val="24"/>
          <w:lang w:val="es-ES_tradnl"/>
        </w:rPr>
        <w:lastRenderedPageBreak/>
        <w:t>de México y Municipios, en correlación con la seguridad jurídica que debe generar lo actuado ante este Organismo garante.</w:t>
      </w:r>
    </w:p>
    <w:p w:rsidR="00823463" w:rsidRPr="002E7D91" w:rsidRDefault="00823463" w:rsidP="00823463">
      <w:pPr>
        <w:spacing w:line="360" w:lineRule="auto"/>
        <w:jc w:val="both"/>
        <w:rPr>
          <w:rFonts w:ascii="Palatino Linotype" w:eastAsiaTheme="minorEastAsia" w:hAnsi="Palatino Linotype" w:cs="Arial"/>
          <w:sz w:val="24"/>
          <w:lang w:val="es-ES_tradnl"/>
        </w:rPr>
      </w:pPr>
    </w:p>
    <w:p w:rsidR="00823463" w:rsidRPr="002E7D91" w:rsidRDefault="00823463" w:rsidP="00823463">
      <w:pPr>
        <w:spacing w:line="360" w:lineRule="auto"/>
        <w:jc w:val="both"/>
        <w:rPr>
          <w:rFonts w:ascii="Palatino Linotype" w:eastAsiaTheme="minorEastAsia" w:hAnsi="Palatino Linotype" w:cs="Arial"/>
          <w:sz w:val="24"/>
          <w:lang w:val="es-ES_tradnl"/>
        </w:rPr>
      </w:pPr>
      <w:r w:rsidRPr="002E7D91">
        <w:rPr>
          <w:rFonts w:ascii="Palatino Linotype" w:eastAsiaTheme="minorEastAsia" w:hAnsi="Palatino Linotype" w:cs="Arial"/>
          <w:sz w:val="24"/>
          <w:lang w:val="es-ES_tradnl"/>
        </w:rPr>
        <w:t xml:space="preserve">Luego entonces, es menester señalar que es una facultad legal entrar al estudio del sobreseimiento que hagan valer las partes o que se adviertan de oficio por este </w:t>
      </w:r>
      <w:proofErr w:type="spellStart"/>
      <w:r w:rsidRPr="002E7D91">
        <w:rPr>
          <w:rFonts w:ascii="Palatino Linotype" w:eastAsiaTheme="minorEastAsia" w:hAnsi="Palatino Linotype" w:cs="Arial"/>
          <w:sz w:val="24"/>
          <w:lang w:val="es-ES_tradnl"/>
        </w:rPr>
        <w:t>Resolutor</w:t>
      </w:r>
      <w:proofErr w:type="spellEnd"/>
      <w:r w:rsidRPr="002E7D91">
        <w:rPr>
          <w:rFonts w:ascii="Palatino Linotype" w:eastAsiaTheme="minorEastAsia" w:hAnsi="Palatino Linotype" w:cs="Arial"/>
          <w:sz w:val="24"/>
          <w:lang w:val="es-ES_tradnl"/>
        </w:rPr>
        <w:t>; supuestos procesales que dotan de seguridad jurídica a las resoluciones emitidas por este organismo colegiado, máxime que se trata de una figura procedimental adoptada en la ley de la materia, la cual permite dilucidar alguna causal que impida el estudio y resolución de un asunto en su fondo, cuando una vez admitido el recurso de revisión se advierta algún supuesto marcado por la Ley que permita sobreseerlo.</w:t>
      </w:r>
    </w:p>
    <w:p w:rsidR="00823463" w:rsidRPr="002E7D91" w:rsidRDefault="00823463" w:rsidP="00823463">
      <w:pPr>
        <w:spacing w:line="360" w:lineRule="auto"/>
        <w:jc w:val="both"/>
        <w:rPr>
          <w:rFonts w:ascii="Palatino Linotype" w:eastAsiaTheme="minorEastAsia" w:hAnsi="Palatino Linotype" w:cs="Arial"/>
          <w:sz w:val="24"/>
          <w:lang w:val="es-ES_tradnl"/>
        </w:rPr>
      </w:pPr>
    </w:p>
    <w:p w:rsidR="00823463" w:rsidRPr="002E7D91" w:rsidRDefault="00823463" w:rsidP="00823463">
      <w:pPr>
        <w:spacing w:line="360" w:lineRule="auto"/>
        <w:jc w:val="both"/>
        <w:rPr>
          <w:rFonts w:ascii="Palatino Linotype" w:eastAsiaTheme="minorEastAsia" w:hAnsi="Palatino Linotype" w:cs="Arial"/>
          <w:sz w:val="24"/>
          <w:lang w:val="es-ES_tradnl"/>
        </w:rPr>
      </w:pPr>
      <w:r w:rsidRPr="002E7D91">
        <w:rPr>
          <w:rFonts w:ascii="Palatino Linotype" w:eastAsiaTheme="minorEastAsia" w:hAnsi="Palatino Linotype" w:cs="Arial"/>
          <w:sz w:val="24"/>
          <w:lang w:val="es-ES_tradnl"/>
        </w:rPr>
        <w:t>Estudio de causales de sobreseimiento que no son incompatibles con el derecho de acceso a la información, ya que éste no se coarta por regular causas de improcedencia y sobreseimiento con tales fines, por lo tanto, resulta importante referir que, en la Ley de Transparencia Local vigente, en su artículo 192 contempla la figura jurídica del sobreseimiento; en el cual, la hipótesis inmersa en la fracción I, refiere que el Recurrente se desista expresamente del recurso.</w:t>
      </w:r>
    </w:p>
    <w:p w:rsidR="00823463" w:rsidRPr="002E7D91" w:rsidRDefault="00823463" w:rsidP="00823463">
      <w:pPr>
        <w:spacing w:line="360" w:lineRule="auto"/>
        <w:jc w:val="both"/>
        <w:rPr>
          <w:rFonts w:ascii="Palatino Linotype" w:eastAsiaTheme="minorEastAsia" w:hAnsi="Palatino Linotype" w:cs="Arial"/>
          <w:sz w:val="24"/>
          <w:lang w:val="es-ES_tradnl"/>
        </w:rPr>
      </w:pPr>
    </w:p>
    <w:p w:rsidR="00823463" w:rsidRPr="002E7D91" w:rsidRDefault="00823463" w:rsidP="00823463">
      <w:pPr>
        <w:ind w:left="567" w:right="616"/>
        <w:jc w:val="both"/>
        <w:rPr>
          <w:rFonts w:ascii="Palatino Linotype" w:eastAsiaTheme="minorEastAsia" w:hAnsi="Palatino Linotype" w:cs="Arial"/>
          <w:i/>
          <w:lang w:val="es-ES_tradnl"/>
        </w:rPr>
      </w:pPr>
      <w:r w:rsidRPr="002E7D91">
        <w:rPr>
          <w:rFonts w:ascii="Palatino Linotype" w:eastAsiaTheme="minorEastAsia" w:hAnsi="Palatino Linotype" w:cs="Arial"/>
          <w:i/>
          <w:lang w:val="es-ES_tradnl"/>
        </w:rPr>
        <w:t>“</w:t>
      </w:r>
      <w:r w:rsidRPr="002E7D91">
        <w:rPr>
          <w:rFonts w:ascii="Palatino Linotype" w:eastAsiaTheme="minorEastAsia" w:hAnsi="Palatino Linotype" w:cs="Arial"/>
          <w:b/>
          <w:i/>
          <w:lang w:val="es-ES_tradnl"/>
        </w:rPr>
        <w:t>Artículo 192.</w:t>
      </w:r>
      <w:r w:rsidRPr="002E7D91">
        <w:rPr>
          <w:rFonts w:ascii="Palatino Linotype" w:eastAsiaTheme="minorEastAsia" w:hAnsi="Palatino Linotype" w:cs="Arial"/>
          <w:i/>
          <w:lang w:val="es-ES_tradnl"/>
        </w:rPr>
        <w:t xml:space="preserve"> El recurso será sobreseído, en todo o en parte, cuando una vez admitido, se actualicen alguno de los siguientes supuestos:</w:t>
      </w:r>
    </w:p>
    <w:p w:rsidR="00823463" w:rsidRPr="002E7D91" w:rsidRDefault="00823463" w:rsidP="00823463">
      <w:pPr>
        <w:ind w:left="567" w:right="616"/>
        <w:jc w:val="both"/>
        <w:rPr>
          <w:rFonts w:ascii="Palatino Linotype" w:eastAsiaTheme="minorEastAsia" w:hAnsi="Palatino Linotype" w:cs="Arial"/>
          <w:i/>
          <w:lang w:val="es-ES_tradnl"/>
        </w:rPr>
      </w:pPr>
      <w:r w:rsidRPr="002E7D91">
        <w:rPr>
          <w:rFonts w:ascii="Palatino Linotype" w:eastAsiaTheme="minorEastAsia" w:hAnsi="Palatino Linotype" w:cs="Arial"/>
          <w:b/>
          <w:i/>
          <w:lang w:val="es-ES_tradnl"/>
        </w:rPr>
        <w:t>I. El Recurrente</w:t>
      </w:r>
      <w:r w:rsidRPr="002E7D91">
        <w:rPr>
          <w:rFonts w:ascii="Palatino Linotype" w:eastAsiaTheme="minorEastAsia" w:hAnsi="Palatino Linotype" w:cs="Arial"/>
          <w:b/>
          <w:i/>
          <w:u w:val="single"/>
          <w:lang w:val="es-ES_tradnl"/>
        </w:rPr>
        <w:t xml:space="preserve"> se desista expresamente del recurso</w:t>
      </w:r>
      <w:r w:rsidRPr="002E7D91">
        <w:rPr>
          <w:rFonts w:ascii="Palatino Linotype" w:eastAsiaTheme="minorEastAsia" w:hAnsi="Palatino Linotype" w:cs="Arial"/>
          <w:b/>
          <w:i/>
          <w:lang w:val="es-ES_tradnl"/>
        </w:rPr>
        <w:t>;</w:t>
      </w:r>
    </w:p>
    <w:p w:rsidR="00823463" w:rsidRPr="002E7D91" w:rsidRDefault="00823463" w:rsidP="00823463">
      <w:pPr>
        <w:ind w:left="567" w:right="616"/>
        <w:jc w:val="both"/>
        <w:rPr>
          <w:rFonts w:ascii="Palatino Linotype" w:eastAsiaTheme="minorEastAsia" w:hAnsi="Palatino Linotype" w:cs="Arial"/>
          <w:i/>
          <w:lang w:val="es-ES_tradnl"/>
        </w:rPr>
      </w:pPr>
      <w:r w:rsidRPr="002E7D91">
        <w:rPr>
          <w:rFonts w:ascii="Palatino Linotype" w:eastAsiaTheme="minorEastAsia" w:hAnsi="Palatino Linotype" w:cs="Arial"/>
          <w:i/>
          <w:lang w:val="es-ES_tradnl"/>
        </w:rPr>
        <w:t>II. El Recurrente fallezca o, tratándose de personas jurídicas colectivas, se disuelva;</w:t>
      </w:r>
    </w:p>
    <w:p w:rsidR="00823463" w:rsidRPr="002E7D91" w:rsidRDefault="00823463" w:rsidP="00823463">
      <w:pPr>
        <w:ind w:left="567" w:right="616"/>
        <w:jc w:val="both"/>
        <w:rPr>
          <w:rFonts w:ascii="Palatino Linotype" w:eastAsiaTheme="minorEastAsia" w:hAnsi="Palatino Linotype" w:cs="Arial"/>
          <w:i/>
          <w:lang w:val="es-ES_tradnl"/>
        </w:rPr>
      </w:pPr>
      <w:r w:rsidRPr="002E7D91">
        <w:rPr>
          <w:rFonts w:ascii="Palatino Linotype" w:eastAsiaTheme="minorEastAsia" w:hAnsi="Palatino Linotype" w:cs="Arial"/>
          <w:i/>
          <w:lang w:val="es-ES_tradnl"/>
        </w:rPr>
        <w:lastRenderedPageBreak/>
        <w:t>III. El sujeto obligado responsable del acto lo modifique o revoque de tal manera que el recurso de revisión quede sin materia;</w:t>
      </w:r>
    </w:p>
    <w:p w:rsidR="00823463" w:rsidRPr="002E7D91" w:rsidRDefault="00823463" w:rsidP="00823463">
      <w:pPr>
        <w:ind w:left="567" w:right="616"/>
        <w:jc w:val="both"/>
        <w:rPr>
          <w:rFonts w:ascii="Palatino Linotype" w:eastAsiaTheme="minorEastAsia" w:hAnsi="Palatino Linotype" w:cs="Arial"/>
          <w:i/>
          <w:lang w:val="es-ES_tradnl"/>
        </w:rPr>
      </w:pPr>
      <w:r w:rsidRPr="002E7D91">
        <w:rPr>
          <w:rFonts w:ascii="Palatino Linotype" w:eastAsiaTheme="minorEastAsia" w:hAnsi="Palatino Linotype" w:cs="Arial"/>
          <w:i/>
          <w:lang w:val="es-ES_tradnl"/>
        </w:rPr>
        <w:t>IV. Admitido el recurso de revisión, aparezca alguna causal de improcedencia en los términos de la presente Ley; y</w:t>
      </w:r>
    </w:p>
    <w:p w:rsidR="00823463" w:rsidRPr="002E7D91" w:rsidRDefault="00823463" w:rsidP="00823463">
      <w:pPr>
        <w:ind w:left="567" w:right="616"/>
        <w:jc w:val="both"/>
        <w:rPr>
          <w:rFonts w:ascii="Palatino Linotype" w:eastAsiaTheme="minorEastAsia" w:hAnsi="Palatino Linotype" w:cs="Arial"/>
          <w:lang w:val="es-ES_tradnl"/>
        </w:rPr>
      </w:pPr>
      <w:r w:rsidRPr="002E7D91">
        <w:rPr>
          <w:rFonts w:ascii="Palatino Linotype" w:eastAsiaTheme="minorEastAsia" w:hAnsi="Palatino Linotype" w:cs="Arial"/>
          <w:i/>
          <w:lang w:val="es-ES_tradnl"/>
        </w:rPr>
        <w:t>V. Cuando por cualquier motivo quede sin materia el recurso.”</w:t>
      </w:r>
    </w:p>
    <w:p w:rsidR="00823463" w:rsidRPr="002E7D91" w:rsidRDefault="00823463" w:rsidP="00823463">
      <w:pPr>
        <w:ind w:left="567" w:right="616"/>
        <w:jc w:val="both"/>
        <w:rPr>
          <w:rFonts w:ascii="Palatino Linotype" w:eastAsiaTheme="minorEastAsia" w:hAnsi="Palatino Linotype" w:cs="Arial"/>
          <w:lang w:val="es-ES_tradnl"/>
        </w:rPr>
      </w:pPr>
    </w:p>
    <w:p w:rsidR="00823463" w:rsidRPr="002E7D91" w:rsidRDefault="00823463" w:rsidP="00823463">
      <w:pPr>
        <w:ind w:left="567" w:right="616"/>
        <w:jc w:val="right"/>
        <w:rPr>
          <w:rFonts w:ascii="Palatino Linotype" w:eastAsiaTheme="minorEastAsia" w:hAnsi="Palatino Linotype" w:cs="Arial"/>
          <w:lang w:val="es-ES_tradnl"/>
        </w:rPr>
      </w:pPr>
      <w:r w:rsidRPr="002E7D91">
        <w:rPr>
          <w:rFonts w:ascii="Palatino Linotype" w:eastAsiaTheme="minorEastAsia" w:hAnsi="Palatino Linotype" w:cs="Arial"/>
          <w:lang w:val="es-ES_tradnl"/>
        </w:rPr>
        <w:t>(Énfasis añadido)</w:t>
      </w:r>
    </w:p>
    <w:p w:rsidR="00823463" w:rsidRPr="002E7D91" w:rsidRDefault="00823463" w:rsidP="00823463">
      <w:pPr>
        <w:spacing w:line="360" w:lineRule="auto"/>
        <w:jc w:val="both"/>
        <w:rPr>
          <w:rFonts w:ascii="Palatino Linotype" w:eastAsiaTheme="minorEastAsia" w:hAnsi="Palatino Linotype" w:cs="Arial"/>
          <w:lang w:val="es-ES_tradnl"/>
        </w:rPr>
      </w:pPr>
    </w:p>
    <w:p w:rsidR="00823463" w:rsidRPr="002E7D91" w:rsidRDefault="00823463" w:rsidP="00823463">
      <w:pPr>
        <w:spacing w:line="360" w:lineRule="auto"/>
        <w:jc w:val="both"/>
        <w:rPr>
          <w:rFonts w:ascii="Palatino Linotype" w:eastAsiaTheme="minorEastAsia" w:hAnsi="Palatino Linotype" w:cs="Arial"/>
          <w:sz w:val="24"/>
          <w:lang w:val="es-ES_tradnl"/>
        </w:rPr>
      </w:pPr>
      <w:r w:rsidRPr="002E7D91">
        <w:rPr>
          <w:rFonts w:ascii="Palatino Linotype" w:eastAsiaTheme="minorEastAsia" w:hAnsi="Palatino Linotype" w:cs="Arial"/>
          <w:sz w:val="24"/>
          <w:lang w:val="es-ES_tradnl"/>
        </w:rPr>
        <w:t xml:space="preserve">Así, para que se tenga por desistido bastará con que la parte </w:t>
      </w:r>
      <w:r w:rsidRPr="002E7D91">
        <w:rPr>
          <w:rFonts w:ascii="Palatino Linotype" w:eastAsiaTheme="minorEastAsia" w:hAnsi="Palatino Linotype" w:cs="Arial"/>
          <w:b/>
          <w:sz w:val="24"/>
          <w:lang w:val="es-ES_tradnl"/>
        </w:rPr>
        <w:t>Recurrente</w:t>
      </w:r>
      <w:r w:rsidRPr="002E7D91">
        <w:rPr>
          <w:rFonts w:ascii="Palatino Linotype" w:eastAsiaTheme="minorEastAsia" w:hAnsi="Palatino Linotype" w:cs="Arial"/>
          <w:sz w:val="24"/>
          <w:lang w:val="es-ES_tradnl"/>
        </w:rPr>
        <w:t xml:space="preserve"> expresamente se desista del recurso de revisión promovido, circunstancia que como quedó señalado en el apartado de antecedentes, </w:t>
      </w:r>
      <w:r w:rsidRPr="002E7D91">
        <w:rPr>
          <w:rFonts w:ascii="Palatino Linotype" w:eastAsiaTheme="minorEastAsia" w:hAnsi="Palatino Linotype" w:cs="Arial"/>
          <w:b/>
          <w:sz w:val="24"/>
          <w:lang w:val="es-ES_tradnl"/>
        </w:rPr>
        <w:t>la parte Recurrente</w:t>
      </w:r>
      <w:r w:rsidRPr="002E7D91">
        <w:rPr>
          <w:rFonts w:ascii="Palatino Linotype" w:eastAsiaTheme="minorEastAsia" w:hAnsi="Palatino Linotype" w:cs="Arial"/>
          <w:sz w:val="24"/>
          <w:lang w:val="es-ES_tradnl"/>
        </w:rPr>
        <w:t>, expresó su voluntad de desistirse del recurso, manifestando lo siguiente:</w:t>
      </w:r>
    </w:p>
    <w:p w:rsidR="00823463" w:rsidRPr="002E7D91" w:rsidRDefault="00823463" w:rsidP="00823463">
      <w:pPr>
        <w:spacing w:line="360" w:lineRule="auto"/>
        <w:jc w:val="both"/>
        <w:rPr>
          <w:rFonts w:ascii="Palatino Linotype" w:eastAsiaTheme="minorEastAsia" w:hAnsi="Palatino Linotype" w:cs="Arial"/>
          <w:b/>
          <w:i/>
          <w:sz w:val="24"/>
          <w:lang w:val="es-ES_tradnl"/>
        </w:rPr>
      </w:pPr>
      <w:r w:rsidRPr="002E7D91">
        <w:rPr>
          <w:rFonts w:ascii="Palatino Linotype" w:eastAsiaTheme="minorEastAsia" w:hAnsi="Palatino Linotype" w:cs="Arial"/>
          <w:b/>
          <w:i/>
          <w:sz w:val="24"/>
          <w:lang w:val="es-ES_tradnl"/>
        </w:rPr>
        <w:t>“Ya no requiero la información” (Sic)</w:t>
      </w: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r w:rsidRPr="002E7D91">
        <w:rPr>
          <w:rFonts w:ascii="Palatino Linotype" w:eastAsia="Times New Roman" w:hAnsi="Palatino Linotype" w:cs="Arial"/>
          <w:sz w:val="24"/>
          <w:szCs w:val="24"/>
          <w:lang w:val="es-ES_tradnl" w:eastAsia="es-ES"/>
        </w:rPr>
        <w:t xml:space="preserve">En ese orden de ideas, se entiende que </w:t>
      </w:r>
      <w:r w:rsidRPr="002E7D91">
        <w:rPr>
          <w:rFonts w:ascii="Palatino Linotype" w:eastAsia="Times New Roman" w:hAnsi="Palatino Linotype" w:cs="Arial"/>
          <w:b/>
          <w:sz w:val="24"/>
          <w:szCs w:val="24"/>
          <w:lang w:val="es-ES_tradnl" w:eastAsia="es-ES"/>
        </w:rPr>
        <w:t>el Recurrente</w:t>
      </w:r>
      <w:r w:rsidRPr="002E7D91">
        <w:rPr>
          <w:rFonts w:ascii="Palatino Linotype" w:eastAsia="Times New Roman" w:hAnsi="Palatino Linotype" w:cs="Arial"/>
          <w:sz w:val="24"/>
          <w:szCs w:val="24"/>
          <w:lang w:val="es-ES_tradnl" w:eastAsia="es-ES"/>
        </w:rPr>
        <w:t>, sin existir coacción o dolo, en ejercicio de sus derechos, se desiste del recurso en que se actúa, por lo que se procede a la valoración, respecto de si el desistimiento cumple con lo establecido en la fracción I del artículo 192 de la Ley de Transparencia y Acceso a la Información Pública del Estado de México y Municipios.</w:t>
      </w: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r w:rsidRPr="002E7D91">
        <w:rPr>
          <w:rFonts w:ascii="Palatino Linotype" w:eastAsia="Times New Roman" w:hAnsi="Palatino Linotype" w:cs="Arial"/>
          <w:sz w:val="24"/>
          <w:szCs w:val="24"/>
          <w:lang w:val="es-ES_tradnl" w:eastAsia="es-ES"/>
        </w:rPr>
        <w:t xml:space="preserve">En primer lugar, habrá que señalarse que el desistimiento, es la terminación anormal de un proceso, por el que el actor manifiesta su voluntad de abandonar su pretensión; lo que, en el caso concreto, ha de entenderse como la renuncia que hace el Recurrente a la pretensión procesal que dio origen al recurso, ocasionando la culminación del </w:t>
      </w:r>
      <w:r w:rsidRPr="002E7D91">
        <w:rPr>
          <w:rFonts w:ascii="Palatino Linotype" w:eastAsia="Times New Roman" w:hAnsi="Palatino Linotype" w:cs="Arial"/>
          <w:sz w:val="24"/>
          <w:szCs w:val="24"/>
          <w:lang w:val="es-ES_tradnl" w:eastAsia="es-ES"/>
        </w:rPr>
        <w:lastRenderedPageBreak/>
        <w:t>mismo. Se precisa que no existe momento procesal alguno para realizarlo, por lo que el mismo se podrá interponer en cualquier momento.</w:t>
      </w: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r w:rsidRPr="002E7D91">
        <w:rPr>
          <w:rFonts w:ascii="Palatino Linotype" w:eastAsia="Times New Roman" w:hAnsi="Palatino Linotype" w:cs="Arial"/>
          <w:sz w:val="24"/>
          <w:szCs w:val="24"/>
          <w:lang w:val="es-ES_tradnl" w:eastAsia="es-ES"/>
        </w:rPr>
        <w:t xml:space="preserve">En ese tenor de ideas, la parte </w:t>
      </w:r>
      <w:r w:rsidRPr="002E7D91">
        <w:rPr>
          <w:rFonts w:ascii="Palatino Linotype" w:eastAsia="Times New Roman" w:hAnsi="Palatino Linotype" w:cs="Arial"/>
          <w:b/>
          <w:sz w:val="24"/>
          <w:szCs w:val="24"/>
          <w:lang w:val="es-ES_tradnl" w:eastAsia="es-ES"/>
        </w:rPr>
        <w:t>Recurrente</w:t>
      </w:r>
      <w:r w:rsidRPr="002E7D91">
        <w:rPr>
          <w:rFonts w:ascii="Palatino Linotype" w:eastAsia="Times New Roman" w:hAnsi="Palatino Linotype" w:cs="Arial"/>
          <w:sz w:val="24"/>
          <w:szCs w:val="24"/>
          <w:lang w:val="es-ES_tradnl" w:eastAsia="es-ES"/>
        </w:rPr>
        <w:t xml:space="preserve"> con la legitimación activa que debidamente se tiene acreditada en autos, es la misma persona que realizó la solicitud de información número </w:t>
      </w:r>
      <w:r w:rsidRPr="002E7D91">
        <w:rPr>
          <w:rFonts w:ascii="Palatino Linotype" w:eastAsia="Times New Roman" w:hAnsi="Palatino Linotype" w:cs="Times New Roman"/>
          <w:b/>
          <w:bCs/>
          <w:sz w:val="24"/>
          <w:szCs w:val="24"/>
          <w:lang w:val="es-ES" w:eastAsia="es-ES"/>
        </w:rPr>
        <w:t>00055/ACOLMAN/IP/2024</w:t>
      </w:r>
      <w:r w:rsidRPr="002E7D91">
        <w:rPr>
          <w:rFonts w:ascii="Palatino Linotype" w:eastAsia="Times New Roman" w:hAnsi="Palatino Linotype" w:cs="Arial"/>
          <w:sz w:val="24"/>
          <w:szCs w:val="24"/>
          <w:lang w:val="es-ES_tradnl" w:eastAsia="es-ES"/>
        </w:rPr>
        <w:t xml:space="preserve">, y quien, posteriormente interpuso el presente recurso de revisión número </w:t>
      </w:r>
      <w:r w:rsidRPr="002E7D91">
        <w:rPr>
          <w:rFonts w:ascii="Palatino Linotype" w:eastAsia="Times New Roman" w:hAnsi="Palatino Linotype" w:cs="Arial"/>
          <w:b/>
          <w:sz w:val="24"/>
          <w:szCs w:val="24"/>
          <w:lang w:val="es-ES_tradnl" w:eastAsia="es-ES"/>
        </w:rPr>
        <w:t>04890/INFOEM/IP/RR/2024,</w:t>
      </w:r>
      <w:r w:rsidRPr="002E7D91">
        <w:rPr>
          <w:rFonts w:ascii="Palatino Linotype" w:eastAsia="Times New Roman" w:hAnsi="Palatino Linotype" w:cs="Arial"/>
          <w:sz w:val="24"/>
          <w:szCs w:val="24"/>
          <w:lang w:val="es-ES_tradnl" w:eastAsia="es-ES"/>
        </w:rPr>
        <w:t xml:space="preserve"> en contra de la respuesta; todo esto, de conformidad con las actuaciones que obran en el expediente electrónico del SAIMEX.</w:t>
      </w: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r w:rsidRPr="002E7D91">
        <w:rPr>
          <w:rFonts w:ascii="Palatino Linotype" w:eastAsia="Times New Roman" w:hAnsi="Palatino Linotype" w:cs="Arial"/>
          <w:sz w:val="24"/>
          <w:szCs w:val="24"/>
          <w:lang w:val="es-ES_tradnl" w:eastAsia="es-ES"/>
        </w:rPr>
        <w:t>Por lo anterior, es dable enfatizar que la figura del desistimiento tiene como finalidad la interrupción y terminación del procedimiento sin entrar al estudio, derivado de la existencia de la renuncia del Recurrente a la sustanciación y resolución del procedimiento; por lo que, con efectos vinculantes a la presente Resolución, dicho desistimiento debe quedar firme.</w:t>
      </w: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r w:rsidRPr="002E7D91">
        <w:rPr>
          <w:rFonts w:ascii="Palatino Linotype" w:eastAsia="Times New Roman" w:hAnsi="Palatino Linotype" w:cs="Arial"/>
          <w:sz w:val="24"/>
          <w:szCs w:val="24"/>
          <w:lang w:val="es-ES_tradnl" w:eastAsia="es-ES"/>
        </w:rPr>
        <w:t>En consecuencia, al actualizarse lo estipulado en la fracción I del artículo 192 de la Ley de Transparencia y Acceso a la Información Pública del Estado de México y Municipios, lo procedente es Sobreseer el recurso de revisión que atañe; dado que, no es necesario estudiar si existió vulneración al derecho de acceso a la información pública, en atención que el Recurrente que presentó el recurso de revisión manifiesta la voluntad de desistirse, con las consecuencias que a ello conlleva.</w:t>
      </w: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r w:rsidRPr="002E7D91">
        <w:rPr>
          <w:rFonts w:ascii="Palatino Linotype" w:eastAsia="Times New Roman" w:hAnsi="Palatino Linotype" w:cs="Arial"/>
          <w:sz w:val="24"/>
          <w:szCs w:val="24"/>
          <w:lang w:val="es-ES_tradnl" w:eastAsia="es-ES"/>
        </w:rPr>
        <w:t>Por lo antes expuesto y fundado es de resolverse y,</w:t>
      </w: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p>
    <w:p w:rsidR="00823463" w:rsidRPr="002E7D91" w:rsidRDefault="00823463" w:rsidP="00823463">
      <w:pPr>
        <w:spacing w:after="0" w:line="360" w:lineRule="auto"/>
        <w:jc w:val="center"/>
        <w:rPr>
          <w:rFonts w:ascii="Palatino Linotype" w:eastAsia="Times New Roman" w:hAnsi="Palatino Linotype" w:cs="Arial"/>
          <w:b/>
          <w:sz w:val="28"/>
          <w:szCs w:val="28"/>
          <w:lang w:val="es-ES_tradnl" w:eastAsia="es-ES"/>
        </w:rPr>
      </w:pPr>
      <w:r w:rsidRPr="002E7D91">
        <w:rPr>
          <w:rFonts w:ascii="Palatino Linotype" w:eastAsia="Times New Roman" w:hAnsi="Palatino Linotype" w:cs="Arial"/>
          <w:b/>
          <w:sz w:val="28"/>
          <w:szCs w:val="28"/>
          <w:lang w:val="es-ES_tradnl" w:eastAsia="es-ES"/>
        </w:rPr>
        <w:t>SE    RESUELVE</w:t>
      </w: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p>
    <w:p w:rsidR="00823463" w:rsidRPr="002E7D91" w:rsidRDefault="00823463" w:rsidP="00823463">
      <w:pPr>
        <w:spacing w:after="0" w:line="360" w:lineRule="auto"/>
        <w:ind w:left="-142" w:firstLine="1"/>
        <w:jc w:val="both"/>
        <w:rPr>
          <w:rFonts w:ascii="Palatino Linotype" w:eastAsia="Times New Roman" w:hAnsi="Palatino Linotype" w:cs="Arial"/>
          <w:i/>
          <w:szCs w:val="24"/>
          <w:lang w:val="es-ES_tradnl" w:eastAsia="es-ES"/>
        </w:rPr>
      </w:pPr>
      <w:r w:rsidRPr="002E7D91">
        <w:rPr>
          <w:rFonts w:ascii="Palatino Linotype" w:eastAsia="Times New Roman" w:hAnsi="Palatino Linotype" w:cs="Arial"/>
          <w:b/>
          <w:sz w:val="28"/>
          <w:szCs w:val="28"/>
          <w:lang w:val="es-ES_tradnl" w:eastAsia="es-ES"/>
        </w:rPr>
        <w:t>PRIMERO</w:t>
      </w:r>
      <w:r w:rsidRPr="002E7D91">
        <w:rPr>
          <w:rFonts w:ascii="Palatino Linotype" w:eastAsia="Times New Roman" w:hAnsi="Palatino Linotype" w:cs="Arial"/>
          <w:sz w:val="24"/>
          <w:szCs w:val="24"/>
          <w:lang w:val="es-ES_tradnl" w:eastAsia="es-ES"/>
        </w:rPr>
        <w:t xml:space="preserve">. Se </w:t>
      </w:r>
      <w:r w:rsidRPr="002E7D91">
        <w:rPr>
          <w:rFonts w:ascii="Palatino Linotype" w:eastAsia="Times New Roman" w:hAnsi="Palatino Linotype" w:cs="Arial"/>
          <w:b/>
          <w:sz w:val="24"/>
          <w:szCs w:val="24"/>
          <w:lang w:val="es-ES_tradnl" w:eastAsia="es-ES"/>
        </w:rPr>
        <w:t>SOBRESEE</w:t>
      </w:r>
      <w:r w:rsidRPr="002E7D91">
        <w:rPr>
          <w:rFonts w:ascii="Palatino Linotype" w:eastAsia="Times New Roman" w:hAnsi="Palatino Linotype" w:cs="Arial"/>
          <w:sz w:val="24"/>
          <w:szCs w:val="24"/>
          <w:lang w:val="es-ES_tradnl" w:eastAsia="es-ES"/>
        </w:rPr>
        <w:t xml:space="preserve"> el recurso de revisión número </w:t>
      </w:r>
      <w:r w:rsidRPr="002E7D91">
        <w:rPr>
          <w:rFonts w:ascii="Palatino Linotype" w:eastAsia="Times New Roman" w:hAnsi="Palatino Linotype" w:cs="Arial"/>
          <w:b/>
          <w:sz w:val="24"/>
          <w:szCs w:val="24"/>
          <w:lang w:val="es-ES_tradnl" w:eastAsia="es-ES"/>
        </w:rPr>
        <w:t>04890/INFOEM/IP/RR/2024</w:t>
      </w:r>
      <w:r w:rsidRPr="002E7D91">
        <w:rPr>
          <w:rFonts w:ascii="Palatino Linotype" w:eastAsia="Times New Roman" w:hAnsi="Palatino Linotype" w:cs="Arial"/>
          <w:sz w:val="24"/>
          <w:szCs w:val="24"/>
          <w:lang w:val="es-ES_tradnl" w:eastAsia="es-ES"/>
        </w:rPr>
        <w:t xml:space="preserve">, por haberse desistido expresamente la parte </w:t>
      </w:r>
      <w:r w:rsidRPr="002E7D91">
        <w:rPr>
          <w:rFonts w:ascii="Palatino Linotype" w:eastAsia="Times New Roman" w:hAnsi="Palatino Linotype" w:cs="Arial"/>
          <w:b/>
          <w:sz w:val="24"/>
          <w:szCs w:val="24"/>
          <w:lang w:val="es-ES_tradnl" w:eastAsia="es-ES"/>
        </w:rPr>
        <w:t>Recurrente</w:t>
      </w:r>
      <w:r w:rsidRPr="002E7D91">
        <w:rPr>
          <w:rFonts w:ascii="Palatino Linotype" w:eastAsia="Times New Roman" w:hAnsi="Palatino Linotype" w:cs="Arial"/>
          <w:sz w:val="24"/>
          <w:szCs w:val="24"/>
          <w:lang w:val="es-ES_tradnl" w:eastAsia="es-ES"/>
        </w:rPr>
        <w:t>, en términos del Considerando Tercero de la presente resolución, por lo tanto, se actualiza la hipótesis contenida en la fracción I del artículo 192 de la Ley de Transparencia y Acceso a la Información Pública del Estado de México y Municipios.</w:t>
      </w: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r w:rsidRPr="002E7D91">
        <w:rPr>
          <w:rFonts w:ascii="Palatino Linotype" w:eastAsia="Times New Roman" w:hAnsi="Palatino Linotype" w:cs="Arial"/>
          <w:b/>
          <w:sz w:val="28"/>
          <w:szCs w:val="28"/>
          <w:lang w:val="es-ES_tradnl" w:eastAsia="es-ES"/>
        </w:rPr>
        <w:t>SEGUNDO</w:t>
      </w:r>
      <w:r w:rsidRPr="002E7D91">
        <w:rPr>
          <w:rFonts w:ascii="Palatino Linotype" w:eastAsia="Times New Roman" w:hAnsi="Palatino Linotype" w:cs="Arial"/>
          <w:sz w:val="24"/>
          <w:szCs w:val="24"/>
          <w:lang w:val="es-ES_tradnl" w:eastAsia="es-ES"/>
        </w:rPr>
        <w:t xml:space="preserve">. </w:t>
      </w:r>
      <w:r w:rsidRPr="002E7D91">
        <w:rPr>
          <w:rFonts w:ascii="Palatino Linotype" w:eastAsia="Times New Roman" w:hAnsi="Palatino Linotype" w:cs="Arial"/>
          <w:b/>
          <w:sz w:val="24"/>
          <w:szCs w:val="24"/>
          <w:lang w:val="es-ES_tradnl" w:eastAsia="es-ES"/>
        </w:rPr>
        <w:t>Notifíquese</w:t>
      </w:r>
      <w:r w:rsidRPr="002E7D91">
        <w:rPr>
          <w:rFonts w:ascii="Palatino Linotype" w:eastAsia="Times New Roman" w:hAnsi="Palatino Linotype" w:cs="Arial"/>
          <w:sz w:val="24"/>
          <w:szCs w:val="24"/>
          <w:lang w:val="es-ES_tradnl" w:eastAsia="es-ES"/>
        </w:rPr>
        <w:t xml:space="preserve"> la presente resolución al Titular de la Unidad de Transparencia del Sujeto Obligado vía Sistema de Acceso a la Información Mexiquense (SAIMEX).</w:t>
      </w:r>
    </w:p>
    <w:p w:rsidR="00823463" w:rsidRPr="002E7D91" w:rsidRDefault="00823463" w:rsidP="00823463">
      <w:pPr>
        <w:spacing w:after="0" w:line="360" w:lineRule="auto"/>
        <w:jc w:val="both"/>
        <w:rPr>
          <w:rFonts w:ascii="Palatino Linotype" w:eastAsia="Times New Roman" w:hAnsi="Palatino Linotype" w:cs="Arial"/>
          <w:sz w:val="24"/>
          <w:szCs w:val="24"/>
          <w:lang w:val="es-ES_tradnl" w:eastAsia="es-ES"/>
        </w:rPr>
      </w:pPr>
    </w:p>
    <w:p w:rsidR="00823463" w:rsidRPr="002E7D91" w:rsidRDefault="00F42967" w:rsidP="00823463">
      <w:pPr>
        <w:spacing w:after="0" w:line="360" w:lineRule="auto"/>
        <w:jc w:val="both"/>
        <w:rPr>
          <w:rFonts w:ascii="Palatino Linotype" w:hAnsi="Palatino Linotype" w:cs="Times New Roman"/>
          <w:sz w:val="24"/>
          <w:szCs w:val="24"/>
          <w:lang w:val="es-ES" w:eastAsia="es-ES_tradnl"/>
        </w:rPr>
      </w:pPr>
      <w:r w:rsidRPr="002E7D91">
        <w:rPr>
          <w:rFonts w:ascii="Palatino Linotype" w:eastAsia="Times New Roman" w:hAnsi="Palatino Linotype" w:cs="Arial"/>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1530985</wp:posOffset>
                </wp:positionV>
                <wp:extent cx="5619750" cy="160020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5619750" cy="1600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593E2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120.55pt" to="445.95pt,2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" strokecolor="#5b9bd5 [3204]" strokeweight=".5pt">
                <v:stroke joinstyle="miter"/>
              </v:line>
            </w:pict>
          </mc:Fallback>
        </mc:AlternateContent>
      </w:r>
      <w:r w:rsidR="00823463" w:rsidRPr="002E7D91">
        <w:rPr>
          <w:rFonts w:ascii="Palatino Linotype" w:eastAsia="Times New Roman" w:hAnsi="Palatino Linotype" w:cs="Arial"/>
          <w:b/>
          <w:sz w:val="28"/>
          <w:szCs w:val="28"/>
          <w:lang w:val="es-ES_tradnl" w:eastAsia="es-ES"/>
        </w:rPr>
        <w:t>TERCERO</w:t>
      </w:r>
      <w:r w:rsidR="00823463" w:rsidRPr="002E7D91">
        <w:rPr>
          <w:rFonts w:ascii="Palatino Linotype" w:eastAsia="Times New Roman" w:hAnsi="Palatino Linotype" w:cs="Arial"/>
          <w:sz w:val="24"/>
          <w:szCs w:val="24"/>
          <w:lang w:val="es-ES_tradnl" w:eastAsia="es-ES"/>
        </w:rPr>
        <w:t xml:space="preserve">. </w:t>
      </w:r>
      <w:r w:rsidR="00823463" w:rsidRPr="002E7D91">
        <w:rPr>
          <w:rFonts w:ascii="Palatino Linotype" w:eastAsia="Times New Roman" w:hAnsi="Palatino Linotype" w:cs="Arial"/>
          <w:b/>
          <w:sz w:val="24"/>
          <w:szCs w:val="24"/>
          <w:lang w:val="es-ES_tradnl" w:eastAsia="es-ES"/>
        </w:rPr>
        <w:t>Notifíquese</w:t>
      </w:r>
      <w:r w:rsidR="00823463" w:rsidRPr="002E7D91">
        <w:rPr>
          <w:rFonts w:ascii="Palatino Linotype" w:eastAsia="Times New Roman" w:hAnsi="Palatino Linotype" w:cs="Arial"/>
          <w:sz w:val="24"/>
          <w:szCs w:val="24"/>
          <w:lang w:val="es-ES_tradnl" w:eastAsia="es-ES"/>
        </w:rPr>
        <w:t xml:space="preserve"> la presente resolución a la parte </w:t>
      </w:r>
      <w:r w:rsidR="00823463" w:rsidRPr="002E7D91">
        <w:rPr>
          <w:rFonts w:ascii="Palatino Linotype" w:eastAsia="Times New Roman" w:hAnsi="Palatino Linotype" w:cs="Arial"/>
          <w:b/>
          <w:sz w:val="24"/>
          <w:szCs w:val="24"/>
          <w:lang w:val="es-ES_tradnl" w:eastAsia="es-ES"/>
        </w:rPr>
        <w:t>Recurrente</w:t>
      </w:r>
      <w:r w:rsidR="00823463" w:rsidRPr="002E7D91">
        <w:rPr>
          <w:rFonts w:ascii="Palatino Linotype" w:eastAsia="Times New Roman" w:hAnsi="Palatino Linotype" w:cs="Arial"/>
          <w:sz w:val="24"/>
          <w:szCs w:val="24"/>
          <w:lang w:val="es-ES_tradnl" w:eastAsia="es-ES"/>
        </w:rPr>
        <w:t xml:space="preserve"> vía Sistema de Acceso a la Información Mexiquense (SAIMEX); así mismo, de conformidad con lo establecido en el artículo 196 de la Ley de Transparencia y Acceso a la Información Pública del Estado de México y Municipios, podrá promover el Juicio de Amparo en los términos de las leyes aplicables.</w:t>
      </w:r>
    </w:p>
    <w:p w:rsidR="00656430" w:rsidRPr="002E7D91" w:rsidRDefault="00656430" w:rsidP="00656430">
      <w:pPr>
        <w:spacing w:after="0" w:line="360" w:lineRule="auto"/>
        <w:jc w:val="both"/>
        <w:rPr>
          <w:rFonts w:ascii="Palatino Linotype" w:hAnsi="Palatino Linotype"/>
          <w:sz w:val="24"/>
          <w:szCs w:val="24"/>
          <w:lang w:eastAsia="es-ES_tradnl"/>
        </w:rPr>
      </w:pPr>
    </w:p>
    <w:p w:rsidR="00F42967" w:rsidRPr="002E7D91" w:rsidRDefault="00F42967" w:rsidP="00656430">
      <w:pPr>
        <w:spacing w:after="0" w:line="360" w:lineRule="auto"/>
        <w:jc w:val="both"/>
        <w:rPr>
          <w:rFonts w:ascii="Palatino Linotype" w:hAnsi="Palatino Linotype"/>
          <w:sz w:val="24"/>
          <w:szCs w:val="24"/>
          <w:lang w:eastAsia="es-ES_tradnl"/>
        </w:rPr>
      </w:pPr>
    </w:p>
    <w:p w:rsidR="00F42967" w:rsidRPr="002E7D91" w:rsidRDefault="00F42967" w:rsidP="00656430">
      <w:pPr>
        <w:spacing w:after="0" w:line="360" w:lineRule="auto"/>
        <w:jc w:val="both"/>
        <w:rPr>
          <w:rFonts w:ascii="Palatino Linotype" w:hAnsi="Palatino Linotype"/>
          <w:sz w:val="24"/>
          <w:szCs w:val="24"/>
          <w:lang w:eastAsia="es-ES_tradnl"/>
        </w:rPr>
      </w:pPr>
    </w:p>
    <w:p w:rsidR="00F42967" w:rsidRPr="002E7D91" w:rsidRDefault="00F42967" w:rsidP="00656430">
      <w:pPr>
        <w:spacing w:after="0" w:line="360" w:lineRule="auto"/>
        <w:jc w:val="both"/>
        <w:rPr>
          <w:rFonts w:ascii="Palatino Linotype" w:hAnsi="Palatino Linotype"/>
          <w:sz w:val="24"/>
          <w:szCs w:val="24"/>
          <w:lang w:eastAsia="es-ES_tradnl"/>
        </w:rPr>
      </w:pPr>
    </w:p>
    <w:p w:rsidR="00656430" w:rsidRPr="002E7D91" w:rsidRDefault="00656430" w:rsidP="00656430">
      <w:pPr>
        <w:spacing w:after="0" w:line="360" w:lineRule="auto"/>
        <w:jc w:val="both"/>
        <w:rPr>
          <w:rFonts w:ascii="Palatino Linotype" w:eastAsia="Palatino Linotype" w:hAnsi="Palatino Linotype" w:cs="Palatino Linotype"/>
          <w:sz w:val="24"/>
          <w:szCs w:val="24"/>
        </w:rPr>
      </w:pPr>
    </w:p>
    <w:p w:rsidR="00656430" w:rsidRPr="002E7D91" w:rsidRDefault="00656430" w:rsidP="00656430">
      <w:pPr>
        <w:spacing w:after="0" w:line="360" w:lineRule="auto"/>
        <w:jc w:val="both"/>
        <w:rPr>
          <w:rFonts w:ascii="Palatino Linotype" w:eastAsia="Palatino Linotype" w:hAnsi="Palatino Linotype" w:cs="Palatino Linotype"/>
          <w:sz w:val="24"/>
          <w:szCs w:val="24"/>
        </w:rPr>
      </w:pPr>
      <w:r w:rsidRPr="002E7D91">
        <w:rPr>
          <w:rFonts w:ascii="Palatino Linotype" w:eastAsia="Palatino Linotype" w:hAnsi="Palatino Linotype" w:cs="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413395" w:rsidRPr="002E7D91">
        <w:rPr>
          <w:rFonts w:ascii="Palatino Linotype" w:eastAsia="Palatino Linotype" w:hAnsi="Palatino Linotype" w:cs="Palatino Linotype"/>
          <w:sz w:val="24"/>
          <w:szCs w:val="24"/>
        </w:rPr>
        <w:t xml:space="preserve">PRIMERA </w:t>
      </w:r>
      <w:r w:rsidRPr="002E7D91">
        <w:rPr>
          <w:rFonts w:ascii="Palatino Linotype" w:eastAsia="Palatino Linotype" w:hAnsi="Palatino Linotype" w:cs="Palatino Linotype"/>
          <w:sz w:val="24"/>
          <w:szCs w:val="24"/>
        </w:rPr>
        <w:t xml:space="preserve">SESIÓN ORDINARIA CELEBRADA EL </w:t>
      </w:r>
      <w:r w:rsidR="00413395" w:rsidRPr="002E7D91">
        <w:rPr>
          <w:rFonts w:ascii="Palatino Linotype" w:eastAsia="Palatino Linotype" w:hAnsi="Palatino Linotype" w:cs="Palatino Linotype"/>
          <w:sz w:val="24"/>
          <w:szCs w:val="24"/>
        </w:rPr>
        <w:t>CUATRO DE SEPTIEMBRE</w:t>
      </w:r>
      <w:r w:rsidRPr="002E7D91">
        <w:rPr>
          <w:rFonts w:ascii="Palatino Linotype" w:eastAsia="Palatino Linotype" w:hAnsi="Palatino Linotype" w:cs="Palatino Linotype"/>
          <w:sz w:val="24"/>
          <w:szCs w:val="24"/>
        </w:rPr>
        <w:t xml:space="preserve"> DE DOS MIL VEINTICUATRO, ANTE EL SECRETARIO TÉCNICO DEL PLENO, ALEXIS TAPIA RAMÍREZ. ------------------------------------------------------------------------------------------------------------------------------------------------------------------------------------------------------------------------------------------------------------------------------------------------------------------------------------------------------------------------------------------------------------------------------------------------------------------------------------------------------------------------------</w:t>
      </w:r>
      <w:r w:rsidR="00F42967" w:rsidRPr="002E7D91">
        <w:rPr>
          <w:rFonts w:ascii="Palatino Linotype" w:hAnsi="Palatino Linotype" w:cs="Arial"/>
          <w:sz w:val="24"/>
          <w:szCs w:val="24"/>
        </w:rPr>
        <w:t>--------------------------------------------------------------------------------------------------------------------------------------------------------------------------------------------------------------------------------------------------------------------------------------------------------------------------------------------------------------------------------------------------------------------------------------------------------------------------------------------------------------------------------------------------------------------------------------------------------------------------------------------------------------------------------------------------------------------------------------------------------------------------------------------------------------------------------------------------------------------------------------------------------------------------------------------------------------------------------------------------------------------------------------------------------------------------------------------------------------------------------------------------------------------------</w:t>
      </w:r>
    </w:p>
    <w:p w:rsidR="00656430" w:rsidRDefault="00656430" w:rsidP="00656430">
      <w:pPr>
        <w:spacing w:after="0" w:line="360" w:lineRule="auto"/>
        <w:jc w:val="both"/>
        <w:rPr>
          <w:rFonts w:ascii="Palatino Linotype" w:eastAsia="Palatino Linotype" w:hAnsi="Palatino Linotype" w:cs="Palatino Linotype"/>
          <w:sz w:val="20"/>
          <w:szCs w:val="20"/>
        </w:rPr>
      </w:pPr>
      <w:r w:rsidRPr="002E7D91">
        <w:rPr>
          <w:rFonts w:ascii="Palatino Linotype" w:eastAsia="Palatino Linotype" w:hAnsi="Palatino Linotype" w:cs="Palatino Linotype"/>
          <w:sz w:val="20"/>
          <w:szCs w:val="20"/>
        </w:rPr>
        <w:t>CCR/</w:t>
      </w:r>
      <w:r w:rsidR="0045619F" w:rsidRPr="002E7D91">
        <w:rPr>
          <w:rFonts w:ascii="Palatino Linotype" w:eastAsia="Palatino Linotype" w:hAnsi="Palatino Linotype" w:cs="Palatino Linotype"/>
          <w:sz w:val="20"/>
          <w:szCs w:val="20"/>
        </w:rPr>
        <w:t>LMST</w:t>
      </w:r>
      <w:bookmarkStart w:id="0" w:name="_GoBack"/>
      <w:bookmarkEnd w:id="0"/>
    </w:p>
    <w:p w:rsidR="00656430" w:rsidRDefault="00656430" w:rsidP="00656430">
      <w:pPr>
        <w:spacing w:after="0" w:line="360" w:lineRule="auto"/>
        <w:jc w:val="both"/>
        <w:rPr>
          <w:rFonts w:ascii="Palatino Linotype" w:eastAsia="Palatino Linotype" w:hAnsi="Palatino Linotype" w:cs="Palatino Linotype"/>
          <w:sz w:val="24"/>
          <w:szCs w:val="24"/>
        </w:rPr>
      </w:pPr>
    </w:p>
    <w:p w:rsidR="00656430" w:rsidRDefault="00656430" w:rsidP="00656430">
      <w:pPr>
        <w:spacing w:after="0" w:line="360" w:lineRule="auto"/>
        <w:jc w:val="both"/>
        <w:rPr>
          <w:rFonts w:ascii="Palatino Linotype" w:eastAsia="Palatino Linotype" w:hAnsi="Palatino Linotype" w:cs="Palatino Linotype"/>
          <w:sz w:val="24"/>
          <w:szCs w:val="24"/>
        </w:rPr>
      </w:pPr>
    </w:p>
    <w:p w:rsidR="00656430" w:rsidRDefault="00656430" w:rsidP="00656430">
      <w:pPr>
        <w:spacing w:after="0" w:line="360" w:lineRule="auto"/>
        <w:jc w:val="both"/>
        <w:rPr>
          <w:rFonts w:ascii="Palatino Linotype" w:eastAsia="Palatino Linotype" w:hAnsi="Palatino Linotype" w:cs="Palatino Linotype"/>
          <w:sz w:val="24"/>
          <w:szCs w:val="24"/>
        </w:rPr>
      </w:pPr>
    </w:p>
    <w:p w:rsidR="00656430" w:rsidRDefault="00656430" w:rsidP="00656430">
      <w:pPr>
        <w:spacing w:after="0"/>
        <w:rPr>
          <w:rFonts w:ascii="Palatino Linotype" w:eastAsia="Palatino Linotype" w:hAnsi="Palatino Linotype" w:cs="Palatino Linotype"/>
        </w:rPr>
      </w:pPr>
    </w:p>
    <w:p w:rsidR="00656430" w:rsidRDefault="00656430" w:rsidP="00656430">
      <w:pPr>
        <w:spacing w:after="0"/>
        <w:rPr>
          <w:rFonts w:ascii="Palatino Linotype" w:eastAsia="Palatino Linotype" w:hAnsi="Palatino Linotype" w:cs="Palatino Linotype"/>
        </w:rPr>
      </w:pPr>
    </w:p>
    <w:p w:rsidR="00656430" w:rsidRDefault="00656430" w:rsidP="00656430">
      <w:pPr>
        <w:spacing w:after="0"/>
        <w:rPr>
          <w:rFonts w:ascii="Palatino Linotype" w:eastAsia="Palatino Linotype" w:hAnsi="Palatino Linotype" w:cs="Palatino Linotype"/>
        </w:rPr>
      </w:pPr>
    </w:p>
    <w:p w:rsidR="00656430" w:rsidRDefault="00656430" w:rsidP="00656430">
      <w:pPr>
        <w:spacing w:after="0"/>
        <w:rPr>
          <w:rFonts w:ascii="Palatino Linotype" w:eastAsia="Palatino Linotype" w:hAnsi="Palatino Linotype" w:cs="Palatino Linotype"/>
        </w:rPr>
      </w:pPr>
    </w:p>
    <w:p w:rsidR="00656430" w:rsidRDefault="00656430" w:rsidP="00656430">
      <w:pPr>
        <w:spacing w:after="0"/>
        <w:rPr>
          <w:rFonts w:ascii="Palatino Linotype" w:eastAsia="Palatino Linotype" w:hAnsi="Palatino Linotype" w:cs="Palatino Linotype"/>
        </w:rPr>
      </w:pPr>
    </w:p>
    <w:p w:rsidR="00656430" w:rsidRDefault="00656430" w:rsidP="00656430">
      <w:pPr>
        <w:spacing w:after="0"/>
        <w:rPr>
          <w:rFonts w:ascii="Palatino Linotype" w:eastAsia="Palatino Linotype" w:hAnsi="Palatino Linotype" w:cs="Palatino Linotype"/>
        </w:rPr>
      </w:pPr>
    </w:p>
    <w:p w:rsidR="00656430" w:rsidRDefault="00656430" w:rsidP="00656430">
      <w:pPr>
        <w:spacing w:after="0"/>
        <w:rPr>
          <w:rFonts w:ascii="Palatino Linotype" w:eastAsia="Palatino Linotype" w:hAnsi="Palatino Linotype" w:cs="Palatino Linotype"/>
        </w:rPr>
      </w:pPr>
    </w:p>
    <w:p w:rsidR="00656430" w:rsidRDefault="00656430" w:rsidP="00656430">
      <w:pPr>
        <w:spacing w:after="0"/>
        <w:rPr>
          <w:rFonts w:ascii="Palatino Linotype" w:eastAsia="Palatino Linotype" w:hAnsi="Palatino Linotype" w:cs="Palatino Linotype"/>
        </w:rPr>
      </w:pPr>
    </w:p>
    <w:p w:rsidR="00656430" w:rsidRDefault="00656430" w:rsidP="00656430">
      <w:pPr>
        <w:spacing w:after="0"/>
        <w:rPr>
          <w:rFonts w:ascii="Palatino Linotype" w:eastAsia="Palatino Linotype" w:hAnsi="Palatino Linotype" w:cs="Palatino Linotype"/>
        </w:rPr>
      </w:pPr>
    </w:p>
    <w:p w:rsidR="00656430" w:rsidRDefault="00656430" w:rsidP="00656430">
      <w:pPr>
        <w:spacing w:after="0"/>
        <w:rPr>
          <w:rFonts w:ascii="Palatino Linotype" w:eastAsia="Palatino Linotype" w:hAnsi="Palatino Linotype" w:cs="Palatino Linotype"/>
        </w:rPr>
      </w:pPr>
    </w:p>
    <w:p w:rsidR="00656430" w:rsidRDefault="00656430" w:rsidP="00656430">
      <w:pPr>
        <w:spacing w:after="0"/>
      </w:pPr>
    </w:p>
    <w:p w:rsidR="00656430" w:rsidRDefault="00656430" w:rsidP="00656430"/>
    <w:p w:rsidR="005D3BF7" w:rsidRDefault="005D3BF7"/>
    <w:sectPr w:rsidR="005D3BF7">
      <w:headerReference w:type="default" r:id="rId7"/>
      <w:footerReference w:type="default" r:id="rId8"/>
      <w:headerReference w:type="first" r:id="rId9"/>
      <w:footerReference w:type="first" r:id="rId10"/>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430" w:rsidRDefault="00656430" w:rsidP="00656430">
      <w:pPr>
        <w:spacing w:after="0" w:line="240" w:lineRule="auto"/>
      </w:pPr>
      <w:r>
        <w:separator/>
      </w:r>
    </w:p>
  </w:endnote>
  <w:endnote w:type="continuationSeparator" w:id="0">
    <w:p w:rsidR="00656430" w:rsidRDefault="00656430" w:rsidP="0065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41339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E7D91">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E7D91">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69244D" w:rsidRDefault="002E7D9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41339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E7D9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E7D91">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69244D" w:rsidRDefault="002E7D9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430" w:rsidRDefault="00656430" w:rsidP="00656430">
      <w:pPr>
        <w:spacing w:after="0" w:line="240" w:lineRule="auto"/>
      </w:pPr>
      <w:r>
        <w:separator/>
      </w:r>
    </w:p>
  </w:footnote>
  <w:footnote w:type="continuationSeparator" w:id="0">
    <w:p w:rsidR="00656430" w:rsidRDefault="00656430" w:rsidP="00656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2E7D91">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69244D">
      <w:trPr>
        <w:trHeight w:val="227"/>
      </w:trPr>
      <w:tc>
        <w:tcPr>
          <w:tcW w:w="5246" w:type="dxa"/>
        </w:tcPr>
        <w:p w:rsidR="0069244D" w:rsidRDefault="00413395">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rsidR="0069244D" w:rsidRDefault="00413395" w:rsidP="009916BF">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656430">
            <w:rPr>
              <w:rFonts w:ascii="Palatino Linotype" w:eastAsia="Palatino Linotype" w:hAnsi="Palatino Linotype" w:cs="Palatino Linotype"/>
              <w:b/>
              <w:sz w:val="24"/>
              <w:szCs w:val="24"/>
            </w:rPr>
            <w:t>4890</w:t>
          </w:r>
          <w:r>
            <w:rPr>
              <w:rFonts w:ascii="Palatino Linotype" w:eastAsia="Palatino Linotype" w:hAnsi="Palatino Linotype" w:cs="Palatino Linotype"/>
              <w:b/>
              <w:sz w:val="24"/>
              <w:szCs w:val="24"/>
            </w:rPr>
            <w:t>/INFOEM/IP/RR/2024</w:t>
          </w:r>
        </w:p>
      </w:tc>
    </w:tr>
    <w:tr w:rsidR="0069244D">
      <w:trPr>
        <w:trHeight w:val="242"/>
      </w:trPr>
      <w:tc>
        <w:tcPr>
          <w:tcW w:w="5246" w:type="dxa"/>
        </w:tcPr>
        <w:p w:rsidR="0069244D" w:rsidRDefault="00656430">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3FEC67DA" wp14:editId="6B58EA6A">
                <wp:simplePos x="0" y="0"/>
                <wp:positionH relativeFrom="page">
                  <wp:posOffset>-820420</wp:posOffset>
                </wp:positionH>
                <wp:positionV relativeFrom="margin">
                  <wp:posOffset>-836295</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r w:rsidR="00413395">
            <w:rPr>
              <w:rFonts w:ascii="Palatino Linotype" w:eastAsia="Palatino Linotype" w:hAnsi="Palatino Linotype" w:cs="Palatino Linotype"/>
            </w:rPr>
            <w:t>Sujeto Obligado:</w:t>
          </w:r>
        </w:p>
      </w:tc>
      <w:tc>
        <w:tcPr>
          <w:tcW w:w="4819" w:type="dxa"/>
        </w:tcPr>
        <w:p w:rsidR="0069244D" w:rsidRDefault="00656430">
          <w:pPr>
            <w:spacing w:after="120" w:line="256" w:lineRule="auto"/>
            <w:ind w:left="-486" w:right="214" w:firstLine="284"/>
            <w:jc w:val="right"/>
            <w:rPr>
              <w:rFonts w:ascii="Palatino Linotype" w:eastAsia="Palatino Linotype" w:hAnsi="Palatino Linotype" w:cs="Palatino Linotype"/>
              <w:b/>
              <w:sz w:val="24"/>
              <w:szCs w:val="24"/>
            </w:rPr>
          </w:pPr>
          <w:r w:rsidRPr="00656430">
            <w:rPr>
              <w:rFonts w:ascii="Palatino Linotype" w:eastAsia="Palatino Linotype" w:hAnsi="Palatino Linotype" w:cs="Palatino Linotype"/>
              <w:b/>
            </w:rPr>
            <w:t>Ayuntamiento de Acolman</w:t>
          </w:r>
        </w:p>
      </w:tc>
    </w:tr>
    <w:tr w:rsidR="0069244D">
      <w:trPr>
        <w:trHeight w:val="342"/>
      </w:trPr>
      <w:tc>
        <w:tcPr>
          <w:tcW w:w="5246" w:type="dxa"/>
        </w:tcPr>
        <w:p w:rsidR="0069244D" w:rsidRDefault="00413395">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9244D" w:rsidRDefault="00413395">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rsidR="0069244D" w:rsidRDefault="002E7D91">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65643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61312" behindDoc="1" locked="0" layoutInCell="1" hidden="0" allowOverlap="1" wp14:anchorId="2501F2C2" wp14:editId="56CABF29">
          <wp:simplePos x="0" y="0"/>
          <wp:positionH relativeFrom="page">
            <wp:posOffset>-432435</wp:posOffset>
          </wp:positionH>
          <wp:positionV relativeFrom="margin">
            <wp:posOffset>-1639570</wp:posOffset>
          </wp:positionV>
          <wp:extent cx="7705725" cy="10048875"/>
          <wp:effectExtent l="0" t="0" r="0" b="0"/>
          <wp:wrapNone/>
          <wp:docPr id="3"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W w:w="9923" w:type="dxa"/>
      <w:tblInd w:w="-1251" w:type="dxa"/>
      <w:tblLayout w:type="fixed"/>
      <w:tblLook w:val="0400" w:firstRow="0" w:lastRow="0" w:firstColumn="0" w:lastColumn="0" w:noHBand="0" w:noVBand="1"/>
    </w:tblPr>
    <w:tblGrid>
      <w:gridCol w:w="5104"/>
      <w:gridCol w:w="4819"/>
    </w:tblGrid>
    <w:tr w:rsidR="0069244D" w:rsidTr="00656430">
      <w:trPr>
        <w:trHeight w:val="227"/>
      </w:trPr>
      <w:tc>
        <w:tcPr>
          <w:tcW w:w="5104" w:type="dxa"/>
        </w:tcPr>
        <w:p w:rsidR="0069244D" w:rsidRDefault="00413395">
          <w:pPr>
            <w:spacing w:after="120" w:line="256" w:lineRule="auto"/>
            <w:ind w:right="204"/>
            <w:jc w:val="right"/>
            <w:rPr>
              <w:rFonts w:ascii="Palatino Linotype" w:eastAsia="Palatino Linotype" w:hAnsi="Palatino Linotype" w:cs="Palatino Linotype"/>
            </w:rPr>
          </w:pPr>
          <w:bookmarkStart w:id="1" w:name="_30j0zll" w:colFirst="0" w:colLast="0"/>
          <w:bookmarkEnd w:id="1"/>
          <w:r>
            <w:rPr>
              <w:rFonts w:ascii="Palatino Linotype" w:eastAsia="Palatino Linotype" w:hAnsi="Palatino Linotype" w:cs="Palatino Linotype"/>
            </w:rPr>
            <w:t>Recurso de Revisión N°:</w:t>
          </w:r>
        </w:p>
      </w:tc>
      <w:tc>
        <w:tcPr>
          <w:tcW w:w="4819" w:type="dxa"/>
        </w:tcPr>
        <w:p w:rsidR="0069244D" w:rsidRDefault="00656430" w:rsidP="009916BF">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04890</w:t>
          </w:r>
          <w:r w:rsidR="00413395">
            <w:rPr>
              <w:rFonts w:ascii="Palatino Linotype" w:eastAsia="Palatino Linotype" w:hAnsi="Palatino Linotype" w:cs="Palatino Linotype"/>
              <w:b/>
              <w:sz w:val="24"/>
              <w:szCs w:val="24"/>
            </w:rPr>
            <w:t>/INFOEM/IP/RR/2024</w:t>
          </w:r>
        </w:p>
      </w:tc>
    </w:tr>
    <w:tr w:rsidR="0069244D" w:rsidTr="00656430">
      <w:trPr>
        <w:trHeight w:val="242"/>
      </w:trPr>
      <w:tc>
        <w:tcPr>
          <w:tcW w:w="5104" w:type="dxa"/>
        </w:tcPr>
        <w:p w:rsidR="0069244D" w:rsidRDefault="00413395">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9244D" w:rsidRDefault="00656430">
          <w:pPr>
            <w:spacing w:after="120" w:line="256" w:lineRule="auto"/>
            <w:ind w:left="-486" w:right="214" w:firstLine="284"/>
            <w:jc w:val="right"/>
            <w:rPr>
              <w:rFonts w:ascii="Palatino Linotype" w:eastAsia="Palatino Linotype" w:hAnsi="Palatino Linotype" w:cs="Palatino Linotype"/>
              <w:b/>
            </w:rPr>
          </w:pPr>
          <w:r w:rsidRPr="00656430">
            <w:rPr>
              <w:rFonts w:ascii="Palatino Linotype" w:eastAsia="Palatino Linotype" w:hAnsi="Palatino Linotype" w:cs="Palatino Linotype"/>
              <w:b/>
            </w:rPr>
            <w:t>Ayuntamiento de Acolman</w:t>
          </w:r>
        </w:p>
      </w:tc>
    </w:tr>
    <w:tr w:rsidR="0069244D" w:rsidTr="00656430">
      <w:trPr>
        <w:trHeight w:val="342"/>
      </w:trPr>
      <w:tc>
        <w:tcPr>
          <w:tcW w:w="5104" w:type="dxa"/>
        </w:tcPr>
        <w:p w:rsidR="0069244D" w:rsidRDefault="00413395">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rsidR="0069244D" w:rsidRDefault="00EF1621">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XXXX</w:t>
          </w:r>
        </w:p>
      </w:tc>
    </w:tr>
    <w:tr w:rsidR="0069244D" w:rsidTr="00656430">
      <w:trPr>
        <w:trHeight w:val="342"/>
      </w:trPr>
      <w:tc>
        <w:tcPr>
          <w:tcW w:w="5104" w:type="dxa"/>
        </w:tcPr>
        <w:p w:rsidR="0069244D" w:rsidRDefault="00413395">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9244D" w:rsidRDefault="00413395">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rsidR="0069244D" w:rsidRDefault="002E7D9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30"/>
    <w:rsid w:val="002B69BB"/>
    <w:rsid w:val="002E7D91"/>
    <w:rsid w:val="00413395"/>
    <w:rsid w:val="0045619F"/>
    <w:rsid w:val="005D3BF7"/>
    <w:rsid w:val="00656430"/>
    <w:rsid w:val="00823463"/>
    <w:rsid w:val="00EF1621"/>
    <w:rsid w:val="00F429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EE7829D-2808-4CE5-99F5-83DA0298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6430"/>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656430"/>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5643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56430"/>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564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430"/>
    <w:rPr>
      <w:rFonts w:ascii="Calibri" w:eastAsia="Calibri" w:hAnsi="Calibri" w:cs="Calibri"/>
      <w:lang w:eastAsia="es-MX"/>
    </w:rPr>
  </w:style>
  <w:style w:type="paragraph" w:styleId="Piedepgina">
    <w:name w:val="footer"/>
    <w:basedOn w:val="Normal"/>
    <w:link w:val="PiedepginaCar"/>
    <w:uiPriority w:val="99"/>
    <w:unhideWhenUsed/>
    <w:rsid w:val="006564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430"/>
    <w:rPr>
      <w:rFonts w:ascii="Calibri" w:eastAsia="Calibri" w:hAnsi="Calibri" w:cs="Calibri"/>
      <w:lang w:eastAsia="es-MX"/>
    </w:rPr>
  </w:style>
  <w:style w:type="table" w:customStyle="1" w:styleId="Tablaconcuadrcula1">
    <w:name w:val="Tabla con cuadrícula1"/>
    <w:basedOn w:val="Tablanormal"/>
    <w:next w:val="Tablaconcuadrcula"/>
    <w:uiPriority w:val="39"/>
    <w:rsid w:val="00823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23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3031</Words>
  <Characters>16671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6</cp:revision>
  <dcterms:created xsi:type="dcterms:W3CDTF">2024-08-27T18:47:00Z</dcterms:created>
  <dcterms:modified xsi:type="dcterms:W3CDTF">2024-11-08T17:57:00Z</dcterms:modified>
</cp:coreProperties>
</file>