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0DBAD" w14:textId="77777777" w:rsidR="005B6022" w:rsidRDefault="005B6022">
      <w:pPr>
        <w:widowControl w:val="0"/>
        <w:pBdr>
          <w:top w:val="nil"/>
          <w:left w:val="nil"/>
          <w:bottom w:val="nil"/>
          <w:right w:val="nil"/>
          <w:between w:val="nil"/>
        </w:pBdr>
        <w:spacing w:line="276" w:lineRule="auto"/>
      </w:pPr>
    </w:p>
    <w:p w14:paraId="5E584EF1" w14:textId="77777777" w:rsidR="005B6022" w:rsidRDefault="005B6022">
      <w:pPr>
        <w:widowControl w:val="0"/>
        <w:pBdr>
          <w:top w:val="nil"/>
          <w:left w:val="nil"/>
          <w:bottom w:val="nil"/>
          <w:right w:val="nil"/>
          <w:between w:val="nil"/>
        </w:pBdr>
        <w:spacing w:line="276" w:lineRule="auto"/>
      </w:pPr>
      <w:bookmarkStart w:id="0" w:name="_heading=h.gjdgxs" w:colFirst="0" w:colLast="0"/>
      <w:bookmarkEnd w:id="0"/>
    </w:p>
    <w:p w14:paraId="7CD95E3F" w14:textId="77777777" w:rsidR="005B6022" w:rsidRDefault="009C528D">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917DC1">
        <w:rPr>
          <w:rFonts w:ascii="Palatino Linotype" w:eastAsia="Palatino Linotype" w:hAnsi="Palatino Linotype" w:cs="Palatino Linotype"/>
        </w:rPr>
        <w:t xml:space="preserve"> de México; de fecha cuatro (04)</w:t>
      </w:r>
      <w:r>
        <w:rPr>
          <w:rFonts w:ascii="Palatino Linotype" w:eastAsia="Palatino Linotype" w:hAnsi="Palatino Linotype" w:cs="Palatino Linotype"/>
        </w:rPr>
        <w:t xml:space="preserve"> de </w:t>
      </w:r>
      <w:r w:rsidR="00917DC1">
        <w:rPr>
          <w:rFonts w:ascii="Palatino Linotype" w:eastAsia="Palatino Linotype" w:hAnsi="Palatino Linotype" w:cs="Palatino Linotype"/>
        </w:rPr>
        <w:t>diciembre</w:t>
      </w:r>
      <w:r>
        <w:rPr>
          <w:rFonts w:ascii="Palatino Linotype" w:eastAsia="Palatino Linotype" w:hAnsi="Palatino Linotype" w:cs="Palatino Linotype"/>
        </w:rPr>
        <w:t xml:space="preserve"> de dos mil veinticuatro.</w:t>
      </w:r>
    </w:p>
    <w:p w14:paraId="3A0189E7" w14:textId="77777777" w:rsidR="005B6022" w:rsidRDefault="005B6022">
      <w:pPr>
        <w:tabs>
          <w:tab w:val="left" w:pos="3465"/>
        </w:tabs>
        <w:spacing w:line="360" w:lineRule="auto"/>
        <w:jc w:val="both"/>
        <w:rPr>
          <w:rFonts w:ascii="Palatino Linotype" w:eastAsia="Palatino Linotype" w:hAnsi="Palatino Linotype" w:cs="Palatino Linotype"/>
        </w:rPr>
      </w:pPr>
    </w:p>
    <w:p w14:paraId="681435DD" w14:textId="77461F64" w:rsidR="005B6022" w:rsidRDefault="009C528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06558/INFOEM/IP/RR/2024,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w:t>
      </w:r>
      <w:r w:rsidR="00C57C77">
        <w:rPr>
          <w:rFonts w:ascii="Palatino Linotype" w:eastAsia="Palatino Linotype" w:hAnsi="Palatino Linotype" w:cs="Palatino Linotype"/>
          <w:b/>
        </w:rPr>
        <w:t>XXXXXXXXXXX</w:t>
      </w:r>
      <w:bookmarkStart w:id="1" w:name="_GoBack"/>
      <w:bookmarkEnd w:id="1"/>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Juchitepec,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6A633C0B" w14:textId="77777777" w:rsidR="005B6022" w:rsidRDefault="005B6022">
      <w:pPr>
        <w:spacing w:line="360" w:lineRule="auto"/>
        <w:jc w:val="both"/>
        <w:rPr>
          <w:rFonts w:ascii="Palatino Linotype" w:eastAsia="Palatino Linotype" w:hAnsi="Palatino Linotype" w:cs="Palatino Linotype"/>
          <w:b/>
        </w:rPr>
      </w:pPr>
    </w:p>
    <w:p w14:paraId="7C036D40" w14:textId="77777777" w:rsidR="005B6022" w:rsidRDefault="009C528D">
      <w:pPr>
        <w:pStyle w:val="Ttulo1"/>
        <w:spacing w:before="0" w:line="360" w:lineRule="auto"/>
        <w:jc w:val="center"/>
        <w:rPr>
          <w:b/>
          <w:color w:val="000000"/>
        </w:rPr>
      </w:pPr>
      <w:bookmarkStart w:id="2" w:name="_heading=h.30j0zll" w:colFirst="0" w:colLast="0"/>
      <w:bookmarkEnd w:id="2"/>
      <w:r>
        <w:rPr>
          <w:b/>
          <w:color w:val="000000"/>
        </w:rPr>
        <w:t>ANTECEDENTES</w:t>
      </w:r>
    </w:p>
    <w:p w14:paraId="2A8328BC" w14:textId="77777777" w:rsidR="005B6022" w:rsidRDefault="005B6022"/>
    <w:p w14:paraId="04BE9123" w14:textId="77777777" w:rsidR="005B6022" w:rsidRDefault="009C528D">
      <w:pPr>
        <w:numPr>
          <w:ilvl w:val="0"/>
          <w:numId w:val="5"/>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veinticinco de septiembre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00113/JUCHITE/IP/2024; </w:t>
      </w:r>
      <w:r>
        <w:rPr>
          <w:rFonts w:ascii="Palatino Linotype" w:eastAsia="Palatino Linotype" w:hAnsi="Palatino Linotype" w:cs="Palatino Linotype"/>
          <w:color w:val="000000"/>
        </w:rPr>
        <w:t>mediante la cual se solicitó la siguiente información:</w:t>
      </w:r>
    </w:p>
    <w:p w14:paraId="1DD2A137" w14:textId="77777777" w:rsidR="005B6022" w:rsidRDefault="005B6022">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rPr>
      </w:pPr>
    </w:p>
    <w:p w14:paraId="347F88FB"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“me informe y remita la ultima nomina de los trabajadores del Ayuntamiento de Juchitepec, donde se señale cargo y sueldo.”</w:t>
      </w:r>
    </w:p>
    <w:p w14:paraId="1BB6E266" w14:textId="77777777" w:rsidR="005B6022" w:rsidRDefault="005B6022">
      <w:pPr>
        <w:pBdr>
          <w:top w:val="nil"/>
          <w:left w:val="nil"/>
          <w:bottom w:val="nil"/>
          <w:right w:val="nil"/>
          <w:between w:val="nil"/>
        </w:pBdr>
        <w:ind w:left="851" w:right="34"/>
        <w:jc w:val="both"/>
        <w:rPr>
          <w:rFonts w:ascii="Palatino Linotype" w:eastAsia="Palatino Linotype" w:hAnsi="Palatino Linotype" w:cs="Palatino Linotype"/>
          <w:color w:val="000000"/>
          <w:sz w:val="22"/>
          <w:szCs w:val="22"/>
        </w:rPr>
      </w:pPr>
    </w:p>
    <w:p w14:paraId="52181508" w14:textId="77777777" w:rsidR="005B6022" w:rsidRDefault="009C528D">
      <w:pPr>
        <w:numPr>
          <w:ilvl w:val="0"/>
          <w:numId w:val="1"/>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00EBB3AB" w14:textId="77777777" w:rsidR="005B6022" w:rsidRDefault="005B6022">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6D585FD7" w14:textId="77777777" w:rsidR="005B6022" w:rsidRDefault="009C528D">
      <w:pPr>
        <w:numPr>
          <w:ilvl w:val="0"/>
          <w:numId w:val="5"/>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diecisiete de octubre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por medio de un archivo electrónico en formato PDF, cuyo contenido grosso modo es el siguiente: </w:t>
      </w:r>
    </w:p>
    <w:p w14:paraId="7261A833" w14:textId="77777777" w:rsidR="005B6022" w:rsidRDefault="009C528D">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00113JUCHITEIP2024.pdf:</w:t>
      </w:r>
      <w:r>
        <w:rPr>
          <w:rFonts w:ascii="Palatino Linotype" w:eastAsia="Palatino Linotype" w:hAnsi="Palatino Linotype" w:cs="Palatino Linotype"/>
          <w:i/>
          <w:color w:val="000000"/>
        </w:rPr>
        <w:t xml:space="preserve"> resumen de la nómina del uno al quince de septiembre de dos mil veinticuatro, de la cual se observa que clasifican el nombre de los servidores públicos en su totalidad. </w:t>
      </w:r>
    </w:p>
    <w:p w14:paraId="277EA3E4" w14:textId="77777777" w:rsidR="005B6022" w:rsidRDefault="005B6022">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rPr>
      </w:pPr>
    </w:p>
    <w:p w14:paraId="406222F1" w14:textId="77777777" w:rsidR="005B6022" w:rsidRDefault="009C528D">
      <w:pPr>
        <w:numPr>
          <w:ilvl w:val="0"/>
          <w:numId w:val="5"/>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veintiuno de octubre de dos mil veinticuatro</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0FE34B79" w14:textId="77777777" w:rsidR="005B6022" w:rsidRDefault="005B6022">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p>
    <w:p w14:paraId="1DD32538" w14:textId="77777777" w:rsidR="005B6022" w:rsidRDefault="009C528D">
      <w:pPr>
        <w:numPr>
          <w:ilvl w:val="0"/>
          <w:numId w:val="1"/>
        </w:num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bookmarkStart w:id="3" w:name="_heading=h.1fob9te" w:colFirst="0" w:colLast="0"/>
      <w:bookmarkEnd w:id="3"/>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“RESPUESTA DE SOLICITUD MARCADA CO NUMERO DE FOLIO 00113/JUCHITEIP/2024”</w:t>
      </w:r>
    </w:p>
    <w:p w14:paraId="48479B07" w14:textId="77777777" w:rsidR="005B6022" w:rsidRDefault="009C528D">
      <w:pPr>
        <w:pBdr>
          <w:top w:val="nil"/>
          <w:left w:val="nil"/>
          <w:bottom w:val="nil"/>
          <w:right w:val="nil"/>
          <w:between w:val="nil"/>
        </w:pBdr>
        <w:tabs>
          <w:tab w:val="left" w:pos="7020"/>
        </w:tabs>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b/>
      </w:r>
    </w:p>
    <w:p w14:paraId="7E133288" w14:textId="77777777" w:rsidR="005B6022" w:rsidRDefault="009C528D">
      <w:pPr>
        <w:numPr>
          <w:ilvl w:val="0"/>
          <w:numId w:val="1"/>
        </w:num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bookmarkStart w:id="4" w:name="_heading=h.3znysh7" w:colFirst="0" w:colLast="0"/>
      <w:bookmarkEnd w:id="4"/>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“EL SUJETO OBLIGADO REMITE LA INFORMACION INCOMPLETA YA QUE NO ANEXA LA NOMINA TOTAL DE TODOS LOS TRABAJADORES.”</w:t>
      </w:r>
    </w:p>
    <w:p w14:paraId="41868730" w14:textId="77777777" w:rsidR="005B6022" w:rsidRDefault="005B6022">
      <w:pPr>
        <w:spacing w:line="360" w:lineRule="auto"/>
        <w:rPr>
          <w:rFonts w:ascii="Palatino Linotype" w:eastAsia="Palatino Linotype" w:hAnsi="Palatino Linotype" w:cs="Palatino Linotype"/>
          <w:i/>
          <w:color w:val="000000"/>
        </w:rPr>
      </w:pPr>
    </w:p>
    <w:p w14:paraId="60FD18F9"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La Comisionada Ponente con fundamento en lo dispuesto por el artículo 185 fracción II de la ley de la materia, a través del acuerdo de admisión de fecha</w:t>
      </w:r>
      <w:r>
        <w:rPr>
          <w:rFonts w:ascii="Palatino Linotype" w:eastAsia="Palatino Linotype" w:hAnsi="Palatino Linotype" w:cs="Palatino Linotype"/>
          <w:b/>
          <w:color w:val="000000"/>
        </w:rPr>
        <w:t xml:space="preserve"> veinticuatro de octubre de dos mil veinticuatro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su derecho conviniera, ofrecieran pruebas y alegatos </w:t>
      </w:r>
      <w:r>
        <w:rPr>
          <w:rFonts w:ascii="Palatino Linotype" w:eastAsia="Palatino Linotype" w:hAnsi="Palatino Linotype" w:cs="Palatino Linotype"/>
          <w:color w:val="000000"/>
        </w:rPr>
        <w:lastRenderedPageBreak/>
        <w:t xml:space="preserve">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68B3EECF" w14:textId="77777777" w:rsidR="005B6022" w:rsidRDefault="005B60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9DD59AF"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y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rPr>
        <w:t>dejaron</w:t>
      </w:r>
      <w:r>
        <w:rPr>
          <w:rFonts w:ascii="Palatino Linotype" w:eastAsia="Palatino Linotype" w:hAnsi="Palatino Linotype" w:cs="Palatino Linotype"/>
          <w:color w:val="000000"/>
        </w:rPr>
        <w:t xml:space="preserve"> de realizar manifestaciones que a su derecho conviniera y asistiera, respectivamente, tal y como se muestra en la siguiente captura de pantalla. </w:t>
      </w:r>
    </w:p>
    <w:p w14:paraId="1BC66A4A"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rPr>
      </w:pPr>
    </w:p>
    <w:p w14:paraId="25E858F3" w14:textId="77777777" w:rsidR="005B6022" w:rsidRDefault="009C528D">
      <w:pPr>
        <w:pBdr>
          <w:top w:val="nil"/>
          <w:left w:val="nil"/>
          <w:bottom w:val="nil"/>
          <w:right w:val="nil"/>
          <w:between w:val="nil"/>
        </w:pBdr>
        <w:spacing w:line="360" w:lineRule="auto"/>
        <w:jc w:val="center"/>
        <w:rPr>
          <w:rFonts w:ascii="Palatino Linotype" w:eastAsia="Palatino Linotype" w:hAnsi="Palatino Linotype" w:cs="Palatino Linotype"/>
          <w:color w:val="000000"/>
        </w:rPr>
      </w:pPr>
      <w:bookmarkStart w:id="5" w:name="_heading=h.2et92p0" w:colFirst="0" w:colLast="0"/>
      <w:bookmarkEnd w:id="5"/>
      <w:r>
        <w:rPr>
          <w:rFonts w:ascii="Palatino Linotype" w:eastAsia="Palatino Linotype" w:hAnsi="Palatino Linotype" w:cs="Palatino Linotype"/>
          <w:noProof/>
          <w:color w:val="000000"/>
          <w:lang w:eastAsia="es-MX"/>
        </w:rPr>
        <w:drawing>
          <wp:inline distT="0" distB="0" distL="0" distR="0" wp14:anchorId="36F201C4" wp14:editId="7D3A9643">
            <wp:extent cx="4504169" cy="1111007"/>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504169" cy="1111007"/>
                    </a:xfrm>
                    <a:prstGeom prst="rect">
                      <a:avLst/>
                    </a:prstGeom>
                    <a:ln/>
                  </pic:spPr>
                </pic:pic>
              </a:graphicData>
            </a:graphic>
          </wp:inline>
        </w:drawing>
      </w:r>
    </w:p>
    <w:p w14:paraId="5DA9215E"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highlight w:val="white"/>
        </w:rPr>
        <w:t xml:space="preserve">Seguidamente, mediante acuerdo de fecha </w:t>
      </w:r>
      <w:r>
        <w:rPr>
          <w:rFonts w:ascii="Palatino Linotype" w:eastAsia="Palatino Linotype" w:hAnsi="Palatino Linotype" w:cs="Palatino Linotype"/>
          <w:b/>
          <w:color w:val="000000"/>
          <w:highlight w:val="white"/>
        </w:rPr>
        <w:t xml:space="preserve">veintiuno de octubre de dos mil veinticuatro </w:t>
      </w:r>
      <w:r>
        <w:rPr>
          <w:rFonts w:ascii="Palatino Linotype" w:eastAsia="Palatino Linotype" w:hAnsi="Palatino Linotype" w:cs="Palatino Linotype"/>
          <w:color w:val="000000"/>
          <w:highlight w:val="white"/>
        </w:rPr>
        <w:t>se decretó el cierre de instrucción, por lo que no habiendo más que hacer constar, y---------</w:t>
      </w:r>
      <w:r>
        <w:rPr>
          <w:rFonts w:ascii="Palatino Linotype" w:eastAsia="Palatino Linotype" w:hAnsi="Palatino Linotype" w:cs="Palatino Linotype"/>
          <w:color w:val="000000"/>
        </w:rPr>
        <w:t>---------------------------------------------------------------------------------</w:t>
      </w:r>
    </w:p>
    <w:p w14:paraId="3C71EABD" w14:textId="77777777" w:rsidR="005B6022" w:rsidRDefault="005B602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79473B75" w14:textId="77777777" w:rsidR="005B6022" w:rsidRDefault="005B602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3CC0FFCD" w14:textId="77777777" w:rsidR="005B6022" w:rsidRDefault="009C528D">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CONSIDERANDO</w:t>
      </w:r>
    </w:p>
    <w:p w14:paraId="53221E88" w14:textId="77777777" w:rsidR="005B6022" w:rsidRDefault="005B602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5EFA370C" w14:textId="77777777" w:rsidR="005B6022" w:rsidRDefault="009C528D">
      <w:pPr>
        <w:pStyle w:val="Ttulo2"/>
        <w:spacing w:before="0" w:line="360" w:lineRule="auto"/>
        <w:rPr>
          <w:rFonts w:ascii="Palatino Linotype" w:eastAsia="Palatino Linotype" w:hAnsi="Palatino Linotype" w:cs="Palatino Linotype"/>
          <w:b/>
          <w:color w:val="000000"/>
          <w:sz w:val="24"/>
          <w:szCs w:val="24"/>
        </w:rPr>
      </w:pPr>
      <w:bookmarkStart w:id="6" w:name="_heading=h.tyjcwt" w:colFirst="0" w:colLast="0"/>
      <w:bookmarkEnd w:id="6"/>
      <w:r>
        <w:rPr>
          <w:rFonts w:ascii="Palatino Linotype" w:eastAsia="Palatino Linotype" w:hAnsi="Palatino Linotype" w:cs="Palatino Linotype"/>
          <w:b/>
          <w:color w:val="000000"/>
          <w:sz w:val="24"/>
          <w:szCs w:val="24"/>
        </w:rPr>
        <w:t>PRIMERO. De la competencia</w:t>
      </w:r>
    </w:p>
    <w:p w14:paraId="401EB9ED" w14:textId="77777777" w:rsidR="005B6022" w:rsidRDefault="005B6022">
      <w:pPr>
        <w:spacing w:line="360" w:lineRule="auto"/>
        <w:rPr>
          <w:rFonts w:ascii="Palatino Linotype" w:eastAsia="Palatino Linotype" w:hAnsi="Palatino Linotype" w:cs="Palatino Linotype"/>
        </w:rPr>
      </w:pPr>
    </w:p>
    <w:p w14:paraId="75CF8885"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Pr>
          <w:rFonts w:ascii="Palatino Linotype" w:eastAsia="Palatino Linotype" w:hAnsi="Palatino Linotype" w:cs="Palatino Linotype"/>
          <w:color w:val="000000"/>
        </w:rPr>
        <w:lastRenderedPageBreak/>
        <w:t>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5B544D6" w14:textId="77777777" w:rsidR="005B6022" w:rsidRDefault="005B6022">
      <w:pPr>
        <w:pBdr>
          <w:top w:val="nil"/>
          <w:left w:val="nil"/>
          <w:bottom w:val="nil"/>
          <w:right w:val="nil"/>
          <w:between w:val="nil"/>
        </w:pBdr>
        <w:spacing w:line="360" w:lineRule="auto"/>
        <w:rPr>
          <w:rFonts w:ascii="Palatino Linotype" w:eastAsia="Palatino Linotype" w:hAnsi="Palatino Linotype" w:cs="Palatino Linotype"/>
          <w:b/>
          <w:color w:val="000000"/>
        </w:rPr>
      </w:pPr>
    </w:p>
    <w:p w14:paraId="061E9C97" w14:textId="77777777" w:rsidR="005B6022" w:rsidRDefault="009C528D">
      <w:pPr>
        <w:pBdr>
          <w:top w:val="nil"/>
          <w:left w:val="nil"/>
          <w:bottom w:val="nil"/>
          <w:right w:val="nil"/>
          <w:between w:val="nil"/>
        </w:pBdr>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SEGUNDO. De la oportunidad y procedencia.</w:t>
      </w:r>
    </w:p>
    <w:p w14:paraId="5F69EDF9" w14:textId="77777777" w:rsidR="005B6022" w:rsidRDefault="005B6022">
      <w:pPr>
        <w:spacing w:line="360" w:lineRule="auto"/>
        <w:jc w:val="both"/>
        <w:rPr>
          <w:rFonts w:ascii="Palatino Linotype" w:eastAsia="Palatino Linotype" w:hAnsi="Palatino Linotype" w:cs="Palatino Linotype"/>
          <w:color w:val="000000"/>
        </w:rPr>
      </w:pPr>
    </w:p>
    <w:p w14:paraId="7DDB4E3B"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Los medios de impugnación fueron presentados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su respuesta el</w:t>
      </w:r>
      <w:r>
        <w:rPr>
          <w:rFonts w:ascii="Palatino Linotype" w:eastAsia="Palatino Linotype" w:hAnsi="Palatino Linotype" w:cs="Palatino Linotype"/>
          <w:b/>
        </w:rPr>
        <w:t xml:space="preserve"> diecisiete de octubre de dos mil veinticuatro</w:t>
      </w:r>
      <w:r>
        <w:rPr>
          <w:rFonts w:ascii="Palatino Linotype" w:eastAsia="Palatino Linotype" w:hAnsi="Palatino Linotype" w:cs="Palatino Linotype"/>
        </w:rPr>
        <w:t xml:space="preserve">, de tal forma que el plazo para interponer el recurso de revisión transcurrió del </w:t>
      </w:r>
      <w:r>
        <w:rPr>
          <w:rFonts w:ascii="Palatino Linotype" w:eastAsia="Palatino Linotype" w:hAnsi="Palatino Linotype" w:cs="Palatino Linotype"/>
          <w:b/>
        </w:rPr>
        <w:t>diecisiete de octubre al ocho de noviembre de dos mil veinticuatro</w:t>
      </w:r>
      <w:r>
        <w:rPr>
          <w:rFonts w:ascii="Palatino Linotype" w:eastAsia="Palatino Linotype" w:hAnsi="Palatino Linotype" w:cs="Palatino Linotype"/>
        </w:rPr>
        <w:t xml:space="preserve">; en consecuencia,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sus inconformidades el día </w:t>
      </w:r>
      <w:r>
        <w:rPr>
          <w:rFonts w:ascii="Palatino Linotype" w:eastAsia="Palatino Linotype" w:hAnsi="Palatino Linotype" w:cs="Palatino Linotype"/>
          <w:b/>
        </w:rPr>
        <w:t>veintiuno de octubre de dos mil veinticuatro</w:t>
      </w:r>
      <w:r>
        <w:rPr>
          <w:rFonts w:ascii="Palatino Linotype" w:eastAsia="Palatino Linotype" w:hAnsi="Palatino Linotype" w:cs="Palatino Linotype"/>
        </w:rPr>
        <w:t>; es decir dentro del lapso legalmente establecido para tal efecto.</w:t>
      </w:r>
    </w:p>
    <w:p w14:paraId="61553966" w14:textId="77777777" w:rsidR="005B6022" w:rsidRDefault="005B6022">
      <w:pPr>
        <w:spacing w:line="360" w:lineRule="auto"/>
        <w:jc w:val="both"/>
        <w:rPr>
          <w:rFonts w:ascii="Palatino Linotype" w:eastAsia="Palatino Linotype" w:hAnsi="Palatino Linotype" w:cs="Palatino Linotype"/>
        </w:rPr>
      </w:pPr>
    </w:p>
    <w:p w14:paraId="1D87E396"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los escritos contienen las formalidades previstas por el artículo 180 último </w:t>
      </w:r>
      <w:r>
        <w:rPr>
          <w:rFonts w:ascii="Palatino Linotype" w:eastAsia="Palatino Linotype" w:hAnsi="Palatino Linotype" w:cs="Palatino Linotype"/>
          <w:color w:val="000000"/>
        </w:rPr>
        <w:t>párrafo</w:t>
      </w:r>
      <w:r>
        <w:rPr>
          <w:rFonts w:ascii="Palatino Linotype" w:eastAsia="Palatino Linotype" w:hAnsi="Palatino Linotype" w:cs="Palatino Linotype"/>
        </w:rPr>
        <w:t xml:space="preserve"> de la Ley de la materia actual, por lo que es procedente que este Instituto de Transparencia, Acceso a la Información Pública y Protección de Datos </w:t>
      </w:r>
      <w:r>
        <w:rPr>
          <w:rFonts w:ascii="Palatino Linotype" w:eastAsia="Palatino Linotype" w:hAnsi="Palatino Linotype" w:cs="Palatino Linotype"/>
        </w:rPr>
        <w:lastRenderedPageBreak/>
        <w:t>Personales del Estado de México y Municipios, conozca y resuelva el presente recurso.</w:t>
      </w:r>
    </w:p>
    <w:p w14:paraId="0132A9B1" w14:textId="77777777" w:rsidR="005B6022" w:rsidRDefault="005B6022">
      <w:pPr>
        <w:pBdr>
          <w:top w:val="nil"/>
          <w:left w:val="nil"/>
          <w:bottom w:val="nil"/>
          <w:right w:val="nil"/>
          <w:between w:val="nil"/>
        </w:pBdr>
        <w:ind w:left="720"/>
        <w:rPr>
          <w:rFonts w:ascii="Palatino Linotype" w:eastAsia="Palatino Linotype" w:hAnsi="Palatino Linotype" w:cs="Palatino Linotype"/>
          <w:b/>
          <w:color w:val="000000"/>
        </w:rPr>
      </w:pPr>
    </w:p>
    <w:p w14:paraId="0FA4A79F" w14:textId="77777777" w:rsidR="005B6022" w:rsidRDefault="009C528D">
      <w:pPr>
        <w:pStyle w:val="Ttulo1"/>
        <w:spacing w:before="0" w:line="360" w:lineRule="auto"/>
        <w:rPr>
          <w:b/>
          <w:color w:val="000000"/>
        </w:rPr>
      </w:pPr>
      <w:bookmarkStart w:id="7" w:name="_heading=h.3dy6vkm" w:colFirst="0" w:colLast="0"/>
      <w:bookmarkEnd w:id="7"/>
      <w:r>
        <w:rPr>
          <w:b/>
        </w:rPr>
        <w:t xml:space="preserve">TERCERO. </w:t>
      </w:r>
      <w:r>
        <w:rPr>
          <w:b/>
          <w:color w:val="000000"/>
        </w:rPr>
        <w:t xml:space="preserve">Del planteamiento de la </w:t>
      </w:r>
      <w:r>
        <w:rPr>
          <w:b/>
          <w:i/>
          <w:color w:val="000000"/>
        </w:rPr>
        <w:t>Litis</w:t>
      </w:r>
      <w:r>
        <w:rPr>
          <w:b/>
          <w:color w:val="000000"/>
        </w:rPr>
        <w:t>.</w:t>
      </w:r>
    </w:p>
    <w:p w14:paraId="3ABF3AB5" w14:textId="77777777" w:rsidR="005B6022" w:rsidRDefault="005B6022">
      <w:pPr>
        <w:spacing w:line="360" w:lineRule="auto"/>
        <w:rPr>
          <w:rFonts w:ascii="Palatino Linotype" w:eastAsia="Palatino Linotype" w:hAnsi="Palatino Linotype" w:cs="Palatino Linotype"/>
        </w:rPr>
      </w:pPr>
    </w:p>
    <w:p w14:paraId="553BFCB8"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desagrega:</w:t>
      </w:r>
    </w:p>
    <w:p w14:paraId="795B0199" w14:textId="77777777" w:rsidR="005B6022" w:rsidRDefault="005B6022">
      <w:p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p>
    <w:p w14:paraId="335933DB" w14:textId="77777777" w:rsidR="005B6022" w:rsidRDefault="009C528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rPr>
        <w:t>Nómina</w:t>
      </w:r>
      <w:r>
        <w:rPr>
          <w:rFonts w:ascii="Palatino Linotype" w:eastAsia="Palatino Linotype" w:hAnsi="Palatino Linotype" w:cs="Palatino Linotype"/>
          <w:b/>
          <w:color w:val="000000"/>
        </w:rPr>
        <w:t xml:space="preserve"> de todo los trabajadores del Ayuntamiento de Juchitepec que contenga cargo y sueldo </w:t>
      </w:r>
    </w:p>
    <w:p w14:paraId="00273A58" w14:textId="77777777" w:rsidR="005B6022" w:rsidRDefault="005B6022">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7BF5F70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un resumen de nómina de la primera quincena de septiembre de dos mil veinticuatro, de la cual clasifico el nombre de todos los servidores públicos, de lo cual no adjunto el Acuerdo del Comité de Transparencia mediante el cual se aprobara la clasificación de la información del nombre de los servidores públicos, de los cuales solo debió de clasificar como reservado el nombre del personal operativo, así como deducciones que no tuvieran relación con descuentos por el pago o descuentos de sus remuneraciones. </w:t>
      </w:r>
    </w:p>
    <w:p w14:paraId="26124560" w14:textId="77777777" w:rsidR="005B6022" w:rsidRDefault="005B6022">
      <w:pPr>
        <w:tabs>
          <w:tab w:val="left" w:pos="933"/>
        </w:tabs>
        <w:spacing w:line="360" w:lineRule="auto"/>
        <w:jc w:val="both"/>
        <w:rPr>
          <w:rFonts w:ascii="Palatino Linotype" w:eastAsia="Palatino Linotype" w:hAnsi="Palatino Linotype" w:cs="Palatino Linotype"/>
        </w:rPr>
      </w:pPr>
    </w:p>
    <w:p w14:paraId="25FC2B8C"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 xml:space="preserve">fracción V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entrega de información incompleta;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al momento de interponer </w:t>
      </w:r>
      <w:r>
        <w:rPr>
          <w:rFonts w:ascii="Palatino Linotype" w:eastAsia="Palatino Linotype" w:hAnsi="Palatino Linotype" w:cs="Palatino Linotype"/>
        </w:rPr>
        <w:lastRenderedPageBreak/>
        <w:t>su inconformidad.</w:t>
      </w:r>
      <w:r>
        <w:rPr>
          <w:rFonts w:ascii="Palatino Linotype" w:eastAsia="Palatino Linotype" w:hAnsi="Palatino Linotype" w:cs="Palatino Linotype"/>
          <w:color w:val="000000"/>
        </w:rPr>
        <w:t xml:space="preserve"> De modo tal que el presente recurso de revisión se abocara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561F7220" w14:textId="77777777" w:rsidR="005B6022" w:rsidRDefault="005B602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F6A0E6B" w14:textId="77777777" w:rsidR="005B6022" w:rsidRDefault="009C528D">
      <w:pPr>
        <w:keepNext/>
        <w:keepLines/>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asunto.</w:t>
      </w:r>
    </w:p>
    <w:p w14:paraId="72B7DBB6" w14:textId="77777777" w:rsidR="005B6022" w:rsidRDefault="005B6022">
      <w:pPr>
        <w:spacing w:line="360" w:lineRule="auto"/>
        <w:rPr>
          <w:rFonts w:ascii="Palatino Linotype" w:eastAsia="Palatino Linotype" w:hAnsi="Palatino Linotype" w:cs="Palatino Linotype"/>
        </w:rPr>
      </w:pPr>
    </w:p>
    <w:p w14:paraId="1274C1D7" w14:textId="77777777" w:rsidR="005B6022" w:rsidRDefault="009C528D">
      <w:pPr>
        <w:keepNext/>
        <w:keepLines/>
        <w:numPr>
          <w:ilvl w:val="0"/>
          <w:numId w:val="4"/>
        </w:numPr>
        <w:spacing w:after="240" w:line="360" w:lineRule="auto"/>
        <w:ind w:left="786"/>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Del derecho de acceso a la información.</w:t>
      </w:r>
    </w:p>
    <w:p w14:paraId="243D1E2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57BAE88E" w14:textId="77777777" w:rsidR="005B6022" w:rsidRDefault="005B6022">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38786B60"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w:t>
      </w:r>
      <w:r>
        <w:rPr>
          <w:rFonts w:ascii="Palatino Linotype" w:eastAsia="Palatino Linotype" w:hAnsi="Palatino Linotype" w:cs="Palatino Linotype"/>
          <w:i/>
          <w:color w:val="000000"/>
        </w:rPr>
        <w:lastRenderedPageBreak/>
        <w:t>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7EBC08E7" w14:textId="77777777" w:rsidR="005B6022" w:rsidRDefault="005B6022">
      <w:pPr>
        <w:spacing w:line="360" w:lineRule="auto"/>
        <w:ind w:right="49"/>
        <w:jc w:val="both"/>
        <w:rPr>
          <w:rFonts w:ascii="Palatino Linotype" w:eastAsia="Palatino Linotype" w:hAnsi="Palatino Linotype" w:cs="Palatino Linotype"/>
        </w:rPr>
      </w:pPr>
    </w:p>
    <w:p w14:paraId="0EAE8D9E"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597B9813" w14:textId="77777777" w:rsidR="005B6022" w:rsidRDefault="005B6022">
      <w:pPr>
        <w:ind w:right="49"/>
        <w:jc w:val="both"/>
        <w:rPr>
          <w:rFonts w:ascii="Palatino Linotype" w:eastAsia="Palatino Linotype" w:hAnsi="Palatino Linotype" w:cs="Palatino Linotype"/>
        </w:rPr>
      </w:pPr>
    </w:p>
    <w:p w14:paraId="7585FB26" w14:textId="77777777" w:rsidR="005B6022" w:rsidRDefault="009C528D">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3000D060" w14:textId="77777777" w:rsidR="005B6022" w:rsidRDefault="009C528D">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A46B82F" w14:textId="77777777" w:rsidR="005B6022" w:rsidRDefault="009C528D">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614BD96" w14:textId="77777777" w:rsidR="005B6022" w:rsidRDefault="009C528D">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14BA0D85" w14:textId="77777777" w:rsidR="005B6022" w:rsidRDefault="005B6022">
      <w:pPr>
        <w:ind w:right="567"/>
        <w:jc w:val="both"/>
        <w:rPr>
          <w:rFonts w:ascii="Palatino Linotype" w:eastAsia="Palatino Linotype" w:hAnsi="Palatino Linotype" w:cs="Palatino Linotype"/>
          <w:b/>
        </w:rPr>
      </w:pPr>
    </w:p>
    <w:p w14:paraId="40A55BB1"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2BB6DDE" w14:textId="77777777" w:rsidR="005B6022" w:rsidRDefault="005B6022">
      <w:pPr>
        <w:spacing w:line="360" w:lineRule="auto"/>
        <w:ind w:right="49"/>
        <w:jc w:val="both"/>
        <w:rPr>
          <w:rFonts w:ascii="Palatino Linotype" w:eastAsia="Palatino Linotype" w:hAnsi="Palatino Linotype" w:cs="Palatino Linotype"/>
        </w:rPr>
      </w:pPr>
    </w:p>
    <w:p w14:paraId="0B72ABF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93B5BFF" w14:textId="77777777" w:rsidR="005B6022" w:rsidRDefault="005B6022">
      <w:pPr>
        <w:spacing w:line="360" w:lineRule="auto"/>
        <w:ind w:right="49"/>
        <w:jc w:val="both"/>
        <w:rPr>
          <w:rFonts w:ascii="Palatino Linotype" w:eastAsia="Palatino Linotype" w:hAnsi="Palatino Linotype" w:cs="Palatino Linotype"/>
        </w:rPr>
      </w:pPr>
    </w:p>
    <w:p w14:paraId="054533DC" w14:textId="77777777" w:rsidR="005B6022" w:rsidRDefault="009C528D">
      <w:pPr>
        <w:spacing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4AE339D1" w14:textId="77777777" w:rsidR="005B6022" w:rsidRDefault="009C528D">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0A2DD7ED"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BC16023"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6491EBAA" w14:textId="77777777" w:rsidR="005B6022" w:rsidRDefault="009C528D">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4D0AC780"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194652C" w14:textId="77777777" w:rsidR="005B6022" w:rsidRDefault="009C528D">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24FA2380"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2B30A929"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04D66490"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2FDC938C"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C153448"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14838081" w14:textId="77777777" w:rsidR="005B6022" w:rsidRDefault="009C528D">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3E5A03F" w14:textId="77777777" w:rsidR="005B6022" w:rsidRDefault="005B6022">
      <w:pPr>
        <w:tabs>
          <w:tab w:val="left" w:pos="567"/>
        </w:tabs>
        <w:spacing w:before="240" w:after="240"/>
        <w:ind w:right="567"/>
        <w:jc w:val="both"/>
        <w:rPr>
          <w:rFonts w:ascii="Palatino Linotype" w:eastAsia="Palatino Linotype" w:hAnsi="Palatino Linotype" w:cs="Palatino Linotype"/>
          <w:b/>
          <w:i/>
        </w:rPr>
      </w:pPr>
    </w:p>
    <w:p w14:paraId="6B413A05"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405BC74E" w14:textId="77777777" w:rsidR="005B6022" w:rsidRDefault="005B6022">
      <w:pPr>
        <w:spacing w:line="360" w:lineRule="auto"/>
        <w:ind w:right="49"/>
        <w:jc w:val="both"/>
        <w:rPr>
          <w:rFonts w:ascii="Palatino Linotype" w:eastAsia="Palatino Linotype" w:hAnsi="Palatino Linotype" w:cs="Palatino Linotype"/>
        </w:rPr>
      </w:pPr>
    </w:p>
    <w:p w14:paraId="1BF9CDFC"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595FFD6F" w14:textId="77777777" w:rsidR="005B6022" w:rsidRDefault="005B6022">
      <w:pPr>
        <w:spacing w:line="360" w:lineRule="auto"/>
        <w:ind w:right="49"/>
        <w:jc w:val="both"/>
        <w:rPr>
          <w:rFonts w:ascii="Palatino Linotype" w:eastAsia="Palatino Linotype" w:hAnsi="Palatino Linotype" w:cs="Palatino Linotype"/>
        </w:rPr>
      </w:pPr>
    </w:p>
    <w:p w14:paraId="528A70B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4127A04" w14:textId="77777777" w:rsidR="005B6022" w:rsidRDefault="005B6022">
      <w:pPr>
        <w:spacing w:line="360" w:lineRule="auto"/>
        <w:ind w:right="49"/>
        <w:jc w:val="both"/>
        <w:rPr>
          <w:rFonts w:ascii="Palatino Linotype" w:eastAsia="Palatino Linotype" w:hAnsi="Palatino Linotype" w:cs="Palatino Linotype"/>
        </w:rPr>
      </w:pPr>
    </w:p>
    <w:p w14:paraId="73DFB002" w14:textId="77777777" w:rsidR="005B6022" w:rsidRDefault="009C528D">
      <w:pPr>
        <w:keepNext/>
        <w:keepLines/>
        <w:spacing w:after="240" w:line="360" w:lineRule="auto"/>
        <w:rPr>
          <w:rFonts w:ascii="Palatino Linotype" w:eastAsia="Palatino Linotype" w:hAnsi="Palatino Linotype" w:cs="Palatino Linotype"/>
          <w:b/>
          <w:color w:val="000000"/>
        </w:rPr>
      </w:pPr>
      <w:bookmarkStart w:id="8" w:name="_heading=h.3rdcrjn" w:colFirst="0" w:colLast="0"/>
      <w:bookmarkEnd w:id="8"/>
      <w:r>
        <w:rPr>
          <w:rFonts w:ascii="Palatino Linotype" w:eastAsia="Palatino Linotype" w:hAnsi="Palatino Linotype" w:cs="Palatino Linotype"/>
          <w:b/>
          <w:color w:val="000000"/>
        </w:rPr>
        <w:t>II. De la información solicitada y la respuesta del SUJETO OBLIGADO</w:t>
      </w:r>
    </w:p>
    <w:p w14:paraId="677044A5"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de manera completa, situación por la cual se hace el siguiente estudio y análisis. </w:t>
      </w:r>
    </w:p>
    <w:p w14:paraId="59065AF6" w14:textId="77777777" w:rsidR="005B6022" w:rsidRDefault="005B6022">
      <w:pPr>
        <w:spacing w:line="360" w:lineRule="auto"/>
        <w:jc w:val="both"/>
        <w:rPr>
          <w:rFonts w:ascii="Palatino Linotype" w:eastAsia="Palatino Linotype" w:hAnsi="Palatino Linotype" w:cs="Palatino Linotype"/>
        </w:rPr>
      </w:pPr>
    </w:p>
    <w:p w14:paraId="63DC7438"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14:paraId="1B6374EB" w14:textId="77777777" w:rsidR="005B6022" w:rsidRDefault="009C528D">
      <w:pPr>
        <w:ind w:left="1134" w:right="900"/>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“…me informe y remita la ultima nomina de los trabajadores del Ayuntamiento de Juchitepec, donde se señale cargo y sueldo…”</w:t>
      </w:r>
    </w:p>
    <w:p w14:paraId="5189166A" w14:textId="77777777" w:rsidR="005B6022" w:rsidRDefault="005B6022">
      <w:pPr>
        <w:ind w:left="1134" w:right="900"/>
        <w:rPr>
          <w:rFonts w:ascii="Palatino Linotype" w:eastAsia="Palatino Linotype" w:hAnsi="Palatino Linotype" w:cs="Palatino Linotype"/>
          <w:i/>
          <w:color w:val="000000"/>
        </w:rPr>
      </w:pPr>
    </w:p>
    <w:p w14:paraId="132DBF72" w14:textId="77777777" w:rsidR="005B6022" w:rsidRDefault="005B6022">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p>
    <w:p w14:paraId="5D163135"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entrego un archivo electrónico en formato pdf, cuyo contenido grosso modo es el siguiente. </w:t>
      </w:r>
    </w:p>
    <w:p w14:paraId="376AB252" w14:textId="77777777" w:rsidR="005B6022" w:rsidRDefault="005B6022">
      <w:pPr>
        <w:spacing w:line="360" w:lineRule="auto"/>
        <w:jc w:val="both"/>
        <w:rPr>
          <w:rFonts w:ascii="Palatino Linotype" w:eastAsia="Palatino Linotype" w:hAnsi="Palatino Linotype" w:cs="Palatino Linotype"/>
        </w:rPr>
      </w:pPr>
    </w:p>
    <w:p w14:paraId="1347B521" w14:textId="77777777" w:rsidR="005B6022" w:rsidRDefault="009C528D">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00113JUCHITEIP2024.pdf:</w:t>
      </w:r>
      <w:r>
        <w:rPr>
          <w:rFonts w:ascii="Palatino Linotype" w:eastAsia="Palatino Linotype" w:hAnsi="Palatino Linotype" w:cs="Palatino Linotype"/>
          <w:i/>
          <w:color w:val="000000"/>
        </w:rPr>
        <w:t xml:space="preserve"> resumen de la nómina del uno al quince de septiembre de dos mil veinticuatro, de la cual se observa que clasifican el nombre de los servidores públicos en su totalidad. </w:t>
      </w:r>
    </w:p>
    <w:p w14:paraId="40FC7573" w14:textId="77777777" w:rsidR="005B6022" w:rsidRDefault="005B6022">
      <w:pPr>
        <w:pBdr>
          <w:top w:val="nil"/>
          <w:left w:val="nil"/>
          <w:bottom w:val="nil"/>
          <w:right w:val="nil"/>
          <w:between w:val="nil"/>
        </w:pBdr>
        <w:tabs>
          <w:tab w:val="left" w:pos="0"/>
        </w:tabs>
        <w:ind w:right="900"/>
        <w:jc w:val="both"/>
        <w:rPr>
          <w:rFonts w:ascii="Palatino Linotype" w:eastAsia="Palatino Linotype" w:hAnsi="Palatino Linotype" w:cs="Palatino Linotype"/>
          <w:i/>
          <w:color w:val="000000"/>
          <w:sz w:val="22"/>
          <w:szCs w:val="22"/>
        </w:rPr>
      </w:pPr>
    </w:p>
    <w:p w14:paraId="30329B0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la respuesta del </w:t>
      </w:r>
      <w:r>
        <w:rPr>
          <w:rFonts w:ascii="Palatino Linotype" w:eastAsia="Palatino Linotype" w:hAnsi="Palatino Linotype" w:cs="Palatino Linotype"/>
          <w:b/>
        </w:rPr>
        <w:t xml:space="preserve">SUEJTO OBLIGADO </w:t>
      </w:r>
      <w:r>
        <w:rPr>
          <w:rFonts w:ascii="Palatino Linotype" w:eastAsia="Palatino Linotype" w:hAnsi="Palatino Linotype" w:cs="Palatino Linotype"/>
        </w:rPr>
        <w:t xml:space="preserve">el entonces </w:t>
      </w:r>
      <w:r>
        <w:rPr>
          <w:rFonts w:ascii="Palatino Linotype" w:eastAsia="Palatino Linotype" w:hAnsi="Palatino Linotype" w:cs="Palatino Linotype"/>
          <w:b/>
        </w:rPr>
        <w:t xml:space="preserve">SOLICITANTE </w:t>
      </w:r>
      <w:r>
        <w:rPr>
          <w:rFonts w:ascii="Palatino Linotype" w:eastAsia="Palatino Linotype" w:hAnsi="Palatino Linotype" w:cs="Palatino Linotype"/>
        </w:rPr>
        <w:t xml:space="preserve">interpuso el recurso de revisión, manifestando que la entrega de información había sido incompleta, situación por la cual se hace el siguiente analisis. </w:t>
      </w:r>
    </w:p>
    <w:p w14:paraId="20729571" w14:textId="77777777" w:rsidR="005B6022" w:rsidRDefault="005B6022"/>
    <w:p w14:paraId="66DBDC7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De lo anterior se debe de precisar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no cumplió con los procesos de búsqueda, toda vez que no remite la información de manera completa, ya que para la fecha en que ingreso la solicitud de información que fue el veinticinco de septiembre de dos mil veinticuatro el Ayuntamiento de Juchitepec era considerado solo un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 de acuerdo al Padrón de Sujetos Obligados que tenía este Órgano Garante, tal y como se observa en le siguiente captura de pantalla.  </w:t>
      </w:r>
    </w:p>
    <w:p w14:paraId="1BA618A7" w14:textId="77777777" w:rsidR="005B6022" w:rsidRDefault="009C528D">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drawing>
          <wp:inline distT="0" distB="0" distL="0" distR="0" wp14:anchorId="4BA39548" wp14:editId="5DA2B842">
            <wp:extent cx="3342007" cy="1849107"/>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342007" cy="1849107"/>
                    </a:xfrm>
                    <a:prstGeom prst="rect">
                      <a:avLst/>
                    </a:prstGeom>
                    <a:ln/>
                  </pic:spPr>
                </pic:pic>
              </a:graphicData>
            </a:graphic>
          </wp:inline>
        </w:drawing>
      </w:r>
    </w:p>
    <w:p w14:paraId="4E0C7A76"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rPr>
      </w:pPr>
    </w:p>
    <w:p w14:paraId="4FC2D8C2" w14:textId="77777777" w:rsidR="005B6022" w:rsidRDefault="009C528D">
      <w:pPr>
        <w:numPr>
          <w:ilvl w:val="0"/>
          <w:numId w:val="5"/>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 xml:space="preserve">Lo anterior se refuerza con la página del IPOMEX 3.0, de la cual se observa que el Ayuntamiento de Juchitepec era considerado solo un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antes de la publicación del nuevo padrón de sujetos obligados que fue aprobado por el Pleno de este Órgano Garante el diecisiete de octubre de dos mil veinticuatro. </w:t>
      </w:r>
    </w:p>
    <w:p w14:paraId="010266CB" w14:textId="77777777" w:rsidR="005B6022" w:rsidRDefault="009C528D">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drawing>
          <wp:inline distT="0" distB="0" distL="0" distR="0" wp14:anchorId="4683924B" wp14:editId="40902AAD">
            <wp:extent cx="3883162" cy="1511876"/>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883162" cy="1511876"/>
                    </a:xfrm>
                    <a:prstGeom prst="rect">
                      <a:avLst/>
                    </a:prstGeom>
                    <a:ln/>
                  </pic:spPr>
                </pic:pic>
              </a:graphicData>
            </a:graphic>
          </wp:inline>
        </w:drawing>
      </w:r>
    </w:p>
    <w:p w14:paraId="542E24D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En esa línea, de conformidad con el artículo 31 del Bando Municipal del Ayuntamiento de Juchitepec, la administración pública se integra por las siguientes dependencias centralizadas y descentralizadas. </w:t>
      </w:r>
    </w:p>
    <w:p w14:paraId="0947C3DE"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31. Para la consulta, estudio, planeación y despacho de los asuntos en los diversos ramos de la administración pública municipal, la Presidenta Municipal se auxiliara de las siguientes: </w:t>
      </w:r>
    </w:p>
    <w:p w14:paraId="2131DB57"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DEPENDENCIAS: </w:t>
      </w:r>
    </w:p>
    <w:p w14:paraId="10B85B38"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Secretaría del Ayuntamiento; </w:t>
      </w:r>
    </w:p>
    <w:p w14:paraId="0B90392E" w14:textId="77777777" w:rsidR="005B6022" w:rsidRDefault="009C528D">
      <w:pP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2. Tesorería Municipal; </w:t>
      </w:r>
    </w:p>
    <w:p w14:paraId="36EE5847"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Contraloría Municipal; </w:t>
      </w:r>
    </w:p>
    <w:p w14:paraId="70BD68F7"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 Dirección de Obras Públicas y Desarrollo Urbano; </w:t>
      </w:r>
    </w:p>
    <w:p w14:paraId="2D70CF62"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 Dirección de Desarrollo Económico y Mejora Regulatoria; </w:t>
      </w:r>
    </w:p>
    <w:p w14:paraId="5BD09B9F"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 Dirección de Educación y Cultura; </w:t>
      </w:r>
    </w:p>
    <w:p w14:paraId="6CEF055D"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7. Dirección de Seguridad Pública y Protección Civil; </w:t>
      </w:r>
    </w:p>
    <w:p w14:paraId="28ADC27D"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 Secretaría Técnica del Consejo Municipal de Seguridad Publica; </w:t>
      </w:r>
    </w:p>
    <w:p w14:paraId="2D0AF912"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 Dirección de Ecología y Fomento Agropecuario; </w:t>
      </w:r>
    </w:p>
    <w:p w14:paraId="19020234"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10. Dirección de Servicios Públicos; </w:t>
      </w:r>
    </w:p>
    <w:p w14:paraId="7D1B567C"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11. Dirección del Instituto Municipal para la Protección de los Derechos de la Mujer,</w:t>
      </w:r>
      <w:r>
        <w:rPr>
          <w:i/>
          <w:sz w:val="22"/>
          <w:szCs w:val="22"/>
        </w:rPr>
        <w:t xml:space="preserve"> </w:t>
      </w:r>
      <w:r>
        <w:rPr>
          <w:rFonts w:ascii="Palatino Linotype" w:eastAsia="Palatino Linotype" w:hAnsi="Palatino Linotype" w:cs="Palatino Linotype"/>
          <w:i/>
          <w:color w:val="000000"/>
          <w:sz w:val="22"/>
          <w:szCs w:val="22"/>
        </w:rPr>
        <w:t xml:space="preserve">Equidad de Género y el Desarrollo Social; </w:t>
      </w:r>
    </w:p>
    <w:p w14:paraId="1CD1CBD5"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 Dirección del Relleno Sanitario; </w:t>
      </w:r>
    </w:p>
    <w:p w14:paraId="37857CBA"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 Dirección del Panteón Colinas del Mayorazgo; </w:t>
      </w:r>
    </w:p>
    <w:p w14:paraId="170EB6F3"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14. Secretario Particular; </w:t>
      </w:r>
    </w:p>
    <w:p w14:paraId="2A8D57C7"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 UIPPE y de Transparencia y Acceso a la Información Publica Municipal; 16. Oficial Mediadora, Conciliadora y Calificadora Municipal; </w:t>
      </w:r>
    </w:p>
    <w:p w14:paraId="0B6D3C6C"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17. Dirección de Adquisiciones; </w:t>
      </w:r>
    </w:p>
    <w:p w14:paraId="78B3A784"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18. Dirección Jurídica y Consultiva; </w:t>
      </w:r>
    </w:p>
    <w:p w14:paraId="1F2E5A35"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19. Oficial del Registro Civil; </w:t>
      </w:r>
    </w:p>
    <w:p w14:paraId="5047626B"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20. Dirección de Comunicación Social y Tecnologías de la Información; </w:t>
      </w:r>
    </w:p>
    <w:p w14:paraId="5D97816E"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21. Dirección de Salud y </w:t>
      </w:r>
    </w:p>
    <w:p w14:paraId="184D3BA5"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22. Cronista Municipal. </w:t>
      </w:r>
    </w:p>
    <w:p w14:paraId="65F5E4E2"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ÓRGANOS DESCENTRALIZADOS: </w:t>
      </w:r>
    </w:p>
    <w:p w14:paraId="255A97EE"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OPDAPAT; </w:t>
      </w:r>
    </w:p>
    <w:p w14:paraId="1F835988"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IMCUFIDE; y </w:t>
      </w:r>
    </w:p>
    <w:p w14:paraId="0D0E889B"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Sistema para el Desarrollo Integral de la Familia DIF. </w:t>
      </w:r>
    </w:p>
    <w:p w14:paraId="019B5FC1"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ORGANISMOS AUTÓNOMOS: </w:t>
      </w:r>
    </w:p>
    <w:p w14:paraId="40B5207E"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 Defensoría Municipal de los Derechos Humanos.</w:t>
      </w:r>
    </w:p>
    <w:p w14:paraId="7FAC5025" w14:textId="77777777" w:rsidR="005B6022" w:rsidRDefault="005B6022">
      <w:pPr>
        <w:ind w:left="1134" w:right="900"/>
        <w:jc w:val="both"/>
        <w:rPr>
          <w:rFonts w:ascii="Palatino Linotype" w:eastAsia="Palatino Linotype" w:hAnsi="Palatino Linotype" w:cs="Palatino Linotype"/>
          <w:i/>
          <w:color w:val="000000"/>
          <w:sz w:val="22"/>
          <w:szCs w:val="22"/>
        </w:rPr>
      </w:pPr>
    </w:p>
    <w:p w14:paraId="108BA6F6" w14:textId="77777777" w:rsidR="005B6022" w:rsidRDefault="009C528D">
      <w:pPr>
        <w:numPr>
          <w:ilvl w:val="0"/>
          <w:numId w:val="5"/>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De lo anterior, se debe de establecer que en la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solo refiere a las áreas de Desarrollo Económico, Desarrollo Agropecuario, Educación, Seguridad Pública, Casa de Cultura, UIPPE y Protección Civil. </w:t>
      </w:r>
    </w:p>
    <w:p w14:paraId="5890E73C" w14:textId="77777777" w:rsidR="005B6022" w:rsidRDefault="005B6022">
      <w:pPr>
        <w:spacing w:line="360" w:lineRule="auto"/>
        <w:jc w:val="both"/>
        <w:rPr>
          <w:rFonts w:ascii="Palatino Linotype" w:eastAsia="Palatino Linotype" w:hAnsi="Palatino Linotype" w:cs="Palatino Linotype"/>
          <w:b/>
          <w:i/>
          <w:color w:val="000000"/>
        </w:rPr>
      </w:pPr>
    </w:p>
    <w:p w14:paraId="4A03C7A8" w14:textId="77777777" w:rsidR="005B6022" w:rsidRDefault="009C528D">
      <w:pPr>
        <w:numPr>
          <w:ilvl w:val="0"/>
          <w:numId w:val="5"/>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En ese sentido, se comprueba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solo refirió información de siete áreas del Ayuntamiento de Juchitepec, sin embargo como se demuestra en párrafos anteriores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 integra por veinticinco unidades administrativas. </w:t>
      </w:r>
    </w:p>
    <w:p w14:paraId="0E0F503A" w14:textId="77777777" w:rsidR="005B6022" w:rsidRDefault="005B6022">
      <w:pPr>
        <w:pBdr>
          <w:top w:val="nil"/>
          <w:left w:val="nil"/>
          <w:bottom w:val="nil"/>
          <w:right w:val="nil"/>
          <w:between w:val="nil"/>
        </w:pBdr>
        <w:ind w:left="720"/>
        <w:rPr>
          <w:rFonts w:ascii="Palatino Linotype" w:eastAsia="Palatino Linotype" w:hAnsi="Palatino Linotype" w:cs="Palatino Linotype"/>
          <w:b/>
          <w:i/>
          <w:color w:val="000000"/>
        </w:rPr>
      </w:pPr>
    </w:p>
    <w:p w14:paraId="7C856C86" w14:textId="77777777" w:rsidR="005B6022" w:rsidRDefault="009C528D">
      <w:pPr>
        <w:numPr>
          <w:ilvl w:val="0"/>
          <w:numId w:val="5"/>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Ahora bien, si bien es cierto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manda información relativa a siete áreas del Ayuntamiento de Juchitepec, también lo es que su información no colma el derecho de acceso a la información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ya que de lo remitido se clasifico la información relativa a los nombres de los servidores </w:t>
      </w:r>
      <w:r>
        <w:rPr>
          <w:rFonts w:ascii="Palatino Linotype" w:eastAsia="Palatino Linotype" w:hAnsi="Palatino Linotype" w:cs="Palatino Linotype"/>
          <w:color w:val="000000"/>
        </w:rPr>
        <w:lastRenderedPageBreak/>
        <w:t xml:space="preserve">públicos, situación que solo debió aplicar para el personal de la Dirección de Seguridad Pública y Protección Civil, que tenga un cargo operativo. </w:t>
      </w:r>
    </w:p>
    <w:p w14:paraId="25A15E5F"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rPr>
      </w:pPr>
    </w:p>
    <w:p w14:paraId="3AAE2892" w14:textId="77777777" w:rsidR="005B6022" w:rsidRDefault="009C528D">
      <w:pPr>
        <w:numPr>
          <w:ilvl w:val="0"/>
          <w:numId w:val="5"/>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En ese sentido, se debe de establecer que la conciliación de nómina es información que se encuentra dentro de las atribuciones de la Tesorería Municipal, quien de acuerdo con la Ley Orgánica Municipal del Estado de México, tiene las siguientes funciones.  </w:t>
      </w:r>
    </w:p>
    <w:p w14:paraId="46573C82" w14:textId="77777777" w:rsidR="005B6022" w:rsidRDefault="005B6022">
      <w:pPr>
        <w:pBdr>
          <w:top w:val="nil"/>
          <w:left w:val="nil"/>
          <w:bottom w:val="nil"/>
          <w:right w:val="nil"/>
          <w:between w:val="nil"/>
        </w:pBdr>
        <w:ind w:left="720"/>
        <w:rPr>
          <w:rFonts w:ascii="Palatino Linotype" w:eastAsia="Palatino Linotype" w:hAnsi="Palatino Linotype" w:cs="Palatino Linotype"/>
          <w:b/>
          <w:i/>
          <w:color w:val="000000"/>
        </w:rPr>
      </w:pPr>
    </w:p>
    <w:p w14:paraId="1BB92E68"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95.- </w:t>
      </w:r>
      <w:r>
        <w:rPr>
          <w:rFonts w:ascii="Palatino Linotype" w:eastAsia="Palatino Linotype" w:hAnsi="Palatino Linotype" w:cs="Palatino Linotype"/>
          <w:i/>
          <w:color w:val="000000"/>
          <w:sz w:val="22"/>
          <w:szCs w:val="22"/>
        </w:rPr>
        <w:t xml:space="preserve">Son atribuciones del tesorero municipal: </w:t>
      </w:r>
    </w:p>
    <w:p w14:paraId="2A3603D4" w14:textId="77777777" w:rsidR="005B6022" w:rsidRDefault="009C528D">
      <w:pPr>
        <w:numPr>
          <w:ilvl w:val="1"/>
          <w:numId w:val="5"/>
        </w:numPr>
        <w:pBdr>
          <w:top w:val="nil"/>
          <w:left w:val="nil"/>
          <w:bottom w:val="nil"/>
          <w:right w:val="nil"/>
          <w:between w:val="nil"/>
        </w:pBdr>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Administrar la hacienda pública municipal, de conformidad con las disposiciones legales aplicables; </w:t>
      </w:r>
    </w:p>
    <w:p w14:paraId="753DB0C2"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AB2ED06"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Imponer las sanciones administrativas que procedan por infracciones a las disposiciones fiscales; </w:t>
      </w:r>
    </w:p>
    <w:p w14:paraId="1D3BE469"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IV. Llevar los registros contables, financieros y administrativos de los ingresos, egresos, e inventarios; </w:t>
      </w:r>
    </w:p>
    <w:p w14:paraId="1DB652D5"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Proporcionar oportunamente al ayuntamiento todos los datos o informes que sean necesarios para la formulación del Presupuesto de Egresos Municipales, vigilando que se ajuste a las disposiciones de esta Ley y otros ordenamientos aplicables;</w:t>
      </w:r>
      <w:r>
        <w:rPr>
          <w:color w:val="000000"/>
          <w:sz w:val="22"/>
          <w:szCs w:val="22"/>
        </w:rPr>
        <w:t xml:space="preserve"> </w:t>
      </w:r>
    </w:p>
    <w:p w14:paraId="7694822D"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Presentar anualmente al ayuntamiento un informe de la situación contable financiera de la Tesorería Municipal; </w:t>
      </w:r>
    </w:p>
    <w:p w14:paraId="3A52FF85"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Bis. Proporcionar para la formulación del proyecto de Presupuesto de Egresos Municipales la información financiera relativa a la solución o en su caso, el pago de los litigios laborales; </w:t>
      </w:r>
    </w:p>
    <w:p w14:paraId="1D215EDF"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Diseñar y aprobar las formas oficiales de manifestaciones, avisos y declaraciones y demás documentos requeridos; </w:t>
      </w:r>
    </w:p>
    <w:p w14:paraId="2441446A"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Participar en la formulación de Convenios Fiscales y ejercer las atribuciones que le correspondan en el ámbito de su competencia; </w:t>
      </w:r>
    </w:p>
    <w:p w14:paraId="76EA6135"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Proponer al ayuntamiento la cancelación de cuentas incobrables; </w:t>
      </w:r>
    </w:p>
    <w:p w14:paraId="18A03221"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 Custodiar y ejercer las garantías que se otorguen en favor de la hacienda municipal; </w:t>
      </w:r>
    </w:p>
    <w:p w14:paraId="54AFE9D6"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Proponer la política de ingresos de la tesorería municipal; </w:t>
      </w:r>
    </w:p>
    <w:p w14:paraId="7BAAAC60"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Intervenir en la elaboración del programa financiero municipal; </w:t>
      </w:r>
    </w:p>
    <w:p w14:paraId="5DA3E5D2"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Elaborar y mantener actualizado el Padrón de Contribuyentes; </w:t>
      </w:r>
    </w:p>
    <w:p w14:paraId="73B4885F"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6FE0919B"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Solicitar a las instancias competentes, la práctica de revisiones circunstanciadas, de conformidad con las normas que rigen en materia de control y evaluación gubernamental en el ámbito municipal; </w:t>
      </w:r>
    </w:p>
    <w:p w14:paraId="153ED322"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Glosar oportunamente las cuentas del ayuntamiento; </w:t>
      </w:r>
    </w:p>
    <w:p w14:paraId="26368184"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r>
        <w:rPr>
          <w:rFonts w:ascii="Palatino Linotype" w:eastAsia="Palatino Linotype" w:hAnsi="Palatino Linotype" w:cs="Palatino Linotype"/>
          <w:i/>
          <w:color w:val="000000"/>
          <w:sz w:val="22"/>
          <w:szCs w:val="22"/>
        </w:rPr>
        <w:t xml:space="preserve">; </w:t>
      </w:r>
    </w:p>
    <w:p w14:paraId="14136758"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47704BE6"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3A1C817C"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 Dar cumplimiento a las leyes, convenios de coordinación fiscal y demás que en materia hacendaria celebre el Ayuntamiento con el Estado;</w:t>
      </w:r>
      <w:r>
        <w:rPr>
          <w:color w:val="000000"/>
          <w:sz w:val="22"/>
          <w:szCs w:val="22"/>
        </w:rPr>
        <w:t xml:space="preserve"> </w:t>
      </w:r>
    </w:p>
    <w:p w14:paraId="72A03E19"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XXI. Entregar oportunamente a él o los Síndicos, según sea el caso, el informe mensual que corresponda, a fin de que se revise, y de ser necesario, para que se formulen las observaciones respectivas. </w:t>
      </w:r>
    </w:p>
    <w:p w14:paraId="087B2CF0" w14:textId="77777777" w:rsidR="005B6022" w:rsidRDefault="009C52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XXII. Las que les señalen las demás disposiciones legales y el ayuntamiento.</w:t>
      </w:r>
    </w:p>
    <w:p w14:paraId="78779D5E" w14:textId="77777777" w:rsidR="005B6022" w:rsidRDefault="005B6022">
      <w:pPr>
        <w:spacing w:line="360" w:lineRule="auto"/>
        <w:jc w:val="both"/>
        <w:rPr>
          <w:rFonts w:ascii="Palatino Linotype" w:eastAsia="Palatino Linotype" w:hAnsi="Palatino Linotype" w:cs="Palatino Linotype"/>
          <w:color w:val="000000"/>
        </w:rPr>
      </w:pPr>
    </w:p>
    <w:p w14:paraId="1FDD2978"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w:t>
      </w:r>
      <w:r>
        <w:rPr>
          <w:rFonts w:ascii="Palatino Linotype" w:eastAsia="Palatino Linotype" w:hAnsi="Palatino Linotype" w:cs="Palatino Linotype"/>
          <w:color w:val="000000"/>
        </w:rPr>
        <w:lastRenderedPageBreak/>
        <w:t xml:space="preserve">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028CA010" w14:textId="77777777" w:rsidR="005B6022" w:rsidRDefault="005B6022">
      <w:pPr>
        <w:spacing w:line="360" w:lineRule="auto"/>
        <w:jc w:val="both"/>
        <w:rPr>
          <w:rFonts w:ascii="Palatino Linotype" w:eastAsia="Palatino Linotype" w:hAnsi="Palatino Linotype" w:cs="Palatino Linotype"/>
          <w:color w:val="000000"/>
        </w:rPr>
      </w:pPr>
    </w:p>
    <w:p w14:paraId="67E5338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línea de estudio, se debe de señalar que la información solicitada por parte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14:paraId="5EF64783"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rPr>
      </w:pPr>
    </w:p>
    <w:p w14:paraId="29226766"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92.</w:t>
      </w:r>
      <w:r>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E582BB" w14:textId="77777777" w:rsidR="005B6022" w:rsidRDefault="009C528D">
      <w:pP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AD50F22" w14:textId="77777777" w:rsidR="005B6022" w:rsidRDefault="005B6022">
      <w:pPr>
        <w:ind w:left="1134" w:right="900"/>
        <w:jc w:val="both"/>
        <w:rPr>
          <w:rFonts w:ascii="Palatino Linotype" w:eastAsia="Palatino Linotype" w:hAnsi="Palatino Linotype" w:cs="Palatino Linotype"/>
          <w:b/>
          <w:i/>
          <w:color w:val="000000"/>
          <w:sz w:val="22"/>
          <w:szCs w:val="22"/>
        </w:rPr>
      </w:pPr>
    </w:p>
    <w:p w14:paraId="4AB264F7"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Pr>
          <w:rFonts w:ascii="Palatino Linotype" w:eastAsia="Palatino Linotype" w:hAnsi="Palatino Linotype" w:cs="Palatino Linotype"/>
          <w:i/>
        </w:rPr>
        <w:t xml:space="preserve">en el ámbito de sus atribuciones, de promover, respetar, proteger y </w:t>
      </w:r>
      <w:r>
        <w:rPr>
          <w:rFonts w:ascii="Palatino Linotype" w:eastAsia="Palatino Linotype" w:hAnsi="Palatino Linotype" w:cs="Palatino Linotype"/>
          <w:b/>
          <w:i/>
        </w:rPr>
        <w:t>garantizar</w:t>
      </w:r>
      <w:r>
        <w:rPr>
          <w:rFonts w:ascii="Palatino Linotype" w:eastAsia="Palatino Linotype" w:hAnsi="Palatino Linotype" w:cs="Palatino Linotype"/>
          <w:i/>
        </w:rPr>
        <w:t xml:space="preserve"> los derechos humanos. </w:t>
      </w:r>
      <w:r>
        <w:rPr>
          <w:rFonts w:ascii="Palatino Linotype" w:eastAsia="Palatino Linotype" w:hAnsi="Palatino Linotype" w:cs="Palatino Linotype"/>
          <w:b/>
          <w:i/>
        </w:rPr>
        <w:t xml:space="preserve">En cuanto al derecho de acceso a la información, la Ley de Transparencia y Acceso a la Información Pública </w:t>
      </w:r>
      <w:r>
        <w:rPr>
          <w:rFonts w:ascii="Palatino Linotype" w:eastAsia="Palatino Linotype" w:hAnsi="Palatino Linotype" w:cs="Palatino Linotype"/>
          <w:b/>
          <w:i/>
        </w:rPr>
        <w:lastRenderedPageBreak/>
        <w:t>del Estado de México y Municipios prevé establece que e</w:t>
      </w:r>
      <w:r>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Pr>
          <w:i/>
          <w:vertAlign w:val="superscript"/>
        </w:rPr>
        <w:footnoteReference w:id="5"/>
      </w:r>
      <w:r>
        <w:rPr>
          <w:rFonts w:ascii="Palatino Linotype" w:eastAsia="Palatino Linotype" w:hAnsi="Palatino Linotype" w:cs="Palatino Linotype"/>
          <w:i/>
        </w:rPr>
        <w:t xml:space="preserve">, </w:t>
      </w:r>
      <w:r>
        <w:rPr>
          <w:rFonts w:ascii="Palatino Linotype" w:eastAsia="Palatino Linotype" w:hAnsi="Palatino Linotype" w:cs="Palatino Linotype"/>
        </w:rPr>
        <w:t>asimismo establece</w:t>
      </w:r>
      <w:r>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8D83ADD" w14:textId="77777777" w:rsidR="005B6022" w:rsidRDefault="005B6022">
      <w:pPr>
        <w:spacing w:line="360" w:lineRule="auto"/>
        <w:jc w:val="both"/>
        <w:rPr>
          <w:rFonts w:ascii="Palatino Linotype" w:eastAsia="Palatino Linotype" w:hAnsi="Palatino Linotype" w:cs="Palatino Linotype"/>
          <w:color w:val="000000"/>
        </w:rPr>
      </w:pPr>
    </w:p>
    <w:p w14:paraId="5A56EFAC"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4358CF3" w14:textId="77777777" w:rsidR="005B6022" w:rsidRDefault="005B6022">
      <w:pPr>
        <w:spacing w:line="360" w:lineRule="auto"/>
        <w:jc w:val="both"/>
        <w:rPr>
          <w:rFonts w:ascii="Palatino Linotype" w:eastAsia="Palatino Linotype" w:hAnsi="Palatino Linotype" w:cs="Palatino Linotype"/>
        </w:rPr>
      </w:pPr>
    </w:p>
    <w:p w14:paraId="256D1C99" w14:textId="77777777" w:rsidR="005B6022" w:rsidRDefault="009C528D">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“NÓMINA </w:t>
      </w:r>
      <w:r>
        <w:rPr>
          <w:rFonts w:ascii="Palatino Linotype" w:eastAsia="Palatino Linotype" w:hAnsi="Palatino Linotype" w:cs="Palatino Linotype"/>
          <w:i/>
          <w:sz w:val="22"/>
          <w:szCs w:val="22"/>
        </w:rPr>
        <w:t>Listado general de los trabajadores de una institución, en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el cual se asientan las percepciones brutas, deducciones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alcance neto de las mismas; la nómina es utilizada para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efectuar los pagos periódicos (semanales, </w:t>
      </w:r>
      <w:r>
        <w:rPr>
          <w:rFonts w:ascii="Palatino Linotype" w:eastAsia="Palatino Linotype" w:hAnsi="Palatino Linotype" w:cs="Palatino Linotype"/>
          <w:i/>
          <w:sz w:val="22"/>
          <w:szCs w:val="22"/>
        </w:rPr>
        <w:lastRenderedPageBreak/>
        <w:t>quincenales 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mensuales) a los trabajadores por concepto de sueldos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salarios.”(Sic)</w:t>
      </w:r>
    </w:p>
    <w:p w14:paraId="65EED6A6" w14:textId="77777777" w:rsidR="005B6022" w:rsidRDefault="005B6022">
      <w:pPr>
        <w:spacing w:line="360" w:lineRule="auto"/>
        <w:ind w:left="1134" w:right="-93"/>
        <w:jc w:val="both"/>
        <w:rPr>
          <w:rFonts w:ascii="Palatino Linotype" w:eastAsia="Palatino Linotype" w:hAnsi="Palatino Linotype" w:cs="Palatino Linotype"/>
        </w:rPr>
      </w:pPr>
    </w:p>
    <w:p w14:paraId="16AD7992"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181D92A9" w14:textId="77777777" w:rsidR="005B6022" w:rsidRDefault="005B6022">
      <w:pPr>
        <w:ind w:left="851" w:right="851"/>
        <w:jc w:val="both"/>
        <w:rPr>
          <w:rFonts w:ascii="Palatino Linotype" w:eastAsia="Palatino Linotype" w:hAnsi="Palatino Linotype" w:cs="Palatino Linotype"/>
          <w:i/>
        </w:rPr>
      </w:pPr>
    </w:p>
    <w:p w14:paraId="41900ED9" w14:textId="77777777" w:rsidR="005B6022" w:rsidRDefault="009C528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14:paraId="4E96702D" w14:textId="77777777" w:rsidR="005B6022" w:rsidRDefault="005B6022">
      <w:pPr>
        <w:ind w:left="851" w:right="851"/>
        <w:jc w:val="both"/>
        <w:rPr>
          <w:rFonts w:ascii="Palatino Linotype" w:eastAsia="Palatino Linotype" w:hAnsi="Palatino Linotype" w:cs="Palatino Linotype"/>
          <w:i/>
          <w:sz w:val="22"/>
          <w:szCs w:val="22"/>
        </w:rPr>
      </w:pPr>
    </w:p>
    <w:p w14:paraId="7C5A43EA" w14:textId="77777777" w:rsidR="005B6022" w:rsidRDefault="009C528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se lleven en el centro de trabajo; o recibos de pagos de salarios; </w:t>
      </w:r>
    </w:p>
    <w:p w14:paraId="2DEC527B" w14:textId="77777777" w:rsidR="005B6022" w:rsidRDefault="009C528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2516DE" w14:textId="77777777" w:rsidR="005B6022" w:rsidRDefault="009C528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14:paraId="4FEB28DA" w14:textId="77777777" w:rsidR="005B6022" w:rsidRDefault="005B6022">
      <w:pPr>
        <w:ind w:right="851"/>
        <w:jc w:val="both"/>
        <w:rPr>
          <w:rFonts w:ascii="Palatino Linotype" w:eastAsia="Palatino Linotype" w:hAnsi="Palatino Linotype" w:cs="Palatino Linotype"/>
          <w:i/>
          <w:sz w:val="22"/>
          <w:szCs w:val="22"/>
        </w:rPr>
      </w:pPr>
    </w:p>
    <w:p w14:paraId="0B8B03BF"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6F1B73FA" w14:textId="77777777" w:rsidR="005B6022" w:rsidRDefault="005B6022">
      <w:pPr>
        <w:spacing w:line="360" w:lineRule="auto"/>
        <w:jc w:val="both"/>
        <w:rPr>
          <w:rFonts w:ascii="Palatino Linotype" w:eastAsia="Palatino Linotype" w:hAnsi="Palatino Linotype" w:cs="Palatino Linotype"/>
        </w:rPr>
      </w:pPr>
    </w:p>
    <w:p w14:paraId="0B3D2380"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4387ABB5" w14:textId="77777777" w:rsidR="005B6022" w:rsidRDefault="009C528D">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14:paraId="46D32029" w14:textId="77777777" w:rsidR="005B6022" w:rsidRDefault="009C528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C85A3D5" w14:textId="77777777" w:rsidR="005B6022" w:rsidRDefault="009C528D">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w:t>
      </w:r>
      <w:r>
        <w:rPr>
          <w:rFonts w:ascii="Palatino Linotype" w:eastAsia="Palatino Linotype" w:hAnsi="Palatino Linotype" w:cs="Palatino Linotype"/>
          <w:b/>
          <w:i/>
          <w:sz w:val="22"/>
          <w:szCs w:val="22"/>
          <w:u w:val="single"/>
        </w:rPr>
        <w:t>sea por depósito o mediante información electrónica</w:t>
      </w:r>
      <w:r>
        <w:rPr>
          <w:rFonts w:ascii="Palatino Linotype" w:eastAsia="Palatino Linotype" w:hAnsi="Palatino Linotype" w:cs="Palatino Linotype"/>
          <w:b/>
          <w:i/>
          <w:sz w:val="22"/>
          <w:szCs w:val="22"/>
        </w:rPr>
        <w:t>;</w:t>
      </w:r>
    </w:p>
    <w:p w14:paraId="1DEADB2D" w14:textId="77777777" w:rsidR="005B6022" w:rsidRDefault="009C528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E71B0C" w14:textId="77777777" w:rsidR="005B6022" w:rsidRDefault="009C528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E058310" w14:textId="77777777" w:rsidR="005B6022" w:rsidRDefault="009C528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481BF46" w14:textId="77777777" w:rsidR="005B6022" w:rsidRDefault="005B6022">
      <w:pPr>
        <w:tabs>
          <w:tab w:val="left" w:pos="9072"/>
        </w:tabs>
        <w:ind w:left="851" w:right="851"/>
        <w:jc w:val="both"/>
        <w:rPr>
          <w:rFonts w:ascii="Palatino Linotype" w:eastAsia="Palatino Linotype" w:hAnsi="Palatino Linotype" w:cs="Palatino Linotype"/>
          <w:i/>
          <w:sz w:val="22"/>
          <w:szCs w:val="22"/>
        </w:rPr>
      </w:pPr>
    </w:p>
    <w:p w14:paraId="1093BEB1"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F07531D" w14:textId="77777777" w:rsidR="005B6022" w:rsidRDefault="005B6022">
      <w:pPr>
        <w:spacing w:line="360" w:lineRule="auto"/>
        <w:jc w:val="both"/>
        <w:rPr>
          <w:rFonts w:ascii="Palatino Linotype" w:eastAsia="Palatino Linotype" w:hAnsi="Palatino Linotype" w:cs="Palatino Linotype"/>
        </w:rPr>
      </w:pPr>
    </w:p>
    <w:p w14:paraId="270C259A" w14:textId="77777777" w:rsidR="005B6022" w:rsidRDefault="009C528D">
      <w:pPr>
        <w:numPr>
          <w:ilvl w:val="0"/>
          <w:numId w:val="5"/>
        </w:numPr>
        <w:spacing w:line="360" w:lineRule="auto"/>
        <w:ind w:left="0" w:firstLine="0"/>
        <w:jc w:val="both"/>
      </w:pPr>
      <w:r>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r>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180B42EA" w14:textId="77777777" w:rsidR="005B6022" w:rsidRDefault="009C528D">
      <w:pPr>
        <w:spacing w:before="240"/>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Son sujetos de fiscalización:</w:t>
      </w:r>
    </w:p>
    <w:p w14:paraId="0312C6CE" w14:textId="77777777" w:rsidR="005B6022" w:rsidRDefault="009C528D">
      <w:pPr>
        <w:numPr>
          <w:ilvl w:val="1"/>
          <w:numId w:val="5"/>
        </w:numPr>
        <w:pBdr>
          <w:top w:val="nil"/>
          <w:left w:val="nil"/>
          <w:bottom w:val="nil"/>
          <w:right w:val="nil"/>
          <w:between w:val="nil"/>
        </w:pBdr>
        <w:spacing w:before="240"/>
        <w:ind w:left="1134" w:right="851"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Poderes Públicos del Estado; </w:t>
      </w:r>
    </w:p>
    <w:p w14:paraId="02617E5E" w14:textId="77777777" w:rsidR="005B6022" w:rsidRDefault="009C528D">
      <w:pPr>
        <w:pBdr>
          <w:top w:val="nil"/>
          <w:left w:val="nil"/>
          <w:bottom w:val="nil"/>
          <w:right w:val="nil"/>
          <w:between w:val="nil"/>
        </w:pBdr>
        <w:ind w:left="1134"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 Los municipios del Estado de México; </w:t>
      </w:r>
    </w:p>
    <w:p w14:paraId="71399219" w14:textId="77777777" w:rsidR="005B6022" w:rsidRDefault="009C528D">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III. Los organismos autónomos; </w:t>
      </w:r>
    </w:p>
    <w:p w14:paraId="48A6B187" w14:textId="77777777" w:rsidR="005B6022" w:rsidRDefault="009C528D">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Los organismos auxiliares; </w:t>
      </w:r>
    </w:p>
    <w:p w14:paraId="3DF56255" w14:textId="77777777" w:rsidR="005B6022" w:rsidRDefault="009C528D">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Pr>
          <w:color w:val="000000"/>
        </w:rPr>
        <w:t xml:space="preserve"> </w:t>
      </w:r>
    </w:p>
    <w:p w14:paraId="09CA2C00" w14:textId="77777777" w:rsidR="005B6022" w:rsidRDefault="009C528D">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2C06BCAA" w14:textId="77777777" w:rsidR="005B6022" w:rsidRDefault="005B6022">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p>
    <w:p w14:paraId="1980963C"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Establecido </w:t>
      </w:r>
      <w:r>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7510326B" w14:textId="77777777" w:rsidR="005B6022" w:rsidRDefault="005B6022">
      <w:pPr>
        <w:spacing w:line="360" w:lineRule="auto"/>
        <w:jc w:val="both"/>
        <w:rPr>
          <w:rFonts w:ascii="Palatino Linotype" w:eastAsia="Palatino Linotype" w:hAnsi="Palatino Linotype" w:cs="Palatino Linotype"/>
          <w:color w:val="000000"/>
        </w:rPr>
      </w:pPr>
    </w:p>
    <w:p w14:paraId="096B1CAC"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Estas políticas </w:t>
      </w:r>
      <w:r>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6D37B83D" w14:textId="77777777" w:rsidR="005B6022" w:rsidRDefault="005B6022">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0DA4007D"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67B3667E" w14:textId="77777777" w:rsidR="005B6022" w:rsidRDefault="009C528D">
      <w:pPr>
        <w:numPr>
          <w:ilvl w:val="1"/>
          <w:numId w:val="5"/>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Información impresa; e</w:t>
      </w:r>
    </w:p>
    <w:p w14:paraId="686FDA9E" w14:textId="77777777" w:rsidR="005B6022" w:rsidRDefault="009C528D">
      <w:pPr>
        <w:numPr>
          <w:ilvl w:val="1"/>
          <w:numId w:val="5"/>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en medio de almacenamiento electrónico.</w:t>
      </w:r>
    </w:p>
    <w:p w14:paraId="2622E05A" w14:textId="77777777" w:rsidR="005B6022" w:rsidRDefault="005B6022">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p>
    <w:p w14:paraId="2305A753"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2AF0F1B2" w14:textId="77777777" w:rsidR="005B6022" w:rsidRDefault="009C528D">
      <w:pPr>
        <w:numPr>
          <w:ilvl w:val="1"/>
          <w:numId w:val="5"/>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Módulo 1: Información contable y financiera;</w:t>
      </w:r>
    </w:p>
    <w:p w14:paraId="78750BA2" w14:textId="77777777" w:rsidR="005B6022" w:rsidRDefault="009C528D">
      <w:pPr>
        <w:numPr>
          <w:ilvl w:val="1"/>
          <w:numId w:val="5"/>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Módulo 2: Información presupuestaria;</w:t>
      </w:r>
    </w:p>
    <w:p w14:paraId="3D4C3B1D" w14:textId="77777777" w:rsidR="005B6022" w:rsidRDefault="009C528D">
      <w:pPr>
        <w:numPr>
          <w:ilvl w:val="1"/>
          <w:numId w:val="5"/>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Módulo 3: Información programática; y</w:t>
      </w:r>
    </w:p>
    <w:p w14:paraId="3084ABB7" w14:textId="77777777" w:rsidR="005B6022" w:rsidRDefault="009C528D">
      <w:pPr>
        <w:numPr>
          <w:ilvl w:val="1"/>
          <w:numId w:val="5"/>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Módulo 4: Información administrativa.</w:t>
      </w:r>
    </w:p>
    <w:p w14:paraId="6CBC5FB3" w14:textId="77777777" w:rsidR="005B6022" w:rsidRDefault="005B6022">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b/>
          <w:i/>
          <w:color w:val="000000"/>
        </w:rPr>
      </w:pPr>
    </w:p>
    <w:p w14:paraId="11B0362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Pr>
          <w:rFonts w:ascii="Palatino Linotype" w:eastAsia="Palatino Linotype" w:hAnsi="Palatino Linotype" w:cs="Palatino Linotype"/>
          <w:b/>
        </w:rPr>
        <w:t>“Políticas para la Integración del Informe Trimestral de los Sujetos de Fiscalización Municipales”</w:t>
      </w:r>
      <w:r>
        <w:rPr>
          <w:rFonts w:ascii="Palatino Linotype" w:eastAsia="Palatino Linotype" w:hAnsi="Palatino Linotype" w:cs="Palatino Linotype"/>
        </w:rPr>
        <w:t>, se compondrá de los siguientes documentos:</w:t>
      </w:r>
    </w:p>
    <w:p w14:paraId="301A9E88" w14:textId="77777777" w:rsidR="005B6022" w:rsidRDefault="005B6022">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0840A6DE" w14:textId="77777777" w:rsidR="005B6022" w:rsidRDefault="009C528D">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color w:val="000000"/>
        </w:rPr>
        <w:object w:dxaOrig="6484" w:dyaOrig="5168" w14:anchorId="75C20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3pt;height:258.6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798970553" r:id="rId12"/>
        </w:object>
      </w:r>
    </w:p>
    <w:p w14:paraId="334E55DC" w14:textId="77777777" w:rsidR="005B6022" w:rsidRDefault="005B6022">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5F40B023"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lo que corresponde al Submódulo de </w:t>
      </w:r>
      <w:r>
        <w:rPr>
          <w:rFonts w:ascii="Palatino Linotype" w:eastAsia="Palatino Linotype" w:hAnsi="Palatino Linotype" w:cs="Palatino Linotype"/>
          <w:b/>
          <w:color w:val="000000"/>
        </w:rPr>
        <w:t>‘Nómina y Comprobantes Fiscales’,</w:t>
      </w:r>
      <w:r>
        <w:rPr>
          <w:rFonts w:ascii="Palatino Linotype" w:eastAsia="Palatino Linotype" w:hAnsi="Palatino Linotype" w:cs="Palatino Linotype"/>
          <w:color w:val="000000"/>
        </w:rPr>
        <w:t xml:space="preserve">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integrar, en formato </w:t>
      </w:r>
      <w:r>
        <w:rPr>
          <w:rFonts w:ascii="Palatino Linotype" w:eastAsia="Palatino Linotype" w:hAnsi="Palatino Linotype" w:cs="Palatino Linotype"/>
          <w:i/>
          <w:color w:val="000000"/>
        </w:rPr>
        <w:t>.pdf</w:t>
      </w:r>
      <w:r>
        <w:rPr>
          <w:rFonts w:ascii="Palatino Linotype" w:eastAsia="Palatino Linotype" w:hAnsi="Palatino Linotype" w:cs="Palatino Linotype"/>
          <w:color w:val="000000"/>
        </w:rPr>
        <w:t xml:space="preserve">, y de forma quincenal, el documento titulado </w:t>
      </w:r>
      <w:r>
        <w:rPr>
          <w:rFonts w:ascii="Palatino Linotype" w:eastAsia="Palatino Linotype" w:hAnsi="Palatino Linotype" w:cs="Palatino Linotype"/>
          <w:b/>
          <w:color w:val="000000"/>
        </w:rPr>
        <w:t>Conciliación de Nómina Mensual</w:t>
      </w:r>
      <w:r>
        <w:rPr>
          <w:rFonts w:ascii="Palatino Linotype" w:eastAsia="Palatino Linotype" w:hAnsi="Palatino Linotype" w:cs="Palatino Linotype"/>
          <w:color w:val="000000"/>
        </w:rPr>
        <w:t>; tal como lo establece el mapa de integración del Submódulo en comento:</w:t>
      </w:r>
    </w:p>
    <w:p w14:paraId="4FB2190A" w14:textId="77777777" w:rsidR="005B6022" w:rsidRDefault="005B6022">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7E7764CD" w14:textId="77777777" w:rsidR="005B6022" w:rsidRDefault="009C528D">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color w:val="000000"/>
        </w:rPr>
        <w:object w:dxaOrig="7651" w:dyaOrig="2209" w14:anchorId="300AB727">
          <v:shape id="_x0000_i1026" type="#_x0000_t75" alt="" style="width:382.45pt;height:110.6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798970554" r:id="rId14"/>
        </w:object>
      </w:r>
      <w:r>
        <w:rPr>
          <w:noProof/>
          <w:lang w:eastAsia="es-MX"/>
        </w:rPr>
        <mc:AlternateContent>
          <mc:Choice Requires="wpg">
            <w:drawing>
              <wp:anchor distT="0" distB="0" distL="114300" distR="114300" simplePos="0" relativeHeight="251658240" behindDoc="0" locked="0" layoutInCell="1" hidden="0" allowOverlap="1" wp14:anchorId="26212B10" wp14:editId="617DBAC2">
                <wp:simplePos x="0" y="0"/>
                <wp:positionH relativeFrom="column">
                  <wp:posOffset>711200</wp:posOffset>
                </wp:positionH>
                <wp:positionV relativeFrom="paragraph">
                  <wp:posOffset>482600</wp:posOffset>
                </wp:positionV>
                <wp:extent cx="4470400" cy="234950"/>
                <wp:effectExtent l="0" t="0" r="0" b="0"/>
                <wp:wrapNone/>
                <wp:docPr id="63" name="Rectángulo 63"/>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6A8F9E23" w14:textId="77777777" w:rsidR="005B6022" w:rsidRDefault="005B602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711200</wp:posOffset>
                </wp:positionH>
                <wp:positionV relativeFrom="paragraph">
                  <wp:posOffset>482600</wp:posOffset>
                </wp:positionV>
                <wp:extent cx="4470400" cy="234950"/>
                <wp:effectExtent b="0" l="0" r="0" t="0"/>
                <wp:wrapNone/>
                <wp:docPr id="63"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4470400" cy="234950"/>
                        </a:xfrm>
                        <a:prstGeom prst="rect"/>
                        <a:ln/>
                      </pic:spPr>
                    </pic:pic>
                  </a:graphicData>
                </a:graphic>
              </wp:anchor>
            </w:drawing>
          </mc:Fallback>
        </mc:AlternateContent>
      </w:r>
    </w:p>
    <w:p w14:paraId="45631A50" w14:textId="77777777" w:rsidR="005B6022" w:rsidRDefault="005B6022">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05F54310" w14:textId="77777777" w:rsidR="005B6022" w:rsidRDefault="009C528D">
      <w:pPr>
        <w:numPr>
          <w:ilvl w:val="0"/>
          <w:numId w:val="5"/>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Al respecto, conviene referir que la Conciliación de Nómina Mensual es un documento en el que se detalla, entre otros, </w:t>
      </w:r>
      <w:r>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Pr>
          <w:b/>
          <w:color w:val="000000"/>
          <w:vertAlign w:val="superscript"/>
        </w:rPr>
        <w:footnoteReference w:id="6"/>
      </w:r>
      <w:r>
        <w:rPr>
          <w:rFonts w:ascii="Palatino Linotype" w:eastAsia="Palatino Linotype" w:hAnsi="Palatino Linotype" w:cs="Palatino Linotype"/>
          <w:color w:val="000000"/>
        </w:rPr>
        <w:t xml:space="preserve">. </w:t>
      </w:r>
    </w:p>
    <w:p w14:paraId="2D1A61AE" w14:textId="77777777" w:rsidR="005B6022" w:rsidRDefault="005B6022">
      <w:pPr>
        <w:spacing w:line="360" w:lineRule="auto"/>
        <w:ind w:right="49"/>
        <w:jc w:val="both"/>
        <w:rPr>
          <w:rFonts w:ascii="Palatino Linotype" w:eastAsia="Palatino Linotype" w:hAnsi="Palatino Linotype" w:cs="Palatino Linotype"/>
          <w:color w:val="000000"/>
        </w:rPr>
      </w:pPr>
    </w:p>
    <w:p w14:paraId="682211C5" w14:textId="77777777" w:rsidR="005B6022" w:rsidRDefault="009C528D">
      <w:pPr>
        <w:numPr>
          <w:ilvl w:val="0"/>
          <w:numId w:val="5"/>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Aunado a </w:t>
      </w:r>
      <w:r>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7E10B04B" w14:textId="77777777" w:rsidR="005B6022" w:rsidRDefault="005B6022">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61482581" w14:textId="77777777" w:rsidR="005B6022" w:rsidRDefault="009C528D">
      <w:pPr>
        <w:pBdr>
          <w:top w:val="nil"/>
          <w:left w:val="nil"/>
          <w:bottom w:val="nil"/>
          <w:right w:val="nil"/>
          <w:between w:val="nil"/>
        </w:pBdr>
        <w:tabs>
          <w:tab w:val="left" w:pos="426"/>
        </w:tabs>
        <w:spacing w:line="360" w:lineRule="auto"/>
        <w:ind w:right="51"/>
        <w:jc w:val="center"/>
        <w:rPr>
          <w:color w:val="000000"/>
        </w:rPr>
      </w:pPr>
      <w:r>
        <w:rPr>
          <w:color w:val="000000"/>
        </w:rPr>
        <w:object w:dxaOrig="7642" w:dyaOrig="4320" w14:anchorId="2F729C4A">
          <v:shape id="_x0000_i1027" type="#_x0000_t75" alt="" style="width:381.9pt;height:3in;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7" DrawAspect="Content" ObjectID="_1798970555" r:id="rId23"/>
        </w:object>
      </w:r>
      <w:r>
        <w:rPr>
          <w:noProof/>
          <w:lang w:eastAsia="es-MX"/>
        </w:rPr>
        <mc:AlternateContent>
          <mc:Choice Requires="wpg">
            <w:drawing>
              <wp:anchor distT="0" distB="0" distL="114300" distR="114300" simplePos="0" relativeHeight="251659264" behindDoc="0" locked="0" layoutInCell="1" hidden="0" allowOverlap="1" wp14:anchorId="5AE2875E" wp14:editId="3F6FFBBD">
                <wp:simplePos x="0" y="0"/>
                <wp:positionH relativeFrom="column">
                  <wp:posOffset>3530600</wp:posOffset>
                </wp:positionH>
                <wp:positionV relativeFrom="paragraph">
                  <wp:posOffset>457200</wp:posOffset>
                </wp:positionV>
                <wp:extent cx="528125" cy="1430117"/>
                <wp:effectExtent l="0" t="0" r="0" b="0"/>
                <wp:wrapNone/>
                <wp:docPr id="65" name="Rectángulo 6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394E29FA" w14:textId="77777777" w:rsidR="005B6022" w:rsidRDefault="005B602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3530600</wp:posOffset>
                </wp:positionH>
                <wp:positionV relativeFrom="paragraph">
                  <wp:posOffset>457200</wp:posOffset>
                </wp:positionV>
                <wp:extent cx="528125" cy="1430117"/>
                <wp:effectExtent b="0" l="0" r="0" t="0"/>
                <wp:wrapNone/>
                <wp:docPr id="65"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528125" cy="1430117"/>
                        </a:xfrm>
                        <a:prstGeom prst="rect"/>
                        <a:ln/>
                      </pic:spPr>
                    </pic:pic>
                  </a:graphicData>
                </a:graphic>
              </wp:anchor>
            </w:drawing>
          </mc:Fallback>
        </mc:AlternateContent>
      </w:r>
      <w:r>
        <w:rPr>
          <w:noProof/>
          <w:lang w:eastAsia="es-MX"/>
        </w:rPr>
        <mc:AlternateContent>
          <mc:Choice Requires="wpg">
            <w:drawing>
              <wp:anchor distT="0" distB="0" distL="114300" distR="114300" simplePos="0" relativeHeight="251660288" behindDoc="0" locked="0" layoutInCell="1" hidden="0" allowOverlap="1" wp14:anchorId="46194C4A" wp14:editId="5390896D">
                <wp:simplePos x="0" y="0"/>
                <wp:positionH relativeFrom="column">
                  <wp:posOffset>2578100</wp:posOffset>
                </wp:positionH>
                <wp:positionV relativeFrom="paragraph">
                  <wp:posOffset>431800</wp:posOffset>
                </wp:positionV>
                <wp:extent cx="408280" cy="1430117"/>
                <wp:effectExtent l="0" t="0" r="0" b="0"/>
                <wp:wrapNone/>
                <wp:docPr id="64" name="Rectángulo 64"/>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3C63B7EA" w14:textId="77777777" w:rsidR="005B6022" w:rsidRDefault="005B602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2578100</wp:posOffset>
                </wp:positionH>
                <wp:positionV relativeFrom="paragraph">
                  <wp:posOffset>431800</wp:posOffset>
                </wp:positionV>
                <wp:extent cx="408280" cy="1430117"/>
                <wp:effectExtent b="0" l="0" r="0" t="0"/>
                <wp:wrapNone/>
                <wp:docPr id="64"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408280" cy="1430117"/>
                        </a:xfrm>
                        <a:prstGeom prst="rect"/>
                        <a:ln/>
                      </pic:spPr>
                    </pic:pic>
                  </a:graphicData>
                </a:graphic>
              </wp:anchor>
            </w:drawing>
          </mc:Fallback>
        </mc:AlternateContent>
      </w:r>
    </w:p>
    <w:p w14:paraId="27D3B43C" w14:textId="77777777" w:rsidR="005B6022" w:rsidRDefault="009C528D">
      <w:pPr>
        <w:pBdr>
          <w:top w:val="nil"/>
          <w:left w:val="nil"/>
          <w:bottom w:val="nil"/>
          <w:right w:val="nil"/>
          <w:between w:val="nil"/>
        </w:pBdr>
        <w:tabs>
          <w:tab w:val="left" w:pos="426"/>
        </w:tabs>
        <w:spacing w:line="360" w:lineRule="auto"/>
        <w:ind w:right="51"/>
        <w:jc w:val="center"/>
        <w:rPr>
          <w:color w:val="000000"/>
        </w:rPr>
      </w:pPr>
      <w:r>
        <w:rPr>
          <w:color w:val="000000"/>
        </w:rPr>
        <w:object w:dxaOrig="7668" w:dyaOrig="4506" w14:anchorId="6AF4EC91">
          <v:shape id="_x0000_i1028" type="#_x0000_t75" alt="" style="width:383.6pt;height:225.2pt;mso-width-percent:0;mso-height-percent:0;mso-width-percent:0;mso-height-percent:0"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Brush" ShapeID="_x0000_i1028" DrawAspect="Content" ObjectID="_1798970556" r:id="rId27"/>
        </w:object>
      </w:r>
    </w:p>
    <w:p w14:paraId="7FB62AA0" w14:textId="77777777" w:rsidR="005B6022" w:rsidRDefault="009C528D">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color w:val="000000"/>
        </w:rPr>
        <w:object w:dxaOrig="7686" w:dyaOrig="2394" w14:anchorId="51246BF0">
          <v:shape id="_x0000_i1029" type="#_x0000_t75" alt="" style="width:384.2pt;height:119.8pt;mso-width-percent:0;mso-height-percent:0;mso-width-percent:0;mso-height-percent:0"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Brush" ShapeID="_x0000_i1029" DrawAspect="Content" ObjectID="_1798970557" r:id="rId29"/>
        </w:object>
      </w:r>
    </w:p>
    <w:p w14:paraId="0A8E2B3F" w14:textId="77777777" w:rsidR="005B6022" w:rsidRDefault="005B6022">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0B1DD1C1" w14:textId="77777777" w:rsidR="005B6022" w:rsidRDefault="009C528D">
      <w:pPr>
        <w:numPr>
          <w:ilvl w:val="0"/>
          <w:numId w:val="5"/>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imágenes anteriores, podemos identificar a la </w:t>
      </w:r>
      <w:r>
        <w:rPr>
          <w:rFonts w:ascii="Palatino Linotype" w:eastAsia="Palatino Linotype" w:hAnsi="Palatino Linotype" w:cs="Palatino Linotype"/>
          <w:b/>
          <w:color w:val="000000"/>
        </w:rPr>
        <w:t>Conciliación de Nómina Mensual</w:t>
      </w:r>
      <w:r>
        <w:rPr>
          <w:rFonts w:ascii="Palatino Linotype" w:eastAsia="Palatino Linotype" w:hAnsi="Palatino Linotype" w:cs="Palatino Linotype"/>
          <w:color w:val="000000"/>
        </w:rPr>
        <w:t xml:space="preserve"> como el documento </w:t>
      </w:r>
      <w:r>
        <w:rPr>
          <w:rFonts w:ascii="Palatino Linotype" w:eastAsia="Palatino Linotype" w:hAnsi="Palatino Linotype" w:cs="Palatino Linotype"/>
          <w:b/>
          <w:color w:val="000000"/>
        </w:rPr>
        <w:t>idóneo</w:t>
      </w:r>
      <w:r>
        <w:rPr>
          <w:rFonts w:ascii="Palatino Linotype" w:eastAsia="Palatino Linotype" w:hAnsi="Palatino Linotype" w:cs="Palatino Linotype"/>
          <w:color w:val="000000"/>
        </w:rPr>
        <w:t xml:space="preserve"> que puede satisfacer los requerimientos del particular, pues como se ha analizado en párrafos previos, </w:t>
      </w:r>
      <w:r>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Pr>
          <w:rFonts w:ascii="Palatino Linotype" w:eastAsia="Palatino Linotype" w:hAnsi="Palatino Linotype" w:cs="Palatino Linotype"/>
          <w:color w:val="000000"/>
        </w:rPr>
        <w:t xml:space="preserve">, asimismo </w:t>
      </w:r>
      <w:r>
        <w:rPr>
          <w:rFonts w:ascii="Palatino Linotype" w:eastAsia="Palatino Linotype" w:hAnsi="Palatino Linotype" w:cs="Palatino Linotype"/>
          <w:b/>
          <w:color w:val="000000"/>
        </w:rPr>
        <w:t xml:space="preserve">contiene la </w:t>
      </w:r>
      <w:r>
        <w:rPr>
          <w:rFonts w:ascii="Palatino Linotype" w:eastAsia="Palatino Linotype" w:hAnsi="Palatino Linotype" w:cs="Palatino Linotype"/>
          <w:color w:val="000000"/>
        </w:rPr>
        <w:t>fecha de alta y fecha de baja de los servidores públicos;</w:t>
      </w:r>
      <w:r>
        <w:rPr>
          <w:rFonts w:ascii="Palatino Linotype" w:eastAsia="Palatino Linotype" w:hAnsi="Palatino Linotype" w:cs="Palatino Linotype"/>
          <w:b/>
          <w:color w:val="000000"/>
        </w:rPr>
        <w:t xml:space="preserve"> su nombre; puesto; área de adscripción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categoría.</w:t>
      </w:r>
    </w:p>
    <w:p w14:paraId="12047FA1" w14:textId="77777777" w:rsidR="005B6022" w:rsidRDefault="005B6022">
      <w:pPr>
        <w:spacing w:line="360" w:lineRule="auto"/>
        <w:ind w:right="49"/>
        <w:jc w:val="both"/>
        <w:rPr>
          <w:rFonts w:ascii="Palatino Linotype" w:eastAsia="Palatino Linotype" w:hAnsi="Palatino Linotype" w:cs="Palatino Linotype"/>
          <w:color w:val="000000"/>
        </w:rPr>
      </w:pPr>
    </w:p>
    <w:p w14:paraId="51A104E6" w14:textId="77777777" w:rsidR="005B6022" w:rsidRDefault="009C528D">
      <w:pPr>
        <w:numPr>
          <w:ilvl w:val="0"/>
          <w:numId w:val="5"/>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reconoce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la obligación de generar los documentos en donde conste la información requerida por el particular al grado de detalle que fue solicitado, siendo el documento idóneo, de manera enunciativa más no limitativa, la </w:t>
      </w:r>
      <w:r>
        <w:rPr>
          <w:rFonts w:ascii="Palatino Linotype" w:eastAsia="Palatino Linotype" w:hAnsi="Palatino Linotype" w:cs="Palatino Linotype"/>
          <w:b/>
          <w:color w:val="000000"/>
        </w:rPr>
        <w:t>Conciliación de Nómina</w:t>
      </w:r>
      <w:r>
        <w:rPr>
          <w:rFonts w:ascii="Palatino Linotype" w:eastAsia="Palatino Linotype" w:hAnsi="Palatino Linotype" w:cs="Palatino Linotype"/>
          <w:color w:val="000000"/>
        </w:rPr>
        <w:t xml:space="preserve"> generada de la primera quincena de septiembre de dos mil veinticuatro. </w:t>
      </w:r>
      <w:r>
        <w:rPr>
          <w:rFonts w:ascii="Palatino Linotype" w:eastAsia="Palatino Linotype" w:hAnsi="Palatino Linotype" w:cs="Palatino Linotype"/>
          <w:color w:val="000000"/>
        </w:rPr>
        <w:tab/>
      </w:r>
      <w:r>
        <w:rPr>
          <w:rFonts w:ascii="Palatino Linotype" w:eastAsia="Palatino Linotype" w:hAnsi="Palatino Linotype" w:cs="Palatino Linotype"/>
          <w:color w:val="000000"/>
        </w:rPr>
        <w:tab/>
      </w:r>
    </w:p>
    <w:p w14:paraId="2945DB59"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rPr>
      </w:pPr>
    </w:p>
    <w:p w14:paraId="77FCBF78"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rPr>
      </w:pPr>
    </w:p>
    <w:p w14:paraId="364A4C2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se debe de señalar que de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existen datos que son susceptibles de clasificarse como confidenciales, siendo de manera enunciativa más no limitativa los siguientes. </w:t>
      </w:r>
    </w:p>
    <w:p w14:paraId="5B57CA22" w14:textId="77777777" w:rsidR="005B6022" w:rsidRDefault="005B6022">
      <w:pPr>
        <w:tabs>
          <w:tab w:val="left" w:pos="284"/>
        </w:tabs>
        <w:spacing w:line="360" w:lineRule="auto"/>
        <w:jc w:val="both"/>
        <w:rPr>
          <w:rFonts w:ascii="Palatino Linotype" w:eastAsia="Palatino Linotype" w:hAnsi="Palatino Linotype" w:cs="Palatino Linotype"/>
        </w:rPr>
      </w:pPr>
    </w:p>
    <w:p w14:paraId="51F25803" w14:textId="77777777" w:rsidR="005B6022" w:rsidRDefault="009C528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Registro Federal de Contribuyentes</w:t>
      </w:r>
      <w:r>
        <w:rPr>
          <w:rFonts w:ascii="Palatino Linotype" w:eastAsia="Palatino Linotype" w:hAnsi="Palatino Linotype" w:cs="Palatino Linotype"/>
          <w:color w:val="000000"/>
        </w:rPr>
        <w:t xml:space="preserve"> (RFC)</w:t>
      </w:r>
    </w:p>
    <w:p w14:paraId="592746E0" w14:textId="77777777" w:rsidR="005B6022" w:rsidRDefault="005B6022">
      <w:pPr>
        <w:spacing w:line="360" w:lineRule="auto"/>
        <w:jc w:val="both"/>
        <w:rPr>
          <w:rFonts w:ascii="Palatino Linotype" w:eastAsia="Palatino Linotype" w:hAnsi="Palatino Linotype" w:cs="Palatino Linotype"/>
          <w:color w:val="000000"/>
        </w:rPr>
      </w:pPr>
    </w:p>
    <w:p w14:paraId="52D6ECC5"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A4622E7" w14:textId="77777777" w:rsidR="005B6022" w:rsidRDefault="005B6022">
      <w:pPr>
        <w:spacing w:line="360" w:lineRule="auto"/>
        <w:jc w:val="both"/>
        <w:rPr>
          <w:rFonts w:ascii="Palatino Linotype" w:eastAsia="Palatino Linotype" w:hAnsi="Palatino Linotype" w:cs="Palatino Linotype"/>
          <w:color w:val="000000"/>
        </w:rPr>
      </w:pPr>
    </w:p>
    <w:p w14:paraId="0FB5A986"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acuerdo con lo establecido en el artículo en comento, esta clave se compone de trece caracteres alfanuméricos, con datos obtenidos de los apellidos, </w:t>
      </w:r>
      <w:r>
        <w:rPr>
          <w:rFonts w:ascii="Palatino Linotype" w:eastAsia="Palatino Linotype" w:hAnsi="Palatino Linotype" w:cs="Palatino Linotype"/>
          <w:color w:val="000000"/>
        </w:rPr>
        <w:lastRenderedPageBreak/>
        <w:t>nombre (s), fecha de nacimiento del titular, más una homoclave que establece el sistema automático del Servicio de Administración Tributaria.</w:t>
      </w:r>
    </w:p>
    <w:p w14:paraId="47353699" w14:textId="77777777" w:rsidR="005B6022" w:rsidRDefault="005B6022">
      <w:pPr>
        <w:spacing w:line="360" w:lineRule="auto"/>
        <w:jc w:val="both"/>
        <w:rPr>
          <w:rFonts w:ascii="Palatino Linotype" w:eastAsia="Palatino Linotype" w:hAnsi="Palatino Linotype" w:cs="Palatino Linotype"/>
          <w:color w:val="000000"/>
        </w:rPr>
      </w:pPr>
    </w:p>
    <w:p w14:paraId="5F7C58E8"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06BA781" w14:textId="77777777" w:rsidR="005B6022" w:rsidRDefault="005B6022">
      <w:pPr>
        <w:spacing w:line="360" w:lineRule="auto"/>
        <w:jc w:val="both"/>
        <w:rPr>
          <w:rFonts w:ascii="Palatino Linotype" w:eastAsia="Palatino Linotype" w:hAnsi="Palatino Linotype" w:cs="Palatino Linotype"/>
          <w:color w:val="000000"/>
        </w:rPr>
      </w:pPr>
    </w:p>
    <w:p w14:paraId="7D05D6ED"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641344D8" w14:textId="77777777" w:rsidR="005B6022" w:rsidRDefault="005B6022">
      <w:pPr>
        <w:spacing w:line="360" w:lineRule="auto"/>
        <w:jc w:val="both"/>
        <w:rPr>
          <w:rFonts w:ascii="Palatino Linotype" w:eastAsia="Palatino Linotype" w:hAnsi="Palatino Linotype" w:cs="Palatino Linotype"/>
          <w:color w:val="000000"/>
        </w:rPr>
      </w:pPr>
    </w:p>
    <w:p w14:paraId="52451152"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3EB6647C" w14:textId="77777777" w:rsidR="005B6022" w:rsidRDefault="005B6022">
      <w:pPr>
        <w:spacing w:line="360" w:lineRule="auto"/>
        <w:jc w:val="both"/>
        <w:rPr>
          <w:rFonts w:ascii="Palatino Linotype" w:eastAsia="Palatino Linotype" w:hAnsi="Palatino Linotype" w:cs="Palatino Linotype"/>
          <w:color w:val="000000"/>
        </w:rPr>
      </w:pPr>
    </w:p>
    <w:p w14:paraId="7639BFE3"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Registro Federal de Contribuyentes (RFC) de personas físicas</w:t>
      </w:r>
      <w:r>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20835550" w14:textId="77777777" w:rsidR="005B6022" w:rsidRDefault="005B6022">
      <w:pPr>
        <w:ind w:left="1134" w:right="900"/>
        <w:jc w:val="both"/>
        <w:rPr>
          <w:rFonts w:ascii="Palatino Linotype" w:eastAsia="Palatino Linotype" w:hAnsi="Palatino Linotype" w:cs="Palatino Linotype"/>
          <w:color w:val="000000"/>
          <w:sz w:val="22"/>
          <w:szCs w:val="22"/>
        </w:rPr>
      </w:pPr>
    </w:p>
    <w:p w14:paraId="696C9CA0"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6C199AB" w14:textId="77777777" w:rsidR="005B6022" w:rsidRDefault="005B6022">
      <w:pPr>
        <w:spacing w:line="360" w:lineRule="auto"/>
        <w:jc w:val="both"/>
        <w:rPr>
          <w:rFonts w:ascii="Palatino Linotype" w:eastAsia="Palatino Linotype" w:hAnsi="Palatino Linotype" w:cs="Palatino Linotype"/>
          <w:color w:val="000000"/>
        </w:rPr>
      </w:pPr>
    </w:p>
    <w:p w14:paraId="4C30EC0B" w14:textId="77777777" w:rsidR="005B6022" w:rsidRDefault="009C528D">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Clave única de Registro de Población –CURP-.</w:t>
      </w:r>
    </w:p>
    <w:p w14:paraId="0BDC414F" w14:textId="77777777" w:rsidR="005B6022" w:rsidRDefault="005B6022">
      <w:pPr>
        <w:spacing w:line="360" w:lineRule="auto"/>
        <w:jc w:val="both"/>
        <w:rPr>
          <w:rFonts w:ascii="Palatino Linotype" w:eastAsia="Palatino Linotype" w:hAnsi="Palatino Linotype" w:cs="Palatino Linotype"/>
          <w:color w:val="000000"/>
        </w:rPr>
      </w:pPr>
    </w:p>
    <w:p w14:paraId="1BC228F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02AAB7EB" w14:textId="77777777" w:rsidR="005B6022" w:rsidRDefault="005B6022">
      <w:pPr>
        <w:spacing w:line="360" w:lineRule="auto"/>
        <w:jc w:val="both"/>
        <w:rPr>
          <w:rFonts w:ascii="Palatino Linotype" w:eastAsia="Palatino Linotype" w:hAnsi="Palatino Linotype" w:cs="Palatino Linotype"/>
          <w:color w:val="000000"/>
        </w:rPr>
      </w:pPr>
    </w:p>
    <w:p w14:paraId="6A5E759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44D1AC59" w14:textId="77777777" w:rsidR="005B6022" w:rsidRDefault="005B6022">
      <w:pPr>
        <w:spacing w:line="360" w:lineRule="auto"/>
        <w:jc w:val="both"/>
        <w:rPr>
          <w:rFonts w:ascii="Palatino Linotype" w:eastAsia="Palatino Linotype" w:hAnsi="Palatino Linotype" w:cs="Palatino Linotype"/>
          <w:color w:val="000000"/>
        </w:rPr>
      </w:pPr>
    </w:p>
    <w:p w14:paraId="3ACDAD4C"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F7E03B6" w14:textId="77777777" w:rsidR="005B6022" w:rsidRDefault="005B6022">
      <w:pPr>
        <w:spacing w:line="360" w:lineRule="auto"/>
        <w:jc w:val="both"/>
        <w:rPr>
          <w:rFonts w:ascii="Palatino Linotype" w:eastAsia="Palatino Linotype" w:hAnsi="Palatino Linotype" w:cs="Palatino Linotype"/>
          <w:b/>
          <w:color w:val="000000"/>
        </w:rPr>
      </w:pPr>
    </w:p>
    <w:p w14:paraId="20616BC8"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conformidad con lo precisado por la propia Secretaría de Gobernación en la dirección </w:t>
      </w:r>
      <w:hyperlink r:id="rId30">
        <w:r>
          <w:rPr>
            <w:rFonts w:ascii="Palatino Linotype" w:eastAsia="Palatino Linotype" w:hAnsi="Palatino Linotype" w:cs="Palatino Linotype"/>
            <w:color w:val="0563C1"/>
            <w:u w:val="single"/>
          </w:rPr>
          <w:t>https://consultas.curp.gob.mx/CurpSP/html/informacionecurpPS.html</w:t>
        </w:r>
      </w:hyperlink>
      <w:r>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color w:val="000000"/>
        </w:rPr>
        <w:t xml:space="preserve">se generan a partir de los datos contenidos en el documento probatorio de la identidad del interesado </w:t>
      </w:r>
      <w:r>
        <w:rPr>
          <w:rFonts w:ascii="Palatino Linotype" w:eastAsia="Palatino Linotype" w:hAnsi="Palatino Linotype" w:cs="Palatino Linotype"/>
          <w:color w:val="000000"/>
        </w:rPr>
        <w:t>(acta de nacimiento, carta de naturalización o documento migratorio) de la siguiente forma:</w:t>
      </w:r>
    </w:p>
    <w:p w14:paraId="5470AB80" w14:textId="77777777" w:rsidR="005B6022" w:rsidRDefault="005B6022">
      <w:pPr>
        <w:spacing w:line="360" w:lineRule="auto"/>
        <w:jc w:val="both"/>
        <w:rPr>
          <w:rFonts w:ascii="Palatino Linotype" w:eastAsia="Palatino Linotype" w:hAnsi="Palatino Linotype" w:cs="Palatino Linotype"/>
          <w:color w:val="000000"/>
        </w:rPr>
      </w:pPr>
    </w:p>
    <w:p w14:paraId="01703129" w14:textId="77777777" w:rsidR="005B6022" w:rsidRDefault="009C528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El primero y segundo apellidos, así como al nombre de pila.</w:t>
      </w:r>
    </w:p>
    <w:p w14:paraId="481A9556" w14:textId="77777777" w:rsidR="005B6022" w:rsidRDefault="009C528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La fecha de nacimiento.</w:t>
      </w:r>
    </w:p>
    <w:p w14:paraId="3EDFDADC" w14:textId="77777777" w:rsidR="005B6022" w:rsidRDefault="009C528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El sexo.</w:t>
      </w:r>
    </w:p>
    <w:p w14:paraId="2CDC0E54" w14:textId="77777777" w:rsidR="005B6022" w:rsidRDefault="009C528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La entidad federativa de nacimiento.</w:t>
      </w:r>
    </w:p>
    <w:p w14:paraId="111E6F48" w14:textId="77777777" w:rsidR="005B6022" w:rsidRDefault="009C528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dos últimos elementos de la CURP evitan la duplicidad de la Clave y garantizan su correcta integración.</w:t>
      </w:r>
    </w:p>
    <w:p w14:paraId="579FCA90" w14:textId="77777777" w:rsidR="005B6022" w:rsidRDefault="005B6022">
      <w:pPr>
        <w:spacing w:line="360" w:lineRule="auto"/>
        <w:jc w:val="both"/>
        <w:rPr>
          <w:rFonts w:ascii="Palatino Linotype" w:eastAsia="Palatino Linotype" w:hAnsi="Palatino Linotype" w:cs="Palatino Linotype"/>
          <w:color w:val="000000"/>
        </w:rPr>
      </w:pPr>
    </w:p>
    <w:p w14:paraId="282AD300"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0DED74EE" w14:textId="77777777" w:rsidR="005B6022" w:rsidRDefault="005B6022">
      <w:pPr>
        <w:spacing w:line="360" w:lineRule="auto"/>
        <w:jc w:val="both"/>
        <w:rPr>
          <w:rFonts w:ascii="Palatino Linotype" w:eastAsia="Palatino Linotype" w:hAnsi="Palatino Linotype" w:cs="Palatino Linotype"/>
          <w:color w:val="000000"/>
        </w:rPr>
      </w:pPr>
    </w:p>
    <w:p w14:paraId="69AB7E57"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 aplicable en la especie, como argumento orientador, el Criterio 3/10, emitido por el INAI.</w:t>
      </w:r>
    </w:p>
    <w:p w14:paraId="731AAC10" w14:textId="77777777" w:rsidR="005B6022" w:rsidRDefault="005B6022">
      <w:pPr>
        <w:spacing w:line="360" w:lineRule="auto"/>
        <w:jc w:val="both"/>
        <w:rPr>
          <w:rFonts w:ascii="Palatino Linotype" w:eastAsia="Palatino Linotype" w:hAnsi="Palatino Linotype" w:cs="Palatino Linotype"/>
          <w:color w:val="000000"/>
        </w:rPr>
      </w:pPr>
    </w:p>
    <w:p w14:paraId="6147E78F" w14:textId="77777777" w:rsidR="005B6022" w:rsidRDefault="009C528D">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Clave Única de Registro de Población (CURP) es un dato personal confidencial. </w:t>
      </w:r>
      <w:r>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1E8B3BA2" w14:textId="77777777" w:rsidR="005B6022" w:rsidRDefault="005B6022">
      <w:pPr>
        <w:ind w:left="1134" w:right="900"/>
        <w:jc w:val="both"/>
        <w:rPr>
          <w:rFonts w:ascii="Palatino Linotype" w:eastAsia="Palatino Linotype" w:hAnsi="Palatino Linotype" w:cs="Palatino Linotype"/>
          <w:color w:val="000000"/>
          <w:sz w:val="22"/>
          <w:szCs w:val="22"/>
        </w:rPr>
      </w:pPr>
    </w:p>
    <w:p w14:paraId="5E7B71CB"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14:paraId="40C95E93" w14:textId="77777777" w:rsidR="005B6022" w:rsidRDefault="005B6022">
      <w:pPr>
        <w:pBdr>
          <w:top w:val="nil"/>
          <w:left w:val="nil"/>
          <w:bottom w:val="nil"/>
          <w:right w:val="nil"/>
          <w:between w:val="nil"/>
        </w:pBdr>
        <w:rPr>
          <w:rFonts w:ascii="Palatino Linotype" w:eastAsia="Palatino Linotype" w:hAnsi="Palatino Linotype" w:cs="Palatino Linotype"/>
          <w:color w:val="000000"/>
        </w:rPr>
      </w:pPr>
    </w:p>
    <w:p w14:paraId="083E017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Clave de cualquier tipo de seguridad social (ISSEMyM, u otros</w:t>
      </w:r>
      <w:r>
        <w:rPr>
          <w:rFonts w:ascii="Palatino Linotype" w:eastAsia="Palatino Linotype" w:hAnsi="Palatino Linotype" w:cs="Palatino Linotype"/>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DCB5127" w14:textId="77777777" w:rsidR="005B6022" w:rsidRDefault="005B6022">
      <w:pPr>
        <w:tabs>
          <w:tab w:val="left" w:pos="284"/>
        </w:tabs>
        <w:spacing w:line="360" w:lineRule="auto"/>
        <w:jc w:val="both"/>
        <w:rPr>
          <w:rFonts w:ascii="Palatino Linotype" w:eastAsia="Palatino Linotype" w:hAnsi="Palatino Linotype" w:cs="Palatino Linotype"/>
        </w:rPr>
      </w:pPr>
    </w:p>
    <w:p w14:paraId="0BF528F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w:t>
      </w:r>
      <w:r>
        <w:rPr>
          <w:rFonts w:ascii="Palatino Linotype" w:eastAsia="Palatino Linotype" w:hAnsi="Palatino Linotype" w:cs="Palatino Linotype"/>
          <w:color w:val="000000"/>
        </w:rPr>
        <w:t>Municipios</w:t>
      </w:r>
      <w:r>
        <w:rPr>
          <w:rFonts w:ascii="Palatino Linotype" w:eastAsia="Palatino Linotype" w:hAnsi="Palatino Linotype" w:cs="Palatino Linotype"/>
        </w:rPr>
        <w:t>,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5731B032" w14:textId="77777777" w:rsidR="005B6022" w:rsidRDefault="005B6022">
      <w:pPr>
        <w:tabs>
          <w:tab w:val="left" w:pos="284"/>
        </w:tabs>
        <w:spacing w:line="360" w:lineRule="auto"/>
        <w:jc w:val="both"/>
        <w:rPr>
          <w:rFonts w:ascii="Palatino Linotype" w:eastAsia="Palatino Linotype" w:hAnsi="Palatino Linotype" w:cs="Palatino Linotype"/>
        </w:rPr>
      </w:pPr>
    </w:p>
    <w:p w14:paraId="284162E7"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destacar que la clave ISSEMYM no cambia, aunque el trabajador se dé de baja y alta en diversas ocasiones, con motivo de haber trabajado en diferentes instituciones públicas de la Entidad. </w:t>
      </w:r>
    </w:p>
    <w:p w14:paraId="6F7C119B" w14:textId="77777777" w:rsidR="005B6022" w:rsidRDefault="005B6022">
      <w:pPr>
        <w:tabs>
          <w:tab w:val="left" w:pos="284"/>
        </w:tabs>
        <w:spacing w:line="360" w:lineRule="auto"/>
        <w:jc w:val="both"/>
        <w:rPr>
          <w:rFonts w:ascii="Palatino Linotype" w:eastAsia="Palatino Linotype" w:hAnsi="Palatino Linotype" w:cs="Palatino Linotype"/>
        </w:rPr>
      </w:pPr>
    </w:p>
    <w:p w14:paraId="05BC5169"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que se adquiere cuando se ingresa al servicio público, por tal motivo, es un dato </w:t>
      </w:r>
      <w:r>
        <w:rPr>
          <w:rFonts w:ascii="Palatino Linotype" w:eastAsia="Palatino Linotype" w:hAnsi="Palatino Linotype" w:cs="Palatino Linotype"/>
          <w:color w:val="000000"/>
        </w:rPr>
        <w:t>personal</w:t>
      </w:r>
      <w:r>
        <w:rPr>
          <w:rFonts w:ascii="Palatino Linotype" w:eastAsia="Palatino Linotype" w:hAnsi="Palatino Linotype" w:cs="Palatino Linotype"/>
        </w:rPr>
        <w:t xml:space="preserve"> confidencial, por lo que es procedente su eliminación en las versiones públicas que se elaboren, toda vez que actualiza el supuesto de confidencialidad del </w:t>
      </w:r>
      <w:r>
        <w:rPr>
          <w:rFonts w:ascii="Palatino Linotype" w:eastAsia="Palatino Linotype" w:hAnsi="Palatino Linotype" w:cs="Palatino Linotype"/>
        </w:rPr>
        <w:lastRenderedPageBreak/>
        <w:t>artículo 143, fracción I de la Ley de Transparencia y Acceso a la Información Pública del Estado de México y Municipios.</w:t>
      </w:r>
    </w:p>
    <w:p w14:paraId="248BE46A" w14:textId="77777777" w:rsidR="005B6022" w:rsidRDefault="005B6022">
      <w:pPr>
        <w:tabs>
          <w:tab w:val="left" w:pos="284"/>
        </w:tabs>
        <w:spacing w:line="360" w:lineRule="auto"/>
        <w:jc w:val="both"/>
        <w:rPr>
          <w:rFonts w:ascii="Palatino Linotype" w:eastAsia="Palatino Linotype" w:hAnsi="Palatino Linotype" w:cs="Palatino Linotype"/>
        </w:rPr>
      </w:pPr>
    </w:p>
    <w:p w14:paraId="25C683FC"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préstamos o descuentos de carácter personal, estos no deben tener </w:t>
      </w:r>
      <w:r>
        <w:rPr>
          <w:rFonts w:ascii="Palatino Linotype" w:eastAsia="Palatino Linotype" w:hAnsi="Palatino Linotype" w:cs="Palatino Linotype"/>
          <w:color w:val="000000"/>
        </w:rPr>
        <w:t>relación</w:t>
      </w:r>
      <w:r>
        <w:rPr>
          <w:rFonts w:ascii="Palatino Linotype" w:eastAsia="Palatino Linotype" w:hAnsi="Palatino Linotype" w:cs="Palatino Linotype"/>
        </w:rPr>
        <w:t xml:space="preserve">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4BC22D58" w14:textId="77777777" w:rsidR="005B6022" w:rsidRDefault="005B6022">
      <w:pPr>
        <w:tabs>
          <w:tab w:val="left" w:pos="284"/>
        </w:tabs>
        <w:spacing w:line="360" w:lineRule="auto"/>
        <w:jc w:val="both"/>
        <w:rPr>
          <w:rFonts w:ascii="Palatino Linotype" w:eastAsia="Palatino Linotype" w:hAnsi="Palatino Linotype" w:cs="Palatino Linotype"/>
        </w:rPr>
      </w:pPr>
    </w:p>
    <w:p w14:paraId="735257C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84 de la Ley del Trabajo de los Servidores Públicos del Estado y </w:t>
      </w:r>
      <w:r>
        <w:rPr>
          <w:rFonts w:ascii="Palatino Linotype" w:eastAsia="Palatino Linotype" w:hAnsi="Palatino Linotype" w:cs="Palatino Linotype"/>
          <w:color w:val="000000"/>
        </w:rPr>
        <w:t>Municipios</w:t>
      </w:r>
      <w:r>
        <w:rPr>
          <w:rFonts w:ascii="Palatino Linotype" w:eastAsia="Palatino Linotype" w:hAnsi="Palatino Linotype" w:cs="Palatino Linotype"/>
        </w:rPr>
        <w:t>, señala:</w:t>
      </w:r>
    </w:p>
    <w:p w14:paraId="38FEE3E2"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2579268D"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Gravámenes fiscales relacionados con el sueldo;</w:t>
      </w:r>
    </w:p>
    <w:p w14:paraId="33C8B3B5"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35A30158"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49775799"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2685F21"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9162098"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60ED5C7B"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VII. Faltas de puntualidad o de asistencia injustificadas;</w:t>
      </w:r>
    </w:p>
    <w:p w14:paraId="0D01D5CB"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1A7390EF"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IX. Cualquier otro convenido con instituciones de servicios y aceptado por el servidor público.</w:t>
      </w:r>
    </w:p>
    <w:p w14:paraId="5E8BDF8A"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70B8C3F" w14:textId="77777777" w:rsidR="005B6022" w:rsidRDefault="009C528D">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11021EE" w14:textId="77777777" w:rsidR="005B6022" w:rsidRDefault="005B6022">
      <w:pPr>
        <w:spacing w:line="360" w:lineRule="auto"/>
        <w:ind w:left="851" w:right="-929"/>
        <w:jc w:val="both"/>
        <w:rPr>
          <w:rFonts w:ascii="Palatino Linotype" w:eastAsia="Palatino Linotype" w:hAnsi="Palatino Linotype" w:cs="Palatino Linotype"/>
        </w:rPr>
      </w:pPr>
    </w:p>
    <w:p w14:paraId="72F2878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u w:val="single"/>
        </w:rPr>
        <w:t>únicamente inciden en su vida privada</w:t>
      </w:r>
      <w:r>
        <w:rPr>
          <w:rFonts w:ascii="Palatino Linotype" w:eastAsia="Palatino Linotype" w:hAnsi="Palatino Linotype" w:cs="Palatino Linotype"/>
        </w:rPr>
        <w:t xml:space="preserve">. De este </w:t>
      </w:r>
      <w:r>
        <w:rPr>
          <w:rFonts w:ascii="Palatino Linotype" w:eastAsia="Palatino Linotype" w:hAnsi="Palatino Linotype" w:cs="Palatino Linotype"/>
          <w:color w:val="000000"/>
        </w:rPr>
        <w:t>modo</w:t>
      </w:r>
      <w:r>
        <w:rPr>
          <w:rFonts w:ascii="Palatino Linotype" w:eastAsia="Palatino Linotype" w:hAnsi="Palatino Linotype" w:cs="Palatino Linotype"/>
        </w:rPr>
        <w:t>, descuentos por pensiones alimenticias o créditos adquiridos con instituciones privadas o públicas pero que fueron contraídas en forma individual, son información que debe clasificarse como confidencial.</w:t>
      </w:r>
    </w:p>
    <w:p w14:paraId="5D45CDE9" w14:textId="77777777" w:rsidR="005B6022" w:rsidRDefault="005B6022">
      <w:pPr>
        <w:tabs>
          <w:tab w:val="left" w:pos="284"/>
        </w:tabs>
        <w:spacing w:line="360" w:lineRule="auto"/>
        <w:jc w:val="both"/>
        <w:rPr>
          <w:rFonts w:ascii="Palatino Linotype" w:eastAsia="Palatino Linotype" w:hAnsi="Palatino Linotype" w:cs="Palatino Linotype"/>
        </w:rPr>
      </w:pPr>
    </w:p>
    <w:p w14:paraId="59F94054"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w:t>
      </w:r>
      <w:r>
        <w:rPr>
          <w:rFonts w:ascii="Palatino Linotype" w:eastAsia="Palatino Linotype" w:hAnsi="Palatino Linotype" w:cs="Palatino Linotype"/>
          <w:color w:val="000000"/>
        </w:rPr>
        <w:t>lo</w:t>
      </w:r>
      <w:r>
        <w:rPr>
          <w:rFonts w:ascii="Palatino Linotype" w:eastAsia="Palatino Linotype" w:hAnsi="Palatino Linotype" w:cs="Palatino Linotype"/>
        </w:rPr>
        <w:t xml:space="preserve"> tanto los sujetos obligados no deben hacer entrega de éstos a persona ajena a su titular, sobre todo cuando traiga implícita que se ponga en riesgo la vida o integridad de una persona.</w:t>
      </w:r>
    </w:p>
    <w:p w14:paraId="4A25CACE" w14:textId="77777777" w:rsidR="005B6022" w:rsidRDefault="005B6022">
      <w:pPr>
        <w:tabs>
          <w:tab w:val="left" w:pos="284"/>
        </w:tabs>
        <w:spacing w:line="360" w:lineRule="auto"/>
        <w:jc w:val="both"/>
        <w:rPr>
          <w:rFonts w:ascii="Palatino Linotype" w:eastAsia="Palatino Linotype" w:hAnsi="Palatino Linotype" w:cs="Palatino Linotype"/>
        </w:rPr>
      </w:pPr>
    </w:p>
    <w:p w14:paraId="26E21715"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Sirven de </w:t>
      </w:r>
      <w:r>
        <w:rPr>
          <w:rFonts w:ascii="Palatino Linotype" w:eastAsia="Palatino Linotype" w:hAnsi="Palatino Linotype" w:cs="Palatino Linotype"/>
          <w:color w:val="000000"/>
        </w:rPr>
        <w:t>sustento</w:t>
      </w:r>
      <w:r>
        <w:rPr>
          <w:rFonts w:ascii="Palatino Linotype" w:eastAsia="Palatino Linotype" w:hAnsi="Palatino Linotype" w:cs="Palatino Linotype"/>
        </w:rPr>
        <w:t xml:space="preserve"> a lo anterior, las tesis jurisprudenciales P. LX/2000 y 2a. XLIII/2008 emitidas por el Peno y la Segunda Sala de la Suprema Corte de Justicia de la Nación, respectivamente, que son del tenor literal siguiente:</w:t>
      </w:r>
    </w:p>
    <w:p w14:paraId="4A9C36BA" w14:textId="77777777" w:rsidR="005B6022" w:rsidRDefault="009C528D">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65EC5CF4" w14:textId="77777777" w:rsidR="005B6022" w:rsidRDefault="005B6022">
      <w:pPr>
        <w:ind w:left="1134" w:right="541"/>
        <w:jc w:val="both"/>
        <w:rPr>
          <w:rFonts w:ascii="Palatino Linotype" w:eastAsia="Palatino Linotype" w:hAnsi="Palatino Linotype" w:cs="Palatino Linotype"/>
          <w:i/>
          <w:sz w:val="22"/>
          <w:szCs w:val="22"/>
        </w:rPr>
      </w:pPr>
    </w:p>
    <w:p w14:paraId="37B6DF3F" w14:textId="77777777" w:rsidR="005B6022" w:rsidRDefault="009C528D">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w:t>
      </w:r>
      <w:r>
        <w:rPr>
          <w:rFonts w:ascii="Palatino Linotype" w:eastAsia="Palatino Linotype" w:hAnsi="Palatino Linotype" w:cs="Palatino Linotype"/>
          <w:i/>
          <w:sz w:val="22"/>
          <w:szCs w:val="22"/>
        </w:rPr>
        <w:lastRenderedPageBreak/>
        <w:t xml:space="preserve">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7D9F4F39" w14:textId="77777777" w:rsidR="005B6022" w:rsidRDefault="005B6022">
      <w:pPr>
        <w:ind w:left="1134" w:right="-929"/>
        <w:jc w:val="both"/>
        <w:rPr>
          <w:rFonts w:ascii="Palatino Linotype" w:eastAsia="Palatino Linotype" w:hAnsi="Palatino Linotype" w:cs="Palatino Linotype"/>
          <w:i/>
        </w:rPr>
      </w:pPr>
    </w:p>
    <w:p w14:paraId="63AF27A7"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También, el número de cuenta bancario, en el Criterio 10/17 emitido por el Pleno del </w:t>
      </w:r>
      <w:r>
        <w:rPr>
          <w:rFonts w:ascii="Palatino Linotype" w:eastAsia="Palatino Linotype" w:hAnsi="Palatino Linotype" w:cs="Palatino Linotype"/>
          <w:color w:val="000000"/>
        </w:rPr>
        <w:t>Instituto</w:t>
      </w:r>
      <w:r>
        <w:rPr>
          <w:rFonts w:ascii="Palatino Linotype" w:eastAsia="Palatino Linotype" w:hAnsi="Palatino Linotype" w:cs="Palatino Linotype"/>
        </w:rPr>
        <w:t xml:space="preserve"> Nacional de Transparencia, Acceso a la Información y Protección de Datos Personales  se establece lo siguiente:</w:t>
      </w:r>
    </w:p>
    <w:p w14:paraId="51912BE0" w14:textId="77777777" w:rsidR="005B6022" w:rsidRDefault="009C528D">
      <w:pPr>
        <w:shd w:val="clear" w:color="auto" w:fill="FFFFFF"/>
        <w:ind w:left="1134" w:right="104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494D1408" w14:textId="77777777" w:rsidR="005B6022" w:rsidRDefault="005B6022">
      <w:pPr>
        <w:ind w:left="1134" w:right="-929"/>
        <w:jc w:val="both"/>
        <w:rPr>
          <w:rFonts w:ascii="Palatino Linotype" w:eastAsia="Palatino Linotype" w:hAnsi="Palatino Linotype" w:cs="Palatino Linotype"/>
        </w:rPr>
      </w:pPr>
    </w:p>
    <w:p w14:paraId="2D0640B6"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Esta cuenta es de uso personal y no guarda relación con el servicio público ni con los </w:t>
      </w:r>
      <w:r>
        <w:rPr>
          <w:rFonts w:ascii="Palatino Linotype" w:eastAsia="Palatino Linotype" w:hAnsi="Palatino Linotype" w:cs="Palatino Linotype"/>
          <w:color w:val="000000"/>
        </w:rPr>
        <w:t>recursos</w:t>
      </w:r>
      <w:r>
        <w:rPr>
          <w:rFonts w:ascii="Palatino Linotype" w:eastAsia="Palatino Linotype" w:hAnsi="Palatino Linotype" w:cs="Palatino Linotype"/>
        </w:rPr>
        <w:t xml:space="preserve">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w:t>
      </w:r>
      <w:r>
        <w:rPr>
          <w:rFonts w:ascii="Palatino Linotype" w:eastAsia="Palatino Linotype" w:hAnsi="Palatino Linotype" w:cs="Palatino Linotype"/>
        </w:rPr>
        <w:lastRenderedPageBreak/>
        <w:t>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3ED5CBC" w14:textId="77777777" w:rsidR="005B6022" w:rsidRDefault="005B6022">
      <w:pPr>
        <w:spacing w:line="360" w:lineRule="auto"/>
        <w:jc w:val="both"/>
        <w:rPr>
          <w:rFonts w:ascii="Palatino Linotype" w:eastAsia="Palatino Linotype" w:hAnsi="Palatino Linotype" w:cs="Palatino Linotype"/>
        </w:rPr>
      </w:pPr>
    </w:p>
    <w:p w14:paraId="240B713D"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603FBF0" w14:textId="77777777" w:rsidR="005B6022" w:rsidRDefault="009C528D">
      <w:pPr>
        <w:shd w:val="clear" w:color="auto" w:fill="FFFFFF"/>
        <w:ind w:left="1134" w:right="5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41E50AAB" w14:textId="77777777" w:rsidR="005B6022" w:rsidRDefault="005B6022">
      <w:pPr>
        <w:shd w:val="clear" w:color="auto" w:fill="FFFFFF"/>
        <w:ind w:left="1134" w:right="1106"/>
        <w:jc w:val="both"/>
        <w:rPr>
          <w:rFonts w:ascii="Palatino Linotype" w:eastAsia="Palatino Linotype" w:hAnsi="Palatino Linotype" w:cs="Palatino Linotype"/>
          <w:i/>
          <w:color w:val="222222"/>
        </w:rPr>
      </w:pPr>
    </w:p>
    <w:p w14:paraId="0AD70BDB"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w:t>
      </w:r>
      <w:r>
        <w:rPr>
          <w:rFonts w:ascii="Palatino Linotype" w:eastAsia="Palatino Linotype" w:hAnsi="Palatino Linotype" w:cs="Palatino Linotype"/>
          <w:color w:val="000000"/>
        </w:rPr>
        <w:t>anterior</w:t>
      </w:r>
      <w:r>
        <w:rPr>
          <w:rFonts w:ascii="Palatino Linotype" w:eastAsia="Palatino Linotype" w:hAnsi="Palatino Linotype" w:cs="Palatino Linotype"/>
        </w:rPr>
        <w:t xml:space="preserve">, se debe de mencionar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de realizar un análisis respecto al número de empleado, ya que este solo deberá de ser clasificado como confidencial si tiene relación con datos personales de los servidores públicos.</w:t>
      </w:r>
    </w:p>
    <w:p w14:paraId="76EE79D7" w14:textId="77777777" w:rsidR="005B6022" w:rsidRDefault="005B6022">
      <w:pPr>
        <w:rPr>
          <w:rFonts w:ascii="Palatino Linotype" w:eastAsia="Palatino Linotype" w:hAnsi="Palatino Linotype" w:cs="Palatino Linotype"/>
          <w:b/>
          <w:i/>
        </w:rPr>
      </w:pPr>
    </w:p>
    <w:p w14:paraId="35C53088" w14:textId="77777777" w:rsidR="005B6022" w:rsidRDefault="009C528D">
      <w:pPr>
        <w:numPr>
          <w:ilvl w:val="0"/>
          <w:numId w:val="5"/>
        </w:numPr>
        <w:ind w:left="0" w:firstLine="0"/>
        <w:rPr>
          <w:rFonts w:ascii="Palatino Linotype" w:eastAsia="Palatino Linotype" w:hAnsi="Palatino Linotype" w:cs="Palatino Linotype"/>
          <w:b/>
          <w:i/>
        </w:rPr>
      </w:pPr>
      <w:r>
        <w:rPr>
          <w:rFonts w:ascii="Palatino Linotype" w:eastAsia="Palatino Linotype" w:hAnsi="Palatino Linotype" w:cs="Palatino Linotype"/>
        </w:rPr>
        <w:t xml:space="preserve">Por último se debe de señalar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de checar la información que remita y para el caso del personal Operativo adscrito a la </w:t>
      </w:r>
      <w:r>
        <w:rPr>
          <w:rFonts w:ascii="Palatino Linotype" w:eastAsia="Palatino Linotype" w:hAnsi="Palatino Linotype" w:cs="Palatino Linotype"/>
        </w:rPr>
        <w:lastRenderedPageBreak/>
        <w:t xml:space="preserve">Dirección de Seguridad y Protección Civil la información deberá de ser clasificada como reservada de conformidad con lo siguiente. </w:t>
      </w:r>
    </w:p>
    <w:p w14:paraId="68E39BF5" w14:textId="77777777" w:rsidR="005B6022" w:rsidRDefault="005B6022">
      <w:pPr>
        <w:pBdr>
          <w:top w:val="nil"/>
          <w:left w:val="nil"/>
          <w:bottom w:val="nil"/>
          <w:right w:val="nil"/>
          <w:between w:val="nil"/>
        </w:pBdr>
        <w:ind w:left="720"/>
        <w:rPr>
          <w:rFonts w:ascii="Palatino Linotype" w:eastAsia="Palatino Linotype" w:hAnsi="Palatino Linotype" w:cs="Palatino Linotype"/>
          <w:b/>
          <w:i/>
          <w:color w:val="000000"/>
        </w:rPr>
      </w:pPr>
    </w:p>
    <w:p w14:paraId="7EE2FBF0" w14:textId="77777777" w:rsidR="005B6022" w:rsidRDefault="005B6022">
      <w:pPr>
        <w:rPr>
          <w:rFonts w:ascii="Palatino Linotype" w:eastAsia="Palatino Linotype" w:hAnsi="Palatino Linotype" w:cs="Palatino Linotype"/>
          <w:b/>
          <w:i/>
        </w:rPr>
      </w:pPr>
    </w:p>
    <w:p w14:paraId="64E822A4"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aquellos que realicen </w:t>
      </w:r>
      <w:r>
        <w:rPr>
          <w:rFonts w:ascii="Palatino Linotype" w:eastAsia="Palatino Linotype" w:hAnsi="Palatino Linotype" w:cs="Palatino Linotype"/>
          <w:b/>
          <w:color w:val="000000"/>
        </w:rPr>
        <w:t>actividades operativas en materia de seguridad</w:t>
      </w:r>
      <w:r>
        <w:rPr>
          <w:rFonts w:ascii="Palatino Linotype" w:eastAsia="Palatino Linotype" w:hAnsi="Palatino Linotype" w:cs="Palatino Linotype"/>
          <w:color w:val="000000"/>
        </w:rPr>
        <w:t>, como es el caso de los elementos operativos y la policía municipal.</w:t>
      </w:r>
    </w:p>
    <w:p w14:paraId="3885E28B"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350B6BB"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A7EDB4E" w14:textId="77777777" w:rsidR="005B6022" w:rsidRDefault="005B60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B02217" w14:textId="77777777" w:rsidR="005B6022" w:rsidRDefault="009C528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situación, se considera que dar a conocer el nombre de los elementos operativos, que incluye a los policías municipales, puede poner en riesgo la vida, seguridad y salud de estos, de sus familias e incluso su entorno social, pues al </w:t>
      </w:r>
      <w:r>
        <w:rPr>
          <w:rFonts w:ascii="Palatino Linotype" w:eastAsia="Palatino Linotype" w:hAnsi="Palatino Linotype" w:cs="Palatino Linotype"/>
          <w:color w:val="000000"/>
        </w:rPr>
        <w:lastRenderedPageBreak/>
        <w:t>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318CCA3" w14:textId="77777777" w:rsidR="005B6022" w:rsidRDefault="005B60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96F3B7F" w14:textId="77777777" w:rsidR="005B6022" w:rsidRDefault="009C528D">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sz w:val="22"/>
          <w:szCs w:val="22"/>
        </w:rPr>
        <w:t>tales</w:t>
      </w:r>
      <w:r>
        <w:rPr>
          <w:rFonts w:ascii="Palatino Linotype" w:eastAsia="Palatino Linotype" w:hAnsi="Palatino Linotype" w:cs="Palatino Linotype"/>
        </w:rPr>
        <w:t xml:space="preserve"> consideraciones, resulta procedente la reserva del </w:t>
      </w:r>
      <w:r>
        <w:rPr>
          <w:rFonts w:ascii="Palatino Linotype" w:eastAsia="Palatino Linotype" w:hAnsi="Palatino Linotype" w:cs="Palatino Linotype"/>
          <w:b/>
        </w:rPr>
        <w:t>nombre de los elementos operativos</w:t>
      </w:r>
      <w:r>
        <w:rPr>
          <w:rFonts w:ascii="Palatino Linotype" w:eastAsia="Palatino Linotype" w:hAnsi="Palatino Linotype" w:cs="Palatino Linotype"/>
        </w:rPr>
        <w:t xml:space="preserve"> de la Dirección de Seguridad Pública y Protección Civil Municipal, en términos del artículo 140, fracción IV, de la Ley de Transparencia y Acceso a la Información Pública del Estado de México y Municipios.</w:t>
      </w:r>
    </w:p>
    <w:p w14:paraId="0B4A260C" w14:textId="77777777" w:rsidR="005B6022" w:rsidRDefault="005B6022">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36A24299" w14:textId="77777777" w:rsidR="005B6022" w:rsidRDefault="009C528D">
      <w:pPr>
        <w:keepNext/>
        <w:keepLines/>
        <w:spacing w:line="360" w:lineRule="auto"/>
        <w:rPr>
          <w:rFonts w:ascii="Palatino Linotype" w:eastAsia="Palatino Linotype" w:hAnsi="Palatino Linotype" w:cs="Palatino Linotype"/>
          <w:b/>
          <w:color w:val="000000"/>
        </w:rPr>
      </w:pPr>
      <w:bookmarkStart w:id="9" w:name="_heading=h.1t3h5sf" w:colFirst="0" w:colLast="0"/>
      <w:bookmarkEnd w:id="9"/>
      <w:r>
        <w:rPr>
          <w:rFonts w:ascii="Palatino Linotype" w:eastAsia="Palatino Linotype" w:hAnsi="Palatino Linotype" w:cs="Palatino Linotype"/>
          <w:b/>
          <w:color w:val="000000"/>
        </w:rPr>
        <w:t>QUINTO. De la versión pública.</w:t>
      </w:r>
    </w:p>
    <w:p w14:paraId="09E1AFD1" w14:textId="77777777" w:rsidR="005B6022" w:rsidRDefault="005B6022">
      <w:pPr>
        <w:rPr>
          <w:rFonts w:ascii="Palatino Linotype" w:eastAsia="Palatino Linotype" w:hAnsi="Palatino Linotype" w:cs="Palatino Linotype"/>
        </w:rPr>
      </w:pPr>
    </w:p>
    <w:p w14:paraId="32229C4D" w14:textId="77777777" w:rsidR="005B6022" w:rsidRDefault="009C528D">
      <w:pPr>
        <w:keepNext/>
        <w:keepLines/>
        <w:numPr>
          <w:ilvl w:val="0"/>
          <w:numId w:val="2"/>
        </w:numPr>
        <w:tabs>
          <w:tab w:val="left" w:pos="284"/>
        </w:tabs>
        <w:spacing w:line="360" w:lineRule="auto"/>
        <w:rPr>
          <w:rFonts w:ascii="Palatino Linotype" w:eastAsia="Palatino Linotype" w:hAnsi="Palatino Linotype" w:cs="Palatino Linotype"/>
          <w:b/>
          <w:color w:val="000000"/>
        </w:rPr>
      </w:pPr>
      <w:bookmarkStart w:id="10" w:name="_heading=h.4d34og8" w:colFirst="0" w:colLast="0"/>
      <w:bookmarkEnd w:id="10"/>
      <w:r>
        <w:rPr>
          <w:rFonts w:ascii="Palatino Linotype" w:eastAsia="Palatino Linotype" w:hAnsi="Palatino Linotype" w:cs="Palatino Linotype"/>
          <w:b/>
          <w:color w:val="000000"/>
        </w:rPr>
        <w:t xml:space="preserve">Nociones generales. </w:t>
      </w:r>
    </w:p>
    <w:p w14:paraId="74D2F25D"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eventualmente</w:t>
      </w:r>
      <w:r>
        <w:rPr>
          <w:rFonts w:ascii="Palatino Linotype" w:eastAsia="Palatino Linotype" w:hAnsi="Palatino Linotype" w:cs="Palatino Linotype"/>
          <w:color w:val="000000"/>
        </w:rPr>
        <w:t xml:space="preserve"> pudiera obrar datos personales susceptibles de protegerse, así como información </w:t>
      </w:r>
      <w:r>
        <w:rPr>
          <w:rFonts w:ascii="Palatino Linotype" w:eastAsia="Palatino Linotype" w:hAnsi="Palatino Linotype" w:cs="Palatino Linotype"/>
        </w:rPr>
        <w:t>susceptible</w:t>
      </w:r>
      <w:r>
        <w:rPr>
          <w:rFonts w:ascii="Palatino Linotype" w:eastAsia="Palatino Linotype" w:hAnsi="Palatino Linotype" w:cs="Palatino Linotype"/>
          <w:color w:val="000000"/>
        </w:rPr>
        <w:t xml:space="preserve"> de clasificarse como confidencial y reservada,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5BA8C30F" w14:textId="77777777" w:rsidR="005B6022" w:rsidRDefault="005B6022">
      <w:pPr>
        <w:tabs>
          <w:tab w:val="left" w:pos="0"/>
          <w:tab w:val="left" w:pos="284"/>
        </w:tabs>
        <w:spacing w:line="360" w:lineRule="auto"/>
        <w:ind w:right="49"/>
        <w:jc w:val="both"/>
        <w:rPr>
          <w:rFonts w:ascii="Palatino Linotype" w:eastAsia="Palatino Linotype" w:hAnsi="Palatino Linotype" w:cs="Palatino Linotype"/>
          <w:highlight w:val="yellow"/>
        </w:rPr>
      </w:pPr>
    </w:p>
    <w:p w14:paraId="744FF83A" w14:textId="77777777" w:rsidR="005B6022" w:rsidRDefault="009C528D">
      <w:pPr>
        <w:numPr>
          <w:ilvl w:val="0"/>
          <w:numId w:val="5"/>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Pr>
          <w:rFonts w:ascii="Palatino Linotype" w:eastAsia="Palatino Linotype" w:hAnsi="Palatino Linotype" w:cs="Palatino Linotype"/>
          <w:color w:val="000000"/>
        </w:rPr>
        <w:lastRenderedPageBreak/>
        <w:t>clasificación de la información, se deben seguir una serie de pasos y procedimientos, por lo que es menester reiterar los mismos:</w:t>
      </w:r>
    </w:p>
    <w:p w14:paraId="3AF2CAD9" w14:textId="77777777" w:rsidR="005B6022" w:rsidRDefault="005B6022">
      <w:pPr>
        <w:tabs>
          <w:tab w:val="left" w:pos="284"/>
        </w:tabs>
        <w:spacing w:line="360" w:lineRule="auto"/>
        <w:ind w:right="49"/>
        <w:jc w:val="both"/>
        <w:rPr>
          <w:rFonts w:ascii="Palatino Linotype" w:eastAsia="Palatino Linotype" w:hAnsi="Palatino Linotype" w:cs="Palatino Linotype"/>
          <w:color w:val="000000"/>
        </w:rPr>
      </w:pPr>
    </w:p>
    <w:tbl>
      <w:tblPr>
        <w:tblStyle w:val="a0"/>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5B6022" w14:paraId="1169BD38" w14:textId="77777777">
        <w:tc>
          <w:tcPr>
            <w:tcW w:w="2689" w:type="dxa"/>
          </w:tcPr>
          <w:p w14:paraId="0F5CB164" w14:textId="77777777" w:rsidR="005B6022" w:rsidRDefault="009C528D">
            <w:pPr>
              <w:tabs>
                <w:tab w:val="left" w:pos="284"/>
              </w:tabs>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237" w:type="dxa"/>
          </w:tcPr>
          <w:p w14:paraId="720DF289"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C1E6E3A"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hacerlo tienen que precisar de qué información se trata, señalando el supuesto de clasificación (confidencialidad o reserva).</w:t>
            </w:r>
          </w:p>
          <w:p w14:paraId="567775AB"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Además, se debe señalar el procedimiento, de los tres que establecen los artículos 132 y 106 de la Ley Estatal y General, respectivamente.</w:t>
            </w:r>
          </w:p>
          <w:p w14:paraId="3FEA0FB7" w14:textId="77777777" w:rsidR="005B6022" w:rsidRDefault="009C528D">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último de estos requisitos previos consiste en que no se pueden emitir acuerdos de carácter general ni particular, esto es, </w:t>
            </w:r>
            <w:r>
              <w:rPr>
                <w:rFonts w:ascii="Palatino Linotype" w:eastAsia="Palatino Linotype" w:hAnsi="Palatino Linotype" w:cs="Palatino Linotype"/>
                <w:u w:val="single"/>
              </w:rPr>
              <w:t>no se puede hacer un acuerdo para clasificar de manera general todos los documentos de un expediente o área, sin</w:t>
            </w:r>
            <w:r>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5B6022" w14:paraId="1CD6550E" w14:textId="77777777">
        <w:tc>
          <w:tcPr>
            <w:tcW w:w="2689" w:type="dxa"/>
          </w:tcPr>
          <w:p w14:paraId="208CC9BD" w14:textId="77777777" w:rsidR="005B6022" w:rsidRDefault="009C528D">
            <w:pPr>
              <w:tabs>
                <w:tab w:val="left" w:pos="284"/>
              </w:tabs>
              <w:rPr>
                <w:rFonts w:ascii="Palatino Linotype" w:eastAsia="Palatino Linotype" w:hAnsi="Palatino Linotype" w:cs="Palatino Linotype"/>
              </w:rPr>
            </w:pPr>
            <w:r>
              <w:rPr>
                <w:rFonts w:ascii="Palatino Linotype" w:eastAsia="Palatino Linotype" w:hAnsi="Palatino Linotype" w:cs="Palatino Linotype"/>
              </w:rPr>
              <w:lastRenderedPageBreak/>
              <w:t>b) Supuestos de clasificación.</w:t>
            </w:r>
          </w:p>
        </w:tc>
        <w:tc>
          <w:tcPr>
            <w:tcW w:w="6237" w:type="dxa"/>
          </w:tcPr>
          <w:p w14:paraId="54241A92"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081C34C0"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D2057D5" w14:textId="77777777" w:rsidR="005B6022" w:rsidRDefault="009C528D">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B6022" w14:paraId="790A17A8" w14:textId="77777777">
        <w:tc>
          <w:tcPr>
            <w:tcW w:w="2689" w:type="dxa"/>
          </w:tcPr>
          <w:p w14:paraId="6589C948" w14:textId="77777777" w:rsidR="005B6022" w:rsidRDefault="009C528D">
            <w:pPr>
              <w:tabs>
                <w:tab w:val="left" w:pos="284"/>
              </w:tabs>
              <w:rPr>
                <w:rFonts w:ascii="Palatino Linotype" w:eastAsia="Palatino Linotype" w:hAnsi="Palatino Linotype" w:cs="Palatino Linotype"/>
              </w:rPr>
            </w:pPr>
            <w:r>
              <w:rPr>
                <w:rFonts w:ascii="Palatino Linotype" w:eastAsia="Palatino Linotype" w:hAnsi="Palatino Linotype" w:cs="Palatino Linotype"/>
              </w:rPr>
              <w:t>c) Formalidades para emitir el acuerdo de clasificación.</w:t>
            </w:r>
          </w:p>
        </w:tc>
        <w:tc>
          <w:tcPr>
            <w:tcW w:w="6237" w:type="dxa"/>
          </w:tcPr>
          <w:p w14:paraId="71FBCF22"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64462E7B"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necesario que </w:t>
            </w:r>
            <w:r>
              <w:rPr>
                <w:rFonts w:ascii="Palatino Linotype" w:eastAsia="Palatino Linotype" w:hAnsi="Palatino Linotype" w:cs="Palatino Linotype"/>
                <w:b/>
                <w:u w:val="single"/>
              </w:rPr>
              <w:t>el acto reúna con los requisitos elementales</w:t>
            </w:r>
            <w:r>
              <w:rPr>
                <w:rFonts w:ascii="Palatino Linotype" w:eastAsia="Palatino Linotype" w:hAnsi="Palatino Linotype" w:cs="Palatino Linotype"/>
              </w:rPr>
              <w:t>, entre ellos, que la autoridad que va a emitir el acto de autoridad sea la legalmente facultada para ello.</w:t>
            </w:r>
          </w:p>
          <w:p w14:paraId="73720A82" w14:textId="77777777" w:rsidR="005B6022" w:rsidRDefault="009C528D">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B6022" w14:paraId="60BD122C" w14:textId="77777777">
        <w:tc>
          <w:tcPr>
            <w:tcW w:w="2689" w:type="dxa"/>
          </w:tcPr>
          <w:p w14:paraId="133A80BE" w14:textId="77777777" w:rsidR="005B6022" w:rsidRDefault="005B6022">
            <w:pPr>
              <w:tabs>
                <w:tab w:val="left" w:pos="284"/>
              </w:tabs>
              <w:rPr>
                <w:rFonts w:ascii="Palatino Linotype" w:eastAsia="Palatino Linotype" w:hAnsi="Palatino Linotype" w:cs="Palatino Linotype"/>
              </w:rPr>
            </w:pPr>
          </w:p>
          <w:p w14:paraId="4669C47A" w14:textId="77777777" w:rsidR="005B6022" w:rsidRDefault="009C528D">
            <w:pPr>
              <w:tabs>
                <w:tab w:val="left" w:pos="284"/>
              </w:tabs>
              <w:jc w:val="both"/>
              <w:rPr>
                <w:rFonts w:ascii="Palatino Linotype" w:eastAsia="Palatino Linotype" w:hAnsi="Palatino Linotype" w:cs="Palatino Linotype"/>
              </w:rPr>
            </w:pPr>
            <w:r>
              <w:rPr>
                <w:rFonts w:ascii="Palatino Linotype" w:eastAsia="Palatino Linotype" w:hAnsi="Palatino Linotype" w:cs="Palatino Linotype"/>
              </w:rPr>
              <w:t xml:space="preserve">d) Requisitos de fondo del acuerdo de clasificación. </w:t>
            </w:r>
          </w:p>
        </w:tc>
        <w:tc>
          <w:tcPr>
            <w:tcW w:w="6237" w:type="dxa"/>
          </w:tcPr>
          <w:p w14:paraId="62A352C9"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por lo que deberán fundar y motivar debidamente la clasificación. </w:t>
            </w:r>
          </w:p>
          <w:p w14:paraId="2EABDA63"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desprende que para una correcta </w:t>
            </w:r>
            <w:r>
              <w:rPr>
                <w:rFonts w:ascii="Palatino Linotype" w:eastAsia="Palatino Linotype" w:hAnsi="Palatino Linotype" w:cs="Palatino Linotype"/>
                <w:b/>
              </w:rPr>
              <w:t>clasificación total o parcial</w:t>
            </w:r>
            <w:r>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E5DAFD"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A0ED947"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66B24990"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Pr>
                <w:rFonts w:ascii="Palatino Linotype" w:eastAsia="Palatino Linotype" w:hAnsi="Palatino Linotype" w:cs="Palatino Linotype"/>
                <w:b/>
                <w:u w:val="single"/>
              </w:rPr>
              <w:t>para cada caso además de fundar y motivar</w:t>
            </w:r>
            <w:r>
              <w:rPr>
                <w:rFonts w:ascii="Palatino Linotype" w:eastAsia="Palatino Linotype" w:hAnsi="Palatino Linotype" w:cs="Palatino Linotype"/>
              </w:rPr>
              <w:t xml:space="preserve">, se debe identificar con claridad que datos contenidos en las documentales que son susceptibles de suprimirse, </w:t>
            </w:r>
            <w:r>
              <w:rPr>
                <w:rFonts w:ascii="Palatino Linotype" w:eastAsia="Palatino Linotype" w:hAnsi="Palatino Linotype" w:cs="Palatino Linotype"/>
              </w:rPr>
              <w:lastRenderedPageBreak/>
              <w:t>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B6022" w14:paraId="6FBBE760" w14:textId="77777777">
        <w:tc>
          <w:tcPr>
            <w:tcW w:w="2689" w:type="dxa"/>
          </w:tcPr>
          <w:p w14:paraId="506EFB4C" w14:textId="77777777" w:rsidR="005B6022" w:rsidRDefault="009C528D">
            <w:pPr>
              <w:tabs>
                <w:tab w:val="left" w:pos="284"/>
              </w:tabs>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14:paraId="4CAB803B"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6A63274E" w14:textId="77777777" w:rsidR="005B6022" w:rsidRDefault="009C528D">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8E7CD4C" w14:textId="77777777" w:rsidR="005B6022" w:rsidRDefault="009C528D">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6A83701" w14:textId="77777777" w:rsidR="005B6022" w:rsidRDefault="005B6022">
      <w:pPr>
        <w:tabs>
          <w:tab w:val="left" w:pos="284"/>
        </w:tabs>
        <w:spacing w:line="360" w:lineRule="auto"/>
        <w:jc w:val="both"/>
        <w:rPr>
          <w:rFonts w:ascii="Palatino Linotype" w:eastAsia="Palatino Linotype" w:hAnsi="Palatino Linotype" w:cs="Palatino Linotype"/>
          <w:color w:val="000000"/>
          <w:sz w:val="22"/>
          <w:szCs w:val="22"/>
        </w:rPr>
      </w:pPr>
    </w:p>
    <w:p w14:paraId="4E52CED8" w14:textId="77777777" w:rsidR="005B6022" w:rsidRDefault="009C528D">
      <w:pPr>
        <w:numPr>
          <w:ilvl w:val="0"/>
          <w:numId w:val="5"/>
        </w:numPr>
        <w:tabs>
          <w:tab w:val="left" w:pos="284"/>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9D6181F" w14:textId="77777777" w:rsidR="005B6022" w:rsidRDefault="005B6022">
      <w:pPr>
        <w:spacing w:line="360" w:lineRule="auto"/>
        <w:jc w:val="both"/>
        <w:rPr>
          <w:rFonts w:ascii="Palatino Linotype" w:eastAsia="Palatino Linotype" w:hAnsi="Palatino Linotype" w:cs="Palatino Linotype"/>
          <w:color w:val="000000"/>
        </w:rPr>
      </w:pPr>
    </w:p>
    <w:p w14:paraId="05684D6F" w14:textId="77777777" w:rsidR="005B6022" w:rsidRDefault="009C528D">
      <w:pPr>
        <w:numPr>
          <w:ilvl w:val="0"/>
          <w:numId w:val="5"/>
        </w:numPr>
        <w:spacing w:line="360" w:lineRule="auto"/>
        <w:ind w:left="0" w:right="34"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0D6F4B95" w14:textId="77777777" w:rsidR="005B6022" w:rsidRDefault="005B6022">
      <w:pPr>
        <w:pStyle w:val="Ttulo1"/>
        <w:jc w:val="center"/>
        <w:rPr>
          <w:b/>
        </w:rPr>
      </w:pPr>
    </w:p>
    <w:p w14:paraId="01B345B6" w14:textId="77777777" w:rsidR="005B6022" w:rsidRDefault="009C528D">
      <w:pPr>
        <w:pStyle w:val="Ttulo1"/>
        <w:jc w:val="center"/>
        <w:rPr>
          <w:b/>
        </w:rPr>
      </w:pPr>
      <w:r>
        <w:rPr>
          <w:b/>
        </w:rPr>
        <w:t>R E S O L U T I V O S</w:t>
      </w:r>
    </w:p>
    <w:p w14:paraId="5585FB88" w14:textId="77777777" w:rsidR="005B6022" w:rsidRDefault="005B6022">
      <w:pPr>
        <w:keepNext/>
        <w:keepLines/>
        <w:spacing w:line="360" w:lineRule="auto"/>
        <w:jc w:val="center"/>
        <w:rPr>
          <w:rFonts w:ascii="Palatino Linotype" w:eastAsia="Palatino Linotype" w:hAnsi="Palatino Linotype" w:cs="Palatino Linotype"/>
          <w:b/>
        </w:rPr>
      </w:pPr>
    </w:p>
    <w:p w14:paraId="100F74E4" w14:textId="42ED3B9C" w:rsidR="005B6022" w:rsidRDefault="009C528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6558/INFOEM/IP/RR/2024 </w:t>
      </w:r>
      <w:r>
        <w:rPr>
          <w:rFonts w:ascii="Palatino Linotype" w:eastAsia="Palatino Linotype" w:hAnsi="Palatino Linotype" w:cs="Palatino Linotype"/>
        </w:rPr>
        <w:t>en términos de los</w:t>
      </w:r>
      <w:r>
        <w:rPr>
          <w:rFonts w:ascii="Palatino Linotype" w:eastAsia="Palatino Linotype" w:hAnsi="Palatino Linotype" w:cs="Palatino Linotype"/>
          <w:b/>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la presente resolución.</w:t>
      </w:r>
    </w:p>
    <w:p w14:paraId="3C040933" w14:textId="77777777" w:rsidR="005B6022" w:rsidRDefault="005B6022">
      <w:pPr>
        <w:spacing w:line="360" w:lineRule="auto"/>
        <w:jc w:val="both"/>
        <w:rPr>
          <w:rFonts w:ascii="Palatino Linotype" w:eastAsia="Palatino Linotype" w:hAnsi="Palatino Linotype" w:cs="Palatino Linotype"/>
          <w:b/>
        </w:rPr>
      </w:pPr>
    </w:p>
    <w:p w14:paraId="01E1B01D" w14:textId="77777777" w:rsidR="005B6022" w:rsidRDefault="009C528D">
      <w:pPr>
        <w:spacing w:line="360" w:lineRule="auto"/>
        <w:jc w:val="both"/>
        <w:rPr>
          <w:rFonts w:ascii="Palatino Linotype" w:eastAsia="Palatino Linotype" w:hAnsi="Palatino Linotype" w:cs="Palatino Linotype"/>
          <w:b/>
        </w:rPr>
      </w:pPr>
      <w:bookmarkStart w:id="11" w:name="_heading=h.2s8eyo1" w:colFirst="0" w:colLast="0"/>
      <w:bookmarkEnd w:id="11"/>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REVOCA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Ayuntamiento de Juchitepec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siguiente información</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w:t>
      </w:r>
    </w:p>
    <w:p w14:paraId="4A2E000F" w14:textId="77777777" w:rsidR="005B6022" w:rsidRDefault="005B6022">
      <w:pPr>
        <w:spacing w:line="360" w:lineRule="auto"/>
        <w:jc w:val="both"/>
        <w:rPr>
          <w:rFonts w:ascii="Palatino Linotype" w:eastAsia="Palatino Linotype" w:hAnsi="Palatino Linotype" w:cs="Palatino Linotype"/>
          <w:b/>
        </w:rPr>
      </w:pPr>
    </w:p>
    <w:p w14:paraId="61C509C7" w14:textId="77777777" w:rsidR="005B6022" w:rsidRDefault="009C528D">
      <w:pPr>
        <w:numPr>
          <w:ilvl w:val="0"/>
          <w:numId w:val="6"/>
        </w:numPr>
        <w:spacing w:line="360" w:lineRule="auto"/>
        <w:ind w:left="993"/>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Conciliación de Nómina de los trabajadores del Ayuntamiento de la primera quincena de septiembre de dos mil veinticuatro. </w:t>
      </w:r>
    </w:p>
    <w:p w14:paraId="5F150F54" w14:textId="77777777" w:rsidR="005B6022" w:rsidRDefault="005B6022">
      <w:pPr>
        <w:spacing w:line="360" w:lineRule="auto"/>
        <w:ind w:left="993"/>
        <w:jc w:val="both"/>
        <w:rPr>
          <w:rFonts w:ascii="Palatino Linotype" w:eastAsia="Palatino Linotype" w:hAnsi="Palatino Linotype" w:cs="Palatino Linotype"/>
          <w:b/>
          <w:color w:val="000000"/>
        </w:rPr>
      </w:pPr>
    </w:p>
    <w:p w14:paraId="45F9E2E8" w14:textId="77777777" w:rsidR="005B6022" w:rsidRDefault="009C528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Pr>
          <w:rFonts w:ascii="Palatino Linotype" w:eastAsia="Palatino Linotype" w:hAnsi="Palatino Linotype" w:cs="Palatino Linotype"/>
          <w:b/>
        </w:rPr>
        <w:t>l RECURRENTE</w:t>
      </w:r>
      <w:r>
        <w:rPr>
          <w:rFonts w:ascii="Palatino Linotype" w:eastAsia="Palatino Linotype" w:hAnsi="Palatino Linotype" w:cs="Palatino Linotype"/>
        </w:rPr>
        <w:t>.</w:t>
      </w:r>
    </w:p>
    <w:p w14:paraId="1E82AC82" w14:textId="77777777" w:rsidR="005B6022" w:rsidRDefault="005B6022">
      <w:pPr>
        <w:rPr>
          <w:rFonts w:ascii="Times New Roman" w:eastAsia="Times New Roman" w:hAnsi="Times New Roman" w:cs="Times New Roman"/>
        </w:rPr>
      </w:pPr>
    </w:p>
    <w:p w14:paraId="1620C2FB" w14:textId="77777777" w:rsidR="005B6022" w:rsidRDefault="005B6022">
      <w:pPr>
        <w:spacing w:line="360" w:lineRule="auto"/>
        <w:jc w:val="both"/>
        <w:rPr>
          <w:rFonts w:ascii="Palatino Linotype" w:eastAsia="Palatino Linotype" w:hAnsi="Palatino Linotype" w:cs="Palatino Linotype"/>
        </w:rPr>
      </w:pPr>
    </w:p>
    <w:p w14:paraId="01E4E32A" w14:textId="77777777" w:rsidR="005B6022" w:rsidRDefault="009C528D">
      <w:pPr>
        <w:tabs>
          <w:tab w:val="left" w:pos="8080"/>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222222"/>
          <w:highlight w:val="white"/>
        </w:rPr>
        <w:t>NOTIFÍQUESE</w:t>
      </w:r>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b/>
          <w:color w:val="222222"/>
          <w:highlight w:val="white"/>
        </w:rPr>
        <w:t>vía SAIMEX</w:t>
      </w:r>
      <w:r>
        <w:rPr>
          <w:rFonts w:ascii="Palatino Linotype" w:eastAsia="Palatino Linotype" w:hAnsi="Palatino Linotype" w:cs="Palatino Linotype"/>
          <w:color w:val="222222"/>
          <w:highlight w:val="white"/>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Palatino Linotype" w:hAnsi="Palatino Linotype" w:cs="Palatino Linotype"/>
          <w:highlight w:val="white"/>
        </w:rPr>
        <w:t>.</w:t>
      </w:r>
    </w:p>
    <w:p w14:paraId="44EB7CC7" w14:textId="77777777" w:rsidR="005B6022" w:rsidRDefault="005B6022">
      <w:pPr>
        <w:spacing w:line="360" w:lineRule="auto"/>
        <w:jc w:val="both"/>
        <w:rPr>
          <w:rFonts w:ascii="Palatino Linotype" w:eastAsia="Palatino Linotype" w:hAnsi="Palatino Linotype" w:cs="Palatino Linotype"/>
          <w:highlight w:val="white"/>
        </w:rPr>
      </w:pPr>
    </w:p>
    <w:p w14:paraId="191EB2D1" w14:textId="77777777" w:rsidR="005B6022" w:rsidRDefault="009C528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rPr>
        <w:t>De conformidad con el artículo 198</w:t>
      </w:r>
      <w:r w:rsidR="00917DC1">
        <w:rPr>
          <w:rFonts w:ascii="Palatino Linotype" w:eastAsia="Palatino Linotype" w:hAnsi="Palatino Linotype" w:cs="Palatino Linotype"/>
        </w:rPr>
        <w:t>,</w:t>
      </w:r>
      <w:r>
        <w:rPr>
          <w:rFonts w:ascii="Palatino Linotype" w:eastAsia="Palatino Linotype" w:hAnsi="Palatino Linotype" w:cs="Palatino Linotype"/>
        </w:rPr>
        <w:t xml:space="preserve">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49BEC235" w14:textId="77777777" w:rsidR="005B6022" w:rsidRDefault="005B6022">
      <w:pPr>
        <w:spacing w:line="360" w:lineRule="auto"/>
        <w:jc w:val="both"/>
        <w:rPr>
          <w:rFonts w:ascii="Palatino Linotype" w:eastAsia="Palatino Linotype" w:hAnsi="Palatino Linotype" w:cs="Palatino Linotype"/>
        </w:rPr>
      </w:pPr>
    </w:p>
    <w:p w14:paraId="362D53A1" w14:textId="77777777" w:rsidR="005B6022" w:rsidRDefault="009C528D">
      <w:pPr>
        <w:tabs>
          <w:tab w:val="left" w:pos="8080"/>
        </w:tabs>
        <w:spacing w:line="360" w:lineRule="auto"/>
        <w:ind w:right="49"/>
        <w:jc w:val="both"/>
        <w:rPr>
          <w:rFonts w:ascii="Palatino Linotype" w:eastAsia="Palatino Linotype" w:hAnsi="Palatino Linotype" w:cs="Palatino Linotype"/>
        </w:rPr>
      </w:pPr>
      <w:bookmarkStart w:id="12" w:name="_heading=h.17dp8vu" w:colFirst="0" w:colLast="0"/>
      <w:bookmarkEnd w:id="12"/>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03EE224E" w14:textId="77777777" w:rsidR="005B6022" w:rsidRDefault="005B6022">
      <w:pPr>
        <w:tabs>
          <w:tab w:val="left" w:pos="8080"/>
        </w:tabs>
        <w:spacing w:line="360" w:lineRule="auto"/>
        <w:ind w:right="49"/>
        <w:jc w:val="both"/>
        <w:rPr>
          <w:rFonts w:ascii="Palatino Linotype" w:eastAsia="Palatino Linotype" w:hAnsi="Palatino Linotype" w:cs="Palatino Linotype"/>
        </w:rPr>
      </w:pPr>
    </w:p>
    <w:p w14:paraId="61A6C381" w14:textId="77777777" w:rsidR="005B6022" w:rsidRDefault="009C528D">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5A71C68" w14:textId="77777777" w:rsidR="005B6022" w:rsidRDefault="005B6022">
      <w:pPr>
        <w:shd w:val="clear" w:color="auto" w:fill="FFFFFF"/>
        <w:spacing w:line="360" w:lineRule="auto"/>
        <w:jc w:val="both"/>
        <w:rPr>
          <w:rFonts w:ascii="Palatino Linotype" w:eastAsia="Palatino Linotype" w:hAnsi="Palatino Linotype" w:cs="Palatino Linotype"/>
        </w:rPr>
      </w:pPr>
    </w:p>
    <w:p w14:paraId="06F994E1" w14:textId="77777777" w:rsidR="00917DC1" w:rsidRPr="003C7186" w:rsidRDefault="00917DC1" w:rsidP="00917DC1">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44510">
        <w:rPr>
          <w:rFonts w:ascii="Palatino Linotype" w:hAnsi="Palatino Linotype"/>
        </w:rPr>
        <w:t xml:space="preserve"> EMITIENDO VOTO PARTICULAR</w:t>
      </w:r>
      <w:r>
        <w:rPr>
          <w:rFonts w:ascii="Palatino Linotype" w:hAnsi="Palatino Linotype"/>
        </w:rPr>
        <w:t xml:space="preserve"> Y GUADALUPE RAMÍREZ PEÑA</w:t>
      </w:r>
      <w:r w:rsidR="00944510">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 xml:space="preserve">CUADRAGÉSIMA SEGUNDA </w:t>
      </w:r>
      <w:r w:rsidRPr="003C7186">
        <w:rPr>
          <w:rFonts w:ascii="Palatino Linotype" w:hAnsi="Palatino Linotype"/>
        </w:rPr>
        <w:t xml:space="preserve">SESIÓN ORDINARIA CELEBRADA EL </w:t>
      </w:r>
      <w:r>
        <w:rPr>
          <w:rFonts w:ascii="Palatino Linotype" w:hAnsi="Palatino Linotype"/>
        </w:rPr>
        <w:t>CUATRO</w:t>
      </w:r>
      <w:r w:rsidRPr="003C7186">
        <w:rPr>
          <w:rFonts w:ascii="Palatino Linotype" w:hAnsi="Palatino Linotype"/>
        </w:rPr>
        <w:t xml:space="preserve"> </w:t>
      </w:r>
      <w:r>
        <w:rPr>
          <w:rFonts w:ascii="Palatino Linotype" w:hAnsi="Palatino Linotype"/>
        </w:rPr>
        <w:t>(04) DE DICIEMBRE</w:t>
      </w:r>
      <w:r w:rsidRPr="003C7186">
        <w:rPr>
          <w:rFonts w:ascii="Palatino Linotype" w:hAnsi="Palatino Linotype"/>
        </w:rPr>
        <w:t xml:space="preserve"> DE DOS MIL VEINTICUATRO, ANTE EL SECRETARIO TÉCNICO DEL PLENO ALEXIS TAPIA RAMÍREZ. </w:t>
      </w:r>
    </w:p>
    <w:p w14:paraId="2FD14013" w14:textId="77777777" w:rsidR="005B6022" w:rsidRDefault="005B6022">
      <w:pPr>
        <w:spacing w:line="360" w:lineRule="auto"/>
        <w:jc w:val="both"/>
        <w:rPr>
          <w:rFonts w:ascii="Palatino Linotype" w:eastAsia="Palatino Linotype" w:hAnsi="Palatino Linotype" w:cs="Palatino Linotype"/>
          <w:color w:val="000000"/>
        </w:rPr>
      </w:pPr>
    </w:p>
    <w:p w14:paraId="0993E58F" w14:textId="77777777" w:rsidR="005B6022" w:rsidRDefault="005B6022">
      <w:pPr>
        <w:spacing w:line="360" w:lineRule="auto"/>
        <w:jc w:val="both"/>
        <w:rPr>
          <w:rFonts w:ascii="Palatino Linotype" w:eastAsia="Palatino Linotype" w:hAnsi="Palatino Linotype" w:cs="Palatino Linotype"/>
          <w:color w:val="000000"/>
        </w:rPr>
      </w:pPr>
    </w:p>
    <w:p w14:paraId="09DA4B76" w14:textId="77777777" w:rsidR="005B6022" w:rsidRDefault="005B6022">
      <w:pPr>
        <w:spacing w:line="360" w:lineRule="auto"/>
        <w:jc w:val="both"/>
        <w:rPr>
          <w:rFonts w:ascii="Palatino Linotype" w:eastAsia="Palatino Linotype" w:hAnsi="Palatino Linotype" w:cs="Palatino Linotype"/>
          <w:color w:val="000000"/>
        </w:rPr>
      </w:pPr>
    </w:p>
    <w:p w14:paraId="168D9D4D" w14:textId="77777777" w:rsidR="005B6022" w:rsidRDefault="005B6022">
      <w:pPr>
        <w:spacing w:line="360" w:lineRule="auto"/>
        <w:jc w:val="both"/>
        <w:rPr>
          <w:rFonts w:ascii="Palatino Linotype" w:eastAsia="Palatino Linotype" w:hAnsi="Palatino Linotype" w:cs="Palatino Linotype"/>
          <w:color w:val="000000"/>
        </w:rPr>
      </w:pPr>
    </w:p>
    <w:p w14:paraId="51D845A0" w14:textId="77777777" w:rsidR="005B6022" w:rsidRDefault="005B6022">
      <w:pPr>
        <w:spacing w:line="360" w:lineRule="auto"/>
        <w:jc w:val="both"/>
        <w:rPr>
          <w:rFonts w:ascii="Palatino Linotype" w:eastAsia="Palatino Linotype" w:hAnsi="Palatino Linotype" w:cs="Palatino Linotype"/>
          <w:color w:val="000000"/>
        </w:rPr>
      </w:pPr>
    </w:p>
    <w:p w14:paraId="70F3DCDE" w14:textId="77777777" w:rsidR="005B6022" w:rsidRDefault="005B6022"/>
    <w:p w14:paraId="566D375E" w14:textId="77777777" w:rsidR="005B6022" w:rsidRDefault="005B6022"/>
    <w:sectPr w:rsidR="005B6022">
      <w:headerReference w:type="default" r:id="rId31"/>
      <w:footerReference w:type="default" r:id="rId32"/>
      <w:headerReference w:type="first" r:id="rId33"/>
      <w:footerReference w:type="first" r:id="rId34"/>
      <w:pgSz w:w="12240" w:h="15840"/>
      <w:pgMar w:top="2268" w:right="1701" w:bottom="1560"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9EF82" w14:textId="77777777" w:rsidR="00B60027" w:rsidRDefault="00B60027">
      <w:r>
        <w:separator/>
      </w:r>
    </w:p>
  </w:endnote>
  <w:endnote w:type="continuationSeparator" w:id="0">
    <w:p w14:paraId="4E4EF761" w14:textId="77777777" w:rsidR="00B60027" w:rsidRDefault="00B6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4E4B1" w14:textId="77777777" w:rsidR="005B6022" w:rsidRDefault="009C52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C57C77">
      <w:rPr>
        <w:rFonts w:ascii="Palatino Linotype" w:eastAsia="Palatino Linotype" w:hAnsi="Palatino Linotype" w:cs="Palatino Linotype"/>
        <w:b/>
        <w:noProof/>
        <w:color w:val="000000"/>
        <w:sz w:val="22"/>
        <w:szCs w:val="22"/>
      </w:rPr>
      <w:t>3</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C57C77">
      <w:rPr>
        <w:rFonts w:ascii="Palatino Linotype" w:eastAsia="Palatino Linotype" w:hAnsi="Palatino Linotype" w:cs="Palatino Linotype"/>
        <w:b/>
        <w:noProof/>
        <w:color w:val="000000"/>
        <w:sz w:val="22"/>
        <w:szCs w:val="22"/>
      </w:rPr>
      <w:t>46</w:t>
    </w:r>
    <w:r>
      <w:rPr>
        <w:rFonts w:ascii="Palatino Linotype" w:eastAsia="Palatino Linotype" w:hAnsi="Palatino Linotype" w:cs="Palatino Linotype"/>
        <w:b/>
        <w:color w:val="000000"/>
        <w:sz w:val="22"/>
        <w:szCs w:val="22"/>
      </w:rPr>
      <w:fldChar w:fldCharType="end"/>
    </w:r>
  </w:p>
  <w:p w14:paraId="01C620AA" w14:textId="77777777" w:rsidR="005B6022" w:rsidRDefault="005B6022">
    <w:pPr>
      <w:pBdr>
        <w:top w:val="nil"/>
        <w:left w:val="nil"/>
        <w:bottom w:val="nil"/>
        <w:right w:val="nil"/>
        <w:between w:val="nil"/>
      </w:pBdr>
      <w:tabs>
        <w:tab w:val="center" w:pos="4252"/>
        <w:tab w:val="right" w:pos="8504"/>
      </w:tabs>
      <w:rPr>
        <w:color w:val="000000"/>
      </w:rPr>
    </w:pPr>
  </w:p>
  <w:p w14:paraId="28DFBC60" w14:textId="77777777" w:rsidR="005B6022" w:rsidRDefault="005B60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19828" w14:textId="77777777" w:rsidR="005B6022" w:rsidRDefault="009C52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57C7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57C77">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p w14:paraId="32873024" w14:textId="77777777" w:rsidR="005B6022" w:rsidRDefault="005B6022">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074EA76E" w14:textId="77777777" w:rsidR="005B6022" w:rsidRDefault="005B60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F5A0D" w14:textId="77777777" w:rsidR="00B60027" w:rsidRDefault="00B60027">
      <w:r>
        <w:separator/>
      </w:r>
    </w:p>
  </w:footnote>
  <w:footnote w:type="continuationSeparator" w:id="0">
    <w:p w14:paraId="12E2F945" w14:textId="77777777" w:rsidR="00B60027" w:rsidRDefault="00B60027">
      <w:r>
        <w:continuationSeparator/>
      </w:r>
    </w:p>
  </w:footnote>
  <w:footnote w:id="1">
    <w:p w14:paraId="63E94DF3" w14:textId="77777777" w:rsidR="005B6022" w:rsidRDefault="009C52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086056BF" w14:textId="77777777" w:rsidR="005B6022" w:rsidRDefault="009C52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72EC8D57" w14:textId="77777777" w:rsidR="005B6022" w:rsidRDefault="009C52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77F72608" w14:textId="77777777" w:rsidR="005B6022" w:rsidRDefault="009C52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5F7B029B" w14:textId="77777777" w:rsidR="005B6022" w:rsidRDefault="009C52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Ley de Transparencia y Acceso a la Información Pública del Estado de México y Municipios.</w:t>
      </w:r>
    </w:p>
    <w:p w14:paraId="0D1FDE56" w14:textId="77777777" w:rsidR="005B6022" w:rsidRDefault="009C528D">
      <w:pPr>
        <w:pBdr>
          <w:top w:val="nil"/>
          <w:left w:val="nil"/>
          <w:bottom w:val="nil"/>
          <w:right w:val="nil"/>
          <w:between w:val="nil"/>
        </w:pBdr>
        <w:rPr>
          <w:color w:val="000000"/>
          <w:sz w:val="20"/>
          <w:szCs w:val="20"/>
        </w:rPr>
      </w:pPr>
      <w:r>
        <w:rPr>
          <w:color w:val="000000"/>
          <w:sz w:val="20"/>
          <w:szCs w:val="20"/>
        </w:rPr>
        <w:t>Artículo 151. Ibídem.</w:t>
      </w:r>
    </w:p>
  </w:footnote>
  <w:footnote w:id="6">
    <w:p w14:paraId="1AA13D8B" w14:textId="77777777" w:rsidR="005B6022" w:rsidRDefault="009C52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DC372" w14:textId="77777777" w:rsidR="005B6022" w:rsidRDefault="005B6022">
    <w:pPr>
      <w:widowControl w:val="0"/>
      <w:pBdr>
        <w:top w:val="nil"/>
        <w:left w:val="nil"/>
        <w:bottom w:val="nil"/>
        <w:right w:val="nil"/>
        <w:between w:val="nil"/>
      </w:pBdr>
      <w:spacing w:line="276" w:lineRule="auto"/>
      <w:rPr>
        <w:color w:val="000000"/>
        <w:sz w:val="20"/>
        <w:szCs w:val="20"/>
      </w:rPr>
    </w:pPr>
  </w:p>
  <w:tbl>
    <w:tblPr>
      <w:tblStyle w:val="a1"/>
      <w:tblW w:w="695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3689"/>
    </w:tblGrid>
    <w:tr w:rsidR="005B6022" w14:paraId="69FF8ECD" w14:textId="77777777">
      <w:trPr>
        <w:trHeight w:val="138"/>
        <w:jc w:val="right"/>
      </w:trPr>
      <w:tc>
        <w:tcPr>
          <w:tcW w:w="3261" w:type="dxa"/>
          <w:vAlign w:val="center"/>
        </w:tcPr>
        <w:p w14:paraId="0DFFCFEC" w14:textId="77777777" w:rsidR="005B6022" w:rsidRDefault="009C528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9" w:type="dxa"/>
          <w:vAlign w:val="center"/>
        </w:tcPr>
        <w:p w14:paraId="29D84C9B" w14:textId="77777777" w:rsidR="005B6022" w:rsidRDefault="00917DC1">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06558/INFOEM/IP/RR/2024</w:t>
          </w:r>
        </w:p>
      </w:tc>
    </w:tr>
    <w:tr w:rsidR="005B6022" w14:paraId="6573F21C" w14:textId="77777777">
      <w:trPr>
        <w:trHeight w:val="233"/>
        <w:jc w:val="right"/>
      </w:trPr>
      <w:tc>
        <w:tcPr>
          <w:tcW w:w="3261" w:type="dxa"/>
          <w:vAlign w:val="center"/>
        </w:tcPr>
        <w:p w14:paraId="0C164D08" w14:textId="77777777" w:rsidR="005B6022" w:rsidRDefault="009C528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9" w:type="dxa"/>
          <w:vAlign w:val="center"/>
        </w:tcPr>
        <w:p w14:paraId="4E95D75D" w14:textId="77777777" w:rsidR="005B6022" w:rsidRDefault="009C528D">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Juchitepec</w:t>
          </w:r>
        </w:p>
      </w:tc>
    </w:tr>
    <w:tr w:rsidR="005B6022" w14:paraId="1D96173A" w14:textId="77777777">
      <w:trPr>
        <w:trHeight w:val="321"/>
        <w:jc w:val="right"/>
      </w:trPr>
      <w:tc>
        <w:tcPr>
          <w:tcW w:w="3261" w:type="dxa"/>
          <w:vAlign w:val="center"/>
        </w:tcPr>
        <w:p w14:paraId="2C1C0885" w14:textId="77777777" w:rsidR="005B6022" w:rsidRDefault="009C528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9" w:type="dxa"/>
          <w:vAlign w:val="center"/>
        </w:tcPr>
        <w:p w14:paraId="4A7FA2D1" w14:textId="77777777" w:rsidR="005B6022" w:rsidRDefault="009C528D">
          <w:pPr>
            <w:pBdr>
              <w:top w:val="nil"/>
              <w:left w:val="nil"/>
              <w:bottom w:val="nil"/>
              <w:right w:val="nil"/>
              <w:between w:val="nil"/>
            </w:pBdr>
            <w:tabs>
              <w:tab w:val="center" w:pos="4252"/>
              <w:tab w:val="right" w:pos="8504"/>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tc>
    </w:tr>
  </w:tbl>
  <w:p w14:paraId="2205C3BF" w14:textId="77777777" w:rsidR="005B6022" w:rsidRDefault="009C528D">
    <w:pPr>
      <w:pBdr>
        <w:top w:val="nil"/>
        <w:left w:val="nil"/>
        <w:bottom w:val="nil"/>
        <w:right w:val="nil"/>
        <w:between w:val="nil"/>
      </w:pBdr>
      <w:tabs>
        <w:tab w:val="center" w:pos="4252"/>
        <w:tab w:val="right" w:pos="8504"/>
      </w:tabs>
      <w:rPr>
        <w:color w:val="000000"/>
      </w:rPr>
    </w:pPr>
    <w:r>
      <w:rPr>
        <w:noProof/>
        <w:color w:val="000000"/>
        <w:lang w:eastAsia="es-MX"/>
      </w:rPr>
      <w:drawing>
        <wp:anchor distT="0" distB="0" distL="0" distR="0" simplePos="0" relativeHeight="251657216" behindDoc="1" locked="0" layoutInCell="1" hidden="0" allowOverlap="1" wp14:anchorId="593FE9FD" wp14:editId="04006887">
          <wp:simplePos x="0" y="0"/>
          <wp:positionH relativeFrom="page">
            <wp:posOffset>30785</wp:posOffset>
          </wp:positionH>
          <wp:positionV relativeFrom="page">
            <wp:posOffset>30480</wp:posOffset>
          </wp:positionV>
          <wp:extent cx="7695210" cy="10020839"/>
          <wp:effectExtent l="0" t="0" r="0" b="0"/>
          <wp:wrapNone/>
          <wp:docPr id="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p w14:paraId="5233284A" w14:textId="77777777" w:rsidR="005B6022" w:rsidRDefault="005B60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30297" w14:textId="77777777" w:rsidR="005B6022" w:rsidRDefault="00B60027">
    <w:pPr>
      <w:pBdr>
        <w:top w:val="nil"/>
        <w:left w:val="nil"/>
        <w:bottom w:val="nil"/>
        <w:right w:val="nil"/>
        <w:between w:val="nil"/>
      </w:pBdr>
      <w:tabs>
        <w:tab w:val="center" w:pos="4252"/>
        <w:tab w:val="right" w:pos="8504"/>
        <w:tab w:val="left" w:pos="3103"/>
      </w:tabs>
      <w:rPr>
        <w:color w:val="000000"/>
      </w:rPr>
    </w:pPr>
    <w:r>
      <w:rPr>
        <w:color w:val="000000"/>
      </w:rPr>
      <w:pict w14:anchorId="1EB6B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18.65pt;margin-top:-128.35pt;width:663.5pt;height:12in;z-index:-251658240;mso-position-horizontal:absolute;mso-position-horizontal-relative:margin;mso-position-vertical:absolute;mso-position-vertical-relative:margin">
          <v:imagedata r:id="rId1" o:title="image6"/>
          <w10:wrap anchorx="margin" anchory="margin"/>
        </v:shape>
      </w:pict>
    </w:r>
    <w:r w:rsidR="009C528D">
      <w:rPr>
        <w:color w:val="000000"/>
      </w:rPr>
      <w:tab/>
    </w:r>
  </w:p>
  <w:tbl>
    <w:tblPr>
      <w:tblStyle w:val="a2"/>
      <w:tblW w:w="7372"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4111"/>
    </w:tblGrid>
    <w:tr w:rsidR="005B6022" w14:paraId="1CB065DB" w14:textId="77777777">
      <w:trPr>
        <w:trHeight w:val="138"/>
        <w:jc w:val="right"/>
      </w:trPr>
      <w:tc>
        <w:tcPr>
          <w:tcW w:w="3261" w:type="dxa"/>
          <w:vAlign w:val="center"/>
        </w:tcPr>
        <w:p w14:paraId="10B71873" w14:textId="77777777" w:rsidR="005B6022" w:rsidRDefault="009C528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14:paraId="5B31B317" w14:textId="77777777" w:rsidR="005B6022" w:rsidRDefault="009C528D">
          <w:pPr>
            <w:tabs>
              <w:tab w:val="center" w:pos="4252"/>
              <w:tab w:val="right" w:pos="8504"/>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06558/INFOEM/IP/RR/2024</w:t>
          </w:r>
        </w:p>
      </w:tc>
    </w:tr>
    <w:tr w:rsidR="005B6022" w14:paraId="460DEE11" w14:textId="77777777">
      <w:trPr>
        <w:trHeight w:val="233"/>
        <w:jc w:val="right"/>
      </w:trPr>
      <w:tc>
        <w:tcPr>
          <w:tcW w:w="3261" w:type="dxa"/>
          <w:vAlign w:val="center"/>
        </w:tcPr>
        <w:p w14:paraId="364036A2" w14:textId="77777777" w:rsidR="005B6022" w:rsidRDefault="009C528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tcPr>
        <w:p w14:paraId="587CC7E8" w14:textId="6A7E53BF" w:rsidR="005B6022" w:rsidRDefault="00C57C77">
          <w:pPr>
            <w:pBdr>
              <w:top w:val="nil"/>
              <w:left w:val="nil"/>
              <w:bottom w:val="nil"/>
              <w:right w:val="nil"/>
              <w:between w:val="nil"/>
            </w:pBdr>
            <w:tabs>
              <w:tab w:val="center" w:pos="4252"/>
              <w:tab w:val="right" w:pos="8504"/>
            </w:tabs>
            <w:ind w:right="-107"/>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w:t>
          </w:r>
        </w:p>
      </w:tc>
    </w:tr>
    <w:tr w:rsidR="005B6022" w14:paraId="04CCAE98" w14:textId="77777777">
      <w:trPr>
        <w:trHeight w:val="321"/>
        <w:jc w:val="right"/>
      </w:trPr>
      <w:tc>
        <w:tcPr>
          <w:tcW w:w="3261" w:type="dxa"/>
          <w:vAlign w:val="center"/>
        </w:tcPr>
        <w:p w14:paraId="1F72D366" w14:textId="77777777" w:rsidR="005B6022" w:rsidRDefault="009C528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14:paraId="1324C600" w14:textId="77777777" w:rsidR="005B6022" w:rsidRDefault="009C528D">
          <w:pPr>
            <w:jc w:val="both"/>
            <w:rPr>
              <w:rFonts w:ascii="Palatino Linotype" w:eastAsia="Palatino Linotype" w:hAnsi="Palatino Linotype" w:cs="Palatino Linotype"/>
            </w:rPr>
          </w:pPr>
          <w:r>
            <w:rPr>
              <w:rFonts w:ascii="Palatino Linotype" w:eastAsia="Palatino Linotype" w:hAnsi="Palatino Linotype" w:cs="Palatino Linotype"/>
              <w:b/>
              <w:sz w:val="22"/>
              <w:szCs w:val="22"/>
            </w:rPr>
            <w:t>Ayuntamiento de Juchitepec</w:t>
          </w:r>
        </w:p>
      </w:tc>
    </w:tr>
    <w:tr w:rsidR="005B6022" w14:paraId="5D0C8677" w14:textId="77777777">
      <w:trPr>
        <w:trHeight w:val="321"/>
        <w:jc w:val="right"/>
      </w:trPr>
      <w:tc>
        <w:tcPr>
          <w:tcW w:w="3261" w:type="dxa"/>
          <w:vAlign w:val="center"/>
        </w:tcPr>
        <w:p w14:paraId="3B52A05C" w14:textId="77777777" w:rsidR="005B6022" w:rsidRDefault="009C528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14:paraId="6BDECA87" w14:textId="77777777" w:rsidR="005B6022" w:rsidRDefault="009C528D">
          <w:pPr>
            <w:pBdr>
              <w:top w:val="nil"/>
              <w:left w:val="nil"/>
              <w:bottom w:val="nil"/>
              <w:right w:val="nil"/>
              <w:between w:val="nil"/>
            </w:pBdr>
            <w:tabs>
              <w:tab w:val="center" w:pos="4252"/>
              <w:tab w:val="right" w:pos="8504"/>
            </w:tabs>
            <w:ind w:left="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tc>
    </w:tr>
  </w:tbl>
  <w:p w14:paraId="448F72F3" w14:textId="77777777" w:rsidR="005B6022" w:rsidRDefault="005B6022">
    <w:pPr>
      <w:pBdr>
        <w:top w:val="nil"/>
        <w:left w:val="nil"/>
        <w:bottom w:val="nil"/>
        <w:right w:val="nil"/>
        <w:between w:val="nil"/>
      </w:pBdr>
      <w:tabs>
        <w:tab w:val="center" w:pos="4252"/>
        <w:tab w:val="right" w:pos="8504"/>
        <w:tab w:val="left" w:pos="3103"/>
      </w:tabs>
      <w:rPr>
        <w:color w:val="000000"/>
      </w:rPr>
    </w:pPr>
  </w:p>
  <w:p w14:paraId="4E39A772" w14:textId="77777777" w:rsidR="005B6022" w:rsidRDefault="005B60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1387"/>
    <w:multiLevelType w:val="multilevel"/>
    <w:tmpl w:val="90D0F8F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FA0AE9"/>
    <w:multiLevelType w:val="multilevel"/>
    <w:tmpl w:val="90BE74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B93C53"/>
    <w:multiLevelType w:val="multilevel"/>
    <w:tmpl w:val="FE6E7CD4"/>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 w15:restartNumberingAfterBreak="0">
    <w:nsid w:val="4FE24881"/>
    <w:multiLevelType w:val="multilevel"/>
    <w:tmpl w:val="94D09DE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4" w15:restartNumberingAfterBreak="0">
    <w:nsid w:val="59722F00"/>
    <w:multiLevelType w:val="multilevel"/>
    <w:tmpl w:val="BF28DA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9882A1D"/>
    <w:multiLevelType w:val="multilevel"/>
    <w:tmpl w:val="89D2DA00"/>
    <w:lvl w:ilvl="0">
      <w:start w:val="1"/>
      <w:numFmt w:val="bullet"/>
      <w:pStyle w:val="Listaconvietas2"/>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022"/>
    <w:rsid w:val="00306759"/>
    <w:rsid w:val="00366D58"/>
    <w:rsid w:val="005B6022"/>
    <w:rsid w:val="0072432B"/>
    <w:rsid w:val="008F0161"/>
    <w:rsid w:val="00906F7D"/>
    <w:rsid w:val="00917DC1"/>
    <w:rsid w:val="00944510"/>
    <w:rsid w:val="009C528D"/>
    <w:rsid w:val="00B45D7D"/>
    <w:rsid w:val="00B60027"/>
    <w:rsid w:val="00C57C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DCAD60"/>
  <w15:docId w15:val="{E0B1AA6A-D217-4768-8600-0947E363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445"/>
    <w:rPr>
      <w:rFonts w:eastAsiaTheme="minorEastAsia"/>
      <w:lang w:eastAsia="es-ES"/>
    </w:rPr>
  </w:style>
  <w:style w:type="paragraph" w:styleId="Ttulo1">
    <w:name w:val="heading 1"/>
    <w:basedOn w:val="Normal"/>
    <w:next w:val="Normal"/>
    <w:link w:val="Ttulo1Car"/>
    <w:uiPriority w:val="9"/>
    <w:qFormat/>
    <w:rsid w:val="00241445"/>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24144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41445"/>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rsid w:val="00241445"/>
    <w:pPr>
      <w:keepNext/>
      <w:keepLines/>
      <w:spacing w:before="240" w:after="40"/>
      <w:outlineLvl w:val="3"/>
    </w:pPr>
    <w:rPr>
      <w:b/>
    </w:rPr>
  </w:style>
  <w:style w:type="paragraph" w:styleId="Ttulo5">
    <w:name w:val="heading 5"/>
    <w:basedOn w:val="Normal"/>
    <w:next w:val="Normal"/>
    <w:link w:val="Ttulo5Car"/>
    <w:rsid w:val="00241445"/>
    <w:pPr>
      <w:keepNext/>
      <w:keepLines/>
      <w:spacing w:before="220" w:after="40"/>
      <w:outlineLvl w:val="4"/>
    </w:pPr>
    <w:rPr>
      <w:b/>
      <w:sz w:val="22"/>
      <w:szCs w:val="22"/>
    </w:rPr>
  </w:style>
  <w:style w:type="paragraph" w:styleId="Ttulo6">
    <w:name w:val="heading 6"/>
    <w:basedOn w:val="Normal"/>
    <w:next w:val="Normal"/>
    <w:link w:val="Ttulo6Car"/>
    <w:rsid w:val="00241445"/>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rsid w:val="00241445"/>
    <w:pPr>
      <w:keepNext/>
      <w:keepLines/>
      <w:spacing w:before="480" w:after="120"/>
    </w:pPr>
    <w:rPr>
      <w:b/>
      <w:sz w:val="72"/>
      <w:szCs w:val="72"/>
    </w:rPr>
  </w:style>
  <w:style w:type="character" w:customStyle="1" w:styleId="Ttulo1Car">
    <w:name w:val="Título 1 Car"/>
    <w:basedOn w:val="Fuentedeprrafopredeter"/>
    <w:link w:val="Ttulo1"/>
    <w:uiPriority w:val="9"/>
    <w:rsid w:val="00241445"/>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24144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41445"/>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rsid w:val="00241445"/>
    <w:rPr>
      <w:rFonts w:ascii="Calibri" w:eastAsiaTheme="minorEastAsia" w:hAnsi="Calibri" w:cs="Calibri"/>
      <w:b/>
      <w:sz w:val="24"/>
      <w:szCs w:val="24"/>
      <w:lang w:eastAsia="es-ES"/>
    </w:rPr>
  </w:style>
  <w:style w:type="character" w:customStyle="1" w:styleId="Ttulo5Car">
    <w:name w:val="Título 5 Car"/>
    <w:basedOn w:val="Fuentedeprrafopredeter"/>
    <w:link w:val="Ttulo5"/>
    <w:rsid w:val="00241445"/>
    <w:rPr>
      <w:rFonts w:ascii="Calibri" w:eastAsiaTheme="minorEastAsia" w:hAnsi="Calibri" w:cs="Calibri"/>
      <w:b/>
      <w:lang w:eastAsia="es-ES"/>
    </w:rPr>
  </w:style>
  <w:style w:type="character" w:customStyle="1" w:styleId="Ttulo6Car">
    <w:name w:val="Título 6 Car"/>
    <w:basedOn w:val="Fuentedeprrafopredeter"/>
    <w:link w:val="Ttulo6"/>
    <w:rsid w:val="00241445"/>
    <w:rPr>
      <w:rFonts w:ascii="Calibri" w:eastAsiaTheme="minorEastAsia" w:hAnsi="Calibri" w:cs="Calibri"/>
      <w:b/>
      <w:sz w:val="20"/>
      <w:szCs w:val="20"/>
      <w:lang w:eastAsia="es-ES"/>
    </w:rPr>
  </w:style>
  <w:style w:type="character" w:customStyle="1" w:styleId="PuestoCar">
    <w:name w:val="Puesto Car"/>
    <w:basedOn w:val="Fuentedeprrafopredeter"/>
    <w:link w:val="Puesto"/>
    <w:rsid w:val="00241445"/>
    <w:rPr>
      <w:rFonts w:ascii="Calibri" w:eastAsiaTheme="minorEastAsia" w:hAnsi="Calibri" w:cs="Calibri"/>
      <w:b/>
      <w:sz w:val="72"/>
      <w:szCs w:val="72"/>
      <w:lang w:eastAsia="es-ES"/>
    </w:rPr>
  </w:style>
  <w:style w:type="paragraph" w:styleId="Encabezado">
    <w:name w:val="header"/>
    <w:basedOn w:val="Normal"/>
    <w:link w:val="EncabezadoCar"/>
    <w:uiPriority w:val="99"/>
    <w:unhideWhenUsed/>
    <w:rsid w:val="00241445"/>
    <w:pPr>
      <w:tabs>
        <w:tab w:val="center" w:pos="4252"/>
        <w:tab w:val="right" w:pos="8504"/>
      </w:tabs>
    </w:pPr>
  </w:style>
  <w:style w:type="character" w:customStyle="1" w:styleId="EncabezadoCar">
    <w:name w:val="Encabezado Car"/>
    <w:basedOn w:val="Fuentedeprrafopredeter"/>
    <w:link w:val="Encabezado"/>
    <w:uiPriority w:val="99"/>
    <w:rsid w:val="00241445"/>
    <w:rPr>
      <w:rFonts w:ascii="Calibri" w:eastAsiaTheme="minorEastAsia" w:hAnsi="Calibri" w:cs="Calibri"/>
      <w:sz w:val="24"/>
      <w:szCs w:val="24"/>
      <w:lang w:eastAsia="es-ES"/>
    </w:rPr>
  </w:style>
  <w:style w:type="paragraph" w:styleId="Piedepgina">
    <w:name w:val="footer"/>
    <w:basedOn w:val="Normal"/>
    <w:link w:val="PiedepginaCar"/>
    <w:uiPriority w:val="99"/>
    <w:unhideWhenUsed/>
    <w:rsid w:val="00241445"/>
    <w:pPr>
      <w:tabs>
        <w:tab w:val="center" w:pos="4252"/>
        <w:tab w:val="right" w:pos="8504"/>
      </w:tabs>
    </w:pPr>
  </w:style>
  <w:style w:type="character" w:customStyle="1" w:styleId="PiedepginaCar">
    <w:name w:val="Pie de página Car"/>
    <w:basedOn w:val="Fuentedeprrafopredeter"/>
    <w:link w:val="Piedepgina"/>
    <w:uiPriority w:val="99"/>
    <w:rsid w:val="00241445"/>
    <w:rPr>
      <w:rFonts w:ascii="Calibri" w:eastAsiaTheme="minorEastAsia" w:hAnsi="Calibri" w:cs="Calibri"/>
      <w:sz w:val="24"/>
      <w:szCs w:val="24"/>
      <w:lang w:eastAsia="es-ES"/>
    </w:rPr>
  </w:style>
  <w:style w:type="character" w:customStyle="1" w:styleId="TextodegloboCar">
    <w:name w:val="Texto de globo Car"/>
    <w:basedOn w:val="Fuentedeprrafopredeter"/>
    <w:link w:val="Textodeglobo"/>
    <w:uiPriority w:val="99"/>
    <w:semiHidden/>
    <w:rsid w:val="00241445"/>
    <w:rPr>
      <w:rFonts w:ascii="Lucida Grande" w:eastAsiaTheme="minorEastAsia" w:hAnsi="Lucida Grande" w:cs="Lucida Grande"/>
      <w:sz w:val="18"/>
      <w:szCs w:val="18"/>
      <w:lang w:eastAsia="es-ES"/>
    </w:rPr>
  </w:style>
  <w:style w:type="paragraph" w:styleId="Textodeglobo">
    <w:name w:val="Balloon Text"/>
    <w:basedOn w:val="Normal"/>
    <w:link w:val="TextodegloboCar"/>
    <w:uiPriority w:val="99"/>
    <w:semiHidden/>
    <w:unhideWhenUsed/>
    <w:rsid w:val="00241445"/>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4144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41445"/>
    <w:rPr>
      <w:rFonts w:ascii="Calibri" w:eastAsiaTheme="minorEastAsia" w:hAnsi="Calibri" w:cs="Calibri"/>
      <w:sz w:val="24"/>
      <w:szCs w:val="24"/>
      <w:lang w:eastAsia="es-ES"/>
    </w:rPr>
  </w:style>
  <w:style w:type="paragraph" w:styleId="Sinespaciado">
    <w:name w:val="No Spacing"/>
    <w:aliases w:val="Francesa,INAI"/>
    <w:link w:val="SinespaciadoCar"/>
    <w:uiPriority w:val="1"/>
    <w:qFormat/>
    <w:rsid w:val="00241445"/>
    <w:rPr>
      <w:rFonts w:eastAsiaTheme="minorEastAsia"/>
      <w:lang w:val="es-ES_tradnl" w:eastAsia="es-ES"/>
    </w:rPr>
  </w:style>
  <w:style w:type="character" w:customStyle="1" w:styleId="SinespaciadoCar">
    <w:name w:val="Sin espaciado Car"/>
    <w:aliases w:val="Francesa Car,INAI Car"/>
    <w:link w:val="Sinespaciado"/>
    <w:uiPriority w:val="1"/>
    <w:qFormat/>
    <w:locked/>
    <w:rsid w:val="00241445"/>
    <w:rPr>
      <w:rFonts w:ascii="Calibri" w:eastAsiaTheme="minorEastAsia" w:hAnsi="Calibri" w:cs="Calibri"/>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41445"/>
    <w:rPr>
      <w:color w:val="0563C1" w:themeColor="hyperlink"/>
      <w:u w:val="single"/>
    </w:rPr>
  </w:style>
  <w:style w:type="paragraph" w:styleId="TDC1">
    <w:name w:val="toc 1"/>
    <w:basedOn w:val="Normal"/>
    <w:next w:val="Normal"/>
    <w:autoRedefine/>
    <w:uiPriority w:val="39"/>
    <w:unhideWhenUsed/>
    <w:rsid w:val="00241445"/>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241445"/>
    <w:pPr>
      <w:tabs>
        <w:tab w:val="right" w:leader="dot" w:pos="9676"/>
      </w:tabs>
      <w:spacing w:after="100" w:line="480" w:lineRule="auto"/>
      <w:ind w:left="720" w:hanging="240"/>
    </w:pPr>
  </w:style>
  <w:style w:type="character" w:customStyle="1" w:styleId="TextocomentarioCar">
    <w:name w:val="Texto comentario Car"/>
    <w:basedOn w:val="Fuentedeprrafopredeter"/>
    <w:link w:val="Textocomentario"/>
    <w:uiPriority w:val="99"/>
    <w:semiHidden/>
    <w:rsid w:val="00241445"/>
    <w:rPr>
      <w:rFonts w:ascii="Calibri" w:eastAsiaTheme="minorEastAsia" w:hAnsi="Calibri" w:cs="Calibri"/>
      <w:sz w:val="20"/>
      <w:szCs w:val="20"/>
      <w:lang w:eastAsia="es-ES"/>
    </w:rPr>
  </w:style>
  <w:style w:type="paragraph" w:styleId="Textocomentario">
    <w:name w:val="annotation text"/>
    <w:basedOn w:val="Normal"/>
    <w:link w:val="TextocomentarioCar"/>
    <w:uiPriority w:val="99"/>
    <w:semiHidden/>
    <w:unhideWhenUsed/>
    <w:rsid w:val="00241445"/>
    <w:rPr>
      <w:sz w:val="20"/>
      <w:szCs w:val="20"/>
    </w:rPr>
  </w:style>
  <w:style w:type="character" w:customStyle="1" w:styleId="AsuntodelcomentarioCar">
    <w:name w:val="Asunto del comentario Car"/>
    <w:basedOn w:val="TextocomentarioCar"/>
    <w:link w:val="Asuntodelcomentario"/>
    <w:uiPriority w:val="99"/>
    <w:semiHidden/>
    <w:rsid w:val="00241445"/>
    <w:rPr>
      <w:rFonts w:ascii="Calibri" w:eastAsiaTheme="minorEastAsia" w:hAnsi="Calibri" w:cs="Calibri"/>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41445"/>
    <w:rPr>
      <w:b/>
      <w:bCs/>
    </w:rPr>
  </w:style>
  <w:style w:type="character" w:customStyle="1" w:styleId="apple-converted-space">
    <w:name w:val="apple-converted-space"/>
    <w:basedOn w:val="Fuentedeprrafopredeter"/>
    <w:rsid w:val="00241445"/>
  </w:style>
  <w:style w:type="paragraph" w:styleId="Textoindependiente">
    <w:name w:val="Body Text"/>
    <w:basedOn w:val="Normal"/>
    <w:link w:val="TextoindependienteCar"/>
    <w:rsid w:val="00241445"/>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241445"/>
    <w:rPr>
      <w:rFonts w:ascii="Arial" w:eastAsia="Times New Roman" w:hAnsi="Arial" w:cs="Times New Roman"/>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1445"/>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41445"/>
    <w:rPr>
      <w:rFonts w:ascii="Calibri" w:hAnsi="Calibri" w:cs="Calibri"/>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41445"/>
    <w:rPr>
      <w:vertAlign w:val="superscript"/>
    </w:rPr>
  </w:style>
  <w:style w:type="paragraph" w:customStyle="1" w:styleId="p">
    <w:name w:val="p"/>
    <w:basedOn w:val="Normal"/>
    <w:rsid w:val="00241445"/>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241445"/>
  </w:style>
  <w:style w:type="character" w:customStyle="1" w:styleId="a">
    <w:name w:val="a"/>
    <w:basedOn w:val="Fuentedeprrafopredeter"/>
    <w:rsid w:val="00241445"/>
  </w:style>
  <w:style w:type="character" w:customStyle="1" w:styleId="d">
    <w:name w:val="d"/>
    <w:basedOn w:val="Fuentedeprrafopredeter"/>
    <w:rsid w:val="00241445"/>
  </w:style>
  <w:style w:type="character" w:customStyle="1" w:styleId="b">
    <w:name w:val="b"/>
    <w:basedOn w:val="Fuentedeprrafopredeter"/>
    <w:rsid w:val="00241445"/>
  </w:style>
  <w:style w:type="character" w:customStyle="1" w:styleId="g">
    <w:name w:val="g"/>
    <w:basedOn w:val="Fuentedeprrafopredeter"/>
    <w:rsid w:val="00241445"/>
  </w:style>
  <w:style w:type="paragraph" w:styleId="TtulodeTDC">
    <w:name w:val="TOC Heading"/>
    <w:basedOn w:val="Ttulo1"/>
    <w:next w:val="Normal"/>
    <w:uiPriority w:val="39"/>
    <w:unhideWhenUsed/>
    <w:qFormat/>
    <w:rsid w:val="00241445"/>
    <w:pPr>
      <w:outlineLvl w:val="9"/>
    </w:pPr>
    <w:rPr>
      <w:lang w:eastAsia="es-MX"/>
    </w:rPr>
  </w:style>
  <w:style w:type="character" w:customStyle="1" w:styleId="normaltextrun">
    <w:name w:val="normaltextrun"/>
    <w:basedOn w:val="Fuentedeprrafopredeter"/>
    <w:rsid w:val="00241445"/>
  </w:style>
  <w:style w:type="paragraph" w:styleId="NormalWeb">
    <w:name w:val="Normal (Web)"/>
    <w:basedOn w:val="Normal"/>
    <w:uiPriority w:val="99"/>
    <w:rsid w:val="00241445"/>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241445"/>
    <w:rPr>
      <w:b/>
      <w:bCs/>
    </w:rPr>
  </w:style>
  <w:style w:type="paragraph" w:customStyle="1" w:styleId="Default">
    <w:name w:val="Default"/>
    <w:rsid w:val="00241445"/>
    <w:pPr>
      <w:autoSpaceDE w:val="0"/>
      <w:autoSpaceDN w:val="0"/>
      <w:adjustRightInd w:val="0"/>
    </w:pPr>
    <w:rPr>
      <w:rFonts w:ascii="Arial" w:hAnsi="Arial" w:cs="Arial"/>
      <w:color w:val="000000"/>
    </w:rPr>
  </w:style>
  <w:style w:type="paragraph" w:customStyle="1" w:styleId="j">
    <w:name w:val="j"/>
    <w:basedOn w:val="Normal"/>
    <w:rsid w:val="0024144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241445"/>
  </w:style>
  <w:style w:type="paragraph" w:customStyle="1" w:styleId="Texto">
    <w:name w:val="Texto"/>
    <w:basedOn w:val="Normal"/>
    <w:link w:val="TextoCar"/>
    <w:rsid w:val="00241445"/>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241445"/>
    <w:rPr>
      <w:rFonts w:ascii="Arial" w:eastAsia="Times New Roman" w:hAnsi="Arial" w:cs="Arial"/>
      <w:sz w:val="18"/>
      <w:szCs w:val="20"/>
      <w:lang w:val="es-ES" w:eastAsia="es-ES"/>
    </w:rPr>
  </w:style>
  <w:style w:type="paragraph" w:styleId="Textosinformato">
    <w:name w:val="Plain Text"/>
    <w:basedOn w:val="Normal"/>
    <w:link w:val="TextosinformatoCar"/>
    <w:rsid w:val="00241445"/>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241445"/>
    <w:rPr>
      <w:rFonts w:ascii="Courier New" w:eastAsia="Times New Roman" w:hAnsi="Courier New" w:cs="Courier New"/>
      <w:sz w:val="20"/>
      <w:szCs w:val="20"/>
      <w:lang w:val="es-ES" w:eastAsia="es-ES"/>
    </w:rPr>
  </w:style>
  <w:style w:type="paragraph" w:styleId="TDC3">
    <w:name w:val="toc 3"/>
    <w:basedOn w:val="Normal"/>
    <w:next w:val="Normal"/>
    <w:autoRedefine/>
    <w:uiPriority w:val="39"/>
    <w:unhideWhenUsed/>
    <w:rsid w:val="00241445"/>
    <w:pPr>
      <w:spacing w:after="100"/>
      <w:ind w:left="480"/>
    </w:pPr>
  </w:style>
  <w:style w:type="paragraph" w:styleId="Listaconvietas2">
    <w:name w:val="List Bullet 2"/>
    <w:basedOn w:val="Normal"/>
    <w:uiPriority w:val="99"/>
    <w:unhideWhenUsed/>
    <w:qFormat/>
    <w:rsid w:val="00241445"/>
    <w:pPr>
      <w:numPr>
        <w:numId w:val="1"/>
      </w:numPr>
      <w:contextualSpacing/>
    </w:pPr>
    <w:rPr>
      <w:rFonts w:ascii="Times New Roman" w:eastAsia="Times New Roman" w:hAnsi="Times New Roman" w:cs="Times New Roman"/>
      <w:sz w:val="20"/>
      <w:szCs w:val="20"/>
    </w:rPr>
  </w:style>
  <w:style w:type="paragraph" w:styleId="Sangradetextonormal">
    <w:name w:val="Body Text Indent"/>
    <w:basedOn w:val="Normal"/>
    <w:link w:val="SangradetextonormalCar"/>
    <w:uiPriority w:val="99"/>
    <w:unhideWhenUsed/>
    <w:qFormat/>
    <w:rsid w:val="00241445"/>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241445"/>
    <w:rPr>
      <w:rFonts w:ascii="Times New Roman" w:eastAsia="Times New Roman" w:hAnsi="Times New Roman" w:cs="Times New Roman"/>
      <w:sz w:val="20"/>
      <w:szCs w:val="20"/>
      <w:lang w:eastAsia="es-ES"/>
    </w:rPr>
  </w:style>
  <w:style w:type="paragraph" w:customStyle="1" w:styleId="m5907675151158779931gmail-msolistparagraph">
    <w:name w:val="m_5907675151158779931gmail-msolistparagraph"/>
    <w:basedOn w:val="Normal"/>
    <w:rsid w:val="00241445"/>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241445"/>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241445"/>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241445"/>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241445"/>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241445"/>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241445"/>
  </w:style>
  <w:style w:type="character" w:customStyle="1" w:styleId="il">
    <w:name w:val="il"/>
    <w:basedOn w:val="Fuentedeprrafopredeter"/>
    <w:rsid w:val="00241445"/>
  </w:style>
  <w:style w:type="paragraph" w:customStyle="1" w:styleId="paragraph">
    <w:name w:val="paragraph"/>
    <w:basedOn w:val="Normal"/>
    <w:rsid w:val="00241445"/>
    <w:pPr>
      <w:spacing w:before="100" w:beforeAutospacing="1" w:after="100" w:afterAutospacing="1"/>
    </w:pPr>
    <w:rPr>
      <w:rFonts w:ascii="Times New Roman" w:eastAsia="Times New Roman" w:hAnsi="Times New Roman" w:cs="Times New Roman"/>
      <w:lang w:eastAsia="es-MX"/>
    </w:rPr>
  </w:style>
  <w:style w:type="paragraph" w:customStyle="1" w:styleId="INFOEM">
    <w:name w:val="INFOEM"/>
    <w:basedOn w:val="Normal"/>
    <w:qFormat/>
    <w:rsid w:val="00241445"/>
    <w:pPr>
      <w:spacing w:before="240" w:after="160" w:line="360" w:lineRule="auto"/>
      <w:ind w:left="851" w:right="851"/>
      <w:jc w:val="both"/>
    </w:pPr>
    <w:rPr>
      <w:rFonts w:ascii="Palatino Linotype" w:eastAsiaTheme="minorHAnsi" w:hAnsi="Palatino Linotype"/>
      <w:i/>
      <w:sz w:val="22"/>
      <w:szCs w:val="14"/>
      <w:lang w:eastAsia="en-US"/>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241445"/>
    <w:rPr>
      <w:rFonts w:ascii="Georgia" w:eastAsia="Georgia" w:hAnsi="Georgia" w:cs="Georgia"/>
      <w:i/>
      <w:color w:val="666666"/>
      <w:sz w:val="48"/>
      <w:szCs w:val="48"/>
      <w:lang w:eastAsia="es-ES"/>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oleObject" Target="embeddings/oleObject4.bin"/><Relationship Id="rId30" Type="http://schemas.openxmlformats.org/officeDocument/2006/relationships/hyperlink" Target="https://consultas.curp.gob.mx/CurpSP/html/informacionecurpPS.html"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Yq63gFLSxvRlOmYVV1Q//lVZQ==">CgMxLjAyCGguZ2pkZ3hzMgloLjMwajB6bGwyCWguMWZvYjl0ZTIJaC4zem55c2g3MgloLjJldDkycDAyCGgudHlqY3d0MgloLjNkeTZ2a20yCWguM3JkY3JqbjIJaC4xdDNoNXNmMgloLjRkMzRvZzgyCWguMnM4ZXlvMTIJaC4xN2RwOHZ1OAByITFib0kzZV9sWVFNM0hyQWp1NzJqUGZqcUNFM0p3eG9DaA==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46</Pages>
  <Words>9840</Words>
  <Characters>54123</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6</cp:revision>
  <cp:lastPrinted>2024-12-06T02:09:00Z</cp:lastPrinted>
  <dcterms:created xsi:type="dcterms:W3CDTF">2024-11-21T18:22:00Z</dcterms:created>
  <dcterms:modified xsi:type="dcterms:W3CDTF">2025-01-21T19:16:00Z</dcterms:modified>
</cp:coreProperties>
</file>